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6CC5D">
      <w:pPr>
        <w:jc w:val="right"/>
        <w:rPr>
          <w:rFonts w:hint="eastAsia" w:ascii="宋体" w:hAnsi="宋体" w:eastAsia="宋体" w:cs="宋体"/>
          <w:b/>
          <w:color w:val="auto"/>
          <w:szCs w:val="84"/>
          <w:highlight w:val="none"/>
        </w:rPr>
      </w:pPr>
      <w:r>
        <w:rPr>
          <w:rFonts w:hint="eastAsia" w:ascii="宋体" w:hAnsi="宋体" w:eastAsia="宋体" w:cs="宋体"/>
          <w:b/>
          <w:color w:val="auto"/>
          <w:szCs w:val="84"/>
          <w:highlight w:val="none"/>
        </w:rPr>
        <w:t>（服务类公开招标项目）</w:t>
      </w:r>
    </w:p>
    <w:p w14:paraId="474BCBBA">
      <w:pPr>
        <w:spacing w:line="360" w:lineRule="auto"/>
        <w:jc w:val="center"/>
        <w:rPr>
          <w:rFonts w:hint="eastAsia" w:ascii="宋体" w:hAnsi="宋体" w:eastAsia="宋体" w:cs="宋体"/>
          <w:color w:val="auto"/>
          <w:w w:val="80"/>
          <w:sz w:val="52"/>
          <w:szCs w:val="52"/>
          <w:highlight w:val="none"/>
          <w:lang w:bidi="th-TH"/>
        </w:rPr>
      </w:pPr>
    </w:p>
    <w:p w14:paraId="743CE401">
      <w:pPr>
        <w:pStyle w:val="8"/>
        <w:rPr>
          <w:rFonts w:hint="eastAsia" w:ascii="宋体" w:hAnsi="宋体" w:eastAsia="宋体" w:cs="宋体"/>
          <w:color w:val="auto"/>
          <w:highlight w:val="none"/>
        </w:rPr>
      </w:pPr>
    </w:p>
    <w:p w14:paraId="00646581">
      <w:pPr>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 xml:space="preserve">浙江省社会主义学院“智慧教务”（2.0）建设项目 </w:t>
      </w:r>
    </w:p>
    <w:p w14:paraId="42A92F44">
      <w:pPr>
        <w:jc w:val="center"/>
        <w:rPr>
          <w:rFonts w:hint="eastAsia" w:ascii="宋体" w:hAnsi="宋体" w:eastAsia="宋体" w:cs="宋体"/>
          <w:b/>
          <w:color w:val="auto"/>
          <w:szCs w:val="84"/>
          <w:highlight w:val="none"/>
        </w:rPr>
      </w:pPr>
    </w:p>
    <w:p w14:paraId="554FA0CC">
      <w:pPr>
        <w:jc w:val="center"/>
        <w:rPr>
          <w:rFonts w:hint="eastAsia" w:ascii="宋体" w:hAnsi="宋体" w:eastAsia="宋体" w:cs="宋体"/>
          <w:b/>
          <w:color w:val="auto"/>
          <w:szCs w:val="84"/>
          <w:highlight w:val="none"/>
        </w:rPr>
      </w:pPr>
      <w:r>
        <w:rPr>
          <w:rFonts w:hint="eastAsia" w:ascii="宋体" w:hAnsi="宋体" w:eastAsia="宋体" w:cs="宋体"/>
          <w:b/>
          <w:color w:val="auto"/>
          <w:szCs w:val="84"/>
          <w:highlight w:val="none"/>
        </w:rPr>
        <w:t>（电子交易方式）</w:t>
      </w:r>
    </w:p>
    <w:p w14:paraId="3BC6D602">
      <w:pPr>
        <w:jc w:val="center"/>
        <w:rPr>
          <w:rFonts w:hint="eastAsia" w:ascii="宋体" w:hAnsi="宋体" w:eastAsia="宋体" w:cs="宋体"/>
          <w:b/>
          <w:color w:val="auto"/>
          <w:szCs w:val="84"/>
          <w:highlight w:val="none"/>
        </w:rPr>
      </w:pPr>
    </w:p>
    <w:p w14:paraId="246EEEE8">
      <w:pPr>
        <w:jc w:val="center"/>
        <w:rPr>
          <w:rFonts w:hint="eastAsia" w:ascii="宋体" w:hAnsi="宋体" w:eastAsia="宋体" w:cs="宋体"/>
          <w:b/>
          <w:color w:val="auto"/>
          <w:szCs w:val="84"/>
          <w:highlight w:val="none"/>
        </w:rPr>
      </w:pPr>
    </w:p>
    <w:p w14:paraId="6688CB05">
      <w:pPr>
        <w:pStyle w:val="8"/>
        <w:rPr>
          <w:rFonts w:hint="eastAsia" w:ascii="宋体" w:hAnsi="宋体" w:eastAsia="宋体" w:cs="宋体"/>
          <w:color w:val="auto"/>
          <w:highlight w:val="none"/>
        </w:rPr>
      </w:pPr>
    </w:p>
    <w:p w14:paraId="668EB0A1">
      <w:pPr>
        <w:jc w:val="center"/>
        <w:rPr>
          <w:rFonts w:hint="eastAsia" w:ascii="宋体" w:hAnsi="宋体" w:eastAsia="宋体" w:cs="宋体"/>
          <w:b/>
          <w:color w:val="auto"/>
          <w:szCs w:val="84"/>
          <w:highlight w:val="none"/>
        </w:rPr>
      </w:pPr>
    </w:p>
    <w:p w14:paraId="05954D4D">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color w:val="auto"/>
          <w:spacing w:val="40"/>
          <w:w w:val="80"/>
          <w:sz w:val="96"/>
          <w:szCs w:val="96"/>
          <w:highlight w:val="none"/>
          <w:lang w:bidi="th-TH"/>
        </w:rPr>
        <w:t>采 购 文 件</w:t>
      </w:r>
    </w:p>
    <w:p w14:paraId="11316B09">
      <w:pPr>
        <w:jc w:val="center"/>
        <w:rPr>
          <w:rFonts w:hint="eastAsia" w:ascii="宋体" w:hAnsi="宋体" w:eastAsia="宋体" w:cs="宋体"/>
          <w:b/>
          <w:color w:val="auto"/>
          <w:szCs w:val="84"/>
          <w:highlight w:val="none"/>
        </w:rPr>
      </w:pPr>
    </w:p>
    <w:p w14:paraId="007C0793">
      <w:pPr>
        <w:pStyle w:val="7"/>
        <w:rPr>
          <w:rFonts w:hint="eastAsia" w:ascii="宋体" w:hAnsi="宋体" w:eastAsia="宋体" w:cs="宋体"/>
          <w:color w:val="auto"/>
          <w:highlight w:val="none"/>
        </w:rPr>
      </w:pPr>
    </w:p>
    <w:p w14:paraId="0C8C6D1E">
      <w:pPr>
        <w:spacing w:line="360" w:lineRule="auto"/>
        <w:jc w:val="center"/>
        <w:rPr>
          <w:rFonts w:hint="eastAsia" w:ascii="宋体" w:hAnsi="宋体" w:eastAsia="宋体" w:cs="宋体"/>
          <w:b/>
          <w:bCs/>
          <w:color w:val="auto"/>
          <w:w w:val="80"/>
          <w:sz w:val="36"/>
          <w:szCs w:val="36"/>
          <w:highlight w:val="none"/>
          <w:lang w:eastAsia="zh-CN" w:bidi="th-TH"/>
        </w:rPr>
      </w:pPr>
      <w:r>
        <w:rPr>
          <w:rFonts w:hint="eastAsia" w:ascii="宋体" w:hAnsi="宋体" w:eastAsia="宋体" w:cs="宋体"/>
          <w:b/>
          <w:bCs/>
          <w:color w:val="auto"/>
          <w:w w:val="80"/>
          <w:sz w:val="36"/>
          <w:szCs w:val="36"/>
          <w:highlight w:val="none"/>
          <w:lang w:bidi="th-TH"/>
        </w:rPr>
        <w:t>项目编号：</w:t>
      </w:r>
      <w:r>
        <w:rPr>
          <w:rFonts w:hint="eastAsia" w:ascii="宋体" w:hAnsi="宋体" w:eastAsia="宋体" w:cs="宋体"/>
          <w:b/>
          <w:bCs/>
          <w:color w:val="auto"/>
          <w:w w:val="80"/>
          <w:sz w:val="36"/>
          <w:szCs w:val="36"/>
          <w:highlight w:val="none"/>
          <w:lang w:eastAsia="zh-CN" w:bidi="th-TH"/>
        </w:rPr>
        <w:t>ZJ-2470973-07</w:t>
      </w:r>
    </w:p>
    <w:p w14:paraId="2B29E663">
      <w:pPr>
        <w:pStyle w:val="2"/>
        <w:rPr>
          <w:rFonts w:hint="eastAsia" w:ascii="宋体" w:hAnsi="宋体" w:eastAsia="宋体" w:cs="宋体"/>
          <w:color w:val="auto"/>
          <w:highlight w:val="none"/>
        </w:rPr>
      </w:pPr>
    </w:p>
    <w:p w14:paraId="53EEDC5A">
      <w:pPr>
        <w:pStyle w:val="12"/>
        <w:ind w:left="5250" w:leftChars="0"/>
        <w:rPr>
          <w:rFonts w:hint="eastAsia" w:ascii="宋体" w:hAnsi="宋体" w:eastAsia="宋体" w:cs="宋体"/>
          <w:color w:val="auto"/>
          <w:szCs w:val="28"/>
          <w:highlight w:val="none"/>
        </w:rPr>
      </w:pPr>
      <w:r>
        <w:rPr>
          <w:rFonts w:hint="eastAsia" w:ascii="宋体" w:hAnsi="宋体" w:eastAsia="宋体" w:cs="宋体"/>
          <w:color w:val="auto"/>
          <w:highlight w:val="none"/>
        </w:rPr>
        <w:t xml:space="preserve">      </w:t>
      </w:r>
    </w:p>
    <w:p w14:paraId="2934F60F">
      <w:pPr>
        <w:rPr>
          <w:rFonts w:hint="eastAsia" w:ascii="宋体" w:hAnsi="宋体" w:eastAsia="宋体" w:cs="宋体"/>
          <w:b/>
          <w:color w:val="auto"/>
          <w:highlight w:val="none"/>
        </w:rPr>
      </w:pPr>
    </w:p>
    <w:p w14:paraId="6571399B">
      <w:pPr>
        <w:rPr>
          <w:rFonts w:hint="eastAsia" w:ascii="宋体" w:hAnsi="宋体" w:eastAsia="宋体" w:cs="宋体"/>
          <w:b/>
          <w:color w:val="auto"/>
          <w:highlight w:val="none"/>
        </w:rPr>
      </w:pPr>
    </w:p>
    <w:p w14:paraId="073E6688">
      <w:pPr>
        <w:rPr>
          <w:rFonts w:hint="eastAsia" w:ascii="宋体" w:hAnsi="宋体" w:eastAsia="宋体" w:cs="宋体"/>
          <w:b/>
          <w:color w:val="auto"/>
          <w:highlight w:val="none"/>
        </w:rPr>
      </w:pPr>
    </w:p>
    <w:tbl>
      <w:tblPr>
        <w:tblStyle w:val="23"/>
        <w:tblW w:w="0" w:type="auto"/>
        <w:jc w:val="center"/>
        <w:tblLayout w:type="fixed"/>
        <w:tblCellMar>
          <w:top w:w="0" w:type="dxa"/>
          <w:left w:w="108" w:type="dxa"/>
          <w:bottom w:w="0" w:type="dxa"/>
          <w:right w:w="108" w:type="dxa"/>
        </w:tblCellMar>
      </w:tblPr>
      <w:tblGrid>
        <w:gridCol w:w="2255"/>
        <w:gridCol w:w="572"/>
        <w:gridCol w:w="5511"/>
      </w:tblGrid>
      <w:tr w14:paraId="209F9841">
        <w:tblPrEx>
          <w:tblCellMar>
            <w:top w:w="0" w:type="dxa"/>
            <w:left w:w="108" w:type="dxa"/>
            <w:bottom w:w="0" w:type="dxa"/>
            <w:right w:w="108" w:type="dxa"/>
          </w:tblCellMar>
        </w:tblPrEx>
        <w:trPr>
          <w:trHeight w:val="1108" w:hRule="atLeast"/>
          <w:jc w:val="center"/>
        </w:trPr>
        <w:tc>
          <w:tcPr>
            <w:tcW w:w="2255" w:type="dxa"/>
            <w:noWrap w:val="0"/>
            <w:vAlign w:val="center"/>
          </w:tcPr>
          <w:p w14:paraId="7ED3AC0E">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72" w:type="dxa"/>
            <w:noWrap w:val="0"/>
            <w:vAlign w:val="center"/>
          </w:tcPr>
          <w:p w14:paraId="7F73FC62">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511" w:type="dxa"/>
            <w:noWrap w:val="0"/>
            <w:vAlign w:val="center"/>
          </w:tcPr>
          <w:p w14:paraId="57509007">
            <w:pPr>
              <w:snapToGrid w:val="0"/>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浙江省社会主义学院</w:t>
            </w:r>
          </w:p>
        </w:tc>
      </w:tr>
      <w:tr w14:paraId="2976D398">
        <w:tblPrEx>
          <w:tblCellMar>
            <w:top w:w="0" w:type="dxa"/>
            <w:left w:w="108" w:type="dxa"/>
            <w:bottom w:w="0" w:type="dxa"/>
            <w:right w:w="108" w:type="dxa"/>
          </w:tblCellMar>
        </w:tblPrEx>
        <w:trPr>
          <w:trHeight w:val="287" w:hRule="atLeast"/>
          <w:jc w:val="center"/>
        </w:trPr>
        <w:tc>
          <w:tcPr>
            <w:tcW w:w="2255" w:type="dxa"/>
            <w:noWrap w:val="0"/>
            <w:vAlign w:val="center"/>
          </w:tcPr>
          <w:p w14:paraId="1D39EA0A">
            <w:pPr>
              <w:snapToGrid w:val="0"/>
              <w:jc w:val="distribute"/>
              <w:rPr>
                <w:rFonts w:hint="eastAsia" w:ascii="宋体" w:hAnsi="宋体" w:eastAsia="宋体" w:cs="宋体"/>
                <w:color w:val="auto"/>
                <w:szCs w:val="21"/>
                <w:highlight w:val="none"/>
              </w:rPr>
            </w:pPr>
          </w:p>
        </w:tc>
        <w:tc>
          <w:tcPr>
            <w:tcW w:w="572" w:type="dxa"/>
            <w:noWrap w:val="0"/>
            <w:vAlign w:val="center"/>
          </w:tcPr>
          <w:p w14:paraId="3B89FE7C">
            <w:pPr>
              <w:snapToGrid w:val="0"/>
              <w:jc w:val="distribute"/>
              <w:rPr>
                <w:rFonts w:hint="eastAsia" w:ascii="宋体" w:hAnsi="宋体" w:eastAsia="宋体" w:cs="宋体"/>
                <w:color w:val="auto"/>
                <w:szCs w:val="21"/>
                <w:highlight w:val="none"/>
              </w:rPr>
            </w:pPr>
          </w:p>
        </w:tc>
        <w:tc>
          <w:tcPr>
            <w:tcW w:w="5511" w:type="dxa"/>
            <w:noWrap w:val="0"/>
            <w:vAlign w:val="center"/>
          </w:tcPr>
          <w:p w14:paraId="72184D03">
            <w:pPr>
              <w:snapToGrid w:val="0"/>
              <w:jc w:val="distribute"/>
              <w:rPr>
                <w:rFonts w:hint="eastAsia" w:ascii="宋体" w:hAnsi="宋体" w:eastAsia="宋体" w:cs="宋体"/>
                <w:color w:val="auto"/>
                <w:szCs w:val="21"/>
                <w:highlight w:val="none"/>
              </w:rPr>
            </w:pPr>
          </w:p>
        </w:tc>
      </w:tr>
      <w:tr w14:paraId="60C787B6">
        <w:tblPrEx>
          <w:tblCellMar>
            <w:top w:w="0" w:type="dxa"/>
            <w:left w:w="108" w:type="dxa"/>
            <w:bottom w:w="0" w:type="dxa"/>
            <w:right w:w="108" w:type="dxa"/>
          </w:tblCellMar>
        </w:tblPrEx>
        <w:trPr>
          <w:trHeight w:val="995" w:hRule="atLeast"/>
          <w:jc w:val="center"/>
        </w:trPr>
        <w:tc>
          <w:tcPr>
            <w:tcW w:w="2255" w:type="dxa"/>
            <w:noWrap w:val="0"/>
            <w:vAlign w:val="center"/>
          </w:tcPr>
          <w:p w14:paraId="37CA0BEF">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72" w:type="dxa"/>
            <w:noWrap w:val="0"/>
            <w:vAlign w:val="center"/>
          </w:tcPr>
          <w:p w14:paraId="1DAFA594">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511" w:type="dxa"/>
            <w:noWrap w:val="0"/>
            <w:vAlign w:val="center"/>
          </w:tcPr>
          <w:p w14:paraId="3D87D3E8">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浙江国际招投标有限公司</w:t>
            </w:r>
          </w:p>
        </w:tc>
      </w:tr>
      <w:tr w14:paraId="3B0BE040">
        <w:tblPrEx>
          <w:tblCellMar>
            <w:top w:w="0" w:type="dxa"/>
            <w:left w:w="108" w:type="dxa"/>
            <w:bottom w:w="0" w:type="dxa"/>
            <w:right w:w="108" w:type="dxa"/>
          </w:tblCellMar>
        </w:tblPrEx>
        <w:trPr>
          <w:trHeight w:val="657" w:hRule="atLeast"/>
          <w:jc w:val="center"/>
        </w:trPr>
        <w:tc>
          <w:tcPr>
            <w:tcW w:w="8338" w:type="dxa"/>
            <w:gridSpan w:val="3"/>
            <w:noWrap w:val="0"/>
            <w:vAlign w:val="bottom"/>
          </w:tcPr>
          <w:p w14:paraId="5D08C42B">
            <w:pPr>
              <w:snapToGrid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11</w:t>
            </w:r>
            <w:r>
              <w:rPr>
                <w:rFonts w:hint="eastAsia" w:ascii="宋体" w:hAnsi="宋体" w:eastAsia="宋体" w:cs="宋体"/>
                <w:color w:val="auto"/>
                <w:sz w:val="30"/>
                <w:szCs w:val="30"/>
                <w:highlight w:val="none"/>
              </w:rPr>
              <w:t>月</w:t>
            </w:r>
          </w:p>
        </w:tc>
      </w:tr>
    </w:tbl>
    <w:p w14:paraId="325F8D85">
      <w:pPr>
        <w:widowControl/>
        <w:spacing w:beforeAutospacing="1" w:afterAutospacing="1" w:line="360" w:lineRule="auto"/>
        <w:jc w:val="left"/>
        <w:rPr>
          <w:rFonts w:hint="eastAsia" w:ascii="宋体" w:hAnsi="宋体" w:eastAsia="宋体" w:cs="宋体"/>
          <w:b/>
          <w:color w:val="auto"/>
          <w:sz w:val="28"/>
          <w:szCs w:val="28"/>
          <w:highlight w:val="none"/>
        </w:rPr>
        <w:sectPr>
          <w:pgSz w:w="11906" w:h="16838"/>
          <w:pgMar w:top="1418" w:right="1588" w:bottom="1418" w:left="1588" w:header="851" w:footer="992" w:gutter="0"/>
          <w:pgNumType w:start="0"/>
          <w:cols w:space="720" w:num="1"/>
          <w:docGrid w:type="lines" w:linePitch="312" w:charSpace="0"/>
        </w:sectPr>
      </w:pPr>
    </w:p>
    <w:p w14:paraId="09DDE215">
      <w:pPr>
        <w:pStyle w:val="1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14:paraId="5A3C1F2D">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b/>
          <w:caps w:val="0"/>
          <w:color w:val="auto"/>
          <w:sz w:val="21"/>
          <w:szCs w:val="21"/>
          <w:highlight w:val="none"/>
        </w:rPr>
        <w:fldChar w:fldCharType="begin"/>
      </w:r>
      <w:r>
        <w:rPr>
          <w:rFonts w:hint="eastAsia" w:ascii="宋体" w:hAnsi="宋体" w:eastAsia="宋体" w:cs="宋体"/>
          <w:b/>
          <w:caps w:val="0"/>
          <w:color w:val="auto"/>
          <w:sz w:val="21"/>
          <w:szCs w:val="21"/>
          <w:highlight w:val="none"/>
        </w:rPr>
        <w:instrText xml:space="preserve"> TOC \o "1-2" \u </w:instrText>
      </w:r>
      <w:r>
        <w:rPr>
          <w:rFonts w:hint="eastAsia" w:ascii="宋体" w:hAnsi="宋体" w:eastAsia="宋体" w:cs="宋体"/>
          <w:b/>
          <w:caps w:val="0"/>
          <w:color w:val="auto"/>
          <w:sz w:val="21"/>
          <w:szCs w:val="21"/>
          <w:highlight w:val="none"/>
        </w:rPr>
        <w:fldChar w:fldCharType="separate"/>
      </w:r>
      <w:r>
        <w:rPr>
          <w:rFonts w:hint="eastAsia" w:ascii="宋体" w:hAnsi="宋体" w:eastAsia="宋体" w:cs="宋体"/>
          <w:color w:val="auto"/>
          <w:sz w:val="21"/>
          <w:szCs w:val="21"/>
          <w:highlight w:val="none"/>
        </w:rPr>
        <w:t>第一部分  采购公告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_Toc31709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p>
    <w:p w14:paraId="0CA133FD">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前 附 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_Toc8459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p>
    <w:p w14:paraId="0C47E925">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第二部分  投标须知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_Toc5457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p>
    <w:p w14:paraId="48312332">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一、总则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_Toc23042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p>
    <w:p w14:paraId="4744FEC0">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二、采购文件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p>
    <w:p w14:paraId="2B1E9742">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三、投标文件的编制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_Toc25450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p>
    <w:p w14:paraId="7C5D8D8D">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_Toc23032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p>
    <w:p w14:paraId="35C847A9">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五、开标与评标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_Toc28927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p>
    <w:p w14:paraId="2C4D4AED">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六、确定中标供应商及授予合同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_Toc29703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p>
    <w:p w14:paraId="651DB202">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第三部分 采购需求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_Toc10755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p>
    <w:p w14:paraId="0B1DBC41">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w:t>
      </w:r>
      <w:r>
        <w:rPr>
          <w:rFonts w:hint="eastAsia" w:ascii="宋体" w:hAnsi="宋体" w:eastAsia="宋体" w:cs="宋体"/>
          <w:color w:val="auto"/>
          <w:sz w:val="21"/>
          <w:szCs w:val="21"/>
          <w:highlight w:val="none"/>
          <w:lang w:val="en-US" w:eastAsia="zh-CN"/>
        </w:rPr>
        <w:t>采购清单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p>
    <w:p w14:paraId="7EAC8E10">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w:t>
      </w:r>
      <w:r>
        <w:rPr>
          <w:rFonts w:hint="eastAsia" w:ascii="宋体" w:hAnsi="宋体" w:eastAsia="宋体" w:cs="宋体"/>
          <w:color w:val="auto"/>
          <w:sz w:val="21"/>
          <w:szCs w:val="21"/>
          <w:highlight w:val="none"/>
          <w:lang w:val="en-US" w:eastAsia="zh-CN"/>
        </w:rPr>
        <w:t>技术要求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_Toc18284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p>
    <w:p w14:paraId="7B6203CE">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w:t>
      </w:r>
      <w:r>
        <w:rPr>
          <w:rFonts w:hint="eastAsia" w:ascii="宋体" w:hAnsi="宋体" w:eastAsia="宋体" w:cs="宋体"/>
          <w:color w:val="auto"/>
          <w:sz w:val="21"/>
          <w:szCs w:val="21"/>
          <w:highlight w:val="none"/>
          <w:lang w:val="en-US" w:eastAsia="zh-CN"/>
        </w:rPr>
        <w:t>非功能性要求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_Toc4770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p>
    <w:p w14:paraId="7E4309CD">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w:t>
      </w:r>
      <w:r>
        <w:rPr>
          <w:rFonts w:hint="eastAsia" w:ascii="宋体" w:hAnsi="宋体" w:eastAsia="宋体" w:cs="宋体"/>
          <w:color w:val="auto"/>
          <w:sz w:val="21"/>
          <w:szCs w:val="21"/>
          <w:highlight w:val="none"/>
          <w:lang w:val="en-US" w:eastAsia="zh-CN"/>
        </w:rPr>
        <w:t>安装要求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_Toc25481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p>
    <w:p w14:paraId="09385D00">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w:t>
      </w:r>
      <w:r>
        <w:rPr>
          <w:rFonts w:hint="eastAsia" w:ascii="宋体" w:hAnsi="宋体" w:eastAsia="宋体" w:cs="宋体"/>
          <w:color w:val="auto"/>
          <w:sz w:val="21"/>
          <w:szCs w:val="21"/>
          <w:highlight w:val="none"/>
          <w:lang w:val="en-US" w:eastAsia="zh-CN"/>
        </w:rPr>
        <w:t>培训要求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_Toc12301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p>
    <w:p w14:paraId="462E4E32">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w:t>
      </w:r>
      <w:r>
        <w:rPr>
          <w:rFonts w:hint="eastAsia" w:ascii="宋体" w:hAnsi="宋体" w:eastAsia="宋体" w:cs="宋体"/>
          <w:color w:val="auto"/>
          <w:sz w:val="21"/>
          <w:szCs w:val="21"/>
          <w:highlight w:val="none"/>
          <w:lang w:val="en-US" w:eastAsia="zh-CN"/>
        </w:rPr>
        <w:t>履约保证金、合同价款支付</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_Toc32581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p>
    <w:p w14:paraId="066F30DD">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七、 </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_Toc23558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p>
    <w:p w14:paraId="75088780">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八、 </w:t>
      </w:r>
      <w:r>
        <w:rPr>
          <w:rFonts w:hint="eastAsia" w:ascii="宋体" w:hAnsi="宋体" w:eastAsia="宋体" w:cs="宋体"/>
          <w:color w:val="auto"/>
          <w:sz w:val="21"/>
          <w:szCs w:val="21"/>
          <w:highlight w:val="none"/>
          <w:lang w:val="en-US" w:eastAsia="zh-CN"/>
        </w:rPr>
        <w:t>验收标准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47</w:t>
      </w:r>
      <w:r>
        <w:rPr>
          <w:rFonts w:hint="eastAsia" w:ascii="宋体" w:hAnsi="宋体" w:eastAsia="宋体" w:cs="宋体"/>
          <w:color w:val="auto"/>
          <w:sz w:val="21"/>
          <w:szCs w:val="21"/>
        </w:rPr>
        <w:fldChar w:fldCharType="end"/>
      </w:r>
    </w:p>
    <w:p w14:paraId="4B3C90EF">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九、 </w:t>
      </w:r>
      <w:r>
        <w:rPr>
          <w:rFonts w:hint="eastAsia" w:ascii="宋体" w:hAnsi="宋体" w:eastAsia="宋体" w:cs="宋体"/>
          <w:color w:val="auto"/>
          <w:sz w:val="21"/>
          <w:szCs w:val="21"/>
          <w:highlight w:val="none"/>
          <w:lang w:val="en-US" w:eastAsia="zh-CN"/>
        </w:rPr>
        <w:t>安全保密及知识产权建设要求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_Toc30004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p>
    <w:p w14:paraId="388E9FD4">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十、 </w:t>
      </w:r>
      <w:r>
        <w:rPr>
          <w:rFonts w:hint="eastAsia" w:ascii="宋体" w:hAnsi="宋体" w:eastAsia="宋体" w:cs="宋体"/>
          <w:color w:val="auto"/>
          <w:sz w:val="21"/>
          <w:szCs w:val="21"/>
          <w:highlight w:val="none"/>
          <w:lang w:val="en-US" w:eastAsia="zh-CN"/>
        </w:rPr>
        <w:t>其他要求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_Toc25154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p>
    <w:p w14:paraId="2914A52C">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十一、 </w:t>
      </w:r>
      <w:r>
        <w:rPr>
          <w:rFonts w:hint="eastAsia" w:ascii="宋体" w:hAnsi="宋体" w:eastAsia="宋体" w:cs="宋体"/>
          <w:color w:val="auto"/>
          <w:sz w:val="21"/>
          <w:szCs w:val="21"/>
          <w:highlight w:val="none"/>
          <w:lang w:val="en-US" w:eastAsia="zh-CN"/>
        </w:rPr>
        <w:t>演示要求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_Toc9468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p>
    <w:p w14:paraId="2557A76C">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第四部分  合同主要条款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_Toc8211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p>
    <w:p w14:paraId="60B67F5A">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第五部分  评标办法（综合评分法）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p>
    <w:p w14:paraId="26341ED3">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一、总则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_Toc18993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p>
    <w:p w14:paraId="4F7FF3BC">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二、评标组织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_Toc11741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p>
    <w:p w14:paraId="0A234395">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三、评标纪律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_Toc31643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p>
    <w:p w14:paraId="7863D216">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四、评标程序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_Toc25677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60</w:t>
      </w:r>
      <w:r>
        <w:rPr>
          <w:rFonts w:hint="eastAsia" w:ascii="宋体" w:hAnsi="宋体" w:eastAsia="宋体" w:cs="宋体"/>
          <w:color w:val="auto"/>
          <w:sz w:val="21"/>
          <w:szCs w:val="21"/>
        </w:rPr>
        <w:fldChar w:fldCharType="end"/>
      </w:r>
    </w:p>
    <w:p w14:paraId="49843AEB">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五、 </w:t>
      </w:r>
      <w:r>
        <w:rPr>
          <w:rFonts w:hint="eastAsia" w:ascii="宋体" w:hAnsi="宋体" w:eastAsia="宋体" w:cs="宋体"/>
          <w:color w:val="auto"/>
          <w:sz w:val="21"/>
          <w:szCs w:val="21"/>
          <w:highlight w:val="none"/>
        </w:rPr>
        <w:t>评标细则及标准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_Toc16354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p>
    <w:p w14:paraId="74FC48EC">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六、询标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_Toc2513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p>
    <w:p w14:paraId="5A8AE6A7">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七、修改评标结果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_Toc31983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p>
    <w:p w14:paraId="55728C51">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候选供应商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_Toc21454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p>
    <w:p w14:paraId="78B2FF25">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第六部分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_Toc29177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67</w:t>
      </w:r>
      <w:r>
        <w:rPr>
          <w:rFonts w:hint="eastAsia" w:ascii="宋体" w:hAnsi="宋体" w:eastAsia="宋体" w:cs="宋体"/>
          <w:color w:val="auto"/>
          <w:sz w:val="21"/>
          <w:szCs w:val="21"/>
        </w:rPr>
        <w:fldChar w:fldCharType="end"/>
      </w:r>
    </w:p>
    <w:p w14:paraId="38087C08">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一、投标文件封面（格式供参考）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_Toc30963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68</w:t>
      </w:r>
      <w:r>
        <w:rPr>
          <w:rFonts w:hint="eastAsia" w:ascii="宋体" w:hAnsi="宋体" w:eastAsia="宋体" w:cs="宋体"/>
          <w:color w:val="auto"/>
          <w:sz w:val="21"/>
          <w:szCs w:val="21"/>
        </w:rPr>
        <w:fldChar w:fldCharType="end"/>
      </w:r>
    </w:p>
    <w:p w14:paraId="7F2BE157">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二、资格响应文件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70</w:t>
      </w:r>
      <w:r>
        <w:rPr>
          <w:rFonts w:hint="eastAsia" w:ascii="宋体" w:hAnsi="宋体" w:eastAsia="宋体" w:cs="宋体"/>
          <w:color w:val="auto"/>
          <w:sz w:val="21"/>
          <w:szCs w:val="21"/>
        </w:rPr>
        <w:fldChar w:fldCharType="end"/>
      </w:r>
    </w:p>
    <w:p w14:paraId="179414CE">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三、商务技术响应文件部分格式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_Toc18332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77</w:t>
      </w:r>
      <w:r>
        <w:rPr>
          <w:rFonts w:hint="eastAsia" w:ascii="宋体" w:hAnsi="宋体" w:eastAsia="宋体" w:cs="宋体"/>
          <w:color w:val="auto"/>
          <w:sz w:val="21"/>
          <w:szCs w:val="21"/>
        </w:rPr>
        <w:fldChar w:fldCharType="end"/>
      </w:r>
    </w:p>
    <w:p w14:paraId="769152AD">
      <w:pPr>
        <w:pStyle w:val="19"/>
        <w:keepNext w:val="0"/>
        <w:keepLines w:val="0"/>
        <w:pageBreakBefore w:val="0"/>
        <w:widowControl w:val="0"/>
        <w:tabs>
          <w:tab w:val="right" w:leader="dot" w:pos="8730"/>
          <w:tab w:val="clear" w:pos="872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四、报价响应文件部分格式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_Toc22766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93</w:t>
      </w:r>
      <w:r>
        <w:rPr>
          <w:rFonts w:hint="eastAsia" w:ascii="宋体" w:hAnsi="宋体" w:eastAsia="宋体" w:cs="宋体"/>
          <w:color w:val="auto"/>
          <w:sz w:val="21"/>
          <w:szCs w:val="21"/>
        </w:rPr>
        <w:fldChar w:fldCharType="end"/>
      </w:r>
    </w:p>
    <w:p w14:paraId="1D3FCFF7">
      <w:pPr>
        <w:pStyle w:val="16"/>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第七部分   其它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_Toc12597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95</w:t>
      </w:r>
      <w:r>
        <w:rPr>
          <w:rFonts w:hint="eastAsia" w:ascii="宋体" w:hAnsi="宋体" w:eastAsia="宋体" w:cs="宋体"/>
          <w:color w:val="auto"/>
          <w:sz w:val="21"/>
          <w:szCs w:val="21"/>
        </w:rPr>
        <w:fldChar w:fldCharType="end"/>
      </w:r>
    </w:p>
    <w:p w14:paraId="03EDE354">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eastAsia" w:ascii="宋体" w:hAnsi="宋体" w:eastAsia="宋体" w:cs="宋体"/>
          <w:color w:val="auto"/>
          <w:sz w:val="21"/>
          <w:szCs w:val="21"/>
          <w:highlight w:val="none"/>
        </w:rPr>
        <w:sectPr>
          <w:footerReference r:id="rId3" w:type="default"/>
          <w:pgSz w:w="11906" w:h="16838"/>
          <w:pgMar w:top="1418" w:right="1588" w:bottom="1418" w:left="1588" w:header="851" w:footer="992" w:gutter="0"/>
          <w:pgNumType w:start="1"/>
          <w:cols w:space="720" w:num="1"/>
          <w:docGrid w:type="lines" w:linePitch="312" w:charSpace="0"/>
        </w:sectPr>
      </w:pPr>
      <w:r>
        <w:rPr>
          <w:rFonts w:hint="eastAsia" w:ascii="宋体" w:hAnsi="宋体" w:eastAsia="宋体" w:cs="宋体"/>
          <w:color w:val="auto"/>
          <w:sz w:val="21"/>
          <w:szCs w:val="21"/>
          <w:highlight w:val="none"/>
        </w:rPr>
        <w:fldChar w:fldCharType="end"/>
      </w:r>
    </w:p>
    <w:p w14:paraId="3CD54F28">
      <w:pPr>
        <w:adjustRightInd w:val="0"/>
        <w:snapToGrid w:val="0"/>
        <w:spacing w:before="166" w:beforeLines="50" w:after="166" w:afterLines="50" w:line="360" w:lineRule="auto"/>
        <w:jc w:val="center"/>
        <w:outlineLvl w:val="0"/>
        <w:rPr>
          <w:rFonts w:hint="eastAsia" w:ascii="宋体" w:hAnsi="宋体" w:eastAsia="宋体" w:cs="宋体"/>
          <w:b/>
          <w:color w:val="auto"/>
          <w:sz w:val="30"/>
          <w:szCs w:val="30"/>
          <w:highlight w:val="none"/>
        </w:rPr>
      </w:pPr>
      <w:bookmarkStart w:id="0" w:name="_Toc17274"/>
      <w:bookmarkStart w:id="1" w:name="_Toc9264"/>
      <w:bookmarkStart w:id="2" w:name="_Toc31709"/>
      <w:bookmarkStart w:id="3" w:name="_Toc35"/>
      <w:bookmarkStart w:id="4" w:name="_Toc7128"/>
      <w:bookmarkStart w:id="5" w:name="_Toc21665"/>
      <w:r>
        <w:rPr>
          <w:rFonts w:hint="eastAsia" w:ascii="宋体" w:hAnsi="宋体" w:eastAsia="宋体" w:cs="宋体"/>
          <w:b/>
          <w:color w:val="auto"/>
          <w:sz w:val="30"/>
          <w:szCs w:val="30"/>
          <w:highlight w:val="none"/>
        </w:rPr>
        <w:t>第一部分  采购公告</w:t>
      </w:r>
      <w:bookmarkEnd w:id="0"/>
      <w:bookmarkEnd w:id="1"/>
      <w:bookmarkEnd w:id="2"/>
      <w:bookmarkEnd w:id="3"/>
      <w:bookmarkEnd w:id="4"/>
      <w:bookmarkEnd w:id="5"/>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1ED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895" w:type="dxa"/>
            <w:tcBorders>
              <w:top w:val="single" w:color="auto" w:sz="4" w:space="0"/>
              <w:left w:val="single" w:color="auto" w:sz="4" w:space="0"/>
              <w:bottom w:val="single" w:color="auto" w:sz="4" w:space="0"/>
              <w:right w:val="single" w:color="auto" w:sz="4" w:space="0"/>
            </w:tcBorders>
            <w:noWrap w:val="0"/>
            <w:vAlign w:val="center"/>
          </w:tcPr>
          <w:p w14:paraId="6B288AA8">
            <w:pPr>
              <w:widowControl/>
              <w:adjustRightInd w:val="0"/>
              <w:snapToGrid w:val="0"/>
              <w:spacing w:line="360" w:lineRule="auto"/>
              <w:rPr>
                <w:rFonts w:hint="eastAsia" w:ascii="宋体" w:hAnsi="宋体" w:eastAsia="宋体" w:cs="宋体"/>
                <w:b/>
                <w:bCs/>
                <w:color w:val="auto"/>
                <w:szCs w:val="21"/>
                <w:highlight w:val="none"/>
              </w:rPr>
            </w:pPr>
            <w:bookmarkStart w:id="6" w:name="_Toc251189093"/>
            <w:bookmarkStart w:id="7" w:name="_Toc251221438"/>
            <w:bookmarkStart w:id="8" w:name="_Toc185012671"/>
            <w:r>
              <w:rPr>
                <w:rFonts w:hint="eastAsia" w:ascii="宋体" w:hAnsi="宋体" w:eastAsia="宋体" w:cs="宋体"/>
                <w:b/>
                <w:bCs/>
                <w:color w:val="auto"/>
                <w:szCs w:val="21"/>
                <w:highlight w:val="none"/>
              </w:rPr>
              <w:t>项目概况</w:t>
            </w:r>
          </w:p>
          <w:p w14:paraId="185BAA82">
            <w:pPr>
              <w:widowControl/>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u w:val="single"/>
                <w:lang w:eastAsia="zh-CN"/>
              </w:rPr>
              <w:t>浙江省社会主义学院“智慧教务”（2.0）建设项目</w:t>
            </w:r>
            <w:r>
              <w:rPr>
                <w:rFonts w:hint="eastAsia" w:ascii="宋体" w:hAnsi="宋体" w:eastAsia="宋体" w:cs="宋体"/>
                <w:b/>
                <w:bCs/>
                <w:color w:val="auto"/>
                <w:szCs w:val="21"/>
                <w:highlight w:val="none"/>
              </w:rPr>
              <w:t>的潜在投标人应在政府采购云平台</w:t>
            </w:r>
            <w:r>
              <w:rPr>
                <w:rFonts w:hint="eastAsia" w:ascii="宋体" w:hAnsi="宋体" w:eastAsia="宋体" w:cs="宋体"/>
                <w:b/>
                <w:bCs/>
                <w:color w:val="auto"/>
                <w:szCs w:val="21"/>
                <w:highlight w:val="none"/>
                <w:u w:val="single"/>
              </w:rPr>
              <w:t>（https://www.zcygov.cn</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rPr>
              <w:t>获取（下载）招标文件，并于</w:t>
            </w:r>
            <w:r>
              <w:rPr>
                <w:rFonts w:hint="eastAsia" w:ascii="宋体" w:hAnsi="宋体" w:eastAsia="宋体" w:cs="宋体"/>
                <w:b/>
                <w:bCs/>
                <w:color w:val="auto"/>
                <w:szCs w:val="21"/>
                <w:highlight w:val="none"/>
                <w:u w:val="single"/>
                <w:lang w:eastAsia="zh-CN"/>
              </w:rPr>
              <w:t>2024年12月16日</w:t>
            </w:r>
            <w:r>
              <w:rPr>
                <w:rFonts w:hint="eastAsia" w:ascii="宋体" w:hAnsi="宋体" w:eastAsia="宋体" w:cs="宋体"/>
                <w:b/>
                <w:bCs/>
                <w:color w:val="auto"/>
                <w:szCs w:val="21"/>
                <w:highlight w:val="none"/>
                <w:u w:val="single"/>
              </w:rPr>
              <w:t>09:00</w:t>
            </w:r>
            <w:r>
              <w:rPr>
                <w:rFonts w:hint="eastAsia" w:ascii="宋体" w:hAnsi="宋体" w:eastAsia="宋体" w:cs="宋体"/>
                <w:b/>
                <w:bCs/>
                <w:color w:val="auto"/>
                <w:szCs w:val="21"/>
                <w:highlight w:val="none"/>
              </w:rPr>
              <w:t>（北京时间）前递交（上传）投标文件。</w:t>
            </w:r>
          </w:p>
        </w:tc>
      </w:tr>
    </w:tbl>
    <w:p w14:paraId="7867A9DF">
      <w:pPr>
        <w:widowControl/>
        <w:spacing w:line="360" w:lineRule="auto"/>
        <w:rPr>
          <w:rFonts w:hint="eastAsia" w:ascii="宋体" w:hAnsi="宋体" w:eastAsia="宋体" w:cs="宋体"/>
          <w:b/>
          <w:bCs/>
          <w:color w:val="auto"/>
          <w:kern w:val="0"/>
          <w:szCs w:val="21"/>
          <w:highlight w:val="none"/>
        </w:rPr>
      </w:pPr>
    </w:p>
    <w:p w14:paraId="6167C084">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14:paraId="3938AAB7">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ZJ-2470973-07</w:t>
      </w:r>
    </w:p>
    <w:p w14:paraId="5DD040FE">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 xml:space="preserve">浙江省社会主义学院“智慧教务”（2.0）建设项目 </w:t>
      </w:r>
    </w:p>
    <w:p w14:paraId="73A3897B">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1552000</w:t>
      </w:r>
    </w:p>
    <w:p w14:paraId="187EB020">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1552000</w:t>
      </w:r>
    </w:p>
    <w:p w14:paraId="453D3B11">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4BFAFDDE">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14:paraId="3A66C449">
      <w:pPr>
        <w:widowControl/>
        <w:adjustRightInd w:val="0"/>
        <w:snapToGrid w:val="0"/>
        <w:spacing w:line="360" w:lineRule="auto"/>
        <w:ind w:left="420" w:leftChars="20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数量：1</w:t>
      </w:r>
    </w:p>
    <w:p w14:paraId="14C444DB">
      <w:pPr>
        <w:widowControl/>
        <w:adjustRightInd w:val="0"/>
        <w:snapToGrid w:val="0"/>
        <w:spacing w:line="360" w:lineRule="auto"/>
        <w:ind w:left="0" w:leftChars="0" w:firstLine="840" w:firstLineChars="4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简要规格描述或项目基本概况介绍、用途：本项目内容为</w:t>
      </w:r>
      <w:r>
        <w:rPr>
          <w:rFonts w:hint="eastAsia" w:ascii="宋体" w:hAnsi="宋体" w:eastAsia="宋体" w:cs="宋体"/>
          <w:color w:val="auto"/>
          <w:kern w:val="0"/>
          <w:szCs w:val="21"/>
          <w:highlight w:val="none"/>
          <w:lang w:eastAsia="zh-CN"/>
        </w:rPr>
        <w:t xml:space="preserve">浙江省社会主义学院“智慧教务”（2.0）建设项目 </w:t>
      </w:r>
      <w:r>
        <w:rPr>
          <w:rFonts w:hint="eastAsia" w:ascii="宋体" w:hAnsi="宋体" w:eastAsia="宋体" w:cs="宋体"/>
          <w:color w:val="auto"/>
          <w:highlight w:val="none"/>
        </w:rPr>
        <w:t>，具体内容和要求详见采购文件的相关章节。</w:t>
      </w:r>
    </w:p>
    <w:p w14:paraId="4759584F">
      <w:pPr>
        <w:widowControl/>
        <w:spacing w:line="360" w:lineRule="auto"/>
        <w:ind w:left="0" w:leftChars="0" w:firstLine="840" w:firstLineChars="4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86D2FDF">
      <w:pPr>
        <w:widowControl/>
        <w:spacing w:line="360" w:lineRule="auto"/>
        <w:ind w:firstLine="420" w:firstLineChars="200"/>
        <w:jc w:val="left"/>
        <w:rPr>
          <w:rFonts w:hint="eastAsia" w:ascii="宋体" w:hAnsi="宋体" w:eastAsia="宋体" w:cs="宋体"/>
          <w:color w:val="auto"/>
          <w:kern w:val="0"/>
          <w:szCs w:val="21"/>
          <w:highlight w:val="none"/>
        </w:rPr>
      </w:pPr>
    </w:p>
    <w:p w14:paraId="6A5EB221">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合同履行期限：详见采购文件。</w:t>
      </w:r>
    </w:p>
    <w:p w14:paraId="766DBD5E">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本项目（是）接受联合体投标。</w:t>
      </w:r>
    </w:p>
    <w:p w14:paraId="0642C0C1">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14:paraId="01AC31E7">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6D56858">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2.落实政府采购政策需满足的资格要求：标项</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本项目专门面向中小企业，服务全部由符合政策要求的中小企业承接。</w:t>
      </w:r>
    </w:p>
    <w:p w14:paraId="0E7A958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3.本项目的特定资格要求：无。</w:t>
      </w:r>
    </w:p>
    <w:p w14:paraId="5F707778">
      <w:pPr>
        <w:widowControl/>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三、获取招标文件</w:t>
      </w:r>
    </w:p>
    <w:p w14:paraId="635906AF">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至</w:t>
      </w:r>
      <w:r>
        <w:rPr>
          <w:rFonts w:hint="eastAsia" w:ascii="宋体" w:hAnsi="宋体" w:eastAsia="宋体" w:cs="宋体"/>
          <w:color w:val="auto"/>
          <w:szCs w:val="21"/>
          <w:highlight w:val="none"/>
          <w:lang w:eastAsia="zh-CN"/>
        </w:rPr>
        <w:t>2024年12月16日</w:t>
      </w:r>
      <w:r>
        <w:rPr>
          <w:rFonts w:hint="eastAsia" w:ascii="宋体" w:hAnsi="宋体" w:eastAsia="宋体" w:cs="宋体"/>
          <w:color w:val="auto"/>
          <w:kern w:val="0"/>
          <w:szCs w:val="21"/>
          <w:highlight w:val="none"/>
        </w:rPr>
        <w:t>，每天上午00:00至12:00，下午12:00至23:59（北京时间，线上获取法定节假日均可，线下获取文件法定节假日除外）；</w:t>
      </w:r>
    </w:p>
    <w:p w14:paraId="7C735AE6">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地点（网址）：政府采购云平台（https://www.zcygov.cn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0CF59BD3">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方式：供应商登录政采云平台https://www.zcygov.cn/在线申请获取采购文件（进入“项目采购”应用，在获取采购文件菜单中选择项目，申请获取采购文件）；</w:t>
      </w:r>
    </w:p>
    <w:p w14:paraId="54088BF9">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售价（元）：0。</w:t>
      </w:r>
    </w:p>
    <w:p w14:paraId="44DBD4F0">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四、提交投标文件截止时间、开标时间和地点</w:t>
      </w:r>
    </w:p>
    <w:p w14:paraId="74B36190">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kern w:val="0"/>
          <w:szCs w:val="21"/>
          <w:highlight w:val="none"/>
          <w:lang w:eastAsia="zh-CN"/>
        </w:rPr>
        <w:t>2024年12月16日</w:t>
      </w:r>
      <w:r>
        <w:rPr>
          <w:rFonts w:hint="eastAsia" w:ascii="宋体" w:hAnsi="宋体" w:eastAsia="宋体" w:cs="宋体"/>
          <w:color w:val="auto"/>
          <w:kern w:val="0"/>
          <w:szCs w:val="21"/>
          <w:highlight w:val="none"/>
        </w:rPr>
        <w:t>09:00（北京时间）；</w:t>
      </w:r>
    </w:p>
    <w:p w14:paraId="0C51F31D">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投标地点（网址）：线上（请登录政采云平台上传投标文件）。</w:t>
      </w:r>
    </w:p>
    <w:p w14:paraId="195616B1">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kern w:val="0"/>
          <w:szCs w:val="21"/>
          <w:highlight w:val="none"/>
          <w:lang w:eastAsia="zh-CN"/>
        </w:rPr>
        <w:t>2024年12月16日</w:t>
      </w:r>
      <w:r>
        <w:rPr>
          <w:rFonts w:hint="eastAsia" w:ascii="宋体" w:hAnsi="宋体" w:eastAsia="宋体" w:cs="宋体"/>
          <w:color w:val="auto"/>
          <w:kern w:val="0"/>
          <w:szCs w:val="21"/>
          <w:highlight w:val="none"/>
        </w:rPr>
        <w:t>09:00；</w:t>
      </w:r>
    </w:p>
    <w:p w14:paraId="51400CF1">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开标地点（网址）：线上（请登录政采云投标客户端开标大厅）。</w:t>
      </w:r>
    </w:p>
    <w:p w14:paraId="791D3174">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五、公告期限</w:t>
      </w:r>
    </w:p>
    <w:p w14:paraId="4D9C7D5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16AE297">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六、其他补充事宜</w:t>
      </w:r>
    </w:p>
    <w:p w14:paraId="0129B0DC">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1.《浙江省财政厅关于进一步发挥政府采购政策功能全力推动经济稳进提质的通知》 （浙财采监</w:t>
      </w:r>
      <w:r>
        <w:rPr>
          <w:rFonts w:hint="eastAsia" w:ascii="宋体" w:hAnsi="宋体" w:eastAsia="宋体" w:cs="宋体"/>
          <w:color w:val="auto"/>
          <w:kern w:val="0"/>
          <w:szCs w:val="21"/>
          <w:highlight w:val="none"/>
          <w:lang w:eastAsia="zh-CN"/>
        </w:rPr>
        <w:t>〔2022〕3号</w:t>
      </w:r>
      <w:r>
        <w:rPr>
          <w:rFonts w:hint="eastAsia" w:ascii="宋体" w:hAnsi="宋体" w:eastAsia="宋体" w:cs="宋体"/>
          <w:color w:val="auto"/>
          <w:kern w:val="0"/>
          <w:szCs w:val="21"/>
          <w:highlight w:val="none"/>
        </w:rPr>
        <w:t>）、《浙江省财政厅关于进一步促进政府采购公平竞争打造最优营商环境的通知》（浙财采监</w:t>
      </w:r>
      <w:r>
        <w:rPr>
          <w:rFonts w:hint="eastAsia" w:ascii="宋体" w:hAnsi="宋体" w:eastAsia="宋体" w:cs="宋体"/>
          <w:color w:val="auto"/>
          <w:kern w:val="0"/>
          <w:szCs w:val="21"/>
          <w:highlight w:val="none"/>
          <w:lang w:eastAsia="zh-CN"/>
        </w:rPr>
        <w:t>〔2021〕22号</w:t>
      </w:r>
      <w:r>
        <w:rPr>
          <w:rFonts w:hint="eastAsia" w:ascii="宋体" w:hAnsi="宋体" w:eastAsia="宋体" w:cs="宋体"/>
          <w:color w:val="auto"/>
          <w:kern w:val="0"/>
          <w:szCs w:val="21"/>
          <w:highlight w:val="none"/>
        </w:rPr>
        <w:t>））、《浙江省财政厅关于进一步加大政府采购支持中小企业力度助力扎实稳住经济的通知》 （浙财采监</w:t>
      </w:r>
      <w:r>
        <w:rPr>
          <w:rFonts w:hint="eastAsia" w:ascii="宋体" w:hAnsi="宋体" w:eastAsia="宋体" w:cs="宋体"/>
          <w:color w:val="auto"/>
          <w:kern w:val="0"/>
          <w:szCs w:val="21"/>
          <w:highlight w:val="none"/>
          <w:lang w:eastAsia="zh-CN"/>
        </w:rPr>
        <w:t>〔2022〕8号</w:t>
      </w:r>
      <w:r>
        <w:rPr>
          <w:rFonts w:hint="eastAsia" w:ascii="宋体" w:hAnsi="宋体" w:eastAsia="宋体" w:cs="宋体"/>
          <w:color w:val="auto"/>
          <w:kern w:val="0"/>
          <w:szCs w:val="21"/>
          <w:highlight w:val="none"/>
        </w:rPr>
        <w:t>）已分别于2022年1月29日、2022年2月1日和2022年7月1日开始实施，此前有关规定与上述文件内容不一致的，按上述文件要求执行。</w:t>
      </w:r>
    </w:p>
    <w:p w14:paraId="4095F558">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2.根据《浙江省财政厅关于进一步促进政府采购公平竞争打造最优营商环境的通知》（浙财采监</w:t>
      </w:r>
      <w:r>
        <w:rPr>
          <w:rFonts w:hint="eastAsia" w:ascii="宋体" w:hAnsi="宋体" w:eastAsia="宋体" w:cs="宋体"/>
          <w:color w:val="auto"/>
          <w:kern w:val="0"/>
          <w:szCs w:val="21"/>
          <w:highlight w:val="none"/>
          <w:lang w:eastAsia="zh-CN"/>
        </w:rPr>
        <w:t>〔2021〕22号</w:t>
      </w:r>
      <w:r>
        <w:rPr>
          <w:rFonts w:hint="eastAsia" w:ascii="宋体" w:hAnsi="宋体" w:eastAsia="宋体" w:cs="宋体"/>
          <w:color w:val="auto"/>
          <w:kern w:val="0"/>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225F08">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3E313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4.其他事项：</w:t>
      </w:r>
    </w:p>
    <w:p w14:paraId="12643FF1">
      <w:pPr>
        <w:widowControl/>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4.1按照《浙江省财政厅关于印发浙江省政府采购</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电子交易管理暂行办法的通知》规定，本项目采用电子交易方式进行</w:t>
      </w:r>
      <w:r>
        <w:rPr>
          <w:rFonts w:hint="eastAsia" w:ascii="宋体" w:hAnsi="宋体" w:eastAsia="宋体" w:cs="宋体"/>
          <w:snapToGrid w:val="0"/>
          <w:color w:val="auto"/>
          <w:kern w:val="0"/>
          <w:szCs w:val="21"/>
          <w:highlight w:val="none"/>
        </w:rPr>
        <w:t>。</w:t>
      </w:r>
    </w:p>
    <w:p w14:paraId="01CE1181">
      <w:pPr>
        <w:widowControl/>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4.2依据《政府采购质疑和投诉办法》第十条第二款规定，</w:t>
      </w:r>
      <w:r>
        <w:rPr>
          <w:rFonts w:hint="eastAsia" w:ascii="宋体" w:hAnsi="宋体" w:eastAsia="宋体" w:cs="宋体"/>
          <w:snapToGrid w:val="0"/>
          <w:color w:val="auto"/>
          <w:kern w:val="0"/>
          <w:szCs w:val="21"/>
          <w:highlight w:val="none"/>
        </w:rPr>
        <w:t>本项目要求供应商在法定质疑期内一次性提出针对同一采购程序环节的质疑。供应商在法定质疑期内多次提出针对同一采购程序环节的质疑的，采购人或采购代理机构只受理该供应商的第一次有效质疑。</w:t>
      </w:r>
    </w:p>
    <w:p w14:paraId="4084DE17">
      <w:pPr>
        <w:widowControl/>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4.3需要落实的政府采购政策：包括节约资源、保护环境、支持创新、促进中小企业发展等，详见采购文件的前附表</w:t>
      </w:r>
      <w:r>
        <w:rPr>
          <w:rFonts w:hint="eastAsia" w:ascii="宋体" w:hAnsi="宋体" w:eastAsia="宋体" w:cs="宋体"/>
          <w:snapToGrid w:val="0"/>
          <w:color w:val="auto"/>
          <w:kern w:val="0"/>
          <w:szCs w:val="21"/>
          <w:highlight w:val="none"/>
        </w:rPr>
        <w:t>。</w:t>
      </w:r>
    </w:p>
    <w:p w14:paraId="3DF412C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4.4本项目资格审查方式为资格后审。</w:t>
      </w:r>
    </w:p>
    <w:p w14:paraId="7DDC44F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4.5采购文件公告期限为本公告发布之日起5个工作日。</w:t>
      </w:r>
    </w:p>
    <w:p w14:paraId="171A9620">
      <w:pPr>
        <w:widowControl/>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七、对本次采购提出询问、质疑、投诉，请按以下方式联系</w:t>
      </w:r>
    </w:p>
    <w:p w14:paraId="59E5A6D1">
      <w:pPr>
        <w:widowControl/>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1.采购人信息</w:t>
      </w:r>
    </w:p>
    <w:p w14:paraId="663DBE5F">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浙江省社会主义学院</w:t>
      </w:r>
    </w:p>
    <w:p w14:paraId="01AD287C">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i w:val="0"/>
          <w:iCs w:val="0"/>
          <w:caps w:val="0"/>
          <w:color w:val="auto"/>
          <w:spacing w:val="0"/>
          <w:sz w:val="21"/>
          <w:szCs w:val="21"/>
          <w:highlight w:val="none"/>
        </w:rPr>
        <w:t>杭州市余杭区文一西路1008号</w:t>
      </w:r>
    </w:p>
    <w:p w14:paraId="537E2E79">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9598575">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陈险峰</w:t>
      </w:r>
    </w:p>
    <w:p w14:paraId="0429F9BB">
      <w:pPr>
        <w:widowControl/>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18069803885</w:t>
      </w:r>
    </w:p>
    <w:p w14:paraId="02AA53F5">
      <w:pPr>
        <w:widowControl/>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王超</w:t>
      </w:r>
    </w:p>
    <w:p w14:paraId="40A172AC">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：13616551995</w:t>
      </w:r>
    </w:p>
    <w:p w14:paraId="43AF5DAC">
      <w:pPr>
        <w:widowControl/>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2.采购代理机构信息</w:t>
      </w:r>
    </w:p>
    <w:p w14:paraId="39B7ABC7">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名称：浙江国际招投标有限公司</w:t>
      </w:r>
    </w:p>
    <w:p w14:paraId="5B798D40">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地址：杭州市西湖区文三路90号东部软件园1号楼3楼</w:t>
      </w:r>
    </w:p>
    <w:p w14:paraId="6AD192DE">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传真：0571-88473430</w:t>
      </w:r>
    </w:p>
    <w:p w14:paraId="188722D7">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项目联系人（询问）：周群峰、葛珍妮</w:t>
      </w:r>
    </w:p>
    <w:p w14:paraId="0BCED2D9">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项目联系方式（询问）：0571-81061804、0571-88081687</w:t>
      </w:r>
    </w:p>
    <w:p w14:paraId="7604C35F">
      <w:pPr>
        <w:widowControl/>
        <w:adjustRightInd w:val="0"/>
        <w:snapToGrid w:val="0"/>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质疑联系人：曹涛涛</w:t>
      </w:r>
    </w:p>
    <w:p w14:paraId="150495C1">
      <w:pPr>
        <w:widowControl/>
        <w:adjustRightInd w:val="0"/>
        <w:snapToGrid w:val="0"/>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质疑联系方式：0571-81061821</w:t>
      </w:r>
    </w:p>
    <w:p w14:paraId="14835827">
      <w:pPr>
        <w:widowControl/>
        <w:adjustRightInd w:val="0"/>
        <w:snapToGrid w:val="0"/>
        <w:spacing w:line="360" w:lineRule="auto"/>
        <w:ind w:firstLine="422" w:firstLineChars="200"/>
        <w:jc w:val="both"/>
        <w:rPr>
          <w:rFonts w:hint="eastAsia" w:ascii="宋体" w:hAnsi="宋体" w:eastAsia="宋体" w:cs="宋体"/>
          <w:b/>
          <w:bCs/>
          <w:color w:val="auto"/>
          <w:szCs w:val="21"/>
          <w:highlight w:val="none"/>
        </w:rPr>
      </w:pPr>
      <w:bookmarkStart w:id="9" w:name="_Toc24012"/>
      <w:bookmarkStart w:id="10" w:name="_Toc14241"/>
      <w:bookmarkStart w:id="11" w:name="_Toc21099"/>
      <w:bookmarkStart w:id="12" w:name="_Toc18423"/>
      <w:bookmarkStart w:id="13" w:name="_Toc27432"/>
      <w:r>
        <w:rPr>
          <w:rFonts w:hint="eastAsia" w:ascii="宋体" w:hAnsi="宋体" w:eastAsia="宋体" w:cs="宋体"/>
          <w:b/>
          <w:bCs/>
          <w:color w:val="auto"/>
          <w:szCs w:val="21"/>
          <w:highlight w:val="none"/>
        </w:rPr>
        <w:t>3.同级政府采购监督管理部门</w:t>
      </w:r>
    </w:p>
    <w:p w14:paraId="3CE3DD5B">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名称：浙江省政府采购行政裁决服务中心（杭州市上城区清泰街549号城建综合大楼11楼）</w:t>
      </w:r>
    </w:p>
    <w:p w14:paraId="074AE778">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地址：杭州市上城区清泰街549号城建综合大楼11楼</w:t>
      </w:r>
    </w:p>
    <w:p w14:paraId="2F4143A5">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4DCCCF7A">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人：朱老师、王老师、匡老师</w:t>
      </w:r>
    </w:p>
    <w:p w14:paraId="2A4B1C7C">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监督投诉电话：057187800218、87227671、87227986</w:t>
      </w:r>
    </w:p>
    <w:p w14:paraId="4C41F0AA">
      <w:pPr>
        <w:widowControl/>
        <w:adjustRightInd w:val="0"/>
        <w:snapToGrid w:val="0"/>
        <w:spacing w:line="360" w:lineRule="auto"/>
        <w:ind w:firstLine="420" w:firstLineChars="200"/>
        <w:jc w:val="both"/>
        <w:rPr>
          <w:rFonts w:hint="eastAsia" w:ascii="宋体" w:hAnsi="宋体" w:eastAsia="宋体" w:cs="宋体"/>
          <w:color w:val="auto"/>
          <w:szCs w:val="21"/>
          <w:highlight w:val="none"/>
        </w:rPr>
      </w:pPr>
    </w:p>
    <w:p w14:paraId="6A8507EE">
      <w:pPr>
        <w:widowControl/>
        <w:adjustRightInd w:val="0"/>
        <w:snapToGrid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政策咨询：何一平、冯华，0571-87058424、87055741。</w:t>
      </w:r>
    </w:p>
    <w:p w14:paraId="263D4AFA">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预算金额未达100万元的采购项目，由采购人处理采购争议。</w:t>
      </w:r>
    </w:p>
    <w:p w14:paraId="4739B910">
      <w:pPr>
        <w:pStyle w:val="8"/>
        <w:rPr>
          <w:rFonts w:hint="eastAsia" w:ascii="宋体" w:hAnsi="宋体" w:eastAsia="宋体" w:cs="宋体"/>
          <w:color w:val="auto"/>
          <w:szCs w:val="21"/>
          <w:highlight w:val="none"/>
        </w:rPr>
      </w:pPr>
    </w:p>
    <w:p w14:paraId="28274F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，点击右侧咨询小采，获取采小蜜智能服务管家帮助，或拨打政采云服务热线95763获取热线服务帮助。</w:t>
      </w:r>
      <w:bookmarkEnd w:id="9"/>
      <w:bookmarkEnd w:id="10"/>
      <w:bookmarkEnd w:id="11"/>
      <w:bookmarkEnd w:id="12"/>
      <w:bookmarkEnd w:id="13"/>
    </w:p>
    <w:p w14:paraId="2EE15108">
      <w:pPr>
        <w:spacing w:line="360" w:lineRule="auto"/>
        <w:ind w:firstLine="420" w:firstLineChars="200"/>
        <w:rPr>
          <w:rFonts w:hint="eastAsia" w:ascii="宋体" w:hAnsi="宋体" w:eastAsia="宋体" w:cs="宋体"/>
          <w:color w:val="auto"/>
          <w:highlight w:val="none"/>
        </w:rPr>
      </w:pPr>
      <w:bookmarkStart w:id="14" w:name="_Toc9543"/>
      <w:bookmarkStart w:id="15" w:name="_Toc9249"/>
      <w:bookmarkStart w:id="16" w:name="_Toc10608"/>
      <w:bookmarkStart w:id="17" w:name="_Toc15793"/>
      <w:bookmarkStart w:id="18" w:name="_Toc8213"/>
      <w:r>
        <w:rPr>
          <w:rFonts w:hint="eastAsia" w:ascii="宋体" w:hAnsi="宋体" w:eastAsia="宋体" w:cs="宋体"/>
          <w:color w:val="auto"/>
          <w:highlight w:val="none"/>
        </w:rPr>
        <w:t>CA问题联系电话（人工）：汇信CA 400-888-4636；天谷CA 400-087-8198。</w:t>
      </w:r>
      <w:bookmarkEnd w:id="14"/>
      <w:bookmarkEnd w:id="15"/>
      <w:bookmarkEnd w:id="16"/>
      <w:bookmarkEnd w:id="17"/>
      <w:bookmarkEnd w:id="18"/>
    </w:p>
    <w:p w14:paraId="43FA2586">
      <w:pPr>
        <w:spacing w:line="360" w:lineRule="auto"/>
        <w:ind w:left="65" w:leftChars="31" w:firstLine="571" w:firstLineChars="272"/>
        <w:jc w:val="center"/>
        <w:outlineLvl w:val="0"/>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br w:type="page"/>
      </w:r>
      <w:bookmarkEnd w:id="6"/>
      <w:bookmarkEnd w:id="7"/>
      <w:bookmarkEnd w:id="8"/>
      <w:bookmarkStart w:id="19" w:name="_Toc8459"/>
      <w:bookmarkStart w:id="20" w:name="_Toc12561"/>
      <w:bookmarkStart w:id="21" w:name="_Toc25776"/>
      <w:bookmarkStart w:id="22" w:name="_Toc18977"/>
      <w:bookmarkStart w:id="23" w:name="_Toc7650"/>
      <w:bookmarkStart w:id="24" w:name="_Toc23337"/>
      <w:bookmarkStart w:id="25" w:name="_Toc1174"/>
      <w:r>
        <w:rPr>
          <w:rFonts w:hint="eastAsia" w:ascii="宋体" w:hAnsi="宋体" w:eastAsia="宋体" w:cs="宋体"/>
          <w:b/>
          <w:color w:val="auto"/>
          <w:sz w:val="30"/>
          <w:szCs w:val="30"/>
          <w:highlight w:val="none"/>
        </w:rPr>
        <w:t>前 附 表</w:t>
      </w:r>
      <w:bookmarkEnd w:id="19"/>
      <w:bookmarkEnd w:id="20"/>
      <w:bookmarkEnd w:id="21"/>
      <w:bookmarkEnd w:id="22"/>
      <w:bookmarkEnd w:id="23"/>
      <w:bookmarkEnd w:id="24"/>
      <w:bookmarkEnd w:id="25"/>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29"/>
        <w:gridCol w:w="6809"/>
      </w:tblGrid>
      <w:tr w14:paraId="27B29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tcBorders>
              <w:top w:val="double" w:color="auto" w:sz="4" w:space="0"/>
              <w:left w:val="double" w:color="auto" w:sz="4" w:space="0"/>
              <w:bottom w:val="single" w:color="auto" w:sz="6" w:space="0"/>
              <w:right w:val="single" w:color="auto" w:sz="6" w:space="0"/>
            </w:tcBorders>
            <w:noWrap w:val="0"/>
            <w:vAlign w:val="center"/>
          </w:tcPr>
          <w:p w14:paraId="57191AAC">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729" w:type="dxa"/>
            <w:tcBorders>
              <w:top w:val="double" w:color="auto" w:sz="4" w:space="0"/>
              <w:left w:val="single" w:color="auto" w:sz="6" w:space="0"/>
              <w:bottom w:val="single" w:color="auto" w:sz="6" w:space="0"/>
              <w:right w:val="single" w:color="auto" w:sz="6" w:space="0"/>
            </w:tcBorders>
            <w:noWrap w:val="0"/>
            <w:vAlign w:val="center"/>
          </w:tcPr>
          <w:p w14:paraId="07583828">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   目</w:t>
            </w:r>
          </w:p>
        </w:tc>
        <w:tc>
          <w:tcPr>
            <w:tcW w:w="6809" w:type="dxa"/>
            <w:tcBorders>
              <w:top w:val="double" w:color="auto" w:sz="4" w:space="0"/>
              <w:left w:val="single" w:color="auto" w:sz="6" w:space="0"/>
              <w:bottom w:val="single" w:color="auto" w:sz="6" w:space="0"/>
              <w:right w:val="double" w:color="auto" w:sz="4" w:space="0"/>
            </w:tcBorders>
            <w:noWrap w:val="0"/>
            <w:vAlign w:val="center"/>
          </w:tcPr>
          <w:p w14:paraId="650C140C">
            <w:pPr>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7BD33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620DDC9E">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1AFA8C9">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68DAC71">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 xml:space="preserve">浙江省社会主义学院“智慧教务”（2.0）建设项目 </w:t>
            </w:r>
          </w:p>
        </w:tc>
      </w:tr>
      <w:tr w14:paraId="728C1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6E998E60">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084002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BF695E6">
            <w:pPr>
              <w:snapToGrid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ZJ-2470973-07</w:t>
            </w:r>
          </w:p>
        </w:tc>
      </w:tr>
      <w:tr w14:paraId="6A402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1B705A88">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66C4D45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090B719E">
            <w:pPr>
              <w:snapToGrid w:val="0"/>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公开招标</w:t>
            </w:r>
          </w:p>
        </w:tc>
      </w:tr>
      <w:tr w14:paraId="00D99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79AF145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35E6F7FA">
            <w:pPr>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采购内容</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1E863CBA">
            <w:pPr>
              <w:widowControl/>
              <w:adjustRightInd w:val="0"/>
              <w:snapToGrid w:val="0"/>
              <w:jc w:val="left"/>
              <w:rPr>
                <w:rFonts w:hint="eastAsia" w:ascii="宋体" w:hAnsi="宋体" w:eastAsia="宋体" w:cs="宋体"/>
                <w:strike/>
                <w:snapToGrid w:val="0"/>
                <w:color w:val="auto"/>
                <w:kern w:val="0"/>
                <w:sz w:val="21"/>
                <w:szCs w:val="21"/>
                <w:highlight w:val="none"/>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eastAsia="zh-CN"/>
              </w:rPr>
              <w:t xml:space="preserve">浙江省社会主义学院“智慧教务”（2.0）建设项目 </w:t>
            </w:r>
            <w:r>
              <w:rPr>
                <w:rFonts w:hint="eastAsia" w:ascii="宋体" w:hAnsi="宋体" w:eastAsia="宋体" w:cs="宋体"/>
                <w:color w:val="auto"/>
                <w:sz w:val="21"/>
                <w:szCs w:val="21"/>
                <w:highlight w:val="none"/>
              </w:rPr>
              <w:t>，具体内容和要求详见采购文件的相关章节。</w:t>
            </w:r>
          </w:p>
        </w:tc>
      </w:tr>
      <w:tr w14:paraId="2968A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689E079B">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09C99E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服务地点</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1C369AAE">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本项目配送地点为浙江省社会主义学院两个校区，即：浙江省社会主义学院仓前校区（杭州市余杭区文一西路1008号），及浙江省社会主义学院余杭塘路校区（杭州市西湖区余杭塘路69号）。</w:t>
            </w:r>
          </w:p>
        </w:tc>
      </w:tr>
      <w:tr w14:paraId="2BADFC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3DA8C0FD">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941F8E7">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服务期</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BA21192">
            <w:pPr>
              <w:rPr>
                <w:rFonts w:hint="eastAsia" w:ascii="宋体" w:hAnsi="宋体" w:eastAsia="宋体" w:cs="宋体"/>
                <w:bCs/>
                <w:snapToGrid w:val="0"/>
                <w:color w:val="auto"/>
                <w:kern w:val="0"/>
                <w:sz w:val="21"/>
                <w:szCs w:val="21"/>
                <w:highlight w:val="none"/>
              </w:rPr>
            </w:pPr>
            <w:r>
              <w:rPr>
                <w:rFonts w:hint="eastAsia" w:ascii="宋体" w:hAnsi="宋体" w:eastAsia="宋体" w:cs="宋体"/>
                <w:color w:val="auto"/>
                <w:sz w:val="21"/>
                <w:szCs w:val="21"/>
                <w:highlight w:val="none"/>
                <w:lang w:val="en-US" w:eastAsia="zh-CN"/>
              </w:rPr>
              <w:t>一年</w:t>
            </w:r>
          </w:p>
        </w:tc>
      </w:tr>
      <w:tr w14:paraId="615CFB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0D089658">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941DFD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8D18E8A">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14:paraId="08582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B47506B">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32B09BE">
            <w:pPr>
              <w:snapToGrid w:val="0"/>
              <w:jc w:val="center"/>
              <w:rPr>
                <w:rFonts w:hint="eastAsia" w:ascii="宋体" w:hAnsi="宋体" w:eastAsia="宋体" w:cs="宋体"/>
                <w:b/>
                <w:color w:val="auto"/>
                <w:sz w:val="21"/>
                <w:szCs w:val="21"/>
                <w:highlight w:val="none"/>
              </w:rPr>
            </w:pPr>
            <w:r>
              <w:rPr>
                <w:rFonts w:hint="eastAsia" w:ascii="宋体" w:hAnsi="宋体" w:eastAsia="宋体" w:cs="宋体"/>
                <w:b/>
                <w:bCs/>
                <w:snapToGrid w:val="0"/>
                <w:color w:val="auto"/>
                <w:kern w:val="0"/>
                <w:sz w:val="21"/>
                <w:szCs w:val="21"/>
                <w:highlight w:val="none"/>
              </w:rPr>
              <w:t>▲</w:t>
            </w:r>
            <w:r>
              <w:rPr>
                <w:rFonts w:hint="eastAsia" w:ascii="宋体" w:hAnsi="宋体" w:eastAsia="宋体" w:cs="宋体"/>
                <w:b/>
                <w:color w:val="auto"/>
                <w:sz w:val="21"/>
                <w:szCs w:val="21"/>
                <w:highlight w:val="none"/>
              </w:rPr>
              <w:t>最高限价</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AA5D5D1">
            <w:pPr>
              <w:snapToGrid w:val="0"/>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最高限价为</w:t>
            </w:r>
            <w:r>
              <w:rPr>
                <w:rFonts w:hint="eastAsia" w:ascii="宋体" w:hAnsi="宋体" w:eastAsia="宋体" w:cs="宋体"/>
                <w:b/>
                <w:bCs/>
                <w:color w:val="auto"/>
                <w:kern w:val="0"/>
                <w:sz w:val="21"/>
                <w:szCs w:val="21"/>
                <w:highlight w:val="none"/>
                <w:lang w:eastAsia="zh-CN"/>
              </w:rPr>
              <w:t>1552000</w:t>
            </w:r>
            <w:r>
              <w:rPr>
                <w:rFonts w:hint="eastAsia" w:ascii="宋体" w:hAnsi="宋体" w:eastAsia="宋体" w:cs="宋体"/>
                <w:b/>
                <w:bCs/>
                <w:color w:val="auto"/>
                <w:kern w:val="0"/>
                <w:sz w:val="21"/>
                <w:szCs w:val="21"/>
                <w:highlight w:val="none"/>
              </w:rPr>
              <w:t>元，</w:t>
            </w:r>
            <w:r>
              <w:rPr>
                <w:rFonts w:hint="eastAsia" w:ascii="宋体" w:hAnsi="宋体" w:eastAsia="宋体" w:cs="宋体"/>
                <w:b/>
                <w:bCs/>
                <w:color w:val="auto"/>
                <w:sz w:val="21"/>
                <w:szCs w:val="21"/>
                <w:highlight w:val="none"/>
              </w:rPr>
              <w:t>超过最高限价的投标报价为无效投标。</w:t>
            </w:r>
          </w:p>
        </w:tc>
      </w:tr>
      <w:tr w14:paraId="0C7ABE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0837785A">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700E2B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0BF24F05">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p w14:paraId="61CC916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资格后审是指在开标后由采购人或采购代理机构代表根据采购文件的规定对投标人进行的资格审查，资格后审不合格的投标人，其投标作无效标处理。</w:t>
            </w:r>
          </w:p>
        </w:tc>
      </w:tr>
      <w:tr w14:paraId="6C785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307A66DA">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8E6C26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EE2E51D">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14:paraId="028A6C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40A8448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B13535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0A177305">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1.采购人不组织集中现场踏勘，</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如需对项目</w:t>
            </w:r>
            <w:r>
              <w:rPr>
                <w:rFonts w:hint="eastAsia" w:ascii="宋体" w:hAnsi="宋体" w:eastAsia="宋体" w:cs="宋体"/>
                <w:color w:val="auto"/>
                <w:szCs w:val="21"/>
                <w:highlight w:val="none"/>
                <w:lang w:val="en-US" w:eastAsia="zh-CN"/>
              </w:rPr>
              <w:t>情况等</w:t>
            </w:r>
            <w:r>
              <w:rPr>
                <w:rFonts w:hint="eastAsia" w:ascii="宋体" w:hAnsi="宋体" w:eastAsia="宋体" w:cs="宋体"/>
                <w:color w:val="auto"/>
                <w:szCs w:val="21"/>
                <w:highlight w:val="none"/>
              </w:rPr>
              <w:t>进行踏勘的，可与采购人项目联系人联系后前往采购人指定地点进行现场踏勘，但须符合采购人所在地出入相关规定。</w:t>
            </w:r>
          </w:p>
          <w:p w14:paraId="6CFE593A">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采购人向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提供的有关现场的数据和资料，是采购人现有的能被</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利用的资料，采购人对</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做出的任何推论、理解和结论均不负责任。</w:t>
            </w:r>
          </w:p>
          <w:p w14:paraId="07621580">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3.经采购人允许，</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以踏勘目的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进入采购人的项目现场。在踏勘过程中，</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代表必须承担进入现场后，由于他们的行为所造成的人身伤害（不管是否致命）、财产损失或损坏，</w:t>
            </w:r>
            <w:r>
              <w:rPr>
                <w:rFonts w:hint="eastAsia" w:ascii="宋体" w:hAnsi="宋体" w:eastAsia="宋体" w:cs="宋体"/>
                <w:color w:val="auto"/>
                <w:szCs w:val="21"/>
                <w:highlight w:val="none"/>
                <w:lang w:eastAsia="zh-CN"/>
              </w:rPr>
              <w:t>以及其他</w:t>
            </w:r>
            <w:r>
              <w:rPr>
                <w:rFonts w:hint="eastAsia" w:ascii="宋体" w:hAnsi="宋体" w:eastAsia="宋体" w:cs="宋体"/>
                <w:color w:val="auto"/>
                <w:szCs w:val="21"/>
                <w:highlight w:val="none"/>
              </w:rPr>
              <w:t>任何原因造成的损失、损坏或费用，</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不得因此使采购人承担有关的责任和蒙受损失。</w:t>
            </w:r>
          </w:p>
        </w:tc>
      </w:tr>
      <w:tr w14:paraId="66421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180FD0BB">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73983F7B">
            <w:pPr>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招标答疑</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0292E105">
            <w:pPr>
              <w:snapToGrid w:val="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投标人如认为采购文件表述不清晰、存在歧视性或者倾向性或者其他违法内容的，必须在</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w:t>
            </w:r>
            <w:bookmarkStart w:id="610" w:name="_GoBack"/>
            <w:bookmarkEnd w:id="610"/>
            <w:r>
              <w:rPr>
                <w:rFonts w:hint="eastAsia" w:ascii="宋体" w:hAnsi="宋体" w:eastAsia="宋体" w:cs="宋体"/>
                <w:color w:val="auto"/>
                <w:szCs w:val="21"/>
                <w:highlight w:val="none"/>
              </w:rPr>
              <w:t>日</w:t>
            </w:r>
            <w:r>
              <w:rPr>
                <w:rFonts w:hint="eastAsia" w:ascii="宋体" w:hAnsi="宋体" w:eastAsia="宋体" w:cs="宋体"/>
                <w:snapToGrid w:val="0"/>
                <w:color w:val="auto"/>
                <w:kern w:val="0"/>
                <w:szCs w:val="21"/>
                <w:highlight w:val="none"/>
              </w:rPr>
              <w:t>16时之前、将要求答疑的问题传真</w:t>
            </w:r>
            <w:r>
              <w:rPr>
                <w:rFonts w:hint="eastAsia" w:ascii="宋体" w:hAnsi="宋体" w:eastAsia="宋体" w:cs="宋体"/>
                <w:bCs/>
                <w:snapToGrid w:val="0"/>
                <w:color w:val="auto"/>
                <w:kern w:val="0"/>
                <w:szCs w:val="21"/>
                <w:highlight w:val="none"/>
              </w:rPr>
              <w:t>0571－88473430</w:t>
            </w:r>
            <w:r>
              <w:rPr>
                <w:rFonts w:hint="eastAsia" w:ascii="宋体" w:hAnsi="宋体" w:eastAsia="宋体" w:cs="宋体"/>
                <w:b/>
                <w:bCs/>
                <w:snapToGrid w:val="0"/>
                <w:color w:val="auto"/>
                <w:kern w:val="0"/>
                <w:szCs w:val="21"/>
                <w:highlight w:val="none"/>
              </w:rPr>
              <w:t>，</w:t>
            </w:r>
            <w:r>
              <w:rPr>
                <w:rFonts w:hint="eastAsia" w:ascii="宋体" w:hAnsi="宋体" w:eastAsia="宋体" w:cs="宋体"/>
                <w:snapToGrid w:val="0"/>
                <w:color w:val="auto"/>
                <w:kern w:val="0"/>
                <w:szCs w:val="21"/>
                <w:highlight w:val="none"/>
              </w:rPr>
              <w:t>并发电子邮件至zq017@163.com</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电子邮件与书面文件有不一致的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一律以书面文件为准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。截止期后的疑问将不予受理、答复。</w:t>
            </w:r>
            <w:r>
              <w:rPr>
                <w:rFonts w:hint="eastAsia" w:ascii="宋体" w:hAnsi="宋体" w:eastAsia="宋体" w:cs="宋体"/>
                <w:color w:val="auto"/>
                <w:szCs w:val="21"/>
                <w:highlight w:val="none"/>
              </w:rPr>
              <w:t>答疑回复内容是采购文件的组成部分，并将以书面形式送达所有已购买采购文件的投标人。</w:t>
            </w:r>
          </w:p>
        </w:tc>
      </w:tr>
      <w:tr w14:paraId="6DA38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58EB6399">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252B3C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采购文件的澄清与修改</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CC780A3">
            <w:pPr>
              <w:snapToGrid w:val="0"/>
              <w:ind w:right="105" w:rightChars="5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14:paraId="072AD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0234807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9C4D4F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投标文件形式</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5FB8F6EB">
            <w:pPr>
              <w:snapToGrid w:val="0"/>
              <w:ind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电子投标文件形式包括“电子加密投标文件”和“备份投标文件”，在投标文件编制完成后同时生成。</w:t>
            </w:r>
          </w:p>
          <w:p w14:paraId="59263DBE">
            <w:pPr>
              <w:numPr>
                <w:ilvl w:val="0"/>
                <w:numId w:val="0"/>
              </w:numPr>
              <w:snapToGrid w:val="0"/>
              <w:ind w:leftChars="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“电子加密投标文件”是指通过“政采云电子交易客户端”完成投标文件编制后生成并加密的数据电文形式的投标文件。</w:t>
            </w:r>
          </w:p>
          <w:p w14:paraId="20F63294">
            <w:pPr>
              <w:numPr>
                <w:ilvl w:val="0"/>
                <w:numId w:val="0"/>
              </w:numPr>
              <w:snapToGrid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“备份投标文件”是指与“电子加密投标文件”同时生成的数据电文形式的电子文件（备份标书，用于投标人标书解密异常时应急使用），其他方式编制的备份投标文件视为无效备份投标文件。</w:t>
            </w:r>
          </w:p>
        </w:tc>
      </w:tr>
      <w:tr w14:paraId="31B9D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7E0404D">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7B9A82FD">
            <w:pPr>
              <w:numPr>
                <w:ilvl w:val="0"/>
                <w:numId w:val="0"/>
              </w:numPr>
              <w:snapToGrid w:val="0"/>
              <w:ind w:leftChars="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C8837BB">
            <w:pPr>
              <w:numPr>
                <w:ilvl w:val="0"/>
                <w:numId w:val="0"/>
              </w:numPr>
              <w:snapToGrid w:val="0"/>
              <w:ind w:leftChars="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1.电子投标文件应包括资格响应文件、商务技术响应文件及报价响应文件三部分内容。</w:t>
            </w:r>
          </w:p>
          <w:p w14:paraId="21CB5F92">
            <w:pPr>
              <w:numPr>
                <w:ilvl w:val="0"/>
                <w:numId w:val="0"/>
              </w:numPr>
              <w:snapToGrid w:val="0"/>
              <w:ind w:leftChars="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2.如中标，中标供应商需根据采购人要求提供纸质投标文件至少两份。</w:t>
            </w:r>
          </w:p>
        </w:tc>
      </w:tr>
      <w:tr w14:paraId="62E0E5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66812D93">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97E977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投标文件的上传和递交</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23D466FD">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1.电子加密投标文件：投标文件制作完成并生成加密标书，在投标截止时间前，供应商需将加密的投标文件上传至政采云平台，在开标时间开始后30分钟内，解密投标文件。</w:t>
            </w:r>
          </w:p>
          <w:p w14:paraId="54F24D1F">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a.供应商</w:t>
            </w:r>
            <w:r>
              <w:rPr>
                <w:rFonts w:hint="eastAsia" w:ascii="宋体" w:hAnsi="宋体" w:eastAsia="宋体" w:cs="宋体"/>
                <w:b/>
                <w:bCs/>
                <w:color w:val="auto"/>
                <w:szCs w:val="21"/>
                <w:highlight w:val="none"/>
                <w:lang w:eastAsia="zh-CN"/>
              </w:rPr>
              <w:t>未在</w:t>
            </w:r>
            <w:r>
              <w:rPr>
                <w:rFonts w:hint="eastAsia" w:ascii="宋体" w:hAnsi="宋体" w:eastAsia="宋体" w:cs="宋体"/>
                <w:b/>
                <w:bCs/>
                <w:color w:val="auto"/>
                <w:szCs w:val="21"/>
                <w:highlight w:val="none"/>
              </w:rPr>
              <w:t>投标截止时间前成功上传电子加密投标文件的投标无效。</w:t>
            </w:r>
          </w:p>
          <w:p w14:paraId="5606BFB9">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b.供应商成功上传电子加密投标文件后，可自行打印投标文件接收回执。</w:t>
            </w:r>
          </w:p>
        </w:tc>
      </w:tr>
      <w:tr w14:paraId="106DF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14:paraId="63453513">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043F0648">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备份投标文件的制作、存储、密封</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2A81175F">
            <w:pPr>
              <w:snapToGrid w:val="0"/>
              <w:rPr>
                <w:rFonts w:hint="eastAsia" w:ascii="宋体" w:hAnsi="宋体" w:eastAsia="宋体" w:cs="宋体"/>
                <w:color w:val="auto"/>
                <w:highlight w:val="none"/>
              </w:rPr>
            </w:pPr>
            <w:r>
              <w:rPr>
                <w:rFonts w:hint="eastAsia" w:ascii="宋体" w:hAnsi="宋体" w:eastAsia="宋体" w:cs="宋体"/>
                <w:color w:val="auto"/>
                <w:highlight w:val="none"/>
              </w:rPr>
              <w:t>1.投标人在电子交易平台传输递交投标文件后，还可以在</w:t>
            </w:r>
            <w:r>
              <w:rPr>
                <w:rFonts w:hint="eastAsia" w:ascii="宋体" w:hAnsi="宋体" w:eastAsia="宋体" w:cs="宋体"/>
                <w:color w:val="auto"/>
                <w:szCs w:val="21"/>
                <w:highlight w:val="none"/>
              </w:rPr>
              <w:t>投标文件上传截止时间</w:t>
            </w:r>
            <w:r>
              <w:rPr>
                <w:rFonts w:hint="eastAsia" w:ascii="宋体" w:hAnsi="宋体" w:eastAsia="宋体" w:cs="宋体"/>
                <w:color w:val="auto"/>
                <w:highlight w:val="none"/>
              </w:rPr>
              <w:t>前直接提交或者以快递方式递交备份投标文件1份，但采购人、采购代理机构不强制或变相强制投标人提交备份投标文件。</w:t>
            </w:r>
          </w:p>
          <w:p w14:paraId="0DA2307A">
            <w:pPr>
              <w:snapToGrid w:val="0"/>
              <w:rPr>
                <w:rFonts w:hint="eastAsia" w:ascii="宋体" w:hAnsi="宋体" w:eastAsia="宋体" w:cs="宋体"/>
                <w:color w:val="auto"/>
                <w:highlight w:val="none"/>
              </w:rPr>
            </w:pPr>
            <w:r>
              <w:rPr>
                <w:rFonts w:hint="eastAsia" w:ascii="宋体" w:hAnsi="宋体" w:eastAsia="宋体" w:cs="宋体"/>
                <w:color w:val="auto"/>
                <w:highlight w:val="none"/>
              </w:rPr>
              <w:t>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14:paraId="76289D40">
            <w:pPr>
              <w:snapToGrid w:val="0"/>
              <w:rPr>
                <w:rFonts w:hint="eastAsia" w:ascii="宋体" w:hAnsi="宋体" w:eastAsia="宋体" w:cs="宋体"/>
                <w:color w:val="auto"/>
                <w:highlight w:val="none"/>
              </w:rPr>
            </w:pPr>
            <w:r>
              <w:rPr>
                <w:rFonts w:hint="eastAsia" w:ascii="宋体" w:hAnsi="宋体" w:eastAsia="宋体" w:cs="宋体"/>
                <w:color w:val="auto"/>
                <w:highlight w:val="none"/>
              </w:rPr>
              <w:t>3.直接提交备份投标文件的，投标人应于</w:t>
            </w:r>
            <w:r>
              <w:rPr>
                <w:rFonts w:hint="eastAsia" w:ascii="宋体" w:hAnsi="宋体" w:eastAsia="宋体" w:cs="宋体"/>
                <w:color w:val="auto"/>
                <w:szCs w:val="21"/>
                <w:highlight w:val="none"/>
              </w:rPr>
              <w:t>投标文件上传截止时间</w:t>
            </w:r>
            <w:r>
              <w:rPr>
                <w:rFonts w:hint="eastAsia" w:ascii="宋体" w:hAnsi="宋体" w:eastAsia="宋体" w:cs="宋体"/>
                <w:color w:val="auto"/>
                <w:highlight w:val="none"/>
              </w:rPr>
              <w:t>前将备份投标文件提交给采购代理机构，采购代理机构将拒绝接受逾期送达的备份投标文件。</w:t>
            </w:r>
          </w:p>
          <w:p w14:paraId="14D8F858">
            <w:pPr>
              <w:snapToGrid w:val="0"/>
              <w:rPr>
                <w:rFonts w:hint="eastAsia" w:ascii="宋体" w:hAnsi="宋体" w:eastAsia="宋体" w:cs="宋体"/>
                <w:color w:val="auto"/>
                <w:highlight w:val="none"/>
              </w:rPr>
            </w:pPr>
            <w:r>
              <w:rPr>
                <w:rFonts w:hint="eastAsia" w:ascii="宋体" w:hAnsi="宋体" w:eastAsia="宋体" w:cs="宋体"/>
                <w:color w:val="auto"/>
                <w:highlight w:val="none"/>
              </w:rPr>
              <w:t>4.以快递方式递交备份投标文件的，投标人应先将备份投标文件按要求密封和标记，再进行快递包装后邮寄。备份投标文件须在</w:t>
            </w:r>
            <w:r>
              <w:rPr>
                <w:rFonts w:hint="eastAsia" w:ascii="宋体" w:hAnsi="宋体" w:eastAsia="宋体" w:cs="宋体"/>
                <w:color w:val="auto"/>
                <w:szCs w:val="21"/>
                <w:highlight w:val="none"/>
              </w:rPr>
              <w:t>投标文件上传截止时间</w:t>
            </w:r>
            <w:r>
              <w:rPr>
                <w:rFonts w:hint="eastAsia" w:ascii="宋体" w:hAnsi="宋体" w:eastAsia="宋体" w:cs="宋体"/>
                <w:color w:val="auto"/>
                <w:highlight w:val="none"/>
              </w:rPr>
              <w:t>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042ECF4">
            <w:pPr>
              <w:snapToGrid w:val="0"/>
              <w:rPr>
                <w:rFonts w:hint="eastAsia" w:ascii="宋体" w:hAnsi="宋体" w:eastAsia="宋体" w:cs="宋体"/>
                <w:color w:val="auto"/>
                <w:highlight w:val="none"/>
              </w:rPr>
            </w:pPr>
            <w:r>
              <w:rPr>
                <w:rFonts w:hint="eastAsia" w:ascii="宋体" w:hAnsi="宋体" w:eastAsia="宋体" w:cs="宋体"/>
                <w:color w:val="auto"/>
                <w:highlight w:val="none"/>
              </w:rPr>
              <w:t>5投标人仅提交备份投标文件，没有在电子交易平台传输递交投标文件的，投标无效。</w:t>
            </w:r>
          </w:p>
          <w:p w14:paraId="2F10AC86">
            <w:pPr>
              <w:snapToGrid w:val="0"/>
              <w:rPr>
                <w:rFonts w:hint="eastAsia" w:ascii="宋体" w:hAnsi="宋体" w:eastAsia="宋体" w:cs="宋体"/>
                <w:color w:val="auto"/>
                <w:szCs w:val="21"/>
                <w:highlight w:val="none"/>
              </w:rPr>
            </w:pPr>
            <w:r>
              <w:rPr>
                <w:rFonts w:hint="eastAsia" w:ascii="宋体" w:hAnsi="宋体" w:eastAsia="宋体" w:cs="宋体"/>
                <w:b/>
                <w:bCs/>
                <w:color w:val="auto"/>
                <w:highlight w:val="none"/>
                <w:u w:val="single"/>
              </w:rPr>
              <w:t>6.通过“政府采购云平台”上传递交的投标文件无法按时解密，投标供应商递交了备份投标文件的，以备份投标文件为依据，否则按照《浙江省政府采购项目电子交易管理暂行办法</w:t>
            </w:r>
            <w:r>
              <w:rPr>
                <w:rFonts w:hint="eastAsia" w:ascii="宋体" w:hAnsi="宋体" w:eastAsia="宋体" w:cs="宋体"/>
                <w:b/>
                <w:bCs/>
                <w:color w:val="auto"/>
                <w:highlight w:val="none"/>
                <w:u w:val="single"/>
                <w:lang w:eastAsia="zh-CN"/>
              </w:rPr>
              <w:t>》第</w:t>
            </w:r>
            <w:r>
              <w:rPr>
                <w:rFonts w:hint="eastAsia" w:ascii="宋体" w:hAnsi="宋体" w:eastAsia="宋体" w:cs="宋体"/>
                <w:b/>
                <w:bCs/>
                <w:color w:val="auto"/>
                <w:highlight w:val="none"/>
                <w:u w:val="single"/>
              </w:rPr>
              <w:t>二十四条规定视为投标（响应）文件撤回。</w:t>
            </w:r>
          </w:p>
        </w:tc>
      </w:tr>
      <w:tr w14:paraId="466A3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14:paraId="41D28947">
            <w:pPr>
              <w:widowControl/>
              <w:jc w:val="left"/>
              <w:rPr>
                <w:rFonts w:hint="eastAsia" w:ascii="宋体" w:hAnsi="宋体" w:eastAsia="宋体" w:cs="宋体"/>
                <w:color w:val="auto"/>
                <w:szCs w:val="21"/>
                <w:highlight w:val="none"/>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77699F6">
            <w:pPr>
              <w:snapToGrid w:val="0"/>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备份投标文件送达地点和签收人员 </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9A11013">
            <w:pPr>
              <w:snapToGrid w:val="0"/>
              <w:rPr>
                <w:rFonts w:hint="eastAsia" w:ascii="宋体" w:hAnsi="宋体" w:eastAsia="宋体" w:cs="宋体"/>
                <w:color w:val="auto"/>
                <w:highlight w:val="none"/>
                <w:u w:val="single"/>
              </w:rPr>
            </w:pPr>
            <w:r>
              <w:rPr>
                <w:rFonts w:hint="eastAsia" w:ascii="宋体" w:hAnsi="宋体" w:eastAsia="宋体" w:cs="宋体"/>
                <w:color w:val="auto"/>
                <w:highlight w:val="none"/>
              </w:rPr>
              <w:t>1.备份投标文件送达的采购代理机构地点：</w:t>
            </w:r>
            <w:r>
              <w:rPr>
                <w:rFonts w:hint="eastAsia" w:ascii="宋体" w:hAnsi="宋体" w:eastAsia="宋体" w:cs="宋体"/>
                <w:color w:val="auto"/>
                <w:highlight w:val="none"/>
                <w:u w:val="single"/>
              </w:rPr>
              <w:t>浙江国际招投标有限公司305室（杭州市西湖区文三路90号东部软件园1号楼3楼）；</w:t>
            </w:r>
          </w:p>
          <w:p w14:paraId="165706E8">
            <w:pPr>
              <w:snapToGrid w:val="0"/>
              <w:rPr>
                <w:rFonts w:hint="eastAsia" w:ascii="宋体" w:hAnsi="宋体" w:eastAsia="宋体" w:cs="宋体"/>
                <w:color w:val="auto"/>
                <w:highlight w:val="none"/>
              </w:rPr>
            </w:pPr>
            <w:r>
              <w:rPr>
                <w:rFonts w:hint="eastAsia" w:ascii="宋体" w:hAnsi="宋体" w:eastAsia="宋体" w:cs="宋体"/>
                <w:color w:val="auto"/>
                <w:highlight w:val="none"/>
              </w:rPr>
              <w:t>2.备份投标文件签收/接收人员及联系电话：</w:t>
            </w:r>
          </w:p>
          <w:p w14:paraId="34071F29">
            <w:pPr>
              <w:snapToGrid w:val="0"/>
              <w:rPr>
                <w:rFonts w:hint="eastAsia" w:ascii="宋体" w:hAnsi="宋体" w:eastAsia="宋体" w:cs="宋体"/>
                <w:color w:val="auto"/>
                <w:highlight w:val="none"/>
                <w:u w:val="single"/>
              </w:rPr>
            </w:pPr>
            <w:r>
              <w:rPr>
                <w:rFonts w:hint="eastAsia" w:ascii="宋体" w:hAnsi="宋体" w:eastAsia="宋体" w:cs="宋体"/>
                <w:color w:val="auto"/>
                <w:highlight w:val="none"/>
              </w:rPr>
              <w:t>（1）签收/接收人员：</w:t>
            </w:r>
            <w:r>
              <w:rPr>
                <w:rFonts w:hint="eastAsia" w:ascii="宋体" w:hAnsi="宋体" w:eastAsia="宋体" w:cs="宋体"/>
                <w:color w:val="auto"/>
                <w:highlight w:val="none"/>
                <w:u w:val="single"/>
              </w:rPr>
              <w:t>周群峰、葛珍妮</w:t>
            </w:r>
          </w:p>
          <w:p w14:paraId="0060CD49">
            <w:pPr>
              <w:snapToGrid w:val="0"/>
              <w:rPr>
                <w:rFonts w:hint="eastAsia" w:ascii="宋体" w:hAnsi="宋体" w:eastAsia="宋体" w:cs="宋体"/>
                <w:color w:val="auto"/>
                <w:highlight w:val="none"/>
                <w:u w:val="single"/>
              </w:rPr>
            </w:pPr>
            <w:r>
              <w:rPr>
                <w:rFonts w:hint="eastAsia" w:ascii="宋体" w:hAnsi="宋体" w:eastAsia="宋体" w:cs="宋体"/>
                <w:color w:val="auto"/>
                <w:highlight w:val="none"/>
              </w:rPr>
              <w:t>（2）联系电话：</w:t>
            </w:r>
            <w:r>
              <w:rPr>
                <w:rFonts w:hint="eastAsia" w:ascii="宋体" w:hAnsi="宋体" w:eastAsia="宋体" w:cs="宋体"/>
                <w:color w:val="auto"/>
                <w:highlight w:val="none"/>
                <w:u w:val="single"/>
              </w:rPr>
              <w:t>0571-81061804、0571-88081687</w:t>
            </w:r>
          </w:p>
          <w:p w14:paraId="581BD967">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3.采购人、采购代理机构不强制或变相强制投标人提交备份投标文件。</w:t>
            </w:r>
          </w:p>
        </w:tc>
      </w:tr>
      <w:tr w14:paraId="0C134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150CF41C">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00FC5D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系统演示</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C703173">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本项目组织系统演示。</w:t>
            </w:r>
          </w:p>
          <w:p w14:paraId="6A90653B">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（1）评标时安排每个投标人进行系统演示，系统演示要求详见采购文件</w:t>
            </w:r>
            <w:r>
              <w:rPr>
                <w:rFonts w:hint="eastAsia" w:ascii="宋体" w:hAnsi="宋体" w:eastAsia="宋体" w:cs="宋体"/>
                <w:b w:val="0"/>
                <w:bCs/>
                <w:color w:val="auto"/>
                <w:szCs w:val="21"/>
                <w:highlight w:val="none"/>
                <w:lang w:val="en-US" w:eastAsia="zh-CN"/>
              </w:rPr>
              <w:t>第五部分</w:t>
            </w:r>
            <w:r>
              <w:rPr>
                <w:rFonts w:hint="eastAsia" w:ascii="宋体" w:hAnsi="宋体" w:eastAsia="宋体" w:cs="宋体"/>
                <w:b w:val="0"/>
                <w:bCs/>
                <w:color w:val="auto"/>
                <w:szCs w:val="21"/>
                <w:highlight w:val="none"/>
              </w:rPr>
              <w:t>评标</w:t>
            </w:r>
            <w:r>
              <w:rPr>
                <w:rFonts w:hint="eastAsia" w:ascii="宋体" w:hAnsi="宋体" w:eastAsia="宋体" w:cs="宋体"/>
                <w:b w:val="0"/>
                <w:bCs/>
                <w:color w:val="auto"/>
                <w:szCs w:val="21"/>
                <w:highlight w:val="none"/>
                <w:lang w:val="en-US" w:eastAsia="zh-CN"/>
              </w:rPr>
              <w:t>办法的演示要求</w:t>
            </w:r>
            <w:r>
              <w:rPr>
                <w:rFonts w:hint="eastAsia" w:ascii="宋体" w:hAnsi="宋体" w:eastAsia="宋体" w:cs="宋体"/>
                <w:b w:val="0"/>
                <w:bCs/>
                <w:color w:val="auto"/>
                <w:szCs w:val="21"/>
                <w:highlight w:val="none"/>
              </w:rPr>
              <w:t>。每个投标人时间不超过</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分钟，演示次序以投标文件解密时间先后次序为准，如遇不演示的投标人则自动至下一次序投标人。</w:t>
            </w:r>
          </w:p>
          <w:p w14:paraId="782B8CAF">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w:t>
            </w:r>
            <w:r>
              <w:rPr>
                <w:rFonts w:hint="eastAsia" w:ascii="宋体" w:hAnsi="宋体" w:eastAsia="宋体" w:cs="宋体"/>
                <w:b w:val="0"/>
                <w:bCs/>
                <w:color w:val="auto"/>
                <w:szCs w:val="21"/>
                <w:highlight w:val="none"/>
                <w:lang w:val="en-US" w:eastAsia="zh-CN"/>
              </w:rPr>
              <w:t>系统</w:t>
            </w:r>
            <w:r>
              <w:rPr>
                <w:rFonts w:hint="eastAsia" w:ascii="宋体" w:hAnsi="宋体" w:eastAsia="宋体" w:cs="宋体"/>
                <w:b w:val="0"/>
                <w:bCs/>
                <w:color w:val="auto"/>
                <w:szCs w:val="21"/>
                <w:highlight w:val="none"/>
              </w:rPr>
              <w:t>演示</w:t>
            </w:r>
            <w:r>
              <w:rPr>
                <w:rFonts w:hint="eastAsia" w:ascii="宋体" w:hAnsi="宋体" w:eastAsia="宋体" w:cs="宋体"/>
                <w:b w:val="0"/>
                <w:bCs/>
                <w:color w:val="auto"/>
                <w:szCs w:val="21"/>
                <w:highlight w:val="none"/>
                <w:lang w:val="en-US" w:eastAsia="zh-CN"/>
              </w:rPr>
              <w:t>方式</w:t>
            </w:r>
            <w:r>
              <w:rPr>
                <w:rFonts w:hint="eastAsia" w:ascii="宋体" w:hAnsi="宋体" w:eastAsia="宋体" w:cs="宋体"/>
                <w:b w:val="0"/>
                <w:bCs/>
                <w:color w:val="auto"/>
                <w:szCs w:val="21"/>
                <w:highlight w:val="none"/>
              </w:rPr>
              <w:t>：递交系统演示视频。</w:t>
            </w:r>
          </w:p>
          <w:p w14:paraId="50222744">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投标人采用递交系统演示视频方式的，应将按采购文件评分要求录制的视频（格式须为AVI、MPEG、MPEG-4、RM、RMVB等主流视频格式）同本表第1</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“备份投标文件递交要求”在提交投标文件截止时间前通过快递形式寄达或现场送达采购代理机构处，（邮寄/送达地址：杭州市西湖区文三路90号东部软件园1号楼3楼305室，接收人：</w:t>
            </w:r>
            <w:r>
              <w:rPr>
                <w:rFonts w:hint="eastAsia" w:ascii="宋体" w:hAnsi="宋体" w:eastAsia="宋体" w:cs="宋体"/>
                <w:color w:val="auto"/>
                <w:highlight w:val="none"/>
                <w:u w:val="single"/>
              </w:rPr>
              <w:t>周群峰、葛珍妮</w:t>
            </w:r>
            <w:r>
              <w:rPr>
                <w:rFonts w:hint="eastAsia" w:ascii="宋体" w:hAnsi="宋体" w:eastAsia="宋体" w:cs="宋体"/>
                <w:b w:val="0"/>
                <w:bCs/>
                <w:color w:val="auto"/>
                <w:szCs w:val="21"/>
                <w:highlight w:val="none"/>
              </w:rPr>
              <w:t>，电话：</w:t>
            </w:r>
            <w:r>
              <w:rPr>
                <w:rFonts w:hint="eastAsia" w:ascii="宋体" w:hAnsi="宋体" w:eastAsia="宋体" w:cs="宋体"/>
                <w:color w:val="auto"/>
                <w:highlight w:val="none"/>
                <w:u w:val="single"/>
              </w:rPr>
              <w:t>0571-81061804、0571-88081687</w:t>
            </w:r>
            <w:r>
              <w:rPr>
                <w:rFonts w:hint="eastAsia" w:ascii="宋体" w:hAnsi="宋体" w:eastAsia="宋体" w:cs="宋体"/>
                <w:b w:val="0"/>
                <w:bCs/>
                <w:color w:val="auto"/>
                <w:szCs w:val="21"/>
                <w:highlight w:val="none"/>
              </w:rPr>
              <w:t>）。</w:t>
            </w:r>
          </w:p>
          <w:p w14:paraId="25BCAC49">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未按上述要求在提交投标文件截止时间后密封送达的，不予接收；未递交系统演示视频的视为自动放弃系统演示，采购文件第五部分中评标细则及标准中的系统演示部分不得分，但不会导致投标无效。</w:t>
            </w:r>
          </w:p>
          <w:p w14:paraId="5C161C5D">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因投标人自身原因导致无法演示或者演示效果不理想的，责任自负。因平台原因导致本项目方案讲解演示环节无法顺利开展，按照《浙江省政府采购项目电子交易管理暂行办法》相关规定执行。</w:t>
            </w:r>
          </w:p>
        </w:tc>
      </w:tr>
      <w:tr w14:paraId="0BEF6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411424B3">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02C9CA1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投标文件、流程文件签章</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7DA5E2D">
            <w:pPr>
              <w:numPr>
                <w:ilvl w:val="0"/>
                <w:numId w:val="5"/>
              </w:num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电子投标文件必须有电子签章；</w:t>
            </w:r>
          </w:p>
          <w:p w14:paraId="0CA64D14">
            <w:pPr>
              <w:numPr>
                <w:ilvl w:val="0"/>
                <w:numId w:val="5"/>
              </w:num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开标后，相关信息记录确认、澄清说明、回复等内容，电子签章或者签章后上传相关文件，均认可；</w:t>
            </w:r>
          </w:p>
          <w:p w14:paraId="217FD696">
            <w:pPr>
              <w:pStyle w:val="9"/>
              <w:numPr>
                <w:ilvl w:val="0"/>
                <w:numId w:val="5"/>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政采云系统平台有新的操作流程的，按其规定。</w:t>
            </w:r>
          </w:p>
        </w:tc>
      </w:tr>
      <w:tr w14:paraId="0EE71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29FB180">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7967CA2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CDC30B4">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14:paraId="58936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32070F9D">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7FC4DDC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95AD216">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2024年12月16日</w:t>
            </w:r>
            <w:r>
              <w:rPr>
                <w:rFonts w:hint="eastAsia" w:ascii="宋体" w:hAnsi="宋体" w:eastAsia="宋体" w:cs="宋体"/>
                <w:color w:val="auto"/>
                <w:kern w:val="0"/>
                <w:szCs w:val="21"/>
                <w:highlight w:val="none"/>
              </w:rPr>
              <w:t>09:00（北京时间）</w:t>
            </w:r>
          </w:p>
        </w:tc>
      </w:tr>
      <w:tr w14:paraId="70CB2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95963AE">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DAD75E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56A9C11">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1.采购代理机构按照采购文件规定的时间通过电子交易平台组织开标，所有投标人均应当准时在线参加。投标人不足3家的，不得开标。</w:t>
            </w:r>
          </w:p>
          <w:p w14:paraId="4E539F83">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2.开标时，采购代理机构点击【开始解密】，供应商应在 30 分钟内完成解密。供应商在规定的时间内都已完成解密，则系统自动结束解密；供应商超过解密时限，默认自动放弃；</w:t>
            </w:r>
          </w:p>
          <w:p w14:paraId="7A31ABEC">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异常处理：如供应商在开标时因遗失CA或其他原因导致解密不成功时，如供应商已按规定递交了“备份投标文件”的，采购代理机构通过【异常处理】端口对备份投标文件上传、解密。</w:t>
            </w:r>
          </w:p>
          <w:p w14:paraId="21D57AA6">
            <w:pPr>
              <w:adjustRightInd w:val="0"/>
              <w:snapToGrid w:val="0"/>
              <w:ind w:left="15" w:hanging="15" w:hangingChars="7"/>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收到政采云系统中包含投标人名单等信息的相关询标函后30分钟内，供应商把填写完整且经授权代表签署的《政府采购活动现场确认声明书》（格式见采购文件第七部分）扫描件在线提交或发送至指定邮箱zq017@163.com；</w:t>
            </w:r>
          </w:p>
          <w:p w14:paraId="62D0DE53">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说明：不填写或未按规定发出邮件的，视同默认不存在确认声明书中的相关违规情形。</w:t>
            </w:r>
          </w:p>
          <w:p w14:paraId="1982E549">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4.采购组织机构点击【开启标书信息】，开启标书成功后进入开标流程。</w:t>
            </w:r>
          </w:p>
          <w:p w14:paraId="1FD73A12">
            <w:pPr>
              <w:pStyle w:val="9"/>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5.政采云系统平台有新的操作流程的，按其规定。</w:t>
            </w:r>
          </w:p>
        </w:tc>
      </w:tr>
      <w:tr w14:paraId="63DB4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DEB715A">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6069A52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9E13DC4">
            <w:pPr>
              <w:adjustRightInd w:val="0"/>
              <w:snapToGrid w:val="0"/>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1.开标后，由采购人或采购代理机构代表根据采购文件的规定对投标人的基本资格条件、落实政府采购政策需满足的资格要求、特定资格条件及政府采购政策条件要求进行审查。</w:t>
            </w:r>
          </w:p>
          <w:p w14:paraId="16DB3796">
            <w:pPr>
              <w:adjustRightInd w:val="0"/>
              <w:snapToGrid w:val="0"/>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2.投标人未按照采购文件要求提供与基本资格条件、落实政府采购政策需满足的资格要求、特定资格条件等相应的有效资格证明材料的，视为投标人不具备采购文件中规定的资格要求，其投标无效；投标人存在政府采购规定的投标限制情形的，其投标无效。</w:t>
            </w:r>
          </w:p>
          <w:p w14:paraId="176A6103">
            <w:pPr>
              <w:adjustRightInd w:val="0"/>
              <w:snapToGrid w:val="0"/>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3.对未通过资格审查的投标人，采购人或采购代理机构告知其未通过的原因。</w:t>
            </w:r>
          </w:p>
          <w:p w14:paraId="22E3F95E">
            <w:pPr>
              <w:adjustRightInd w:val="0"/>
              <w:snapToGrid w:val="0"/>
              <w:ind w:left="15" w:hanging="14" w:hangingChars="7"/>
              <w:rPr>
                <w:rFonts w:hint="eastAsia" w:ascii="宋体" w:hAnsi="宋体" w:eastAsia="宋体" w:cs="宋体"/>
                <w:color w:val="auto"/>
                <w:szCs w:val="21"/>
                <w:highlight w:val="none"/>
              </w:rPr>
            </w:pPr>
            <w:r>
              <w:rPr>
                <w:rFonts w:hint="eastAsia" w:ascii="宋体" w:hAnsi="宋体" w:eastAsia="宋体" w:cs="宋体"/>
                <w:color w:val="auto"/>
                <w:highlight w:val="none"/>
              </w:rPr>
              <w:t>4.合格投标人不足3家的，不再评标。</w:t>
            </w:r>
          </w:p>
        </w:tc>
      </w:tr>
      <w:tr w14:paraId="245E48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5314AA53">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7982A2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230E6BF">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符合性评审：依据采购文件的规定，对商务技术响应文件的有效性、完整性和对采购文件的响应程度进行审查，以确定是否对采购文件的实质性要求作出响应。具体审查内容见采购文件第五部分评标办法中第5条“无效投标的认定”。</w:t>
            </w:r>
          </w:p>
          <w:p w14:paraId="021C73B3">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商务技术评分：由评标委员会对各投标人的技术商务内容充分审核后，独立评分。</w:t>
            </w:r>
          </w:p>
          <w:p w14:paraId="36C200E7">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商务技术评分汇总</w:t>
            </w:r>
          </w:p>
          <w:p w14:paraId="71A858FC">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商务技术结果公布；采购代理机构公布符合性审查、商务技术评审无效供应商名称及理由；公布经商务技术评审后有效投标供应商的名单及其商务技术部分得分情况。</w:t>
            </w:r>
          </w:p>
          <w:p w14:paraId="67F2CE94">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开启报价响应文件：采购代理机构成功开启报价响应文件后，方可查看各供应商报价情况。</w:t>
            </w:r>
          </w:p>
          <w:p w14:paraId="09C573C3">
            <w:pPr>
              <w:pStyle w:val="10"/>
              <w:snapToGrid w:val="0"/>
              <w:rPr>
                <w:rFonts w:hint="eastAsia" w:ascii="宋体" w:hAnsi="宋体" w:eastAsia="宋体" w:cs="宋体"/>
                <w:color w:val="auto"/>
                <w:highlight w:val="none"/>
              </w:rPr>
            </w:pPr>
            <w:r>
              <w:rPr>
                <w:rFonts w:hint="eastAsia" w:ascii="宋体" w:hAnsi="宋体" w:eastAsia="宋体" w:cs="宋体"/>
                <w:color w:val="auto"/>
                <w:highlight w:val="none"/>
              </w:rPr>
              <w:t>电子交易平台公布开标一览表有关内容，采购代理机构开启报价确认，供应商应在报价确认开启后30分钟内予以确认，不予确认的应说明理由，否则视为无异议。</w:t>
            </w:r>
          </w:p>
          <w:p w14:paraId="573456A2">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报价评审：由评标委员会对报价响应文件的有效性和报价的合理性、准确性等进行审查核实。</w:t>
            </w:r>
          </w:p>
          <w:p w14:paraId="30868DCE">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得分汇总。</w:t>
            </w:r>
          </w:p>
          <w:p w14:paraId="52DC803A">
            <w:pPr>
              <w:pStyle w:val="10"/>
              <w:numPr>
                <w:ilvl w:val="0"/>
                <w:numId w:val="6"/>
              </w:numPr>
              <w:snapToGrid w:val="0"/>
              <w:rPr>
                <w:rFonts w:hint="eastAsia" w:ascii="宋体" w:hAnsi="宋体" w:eastAsia="宋体" w:cs="宋体"/>
                <w:color w:val="auto"/>
                <w:highlight w:val="none"/>
              </w:rPr>
            </w:pPr>
            <w:r>
              <w:rPr>
                <w:rFonts w:hint="eastAsia" w:ascii="宋体" w:hAnsi="宋体" w:eastAsia="宋体" w:cs="宋体"/>
                <w:color w:val="auto"/>
                <w:highlight w:val="none"/>
              </w:rPr>
              <w:t>结果公布：供应商可通过在线平台查看评审结果。</w:t>
            </w:r>
          </w:p>
          <w:p w14:paraId="7C336B9B">
            <w:pPr>
              <w:pStyle w:val="10"/>
              <w:snapToGrid w:val="0"/>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注：除邮件交互外，如政采云平台提供信息发布、澄清说明、数据交换等操作方式的，或者</w:t>
            </w:r>
            <w:r>
              <w:rPr>
                <w:rFonts w:hint="eastAsia" w:ascii="宋体" w:hAnsi="宋体" w:eastAsia="宋体" w:cs="宋体"/>
                <w:color w:val="auto"/>
                <w:szCs w:val="24"/>
                <w:highlight w:val="none"/>
              </w:rPr>
              <w:t>政采云系统平台有新的操作流程的，按其规定</w:t>
            </w:r>
            <w:r>
              <w:rPr>
                <w:rFonts w:hint="eastAsia" w:ascii="宋体" w:hAnsi="宋体" w:eastAsia="宋体" w:cs="宋体"/>
                <w:color w:val="auto"/>
                <w:highlight w:val="none"/>
              </w:rPr>
              <w:t>。</w:t>
            </w:r>
          </w:p>
        </w:tc>
      </w:tr>
      <w:tr w14:paraId="0DF3F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7487DAA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34D2F6B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询标澄清</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0A83E37">
            <w:pPr>
              <w:pStyle w:val="1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自行承担由此可能导致的对其不利的评审结果，评标委员会按少数服从多数原则对相关内容进行评判。</w:t>
            </w:r>
          </w:p>
        </w:tc>
      </w:tr>
      <w:tr w14:paraId="74F54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1666614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8862D6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77653F6">
            <w:pPr>
              <w:snapToGrid w:val="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投标文件在</w:t>
            </w:r>
            <w:r>
              <w:rPr>
                <w:rFonts w:hint="eastAsia" w:ascii="宋体" w:hAnsi="宋体" w:eastAsia="宋体" w:cs="宋体"/>
                <w:color w:val="auto"/>
                <w:highlight w:val="none"/>
              </w:rPr>
              <w:t>提交投标文件的截止之日起算</w:t>
            </w:r>
            <w:r>
              <w:rPr>
                <w:rFonts w:hint="eastAsia" w:ascii="宋体" w:hAnsi="宋体" w:eastAsia="宋体" w:cs="宋体"/>
                <w:snapToGrid w:val="0"/>
                <w:color w:val="auto"/>
                <w:kern w:val="0"/>
                <w:szCs w:val="21"/>
                <w:highlight w:val="none"/>
              </w:rPr>
              <w:t>90个日历天内有效</w:t>
            </w:r>
            <w:r>
              <w:rPr>
                <w:rFonts w:hint="eastAsia" w:ascii="宋体" w:hAnsi="宋体" w:eastAsia="宋体" w:cs="宋体"/>
                <w:color w:val="auto"/>
                <w:szCs w:val="21"/>
                <w:highlight w:val="none"/>
              </w:rPr>
              <w:t>，不足有效期的，其投标视为无效标。</w:t>
            </w:r>
          </w:p>
        </w:tc>
      </w:tr>
      <w:tr w14:paraId="30AAA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7D64D77C">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E3E996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12A60E4">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（一）履约保证金收取</w:t>
            </w:r>
          </w:p>
          <w:p w14:paraId="7E4D253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签订合同后中标供应商向采购人（浙江省社会主义学院）缴纳合同总金额的1%作为履约保证金。缴纳方式：中标供应商应当以支票、汇票、本票或者金融机构、担保机构出具的保函等非现金形式提交。</w:t>
            </w:r>
          </w:p>
          <w:p w14:paraId="77E24BA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（二）履约保证金退还</w:t>
            </w:r>
          </w:p>
          <w:p w14:paraId="49BEDA41">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采购人在验收结束之后30个工作日内无息退还履约保证金。</w:t>
            </w:r>
          </w:p>
          <w:p w14:paraId="6B372474">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办理履约保证金退还手续时，中标供应商凭以下材料办理退保手续。</w:t>
            </w:r>
          </w:p>
          <w:p w14:paraId="193810E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（1）由采购人开具的交入履约保证金往来款收据原件（如无法提供原件的，提供复印件及采购单位开具的收据）；</w:t>
            </w:r>
          </w:p>
          <w:p w14:paraId="25F0A3B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（2）合同原件或复印件一份；</w:t>
            </w:r>
          </w:p>
          <w:p w14:paraId="6942C9F7">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（3）使用单位的验收证明（需两人以上签名并盖章）；</w:t>
            </w:r>
          </w:p>
          <w:p w14:paraId="4E84C066">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（4）保证金交入时的银行回单复印件；</w:t>
            </w:r>
          </w:p>
          <w:p w14:paraId="6B43CC1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（5）如原账户发生变更，提供说明和账户变更资料。</w:t>
            </w:r>
          </w:p>
        </w:tc>
      </w:tr>
      <w:tr w14:paraId="294B4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0F53F520">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337FCBC">
            <w:pPr>
              <w:adjustRightInd w:val="0"/>
              <w:snapToGrid w:val="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t>公告发布媒体</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03A561EC">
            <w:pPr>
              <w:pStyle w:val="10"/>
              <w:adjustRightInd w:val="0"/>
              <w:snapToGrid w:val="0"/>
              <w:rPr>
                <w:rFonts w:hint="eastAsia" w:ascii="宋体" w:hAnsi="宋体" w:eastAsia="宋体" w:cs="宋体"/>
                <w:color w:val="auto"/>
                <w:sz w:val="24"/>
                <w:highlight w:val="none"/>
              </w:rPr>
            </w:pPr>
            <w:r>
              <w:rPr>
                <w:rFonts w:hint="eastAsia" w:ascii="宋体" w:hAnsi="宋体" w:eastAsia="宋体" w:cs="宋体"/>
                <w:color w:val="auto"/>
                <w:kern w:val="0"/>
                <w:highlight w:val="none"/>
              </w:rPr>
              <w:t>浙江政府采购网</w:t>
            </w:r>
          </w:p>
        </w:tc>
      </w:tr>
      <w:tr w14:paraId="384AA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14:paraId="14884C26">
            <w:pPr>
              <w:adjustRightIn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29</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14:paraId="29B3C78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1E25A028">
            <w:pPr>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根据《中华人民共和国政府采购法》第五十二条、《中华人民共和国政府采购法实施条例》第五十三条、《政府采购质疑和投诉办法》的规定：</w:t>
            </w:r>
          </w:p>
          <w:p w14:paraId="7A706656">
            <w:pPr>
              <w:snapToGrid w:val="0"/>
              <w:rPr>
                <w:rFonts w:hint="eastAsia" w:ascii="宋体" w:hAnsi="宋体" w:eastAsia="宋体" w:cs="宋体"/>
                <w:b/>
                <w:bCs/>
                <w:snapToGrid w:val="0"/>
                <w:color w:val="auto"/>
                <w:kern w:val="0"/>
                <w:szCs w:val="21"/>
                <w:highlight w:val="none"/>
              </w:rPr>
            </w:pPr>
            <w:r>
              <w:rPr>
                <w:rFonts w:hint="eastAsia" w:ascii="宋体" w:hAnsi="宋体" w:eastAsia="宋体" w:cs="宋体"/>
                <w:snapToGrid w:val="0"/>
                <w:color w:val="auto"/>
                <w:kern w:val="0"/>
                <w:szCs w:val="21"/>
                <w:highlight w:val="none"/>
              </w:rPr>
              <w:t>投标人认为采购（招标）文件、采购过程、中标或者成交结果使自己的权益受到损害的，可以在知道或者应知其权益受到损害之日起7个工作日内，以书面形式向采购人、采购代理机构提出质疑。</w:t>
            </w:r>
          </w:p>
        </w:tc>
      </w:tr>
      <w:tr w14:paraId="55D0F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14:paraId="40C33E5A">
            <w:pPr>
              <w:widowControl/>
              <w:jc w:val="left"/>
              <w:rPr>
                <w:rFonts w:hint="eastAsia" w:ascii="宋体" w:hAnsi="宋体" w:eastAsia="宋体" w:cs="宋体"/>
                <w:snapToGrid w:val="0"/>
                <w:color w:val="auto"/>
                <w:kern w:val="0"/>
                <w:szCs w:val="21"/>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14:paraId="47CE6972">
            <w:pPr>
              <w:widowControl/>
              <w:jc w:val="left"/>
              <w:rPr>
                <w:rFonts w:hint="eastAsia" w:ascii="宋体" w:hAnsi="宋体" w:eastAsia="宋体" w:cs="宋体"/>
                <w:color w:val="auto"/>
                <w:szCs w:val="21"/>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14:paraId="5ED070A1">
            <w:pPr>
              <w:snapToGrid w:val="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依据《政府采购质疑和投诉办法》第十条第二款规定，</w:t>
            </w:r>
            <w:r>
              <w:rPr>
                <w:rFonts w:hint="eastAsia" w:ascii="宋体" w:hAnsi="宋体" w:eastAsia="宋体" w:cs="宋体"/>
                <w:snapToGrid w:val="0"/>
                <w:color w:val="auto"/>
                <w:kern w:val="0"/>
                <w:szCs w:val="21"/>
                <w:highlight w:val="none"/>
              </w:rPr>
              <w:t>本项目要求投标人在法定质疑期内一次性提出针对同一采购程序环节的质疑。投标人在法定质疑期内多</w:t>
            </w:r>
            <w:r>
              <w:rPr>
                <w:rFonts w:hint="eastAsia" w:ascii="宋体" w:hAnsi="宋体" w:eastAsia="宋体" w:cs="宋体"/>
                <w:snapToGrid w:val="0"/>
                <w:color w:val="auto"/>
                <w:kern w:val="0"/>
                <w:szCs w:val="21"/>
                <w:highlight w:val="none"/>
                <w:lang w:val="en-US" w:eastAsia="zh-CN"/>
              </w:rPr>
              <w:t>次</w:t>
            </w:r>
            <w:r>
              <w:rPr>
                <w:rFonts w:hint="eastAsia" w:ascii="宋体" w:hAnsi="宋体" w:eastAsia="宋体" w:cs="宋体"/>
                <w:snapToGrid w:val="0"/>
                <w:color w:val="auto"/>
                <w:kern w:val="0"/>
                <w:szCs w:val="21"/>
                <w:highlight w:val="none"/>
              </w:rPr>
              <w:t>提出针对同一采购程序环节的质疑的，采购人或采购代理机构只受理该投标人的第一次有效质疑。</w:t>
            </w:r>
          </w:p>
        </w:tc>
      </w:tr>
      <w:tr w14:paraId="5B4FC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F3A69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F10EB7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9FF5801">
            <w:pPr>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w:t>
            </w:r>
            <w:r>
              <w:rPr>
                <w:rFonts w:hint="eastAsia" w:ascii="宋体" w:hAnsi="宋体" w:eastAsia="宋体" w:cs="宋体"/>
                <w:snapToGrid w:val="0"/>
                <w:color w:val="auto"/>
                <w:kern w:val="0"/>
                <w:szCs w:val="21"/>
                <w:highlight w:val="none"/>
                <w:lang w:eastAsia="zh-CN"/>
              </w:rPr>
              <w:t>中华人民共和国政府采购法</w:t>
            </w:r>
            <w:r>
              <w:rPr>
                <w:rFonts w:hint="eastAsia" w:ascii="宋体" w:hAnsi="宋体" w:eastAsia="宋体" w:cs="宋体"/>
                <w:snapToGrid w:val="0"/>
                <w:color w:val="auto"/>
                <w:kern w:val="0"/>
                <w:szCs w:val="21"/>
                <w:highlight w:val="none"/>
              </w:rPr>
              <w:t>》第五十五条的规定，质疑供应商对采购人、采购代理机构的答复不满意或者采购人、采购代理机构未在规定的时间内作出答复的，可以在答复期满后十五个工作日内向同级政府采购监督管理部门投诉。</w:t>
            </w:r>
          </w:p>
          <w:p w14:paraId="267F7549">
            <w:pPr>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以联合体形式参加政府采购活动的，其投诉应当由组成联合体的所有供应商共同提出。</w:t>
            </w:r>
          </w:p>
        </w:tc>
      </w:tr>
      <w:tr w14:paraId="1ED8E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1BB13E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60277E0">
            <w:pPr>
              <w:snapToGrid w:val="0"/>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特别说明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67B8F402">
            <w:pPr>
              <w:pStyle w:val="10"/>
              <w:adjustRightInd w:val="0"/>
              <w:snapToGrid w:val="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应无条件地、认真仔细地、不厌其烦地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14:paraId="622891AF">
            <w:pPr>
              <w:pStyle w:val="10"/>
              <w:adjustRightInd w:val="0"/>
              <w:snapToGrid w:val="0"/>
              <w:rPr>
                <w:rFonts w:hint="eastAsia" w:ascii="宋体" w:hAnsi="宋体" w:eastAsia="宋体" w:cs="宋体"/>
                <w:b/>
                <w:color w:val="auto"/>
                <w:highlight w:val="none"/>
              </w:rPr>
            </w:pPr>
            <w:r>
              <w:rPr>
                <w:rFonts w:hint="eastAsia" w:ascii="宋体" w:hAnsi="宋体" w:eastAsia="宋体" w:cs="宋体"/>
                <w:snapToGrid w:val="0"/>
                <w:color w:val="auto"/>
                <w:kern w:val="0"/>
                <w:highlight w:val="none"/>
              </w:rPr>
              <w:t>2.本项目中标结果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tc>
      </w:tr>
      <w:tr w14:paraId="226E5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257109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01120710">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采购代理服务费</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C608547">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1.收取方式：本项目的采购代理服务费由中标供应商在本项目合同签订前一次性向采购代理机构支付。</w:t>
            </w:r>
          </w:p>
          <w:p w14:paraId="69BABD4C">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2.代理服务费用收取标准：本项目代理服务费用按照《招标代理服务收费管理暂行办法》（计价格</w:t>
            </w:r>
            <w:r>
              <w:rPr>
                <w:rFonts w:hint="eastAsia" w:ascii="宋体" w:hAnsi="宋体" w:eastAsia="宋体" w:cs="宋体"/>
                <w:color w:val="auto"/>
                <w:sz w:val="21"/>
                <w:szCs w:val="21"/>
                <w:highlight w:val="none"/>
                <w:lang w:eastAsia="zh-CN"/>
              </w:rPr>
              <w:t>〔2002〕1980号</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0"/>
                <w:szCs w:val="20"/>
                <w:highlight w:val="none"/>
              </w:rPr>
              <w:t>的70%计取</w:t>
            </w:r>
            <w:r>
              <w:rPr>
                <w:rFonts w:hint="eastAsia" w:ascii="宋体" w:hAnsi="宋体" w:eastAsia="宋体" w:cs="宋体"/>
                <w:color w:val="auto"/>
                <w:sz w:val="21"/>
                <w:szCs w:val="21"/>
                <w:highlight w:val="none"/>
              </w:rPr>
              <w:t>，以中标金额为计费基数，按费率</w:t>
            </w:r>
            <w:r>
              <w:rPr>
                <w:rFonts w:hint="eastAsia" w:ascii="宋体" w:hAnsi="宋体" w:eastAsia="宋体" w:cs="宋体"/>
                <w:color w:val="auto"/>
                <w:sz w:val="21"/>
                <w:szCs w:val="21"/>
                <w:highlight w:val="none"/>
                <w:lang w:eastAsia="zh-CN"/>
              </w:rPr>
              <w:t>差额定率</w:t>
            </w:r>
            <w:r>
              <w:rPr>
                <w:rFonts w:hint="eastAsia" w:ascii="宋体" w:hAnsi="宋体" w:eastAsia="宋体" w:cs="宋体"/>
                <w:color w:val="auto"/>
                <w:sz w:val="21"/>
                <w:szCs w:val="21"/>
                <w:highlight w:val="none"/>
              </w:rPr>
              <w:t>累进计取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单个项目或标项按以上约定的收费标准计算代理服务费不足人民币5000元时，按人民币5000元计取。</w:t>
            </w:r>
          </w:p>
          <w:p w14:paraId="4CF4D44C">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3.支付形式及账号：</w:t>
            </w:r>
          </w:p>
          <w:p w14:paraId="55EBB0F0">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支付形式：汇票/支票/电汇/现金</w:t>
            </w:r>
          </w:p>
          <w:p w14:paraId="22E08440">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支付账户 ：</w:t>
            </w:r>
          </w:p>
          <w:p w14:paraId="2A2B9A1F">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收款单位（户名）：浙江国际招投标有限公司</w:t>
            </w:r>
          </w:p>
          <w:p w14:paraId="7F9D6242">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户：中国工商银行杭州市武林支行</w:t>
            </w:r>
          </w:p>
          <w:p w14:paraId="6748C11B">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号：1202021209906782015</w:t>
            </w:r>
          </w:p>
          <w:p w14:paraId="5C414CC5">
            <w:pPr>
              <w:pStyle w:val="22"/>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.支付流程：中标供应商按照</w:t>
            </w:r>
            <w:r>
              <w:rPr>
                <w:rFonts w:hint="eastAsia" w:ascii="宋体" w:hAnsi="宋体" w:eastAsia="宋体" w:cs="宋体"/>
                <w:color w:val="auto"/>
                <w:sz w:val="21"/>
                <w:szCs w:val="21"/>
                <w:highlight w:val="none"/>
                <w:lang w:eastAsia="zh-CN"/>
              </w:rPr>
              <w:t>中标结果公告</w:t>
            </w:r>
            <w:r>
              <w:rPr>
                <w:rFonts w:hint="eastAsia" w:ascii="宋体" w:hAnsi="宋体" w:eastAsia="宋体" w:cs="宋体"/>
                <w:color w:val="auto"/>
                <w:sz w:val="21"/>
                <w:szCs w:val="21"/>
                <w:highlight w:val="none"/>
              </w:rPr>
              <w:t>确定金额支付至采购代理机构账户后将汇款底单、开票信息和发票邮寄地址发送至zq017@163.com，采购代理机构在收到邮件后开具发票并及时寄送给中标供应商。</w:t>
            </w:r>
          </w:p>
        </w:tc>
      </w:tr>
      <w:tr w14:paraId="0839F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5ECA9F3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snapToGrid w:val="0"/>
                <w:color w:val="auto"/>
                <w:kern w:val="0"/>
                <w:highlight w:val="none"/>
              </w:rPr>
              <w:t>33</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758CBB1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采购项目需要落实的政府采购政策</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8168D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EFBCA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2.支持绿色发展</w:t>
            </w:r>
          </w:p>
          <w:p w14:paraId="39D581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w:t>
            </w:r>
          </w:p>
          <w:p w14:paraId="714CFF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修缮、装修类项目采购建材的，采购人应将绿色建筑和绿色建材性能、指标等作为实质性条件纳入招标文件和合同。</w:t>
            </w:r>
          </w:p>
          <w:p w14:paraId="22A71A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C4ED8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3.支持中小企业发展</w:t>
            </w:r>
          </w:p>
          <w:p w14:paraId="7CC7A8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D70EF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3135525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3.2在政府采购活动中，供应商提供的货物、工程或者服务符合下列情形的，享受中小企业扶持政策：</w:t>
            </w:r>
          </w:p>
          <w:p w14:paraId="42B540B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3.2.1在货物采购项目中，货物由中小企业制造，即货物由中小企业生产且使用该中小企业商号或者注册商标；</w:t>
            </w:r>
          </w:p>
          <w:p w14:paraId="5C389A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3.2.2在工程采购项目中，工程由中小企业承建，即工程施工单位为中小企业；</w:t>
            </w:r>
          </w:p>
          <w:p w14:paraId="1A423CC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3.2.3在服务采购项目中，服务由中小企业承接，即提供服务的人员为中小企业依照《中华人民共和国劳动合同法》订立劳动合同的从业人员。</w:t>
            </w:r>
          </w:p>
          <w:p w14:paraId="4CBE234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在货物采购项目中，供应商提供的货物既有中小企业制造货物，也有大型企业制造货物的，不享受中小企业扶持政策。</w:t>
            </w:r>
          </w:p>
          <w:p w14:paraId="53DDF0C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3E1474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14:paraId="5EAE9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3.4符合《关于促进残疾人就业政府采购政策的通知》（财库〔2017〕141号）规定的条件并提供《残疾人福利性单位声明函》（附件1）的残疾人福利性单位视同小型、微型企业；</w:t>
            </w:r>
          </w:p>
          <w:p w14:paraId="4734C5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3.5符合《关于政府采购支持监狱企业发展有关问题的通知》（财库</w:t>
            </w:r>
            <w:r>
              <w:rPr>
                <w:rFonts w:hint="eastAsia" w:ascii="宋体" w:hAnsi="宋体" w:eastAsia="宋体" w:cs="宋体"/>
                <w:color w:val="auto"/>
                <w:szCs w:val="21"/>
                <w:highlight w:val="none"/>
                <w:lang w:eastAsia="zh-CN"/>
              </w:rPr>
              <w:t>〔2014〕68号</w:t>
            </w:r>
            <w:r>
              <w:rPr>
                <w:rFonts w:hint="eastAsia" w:ascii="宋体" w:hAnsi="宋体" w:eastAsia="宋体" w:cs="宋体"/>
                <w:color w:val="auto"/>
                <w:szCs w:val="21"/>
                <w:highlight w:val="none"/>
              </w:rPr>
              <w:t>）规定的监狱企业并提供由省级以上监狱管理局、戒毒管理局（含新疆生产建设兵团）出具的属于监狱企业证明文件的，视同为小型、微型企业。</w:t>
            </w:r>
          </w:p>
          <w:p w14:paraId="789DB9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152ACC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3.7中小企业享受扶持政策获得政府采购合同的，小微企业不得将合同分包给大中型企业，中型企业不得将合同分包给大型企业。</w:t>
            </w:r>
          </w:p>
          <w:p w14:paraId="08BB08D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4.支持创新发展</w:t>
            </w:r>
          </w:p>
          <w:p w14:paraId="1A1BEF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采购人优先采购被认定为首台套产品和“制造精品”的自主创新产品。</w:t>
            </w:r>
          </w:p>
          <w:p w14:paraId="6F8F6E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57E72F7">
            <w:pPr>
              <w:rPr>
                <w:rFonts w:hint="eastAsia" w:ascii="宋体" w:hAnsi="宋体" w:eastAsia="宋体" w:cs="宋体"/>
                <w:color w:val="auto"/>
                <w:szCs w:val="21"/>
                <w:highlight w:val="none"/>
              </w:rPr>
            </w:pPr>
            <w:bookmarkStart w:id="26" w:name="_Toc30762"/>
            <w:bookmarkStart w:id="27" w:name="_Toc14177"/>
            <w:bookmarkStart w:id="28" w:name="_Toc13269"/>
            <w:bookmarkStart w:id="29" w:name="_Toc4991"/>
            <w:bookmarkStart w:id="30" w:name="_Toc28403"/>
            <w:r>
              <w:rPr>
                <w:rFonts w:hint="eastAsia" w:ascii="宋体" w:hAnsi="宋体" w:eastAsia="宋体" w:cs="宋体"/>
                <w:color w:val="auto"/>
                <w:highlight w:val="none"/>
              </w:rPr>
              <w:t>5.其他政府采购需执行的政策。</w:t>
            </w:r>
            <w:bookmarkEnd w:id="26"/>
            <w:bookmarkEnd w:id="27"/>
            <w:bookmarkEnd w:id="28"/>
            <w:bookmarkEnd w:id="29"/>
            <w:bookmarkEnd w:id="30"/>
          </w:p>
        </w:tc>
      </w:tr>
      <w:tr w14:paraId="62492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4" w:space="0"/>
              <w:right w:val="single" w:color="auto" w:sz="6" w:space="0"/>
            </w:tcBorders>
            <w:noWrap w:val="0"/>
            <w:vAlign w:val="center"/>
          </w:tcPr>
          <w:p w14:paraId="72BC9A6A">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34</w:t>
            </w:r>
          </w:p>
        </w:tc>
        <w:tc>
          <w:tcPr>
            <w:tcW w:w="1729" w:type="dxa"/>
            <w:tcBorders>
              <w:top w:val="single" w:color="auto" w:sz="6" w:space="0"/>
              <w:left w:val="single" w:color="auto" w:sz="6" w:space="0"/>
              <w:bottom w:val="single" w:color="auto" w:sz="4" w:space="0"/>
              <w:right w:val="single" w:color="auto" w:sz="6" w:space="0"/>
            </w:tcBorders>
            <w:noWrap w:val="0"/>
            <w:vAlign w:val="center"/>
          </w:tcPr>
          <w:p w14:paraId="1EB95010">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信息安全要求</w:t>
            </w:r>
          </w:p>
        </w:tc>
        <w:tc>
          <w:tcPr>
            <w:tcW w:w="6809" w:type="dxa"/>
            <w:tcBorders>
              <w:top w:val="single" w:color="auto" w:sz="6" w:space="0"/>
              <w:left w:val="single" w:color="auto" w:sz="6" w:space="0"/>
              <w:bottom w:val="single" w:color="auto" w:sz="4" w:space="0"/>
              <w:right w:val="double" w:color="auto" w:sz="4" w:space="0"/>
            </w:tcBorders>
            <w:noWrap w:val="0"/>
            <w:vAlign w:val="center"/>
          </w:tcPr>
          <w:p w14:paraId="1371E2AE">
            <w:pP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本项目无信息安全要求。</w:t>
            </w:r>
          </w:p>
          <w:p w14:paraId="4EDFE859">
            <w:pPr>
              <w:adjustRightInd w:val="0"/>
              <w:snapToGrid w:val="0"/>
              <w:rPr>
                <w:rFonts w:hint="eastAsia" w:ascii="宋体" w:hAnsi="宋体" w:eastAsia="宋体" w:cs="宋体"/>
                <w:color w:val="auto"/>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highlight w:val="none"/>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14:paraId="20A19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1A999">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35</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BCE7D8">
            <w:pPr>
              <w:jc w:val="center"/>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rPr>
              <w:t>是否允许采购进口产品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F8D73D">
            <w:pP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本项目不允许采购进口产品。</w:t>
            </w:r>
          </w:p>
          <w:p w14:paraId="24D8F170">
            <w:pPr>
              <w:rPr>
                <w:rFonts w:hint="eastAsia" w:ascii="宋体" w:hAnsi="宋体" w:eastAsia="宋体" w:cs="宋体"/>
                <w:color w:val="auto"/>
                <w:highlight w:val="none"/>
              </w:rPr>
            </w:pPr>
            <w:r>
              <w:rPr>
                <w:rFonts w:hint="eastAsia" w:ascii="宋体" w:hAnsi="宋体" w:eastAsia="宋体" w:cs="宋体"/>
                <w:color w:val="auto"/>
                <w:kern w:val="0"/>
                <w:szCs w:val="21"/>
                <w:highlight w:val="none"/>
              </w:rPr>
              <w:t>☐ 本项目允许采购进口产品。</w:t>
            </w:r>
          </w:p>
        </w:tc>
      </w:tr>
      <w:tr w14:paraId="1C82B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116D9">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36</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22B67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项目属性与核心产品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DF3061">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货物类，单一产品或</w:t>
            </w:r>
            <w:r>
              <w:rPr>
                <w:rFonts w:hint="eastAsia" w:ascii="宋体" w:hAnsi="宋体" w:eastAsia="宋体" w:cs="宋体"/>
                <w:color w:val="auto"/>
                <w:kern w:val="0"/>
                <w:szCs w:val="21"/>
                <w:highlight w:val="none"/>
              </w:rPr>
              <w:t>核心产品为：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A2CE9B2">
            <w:pP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服务类。</w:t>
            </w:r>
          </w:p>
        </w:tc>
      </w:tr>
      <w:tr w14:paraId="3E497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039F0">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37</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2D9325">
            <w:pPr>
              <w:snapToGrid w:val="0"/>
              <w:jc w:val="center"/>
              <w:rPr>
                <w:rFonts w:hint="eastAsia" w:ascii="宋体" w:hAnsi="宋体" w:eastAsia="宋体" w:cs="宋体"/>
                <w:snapToGrid w:val="0"/>
                <w:color w:val="auto"/>
                <w:kern w:val="0"/>
                <w:highlight w:val="none"/>
              </w:rPr>
            </w:pPr>
            <w:r>
              <w:rPr>
                <w:rFonts w:hint="eastAsia" w:ascii="宋体" w:hAnsi="宋体" w:eastAsia="宋体" w:cs="宋体"/>
                <w:bCs/>
                <w:color w:val="auto"/>
                <w:szCs w:val="21"/>
                <w:highlight w:val="none"/>
              </w:rPr>
              <w:t>采购标的对应的中小企业划分标准所属行业</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EC88E9">
            <w:pPr>
              <w:rPr>
                <w:rFonts w:hint="eastAsia" w:ascii="宋体" w:hAnsi="宋体" w:eastAsia="宋体" w:cs="宋体"/>
                <w:b/>
                <w:bCs/>
                <w:color w:val="auto"/>
                <w:highlight w:val="none"/>
                <w:u w:val="single"/>
              </w:rPr>
            </w:pPr>
            <w:bookmarkStart w:id="31" w:name="_Toc9884"/>
            <w:bookmarkStart w:id="32" w:name="_Toc25726"/>
            <w:bookmarkStart w:id="33" w:name="_Toc12704"/>
            <w:bookmarkStart w:id="34" w:name="_Toc2572"/>
            <w:bookmarkStart w:id="35" w:name="_Toc10868"/>
            <w:bookmarkStart w:id="36" w:name="_Toc3371"/>
            <w:r>
              <w:rPr>
                <w:rFonts w:hint="eastAsia" w:ascii="宋体" w:hAnsi="宋体" w:eastAsia="宋体" w:cs="宋体"/>
                <w:color w:val="auto"/>
                <w:highlight w:val="none"/>
              </w:rPr>
              <w:t>本项目的采购标的：</w:t>
            </w:r>
            <w:r>
              <w:rPr>
                <w:rFonts w:hint="eastAsia" w:ascii="宋体" w:hAnsi="宋体" w:eastAsia="宋体" w:cs="宋体"/>
                <w:b/>
                <w:bCs/>
                <w:color w:val="auto"/>
                <w:highlight w:val="none"/>
                <w:u w:val="single"/>
                <w:lang w:eastAsia="zh-CN"/>
              </w:rPr>
              <w:t>“智慧教务”（2.0）建设项目</w:t>
            </w:r>
            <w:r>
              <w:rPr>
                <w:rFonts w:hint="eastAsia" w:ascii="宋体" w:hAnsi="宋体" w:eastAsia="宋体" w:cs="宋体"/>
                <w:b/>
                <w:bCs/>
                <w:color w:val="auto"/>
                <w:highlight w:val="none"/>
                <w:u w:val="single"/>
              </w:rPr>
              <w:t>；</w:t>
            </w:r>
            <w:bookmarkEnd w:id="31"/>
            <w:bookmarkEnd w:id="32"/>
            <w:bookmarkEnd w:id="33"/>
            <w:bookmarkEnd w:id="34"/>
            <w:bookmarkEnd w:id="35"/>
            <w:bookmarkEnd w:id="36"/>
          </w:p>
          <w:p w14:paraId="4134AB67">
            <w:pPr>
              <w:rPr>
                <w:rFonts w:hint="eastAsia" w:ascii="宋体" w:hAnsi="宋体" w:eastAsia="宋体" w:cs="宋体"/>
                <w:color w:val="auto"/>
                <w:highlight w:val="none"/>
              </w:rPr>
            </w:pPr>
            <w:bookmarkStart w:id="37" w:name="_Toc27718"/>
            <w:bookmarkStart w:id="38" w:name="_Toc25942"/>
            <w:bookmarkStart w:id="39" w:name="_Toc9299"/>
            <w:bookmarkStart w:id="40" w:name="_Toc8765"/>
            <w:bookmarkStart w:id="41" w:name="_Toc437"/>
            <w:bookmarkStart w:id="42" w:name="_Toc9673"/>
            <w:r>
              <w:rPr>
                <w:rFonts w:hint="eastAsia" w:ascii="宋体" w:hAnsi="宋体" w:eastAsia="宋体" w:cs="宋体"/>
                <w:color w:val="auto"/>
                <w:highlight w:val="none"/>
              </w:rPr>
              <w:t>本项目属于中小企业划分标准所属行业中的</w:t>
            </w:r>
            <w:r>
              <w:rPr>
                <w:rFonts w:hint="eastAsia" w:ascii="宋体" w:hAnsi="宋体" w:eastAsia="宋体" w:cs="宋体"/>
                <w:b/>
                <w:bCs/>
                <w:color w:val="auto"/>
                <w:highlight w:val="none"/>
                <w:u w:val="single"/>
              </w:rPr>
              <w:t xml:space="preserve"> 软件和信息技术服务业 </w:t>
            </w:r>
            <w:r>
              <w:rPr>
                <w:rFonts w:hint="eastAsia" w:ascii="宋体" w:hAnsi="宋体" w:eastAsia="宋体" w:cs="宋体"/>
                <w:color w:val="auto"/>
                <w:highlight w:val="none"/>
              </w:rPr>
              <w:t>行业</w:t>
            </w:r>
            <w:bookmarkEnd w:id="37"/>
            <w:bookmarkEnd w:id="38"/>
            <w:bookmarkEnd w:id="39"/>
            <w:bookmarkEnd w:id="40"/>
            <w:bookmarkEnd w:id="41"/>
            <w:bookmarkEnd w:id="42"/>
            <w:r>
              <w:rPr>
                <w:rFonts w:hint="eastAsia" w:ascii="宋体" w:hAnsi="宋体" w:eastAsia="宋体" w:cs="宋体"/>
                <w:color w:val="auto"/>
                <w:highlight w:val="none"/>
              </w:rPr>
              <w:t>；</w:t>
            </w:r>
          </w:p>
          <w:p w14:paraId="538010D8">
            <w:pPr>
              <w:rPr>
                <w:rFonts w:hint="eastAsia" w:ascii="宋体" w:hAnsi="宋体" w:eastAsia="宋体" w:cs="宋体"/>
                <w:color w:val="auto"/>
                <w:highlight w:val="none"/>
              </w:rPr>
            </w:pPr>
            <w:r>
              <w:rPr>
                <w:rFonts w:hint="eastAsia" w:ascii="宋体" w:hAnsi="宋体" w:eastAsia="宋体" w:cs="宋体"/>
                <w:color w:val="auto"/>
                <w:highlight w:val="none"/>
              </w:rPr>
              <w:t>软件和信息技术服务业</w:t>
            </w:r>
            <w:r>
              <w:rPr>
                <w:rFonts w:hint="eastAsia" w:ascii="宋体" w:hAnsi="宋体" w:eastAsia="宋体" w:cs="宋体"/>
                <w:bCs/>
                <w:color w:val="auto"/>
                <w:szCs w:val="21"/>
                <w:highlight w:val="none"/>
              </w:rPr>
              <w:t>划分标准：</w:t>
            </w:r>
            <w:r>
              <w:rPr>
                <w:rFonts w:hint="eastAsia" w:ascii="宋体" w:hAnsi="宋体" w:eastAsia="宋体" w:cs="宋体"/>
                <w:b/>
                <w:bCs/>
                <w:color w:val="auto"/>
                <w:spacing w:val="6"/>
                <w:szCs w:val="21"/>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3AB3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ED33C">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38</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7CF03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是否专门面向</w:t>
            </w:r>
          </w:p>
          <w:p w14:paraId="275B11B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中小微企业采购</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FA2AA1">
            <w:pPr>
              <w:rPr>
                <w:rFonts w:hint="eastAsia" w:ascii="宋体" w:hAnsi="宋体" w:eastAsia="宋体" w:cs="宋体"/>
                <w:b/>
                <w:bCs/>
                <w:color w:val="auto"/>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highlight w:val="none"/>
              </w:rPr>
              <w:t>本项目专门面向中小企业采购</w:t>
            </w:r>
          </w:p>
          <w:p w14:paraId="219AF744">
            <w:p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 xml:space="preserve">☐ </w:t>
            </w:r>
            <w:r>
              <w:rPr>
                <w:rFonts w:hint="eastAsia" w:ascii="宋体" w:hAnsi="宋体" w:eastAsia="宋体" w:cs="宋体"/>
                <w:b w:val="0"/>
                <w:bCs w:val="0"/>
                <w:color w:val="auto"/>
                <w:highlight w:val="none"/>
              </w:rPr>
              <w:t>本项目非专门面向中小企业采购</w:t>
            </w:r>
          </w:p>
          <w:p w14:paraId="3EC7F13A">
            <w:pPr>
              <w:pStyle w:val="7"/>
              <w:rPr>
                <w:rFonts w:hint="eastAsia" w:ascii="宋体" w:hAnsi="宋体" w:eastAsia="宋体" w:cs="宋体"/>
                <w:color w:val="auto"/>
                <w:kern w:val="0"/>
                <w:szCs w:val="21"/>
                <w:highlight w:val="none"/>
              </w:rPr>
            </w:pPr>
            <w:r>
              <w:rPr>
                <w:rFonts w:hint="eastAsia" w:ascii="宋体" w:hAnsi="宋体" w:eastAsia="宋体" w:cs="宋体"/>
                <w:color w:val="auto"/>
                <w:highlight w:val="none"/>
              </w:rPr>
              <w:t>供应商应提供符合《政府采购促进中小企业发展管理办法》规定的中小企业声明函，</w:t>
            </w:r>
            <w:r>
              <w:rPr>
                <w:rFonts w:hint="eastAsia" w:ascii="宋体" w:hAnsi="宋体" w:eastAsia="宋体" w:cs="宋体"/>
                <w:color w:val="auto"/>
                <w:spacing w:val="-1"/>
                <w:highlight w:val="none"/>
              </w:rPr>
              <w:t>否则不得享受相关中小企业扶持政策</w:t>
            </w:r>
            <w:r>
              <w:rPr>
                <w:rFonts w:hint="eastAsia" w:ascii="宋体" w:hAnsi="宋体" w:eastAsia="宋体" w:cs="宋体"/>
                <w:color w:val="auto"/>
                <w:highlight w:val="none"/>
              </w:rPr>
              <w:t>。本项目不</w:t>
            </w:r>
            <w:r>
              <w:rPr>
                <w:rFonts w:hint="eastAsia" w:ascii="宋体" w:hAnsi="宋体" w:eastAsia="宋体" w:cs="宋体"/>
                <w:color w:val="auto"/>
                <w:spacing w:val="-1"/>
                <w:highlight w:val="none"/>
              </w:rPr>
              <w:t>要求供应商提供《中小企业声明函》之外的中小企业身份证明文件。</w:t>
            </w:r>
          </w:p>
        </w:tc>
      </w:tr>
      <w:tr w14:paraId="1A2ED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0F620">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39</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4F3594">
            <w:pPr>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采购人是否允许分包</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FA7A1">
            <w:pP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2"/>
                <w:sz w:val="21"/>
                <w:szCs w:val="24"/>
                <w:highlight w:val="none"/>
                <w:lang w:val="en-US" w:eastAsia="zh-CN" w:bidi="ar-SA"/>
              </w:rPr>
              <w:t>本项目系统开发和运维是主体、关键性工作，不得分包；同意非主体、非关键性工作分包，供应商拟将本项目进行分包又符合价格优惠政策的，应在投标文件中提供分包意向协议，否则不予享受价格优惠政策。</w:t>
            </w:r>
          </w:p>
          <w:p w14:paraId="27FF4079">
            <w:pPr>
              <w:rPr>
                <w:rFonts w:hint="eastAsia" w:ascii="宋体" w:hAnsi="宋体" w:eastAsia="宋体" w:cs="宋体"/>
                <w:color w:val="auto"/>
                <w:szCs w:val="21"/>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bCs/>
                <w:color w:val="auto"/>
                <w:kern w:val="0"/>
                <w:szCs w:val="21"/>
                <w:highlight w:val="none"/>
              </w:rPr>
              <w:t xml:space="preserve"> </w:t>
            </w:r>
            <w:r>
              <w:rPr>
                <w:rFonts w:hint="eastAsia" w:ascii="宋体" w:hAnsi="宋体" w:eastAsia="宋体" w:cs="宋体"/>
                <w:b w:val="0"/>
                <w:bCs w:val="0"/>
                <w:color w:val="auto"/>
                <w:szCs w:val="21"/>
                <w:highlight w:val="none"/>
              </w:rPr>
              <w:t>不同意分包。</w:t>
            </w:r>
          </w:p>
        </w:tc>
      </w:tr>
      <w:tr w14:paraId="4C148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14:paraId="667D586D">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40</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14:paraId="08555816">
            <w:pPr>
              <w:adjustRightInd w:val="0"/>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投标人信用信息事项</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96AEF58">
            <w:pPr>
              <w:adjustRightInd w:val="0"/>
              <w:snapToGrid w:val="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信用信息查询渠道及截止时间：采购代理机构将通过“信用中国”网站（www.creditchina.gov.cn</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、中国政府采购网（www.ccgp.gov.cn）等渠道查询投标人投标截止时间当天的信用记录。</w:t>
            </w:r>
          </w:p>
        </w:tc>
      </w:tr>
      <w:tr w14:paraId="36A6D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14:paraId="0680564E">
            <w:pPr>
              <w:widowControl/>
              <w:jc w:val="left"/>
              <w:rPr>
                <w:rFonts w:hint="eastAsia" w:ascii="宋体" w:hAnsi="宋体" w:eastAsia="宋体" w:cs="宋体"/>
                <w:snapToGrid w:val="0"/>
                <w:color w:val="auto"/>
                <w:kern w:val="0"/>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14:paraId="518B8CAC">
            <w:pPr>
              <w:widowControl/>
              <w:jc w:val="left"/>
              <w:rPr>
                <w:rFonts w:hint="eastAsia" w:ascii="宋体" w:hAnsi="宋体" w:eastAsia="宋体" w:cs="宋体"/>
                <w:snapToGrid w:val="0"/>
                <w:color w:val="auto"/>
                <w:kern w:val="0"/>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CECE22A">
            <w:pPr>
              <w:adjustRightInd w:val="0"/>
              <w:snapToGrid w:val="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信用信息查询记录和证据留存的具体方式：采购代理机构开标当天查询投标人的信用记录，查询结果经确认后与采购文件一起存档。</w:t>
            </w:r>
          </w:p>
        </w:tc>
      </w:tr>
      <w:tr w14:paraId="5A8E66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14:paraId="556FA81F">
            <w:pPr>
              <w:widowControl/>
              <w:jc w:val="left"/>
              <w:rPr>
                <w:rFonts w:hint="eastAsia" w:ascii="宋体" w:hAnsi="宋体" w:eastAsia="宋体" w:cs="宋体"/>
                <w:snapToGrid w:val="0"/>
                <w:color w:val="auto"/>
                <w:kern w:val="0"/>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14:paraId="3CF00031">
            <w:pPr>
              <w:widowControl/>
              <w:jc w:val="left"/>
              <w:rPr>
                <w:rFonts w:hint="eastAsia" w:ascii="宋体" w:hAnsi="宋体" w:eastAsia="宋体" w:cs="宋体"/>
                <w:snapToGrid w:val="0"/>
                <w:color w:val="auto"/>
                <w:kern w:val="0"/>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14:paraId="3341AEA9">
            <w:pPr>
              <w:adjustRightInd w:val="0"/>
              <w:snapToGrid w:val="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信用信息的使用规则：经查询列入失信被执行人名单、重大税收违法案件当事人名单、政府采购严重违法失信行为记录名单的投标人的投标文件将被拒绝。</w:t>
            </w:r>
          </w:p>
        </w:tc>
      </w:tr>
      <w:tr w14:paraId="6240ED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14:paraId="5A053F8A">
            <w:pPr>
              <w:widowControl/>
              <w:jc w:val="left"/>
              <w:rPr>
                <w:rFonts w:hint="eastAsia" w:ascii="宋体" w:hAnsi="宋体" w:eastAsia="宋体" w:cs="宋体"/>
                <w:snapToGrid w:val="0"/>
                <w:color w:val="auto"/>
                <w:kern w:val="0"/>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14:paraId="775DC067">
            <w:pPr>
              <w:widowControl/>
              <w:jc w:val="left"/>
              <w:rPr>
                <w:rFonts w:hint="eastAsia" w:ascii="宋体" w:hAnsi="宋体" w:eastAsia="宋体" w:cs="宋体"/>
                <w:snapToGrid w:val="0"/>
                <w:color w:val="auto"/>
                <w:kern w:val="0"/>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14:paraId="42331FF6">
            <w:pPr>
              <w:adjustRightInd w:val="0"/>
              <w:snapToGrid w:val="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50B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14:paraId="3910D7BE">
            <w:pPr>
              <w:widowControl/>
              <w:jc w:val="center"/>
              <w:rPr>
                <w:rFonts w:hint="eastAsia" w:ascii="宋体" w:hAnsi="宋体" w:eastAsia="宋体" w:cs="宋体"/>
                <w:snapToGrid w:val="0"/>
                <w:color w:val="auto"/>
                <w:kern w:val="0"/>
                <w:highlight w:val="none"/>
              </w:rPr>
            </w:pPr>
            <w:bookmarkStart w:id="43" w:name="_Toc251566649"/>
            <w:bookmarkStart w:id="44" w:name="_Toc240450076"/>
            <w:r>
              <w:rPr>
                <w:rFonts w:hint="eastAsia" w:ascii="宋体" w:hAnsi="宋体" w:eastAsia="宋体" w:cs="宋体"/>
                <w:snapToGrid w:val="0"/>
                <w:color w:val="auto"/>
                <w:kern w:val="0"/>
                <w:highlight w:val="none"/>
              </w:rPr>
              <w:t>41</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80DE04D">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联合体投标说明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14:paraId="78E3BB5C">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1.业绩证明材料</w:t>
            </w:r>
          </w:p>
          <w:p w14:paraId="345B94C6">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联合体投标的，由联合体牵头方出具相应的业绩证明材料。</w:t>
            </w:r>
          </w:p>
          <w:p w14:paraId="433884FA">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2.其他资信证明材料</w:t>
            </w:r>
          </w:p>
          <w:p w14:paraId="033E86AA">
            <w:pPr>
              <w:adjustRightInd w:val="0"/>
              <w:snapToGrid w:val="0"/>
              <w:spacing w:line="32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联合体投标的，联合体各方均需按招标文件第五部分评标标准要求提供资信证明文件，否则视为不符合相关要求。</w:t>
            </w:r>
          </w:p>
        </w:tc>
      </w:tr>
      <w:tr w14:paraId="4B100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double" w:color="auto" w:sz="4" w:space="0"/>
              <w:right w:val="single" w:color="auto" w:sz="6" w:space="0"/>
            </w:tcBorders>
            <w:noWrap w:val="0"/>
            <w:vAlign w:val="center"/>
          </w:tcPr>
          <w:p w14:paraId="514D2C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729" w:type="dxa"/>
            <w:tcBorders>
              <w:top w:val="single" w:color="auto" w:sz="6" w:space="0"/>
              <w:left w:val="single" w:color="auto" w:sz="6" w:space="0"/>
              <w:bottom w:val="double" w:color="auto" w:sz="4" w:space="0"/>
              <w:right w:val="single" w:color="auto" w:sz="6" w:space="0"/>
            </w:tcBorders>
            <w:noWrap w:val="0"/>
            <w:vAlign w:val="center"/>
          </w:tcPr>
          <w:p w14:paraId="286E5112">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0"/>
                <w:highlight w:val="none"/>
              </w:rPr>
              <w:t>其他</w:t>
            </w:r>
          </w:p>
        </w:tc>
        <w:tc>
          <w:tcPr>
            <w:tcW w:w="6809" w:type="dxa"/>
            <w:tcBorders>
              <w:top w:val="single" w:color="auto" w:sz="6" w:space="0"/>
              <w:left w:val="single" w:color="auto" w:sz="6" w:space="0"/>
              <w:bottom w:val="double" w:color="auto" w:sz="4" w:space="0"/>
              <w:right w:val="double" w:color="auto" w:sz="4" w:space="0"/>
            </w:tcBorders>
            <w:noWrap w:val="0"/>
            <w:vAlign w:val="center"/>
          </w:tcPr>
          <w:p w14:paraId="5B30E7F5">
            <w:pPr>
              <w:adjustRightInd w:val="0"/>
              <w:snapToGrid w:val="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1.采购文件中凡标注“▲”的条款均为实质性要求，不响应的投标文件将作无效标处理。</w:t>
            </w:r>
          </w:p>
          <w:p w14:paraId="34618297">
            <w:pPr>
              <w:adjustRightInd w:val="0"/>
              <w:snapToGrid w:val="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2.供应商未上传电子加密投标文件，其投标无效。</w:t>
            </w:r>
          </w:p>
          <w:p w14:paraId="16995742">
            <w:pPr>
              <w:adjustRightInd w:val="0"/>
              <w:snapToGrid w:val="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3.供应商上传了电子加密投标文件，未提供备份投标文件，解密出现问题后，由此导致对该供应商投标无法评审的，其后果由该供应商自行承担。</w:t>
            </w:r>
          </w:p>
          <w:p w14:paraId="010F5A68">
            <w:pPr>
              <w:adjustRightInd w:val="0"/>
              <w:snapToGrid w:val="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4.各供应商自行在浙江政府采购网下载或查阅采购文件和相关更正公告等，不另行通知，如有遗漏采购人、采购代理机构概不负责。</w:t>
            </w:r>
          </w:p>
          <w:p w14:paraId="1EB08B9A">
            <w:pPr>
              <w:adjustRightInd w:val="0"/>
              <w:snapToGrid w:val="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5.两家或两家以上供应商提供的投标文件出自同一终端设备的，或在相同Internet主机分配地址（相同IP地址）报名或网上投标的，后果由供应商自行承担。</w:t>
            </w:r>
          </w:p>
        </w:tc>
      </w:tr>
    </w:tbl>
    <w:p w14:paraId="37EF50F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注：以上内容如有变化将另行公告通知。如通知其中某一内容发生变化，其余未提及的将不作变动，采购文件其他内容与本表内容要求不一致的，以本表内容为准。</w:t>
      </w:r>
    </w:p>
    <w:p w14:paraId="724648C8">
      <w:pPr>
        <w:adjustRightInd w:val="0"/>
        <w:snapToGrid w:val="0"/>
        <w:spacing w:before="166" w:beforeLines="50" w:after="166" w:afterLines="50"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45" w:name="_Toc7321"/>
      <w:bookmarkStart w:id="46" w:name="_Toc25288"/>
      <w:bookmarkStart w:id="47" w:name="_Toc2187"/>
      <w:bookmarkStart w:id="48" w:name="_Toc28379"/>
      <w:bookmarkStart w:id="49" w:name="_Toc5457"/>
      <w:bookmarkStart w:id="50" w:name="_Toc2654"/>
      <w:r>
        <w:rPr>
          <w:rFonts w:hint="eastAsia" w:ascii="宋体" w:hAnsi="宋体" w:eastAsia="宋体" w:cs="宋体"/>
          <w:b/>
          <w:color w:val="auto"/>
          <w:sz w:val="30"/>
          <w:szCs w:val="30"/>
          <w:highlight w:val="none"/>
        </w:rPr>
        <w:t>第二部分  投标须知</w:t>
      </w:r>
      <w:bookmarkEnd w:id="43"/>
      <w:bookmarkEnd w:id="44"/>
      <w:bookmarkEnd w:id="45"/>
      <w:bookmarkEnd w:id="46"/>
      <w:bookmarkEnd w:id="47"/>
      <w:bookmarkEnd w:id="48"/>
      <w:bookmarkEnd w:id="49"/>
      <w:bookmarkEnd w:id="50"/>
    </w:p>
    <w:p w14:paraId="46F548B2">
      <w:pPr>
        <w:pStyle w:val="4"/>
        <w:snapToGrid w:val="0"/>
        <w:spacing w:before="0" w:after="0" w:line="360" w:lineRule="auto"/>
        <w:rPr>
          <w:rFonts w:hint="eastAsia" w:ascii="宋体" w:hAnsi="宋体" w:eastAsia="宋体" w:cs="宋体"/>
          <w:color w:val="auto"/>
          <w:sz w:val="21"/>
          <w:szCs w:val="21"/>
          <w:highlight w:val="none"/>
        </w:rPr>
      </w:pPr>
      <w:bookmarkStart w:id="51" w:name="_Toc12000"/>
      <w:bookmarkStart w:id="52" w:name="_Toc4430"/>
      <w:bookmarkStart w:id="53" w:name="_Toc251566650"/>
      <w:bookmarkStart w:id="54" w:name="_Toc22479"/>
      <w:bookmarkStart w:id="55" w:name="_Toc20774"/>
      <w:bookmarkStart w:id="56" w:name="_Toc19191"/>
      <w:bookmarkStart w:id="57" w:name="_Toc240450077"/>
      <w:bookmarkStart w:id="58" w:name="_Toc23042"/>
      <w:r>
        <w:rPr>
          <w:rFonts w:hint="eastAsia" w:ascii="宋体" w:hAnsi="宋体" w:eastAsia="宋体" w:cs="宋体"/>
          <w:color w:val="auto"/>
          <w:sz w:val="21"/>
          <w:szCs w:val="21"/>
          <w:highlight w:val="none"/>
        </w:rPr>
        <w:t>一、总则</w:t>
      </w:r>
      <w:bookmarkEnd w:id="51"/>
      <w:bookmarkEnd w:id="52"/>
      <w:bookmarkEnd w:id="53"/>
      <w:bookmarkEnd w:id="54"/>
      <w:bookmarkEnd w:id="55"/>
      <w:bookmarkEnd w:id="56"/>
      <w:bookmarkEnd w:id="57"/>
      <w:bookmarkEnd w:id="58"/>
    </w:p>
    <w:p w14:paraId="7F4C13CA">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本次招标工作是按照《中华人民共和国政府采购法》、《中华人民共和国政府采购法实施条例》、《政府采购货物和服务招标投标管理办法》等相关法律法规组织和实施，并接受政府采购监督管理部门的监督。</w:t>
      </w:r>
    </w:p>
    <w:p w14:paraId="2DF7FF16">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1．适用范围</w:t>
      </w:r>
    </w:p>
    <w:p w14:paraId="05B1D541">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 本采购文件仅适用于本次招标项目。</w:t>
      </w:r>
    </w:p>
    <w:p w14:paraId="29354E6C">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 本项目采购方式为公开招标。</w:t>
      </w:r>
    </w:p>
    <w:p w14:paraId="21E67C14">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 投标须知为采购文件的通用条款，如通用条款与前附表、用户需求、合同条款等特定条款不一致的，请按特定条款执行。</w:t>
      </w:r>
    </w:p>
    <w:p w14:paraId="760842FF">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2．定义</w:t>
      </w:r>
    </w:p>
    <w:p w14:paraId="06161E4E">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2.1“采购人”系指</w:t>
      </w:r>
      <w:r>
        <w:rPr>
          <w:rFonts w:hint="eastAsia" w:ascii="宋体" w:hAnsi="宋体" w:eastAsia="宋体" w:cs="宋体"/>
          <w:snapToGrid w:val="0"/>
          <w:color w:val="auto"/>
          <w:kern w:val="0"/>
          <w:szCs w:val="21"/>
          <w:highlight w:val="none"/>
          <w:lang w:eastAsia="zh-CN"/>
        </w:rPr>
        <w:t>浙江省社会主义学院</w:t>
      </w:r>
      <w:r>
        <w:rPr>
          <w:rFonts w:hint="eastAsia" w:ascii="宋体" w:hAnsi="宋体" w:eastAsia="宋体" w:cs="宋体"/>
          <w:color w:val="auto"/>
          <w:szCs w:val="21"/>
          <w:highlight w:val="none"/>
        </w:rPr>
        <w:t>（合同中的甲方）</w:t>
      </w:r>
      <w:r>
        <w:rPr>
          <w:rFonts w:hint="eastAsia" w:ascii="宋体" w:hAnsi="宋体" w:eastAsia="宋体" w:cs="宋体"/>
          <w:snapToGrid w:val="0"/>
          <w:color w:val="auto"/>
          <w:kern w:val="0"/>
          <w:szCs w:val="21"/>
          <w:highlight w:val="none"/>
        </w:rPr>
        <w:t>。</w:t>
      </w:r>
    </w:p>
    <w:p w14:paraId="3AA881CD">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2.2“采购代理机构”系指浙江国际招投标有限公司</w:t>
      </w:r>
      <w:r>
        <w:rPr>
          <w:rFonts w:hint="eastAsia" w:ascii="宋体" w:hAnsi="宋体" w:eastAsia="宋体" w:cs="宋体"/>
          <w:color w:val="auto"/>
          <w:szCs w:val="21"/>
          <w:highlight w:val="none"/>
        </w:rPr>
        <w:t>（合同中的鉴证方）</w:t>
      </w:r>
      <w:r>
        <w:rPr>
          <w:rFonts w:hint="eastAsia" w:ascii="宋体" w:hAnsi="宋体" w:eastAsia="宋体" w:cs="宋体"/>
          <w:snapToGrid w:val="0"/>
          <w:color w:val="auto"/>
          <w:kern w:val="0"/>
          <w:szCs w:val="21"/>
          <w:highlight w:val="none"/>
        </w:rPr>
        <w:t>。</w:t>
      </w:r>
    </w:p>
    <w:p w14:paraId="79990534">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2.3“监督管理部门”系指浙江省财政厅政府采购监管处。</w:t>
      </w:r>
    </w:p>
    <w:p w14:paraId="1FF43360">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2.4“投标人”系指响应本次招标，参加本次投标的独立法人。</w:t>
      </w:r>
    </w:p>
    <w:p w14:paraId="6686584B">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2.5“服务”系指采购文件或合同规定投标人须承担的服务以及其他类似的义务。</w:t>
      </w:r>
    </w:p>
    <w:p w14:paraId="177D1DC8">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2.6“实质性条款”系指采购文件条款前标注“▲”标识的条款。</w:t>
      </w:r>
    </w:p>
    <w:p w14:paraId="190C1FD7">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2.7“电子签章”</w:t>
      </w:r>
      <w:r>
        <w:rPr>
          <w:rFonts w:hint="eastAsia" w:ascii="宋体" w:hAnsi="宋体" w:eastAsia="宋体" w:cs="宋体"/>
          <w:snapToGrid w:val="0"/>
          <w:color w:val="auto"/>
          <w:kern w:val="0"/>
          <w:szCs w:val="21"/>
          <w:highlight w:val="none"/>
        </w:rPr>
        <w:t>系指</w:t>
      </w:r>
      <w:r>
        <w:rPr>
          <w:rFonts w:hint="eastAsia" w:ascii="宋体" w:hAnsi="宋体" w:eastAsia="宋体" w:cs="宋体"/>
          <w:color w:val="auto"/>
          <w:szCs w:val="21"/>
          <w:highlight w:val="none"/>
        </w:rPr>
        <w:t>本文件所提及电子签章系指各供应商通过CA锁对标书中对应内容进行签章，表明签名人认可其中的内容。</w:t>
      </w:r>
    </w:p>
    <w:p w14:paraId="120AC1E3">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2.8“公章”</w:t>
      </w:r>
      <w:r>
        <w:rPr>
          <w:rFonts w:hint="eastAsia" w:ascii="宋体" w:hAnsi="宋体" w:eastAsia="宋体" w:cs="宋体"/>
          <w:snapToGrid w:val="0"/>
          <w:color w:val="auto"/>
          <w:kern w:val="0"/>
          <w:szCs w:val="21"/>
          <w:highlight w:val="none"/>
        </w:rPr>
        <w:t>系指</w:t>
      </w:r>
      <w:r>
        <w:rPr>
          <w:rFonts w:hint="eastAsia" w:ascii="宋体" w:hAnsi="宋体" w:eastAsia="宋体" w:cs="宋体"/>
          <w:color w:val="auto"/>
          <w:szCs w:val="21"/>
          <w:highlight w:val="none"/>
        </w:rPr>
        <w:t>单位法定名称章。</w:t>
      </w:r>
    </w:p>
    <w:p w14:paraId="2A2418E4">
      <w:pPr>
        <w:pStyle w:val="7"/>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2.9官方指定网站公示的内容视为书面告知。</w:t>
      </w:r>
    </w:p>
    <w:p w14:paraId="1037615D">
      <w:pPr>
        <w:pStyle w:val="7"/>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2.10</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 系指适用本项目的要求，“</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系指不适用本项目的要求。</w:t>
      </w:r>
    </w:p>
    <w:p w14:paraId="33D7E629">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3．合格的投标人</w:t>
      </w:r>
    </w:p>
    <w:p w14:paraId="1A9E739E">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3.1合格的投标人，详见采购公告第二条规定的申请人的资格要求并经采购人或采购代理机构审查通过的。</w:t>
      </w:r>
    </w:p>
    <w:p w14:paraId="174EF830">
      <w:pPr>
        <w:adjustRightInd w:val="0"/>
        <w:snapToGrid w:val="0"/>
        <w:spacing w:line="360" w:lineRule="auto"/>
        <w:ind w:firstLine="42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3.2对投标人的限制</w:t>
      </w:r>
    </w:p>
    <w:p w14:paraId="12A3FE13">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6EDA1B53">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为本项目提供过整体设计、规范编制或者项目管理、监理、检测等服务的供应商，不得再参加该采购项目的其他采购活动（其他采购活动不包括为该项目提供整体设计、规范编制或者项目管理、监理、检测等服务）；</w:t>
      </w:r>
    </w:p>
    <w:p w14:paraId="2F7DBEFF">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3.2.3以联合体形式参加政府采购活动的，联合体各方不得再单独参加或者与其他投标人另外组成联合体参加同一合同项下的政府采购活动</w:t>
      </w:r>
      <w:r>
        <w:rPr>
          <w:rFonts w:hint="eastAsia" w:ascii="宋体" w:hAnsi="宋体" w:eastAsia="宋体" w:cs="宋体"/>
          <w:color w:val="auto"/>
          <w:szCs w:val="21"/>
          <w:highlight w:val="none"/>
        </w:rPr>
        <w:t>，否则投标均无效</w:t>
      </w:r>
      <w:r>
        <w:rPr>
          <w:rFonts w:hint="eastAsia" w:ascii="宋体" w:hAnsi="宋体" w:eastAsia="宋体" w:cs="宋体"/>
          <w:snapToGrid w:val="0"/>
          <w:color w:val="auto"/>
          <w:kern w:val="0"/>
          <w:highlight w:val="none"/>
        </w:rPr>
        <w:t>；</w:t>
      </w:r>
    </w:p>
    <w:p w14:paraId="14BC5931">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3.2.4为证明投标人拥有的业绩、荣誉、知识产权、项目案例等而在投标文件中提供的证明材料必须为投标人自身所有。不同法人、其他组织的资料与投标人无关。</w:t>
      </w:r>
    </w:p>
    <w:p w14:paraId="7605487F">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3.2.5在政府采购活动中，采购人员及相关人员与供应商有下列利害关系之一的，应当回避：</w:t>
      </w:r>
    </w:p>
    <w:p w14:paraId="3DA035C0">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（一）参加采购活动前3年内与供应商存在劳动关系；</w:t>
      </w:r>
    </w:p>
    <w:p w14:paraId="695DAF2F">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（二）参加采购活动前3年内担任供应商的董事、监事；</w:t>
      </w:r>
    </w:p>
    <w:p w14:paraId="6C91CF7C">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（三）参加采购活动前3年内是供应商的控股股东或者实际控制人；</w:t>
      </w:r>
    </w:p>
    <w:p w14:paraId="39342CFC">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（四）与供应商的法定代表人或者负责人有夫妻、直系血亲、三代以内旁系血亲或者近姻亲关系；</w:t>
      </w:r>
    </w:p>
    <w:p w14:paraId="385EC986">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（五）与供应商有其他可能影响政府采购活动公平、公正进行的关系。</w:t>
      </w:r>
    </w:p>
    <w:p w14:paraId="29BEF2BE">
      <w:pPr>
        <w:adjustRightInd w:val="0"/>
        <w:snapToGrid w:val="0"/>
        <w:spacing w:line="360" w:lineRule="auto"/>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F5D819">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4．相关说明</w:t>
      </w:r>
    </w:p>
    <w:p w14:paraId="34284CCA">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 投标费用</w:t>
      </w:r>
    </w:p>
    <w:p w14:paraId="22FBF4C6">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投标人应承担其参加投标所涉及的一切费用，不管投标结果如何，采购人对这些费用不负任何责任。</w:t>
      </w:r>
    </w:p>
    <w:p w14:paraId="3D4C366A">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 投标人应仔细阅读采购文件的所有内容，按照采购文件的要求提交投标文件。投标文件应对采购文件的要求作出实质性响应，并对所提供的全部资料的真实性承担法律责任。</w:t>
      </w:r>
    </w:p>
    <w:p w14:paraId="0B1B57BA">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4.3投标人在投标活动中提供任何虚假材料，其投标无效，并报监管部门查处；中标后发现的，按《政府采购货物和服务招标投标管理办法》（财政部令第87号）相关规定承担相应的法律责任。</w:t>
      </w:r>
    </w:p>
    <w:p w14:paraId="216440BC">
      <w:pPr>
        <w:pStyle w:val="4"/>
        <w:snapToGrid w:val="0"/>
        <w:spacing w:before="0" w:after="0" w:line="360" w:lineRule="auto"/>
        <w:rPr>
          <w:rFonts w:hint="eastAsia" w:ascii="宋体" w:hAnsi="宋体" w:eastAsia="宋体" w:cs="宋体"/>
          <w:color w:val="auto"/>
          <w:sz w:val="21"/>
          <w:szCs w:val="21"/>
          <w:highlight w:val="none"/>
        </w:rPr>
      </w:pPr>
      <w:bookmarkStart w:id="59" w:name="_Toc240450078"/>
      <w:bookmarkStart w:id="60" w:name="_Toc251566651"/>
      <w:bookmarkStart w:id="61" w:name="_Toc27862"/>
      <w:bookmarkStart w:id="62" w:name="_Toc15451"/>
      <w:bookmarkStart w:id="63" w:name="_Toc2045"/>
      <w:bookmarkStart w:id="64" w:name="_Toc19787"/>
      <w:bookmarkStart w:id="65" w:name="_Toc31220"/>
      <w:bookmarkStart w:id="66" w:name="_Toc146"/>
      <w:r>
        <w:rPr>
          <w:rFonts w:hint="eastAsia" w:ascii="宋体" w:hAnsi="宋体" w:eastAsia="宋体" w:cs="宋体"/>
          <w:color w:val="auto"/>
          <w:sz w:val="21"/>
          <w:szCs w:val="21"/>
          <w:highlight w:val="none"/>
        </w:rPr>
        <w:t>二、</w:t>
      </w:r>
      <w:bookmarkEnd w:id="59"/>
      <w:bookmarkEnd w:id="60"/>
      <w:r>
        <w:rPr>
          <w:rFonts w:hint="eastAsia" w:ascii="宋体" w:hAnsi="宋体" w:eastAsia="宋体" w:cs="宋体"/>
          <w:color w:val="auto"/>
          <w:sz w:val="21"/>
          <w:szCs w:val="21"/>
          <w:highlight w:val="none"/>
        </w:rPr>
        <w:t>采购文件</w:t>
      </w:r>
      <w:bookmarkEnd w:id="61"/>
      <w:bookmarkEnd w:id="62"/>
      <w:bookmarkEnd w:id="63"/>
      <w:bookmarkEnd w:id="64"/>
      <w:bookmarkEnd w:id="65"/>
      <w:bookmarkEnd w:id="66"/>
    </w:p>
    <w:p w14:paraId="5EE07DEB">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5．采购文件构成</w:t>
      </w:r>
    </w:p>
    <w:p w14:paraId="343934A4">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本采购文件包括目录所示内容及所有按本须知第6、7条发出的补充资料。</w:t>
      </w:r>
    </w:p>
    <w:p w14:paraId="2CECB528">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 除上述所列内容外，采购人和采购代理机构的任何工作人员对投标人所作的任何口头解释、介绍、答复，只能供投标人参考，对采购人、采购代理机构和投标人无任何约束力。</w:t>
      </w:r>
    </w:p>
    <w:p w14:paraId="47D95C30">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5.3 采购文件是招标过程进行的有效依据，也是中标后签订合同的依据，对双方均具有约束力，凡不遵守采购文件规定或对采购文件的实质性内容不响应的，将可能被拒绝或以无效标处理。</w:t>
      </w:r>
    </w:p>
    <w:p w14:paraId="037741E9">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5.4 本采购文件由采购人或采购代理机构依据相关法律、法规、规章、省市规定及采购文件进行解释。</w:t>
      </w:r>
    </w:p>
    <w:p w14:paraId="4245F999">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6．采购文件的澄清</w:t>
      </w:r>
    </w:p>
    <w:p w14:paraId="7CD68B8D">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 投标人在获取采购文件后，若有问题需要澄清或认为有必要与采购人进行技术交流，应于前附表规定的时间前，将问题传真至0571-88473430，同时将问题发电子邮件至zq017@163.com（电子邮件与书面文件有不一致的，以书面文件为准）。截止期后的疑问将不予受理、答复。</w:t>
      </w:r>
    </w:p>
    <w:p w14:paraId="186C905F">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 投标人要求解释或澄清的问题应以书面形式送达，并加盖公章、写明日期。</w:t>
      </w:r>
    </w:p>
    <w:p w14:paraId="0E62A6FF">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 所有要求解释或澄清的问题都予以解答，答疑内容与补充内容以更正（澄清）公告形式告知所有购买采购文件的投标人。</w:t>
      </w:r>
    </w:p>
    <w:p w14:paraId="081500B2">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7．采购文件的修改</w:t>
      </w:r>
    </w:p>
    <w:p w14:paraId="7BCBA887">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5328C155">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7.2 采购文件的修改将以更正（澄清）公告通知所有购买采购文件的投标人，并对其具有约束力。</w:t>
      </w:r>
      <w:r>
        <w:rPr>
          <w:rFonts w:hint="eastAsia" w:ascii="宋体" w:hAnsi="宋体" w:eastAsia="宋体" w:cs="宋体"/>
          <w:color w:val="auto"/>
          <w:highlight w:val="none"/>
        </w:rPr>
        <w:t>投标人应及时关注浙江政府采购网上该项目的公告信息</w:t>
      </w:r>
      <w:r>
        <w:rPr>
          <w:rFonts w:hint="eastAsia" w:ascii="宋体" w:hAnsi="宋体" w:eastAsia="宋体" w:cs="宋体"/>
          <w:snapToGrid w:val="0"/>
          <w:color w:val="auto"/>
          <w:kern w:val="0"/>
          <w:szCs w:val="21"/>
          <w:highlight w:val="none"/>
        </w:rPr>
        <w:t>。</w:t>
      </w:r>
    </w:p>
    <w:p w14:paraId="7CC0E086">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7.3 在更正（澄清）公告发布后，如果投标人认为编制投标文件的时间不充分的，必须在公告发布之日的24小时内通知采购人和采购代理机构。否则，视同投标人有充足时间编制投标文件。</w:t>
      </w:r>
    </w:p>
    <w:p w14:paraId="03DBB42F">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7.4采购文件澄清、答复、修改、补充的内容为采购文件的组成部分。当采购文件与采购文件的答复、澄清、修改、补充通知就同一内容的表述不一致时，以最后发出的更正（澄清）公告为准。</w:t>
      </w:r>
    </w:p>
    <w:p w14:paraId="6015D1A1">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7.6 采购文件的澄清、答复、修改或补充都应该通过本代理机构以法定形式发布，除此以外的发布不属于采购文件的组成部分。</w:t>
      </w:r>
    </w:p>
    <w:p w14:paraId="57C31DD5">
      <w:pPr>
        <w:pStyle w:val="4"/>
        <w:snapToGrid w:val="0"/>
        <w:spacing w:before="0" w:after="0" w:line="360" w:lineRule="auto"/>
        <w:rPr>
          <w:rFonts w:hint="eastAsia" w:ascii="宋体" w:hAnsi="宋体" w:eastAsia="宋体" w:cs="宋体"/>
          <w:color w:val="auto"/>
          <w:sz w:val="21"/>
          <w:szCs w:val="21"/>
          <w:highlight w:val="none"/>
        </w:rPr>
      </w:pPr>
      <w:bookmarkStart w:id="67" w:name="_Toc240450079"/>
      <w:bookmarkStart w:id="68" w:name="_Toc251566652"/>
      <w:bookmarkStart w:id="69" w:name="_Toc6975"/>
      <w:bookmarkStart w:id="70" w:name="_Toc31368"/>
      <w:bookmarkStart w:id="71" w:name="_Toc18829"/>
      <w:bookmarkStart w:id="72" w:name="_Toc18386"/>
      <w:bookmarkStart w:id="73" w:name="_Toc25450"/>
      <w:bookmarkStart w:id="74" w:name="_Toc6668"/>
      <w:r>
        <w:rPr>
          <w:rFonts w:hint="eastAsia" w:ascii="宋体" w:hAnsi="宋体" w:eastAsia="宋体" w:cs="宋体"/>
          <w:color w:val="auto"/>
          <w:sz w:val="21"/>
          <w:szCs w:val="21"/>
          <w:highlight w:val="none"/>
        </w:rPr>
        <w:t>三、投标文件的编制</w:t>
      </w:r>
      <w:bookmarkEnd w:id="67"/>
      <w:bookmarkEnd w:id="68"/>
      <w:bookmarkEnd w:id="69"/>
      <w:bookmarkEnd w:id="70"/>
      <w:bookmarkEnd w:id="71"/>
      <w:bookmarkEnd w:id="72"/>
      <w:bookmarkEnd w:id="73"/>
      <w:bookmarkEnd w:id="74"/>
    </w:p>
    <w:p w14:paraId="5BBF90CC">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14:paraId="2B9332AD">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8．投标文件的语言、计量单位、形式及效力</w:t>
      </w:r>
    </w:p>
    <w:p w14:paraId="2A083E38">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8.1语言及计量单位</w:t>
      </w:r>
    </w:p>
    <w:p w14:paraId="37B2DBDF">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5926C49B">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8.1.2 除采购文件另有规定外，投标文件所使用的计量单位，均须采用中华人民共和国法定计量单位，否则视同未响应。</w:t>
      </w:r>
    </w:p>
    <w:p w14:paraId="2BF4AF1E">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8.2投标文件的形式和效力</w:t>
      </w:r>
    </w:p>
    <w:p w14:paraId="3116FA42">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8.2.1投标文件为电子投标文件，电子投标文件按“政采云供应商项目采购－电子招投标操作指南”及本采购文件要求制作、加密传输。</w:t>
      </w:r>
    </w:p>
    <w:p w14:paraId="7FB9D640">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8.2.2投标文件未在投标截止时间前完成传输的，视为未按时递交投标文件；投标文件未按时解密，视为投标文件撤回。</w:t>
      </w:r>
    </w:p>
    <w:p w14:paraId="2C148780">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9．投标文件构成</w:t>
      </w:r>
    </w:p>
    <w:p w14:paraId="458AD4AB">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投标人向采购人递交的投标文件均由</w:t>
      </w:r>
      <w:r>
        <w:rPr>
          <w:rFonts w:hint="eastAsia" w:ascii="宋体" w:hAnsi="宋体" w:eastAsia="宋体" w:cs="宋体"/>
          <w:b/>
          <w:bCs/>
          <w:snapToGrid w:val="0"/>
          <w:color w:val="auto"/>
          <w:kern w:val="0"/>
          <w:szCs w:val="21"/>
          <w:highlight w:val="none"/>
        </w:rPr>
        <w:t>资格响应文件、商务技术响应文件、报价响应文件</w:t>
      </w:r>
      <w:r>
        <w:rPr>
          <w:rFonts w:hint="eastAsia" w:ascii="宋体" w:hAnsi="宋体" w:eastAsia="宋体" w:cs="宋体"/>
          <w:snapToGrid w:val="0"/>
          <w:color w:val="auto"/>
          <w:kern w:val="0"/>
          <w:szCs w:val="21"/>
          <w:highlight w:val="none"/>
        </w:rPr>
        <w:t>组成，具体内容如下：</w:t>
      </w:r>
    </w:p>
    <w:p w14:paraId="31D3F453">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9.1资格响应文件</w:t>
      </w:r>
    </w:p>
    <w:p w14:paraId="60C3CA94">
      <w:pPr>
        <w:tabs>
          <w:tab w:val="left" w:pos="720"/>
        </w:tabs>
        <w:adjustRightInd w:val="0"/>
        <w:snapToGrid w:val="0"/>
        <w:spacing w:line="360" w:lineRule="auto"/>
        <w:ind w:left="42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szCs w:val="21"/>
          <w:highlight w:val="none"/>
        </w:rPr>
        <w:t>基本资格条件：符合《中华人民共和国政府采购法》第二十二条的规定；</w:t>
      </w:r>
    </w:p>
    <w:p w14:paraId="2BC15A42">
      <w:pPr>
        <w:tabs>
          <w:tab w:val="left" w:pos="720"/>
        </w:tabs>
        <w:adjustRightInd w:val="0"/>
        <w:snapToGrid w:val="0"/>
        <w:spacing w:line="360" w:lineRule="auto"/>
        <w:ind w:firstLine="422" w:firstLineChars="20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各投标人须在投标文件中出具对应证明材料（商业信誉可提前自查，投标文件中可不提供）。</w:t>
      </w:r>
    </w:p>
    <w:p w14:paraId="6C9DEFE2">
      <w:pPr>
        <w:pStyle w:val="20"/>
        <w:numPr>
          <w:ilvl w:val="0"/>
          <w:numId w:val="7"/>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具有独立承担民事责任的能力（如为联合体投标人的，联合体各方均须提供）</w:t>
      </w:r>
    </w:p>
    <w:p w14:paraId="36528630">
      <w:pPr>
        <w:pStyle w:val="20"/>
        <w:tabs>
          <w:tab w:val="left" w:pos="630"/>
          <w:tab w:val="left" w:pos="840"/>
          <w:tab w:val="left" w:pos="1050"/>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投标人须在投标文件中出具符合以下情况的证明材料复印件（五选一）：</w:t>
      </w:r>
    </w:p>
    <w:p w14:paraId="60F41E54">
      <w:pPr>
        <w:pStyle w:val="20"/>
        <w:numPr>
          <w:ilvl w:val="0"/>
          <w:numId w:val="8"/>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如投标人是企业（包括合伙企业），提供在工商部门注册的有效“企业法人营业执照”或“营业执照”；</w:t>
      </w:r>
    </w:p>
    <w:p w14:paraId="2455BE1D">
      <w:pPr>
        <w:pStyle w:val="20"/>
        <w:numPr>
          <w:ilvl w:val="0"/>
          <w:numId w:val="8"/>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如投标人是事业单位，提供有效的“事业单位法人证书”；</w:t>
      </w:r>
    </w:p>
    <w:p w14:paraId="7F8FAB09">
      <w:pPr>
        <w:pStyle w:val="20"/>
        <w:numPr>
          <w:ilvl w:val="0"/>
          <w:numId w:val="8"/>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如投标人是非企业专业服务机构的，提供执业许可证等证明文件；</w:t>
      </w:r>
    </w:p>
    <w:p w14:paraId="7EAF2BDD">
      <w:pPr>
        <w:pStyle w:val="20"/>
        <w:numPr>
          <w:ilvl w:val="0"/>
          <w:numId w:val="8"/>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如投标人是个体工商户，提供有效的“个体工商户营业执照”；</w:t>
      </w:r>
    </w:p>
    <w:p w14:paraId="10339830">
      <w:pPr>
        <w:pStyle w:val="20"/>
        <w:numPr>
          <w:ilvl w:val="0"/>
          <w:numId w:val="8"/>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如投标人是自然人，提供有效的自然人身份证明（居民身份证正反面或公安机关出具的临时居民身份证正反面或港澳台胞证或护照）。</w:t>
      </w:r>
    </w:p>
    <w:p w14:paraId="158451FB">
      <w:pPr>
        <w:pStyle w:val="20"/>
        <w:numPr>
          <w:ilvl w:val="0"/>
          <w:numId w:val="7"/>
        </w:numPr>
        <w:tabs>
          <w:tab w:val="left" w:pos="630"/>
          <w:tab w:val="left" w:pos="840"/>
          <w:tab w:val="left" w:pos="1050"/>
        </w:tabs>
        <w:adjustRightInd w:val="0"/>
        <w:snapToGrid w:val="0"/>
        <w:spacing w:before="0" w:beforeAutospacing="0" w:after="0" w:afterAutospacing="0" w:line="360" w:lineRule="auto"/>
        <w:ind w:left="5" w:firstLine="41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符合参与政府采购活动资格条件（如为联合体投标人的，联合体各方均须提供）</w:t>
      </w:r>
    </w:p>
    <w:p w14:paraId="50C53B7A">
      <w:pPr>
        <w:pStyle w:val="20"/>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投标人须出具符合参与政府采购活动资格条件的承诺函（参考格式见本文件第六部分）；</w:t>
      </w:r>
    </w:p>
    <w:p w14:paraId="7200ACC8">
      <w:pPr>
        <w:pStyle w:val="20"/>
        <w:tabs>
          <w:tab w:val="left" w:pos="630"/>
          <w:tab w:val="left" w:pos="840"/>
          <w:tab w:val="left" w:pos="1050"/>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特别说明：已完成信用修复的“缴纳税收和社会保障等方面的失信记录”不包含在《承诺函》第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3点所述情形内（属于重大违法记录情形的除外）。</w:t>
      </w:r>
    </w:p>
    <w:p w14:paraId="6050050B">
      <w:pPr>
        <w:adjustRightInd w:val="0"/>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（2）落实政府采购政策需满足的资格要求（如为联合体投标人的，联合体各方均须提供）：</w:t>
      </w:r>
      <w:r>
        <w:rPr>
          <w:rFonts w:hint="eastAsia" w:ascii="宋体" w:hAnsi="宋体" w:eastAsia="宋体" w:cs="宋体"/>
          <w:color w:val="auto"/>
          <w:kern w:val="0"/>
          <w:szCs w:val="21"/>
          <w:highlight w:val="none"/>
        </w:rPr>
        <w:t>标项</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本项目专门面向中小企业，服务全部由符合政策要求的中小企业承接。</w:t>
      </w:r>
    </w:p>
    <w:p w14:paraId="387FAA74">
      <w:pPr>
        <w:numPr>
          <w:ilvl w:val="0"/>
          <w:numId w:val="0"/>
        </w:numPr>
        <w:adjustRightInd w:val="0"/>
        <w:snapToGrid w:val="0"/>
        <w:spacing w:line="360" w:lineRule="auto"/>
        <w:ind w:left="420" w:firstLine="0"/>
        <w:jc w:val="left"/>
        <w:rPr>
          <w:rFonts w:hint="eastAsia" w:ascii="宋体" w:hAnsi="宋体" w:eastAsia="宋体" w:cs="宋体"/>
          <w:b/>
          <w:bCs w:val="0"/>
          <w:snapToGrid w:val="0"/>
          <w:color w:val="auto"/>
          <w:kern w:val="0"/>
          <w:szCs w:val="21"/>
          <w:highlight w:val="none"/>
        </w:rPr>
      </w:pPr>
      <w:r>
        <w:rPr>
          <w:rFonts w:hint="eastAsia" w:ascii="宋体" w:hAnsi="宋体" w:eastAsia="宋体" w:cs="宋体"/>
          <w:b/>
          <w:bCs w:val="0"/>
          <w:snapToGrid w:val="0"/>
          <w:color w:val="auto"/>
          <w:kern w:val="0"/>
          <w:szCs w:val="21"/>
          <w:highlight w:val="none"/>
          <w:lang w:val="en-US" w:eastAsia="zh-CN"/>
        </w:rPr>
        <w:t>提供</w:t>
      </w:r>
      <w:r>
        <w:rPr>
          <w:rFonts w:hint="eastAsia" w:ascii="宋体" w:hAnsi="宋体" w:eastAsia="宋体" w:cs="宋体"/>
          <w:b/>
          <w:bCs w:val="0"/>
          <w:snapToGrid w:val="0"/>
          <w:color w:val="auto"/>
          <w:kern w:val="0"/>
          <w:szCs w:val="21"/>
          <w:highlight w:val="none"/>
        </w:rPr>
        <w:t>中小企业声明函（服务）</w:t>
      </w:r>
      <w:r>
        <w:rPr>
          <w:rFonts w:hint="eastAsia" w:ascii="宋体" w:hAnsi="宋体" w:eastAsia="宋体" w:cs="宋体"/>
          <w:b/>
          <w:bCs w:val="0"/>
          <w:snapToGrid w:val="0"/>
          <w:color w:val="auto"/>
          <w:kern w:val="0"/>
          <w:szCs w:val="21"/>
          <w:highlight w:val="none"/>
          <w:lang w:eastAsia="zh-CN"/>
        </w:rPr>
        <w:t>；</w:t>
      </w:r>
    </w:p>
    <w:p w14:paraId="3F72EC93">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中小企业应当按照《政府采购促进中小企业发展管理办法》规定和《中小企业划型标准规定》（工信部联企业〔2011〕300号），如实填写并提交《中小企业声明函》。未按要求出具声明函的，</w:t>
      </w:r>
      <w:r>
        <w:rPr>
          <w:rFonts w:hint="eastAsia" w:ascii="宋体" w:hAnsi="宋体" w:eastAsia="宋体" w:cs="宋体"/>
          <w:b/>
          <w:bCs/>
          <w:snapToGrid w:val="0"/>
          <w:color w:val="auto"/>
          <w:kern w:val="0"/>
          <w:szCs w:val="21"/>
          <w:highlight w:val="none"/>
          <w:lang w:val="en-US" w:eastAsia="zh-CN"/>
        </w:rPr>
        <w:t>投标资格无效</w:t>
      </w:r>
      <w:r>
        <w:rPr>
          <w:rFonts w:hint="eastAsia" w:ascii="宋体" w:hAnsi="宋体" w:eastAsia="宋体" w:cs="宋体"/>
          <w:b/>
          <w:bCs/>
          <w:snapToGrid w:val="0"/>
          <w:color w:val="auto"/>
          <w:kern w:val="0"/>
          <w:szCs w:val="21"/>
          <w:highlight w:val="none"/>
        </w:rPr>
        <w:t>。</w:t>
      </w:r>
    </w:p>
    <w:p w14:paraId="699787CE">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供应商在填写声明函前，须先自查本企业是否满足小微企业认定标准（可通过国务院客户端和工业和信息化部网站上的自测小程序进行自查）。</w:t>
      </w:r>
    </w:p>
    <w:p w14:paraId="54D8C67A">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中小企业对其声明内容的真实性负责，声明函内容不实的，属于提供虚假材料谋取中标、成交，依照《中华人民共和国政府采购法》等国家有关规定追究相应责任。</w:t>
      </w:r>
    </w:p>
    <w:p w14:paraId="65EDE861">
      <w:pPr>
        <w:widowControl/>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（3）特定资格条件证明材料</w:t>
      </w:r>
      <w:r>
        <w:rPr>
          <w:rFonts w:hint="eastAsia" w:ascii="宋体" w:hAnsi="宋体" w:eastAsia="宋体" w:cs="宋体"/>
          <w:b/>
          <w:bCs/>
          <w:color w:val="auto"/>
          <w:kern w:val="0"/>
          <w:szCs w:val="21"/>
          <w:highlight w:val="none"/>
        </w:rPr>
        <w:t>（如为联合体投标人的，联合体各方均须提供）</w:t>
      </w:r>
      <w:r>
        <w:rPr>
          <w:rFonts w:hint="eastAsia" w:ascii="宋体" w:hAnsi="宋体" w:eastAsia="宋体" w:cs="宋体"/>
          <w:b/>
          <w:bCs/>
          <w:color w:val="auto"/>
          <w:szCs w:val="21"/>
          <w:highlight w:val="none"/>
        </w:rPr>
        <w:t>：无。</w:t>
      </w:r>
    </w:p>
    <w:p w14:paraId="7664A484">
      <w:pPr>
        <w:autoSpaceDE w:val="0"/>
        <w:autoSpaceDN w:val="0"/>
        <w:adjustRightInd w:val="0"/>
        <w:snapToGrid w:val="0"/>
        <w:spacing w:line="360" w:lineRule="auto"/>
        <w:ind w:firstLine="422" w:firstLineChars="200"/>
        <w:textAlignment w:val="bottom"/>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（4）联合体协议（如为联合体投标的必须提供）</w:t>
      </w:r>
      <w:r>
        <w:rPr>
          <w:rFonts w:hint="eastAsia" w:ascii="宋体" w:hAnsi="宋体" w:eastAsia="宋体" w:cs="宋体"/>
          <w:color w:val="auto"/>
          <w:szCs w:val="21"/>
          <w:highlight w:val="none"/>
        </w:rPr>
        <w:t>（参考格式见本文件第六部分）</w:t>
      </w:r>
      <w:r>
        <w:rPr>
          <w:rFonts w:hint="eastAsia" w:ascii="宋体" w:hAnsi="宋体" w:eastAsia="宋体" w:cs="宋体"/>
          <w:bCs/>
          <w:color w:val="auto"/>
          <w:szCs w:val="21"/>
          <w:highlight w:val="none"/>
        </w:rPr>
        <w:t>；</w:t>
      </w:r>
    </w:p>
    <w:p w14:paraId="14201627">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联合体投标的，联合体各方均应满足资格条件的要求并提供相应证明材料，否则无效。</w:t>
      </w:r>
    </w:p>
    <w:p w14:paraId="54A5D66B">
      <w:pPr>
        <w:numPr>
          <w:ilvl w:val="0"/>
          <w:numId w:val="9"/>
        </w:numPr>
        <w:tabs>
          <w:tab w:val="left" w:pos="720"/>
        </w:tabs>
        <w:adjustRightInd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分包意向协议（需明确分包的金额比重、中小企业声明函中需体现分包商的信息）（如有）（参考格式见本文件第六部分）；</w:t>
      </w:r>
    </w:p>
    <w:p w14:paraId="7CCC10A3">
      <w:pPr>
        <w:numPr>
          <w:ilvl w:val="0"/>
          <w:numId w:val="9"/>
        </w:numPr>
        <w:tabs>
          <w:tab w:val="left" w:pos="720"/>
        </w:tabs>
        <w:adjustRightInd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投标人认为需要提供</w:t>
      </w:r>
      <w:r>
        <w:rPr>
          <w:rFonts w:hint="eastAsia" w:ascii="宋体" w:hAnsi="宋体" w:eastAsia="宋体" w:cs="宋体"/>
          <w:b/>
          <w:color w:val="auto"/>
          <w:szCs w:val="21"/>
          <w:highlight w:val="none"/>
          <w:lang w:eastAsia="zh-CN"/>
        </w:rPr>
        <w:t>的其他</w:t>
      </w:r>
      <w:r>
        <w:rPr>
          <w:rFonts w:hint="eastAsia" w:ascii="宋体" w:hAnsi="宋体" w:eastAsia="宋体" w:cs="宋体"/>
          <w:b/>
          <w:color w:val="auto"/>
          <w:szCs w:val="21"/>
          <w:highlight w:val="none"/>
        </w:rPr>
        <w:t>资格响应相关文件及资料（如有）。</w:t>
      </w:r>
    </w:p>
    <w:p w14:paraId="192E8155">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上述资格证明文件是采购人、采购代理机构对投标人资格进行合格性审查的评审依据，投标人应上传上述资料。未按要求出具上述证明材料或出具的证明材料不完整的，资格性审查均不予通过。</w:t>
      </w:r>
    </w:p>
    <w:p w14:paraId="1DB4D25A">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 商务技术响应文件</w:t>
      </w:r>
    </w:p>
    <w:p w14:paraId="169F69BB">
      <w:pPr>
        <w:tabs>
          <w:tab w:val="left" w:pos="720"/>
        </w:tabs>
        <w:adjustRightInd w:val="0"/>
        <w:snapToGrid w:val="0"/>
        <w:spacing w:line="360" w:lineRule="auto"/>
        <w:ind w:left="42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9.2.1</w:t>
      </w:r>
      <w:r>
        <w:rPr>
          <w:rFonts w:hint="eastAsia" w:ascii="宋体" w:hAnsi="宋体" w:eastAsia="宋体" w:cs="宋体"/>
          <w:b/>
          <w:bCs/>
          <w:color w:val="auto"/>
          <w:szCs w:val="21"/>
          <w:highlight w:val="none"/>
        </w:rPr>
        <w:t>商务技术响应文件封面；</w:t>
      </w:r>
    </w:p>
    <w:p w14:paraId="25A901F4">
      <w:pPr>
        <w:tabs>
          <w:tab w:val="left" w:pos="720"/>
        </w:tabs>
        <w:adjustRightInd w:val="0"/>
        <w:snapToGrid w:val="0"/>
        <w:spacing w:line="360" w:lineRule="auto"/>
        <w:ind w:left="42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9.2.2</w:t>
      </w:r>
      <w:r>
        <w:rPr>
          <w:rFonts w:hint="eastAsia" w:ascii="宋体" w:hAnsi="宋体" w:eastAsia="宋体" w:cs="宋体"/>
          <w:b/>
          <w:bCs/>
          <w:color w:val="auto"/>
          <w:szCs w:val="21"/>
          <w:highlight w:val="none"/>
        </w:rPr>
        <w:t>商务技术响应文件目录；</w:t>
      </w:r>
    </w:p>
    <w:p w14:paraId="3EBB78B4">
      <w:pPr>
        <w:pStyle w:val="7"/>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9.2.3评分索引表；</w:t>
      </w:r>
    </w:p>
    <w:p w14:paraId="372BC4BF">
      <w:pPr>
        <w:pStyle w:val="7"/>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9.2.4商务部分</w:t>
      </w:r>
    </w:p>
    <w:p w14:paraId="4DC00787">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投标函；</w:t>
      </w:r>
    </w:p>
    <w:p w14:paraId="4EB5329B">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投标一览表；</w:t>
      </w:r>
    </w:p>
    <w:p w14:paraId="3941E8D9">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针对本项目的服务清单（不含价格）；</w:t>
      </w:r>
    </w:p>
    <w:p w14:paraId="4DDECEBE">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投标人基本情况表；</w:t>
      </w:r>
    </w:p>
    <w:p w14:paraId="0C33FAF7">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授权委托书，同时须附授权委托人的有效身份证复印件；</w:t>
      </w:r>
    </w:p>
    <w:p w14:paraId="01EDEA12">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政府采购供应商廉洁自律承诺书；</w:t>
      </w:r>
    </w:p>
    <w:p w14:paraId="3DDFC3FD">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rPr>
        <w:t>廉政承诺书；</w:t>
      </w:r>
    </w:p>
    <w:p w14:paraId="2EF96BAF">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投标人拥有</w:t>
      </w:r>
      <w:r>
        <w:rPr>
          <w:rFonts w:hint="eastAsia" w:ascii="宋体" w:hAnsi="宋体" w:eastAsia="宋体" w:cs="宋体"/>
          <w:bCs/>
          <w:color w:val="auto"/>
          <w:szCs w:val="21"/>
          <w:highlight w:val="none"/>
          <w:lang w:eastAsia="zh-CN"/>
        </w:rPr>
        <w:t>的其他</w:t>
      </w:r>
      <w:r>
        <w:rPr>
          <w:rFonts w:hint="eastAsia" w:ascii="宋体" w:hAnsi="宋体" w:eastAsia="宋体" w:cs="宋体"/>
          <w:bCs/>
          <w:color w:val="auto"/>
          <w:szCs w:val="21"/>
          <w:highlight w:val="none"/>
        </w:rPr>
        <w:t>资质、荣誉证书（如有，出具复印件加盖公章）；</w:t>
      </w:r>
    </w:p>
    <w:p w14:paraId="1729C75F">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投标人业绩一览表（由投标人根据自身情况提供，如评标细则及标准中有业绩评分对应要求，请按照评标细则及标准中业绩评分对应要求提供相应业绩情况和对应证明材料）</w:t>
      </w:r>
      <w:r>
        <w:rPr>
          <w:rFonts w:hint="eastAsia" w:ascii="宋体" w:hAnsi="宋体" w:eastAsia="宋体" w:cs="宋体"/>
          <w:bCs/>
          <w:color w:val="auto"/>
          <w:szCs w:val="21"/>
          <w:highlight w:val="none"/>
        </w:rPr>
        <w:t>；</w:t>
      </w:r>
    </w:p>
    <w:p w14:paraId="00167A10">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商务条款偏离表；</w:t>
      </w:r>
    </w:p>
    <w:p w14:paraId="49ACB434">
      <w:pPr>
        <w:numPr>
          <w:ilvl w:val="0"/>
          <w:numId w:val="10"/>
        </w:numPr>
        <w:tabs>
          <w:tab w:val="left" w:pos="851"/>
          <w:tab w:val="left" w:pos="900"/>
          <w:tab w:val="left" w:pos="1080"/>
        </w:tabs>
        <w:adjustRightInd w:val="0"/>
        <w:snapToGrid w:val="0"/>
        <w:spacing w:line="360" w:lineRule="auto"/>
        <w:ind w:left="0" w:firstLine="34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投标人认为需要提供</w:t>
      </w:r>
      <w:r>
        <w:rPr>
          <w:rFonts w:hint="eastAsia" w:ascii="宋体" w:hAnsi="宋体" w:eastAsia="宋体" w:cs="宋体"/>
          <w:bCs/>
          <w:color w:val="auto"/>
          <w:szCs w:val="21"/>
          <w:highlight w:val="none"/>
          <w:lang w:eastAsia="zh-CN"/>
        </w:rPr>
        <w:t>的其他</w:t>
      </w:r>
      <w:r>
        <w:rPr>
          <w:rFonts w:hint="eastAsia" w:ascii="宋体" w:hAnsi="宋体" w:eastAsia="宋体" w:cs="宋体"/>
          <w:bCs/>
          <w:color w:val="auto"/>
          <w:szCs w:val="21"/>
          <w:highlight w:val="none"/>
        </w:rPr>
        <w:t>商务文件及资料（如有）。</w:t>
      </w:r>
    </w:p>
    <w:p w14:paraId="392B8374">
      <w:pPr>
        <w:pStyle w:val="7"/>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9.2.5技术部分</w:t>
      </w:r>
    </w:p>
    <w:p w14:paraId="2BD514E7">
      <w:pPr>
        <w:numPr>
          <w:ilvl w:val="0"/>
          <w:numId w:val="11"/>
        </w:numPr>
        <w:adjustRightInd w:val="0"/>
        <w:snapToGrid w:val="0"/>
        <w:spacing w:line="360" w:lineRule="auto"/>
        <w:ind w:left="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对本项目</w:t>
      </w:r>
      <w:r>
        <w:rPr>
          <w:rFonts w:hint="eastAsia" w:ascii="宋体" w:hAnsi="宋体" w:eastAsia="宋体" w:cs="宋体"/>
          <w:color w:val="auto"/>
          <w:szCs w:val="21"/>
          <w:highlight w:val="none"/>
          <w:lang w:val="en-US" w:eastAsia="zh-CN"/>
        </w:rPr>
        <w:t>需求理解及现状分析</w:t>
      </w:r>
      <w:r>
        <w:rPr>
          <w:rFonts w:hint="eastAsia" w:ascii="宋体" w:hAnsi="宋体" w:eastAsia="宋体" w:cs="宋体"/>
          <w:color w:val="auto"/>
          <w:szCs w:val="21"/>
          <w:highlight w:val="none"/>
        </w:rPr>
        <w:t>；</w:t>
      </w:r>
    </w:p>
    <w:p w14:paraId="0854090C">
      <w:pPr>
        <w:numPr>
          <w:ilvl w:val="0"/>
          <w:numId w:val="11"/>
        </w:numPr>
        <w:adjustRightInd w:val="0"/>
        <w:snapToGrid w:val="0"/>
        <w:spacing w:line="360" w:lineRule="auto"/>
        <w:ind w:left="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投标人针对本项目投标的</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val="en-US" w:eastAsia="zh-CN"/>
        </w:rPr>
        <w:t>整体方案设计</w:t>
      </w:r>
      <w:r>
        <w:rPr>
          <w:rFonts w:hint="eastAsia" w:ascii="宋体" w:hAnsi="宋体" w:eastAsia="宋体" w:cs="宋体"/>
          <w:color w:val="auto"/>
          <w:szCs w:val="21"/>
          <w:highlight w:val="none"/>
        </w:rPr>
        <w:t>；</w:t>
      </w:r>
    </w:p>
    <w:p w14:paraId="466B8725">
      <w:pPr>
        <w:numPr>
          <w:ilvl w:val="0"/>
          <w:numId w:val="11"/>
        </w:numPr>
        <w:adjustRightInd w:val="0"/>
        <w:snapToGrid w:val="0"/>
        <w:spacing w:line="360" w:lineRule="auto"/>
        <w:ind w:left="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投标人针对本项目的</w:t>
      </w:r>
      <w:r>
        <w:rPr>
          <w:rFonts w:hint="eastAsia" w:ascii="宋体" w:hAnsi="宋体" w:eastAsia="宋体" w:cs="宋体"/>
          <w:color w:val="auto"/>
          <w:szCs w:val="21"/>
          <w:highlight w:val="none"/>
        </w:rPr>
        <w:t>详细的</w:t>
      </w:r>
      <w:r>
        <w:rPr>
          <w:rFonts w:hint="eastAsia" w:ascii="宋体" w:hAnsi="宋体" w:eastAsia="宋体" w:cs="宋体"/>
          <w:color w:val="auto"/>
          <w:szCs w:val="21"/>
          <w:highlight w:val="none"/>
          <w:lang w:val="en-US" w:eastAsia="zh-CN"/>
        </w:rPr>
        <w:t>建设</w:t>
      </w:r>
      <w:r>
        <w:rPr>
          <w:rFonts w:hint="eastAsia" w:ascii="宋体" w:hAnsi="宋体" w:eastAsia="宋体" w:cs="宋体"/>
          <w:color w:val="auto"/>
          <w:szCs w:val="21"/>
          <w:highlight w:val="none"/>
        </w:rPr>
        <w:t>方案（包括产品详细功能及技术参数说明）；</w:t>
      </w:r>
    </w:p>
    <w:p w14:paraId="0F847A89">
      <w:pPr>
        <w:numPr>
          <w:ilvl w:val="0"/>
          <w:numId w:val="11"/>
        </w:numPr>
        <w:adjustRightInd w:val="0"/>
        <w:snapToGrid w:val="0"/>
        <w:spacing w:line="360" w:lineRule="auto"/>
        <w:ind w:left="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投标人针对本项目的实施方案（包括但不仅限于</w:t>
      </w:r>
      <w:r>
        <w:rPr>
          <w:rFonts w:hint="eastAsia" w:ascii="宋体" w:hAnsi="宋体" w:eastAsia="宋体" w:cs="宋体"/>
          <w:color w:val="auto"/>
          <w:szCs w:val="21"/>
          <w:highlight w:val="none"/>
        </w:rPr>
        <w:t>项目组织管理方案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val="en-US" w:eastAsia="zh-CN"/>
        </w:rPr>
        <w:t>保证措施、项目进度计划及工期进度管控方案）</w:t>
      </w:r>
      <w:r>
        <w:rPr>
          <w:rFonts w:hint="eastAsia" w:ascii="宋体" w:hAnsi="宋体" w:eastAsia="宋体" w:cs="宋体"/>
          <w:color w:val="auto"/>
          <w:szCs w:val="21"/>
          <w:highlight w:val="none"/>
        </w:rPr>
        <w:t xml:space="preserve">； </w:t>
      </w:r>
    </w:p>
    <w:p w14:paraId="08232DB8">
      <w:pPr>
        <w:numPr>
          <w:ilvl w:val="0"/>
          <w:numId w:val="11"/>
        </w:numPr>
        <w:adjustRightInd w:val="0"/>
        <w:snapToGrid w:val="0"/>
        <w:spacing w:line="360" w:lineRule="auto"/>
        <w:ind w:left="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投标人针对本项目的</w:t>
      </w:r>
      <w:r>
        <w:rPr>
          <w:rFonts w:hint="eastAsia" w:ascii="宋体" w:hAnsi="宋体" w:eastAsia="宋体" w:cs="宋体"/>
          <w:color w:val="auto"/>
          <w:szCs w:val="21"/>
          <w:highlight w:val="none"/>
        </w:rPr>
        <w:t>项目技术力量配备情况表；</w:t>
      </w:r>
    </w:p>
    <w:p w14:paraId="772B524D">
      <w:pPr>
        <w:numPr>
          <w:ilvl w:val="0"/>
          <w:numId w:val="11"/>
        </w:numPr>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投标人针对本项目的</w:t>
      </w:r>
      <w:r>
        <w:rPr>
          <w:rFonts w:hint="eastAsia" w:ascii="宋体" w:hAnsi="宋体" w:eastAsia="宋体" w:cs="宋体"/>
          <w:color w:val="auto"/>
          <w:szCs w:val="21"/>
          <w:highlight w:val="none"/>
        </w:rPr>
        <w:t>售后服务方案及售后服务情况表；</w:t>
      </w:r>
    </w:p>
    <w:p w14:paraId="62049461">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投标人针对本项目的</w:t>
      </w:r>
      <w:r>
        <w:rPr>
          <w:rFonts w:hint="eastAsia" w:ascii="宋体" w:hAnsi="宋体" w:eastAsia="宋体" w:cs="宋体"/>
          <w:color w:val="auto"/>
          <w:szCs w:val="21"/>
          <w:highlight w:val="none"/>
        </w:rPr>
        <w:t>培训方案；</w:t>
      </w:r>
    </w:p>
    <w:p w14:paraId="0E8CFE99">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关于对技术文件中有关条款的拒绝声明（如果有）；</w:t>
      </w:r>
    </w:p>
    <w:p w14:paraId="797FF8F8">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投标人对本项目的</w:t>
      </w:r>
      <w:r>
        <w:rPr>
          <w:rFonts w:hint="eastAsia" w:ascii="宋体" w:hAnsi="宋体" w:eastAsia="宋体" w:cs="宋体"/>
          <w:color w:val="auto"/>
          <w:szCs w:val="21"/>
          <w:highlight w:val="none"/>
          <w:lang w:val="zh-CN"/>
        </w:rPr>
        <w:t>验收方案（中标后须提请采购人确认）；</w:t>
      </w:r>
    </w:p>
    <w:p w14:paraId="6EE23C55">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投标人对本项目的</w:t>
      </w:r>
      <w:r>
        <w:rPr>
          <w:rFonts w:hint="eastAsia" w:ascii="宋体" w:hAnsi="宋体" w:eastAsia="宋体" w:cs="宋体"/>
          <w:color w:val="auto"/>
          <w:szCs w:val="21"/>
          <w:highlight w:val="none"/>
          <w:lang w:val="zh-CN"/>
        </w:rPr>
        <w:t>技术响应表；</w:t>
      </w:r>
    </w:p>
    <w:p w14:paraId="4841B55D">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投标人对本项目的</w:t>
      </w:r>
      <w:r>
        <w:rPr>
          <w:rFonts w:hint="eastAsia" w:ascii="宋体" w:hAnsi="宋体" w:eastAsia="宋体" w:cs="宋体"/>
          <w:color w:val="auto"/>
          <w:szCs w:val="21"/>
          <w:highlight w:val="none"/>
          <w:lang w:val="en-US" w:eastAsia="zh-CN"/>
        </w:rPr>
        <w:t>评标细则要求的其他材料</w:t>
      </w:r>
      <w:r>
        <w:rPr>
          <w:rFonts w:hint="eastAsia" w:ascii="宋体" w:hAnsi="宋体" w:eastAsia="宋体" w:cs="宋体"/>
          <w:color w:val="auto"/>
          <w:szCs w:val="21"/>
          <w:highlight w:val="none"/>
          <w:lang w:val="zh-CN"/>
        </w:rPr>
        <w:t>；</w:t>
      </w:r>
    </w:p>
    <w:p w14:paraId="0F0D2532">
      <w:pPr>
        <w:numPr>
          <w:ilvl w:val="0"/>
          <w:numId w:val="11"/>
        </w:numPr>
        <w:tabs>
          <w:tab w:val="left" w:pos="840"/>
        </w:tabs>
        <w:adjustRightInd w:val="0"/>
        <w:snapToGrid w:val="0"/>
        <w:spacing w:line="360" w:lineRule="auto"/>
        <w:ind w:left="5" w:firstLine="4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投标人认为需要的其他技术相关文件或说明。</w:t>
      </w:r>
    </w:p>
    <w:p w14:paraId="298E7394">
      <w:pPr>
        <w:adjustRightInd w:val="0"/>
        <w:snapToGrid w:val="0"/>
        <w:spacing w:line="360" w:lineRule="auto"/>
        <w:ind w:firstLine="422"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9.3报价响应文件</w:t>
      </w:r>
    </w:p>
    <w:p w14:paraId="6F1D0623">
      <w:pPr>
        <w:numPr>
          <w:ilvl w:val="0"/>
          <w:numId w:val="12"/>
        </w:numPr>
        <w:adjustRightInd w:val="0"/>
        <w:snapToGrid w:val="0"/>
        <w:spacing w:line="360" w:lineRule="auto"/>
        <w:ind w:left="991" w:hanging="571"/>
        <w:jc w:val="left"/>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报价响应文件封面；</w:t>
      </w:r>
    </w:p>
    <w:p w14:paraId="3EF552FC">
      <w:pPr>
        <w:numPr>
          <w:ilvl w:val="0"/>
          <w:numId w:val="12"/>
        </w:numPr>
        <w:adjustRightInd w:val="0"/>
        <w:snapToGrid w:val="0"/>
        <w:spacing w:line="360" w:lineRule="auto"/>
        <w:ind w:left="991" w:hanging="571"/>
        <w:jc w:val="left"/>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报价响应文件目录；</w:t>
      </w:r>
    </w:p>
    <w:p w14:paraId="7EEF9F16">
      <w:pPr>
        <w:numPr>
          <w:ilvl w:val="0"/>
          <w:numId w:val="12"/>
        </w:numPr>
        <w:adjustRightInd w:val="0"/>
        <w:snapToGrid w:val="0"/>
        <w:spacing w:line="360" w:lineRule="auto"/>
        <w:ind w:left="991" w:hanging="571"/>
        <w:jc w:val="left"/>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开标一览表；</w:t>
      </w:r>
    </w:p>
    <w:p w14:paraId="6F357E21">
      <w:pPr>
        <w:numPr>
          <w:ilvl w:val="0"/>
          <w:numId w:val="12"/>
        </w:numPr>
        <w:adjustRightInd w:val="0"/>
        <w:snapToGrid w:val="0"/>
        <w:spacing w:line="360" w:lineRule="auto"/>
        <w:ind w:left="991" w:hanging="571"/>
        <w:jc w:val="left"/>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投标报价明细表；</w:t>
      </w:r>
    </w:p>
    <w:p w14:paraId="5FC2EDCA">
      <w:pPr>
        <w:numPr>
          <w:ilvl w:val="0"/>
          <w:numId w:val="12"/>
        </w:numPr>
        <w:tabs>
          <w:tab w:val="left" w:pos="840"/>
          <w:tab w:val="left" w:pos="1050"/>
        </w:tabs>
        <w:adjustRightInd w:val="0"/>
        <w:snapToGrid w:val="0"/>
        <w:spacing w:line="360" w:lineRule="auto"/>
        <w:ind w:left="11" w:firstLine="407"/>
        <w:jc w:val="left"/>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投标人认为需要的其他报价相关文件或说明。</w:t>
      </w:r>
    </w:p>
    <w:p w14:paraId="1DB0661E">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10．投标函</w:t>
      </w:r>
    </w:p>
    <w:p w14:paraId="1BC68AC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10.1 投标人应完整地填写采购文件中提供的投标函和投标相关附件。</w:t>
      </w:r>
    </w:p>
    <w:p w14:paraId="2030F470">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10.2 投标文件应当对采购文件中有关投标有效期、采购需求等实质性内容作出响应。投标人在满足采购文件实质性要求的基础上，可以提出比采购文件要求更有利于采购人的承诺。</w:t>
      </w:r>
    </w:p>
    <w:p w14:paraId="300A9BEC">
      <w:pPr>
        <w:pStyle w:val="9"/>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11．投标报价</w:t>
      </w:r>
    </w:p>
    <w:p w14:paraId="312F8FDB">
      <w:pPr>
        <w:keepNext w:val="0"/>
        <w:keepLines w:val="0"/>
        <w:pageBreakBefore w:val="0"/>
        <w:widowControl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本项目采用总价包干，投标人应充分了解影响投标报价的</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rPr>
        <w:t>要素。由于方案不完善而造成合同价格不准确的风险由投标人自行承担。因方案不完善而调整的内容，不因采购人要求做价款调整。</w:t>
      </w:r>
    </w:p>
    <w:p w14:paraId="21897208">
      <w:pPr>
        <w:keepNext w:val="0"/>
        <w:keepLines w:val="0"/>
        <w:pageBreakBefore w:val="0"/>
        <w:widowControl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除非合同中另有规定，投标人的报价应包括完成本项目的全部费用，还</w:t>
      </w:r>
      <w:r>
        <w:rPr>
          <w:rFonts w:hint="eastAsia" w:ascii="宋体" w:hAnsi="宋体" w:eastAsia="宋体" w:cs="宋体"/>
          <w:color w:val="auto"/>
          <w:szCs w:val="21"/>
          <w:highlight w:val="none"/>
          <w:lang w:val="en-US" w:eastAsia="zh-CN"/>
        </w:rPr>
        <w:t>包含</w:t>
      </w:r>
      <w:r>
        <w:rPr>
          <w:rFonts w:hint="eastAsia" w:ascii="宋体" w:hAnsi="宋体" w:eastAsia="宋体" w:cs="宋体"/>
          <w:color w:val="auto"/>
          <w:szCs w:val="21"/>
          <w:highlight w:val="none"/>
        </w:rPr>
        <w:t>有关本项目所需相关技术支持服务费用、税金及采购代理服务费等所有费用。</w:t>
      </w:r>
    </w:p>
    <w:p w14:paraId="4C017634">
      <w:pPr>
        <w:keepNext w:val="0"/>
        <w:keepLines w:val="0"/>
        <w:pageBreakBefore w:val="0"/>
        <w:widowControl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投标人应对采购文件内所要招标的全部内容进行报价，只投其中部分内容者，其投标将被拒绝。</w:t>
      </w:r>
    </w:p>
    <w:p w14:paraId="2CF5DDB4">
      <w:pPr>
        <w:keepNext w:val="0"/>
        <w:keepLines w:val="0"/>
        <w:pageBreakBefore w:val="0"/>
        <w:widowControl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投标内容只允许一个报价，采购人不接受任何</w:t>
      </w:r>
      <w:r>
        <w:rPr>
          <w:rFonts w:hint="eastAsia" w:ascii="宋体" w:hAnsi="宋体" w:eastAsia="宋体" w:cs="宋体"/>
          <w:color w:val="auto"/>
          <w:szCs w:val="21"/>
          <w:highlight w:val="none"/>
          <w:lang w:eastAsia="zh-CN"/>
        </w:rPr>
        <w:t>有选择性地</w:t>
      </w:r>
      <w:r>
        <w:rPr>
          <w:rFonts w:hint="eastAsia" w:ascii="宋体" w:hAnsi="宋体" w:eastAsia="宋体" w:cs="宋体"/>
          <w:color w:val="auto"/>
          <w:szCs w:val="21"/>
          <w:highlight w:val="none"/>
        </w:rPr>
        <w:t>投标报价。</w:t>
      </w:r>
    </w:p>
    <w:p w14:paraId="4B3CDD16">
      <w:pPr>
        <w:pStyle w:val="9"/>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12．投标货币</w:t>
      </w:r>
    </w:p>
    <w:p w14:paraId="76DEB989">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投标人用人民币报价。</w:t>
      </w:r>
    </w:p>
    <w:p w14:paraId="6BC1F79B">
      <w:pPr>
        <w:pStyle w:val="9"/>
        <w:numPr>
          <w:ilvl w:val="0"/>
          <w:numId w:val="13"/>
        </w:numPr>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投标保证金</w:t>
      </w:r>
    </w:p>
    <w:p w14:paraId="10803B44">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本项目不收取投标保证金。但违反政府采购相关规定给采购人造成损失的，投标人应当承担赔偿责任。</w:t>
      </w:r>
    </w:p>
    <w:p w14:paraId="28EBE84D">
      <w:pPr>
        <w:pStyle w:val="9"/>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14．投标有效期</w:t>
      </w:r>
    </w:p>
    <w:p w14:paraId="07393A8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投标文件在</w:t>
      </w:r>
      <w:r>
        <w:rPr>
          <w:rFonts w:hint="eastAsia" w:ascii="宋体" w:hAnsi="宋体" w:eastAsia="宋体" w:cs="宋体"/>
          <w:color w:val="auto"/>
          <w:highlight w:val="none"/>
        </w:rPr>
        <w:t>提交投标文件的截止之日起算</w:t>
      </w:r>
      <w:r>
        <w:rPr>
          <w:rFonts w:hint="eastAsia" w:ascii="宋体" w:hAnsi="宋体" w:eastAsia="宋体" w:cs="宋体"/>
          <w:snapToGrid w:val="0"/>
          <w:color w:val="auto"/>
          <w:kern w:val="0"/>
          <w:szCs w:val="21"/>
          <w:highlight w:val="none"/>
        </w:rPr>
        <w:t>90个日历天内有效</w:t>
      </w:r>
      <w:r>
        <w:rPr>
          <w:rFonts w:hint="eastAsia" w:ascii="宋体" w:hAnsi="宋体" w:eastAsia="宋体" w:cs="宋体"/>
          <w:color w:val="auto"/>
          <w:szCs w:val="21"/>
          <w:highlight w:val="none"/>
        </w:rPr>
        <w:t>，不足有效期的，其投标视为无效标</w:t>
      </w:r>
      <w:r>
        <w:rPr>
          <w:rFonts w:hint="eastAsia" w:ascii="宋体" w:hAnsi="宋体" w:eastAsia="宋体" w:cs="宋体"/>
          <w:snapToGrid w:val="0"/>
          <w:color w:val="auto"/>
          <w:kern w:val="0"/>
          <w:szCs w:val="21"/>
          <w:highlight w:val="none"/>
        </w:rPr>
        <w:t>。</w:t>
      </w:r>
    </w:p>
    <w:p w14:paraId="1684F025">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6DC9264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中标供应商的投标文件自开标之日起至合同履行完毕止均应保持有效。</w:t>
      </w:r>
    </w:p>
    <w:p w14:paraId="044D7E2A">
      <w:pPr>
        <w:pStyle w:val="9"/>
        <w:snapToGrid w:val="0"/>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15．投标文件的式样</w:t>
      </w:r>
    </w:p>
    <w:p w14:paraId="5A13D814">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15.1 投标人通过“政采云”平台制作电子投标文件，投标文件制作详见“供应商-政府采购项目电子交易操作指南”。</w:t>
      </w:r>
    </w:p>
    <w:p w14:paraId="48ADE9B0">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15.2 投标文件是电子投标文件，电子投标文件形式包括“电子加密投标文件”和“备份投标文件”，在投标文件编制完成后同时生成。</w:t>
      </w:r>
    </w:p>
    <w:p w14:paraId="290F068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（1）“电子加密投标文件”是指通过“政采云电子交易客户端”完成投标文件编制后生成并加密的数据电文形式的投标文件。</w:t>
      </w:r>
    </w:p>
    <w:p w14:paraId="7358A36E">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14:paraId="03CD127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（3）电子投标文件应包括资格响应文件、商务技术响应文件、报价响应文件三部分内容。</w:t>
      </w:r>
    </w:p>
    <w:p w14:paraId="169E0D0D">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15.3 投标文件中投标函、授权委托书的格式、签字、盖章及内容均应符合采购文件格式要求，否则投标文件无效。</w:t>
      </w:r>
    </w:p>
    <w:p w14:paraId="5A57E605">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说明：凡采购文件要求投标人盖公章的部分，采用电子签章或加盖投标人公章后扫描上传的，均视为符合要求。</w:t>
      </w:r>
    </w:p>
    <w:p w14:paraId="26D07752">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15.4投标人应根据“政采云供应商项目采购－电子招投标操作指南”及本采购文件规定编制电子投标文件并进行关联定位，以便评标委员会在评标时，点击评分项，可直接定位到该评分项内容。</w:t>
      </w:r>
    </w:p>
    <w:p w14:paraId="2F4839A5">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如对采购文件的某项要求，投标人的投标文件未能提供相应的内容与其对应，则评标委员会在评审时会提示投标人未对此项招标要求提供相应内容。由此产生的评分影响由投标人自行承担。</w:t>
      </w:r>
    </w:p>
    <w:p w14:paraId="374D4FA7">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投标文件内容不完整、编排混乱导致投标文件被误读、漏读，或者在按采购文件规定的部分查找不到相关内容的，是投标人的责任。</w:t>
      </w:r>
    </w:p>
    <w:p w14:paraId="4A2588F5">
      <w:pPr>
        <w:pStyle w:val="4"/>
        <w:snapToGrid w:val="0"/>
        <w:spacing w:before="0" w:after="0" w:line="360" w:lineRule="auto"/>
        <w:rPr>
          <w:rFonts w:hint="eastAsia" w:ascii="宋体" w:hAnsi="宋体" w:eastAsia="宋体" w:cs="宋体"/>
          <w:color w:val="auto"/>
          <w:sz w:val="21"/>
          <w:szCs w:val="21"/>
          <w:highlight w:val="none"/>
        </w:rPr>
      </w:pPr>
      <w:bookmarkStart w:id="75" w:name="_Toc4343"/>
      <w:bookmarkStart w:id="76" w:name="_Toc1575"/>
      <w:bookmarkStart w:id="77" w:name="_Toc19334"/>
      <w:bookmarkStart w:id="78" w:name="_Toc240450080"/>
      <w:bookmarkStart w:id="79" w:name="_Toc10757"/>
      <w:bookmarkStart w:id="80" w:name="_Toc251566653"/>
      <w:bookmarkStart w:id="81" w:name="_Toc11108"/>
      <w:bookmarkStart w:id="82" w:name="_Toc27241"/>
      <w:bookmarkStart w:id="83" w:name="_Toc23032"/>
      <w:r>
        <w:rPr>
          <w:rFonts w:hint="eastAsia" w:ascii="宋体" w:hAnsi="宋体" w:eastAsia="宋体" w:cs="宋体"/>
          <w:color w:val="auto"/>
          <w:sz w:val="21"/>
          <w:szCs w:val="21"/>
          <w:highlight w:val="none"/>
        </w:rPr>
        <w:t>四、投标文件的递交</w:t>
      </w:r>
      <w:bookmarkEnd w:id="75"/>
      <w:bookmarkEnd w:id="76"/>
      <w:bookmarkEnd w:id="77"/>
      <w:bookmarkEnd w:id="78"/>
      <w:bookmarkEnd w:id="79"/>
      <w:bookmarkEnd w:id="80"/>
      <w:bookmarkEnd w:id="81"/>
      <w:bookmarkEnd w:id="82"/>
      <w:bookmarkEnd w:id="83"/>
    </w:p>
    <w:p w14:paraId="2DFE932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16．投标文件的递交</w:t>
      </w:r>
    </w:p>
    <w:p w14:paraId="0706B03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16.1 电子加密投标文件：投标文件制作完成并生成加密标书，在投标截止时间前，投标人需将加密的投标文件上传至政采云平台，到达开标时间后，解密投标文件。</w:t>
      </w:r>
    </w:p>
    <w:p w14:paraId="335007D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16.1.1投标人未能在投标截止时间前成功上传电子加密投标文件的投标无效。</w:t>
      </w:r>
    </w:p>
    <w:p w14:paraId="7A21F95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16.1.2投标人成功上传电子加密投标文件后，可自行打印投标文件接收回执。</w:t>
      </w:r>
    </w:p>
    <w:p w14:paraId="53BDEB2B">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16.2备份投标文件：</w:t>
      </w:r>
    </w:p>
    <w:p w14:paraId="3AD5927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16.2.1投标人在电子交易平台传输递交投标文件后，还可以在投标文件上传截止时间前直接提交或者以快递方式递交备份投标文件1份，但采购人、采购代理机构不强制或变相强制投标人提交备份投标文件。</w:t>
      </w:r>
    </w:p>
    <w:p w14:paraId="7E256B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14:paraId="48E21C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16.2.3直接提交备份投标文件的，投标人应于投标文件上传截止时间前将备份投标文件提交给采购代理机构，采购代理机构将拒绝接受逾期送达的备份投标文件。</w:t>
      </w:r>
    </w:p>
    <w:p w14:paraId="17BFD8B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7305A14">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16.2.5投标人仅提交备份投标文件，没有在电子交易平台传输递交投标文件的，投标无效。通过“政府采购云平台”上传递交的投标文件无法按时解密，投标供应商递交了备份投标文件的，以备份投标文件为依据，否则按照《浙江省政府采购项目电子交易管理暂行办法</w:t>
      </w: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rPr>
        <w:t>二十四条规定视为投标（响应）文件撤回</w:t>
      </w:r>
      <w:r>
        <w:rPr>
          <w:rFonts w:hint="eastAsia" w:ascii="宋体" w:hAnsi="宋体" w:eastAsia="宋体" w:cs="宋体"/>
          <w:color w:val="auto"/>
          <w:highlight w:val="none"/>
        </w:rPr>
        <w:t>。</w:t>
      </w:r>
    </w:p>
    <w:p w14:paraId="59FFEB07">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17．投标截止期</w:t>
      </w:r>
    </w:p>
    <w:p w14:paraId="119B5BF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17.1 投标人应按前附表规定的日期、时间和方式上传、递交投标文件。</w:t>
      </w:r>
    </w:p>
    <w:p w14:paraId="23BC42E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17.2 采购人可以按本须知第7条规定，通过修改采购文件适当延长投标截止日期。在此情况下，采购人与投标人受投标截止期制约的所有权利和义务均应延长至新的截止期。</w:t>
      </w:r>
    </w:p>
    <w:p w14:paraId="27337033">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18．迟交的投标文件</w:t>
      </w:r>
    </w:p>
    <w:p w14:paraId="21B0407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在本须知第17条规定的截止期后提交（上传）的任何投标文件，采购人将不予接收。</w:t>
      </w:r>
    </w:p>
    <w:p w14:paraId="725939DD">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19．投标文件的修改与撤回</w:t>
      </w:r>
    </w:p>
    <w:p w14:paraId="23645BCE">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7474D8E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在投标截止期之后，投标人不得对其投标作任何修改。</w:t>
      </w:r>
    </w:p>
    <w:p w14:paraId="72802E0B">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从投标截止期至投标人在投标函格式中确定的投标有效期期满这段时间内，投标人不得撤回其投标。</w:t>
      </w:r>
    </w:p>
    <w:p w14:paraId="193CE7A0">
      <w:pPr>
        <w:pStyle w:val="4"/>
        <w:snapToGrid w:val="0"/>
        <w:spacing w:before="0" w:after="0" w:line="360" w:lineRule="auto"/>
        <w:rPr>
          <w:rFonts w:hint="eastAsia" w:ascii="宋体" w:hAnsi="宋体" w:eastAsia="宋体" w:cs="宋体"/>
          <w:color w:val="auto"/>
          <w:sz w:val="21"/>
          <w:szCs w:val="21"/>
          <w:highlight w:val="none"/>
        </w:rPr>
      </w:pPr>
      <w:bookmarkStart w:id="84" w:name="_Toc29187"/>
      <w:bookmarkStart w:id="85" w:name="_Toc251566654"/>
      <w:bookmarkStart w:id="86" w:name="_Toc8191"/>
      <w:bookmarkStart w:id="87" w:name="_Toc240450081"/>
      <w:bookmarkStart w:id="88" w:name="_Toc14566"/>
      <w:bookmarkStart w:id="89" w:name="_Toc13980"/>
      <w:bookmarkStart w:id="90" w:name="_Toc13578"/>
      <w:bookmarkStart w:id="91" w:name="_Toc28927"/>
      <w:bookmarkStart w:id="92" w:name="_Toc11102"/>
      <w:r>
        <w:rPr>
          <w:rFonts w:hint="eastAsia" w:ascii="宋体" w:hAnsi="宋体" w:eastAsia="宋体" w:cs="宋体"/>
          <w:color w:val="auto"/>
          <w:sz w:val="21"/>
          <w:szCs w:val="21"/>
          <w:highlight w:val="none"/>
        </w:rPr>
        <w:t>五、开标与评标</w:t>
      </w:r>
      <w:bookmarkEnd w:id="84"/>
      <w:bookmarkEnd w:id="85"/>
      <w:bookmarkEnd w:id="86"/>
      <w:bookmarkEnd w:id="87"/>
      <w:bookmarkEnd w:id="88"/>
      <w:bookmarkEnd w:id="89"/>
      <w:bookmarkEnd w:id="90"/>
      <w:bookmarkEnd w:id="91"/>
      <w:bookmarkEnd w:id="92"/>
    </w:p>
    <w:p w14:paraId="21CEBF5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20．开标</w:t>
      </w:r>
    </w:p>
    <w:p w14:paraId="6090FE80">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20.1 采购人将于采购公告规定的时间和地点公开开标。若采购人按本须知第7条规定，通过修改采购文件更改了开标时间和地点的，以后者为准。</w:t>
      </w:r>
    </w:p>
    <w:p w14:paraId="745C202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20.2开评标期间，投标人代表应在线操作，并关注政采云有关信息公布、澄清等情况。投标人代表不参加开标程序的，事后不得对采购相关人员、开标过程和开标结果提出异议。</w:t>
      </w:r>
    </w:p>
    <w:p w14:paraId="3EAB208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20.3 开标程序</w:t>
      </w:r>
    </w:p>
    <w:p w14:paraId="3C90EA37">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详见前附表序号第22项。</w:t>
      </w:r>
    </w:p>
    <w:p w14:paraId="58D9DB12">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21．评标</w:t>
      </w:r>
    </w:p>
    <w:p w14:paraId="425E8BBD">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详见采购文件第五部分“评标办法”。</w:t>
      </w:r>
    </w:p>
    <w:p w14:paraId="5424A60F">
      <w:pPr>
        <w:tabs>
          <w:tab w:val="left" w:pos="900"/>
          <w:tab w:val="left" w:pos="1080"/>
        </w:tabs>
        <w:adjustRightInd w:val="0"/>
        <w:snapToGrid w:val="0"/>
        <w:spacing w:line="360" w:lineRule="auto"/>
        <w:ind w:firstLine="422"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22．串通投标</w:t>
      </w:r>
    </w:p>
    <w:p w14:paraId="706DCC6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有下列情形之一的，视为供应商串通投标，其投标无效：</w:t>
      </w:r>
    </w:p>
    <w:p w14:paraId="574DD31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（1）不同供应商的投标文件由同一单位或者个人编制；</w:t>
      </w:r>
    </w:p>
    <w:p w14:paraId="0CFBA0B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（2）不同供应商委托同一单位或者个人办理投标事宜；</w:t>
      </w:r>
    </w:p>
    <w:p w14:paraId="60C37EA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（3）不同供应商的投标文件载明的项目管理成员或者联系人员为同一人；</w:t>
      </w:r>
    </w:p>
    <w:p w14:paraId="13767C5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（4）不同供应商的投标文件异常一致或者投标报价呈规律性差异；</w:t>
      </w:r>
    </w:p>
    <w:p w14:paraId="3ABD3A5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（5）不同供应商的投标文件相互混装。</w:t>
      </w:r>
    </w:p>
    <w:p w14:paraId="7AD263D1">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23．废标</w:t>
      </w:r>
    </w:p>
    <w:p w14:paraId="11E3013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23.1根据《中华人民共和国政府采购法》第三十六条，出现下列情形之一的，应予以废标：</w:t>
      </w:r>
    </w:p>
    <w:p w14:paraId="2356586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（1）符合专业条件的供应商或者对采购文件</w:t>
      </w:r>
      <w:r>
        <w:rPr>
          <w:rFonts w:hint="eastAsia" w:ascii="宋体" w:hAnsi="宋体" w:eastAsia="宋体" w:cs="宋体"/>
          <w:snapToGrid w:val="0"/>
          <w:color w:val="auto"/>
          <w:kern w:val="0"/>
          <w:szCs w:val="21"/>
          <w:highlight w:val="none"/>
          <w:lang w:eastAsia="zh-CN"/>
        </w:rPr>
        <w:t>做</w:t>
      </w:r>
      <w:r>
        <w:rPr>
          <w:rFonts w:hint="eastAsia" w:ascii="宋体" w:hAnsi="宋体" w:eastAsia="宋体" w:cs="宋体"/>
          <w:snapToGrid w:val="0"/>
          <w:color w:val="auto"/>
          <w:kern w:val="0"/>
          <w:szCs w:val="21"/>
          <w:highlight w:val="none"/>
        </w:rPr>
        <w:t>实质响应的供应商不足三家的；</w:t>
      </w:r>
    </w:p>
    <w:p w14:paraId="6AE25A20">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（2）出现影响采购公正的违法、违规行为的；</w:t>
      </w:r>
    </w:p>
    <w:p w14:paraId="536EDEA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（3）所有投标人的报价均超过了采购预算，采购人不能支付的；</w:t>
      </w:r>
    </w:p>
    <w:p w14:paraId="6C8A91F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（4）因重大变故，采购任务取消的。</w:t>
      </w:r>
    </w:p>
    <w:p w14:paraId="0582C41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 废标后，采购人应当将废标理由通知所有投标人并重新组织招标；或者经主管部门批准，采取其他方式组织采购。</w:t>
      </w:r>
    </w:p>
    <w:p w14:paraId="614AE787">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24．电子交易活动中止</w:t>
      </w:r>
    </w:p>
    <w:p w14:paraId="04E59063">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24.1采购过程中出现以下情形，导致电子交易平台无法正常运行，或者无法保证电子交易的公平、公正和安全时，采购组织机构可中止电子交易活动：</w:t>
      </w:r>
    </w:p>
    <w:p w14:paraId="51A02A5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（1）电子交易平台发生故障而无法登录访问的； </w:t>
      </w:r>
    </w:p>
    <w:p w14:paraId="401D8D6D">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（2）电子交易平台应用或数据库出现错误，不能进行正常操作的；</w:t>
      </w:r>
    </w:p>
    <w:p w14:paraId="7CEA1DFD">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（3）电子交易平台发现严重安全漏洞，有潜在泄密危险的；</w:t>
      </w:r>
    </w:p>
    <w:p w14:paraId="4EED0114">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（4）病毒发作导致不能进行正常操作的； </w:t>
      </w:r>
    </w:p>
    <w:p w14:paraId="4F7BEB6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（5）其他无法保证电子交易的公平、公正和安全的情况。</w:t>
      </w:r>
    </w:p>
    <w:p w14:paraId="68E1084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24.2出现前款规定情形，不影响采购公平、公正性的，采购组织机构可以待上述情形消除后继续组织电子交易活动，也可以决定某些环节以纸质形式进行；影响或可能影响采购公平、公正性的，应当重新采购。</w:t>
      </w:r>
    </w:p>
    <w:p w14:paraId="1A0C8CB9">
      <w:pPr>
        <w:pStyle w:val="4"/>
        <w:snapToGrid w:val="0"/>
        <w:spacing w:before="0" w:after="0" w:line="360" w:lineRule="auto"/>
        <w:rPr>
          <w:rFonts w:hint="eastAsia" w:ascii="宋体" w:hAnsi="宋体" w:eastAsia="宋体" w:cs="宋体"/>
          <w:color w:val="auto"/>
          <w:sz w:val="21"/>
          <w:szCs w:val="21"/>
          <w:highlight w:val="none"/>
        </w:rPr>
      </w:pPr>
      <w:bookmarkStart w:id="93" w:name="_Toc30618"/>
      <w:bookmarkStart w:id="94" w:name="_Toc240450082"/>
      <w:bookmarkStart w:id="95" w:name="_Toc13028"/>
      <w:bookmarkStart w:id="96" w:name="_Toc251566655"/>
      <w:bookmarkStart w:id="97" w:name="_Toc29703"/>
      <w:bookmarkStart w:id="98" w:name="_Toc26186"/>
      <w:r>
        <w:rPr>
          <w:rFonts w:hint="eastAsia" w:ascii="宋体" w:hAnsi="宋体" w:eastAsia="宋体" w:cs="宋体"/>
          <w:color w:val="auto"/>
          <w:sz w:val="21"/>
          <w:szCs w:val="21"/>
          <w:highlight w:val="none"/>
        </w:rPr>
        <w:t>六、确定中标供应商及授予合同</w:t>
      </w:r>
      <w:bookmarkEnd w:id="93"/>
      <w:bookmarkEnd w:id="94"/>
      <w:bookmarkEnd w:id="95"/>
      <w:bookmarkEnd w:id="96"/>
      <w:bookmarkEnd w:id="97"/>
      <w:bookmarkEnd w:id="98"/>
    </w:p>
    <w:p w14:paraId="753F241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25．中标供应商的确定</w:t>
      </w:r>
    </w:p>
    <w:p w14:paraId="28CB99E9">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25.1 采购代理机构应当自评审结束之日起2个工作日内将评审报告送交采购人。</w:t>
      </w:r>
    </w:p>
    <w:p w14:paraId="4EAAE1C5">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人应当自收到评标报告之日起5个工作日内，在评标报告确定的中标候选人名单中按顺序确定1名中标供应商。中标候选人并列的，由采购人或者采购人委托评标委员会按照采购文件规定的方式确定中标供应商；采购文件未规定的，采取随机抽取的方式确定。</w:t>
      </w:r>
    </w:p>
    <w:p w14:paraId="0400F1A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220EE104">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采购人或者采购代理机构应当自中标供应商确定之日起2个工作日内，在省级以上财政部门指定的媒体上公告中标结果，</w:t>
      </w:r>
      <w:r>
        <w:rPr>
          <w:rFonts w:hint="eastAsia" w:ascii="宋体" w:hAnsi="宋体" w:eastAsia="宋体" w:cs="宋体"/>
          <w:b/>
          <w:bCs/>
          <w:snapToGrid w:val="0"/>
          <w:color w:val="auto"/>
          <w:kern w:val="0"/>
          <w:szCs w:val="21"/>
          <w:highlight w:val="none"/>
          <w:u w:val="single"/>
        </w:rPr>
        <w:t>同时在政采云系统中发出中标通知书，中标供应商应自行下载获取。</w:t>
      </w:r>
      <w:r>
        <w:rPr>
          <w:rFonts w:hint="eastAsia" w:ascii="宋体" w:hAnsi="宋体" w:eastAsia="宋体" w:cs="宋体"/>
          <w:snapToGrid w:val="0"/>
          <w:color w:val="auto"/>
          <w:kern w:val="0"/>
          <w:szCs w:val="21"/>
          <w:highlight w:val="none"/>
        </w:rPr>
        <w:t>中标供应商享受中小企业扶持政策的，采购人、采购代理机构应当随中标结果公开中标供应商的《中小企业声明函》等。</w:t>
      </w:r>
    </w:p>
    <w:p w14:paraId="1985634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公告期限为1个工作日。</w:t>
      </w:r>
    </w:p>
    <w:p w14:paraId="18A722DB">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25.2 除国务院财政部门规定的情形外，采购人、采购代理机构不得以任何理由组织重新评审。采购人、采购代理机构按照国务院财政部门的规定组织重新评审的，应当书面报告本级人民政府财政部门。</w:t>
      </w:r>
    </w:p>
    <w:p w14:paraId="5A634163">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25.3中标通知书发出后，采购人不得违法改变中标结果，中标供应商无正当理由不得放弃中标。 </w:t>
      </w:r>
    </w:p>
    <w:p w14:paraId="66E23FEE">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26．合同授予</w:t>
      </w:r>
    </w:p>
    <w:p w14:paraId="332C8222">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26.1 本项目的合同将授予按本须知第25.1款所确定的中标供应商。</w:t>
      </w:r>
    </w:p>
    <w:p w14:paraId="3AEA283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26.2 中标或者中标供应商拒绝与采购人签订合同的，采购人可以按照评审报告推荐的中标或者成交候选人名单排序，确定下一候选人为中标或者中标供应商，也可以重新开展政府采购活动。</w:t>
      </w:r>
    </w:p>
    <w:p w14:paraId="6D4EC24E">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27．签订合同</w:t>
      </w:r>
    </w:p>
    <w:p w14:paraId="4FB93B49">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14:paraId="3839080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27.2 中标供应商如不遵守采购文件或投标文件各项条款的邀约与要约，或在接到中标通知书后借故拖延，拒签合同的，采购人将依据国家和采购文件有关规定要求中标供应商予以赔偿，同时采购人可根据26.2的原则另行选择中标供应商。</w:t>
      </w:r>
    </w:p>
    <w:p w14:paraId="3E6CDCD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27.3 采购文件、中标供应商的投标文件及投标修改文件、评标过程中有关澄清文件及经投标人法定代表人或授权代表签字确认或加盖公章的询标回复和承诺及中标通知书均作为合同组成部分。</w:t>
      </w:r>
    </w:p>
    <w:p w14:paraId="38CEF858">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28．履约保证金</w:t>
      </w:r>
    </w:p>
    <w:p w14:paraId="75297691">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14:paraId="650F720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29.采购代理服务费</w:t>
      </w:r>
    </w:p>
    <w:p w14:paraId="63ED854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本项目的采购代理费由中标供应商支付，</w:t>
      </w:r>
      <w:r>
        <w:rPr>
          <w:rFonts w:hint="eastAsia" w:ascii="宋体" w:hAnsi="宋体" w:eastAsia="宋体" w:cs="宋体"/>
          <w:color w:val="auto"/>
          <w:szCs w:val="21"/>
          <w:highlight w:val="none"/>
        </w:rPr>
        <w:t>收费标准详见前附表。</w:t>
      </w:r>
    </w:p>
    <w:p w14:paraId="1B788757">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30.质疑与投诉</w:t>
      </w:r>
    </w:p>
    <w:p w14:paraId="5E239D9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0AA5110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质疑函范本、投诉书范本详见本文件第七部分。</w:t>
      </w:r>
    </w:p>
    <w:p w14:paraId="501F0536">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30.1供应商询问</w:t>
      </w:r>
    </w:p>
    <w:p w14:paraId="7F9AED0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供应商对政府采购活动事项有疑问的，可以向采购代理机构提出询问，采购人或者采购代理机构应当在3个工作日内对供应商依法提出的询问作出答复，但答复的内容不得涉及商业秘密。</w:t>
      </w:r>
    </w:p>
    <w:p w14:paraId="7C8DF0C1">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30.2供应商质疑</w:t>
      </w:r>
    </w:p>
    <w:p w14:paraId="7883CCA2">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30.2.1投标人认为采购文件、采购过程、中标或者成交结果使自己的权益受到损害的，可以在知道或者应知其权益受到损害之日起7个工作日内，以书面形式向采购人、采购代理机构提出质疑。</w:t>
      </w:r>
    </w:p>
    <w:p w14:paraId="52F180E7">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本项目要求投标人在法定质疑期内一次性提出针对同一采购程序环节的质疑。</w:t>
      </w:r>
    </w:p>
    <w:p w14:paraId="380E454E">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30.2.2提出质疑的投标人（以下简称质疑人）应当是参与所质疑项目采购活动的投标人。</w:t>
      </w:r>
    </w:p>
    <w:p w14:paraId="3BBACEF7">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潜在投标人已依法获取其可质疑的采购文件的，可以对该文件提出质疑。对采购文件提出质疑的，应当在获取采购文件或者采购文件公告期限届满之日起7个工作日内提出。</w:t>
      </w:r>
    </w:p>
    <w:p w14:paraId="3D1FF1C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30.2.3投标人提出质疑应当提交质疑函和必要的证明材料。质疑函应当包括下列内容：</w:t>
      </w:r>
    </w:p>
    <w:p w14:paraId="1444DA9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（一）投标人的姓名或者名称、地址、邮编、联系人及联系电话；</w:t>
      </w:r>
    </w:p>
    <w:p w14:paraId="1A07B3E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（二）质疑项目的名称、编号；</w:t>
      </w:r>
    </w:p>
    <w:p w14:paraId="19A610D3">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（三）具体、明确的质疑事项和与质疑事项相关的请求；</w:t>
      </w:r>
    </w:p>
    <w:p w14:paraId="0C34E7CB">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（四）事实依据；</w:t>
      </w:r>
    </w:p>
    <w:p w14:paraId="2FDCAA4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（五）必要的法律依据；</w:t>
      </w:r>
    </w:p>
    <w:p w14:paraId="42D578F6">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（六）提出质疑的日期。</w:t>
      </w:r>
    </w:p>
    <w:p w14:paraId="4F7D3094">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投标人为自然人的，应当由本人签字；投标人为法人或者其他组织的，应当由法定代表人、主要负责人，或者其授权代表签字或者盖章，并加盖公章。</w:t>
      </w:r>
    </w:p>
    <w:p w14:paraId="65988C6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30.3.4采购人、采购代理机构在收到法定质疑期内发出的质疑函后7个工作日内作出答复，并以书面形式通知质疑人和其他有关投标人。质疑答复的内容不得涉及商业秘密。</w:t>
      </w:r>
    </w:p>
    <w:p w14:paraId="66868B4D">
      <w:pPr>
        <w:adjustRightInd w:val="0"/>
        <w:snapToGrid w:val="0"/>
        <w:spacing w:line="360" w:lineRule="auto"/>
        <w:ind w:firstLine="420" w:firstLineChars="200"/>
        <w:jc w:val="left"/>
        <w:rPr>
          <w:rFonts w:hint="eastAsia" w:ascii="宋体" w:hAnsi="宋体" w:eastAsia="宋体" w:cs="宋体"/>
          <w:i/>
          <w:iCs/>
          <w:snapToGrid w:val="0"/>
          <w:color w:val="auto"/>
          <w:kern w:val="0"/>
          <w:szCs w:val="21"/>
          <w:highlight w:val="none"/>
        </w:rPr>
      </w:pPr>
      <w:r>
        <w:rPr>
          <w:rFonts w:hint="eastAsia" w:ascii="宋体" w:hAnsi="宋体" w:eastAsia="宋体" w:cs="宋体"/>
          <w:snapToGrid w:val="0"/>
          <w:color w:val="auto"/>
          <w:kern w:val="0"/>
          <w:szCs w:val="21"/>
          <w:highlight w:val="none"/>
        </w:rPr>
        <w:t>30.3.5质疑答复内容应全面完整，质疑答复人应将质疑答复内容及时在浙江政府采购网公开，涉及国家秘密、个人隐私、商业秘密以及法律、法规规定应予保密的信息内容除外。</w:t>
      </w:r>
    </w:p>
    <w:p w14:paraId="51C8D01D">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30.3供应商投诉</w:t>
      </w:r>
    </w:p>
    <w:p w14:paraId="3FE80FBC">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质疑供应商对采购代理机构的答复不满意或者采购代理机构未在规定的时间内作出答复的，可以在答复期满后十五个工作日内向同级政府采购监督管理部门提出投诉。</w:t>
      </w:r>
    </w:p>
    <w:p w14:paraId="21D6C79F">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31．采购结束</w:t>
      </w:r>
    </w:p>
    <w:p w14:paraId="29C1CE95">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31.1中标供应商与采购人签订合同生效后即为采购结束。</w:t>
      </w:r>
    </w:p>
    <w:p w14:paraId="4534917B">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31.2本项目的投标文件不予退回。</w:t>
      </w:r>
    </w:p>
    <w:p w14:paraId="3496C497">
      <w:pPr>
        <w:adjustRightInd w:val="0"/>
        <w:snapToGrid w:val="0"/>
        <w:spacing w:line="360" w:lineRule="auto"/>
        <w:jc w:val="center"/>
        <w:outlineLvl w:val="0"/>
        <w:rPr>
          <w:rFonts w:hint="eastAsia" w:ascii="宋体" w:hAnsi="宋体" w:eastAsia="宋体" w:cs="宋体"/>
          <w:color w:val="auto"/>
          <w:sz w:val="36"/>
          <w:highlight w:val="none"/>
        </w:rPr>
      </w:pPr>
      <w:r>
        <w:rPr>
          <w:rFonts w:hint="eastAsia" w:ascii="宋体" w:hAnsi="宋体" w:eastAsia="宋体" w:cs="宋体"/>
          <w:b/>
          <w:bCs/>
          <w:color w:val="auto"/>
          <w:sz w:val="28"/>
          <w:szCs w:val="21"/>
          <w:highlight w:val="none"/>
        </w:rPr>
        <w:br w:type="page"/>
      </w:r>
      <w:bookmarkStart w:id="99" w:name="_Toc83616202"/>
      <w:bookmarkStart w:id="100" w:name="_Toc15185"/>
      <w:bookmarkStart w:id="101" w:name="_Toc22644"/>
      <w:bookmarkStart w:id="102" w:name="_Toc242012796"/>
      <w:bookmarkStart w:id="103" w:name="_Toc31190"/>
      <w:bookmarkStart w:id="104" w:name="_Toc22348"/>
      <w:bookmarkStart w:id="105" w:name="_Toc7411"/>
      <w:bookmarkStart w:id="106" w:name="_Toc10755"/>
      <w:r>
        <w:rPr>
          <w:rFonts w:hint="eastAsia" w:ascii="宋体" w:hAnsi="宋体" w:eastAsia="宋体" w:cs="宋体"/>
          <w:b/>
          <w:color w:val="auto"/>
          <w:sz w:val="30"/>
          <w:szCs w:val="30"/>
          <w:highlight w:val="none"/>
        </w:rPr>
        <w:t>第三部分</w:t>
      </w:r>
      <w:bookmarkEnd w:id="99"/>
      <w:r>
        <w:rPr>
          <w:rFonts w:hint="eastAsia" w:ascii="宋体" w:hAnsi="宋体" w:eastAsia="宋体" w:cs="宋体"/>
          <w:b/>
          <w:color w:val="auto"/>
          <w:sz w:val="30"/>
          <w:szCs w:val="30"/>
          <w:highlight w:val="none"/>
        </w:rPr>
        <w:t xml:space="preserve"> </w:t>
      </w:r>
      <w:bookmarkEnd w:id="100"/>
      <w:bookmarkEnd w:id="101"/>
      <w:bookmarkEnd w:id="102"/>
      <w:bookmarkEnd w:id="103"/>
      <w:bookmarkEnd w:id="104"/>
      <w:bookmarkEnd w:id="105"/>
      <w:r>
        <w:rPr>
          <w:rFonts w:hint="eastAsia" w:ascii="宋体" w:hAnsi="宋体" w:eastAsia="宋体" w:cs="宋体"/>
          <w:b/>
          <w:color w:val="auto"/>
          <w:sz w:val="30"/>
          <w:szCs w:val="30"/>
          <w:highlight w:val="none"/>
        </w:rPr>
        <w:t>采购需求</w:t>
      </w:r>
      <w:bookmarkEnd w:id="106"/>
    </w:p>
    <w:p w14:paraId="12AD777D">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107" w:name="_Toc17542"/>
      <w:r>
        <w:rPr>
          <w:rFonts w:hint="eastAsia" w:ascii="宋体" w:hAnsi="宋体" w:eastAsia="宋体" w:cs="宋体"/>
          <w:color w:val="auto"/>
          <w:sz w:val="21"/>
          <w:szCs w:val="21"/>
          <w:highlight w:val="none"/>
          <w:lang w:val="en-US" w:eastAsia="zh-CN"/>
        </w:rPr>
        <w:t>采购清单</w:t>
      </w:r>
      <w:bookmarkEnd w:id="10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165"/>
        <w:gridCol w:w="795"/>
        <w:gridCol w:w="2316"/>
        <w:gridCol w:w="1705"/>
      </w:tblGrid>
      <w:tr w14:paraId="4BE2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noWrap w:val="0"/>
            <w:vAlign w:val="center"/>
          </w:tcPr>
          <w:p w14:paraId="5BBAD0C3">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序号</w:t>
            </w:r>
          </w:p>
        </w:tc>
        <w:tc>
          <w:tcPr>
            <w:tcW w:w="3165" w:type="dxa"/>
            <w:noWrap w:val="0"/>
            <w:vAlign w:val="center"/>
          </w:tcPr>
          <w:p w14:paraId="7CFD5F22">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采购项目</w:t>
            </w:r>
          </w:p>
        </w:tc>
        <w:tc>
          <w:tcPr>
            <w:tcW w:w="795" w:type="dxa"/>
            <w:noWrap w:val="0"/>
            <w:vAlign w:val="center"/>
          </w:tcPr>
          <w:p w14:paraId="4D3C9365">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数量单位</w:t>
            </w:r>
          </w:p>
        </w:tc>
        <w:tc>
          <w:tcPr>
            <w:tcW w:w="2316" w:type="dxa"/>
            <w:noWrap w:val="0"/>
            <w:vAlign w:val="center"/>
          </w:tcPr>
          <w:p w14:paraId="56B0AE91">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技术规范和服务要求</w:t>
            </w:r>
          </w:p>
        </w:tc>
        <w:tc>
          <w:tcPr>
            <w:tcW w:w="1705" w:type="dxa"/>
            <w:noWrap w:val="0"/>
            <w:vAlign w:val="center"/>
          </w:tcPr>
          <w:p w14:paraId="780B303C">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备注</w:t>
            </w:r>
          </w:p>
        </w:tc>
      </w:tr>
      <w:tr w14:paraId="30A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41" w:type="dxa"/>
            <w:noWrap w:val="0"/>
            <w:vAlign w:val="center"/>
          </w:tcPr>
          <w:p w14:paraId="5783379C">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08" w:name="_Toc3153"/>
            <w:bookmarkStart w:id="109" w:name="_Toc32208"/>
            <w:bookmarkStart w:id="110" w:name="_Toc13991"/>
            <w:bookmarkStart w:id="111" w:name="_Toc4742"/>
            <w:r>
              <w:rPr>
                <w:rStyle w:val="38"/>
                <w:rFonts w:hint="eastAsia" w:ascii="宋体" w:hAnsi="宋体" w:eastAsia="宋体" w:cs="宋体"/>
                <w:b w:val="0"/>
                <w:bCs/>
                <w:color w:val="auto"/>
                <w:kern w:val="2"/>
                <w:sz w:val="21"/>
                <w:szCs w:val="21"/>
                <w:highlight w:val="none"/>
                <w:vertAlign w:val="baseline"/>
                <w:lang w:val="en-US" w:eastAsia="zh-CN" w:bidi="ar-SA"/>
              </w:rPr>
              <w:t>1</w:t>
            </w:r>
            <w:bookmarkEnd w:id="108"/>
            <w:bookmarkEnd w:id="109"/>
            <w:bookmarkEnd w:id="110"/>
            <w:bookmarkEnd w:id="111"/>
          </w:p>
        </w:tc>
        <w:tc>
          <w:tcPr>
            <w:tcW w:w="3165" w:type="dxa"/>
            <w:noWrap w:val="0"/>
            <w:vAlign w:val="center"/>
          </w:tcPr>
          <w:p w14:paraId="7496FF05">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12" w:name="_Toc10537"/>
            <w:bookmarkStart w:id="113" w:name="_Toc27980"/>
            <w:bookmarkStart w:id="114" w:name="_Toc5919"/>
            <w:bookmarkStart w:id="115" w:name="_Toc31591"/>
            <w:r>
              <w:rPr>
                <w:rStyle w:val="38"/>
                <w:rFonts w:hint="eastAsia" w:ascii="宋体" w:hAnsi="宋体" w:eastAsia="宋体" w:cs="宋体"/>
                <w:b w:val="0"/>
                <w:bCs/>
                <w:color w:val="auto"/>
                <w:kern w:val="2"/>
                <w:sz w:val="21"/>
                <w:szCs w:val="21"/>
                <w:highlight w:val="none"/>
                <w:vertAlign w:val="baseline"/>
                <w:lang w:val="en-US" w:eastAsia="zh-CN" w:bidi="ar-SA"/>
              </w:rPr>
              <w:t>智慧教室系统</w:t>
            </w:r>
            <w:bookmarkEnd w:id="112"/>
            <w:bookmarkEnd w:id="113"/>
            <w:bookmarkEnd w:id="114"/>
            <w:bookmarkEnd w:id="115"/>
          </w:p>
        </w:tc>
        <w:tc>
          <w:tcPr>
            <w:tcW w:w="795" w:type="dxa"/>
            <w:noWrap w:val="0"/>
            <w:vAlign w:val="center"/>
          </w:tcPr>
          <w:p w14:paraId="6AFCAC78">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16" w:name="_Toc24476"/>
            <w:bookmarkStart w:id="117" w:name="_Toc10236"/>
            <w:bookmarkStart w:id="118" w:name="_Toc18666"/>
            <w:bookmarkStart w:id="119" w:name="_Toc26843"/>
            <w:r>
              <w:rPr>
                <w:rStyle w:val="38"/>
                <w:rFonts w:hint="eastAsia" w:ascii="宋体" w:hAnsi="宋体" w:eastAsia="宋体" w:cs="宋体"/>
                <w:b w:val="0"/>
                <w:bCs/>
                <w:color w:val="auto"/>
                <w:kern w:val="2"/>
                <w:sz w:val="21"/>
                <w:szCs w:val="21"/>
                <w:highlight w:val="none"/>
                <w:vertAlign w:val="baseline"/>
                <w:lang w:val="en-US" w:eastAsia="zh-CN" w:bidi="ar-SA"/>
              </w:rPr>
              <w:t>1套</w:t>
            </w:r>
            <w:bookmarkEnd w:id="116"/>
            <w:bookmarkEnd w:id="117"/>
            <w:bookmarkEnd w:id="118"/>
            <w:bookmarkEnd w:id="119"/>
          </w:p>
        </w:tc>
        <w:tc>
          <w:tcPr>
            <w:tcW w:w="2316" w:type="dxa"/>
            <w:vMerge w:val="restart"/>
            <w:noWrap w:val="0"/>
            <w:vAlign w:val="center"/>
          </w:tcPr>
          <w:p w14:paraId="13E151BB">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20" w:name="_Toc26109"/>
            <w:bookmarkStart w:id="121" w:name="_Toc6681"/>
            <w:bookmarkStart w:id="122" w:name="_Toc20107"/>
            <w:bookmarkStart w:id="123" w:name="_Toc10904"/>
            <w:r>
              <w:rPr>
                <w:rStyle w:val="38"/>
                <w:rFonts w:hint="eastAsia" w:ascii="宋体" w:hAnsi="宋体" w:eastAsia="宋体" w:cs="宋体"/>
                <w:b w:val="0"/>
                <w:bCs/>
                <w:color w:val="auto"/>
                <w:kern w:val="2"/>
                <w:sz w:val="21"/>
                <w:szCs w:val="21"/>
                <w:highlight w:val="none"/>
                <w:vertAlign w:val="baseline"/>
                <w:lang w:val="en-US" w:eastAsia="zh-CN" w:bidi="ar-SA"/>
              </w:rPr>
              <w:t>详见技术要求</w:t>
            </w:r>
            <w:bookmarkEnd w:id="120"/>
            <w:bookmarkEnd w:id="121"/>
            <w:bookmarkEnd w:id="122"/>
            <w:bookmarkEnd w:id="123"/>
          </w:p>
        </w:tc>
        <w:tc>
          <w:tcPr>
            <w:tcW w:w="1705" w:type="dxa"/>
            <w:vMerge w:val="restart"/>
            <w:noWrap w:val="0"/>
            <w:vAlign w:val="center"/>
          </w:tcPr>
          <w:p w14:paraId="4AEA5C6A">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24" w:name="_Toc20691"/>
            <w:bookmarkStart w:id="125" w:name="_Toc28374"/>
            <w:bookmarkStart w:id="126" w:name="_Toc5006"/>
            <w:bookmarkStart w:id="127" w:name="_Toc9115"/>
            <w:r>
              <w:rPr>
                <w:rStyle w:val="38"/>
                <w:rFonts w:hint="eastAsia" w:ascii="宋体" w:hAnsi="宋体" w:eastAsia="宋体" w:cs="宋体"/>
                <w:b w:val="0"/>
                <w:bCs/>
                <w:color w:val="auto"/>
                <w:kern w:val="2"/>
                <w:sz w:val="21"/>
                <w:szCs w:val="21"/>
                <w:highlight w:val="none"/>
                <w:vertAlign w:val="baseline"/>
                <w:lang w:val="en-US" w:eastAsia="zh-CN" w:bidi="ar-SA"/>
              </w:rPr>
              <w:t>终验通过后，提供硬件三年免费质保</w:t>
            </w:r>
            <w:bookmarkEnd w:id="124"/>
            <w:r>
              <w:rPr>
                <w:rStyle w:val="38"/>
                <w:rFonts w:hint="eastAsia" w:ascii="宋体" w:hAnsi="宋体" w:eastAsia="宋体" w:cs="宋体"/>
                <w:b w:val="0"/>
                <w:bCs/>
                <w:color w:val="auto"/>
                <w:kern w:val="2"/>
                <w:sz w:val="21"/>
                <w:szCs w:val="21"/>
                <w:highlight w:val="none"/>
                <w:vertAlign w:val="baseline"/>
                <w:lang w:val="en-US" w:eastAsia="zh-CN" w:bidi="ar-SA"/>
              </w:rPr>
              <w:t>，</w:t>
            </w:r>
            <w:bookmarkEnd w:id="125"/>
            <w:bookmarkEnd w:id="126"/>
            <w:bookmarkEnd w:id="127"/>
          </w:p>
          <w:p w14:paraId="2C383398">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28" w:name="_Toc16830"/>
            <w:bookmarkStart w:id="129" w:name="_Toc18266"/>
            <w:bookmarkStart w:id="130" w:name="_Toc20146"/>
            <w:bookmarkStart w:id="131" w:name="_Toc10171"/>
            <w:r>
              <w:rPr>
                <w:rStyle w:val="38"/>
                <w:rFonts w:hint="eastAsia" w:ascii="宋体" w:hAnsi="宋体" w:eastAsia="宋体" w:cs="宋体"/>
                <w:b w:val="0"/>
                <w:bCs/>
                <w:color w:val="auto"/>
                <w:kern w:val="2"/>
                <w:sz w:val="21"/>
                <w:szCs w:val="21"/>
                <w:highlight w:val="none"/>
                <w:vertAlign w:val="baseline"/>
                <w:lang w:val="en-US" w:eastAsia="zh-CN" w:bidi="ar-SA"/>
              </w:rPr>
              <w:t>终验通过后，提供软件一年运维质保</w:t>
            </w:r>
            <w:bookmarkEnd w:id="128"/>
            <w:bookmarkEnd w:id="129"/>
            <w:bookmarkEnd w:id="130"/>
            <w:bookmarkEnd w:id="131"/>
          </w:p>
        </w:tc>
      </w:tr>
      <w:tr w14:paraId="0521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noWrap w:val="0"/>
            <w:vAlign w:val="center"/>
          </w:tcPr>
          <w:p w14:paraId="35FE4590">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32" w:name="_Toc11730"/>
            <w:bookmarkStart w:id="133" w:name="_Toc24330"/>
            <w:bookmarkStart w:id="134" w:name="_Toc26385"/>
            <w:r>
              <w:rPr>
                <w:rStyle w:val="38"/>
                <w:rFonts w:hint="eastAsia" w:ascii="宋体" w:hAnsi="宋体" w:eastAsia="宋体" w:cs="宋体"/>
                <w:b w:val="0"/>
                <w:bCs/>
                <w:color w:val="auto"/>
                <w:kern w:val="2"/>
                <w:sz w:val="21"/>
                <w:szCs w:val="21"/>
                <w:highlight w:val="none"/>
                <w:vertAlign w:val="baseline"/>
                <w:lang w:val="en-US" w:eastAsia="zh-CN" w:bidi="ar-SA"/>
              </w:rPr>
              <w:t>2</w:t>
            </w:r>
            <w:bookmarkEnd w:id="132"/>
            <w:bookmarkEnd w:id="133"/>
            <w:bookmarkEnd w:id="134"/>
          </w:p>
        </w:tc>
        <w:tc>
          <w:tcPr>
            <w:tcW w:w="3165" w:type="dxa"/>
            <w:noWrap w:val="0"/>
            <w:vAlign w:val="center"/>
          </w:tcPr>
          <w:p w14:paraId="61E5939C">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35" w:name="_Toc32585"/>
            <w:bookmarkStart w:id="136" w:name="_Toc19532"/>
            <w:bookmarkStart w:id="137" w:name="_Toc14610"/>
            <w:bookmarkStart w:id="138" w:name="_Toc217"/>
            <w:r>
              <w:rPr>
                <w:rStyle w:val="38"/>
                <w:rFonts w:hint="eastAsia" w:ascii="宋体" w:hAnsi="宋体" w:eastAsia="宋体" w:cs="宋体"/>
                <w:b w:val="0"/>
                <w:bCs/>
                <w:color w:val="auto"/>
                <w:kern w:val="2"/>
                <w:sz w:val="21"/>
                <w:szCs w:val="21"/>
                <w:highlight w:val="none"/>
                <w:vertAlign w:val="baseline"/>
                <w:lang w:val="en-US" w:eastAsia="zh-CN" w:bidi="ar-SA"/>
              </w:rPr>
              <w:t>教学信息化系统</w:t>
            </w:r>
            <w:bookmarkEnd w:id="135"/>
            <w:bookmarkEnd w:id="136"/>
            <w:bookmarkEnd w:id="137"/>
            <w:bookmarkEnd w:id="138"/>
          </w:p>
        </w:tc>
        <w:tc>
          <w:tcPr>
            <w:tcW w:w="795" w:type="dxa"/>
            <w:noWrap w:val="0"/>
            <w:vAlign w:val="center"/>
          </w:tcPr>
          <w:p w14:paraId="60EFCA5B">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39" w:name="_Toc29764"/>
            <w:bookmarkStart w:id="140" w:name="_Toc4979"/>
            <w:bookmarkStart w:id="141" w:name="_Toc10265"/>
            <w:bookmarkStart w:id="142" w:name="_Toc19418"/>
            <w:r>
              <w:rPr>
                <w:rStyle w:val="38"/>
                <w:rFonts w:hint="eastAsia" w:ascii="宋体" w:hAnsi="宋体" w:eastAsia="宋体" w:cs="宋体"/>
                <w:b w:val="0"/>
                <w:bCs/>
                <w:color w:val="auto"/>
                <w:kern w:val="2"/>
                <w:sz w:val="21"/>
                <w:szCs w:val="21"/>
                <w:highlight w:val="none"/>
                <w:vertAlign w:val="baseline"/>
                <w:lang w:val="en-US" w:eastAsia="zh-CN" w:bidi="ar-SA"/>
              </w:rPr>
              <w:t>1套</w:t>
            </w:r>
            <w:bookmarkEnd w:id="139"/>
            <w:bookmarkEnd w:id="140"/>
            <w:bookmarkEnd w:id="141"/>
            <w:bookmarkEnd w:id="142"/>
          </w:p>
        </w:tc>
        <w:tc>
          <w:tcPr>
            <w:tcW w:w="2316" w:type="dxa"/>
            <w:vMerge w:val="continue"/>
            <w:noWrap w:val="0"/>
            <w:vAlign w:val="center"/>
          </w:tcPr>
          <w:p w14:paraId="061E958C">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c>
          <w:tcPr>
            <w:tcW w:w="1705" w:type="dxa"/>
            <w:vMerge w:val="continue"/>
            <w:noWrap w:val="0"/>
            <w:vAlign w:val="center"/>
          </w:tcPr>
          <w:p w14:paraId="3D1ED0D0">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r>
      <w:tr w14:paraId="671F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noWrap w:val="0"/>
            <w:vAlign w:val="center"/>
          </w:tcPr>
          <w:p w14:paraId="1E125AE1">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43" w:name="_Toc7863"/>
            <w:bookmarkStart w:id="144" w:name="_Toc21161"/>
            <w:bookmarkStart w:id="145" w:name="_Toc30068"/>
            <w:r>
              <w:rPr>
                <w:rStyle w:val="38"/>
                <w:rFonts w:hint="eastAsia" w:ascii="宋体" w:hAnsi="宋体" w:eastAsia="宋体" w:cs="宋体"/>
                <w:b w:val="0"/>
                <w:bCs/>
                <w:color w:val="auto"/>
                <w:kern w:val="2"/>
                <w:sz w:val="21"/>
                <w:szCs w:val="21"/>
                <w:highlight w:val="none"/>
                <w:vertAlign w:val="baseline"/>
                <w:lang w:val="en-US" w:eastAsia="zh-CN" w:bidi="ar-SA"/>
              </w:rPr>
              <w:t>3</w:t>
            </w:r>
            <w:bookmarkEnd w:id="143"/>
            <w:bookmarkEnd w:id="144"/>
            <w:bookmarkEnd w:id="145"/>
          </w:p>
        </w:tc>
        <w:tc>
          <w:tcPr>
            <w:tcW w:w="3165" w:type="dxa"/>
            <w:noWrap w:val="0"/>
            <w:vAlign w:val="center"/>
          </w:tcPr>
          <w:p w14:paraId="5BFCB2AC">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46" w:name="_Toc2915"/>
            <w:bookmarkStart w:id="147" w:name="_Toc14274"/>
            <w:bookmarkStart w:id="148" w:name="_Toc10807"/>
            <w:bookmarkStart w:id="149" w:name="_Toc31468"/>
            <w:r>
              <w:rPr>
                <w:rStyle w:val="38"/>
                <w:rFonts w:hint="eastAsia" w:ascii="宋体" w:hAnsi="宋体" w:eastAsia="宋体" w:cs="宋体"/>
                <w:b w:val="0"/>
                <w:bCs/>
                <w:color w:val="auto"/>
                <w:kern w:val="2"/>
                <w:sz w:val="21"/>
                <w:szCs w:val="21"/>
                <w:highlight w:val="none"/>
                <w:vertAlign w:val="baseline"/>
                <w:lang w:val="en-US" w:eastAsia="zh-CN" w:bidi="ar-SA"/>
              </w:rPr>
              <w:t>科研信息管理系统</w:t>
            </w:r>
            <w:bookmarkEnd w:id="146"/>
            <w:bookmarkEnd w:id="147"/>
            <w:bookmarkEnd w:id="148"/>
            <w:bookmarkEnd w:id="149"/>
          </w:p>
        </w:tc>
        <w:tc>
          <w:tcPr>
            <w:tcW w:w="795" w:type="dxa"/>
            <w:noWrap w:val="0"/>
            <w:vAlign w:val="center"/>
          </w:tcPr>
          <w:p w14:paraId="3D07F731">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50" w:name="_Toc3950"/>
            <w:bookmarkStart w:id="151" w:name="_Toc15886"/>
            <w:bookmarkStart w:id="152" w:name="_Toc22170"/>
            <w:bookmarkStart w:id="153" w:name="_Toc2858"/>
            <w:r>
              <w:rPr>
                <w:rStyle w:val="38"/>
                <w:rFonts w:hint="eastAsia" w:ascii="宋体" w:hAnsi="宋体" w:eastAsia="宋体" w:cs="宋体"/>
                <w:b w:val="0"/>
                <w:bCs/>
                <w:color w:val="auto"/>
                <w:kern w:val="2"/>
                <w:sz w:val="21"/>
                <w:szCs w:val="21"/>
                <w:highlight w:val="none"/>
                <w:vertAlign w:val="baseline"/>
                <w:lang w:val="en-US" w:eastAsia="zh-CN" w:bidi="ar-SA"/>
              </w:rPr>
              <w:t>1套</w:t>
            </w:r>
            <w:bookmarkEnd w:id="150"/>
            <w:bookmarkEnd w:id="151"/>
            <w:bookmarkEnd w:id="152"/>
            <w:bookmarkEnd w:id="153"/>
          </w:p>
        </w:tc>
        <w:tc>
          <w:tcPr>
            <w:tcW w:w="2316" w:type="dxa"/>
            <w:vMerge w:val="continue"/>
            <w:noWrap w:val="0"/>
            <w:vAlign w:val="center"/>
          </w:tcPr>
          <w:p w14:paraId="5C56C76E">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c>
          <w:tcPr>
            <w:tcW w:w="1705" w:type="dxa"/>
            <w:vMerge w:val="continue"/>
            <w:noWrap w:val="0"/>
            <w:vAlign w:val="center"/>
          </w:tcPr>
          <w:p w14:paraId="11C2291B">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r>
      <w:tr w14:paraId="5F62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noWrap w:val="0"/>
            <w:vAlign w:val="center"/>
          </w:tcPr>
          <w:p w14:paraId="30EB8B18">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54" w:name="_Toc26268"/>
            <w:bookmarkStart w:id="155" w:name="_Toc7827"/>
            <w:bookmarkStart w:id="156" w:name="_Toc1207"/>
            <w:r>
              <w:rPr>
                <w:rStyle w:val="38"/>
                <w:rFonts w:hint="eastAsia" w:ascii="宋体" w:hAnsi="宋体" w:eastAsia="宋体" w:cs="宋体"/>
                <w:b w:val="0"/>
                <w:bCs/>
                <w:color w:val="auto"/>
                <w:kern w:val="2"/>
                <w:sz w:val="21"/>
                <w:szCs w:val="21"/>
                <w:highlight w:val="none"/>
                <w:vertAlign w:val="baseline"/>
                <w:lang w:val="en-US" w:eastAsia="zh-CN" w:bidi="ar-SA"/>
              </w:rPr>
              <w:t>4</w:t>
            </w:r>
            <w:bookmarkEnd w:id="154"/>
            <w:bookmarkEnd w:id="155"/>
            <w:bookmarkEnd w:id="156"/>
          </w:p>
        </w:tc>
        <w:tc>
          <w:tcPr>
            <w:tcW w:w="3165" w:type="dxa"/>
            <w:noWrap w:val="0"/>
            <w:vAlign w:val="center"/>
          </w:tcPr>
          <w:p w14:paraId="30CD0AB8">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57" w:name="_Toc9781"/>
            <w:r>
              <w:rPr>
                <w:rStyle w:val="38"/>
                <w:rFonts w:hint="eastAsia" w:ascii="宋体" w:hAnsi="宋体" w:eastAsia="宋体" w:cs="宋体"/>
                <w:b w:val="0"/>
                <w:bCs/>
                <w:color w:val="auto"/>
                <w:kern w:val="2"/>
                <w:sz w:val="21"/>
                <w:szCs w:val="21"/>
                <w:highlight w:val="none"/>
                <w:vertAlign w:val="baseline"/>
                <w:lang w:val="en-US" w:eastAsia="zh-CN" w:bidi="ar-SA"/>
              </w:rPr>
              <w:t>一码通优化升级</w:t>
            </w:r>
            <w:bookmarkEnd w:id="157"/>
          </w:p>
        </w:tc>
        <w:tc>
          <w:tcPr>
            <w:tcW w:w="795" w:type="dxa"/>
            <w:noWrap w:val="0"/>
            <w:vAlign w:val="center"/>
          </w:tcPr>
          <w:p w14:paraId="760A6993">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58" w:name="_Toc24583"/>
            <w:bookmarkStart w:id="159" w:name="_Toc18795"/>
            <w:bookmarkStart w:id="160" w:name="_Toc5703"/>
            <w:bookmarkStart w:id="161" w:name="_Toc29392"/>
            <w:r>
              <w:rPr>
                <w:rStyle w:val="38"/>
                <w:rFonts w:hint="eastAsia" w:ascii="宋体" w:hAnsi="宋体" w:eastAsia="宋体" w:cs="宋体"/>
                <w:b w:val="0"/>
                <w:bCs/>
                <w:color w:val="auto"/>
                <w:kern w:val="2"/>
                <w:sz w:val="21"/>
                <w:szCs w:val="21"/>
                <w:highlight w:val="none"/>
                <w:vertAlign w:val="baseline"/>
                <w:lang w:val="en-US" w:eastAsia="zh-CN" w:bidi="ar-SA"/>
              </w:rPr>
              <w:t>1套</w:t>
            </w:r>
            <w:bookmarkEnd w:id="158"/>
            <w:bookmarkEnd w:id="159"/>
            <w:bookmarkEnd w:id="160"/>
            <w:bookmarkEnd w:id="161"/>
          </w:p>
        </w:tc>
        <w:tc>
          <w:tcPr>
            <w:tcW w:w="2316" w:type="dxa"/>
            <w:vMerge w:val="continue"/>
            <w:noWrap w:val="0"/>
            <w:vAlign w:val="center"/>
          </w:tcPr>
          <w:p w14:paraId="193298D2">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c>
          <w:tcPr>
            <w:tcW w:w="1705" w:type="dxa"/>
            <w:vMerge w:val="continue"/>
            <w:noWrap w:val="0"/>
            <w:vAlign w:val="center"/>
          </w:tcPr>
          <w:p w14:paraId="44C67D56">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r>
      <w:tr w14:paraId="6C2F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noWrap w:val="0"/>
            <w:vAlign w:val="center"/>
          </w:tcPr>
          <w:p w14:paraId="2B9EE9CF">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62" w:name="_Toc20583"/>
            <w:bookmarkStart w:id="163" w:name="_Toc20012"/>
            <w:bookmarkStart w:id="164" w:name="_Toc4993"/>
            <w:r>
              <w:rPr>
                <w:rStyle w:val="38"/>
                <w:rFonts w:hint="eastAsia" w:ascii="宋体" w:hAnsi="宋体" w:eastAsia="宋体" w:cs="宋体"/>
                <w:b w:val="0"/>
                <w:bCs/>
                <w:color w:val="auto"/>
                <w:kern w:val="2"/>
                <w:sz w:val="21"/>
                <w:szCs w:val="21"/>
                <w:highlight w:val="none"/>
                <w:vertAlign w:val="baseline"/>
                <w:lang w:val="en-US" w:eastAsia="zh-CN" w:bidi="ar-SA"/>
              </w:rPr>
              <w:t>5</w:t>
            </w:r>
            <w:bookmarkEnd w:id="162"/>
            <w:bookmarkEnd w:id="163"/>
            <w:bookmarkEnd w:id="164"/>
          </w:p>
        </w:tc>
        <w:tc>
          <w:tcPr>
            <w:tcW w:w="3165" w:type="dxa"/>
            <w:noWrap w:val="0"/>
            <w:vAlign w:val="center"/>
          </w:tcPr>
          <w:p w14:paraId="1F46E1FC">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65" w:name="_Toc19656"/>
            <w:bookmarkStart w:id="166" w:name="_Toc15922"/>
            <w:bookmarkStart w:id="167" w:name="_Toc3692"/>
            <w:r>
              <w:rPr>
                <w:rStyle w:val="38"/>
                <w:rFonts w:hint="eastAsia" w:ascii="宋体" w:hAnsi="宋体" w:eastAsia="宋体" w:cs="宋体"/>
                <w:b w:val="0"/>
                <w:bCs/>
                <w:color w:val="auto"/>
                <w:kern w:val="2"/>
                <w:sz w:val="21"/>
                <w:szCs w:val="21"/>
                <w:highlight w:val="none"/>
                <w:vertAlign w:val="baseline"/>
                <w:lang w:val="en-US" w:eastAsia="zh-CN" w:bidi="ar-SA"/>
              </w:rPr>
              <w:t>国产化软硬件环境</w:t>
            </w:r>
            <w:bookmarkEnd w:id="165"/>
            <w:bookmarkEnd w:id="166"/>
            <w:bookmarkEnd w:id="167"/>
          </w:p>
        </w:tc>
        <w:tc>
          <w:tcPr>
            <w:tcW w:w="795" w:type="dxa"/>
            <w:noWrap w:val="0"/>
            <w:vAlign w:val="center"/>
          </w:tcPr>
          <w:p w14:paraId="233DAEBA">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bookmarkStart w:id="168" w:name="_Toc2530"/>
            <w:bookmarkStart w:id="169" w:name="_Toc32195"/>
            <w:bookmarkStart w:id="170" w:name="_Toc14875"/>
            <w:r>
              <w:rPr>
                <w:rStyle w:val="38"/>
                <w:rFonts w:hint="eastAsia" w:ascii="宋体" w:hAnsi="宋体" w:eastAsia="宋体" w:cs="宋体"/>
                <w:b w:val="0"/>
                <w:bCs/>
                <w:color w:val="auto"/>
                <w:kern w:val="2"/>
                <w:sz w:val="21"/>
                <w:szCs w:val="21"/>
                <w:highlight w:val="none"/>
                <w:vertAlign w:val="baseline"/>
                <w:lang w:val="en-US" w:eastAsia="zh-CN" w:bidi="ar-SA"/>
              </w:rPr>
              <w:t>1套</w:t>
            </w:r>
            <w:bookmarkEnd w:id="168"/>
            <w:bookmarkEnd w:id="169"/>
            <w:bookmarkEnd w:id="170"/>
          </w:p>
        </w:tc>
        <w:tc>
          <w:tcPr>
            <w:tcW w:w="2316" w:type="dxa"/>
            <w:vMerge w:val="continue"/>
            <w:noWrap w:val="0"/>
            <w:vAlign w:val="center"/>
          </w:tcPr>
          <w:p w14:paraId="3EEE4AF3">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c>
          <w:tcPr>
            <w:tcW w:w="1705" w:type="dxa"/>
            <w:vMerge w:val="continue"/>
            <w:noWrap w:val="0"/>
            <w:vAlign w:val="center"/>
          </w:tcPr>
          <w:p w14:paraId="20426C18">
            <w:pPr>
              <w:widowControl w:val="0"/>
              <w:snapToGrid w:val="0"/>
              <w:spacing w:before="360" w:beforeLines="150" w:after="120" w:line="240" w:lineRule="auto"/>
              <w:ind w:left="0" w:leftChars="0" w:firstLine="0" w:firstLineChars="0"/>
              <w:jc w:val="center"/>
              <w:outlineLvl w:val="1"/>
              <w:rPr>
                <w:rStyle w:val="38"/>
                <w:rFonts w:hint="eastAsia" w:ascii="宋体" w:hAnsi="宋体" w:eastAsia="宋体" w:cs="宋体"/>
                <w:b w:val="0"/>
                <w:bCs/>
                <w:color w:val="auto"/>
                <w:kern w:val="2"/>
                <w:sz w:val="21"/>
                <w:szCs w:val="21"/>
                <w:highlight w:val="none"/>
                <w:vertAlign w:val="baseline"/>
                <w:lang w:val="en-US" w:eastAsia="zh-CN" w:bidi="ar-SA"/>
              </w:rPr>
            </w:pPr>
          </w:p>
        </w:tc>
      </w:tr>
    </w:tbl>
    <w:p w14:paraId="45F25297">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171" w:name="_Toc18284"/>
      <w:r>
        <w:rPr>
          <w:rFonts w:hint="eastAsia" w:ascii="宋体" w:hAnsi="宋体" w:eastAsia="宋体" w:cs="宋体"/>
          <w:color w:val="auto"/>
          <w:sz w:val="21"/>
          <w:szCs w:val="21"/>
          <w:highlight w:val="none"/>
          <w:lang w:val="en-US" w:eastAsia="zh-CN"/>
        </w:rPr>
        <w:t>技术要求</w:t>
      </w:r>
      <w:bookmarkEnd w:id="171"/>
    </w:p>
    <w:p w14:paraId="76A4BA9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val="0"/>
          <w:color w:val="auto"/>
          <w:kern w:val="2"/>
          <w:sz w:val="21"/>
          <w:szCs w:val="24"/>
          <w:highlight w:val="none"/>
          <w:lang w:val="en-US" w:eastAsia="zh-CN"/>
        </w:rPr>
      </w:pPr>
      <w:r>
        <w:rPr>
          <w:rStyle w:val="38"/>
          <w:rFonts w:hint="eastAsia" w:ascii="宋体" w:hAnsi="宋体" w:eastAsia="宋体" w:cs="宋体"/>
          <w:b/>
          <w:bCs w:val="0"/>
          <w:color w:val="auto"/>
          <w:kern w:val="2"/>
          <w:sz w:val="21"/>
          <w:szCs w:val="21"/>
          <w:highlight w:val="none"/>
          <w:vertAlign w:val="baseline"/>
          <w:lang w:val="en-US" w:eastAsia="zh-CN" w:bidi="ar-SA"/>
        </w:rPr>
        <w:t>智慧教室系统技术要求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15"/>
        <w:gridCol w:w="6825"/>
        <w:gridCol w:w="480"/>
        <w:gridCol w:w="451"/>
      </w:tblGrid>
      <w:tr w14:paraId="3410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751A6C42">
            <w:pPr>
              <w:ind w:left="0" w:leftChars="0"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915" w:type="dxa"/>
            <w:noWrap w:val="0"/>
            <w:vAlign w:val="center"/>
          </w:tcPr>
          <w:p w14:paraId="1EF234B3">
            <w:pPr>
              <w:ind w:left="0" w:leftChars="0" w:firstLine="0" w:firstLine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产品名称</w:t>
            </w:r>
          </w:p>
        </w:tc>
        <w:tc>
          <w:tcPr>
            <w:tcW w:w="6825" w:type="dxa"/>
            <w:noWrap w:val="0"/>
            <w:vAlign w:val="center"/>
          </w:tcPr>
          <w:p w14:paraId="0C3E63B7">
            <w:pPr>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功能要求</w:t>
            </w:r>
          </w:p>
        </w:tc>
        <w:tc>
          <w:tcPr>
            <w:tcW w:w="480" w:type="dxa"/>
            <w:noWrap w:val="0"/>
            <w:vAlign w:val="center"/>
          </w:tcPr>
          <w:p w14:paraId="77CE3F8E">
            <w:pPr>
              <w:ind w:left="0" w:leftChars="0" w:firstLine="0" w:firstLineChars="0"/>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单位</w:t>
            </w:r>
          </w:p>
        </w:tc>
        <w:tc>
          <w:tcPr>
            <w:tcW w:w="451" w:type="dxa"/>
            <w:noWrap w:val="0"/>
            <w:vAlign w:val="center"/>
          </w:tcPr>
          <w:p w14:paraId="1A14B2F1">
            <w:pPr>
              <w:ind w:left="0" w:leftChars="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rPr>
              <w:t>数量</w:t>
            </w:r>
          </w:p>
        </w:tc>
      </w:tr>
      <w:tr w14:paraId="0706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3479F42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c>
          <w:tcPr>
            <w:tcW w:w="915" w:type="dxa"/>
            <w:noWrap w:val="0"/>
            <w:vAlign w:val="center"/>
          </w:tcPr>
          <w:p w14:paraId="505983C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智慧教育录播主机</w:t>
            </w:r>
          </w:p>
        </w:tc>
        <w:tc>
          <w:tcPr>
            <w:tcW w:w="6825" w:type="dxa"/>
            <w:noWrap w:val="0"/>
            <w:vAlign w:val="center"/>
          </w:tcPr>
          <w:p w14:paraId="24D490F2">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1、★要求录播主机和主控芯片和操作系统必须支持国产化；</w:t>
            </w:r>
          </w:p>
          <w:p w14:paraId="2AA75307">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2、系统集成录播系统、音频处理、编解码技术为一体；</w:t>
            </w:r>
          </w:p>
          <w:p w14:paraId="3180E9B3">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3、支持不小于4路高清3G-SDI、支持不小于2路HDMI输入接口、支持不小于3路HDMI视频输出接口；</w:t>
            </w:r>
          </w:p>
          <w:p w14:paraId="516B1C0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4、为满足部分双教学大屏场景，支持2路HDMI输入接口同时接入，能够实现两路HDMI信号采集，支持老师教学过程中大屏操作的全自动跟踪切换；</w:t>
            </w:r>
          </w:p>
          <w:p w14:paraId="1974DCDC">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5、录播主机支持本地导播功能，接上鼠标、标准键盘与显示器就可实现无延时本地导播，可扩展硬件导播台；</w:t>
            </w:r>
          </w:p>
          <w:p w14:paraId="0CB7F35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6、为便于录播主机连接键鼠、导播控制键盘、USB移动存储设备，录播主机支持不小于5路USB接口 ；</w:t>
            </w:r>
          </w:p>
          <w:p w14:paraId="7FBEDA2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7、主机包含Reset按键，可实现出厂设置恢复；</w:t>
            </w:r>
          </w:p>
          <w:p w14:paraId="17BB7A6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8、主机前面板配置液晶屏，支持显示主机版本、IP地址等信息，实现清晰管理设备操控；</w:t>
            </w:r>
          </w:p>
          <w:p w14:paraId="2F3ED2B8">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9、控制接口不小于5路，可用于控制摄像机云台与控制面板等设备，其中一路带供电，可直接对接控制面板、无需额外给控制面板提供电源；</w:t>
            </w:r>
          </w:p>
          <w:p w14:paraId="047EE6D8">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10、系统内置跟踪功能，无需额外配置跟踪主机即可实现智能图像识别跟踪分析与处理功能，跟踪对象不需要佩戴任何辅助装置，便可对老师和学员的动作、移动进行准确定位、跟踪，清楚的记录整个教学活动；</w:t>
            </w:r>
          </w:p>
          <w:p w14:paraId="7829AADC">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11、系统内置不小于2T存储空间，支持双硬盘接入，最大支持不少于16T硬盘存储空间，录制文件既可存储在本地硬盘，支持上传到云资源管理平台或第三方FTP服务器；</w:t>
            </w:r>
          </w:p>
        </w:tc>
        <w:tc>
          <w:tcPr>
            <w:tcW w:w="480" w:type="dxa"/>
            <w:noWrap w:val="0"/>
            <w:vAlign w:val="center"/>
          </w:tcPr>
          <w:p w14:paraId="4201F22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3697BB23">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w:t>
            </w:r>
          </w:p>
        </w:tc>
      </w:tr>
      <w:tr w14:paraId="44CD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2F898C0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p>
        </w:tc>
        <w:tc>
          <w:tcPr>
            <w:tcW w:w="915" w:type="dxa"/>
            <w:noWrap w:val="0"/>
            <w:vAlign w:val="center"/>
          </w:tcPr>
          <w:p w14:paraId="712516E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录播系统</w:t>
            </w:r>
          </w:p>
        </w:tc>
        <w:tc>
          <w:tcPr>
            <w:tcW w:w="6825" w:type="dxa"/>
            <w:noWrap w:val="0"/>
            <w:vAlign w:val="center"/>
          </w:tcPr>
          <w:p w14:paraId="367FF356">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1、录播主机系统软件须出厂即安装于录播主机内，支持网络导播与本地导播；主机外接显示器、键鼠即可进行本地导播，web后台访问设置等操作，支持安装其他第三方软件辅助应用。</w:t>
            </w:r>
          </w:p>
          <w:p w14:paraId="53F0C131">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 支持版本信息、序列号、设备型号、硬盘空间、剩余硬盘空间、跟踪机位信息、网络连接、平台接入信息等显示，支持日志功能，方便系统维护；</w:t>
            </w:r>
          </w:p>
          <w:p w14:paraId="26C8AE52">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3、支持远程登录管理系统，可设置用户密码、视频输入、视频输出、互动、推流方式等功能；支持中控对接设置，如网络中控或串中控；支持物联网控制对接MQTT协议；</w:t>
            </w:r>
          </w:p>
          <w:p w14:paraId="0E356831">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 支持视频文件上传、下载、异常修复、本地点播、删除等基本功能，支持通过状态标记自动检测课件上传是否成功，对于状态标记上传失败的课件资源支持人工手动续传；</w:t>
            </w:r>
          </w:p>
          <w:p w14:paraId="3FCA0469">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 支持插入外接移动存储设备一键拷贝下载功能，并可选择多路外接移动设备；</w:t>
            </w:r>
          </w:p>
          <w:p w14:paraId="20BBC71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 支持异常课件修复功能，在录制过程中或其他不可抗拒因素导致设备突然断电使录制的课件异常时，可通过录播主机管理页面一键修复功能，修复异常课件为正常课件资源；</w:t>
            </w:r>
          </w:p>
          <w:p w14:paraId="6F63C12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 系统采用主流RTMP/RTSP/HTTP流媒体直播推送技术，能够让用户免安装插件即可接收和观看直播和点播，最高支持6路标准流设置，每一路均可自由选择标准流协议，以及推流内容如：电影模式、主流、辅流、输入通道推流等；</w:t>
            </w:r>
          </w:p>
          <w:p w14:paraId="03BE9B36">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 支持高低码流直播，可根据网络状况自由选择高清或标清直播，并可单独控制每一路直播的启用与停止；</w:t>
            </w:r>
          </w:p>
          <w:p w14:paraId="594493A4">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9、支持接入信号状态显示，如接口类型，接入信号分辨率等，其中HDMI输入最高支持3840*2160分辨率接入；支持分段录制，如0.5\1\2\3\4\8小时分段录制；</w:t>
            </w:r>
          </w:p>
          <w:p w14:paraId="2A5ECE1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10、支持与资源平台无缝对接，实现视频自动上传、预约上传等功能，可兼容多种资源管理平台与第三方FTP服务器；</w:t>
            </w:r>
          </w:p>
          <w:p w14:paraId="7B14697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11、支持设置多种教室类型，支持常规教室、互动录播教室与第三方互动录播教室三种模式；互动模式下支持背景图片设置，在互动时可作为背景再主讲教室主机的HDMI输出；</w:t>
            </w:r>
          </w:p>
          <w:p w14:paraId="09BA4751">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12、系统内置互动功能，支持标准H.323和SIP协议，支持与标准视频会议系统对接实现互动教学；</w:t>
            </w:r>
          </w:p>
          <w:p w14:paraId="3551CFD4">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13、系统互动要求支持录播主机与录播主机之间互动，录播主机与视频会议终端之间互动、录播主机与MCU之间互动等3种互动场景；</w:t>
            </w:r>
          </w:p>
          <w:p w14:paraId="37201CCA">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14、★支持IPV4和IPV6协议，支持DHCP，支持公网映射；支持网络状态侦测，可检测网络上下行带宽，抖动，丢包率等；支持NTP时间同步</w:t>
            </w:r>
          </w:p>
          <w:p w14:paraId="19C4743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14:paraId="1E102A3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16、主讲教室可根据需要切换互动模式，如自由讨论、课间休息、对讲模式等，各互动教室录播设备跟随互动模式变化，切换为对应的画面输出效果。</w:t>
            </w:r>
          </w:p>
          <w:p w14:paraId="59EB74B4">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17、系统互动支持主讲教室与听讲教室两种角色自由切换；</w:t>
            </w:r>
          </w:p>
          <w:p w14:paraId="67812BED">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18、系统支持英文、简体、繁体三语版本切换，满足不同用户的应用需求；</w:t>
            </w:r>
          </w:p>
          <w:p w14:paraId="08EC95F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19、★支持本地导播和网络远程导播，导播软件支持预览接入的信号源、支持导播输出，互动画面的预览；支持摄像机预置位设置和调用；支持画面合成设置，支持两画面、三画面、四画面等快捷设置，也可设定自定义布局；支持录制参数设置，如是否录制资源模式，标清，分辨率，码率，帧率等；支持台标、字幕设置，支持录制首画面、片头片尾设置；导播软件支持国产操作系统，并提供导播软件与国产操作系统的国产安全可靠测评报告产品互认证书；</w:t>
            </w:r>
          </w:p>
          <w:p w14:paraId="504D07A5">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20、★要求提供</w:t>
            </w:r>
            <w:r>
              <w:rPr>
                <w:rFonts w:hint="eastAsia" w:ascii="宋体" w:hAnsi="宋体" w:eastAsia="宋体" w:cs="宋体"/>
                <w:b w:val="0"/>
                <w:bCs w:val="0"/>
                <w:color w:val="auto"/>
                <w:kern w:val="2"/>
                <w:sz w:val="21"/>
                <w:szCs w:val="24"/>
                <w:highlight w:val="none"/>
                <w:lang w:val="en-US" w:eastAsia="zh-CN"/>
              </w:rPr>
              <w:t>相关</w:t>
            </w:r>
            <w:r>
              <w:rPr>
                <w:rFonts w:hint="eastAsia" w:ascii="宋体" w:hAnsi="宋体" w:eastAsia="宋体" w:cs="宋体"/>
                <w:b w:val="0"/>
                <w:bCs w:val="0"/>
                <w:color w:val="auto"/>
                <w:kern w:val="2"/>
                <w:sz w:val="21"/>
                <w:szCs w:val="21"/>
                <w:highlight w:val="none"/>
                <w:lang w:val="en-US" w:eastAsia="zh-CN"/>
              </w:rPr>
              <w:t>录播主机软件著作权证书。</w:t>
            </w:r>
          </w:p>
        </w:tc>
        <w:tc>
          <w:tcPr>
            <w:tcW w:w="480" w:type="dxa"/>
            <w:noWrap w:val="0"/>
            <w:vAlign w:val="center"/>
          </w:tcPr>
          <w:p w14:paraId="21D24EA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9B12B36">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w:t>
            </w:r>
          </w:p>
        </w:tc>
      </w:tr>
      <w:tr w14:paraId="7A1F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69581B47">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p>
        </w:tc>
        <w:tc>
          <w:tcPr>
            <w:tcW w:w="915" w:type="dxa"/>
            <w:noWrap w:val="0"/>
            <w:vAlign w:val="center"/>
          </w:tcPr>
          <w:p w14:paraId="157F9BDC">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行为识别软件</w:t>
            </w:r>
          </w:p>
        </w:tc>
        <w:tc>
          <w:tcPr>
            <w:tcW w:w="6825" w:type="dxa"/>
            <w:noWrap w:val="0"/>
            <w:vAlign w:val="center"/>
          </w:tcPr>
          <w:p w14:paraId="430B2586">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1、支持教室讲台、学员区域侦测区绘制，实现录播主机全自动跟踪切换；</w:t>
            </w:r>
          </w:p>
          <w:p w14:paraId="69D6679B">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2、支持对云台摄像机镜头和焦距进行控制，实现对教学活动中老师、学员、板书的自动跟踪拍摄和切换；</w:t>
            </w:r>
          </w:p>
          <w:p w14:paraId="743C7B2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3、支持多个屏蔽区设置，可屏蔽观摩室和教室之间的玻璃墙，避免因玻璃墙反射而造成学员特写画面捕捉不到的问题，同时支持屏蔽教室后方有人意外站立或走动而导致的错误特写画面；</w:t>
            </w:r>
          </w:p>
          <w:p w14:paraId="5A5F2A2F">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4、提供行为识别软件著作权证书。</w:t>
            </w:r>
          </w:p>
        </w:tc>
        <w:tc>
          <w:tcPr>
            <w:tcW w:w="480" w:type="dxa"/>
            <w:noWrap w:val="0"/>
            <w:vAlign w:val="center"/>
          </w:tcPr>
          <w:p w14:paraId="6379BD49">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08EEFBCD">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w:t>
            </w:r>
          </w:p>
        </w:tc>
      </w:tr>
      <w:tr w14:paraId="7FF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3F4D488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915" w:type="dxa"/>
            <w:noWrap w:val="0"/>
            <w:vAlign w:val="center"/>
          </w:tcPr>
          <w:p w14:paraId="6840941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智能语音系统</w:t>
            </w:r>
          </w:p>
        </w:tc>
        <w:tc>
          <w:tcPr>
            <w:tcW w:w="6825" w:type="dxa"/>
            <w:noWrap w:val="0"/>
            <w:vAlign w:val="center"/>
          </w:tcPr>
          <w:p w14:paraId="7E33455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1、32bit处理内核</w:t>
            </w:r>
          </w:p>
          <w:p w14:paraId="0ED3294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2、支持可配置音频矩阵，可根据客户需求灵活配置接口定义</w:t>
            </w:r>
          </w:p>
          <w:p w14:paraId="6840CA5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3、输入通道：前级放大、10段参量均衡器、30段图像均衡器</w:t>
            </w:r>
          </w:p>
          <w:p w14:paraId="107E436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4、输出通道：8段参量均衡、30段图像均衡器、高低通滤波器、限幅器</w:t>
            </w:r>
          </w:p>
          <w:p w14:paraId="51D2613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5、内置闪避器 DUCKER</w:t>
            </w:r>
          </w:p>
          <w:p w14:paraId="35DFEB6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6、自适应回声消除功能（AEC）</w:t>
            </w:r>
          </w:p>
          <w:p w14:paraId="46FB333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7、内置自适应反馈消除（AFC）</w:t>
            </w:r>
          </w:p>
          <w:p w14:paraId="31F4BFD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8、智能自动增益控制（AGC）</w:t>
            </w:r>
          </w:p>
          <w:p w14:paraId="71BAC4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9、AI智能降噪（ANS）</w:t>
            </w:r>
          </w:p>
          <w:p w14:paraId="37E681C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10、8路平衡式话筒，6组差分信号输入</w:t>
            </w:r>
          </w:p>
          <w:p w14:paraId="377EDA3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11、10组差分信号输出，2组功放输出</w:t>
            </w:r>
          </w:p>
          <w:p w14:paraId="23F0F31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12、1路 USB 音频输入/输出</w:t>
            </w:r>
          </w:p>
          <w:p w14:paraId="540ECDC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13、1路 USB 控制串口 1路网口控制串口</w:t>
            </w:r>
          </w:p>
          <w:p w14:paraId="5E8EF3F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14、输入量化：48KHz/24bit</w:t>
            </w:r>
          </w:p>
          <w:p w14:paraId="014529A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15、动态范围：＞105dB A加权</w:t>
            </w:r>
          </w:p>
          <w:p w14:paraId="2EF9B56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16、48V幻象供电</w:t>
            </w:r>
          </w:p>
          <w:p w14:paraId="23C96D3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17、频率响应：20-20kHz（±0.5dB）</w:t>
            </w:r>
          </w:p>
          <w:p w14:paraId="021E84E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18、总谐波失真（THD）：-89dB</w:t>
            </w:r>
          </w:p>
          <w:p w14:paraId="4418A79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19、最大输入增益：59.5dB</w:t>
            </w:r>
          </w:p>
          <w:p w14:paraId="0023D52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20、话筒输入阻抗：20KΩ</w:t>
            </w:r>
          </w:p>
          <w:p w14:paraId="2F8F5BF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21、线路输入阻抗：80KΩ</w:t>
            </w:r>
          </w:p>
          <w:p w14:paraId="451BC09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22、功放输出功率：4x60W@6Ω  </w:t>
            </w:r>
          </w:p>
        </w:tc>
        <w:tc>
          <w:tcPr>
            <w:tcW w:w="480" w:type="dxa"/>
            <w:noWrap w:val="0"/>
            <w:vAlign w:val="center"/>
          </w:tcPr>
          <w:p w14:paraId="36DD79A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0FF926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6BE6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38C3F6C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w:t>
            </w:r>
          </w:p>
        </w:tc>
        <w:tc>
          <w:tcPr>
            <w:tcW w:w="915" w:type="dxa"/>
            <w:noWrap w:val="0"/>
            <w:vAlign w:val="center"/>
          </w:tcPr>
          <w:p w14:paraId="6A658F2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高灵敏度吊装麦克风</w:t>
            </w:r>
          </w:p>
        </w:tc>
        <w:tc>
          <w:tcPr>
            <w:tcW w:w="6825" w:type="dxa"/>
            <w:noWrap w:val="0"/>
            <w:vAlign w:val="center"/>
          </w:tcPr>
          <w:p w14:paraId="09095FC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1、换能方式：电容式</w:t>
            </w:r>
          </w:p>
          <w:p w14:paraId="50AD66E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2、频率响应：20Hz~20KHz</w:t>
            </w:r>
          </w:p>
          <w:p w14:paraId="6D16C0F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3、指向性：心形</w:t>
            </w:r>
          </w:p>
          <w:p w14:paraId="150A4D8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4、输出阻抗：≦150Ω</w:t>
            </w:r>
          </w:p>
          <w:p w14:paraId="4667565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5、灵敏度(±2dB)：12mV/Pa</w:t>
            </w:r>
          </w:p>
          <w:p w14:paraId="71A66A7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6、最高声压级：110dB</w:t>
            </w:r>
          </w:p>
          <w:p w14:paraId="4F76963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7、信噪比：65dB,1kHz @ 1Pa</w:t>
            </w:r>
          </w:p>
          <w:p w14:paraId="7B955D7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8、供电电压：幻象48V</w:t>
            </w:r>
          </w:p>
          <w:p w14:paraId="6C4B0F2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9、拾音范围：吊麦有效半径5米 最大半径8米 能覆盖全部讲台</w:t>
            </w:r>
          </w:p>
        </w:tc>
        <w:tc>
          <w:tcPr>
            <w:tcW w:w="480" w:type="dxa"/>
            <w:noWrap w:val="0"/>
            <w:vAlign w:val="center"/>
          </w:tcPr>
          <w:p w14:paraId="2B1192F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04FF6A7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w:t>
            </w:r>
          </w:p>
        </w:tc>
      </w:tr>
      <w:tr w14:paraId="798E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3605B0A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w:t>
            </w:r>
          </w:p>
        </w:tc>
        <w:tc>
          <w:tcPr>
            <w:tcW w:w="915" w:type="dxa"/>
            <w:noWrap w:val="0"/>
            <w:vAlign w:val="center"/>
          </w:tcPr>
          <w:p w14:paraId="430947D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教学专用音箱</w:t>
            </w:r>
          </w:p>
        </w:tc>
        <w:tc>
          <w:tcPr>
            <w:tcW w:w="6825" w:type="dxa"/>
            <w:noWrap w:val="0"/>
            <w:vAlign w:val="center"/>
          </w:tcPr>
          <w:p w14:paraId="494E7A5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1、输出功率：20W-60W</w:t>
            </w:r>
          </w:p>
          <w:p w14:paraId="3F03FBF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2、频响范围：120Hz-20KHz</w:t>
            </w:r>
          </w:p>
          <w:p w14:paraId="0D4CD7D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3、阻抗：6Ω</w:t>
            </w:r>
          </w:p>
          <w:p w14:paraId="3EF5DCD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4、灵敏度：88dB</w:t>
            </w:r>
          </w:p>
        </w:tc>
        <w:tc>
          <w:tcPr>
            <w:tcW w:w="480" w:type="dxa"/>
            <w:noWrap w:val="0"/>
            <w:vAlign w:val="center"/>
          </w:tcPr>
          <w:p w14:paraId="11DD9D0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554E1CF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p>
        </w:tc>
      </w:tr>
      <w:tr w14:paraId="2A3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040C099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w:t>
            </w:r>
          </w:p>
        </w:tc>
        <w:tc>
          <w:tcPr>
            <w:tcW w:w="915" w:type="dxa"/>
            <w:noWrap w:val="0"/>
            <w:vAlign w:val="center"/>
          </w:tcPr>
          <w:p w14:paraId="4C2F9EB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手持麦</w:t>
            </w:r>
          </w:p>
        </w:tc>
        <w:tc>
          <w:tcPr>
            <w:tcW w:w="6825" w:type="dxa"/>
            <w:noWrap w:val="0"/>
            <w:vAlign w:val="center"/>
          </w:tcPr>
          <w:p w14:paraId="5D7C75E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1、产品功能：高保真扩声  PPT翻页器                                 </w:t>
            </w:r>
          </w:p>
          <w:p w14:paraId="528EE64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2、传输模式：2.4G UHF IR红外</w:t>
            </w:r>
          </w:p>
          <w:p w14:paraId="15CB931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3、频率范围：732-853MHz</w:t>
            </w:r>
          </w:p>
          <w:p w14:paraId="2365931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4、最大频道数：&gt;50ch</w:t>
            </w:r>
          </w:p>
          <w:p w14:paraId="50A9CCA5">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5、频带宽度：121MHz                                               6、U段辐射功率：≧3dBm</w:t>
            </w:r>
          </w:p>
          <w:p w14:paraId="54D39A2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7、2.4G辐射功率：≧-10dBm</w:t>
            </w:r>
          </w:p>
          <w:p w14:paraId="7A1384A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8、频率响应：30-20KHz</w:t>
            </w:r>
          </w:p>
          <w:p w14:paraId="4FD21DF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9、信噪比：≧90dB(A)</w:t>
            </w:r>
          </w:p>
          <w:p w14:paraId="0C80EF3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10、THD+N:≤0.03%</w:t>
            </w:r>
          </w:p>
          <w:p w14:paraId="1A37C98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11、最大输入电平（Max gain)：1.65VRMS</w:t>
            </w:r>
          </w:p>
          <w:p w14:paraId="0AD9F8E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12、增益调节范围：15dB</w:t>
            </w:r>
          </w:p>
          <w:p w14:paraId="035E165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13、供电方式：900mAH聚合物锂电池</w:t>
            </w:r>
          </w:p>
          <w:p w14:paraId="420191C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14、满电使用时长：≧6.5 hours</w:t>
            </w:r>
          </w:p>
        </w:tc>
        <w:tc>
          <w:tcPr>
            <w:tcW w:w="480" w:type="dxa"/>
            <w:noWrap w:val="0"/>
            <w:vAlign w:val="center"/>
          </w:tcPr>
          <w:p w14:paraId="54A821B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个</w:t>
            </w:r>
          </w:p>
        </w:tc>
        <w:tc>
          <w:tcPr>
            <w:tcW w:w="451" w:type="dxa"/>
            <w:noWrap w:val="0"/>
            <w:vAlign w:val="center"/>
          </w:tcPr>
          <w:p w14:paraId="2110DE8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56B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1FF8665C">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w:t>
            </w:r>
          </w:p>
        </w:tc>
        <w:tc>
          <w:tcPr>
            <w:tcW w:w="915" w:type="dxa"/>
            <w:noWrap w:val="0"/>
            <w:vAlign w:val="center"/>
          </w:tcPr>
          <w:p w14:paraId="156E18A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手持麦主机</w:t>
            </w:r>
          </w:p>
        </w:tc>
        <w:tc>
          <w:tcPr>
            <w:tcW w:w="6825" w:type="dxa"/>
            <w:noWrap w:val="0"/>
            <w:vAlign w:val="center"/>
          </w:tcPr>
          <w:p w14:paraId="094CAF0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1、传输模式：2.4G UHF IR红外</w:t>
            </w:r>
          </w:p>
          <w:p w14:paraId="07E6C33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2、频率范围：732-853MHz</w:t>
            </w:r>
          </w:p>
          <w:p w14:paraId="7FFEB43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3、最大频道数：&gt;50ch</w:t>
            </w:r>
          </w:p>
          <w:p w14:paraId="3BF7E9D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4、频带宽度：121MHz                                               </w:t>
            </w:r>
          </w:p>
          <w:p w14:paraId="70A0FC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5、接收灵敏度：-96dBm</w:t>
            </w:r>
          </w:p>
          <w:p w14:paraId="7B17A1D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6、数字调制方式：pi/4 DQPSK</w:t>
            </w:r>
          </w:p>
          <w:p w14:paraId="50287EA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7、频率响应：30-20KHz</w:t>
            </w:r>
          </w:p>
          <w:p w14:paraId="10462DE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8、信噪比：≧90dB(A)</w:t>
            </w:r>
          </w:p>
          <w:p w14:paraId="4255A86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9、THD+N:≤0.03%</w:t>
            </w:r>
          </w:p>
          <w:p w14:paraId="2A2A8DB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10、最大输入电平（Max gain)：1.65VRMS</w:t>
            </w:r>
          </w:p>
          <w:p w14:paraId="4D5532F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11、音频输出接口：Jack6.35+BAL+RCA</w:t>
            </w:r>
          </w:p>
          <w:p w14:paraId="68FE8EC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12、电源输入：9V@1A直流适配器</w:t>
            </w:r>
          </w:p>
          <w:p w14:paraId="7CDF1C4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13、采样频率：48K</w:t>
            </w:r>
          </w:p>
          <w:p w14:paraId="1A77BAF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14、延时：&lt;5ms</w:t>
            </w:r>
          </w:p>
        </w:tc>
        <w:tc>
          <w:tcPr>
            <w:tcW w:w="480" w:type="dxa"/>
            <w:noWrap w:val="0"/>
            <w:vAlign w:val="center"/>
          </w:tcPr>
          <w:p w14:paraId="28231CD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1D27054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4913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4786C1B7">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w:t>
            </w:r>
          </w:p>
        </w:tc>
        <w:tc>
          <w:tcPr>
            <w:tcW w:w="915" w:type="dxa"/>
            <w:noWrap w:val="0"/>
            <w:vAlign w:val="center"/>
          </w:tcPr>
          <w:p w14:paraId="149DC24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跟踪定位摄像机</w:t>
            </w:r>
          </w:p>
        </w:tc>
        <w:tc>
          <w:tcPr>
            <w:tcW w:w="6825" w:type="dxa"/>
            <w:noWrap w:val="0"/>
            <w:vAlign w:val="center"/>
          </w:tcPr>
          <w:p w14:paraId="1A48319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1、采用不低于1/2.8 英寸  CMOS 传感器， 总像素不小于200万；</w:t>
            </w:r>
          </w:p>
          <w:p w14:paraId="487E03B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2、最低照度不低于：彩色0、6Lux@F1.2；黑白0、08Lux@F1.2；</w:t>
            </w:r>
          </w:p>
          <w:p w14:paraId="5C10BBA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3、信噪比 不小于50dB(AGC OFF) ；</w:t>
            </w:r>
          </w:p>
          <w:p w14:paraId="02A8001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4、编码格式支持：H.264；</w:t>
            </w:r>
          </w:p>
          <w:p w14:paraId="2B02C77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5、供电：DC12V；</w:t>
            </w:r>
          </w:p>
          <w:p w14:paraId="4A4F7F3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6、设备功率不大于3W。</w:t>
            </w:r>
          </w:p>
        </w:tc>
        <w:tc>
          <w:tcPr>
            <w:tcW w:w="480" w:type="dxa"/>
            <w:noWrap w:val="0"/>
            <w:vAlign w:val="center"/>
          </w:tcPr>
          <w:p w14:paraId="42638F9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7A8D463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p>
        </w:tc>
      </w:tr>
      <w:tr w14:paraId="0A5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7DD4196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w:t>
            </w:r>
          </w:p>
        </w:tc>
        <w:tc>
          <w:tcPr>
            <w:tcW w:w="915" w:type="dxa"/>
            <w:noWrap w:val="0"/>
            <w:vAlign w:val="center"/>
          </w:tcPr>
          <w:p w14:paraId="0A09BA78">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云台摄像机</w:t>
            </w:r>
          </w:p>
        </w:tc>
        <w:tc>
          <w:tcPr>
            <w:tcW w:w="6825" w:type="dxa"/>
            <w:noWrap w:val="0"/>
            <w:vAlign w:val="center"/>
          </w:tcPr>
          <w:p w14:paraId="447C670C">
            <w:pPr>
              <w:numPr>
                <w:ilvl w:val="0"/>
                <w:numId w:val="16"/>
              </w:num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采用不低于1/2.8 英寸CMOS, 有效像素≥207 万；</w:t>
            </w:r>
          </w:p>
          <w:p w14:paraId="1BDFF9BD">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2、支持1080p/60, 1080p/50, 1080i/60,1080i/50, 1080p/30, 1080p/25, 720p/60,720p/50；</w:t>
            </w:r>
          </w:p>
          <w:p w14:paraId="02BBF0F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3、镜头焦距≥ 12X光学变焦， f3.5mm ~ 42.3mm, F1.8 ~ F2.8；数字变焦≥16X；</w:t>
            </w:r>
          </w:p>
          <w:p w14:paraId="08123FF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4、最低照度0.5 Lux @ (F1.8, AGC ON)；提供具备CMA标识的第三方检测报告，要求报告在检测机构官网可查、提供查询截图</w:t>
            </w:r>
          </w:p>
          <w:p w14:paraId="7EB074D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5、快门速度1/30s ~ 1/10000s；</w:t>
            </w:r>
          </w:p>
          <w:p w14:paraId="5632A87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6、支持白平衡自动，室内，室外，一键，手动，指定色温；</w:t>
            </w:r>
          </w:p>
          <w:p w14:paraId="376D719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7、支持背光补偿，支持2D&amp;3D 数字降噪；</w:t>
            </w:r>
          </w:p>
          <w:p w14:paraId="13CF24E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8、信噪比≥ 55dB；提供具备CMA标识的第三方检测报告，要求报告在检测机构官网可查、提供查询截图</w:t>
            </w:r>
          </w:p>
          <w:p w14:paraId="3466FF8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9、水平视场角72.5° ~ 6.9°、垂直视场角44.8° ~ 3.9°；</w:t>
            </w:r>
          </w:p>
          <w:p w14:paraId="4B11AE8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10、支持扩展预置位数量≥255；</w:t>
            </w:r>
          </w:p>
          <w:p w14:paraId="41D0E9D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11、输出接口支持≥1 路 HDMI，≥1 路3G-SDI；</w:t>
            </w:r>
          </w:p>
          <w:p w14:paraId="462514C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12、网络接口≥1 路， RJ45: 10M / 100M 自适应以太网口；</w:t>
            </w:r>
          </w:p>
          <w:p w14:paraId="3479E5D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13、音频接口≥ 1 路， Line In, 3.5mm 音频接口；</w:t>
            </w:r>
          </w:p>
          <w:p w14:paraId="4386C94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14、USB 接口≥1 路；</w:t>
            </w:r>
          </w:p>
          <w:p w14:paraId="136FA3D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15、1路RS232输入接口、1路RS232输出接口，1路RS485接口</w:t>
            </w:r>
          </w:p>
          <w:p w14:paraId="01B8FF4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16、工作输入电压DC 12V；</w:t>
            </w:r>
          </w:p>
          <w:p w14:paraId="690A414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17、工作温度 -10 ~ 40° C；</w:t>
            </w:r>
          </w:p>
          <w:p w14:paraId="602095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18、功耗≤12W。</w:t>
            </w:r>
          </w:p>
          <w:p w14:paraId="5F8FD18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19、设备支持长时间运行，平均无故障运行时间（MTBF）≥250,000小时</w:t>
            </w:r>
          </w:p>
        </w:tc>
        <w:tc>
          <w:tcPr>
            <w:tcW w:w="480" w:type="dxa"/>
            <w:noWrap w:val="0"/>
            <w:vAlign w:val="center"/>
          </w:tcPr>
          <w:p w14:paraId="68C72BA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05108B98">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r>
      <w:tr w14:paraId="28FE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692345A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w:t>
            </w:r>
          </w:p>
        </w:tc>
        <w:tc>
          <w:tcPr>
            <w:tcW w:w="915" w:type="dxa"/>
            <w:noWrap w:val="0"/>
            <w:vAlign w:val="center"/>
          </w:tcPr>
          <w:p w14:paraId="3A88BD7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高清摄像机系统软件</w:t>
            </w:r>
          </w:p>
        </w:tc>
        <w:tc>
          <w:tcPr>
            <w:tcW w:w="6825" w:type="dxa"/>
            <w:noWrap w:val="0"/>
            <w:vAlign w:val="center"/>
          </w:tcPr>
          <w:p w14:paraId="5028AEC6">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1、支持在国产操作系统等环境正常运行；</w:t>
            </w:r>
          </w:p>
          <w:p w14:paraId="7B29734B">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2、支持通过网线直连或交换机、路由器等方式进行连接配置；</w:t>
            </w:r>
          </w:p>
          <w:p w14:paraId="3E11519D">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3、支持HTTP、RTSP、PTZ等端口配置；</w:t>
            </w:r>
          </w:p>
          <w:p w14:paraId="1CE766EB">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4、支持预置位设置，可设置预置位0-254；</w:t>
            </w:r>
          </w:p>
          <w:p w14:paraId="12AED1B9">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5、支持50Hz（PAL）、60Hz（NTSC）和拨码优先三种制式；</w:t>
            </w:r>
          </w:p>
          <w:p w14:paraId="6369CED2">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6、支持亮度、饱和度、对比度、锐度、色度等图像效果调节功能；</w:t>
            </w:r>
          </w:p>
          <w:p w14:paraId="04EFB073">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7、提供摄像机系统软件著作权证书。</w:t>
            </w:r>
          </w:p>
        </w:tc>
        <w:tc>
          <w:tcPr>
            <w:tcW w:w="480" w:type="dxa"/>
            <w:noWrap w:val="0"/>
            <w:vAlign w:val="center"/>
          </w:tcPr>
          <w:p w14:paraId="59A0883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05F4B8A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4435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27F2291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w:t>
            </w:r>
          </w:p>
        </w:tc>
        <w:tc>
          <w:tcPr>
            <w:tcW w:w="915" w:type="dxa"/>
            <w:noWrap w:val="0"/>
            <w:vAlign w:val="center"/>
          </w:tcPr>
          <w:p w14:paraId="3AEBBCE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可视化控制面板</w:t>
            </w:r>
          </w:p>
        </w:tc>
        <w:tc>
          <w:tcPr>
            <w:tcW w:w="6825" w:type="dxa"/>
            <w:noWrap w:val="0"/>
            <w:vAlign w:val="center"/>
          </w:tcPr>
          <w:p w14:paraId="0FCC0F72">
            <w:pPr>
              <w:numPr>
                <w:ilvl w:val="0"/>
                <w:numId w:val="17"/>
              </w:num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屏幕尺寸：15.6寸触摸屏，分辨率：不低于1920 X 1080 (FHD)，支持10点电容触控；</w:t>
            </w:r>
          </w:p>
          <w:p w14:paraId="786F7A05">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2、对比度：&gt; 1000:1；</w:t>
            </w:r>
          </w:p>
          <w:p w14:paraId="42A49D2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3、亮度：&gt;260cd/m3；</w:t>
            </w:r>
          </w:p>
          <w:p w14:paraId="166C40A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4、操作系统：安卓智能操作系统7.0以上； </w:t>
            </w:r>
          </w:p>
          <w:p w14:paraId="6AD602B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5、处理器：不少于四核、最高频率不低于 1.8GHZ；</w:t>
            </w:r>
          </w:p>
          <w:p w14:paraId="5BAFF62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6、运存：2G DDR3；</w:t>
            </w:r>
          </w:p>
          <w:p w14:paraId="73240F9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7、内存：16G EMMC；</w:t>
            </w:r>
          </w:p>
          <w:p w14:paraId="5318BD1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8、存储卡类型：支持 TF-CARD 最高 32G ；</w:t>
            </w:r>
          </w:p>
          <w:p w14:paraId="2CBC4CC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9、硬件接口：DC12V；USB*2；RJ45；HDMI；TF；3.5mm耳机座；                                                                                                                                                                                                 </w:t>
            </w:r>
          </w:p>
          <w:p w14:paraId="0161CEF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10、★内嵌蓝牙物联模块，支持TTL3无线通信mesh组网，可自动扫描教室</w:t>
            </w:r>
            <w:r>
              <w:rPr>
                <w:rFonts w:hint="eastAsia" w:ascii="宋体" w:hAnsi="宋体" w:eastAsia="宋体" w:cs="宋体"/>
                <w:b w:val="0"/>
                <w:bCs w:val="0"/>
                <w:color w:val="auto"/>
                <w:kern w:val="2"/>
                <w:sz w:val="21"/>
                <w:szCs w:val="24"/>
                <w:highlight w:val="none"/>
                <w:lang w:val="en-US" w:eastAsia="zh-CN"/>
              </w:rPr>
              <w:t>得</w:t>
            </w:r>
            <w:r>
              <w:rPr>
                <w:rFonts w:hint="eastAsia" w:ascii="宋体" w:hAnsi="宋体" w:eastAsia="宋体" w:cs="宋体"/>
                <w:b w:val="0"/>
                <w:bCs w:val="0"/>
                <w:color w:val="auto"/>
                <w:kern w:val="2"/>
                <w:sz w:val="21"/>
                <w:szCs w:val="21"/>
                <w:highlight w:val="none"/>
                <w:lang w:val="en-US" w:eastAsia="zh-CN"/>
              </w:rPr>
              <w:t xml:space="preserve">物联控制节点，自动连接，网状组网，无需中控主机即可实现物联管控；提供具备CMA标识的第三方检测报告，要求报告在检测机构官网可查、提供查询截图                                                                                                                                                                                         </w:t>
            </w:r>
          </w:p>
          <w:p w14:paraId="2A1B943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11、网络连接：需支持WIFI+RJ45；提供具CMA标识的第三方检测报告，要求报告在检测机构官网可查、提供查询截图</w:t>
            </w:r>
          </w:p>
          <w:p w14:paraId="7F79180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安装方式：提供壁挂、桌面一体化安装支架，同时支持壁挂和桌面安装两种方式，支持角度调节；手动调节角度底座，支持壁挂。提供具备CMA标识的第三方检测报告，要求报告在检测机构官网可查、提供查询截图</w:t>
            </w:r>
          </w:p>
          <w:p w14:paraId="7C46AC6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13、支持长时间运行，平均无故障运行时间（MTBF）≥250,000小时。</w:t>
            </w:r>
          </w:p>
        </w:tc>
        <w:tc>
          <w:tcPr>
            <w:tcW w:w="480" w:type="dxa"/>
            <w:noWrap w:val="0"/>
            <w:vAlign w:val="center"/>
          </w:tcPr>
          <w:p w14:paraId="5CD33C3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5D33C63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25C4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70D6D0E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13</w:t>
            </w:r>
          </w:p>
        </w:tc>
        <w:tc>
          <w:tcPr>
            <w:tcW w:w="915" w:type="dxa"/>
            <w:noWrap w:val="0"/>
            <w:vAlign w:val="center"/>
          </w:tcPr>
          <w:p w14:paraId="446F67B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互动课堂控制软件</w:t>
            </w:r>
          </w:p>
        </w:tc>
        <w:tc>
          <w:tcPr>
            <w:tcW w:w="6825" w:type="dxa"/>
            <w:noWrap w:val="0"/>
            <w:vAlign w:val="center"/>
          </w:tcPr>
          <w:p w14:paraId="177E926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一、系统配置</w:t>
            </w:r>
          </w:p>
          <w:p w14:paraId="1B53B0C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1、支持输入录播用户名、密码、IP进行录播设备绑定；</w:t>
            </w:r>
          </w:p>
          <w:p w14:paraId="7B02DB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2、支持设定锁屏密码，防止随意操作；</w:t>
            </w:r>
          </w:p>
          <w:p w14:paraId="332426A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3、支持录播设备配置的资源平台以及互动平台地址的同步显示；</w:t>
            </w:r>
          </w:p>
          <w:p w14:paraId="7491D89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4、支持当前教室计划课程列表显示；</w:t>
            </w:r>
          </w:p>
          <w:p w14:paraId="34B89CA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二、常规模式</w:t>
            </w:r>
          </w:p>
          <w:p w14:paraId="0F12679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1、支持常规录播控制，如录制、暂停、停止；</w:t>
            </w:r>
          </w:p>
          <w:p w14:paraId="0CF3038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2、支持导播模式选择，如自动导播、自动导播、以及手动导播（老师全景、老师讲义）等；</w:t>
            </w:r>
          </w:p>
          <w:p w14:paraId="56908C9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3、支持对录播设备进行远程开关机；</w:t>
            </w:r>
          </w:p>
          <w:p w14:paraId="525C6EE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4、预留与第三方中控、物联等对接接口，可扩展灯光、窗帘、空调、投影、幕布、教学大屏、信号源切换等控制功能；</w:t>
            </w:r>
          </w:p>
          <w:p w14:paraId="53C2F80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5、支持录制课程中教室画面的预览；</w:t>
            </w:r>
          </w:p>
          <w:p w14:paraId="6352D05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6、支持在可视化控制面板上进行录播导播、互动控制、协作控制及教室环境物联控制；                                                                                                                                                                                </w:t>
            </w:r>
          </w:p>
          <w:p w14:paraId="298E015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扩展协作控制，实现老师广播，小组示范等协作应用，当小组示范时可自动控制录播录制小组学员画面+小组PPT画面的两分屏；提供具备CMA标识的第三方检测报告，要求报告在检测机构官网可查、提供查询截图</w:t>
            </w:r>
          </w:p>
          <w:p w14:paraId="356AD7D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三、互动模式控制</w:t>
            </w:r>
          </w:p>
          <w:p w14:paraId="3430053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1、支持使用邀请码加入到已经创建的互动课程中，能够根据邀请码识别教室角色；</w:t>
            </w:r>
          </w:p>
          <w:p w14:paraId="236DB39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2、支持课表方式加入互动课堂，当前教室有互动课计划时，可查看到课程信息，并可一键加入互动课堂；</w:t>
            </w:r>
          </w:p>
          <w:p w14:paraId="722DE67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3、支持临时创建互动课程、设定课程属性，如课程名称、老师名称、控会密码、是否开启录制和直播、双流或者单流选择等；支持通讯录查询，支持保存历史呼叫记录，方便快速建课；</w:t>
            </w:r>
          </w:p>
          <w:p w14:paraId="376B2A4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4、主讲教室可设定互动课堂模式为课间休息状态，此时主讲仍可观看听讲教室的动态画面，其他教室录播设备主流输出的画面静止，并且全体静音；                    </w:t>
            </w:r>
          </w:p>
          <w:p w14:paraId="2519280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5、互动课堂支持自由讨论模式，各互动参与方显示主讲和听讲的4等分屏画面，各听讲教室麦克风全部开启，可自由互动交流；</w:t>
            </w:r>
          </w:p>
          <w:p w14:paraId="7FD0028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6、当主讲选定某间教室发言时，主讲教室可以观看发言教室全屏画面，非发言教室可以观看主讲+发言教室的两分屏画面；</w:t>
            </w:r>
          </w:p>
          <w:p w14:paraId="30A5DC7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7、支持互动画面预览，可根据互动模式随录播主机主流屏的输出变化保持一致；</w:t>
            </w:r>
          </w:p>
          <w:p w14:paraId="25E48F8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8、听讲和旁听支持当前课程信息显示，如课程名称、主讲老师、当前教室的类型，以及课程模式等；可一键加入、退出课堂，发言申请等；</w:t>
            </w:r>
          </w:p>
          <w:p w14:paraId="545D407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9、支持标准H.323或SIP，以及对接第三方互动终端模式切换；</w:t>
            </w:r>
          </w:p>
          <w:p w14:paraId="4AEFAC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四、智慧物联</w:t>
            </w:r>
          </w:p>
          <w:p w14:paraId="35B9595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1、★无需额外部署物联主机等设备可实现教室物联管控；提供具备CMA标识的第三方检测报告，要求报告在检测机构官网可查、提供查询截图</w:t>
            </w:r>
          </w:p>
          <w:p w14:paraId="076B791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2、可视化控制面板一键扫描教室内的控制节点，实现设备自动连接；</w:t>
            </w:r>
          </w:p>
          <w:p w14:paraId="178456E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3、系统配备电源模块时，可视化控制面板可通过电源模块对教室已连接设备进行时序关机设置和延时关机间隔时间设置，起到设备强电保护和设备的有序关机；</w:t>
            </w:r>
          </w:p>
          <w:p w14:paraId="3A45A96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4、支持教室环境实时监测，可视化控制面板主界面可显示当前教室温度及湿度，同时可在可视化控制面板上查看教室当前CO2、PM2.5、TVOC、CH2O等数值；</w:t>
            </w:r>
          </w:p>
          <w:p w14:paraId="7174C4B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5、★可视化控制面板可对教室内设备进行一键开关控制，如灯光、窗帘、空调、投影、幕布、教学大屏、学员小组屏等，同时支持进入设备界面对单个设备进行控制；提供具备CMA标识的第三方检测报告；</w:t>
            </w:r>
          </w:p>
          <w:p w14:paraId="7BF6FC9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6、场景管理：可视化控制面板具备场景管理模块，对各场景进行统一管理。按照需求可灵活增加场景模式如：上课模式、下课模式、听讲模式、会议模式、投影模式等，并可对任意场景进行删除和修改场景名称</w:t>
            </w:r>
          </w:p>
          <w:p w14:paraId="6F0C86C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物联场景模式自定义：各场景下可灵活配置需要关联控制的设备，实现不同场景下设备的智能关联，起到节能及对设备的有效利用，如“上课模式”下教室设备全开、“下课模式”下设备全关、“听讲模式”下只启动投影及灯光等。</w:t>
            </w:r>
          </w:p>
        </w:tc>
        <w:tc>
          <w:tcPr>
            <w:tcW w:w="480" w:type="dxa"/>
            <w:noWrap w:val="0"/>
            <w:vAlign w:val="center"/>
          </w:tcPr>
          <w:p w14:paraId="4246989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A40C65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53F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4478B592">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14</w:t>
            </w:r>
          </w:p>
        </w:tc>
        <w:tc>
          <w:tcPr>
            <w:tcW w:w="915" w:type="dxa"/>
            <w:noWrap w:val="0"/>
            <w:vAlign w:val="center"/>
          </w:tcPr>
          <w:p w14:paraId="1173479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师生协作</w:t>
            </w:r>
          </w:p>
        </w:tc>
        <w:tc>
          <w:tcPr>
            <w:tcW w:w="6825" w:type="dxa"/>
            <w:noWrap w:val="0"/>
            <w:vAlign w:val="center"/>
          </w:tcPr>
          <w:p w14:paraId="42EE4DE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一、教学端：</w:t>
            </w:r>
          </w:p>
          <w:p w14:paraId="7AA75FA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考勤签到：老师随时发起签到，要求学员必须在该教室的无线AP覆盖的范围内才能签到，脱离了这个范围则无法签到。教师屏幕能实时显示已签到/未签到的学员名单，及学员的在线/离线的连接状态。老师也可查看当前每个学员的出勤率。并可以导出考勤记录表格。</w:t>
            </w:r>
          </w:p>
          <w:p w14:paraId="06B7FF3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2、学员展示：支持将学员端的画面同步显示到教室主屏；教师端点击开始投屏后，可支持50以上学员同时点击投屏至教室主屏，教师可选择多个学员屏幕进行对比展示；</w:t>
            </w:r>
          </w:p>
          <w:p w14:paraId="0116B7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3、小组展示：支持将正在显示内容的小组屏画面共享给教室主屏，支持多个屏幕进行对比展示，也可以把某小组屏幕转播到教室主屏及所有小组屏，达到小组示范教学效果。</w:t>
            </w:r>
          </w:p>
          <w:p w14:paraId="561BCA8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4、屏幕共享：支持教师通过屏幕共享将教室主屏或教室副屏上所播放的内容推送至小组屏，学员可通过小组屏清晰完整的看到习题或其他资源的具体讲解。</w:t>
            </w:r>
          </w:p>
          <w:p w14:paraId="21B9D28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5、课堂互动：支持抢答、抽答、弹幕等课中互动工具，提高学员课堂注意力，创造积极的课堂氛围。</w:t>
            </w:r>
          </w:p>
          <w:p w14:paraId="4A35C81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6、抽答：支持教师发起随机抽答，屏幕上快速滚动学员的头像信息，最终定格在某一位学员，教师可以选择他起来回答。</w:t>
            </w:r>
          </w:p>
          <w:p w14:paraId="315081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随堂测验：教师可随时发起，支持单选、多选、判断等题型和选项个数的设置，发起后学员端自动进入答题界面，学员提交时教学大屏中实时显示学员的提交进度，教师能够调出查看已提交的名单和未提交的人员名单，最终结果支持按扇形图统计和树状图统计二种方式呈现。</w:t>
            </w:r>
          </w:p>
          <w:p w14:paraId="06CEE40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8、分组研讨：可以实现各小组屏快速对教师下发的讨论主题进行讨论，讨论方法支持小组投屏、动态批注、摄像头调取、屏幕录制、思维导图总结等。</w:t>
            </w:r>
          </w:p>
          <w:p w14:paraId="22B4F59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成果展示：教师可通过教师大屏或教师移动终端调取小组的展示成果到教师大屏上进行展示和讲评，并可将该小组的成果广播至其他小组屏上进行同步显示；另外，教师还可同时调取多个小组的成果进行多屏展示对比。</w:t>
            </w:r>
          </w:p>
          <w:p w14:paraId="29102BA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10、远程控制：教师可通过移动设备远程控制教室大屏，实现鼠标移动、单击、双击、左右键等功能；也可打开文件并远端直接编辑文件。</w:t>
            </w:r>
          </w:p>
          <w:p w14:paraId="5BFE8C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11、动态批注：可以动态的在教学大屏端和小组端上对讨论内容（包含图片、视频、APP等）进行批注，并可以将批注的书写过程同步到所有学员屏幕，使课堂讲解变得更有针对性。</w:t>
            </w:r>
          </w:p>
          <w:p w14:paraId="04D564A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PPT预览与跳转：教学大屏端和小组端的软件在打开PPT时，需提供PPT的跳转入口，执行后在当前放映幻灯片中可浮现所有幻灯片的预览图，上下滑动可以预览所有幻灯片，单击某一张幻灯片的预览图则跳转到对应幻灯片中播放。</w:t>
            </w:r>
          </w:p>
          <w:p w14:paraId="77CC2B8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PPT连动与复制：播放PPT时，需支持双屏同步显示，也可以支持一屏播放PPT动画，另一屏显示PPT上一页的内容，且保持PPT原有的版式、内容、动画效果一致，当PPT播放到下一页/切换到上一页后，另一屏屏幕内容会自动跟随切换。</w:t>
            </w:r>
          </w:p>
          <w:p w14:paraId="54D1BED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14、思维导图：支持思维导图功能，思维导图中每个节点可以插入图片、视频、PPT等文件，方便教师整理教学素材。</w:t>
            </w:r>
          </w:p>
          <w:p w14:paraId="333C45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二、小组端：</w:t>
            </w:r>
          </w:p>
          <w:p w14:paraId="53AA6E1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1、支持画笔功能，可在屏幕或课件上批注交流；</w:t>
            </w:r>
          </w:p>
          <w:p w14:paraId="4B3AB2B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2、支持截屏、屏幕录制功能；</w:t>
            </w:r>
          </w:p>
          <w:p w14:paraId="6C58F08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3、支持小组成员之间共享文件；</w:t>
            </w:r>
          </w:p>
          <w:p w14:paraId="0633349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4、支持多文档同时打开；</w:t>
            </w:r>
          </w:p>
          <w:p w14:paraId="0F3A225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5、文档类型：支持word、ppt、pdf、视频等文件格式；</w:t>
            </w:r>
          </w:p>
          <w:p w14:paraId="3335304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6、支持4个学员同时向小组讨论屏飞屏，可对学员投屏内容进行批注，同时又能将此投屏内容在教师大屏上呈现。</w:t>
            </w:r>
          </w:p>
          <w:p w14:paraId="113F381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7、支持学员作业拍照上传到小组屏上讨论。      </w:t>
            </w:r>
          </w:p>
          <w:p w14:paraId="6EFEA47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三、学员端：</w:t>
            </w:r>
          </w:p>
          <w:p w14:paraId="037373B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1、支持弹幕功能，向教师屏及时发送弹幕内容向老师提问。</w:t>
            </w:r>
          </w:p>
          <w:p w14:paraId="61106AF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2、支持接受教师发起的各种屏幕广播。</w:t>
            </w:r>
          </w:p>
          <w:p w14:paraId="6C9D0DF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3、支持学员飞屏到教师屏，小组屏，以展示自己的学习成果。</w:t>
            </w:r>
          </w:p>
          <w:p w14:paraId="6B86504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4、支持和教师屏，小组屏，班级成员，小组成员之间共享文件。</w:t>
            </w:r>
          </w:p>
          <w:p w14:paraId="29D515E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5、支持参与抢答，抽答。</w:t>
            </w:r>
          </w:p>
          <w:p w14:paraId="3449FE6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6、可支持安卓，IOS,windows等主流类型学员终端。</w:t>
            </w:r>
          </w:p>
        </w:tc>
        <w:tc>
          <w:tcPr>
            <w:tcW w:w="480" w:type="dxa"/>
            <w:noWrap w:val="0"/>
            <w:vAlign w:val="center"/>
          </w:tcPr>
          <w:p w14:paraId="65C24C7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3730926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251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05BCF65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15</w:t>
            </w:r>
          </w:p>
        </w:tc>
        <w:tc>
          <w:tcPr>
            <w:tcW w:w="915" w:type="dxa"/>
            <w:noWrap w:val="0"/>
            <w:vAlign w:val="center"/>
          </w:tcPr>
          <w:p w14:paraId="19B6525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研讨型智慧教室师生协作系统</w:t>
            </w:r>
          </w:p>
        </w:tc>
        <w:tc>
          <w:tcPr>
            <w:tcW w:w="6825" w:type="dxa"/>
            <w:noWrap w:val="0"/>
            <w:vAlign w:val="center"/>
          </w:tcPr>
          <w:p w14:paraId="5DEF409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1、支持一个教师端大屏应用接入；</w:t>
            </w:r>
          </w:p>
          <w:p w14:paraId="473535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2、支持最大8个小组端大屏应用接入；</w:t>
            </w:r>
          </w:p>
          <w:p w14:paraId="39A0A7C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3、支持最大48个学员移动端应用接入包括手机，平板，PC等。</w:t>
            </w:r>
          </w:p>
        </w:tc>
        <w:tc>
          <w:tcPr>
            <w:tcW w:w="480" w:type="dxa"/>
            <w:noWrap w:val="0"/>
            <w:vAlign w:val="center"/>
          </w:tcPr>
          <w:p w14:paraId="4827EDF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72639AC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1C4A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446F2811">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16</w:t>
            </w:r>
          </w:p>
        </w:tc>
        <w:tc>
          <w:tcPr>
            <w:tcW w:w="915" w:type="dxa"/>
            <w:noWrap w:val="0"/>
            <w:vAlign w:val="center"/>
          </w:tcPr>
          <w:p w14:paraId="1DF59F2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多频无线路由器</w:t>
            </w:r>
          </w:p>
        </w:tc>
        <w:tc>
          <w:tcPr>
            <w:tcW w:w="6825" w:type="dxa"/>
            <w:noWrap w:val="0"/>
            <w:vAlign w:val="center"/>
          </w:tcPr>
          <w:p w14:paraId="529F831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1、支持标准的802.11ac Wave2协议，采用【三路】Radio设计，其中至少【两路】Radio可同时工作在802.11ac Wave2和802.11a/b/g/n/ac模式 ；</w:t>
            </w:r>
          </w:p>
          <w:p w14:paraId="3F3F11E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 支持至少【8条】空间流，单路Radio最大接入速率不低于【1733Mbps】，整机最大接入速率不低于【3000Mbps】；</w:t>
            </w:r>
          </w:p>
          <w:p w14:paraId="4332D7E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3、每路Radio射频发射功率≤20dBm；</w:t>
            </w:r>
          </w:p>
          <w:p w14:paraId="54EE88F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4、支持至少【2个】10/100/1000Base-T以太网口，其中至少1个支持PoE+供电。</w:t>
            </w:r>
          </w:p>
        </w:tc>
        <w:tc>
          <w:tcPr>
            <w:tcW w:w="480" w:type="dxa"/>
            <w:noWrap w:val="0"/>
            <w:vAlign w:val="center"/>
          </w:tcPr>
          <w:p w14:paraId="2EAFA88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0230466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w:t>
            </w:r>
          </w:p>
        </w:tc>
      </w:tr>
      <w:tr w14:paraId="420D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5CE1626D">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w:t>
            </w:r>
          </w:p>
        </w:tc>
        <w:tc>
          <w:tcPr>
            <w:tcW w:w="915" w:type="dxa"/>
            <w:noWrap w:val="0"/>
            <w:vAlign w:val="center"/>
          </w:tcPr>
          <w:p w14:paraId="68268537">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交换机</w:t>
            </w:r>
          </w:p>
        </w:tc>
        <w:tc>
          <w:tcPr>
            <w:tcW w:w="6825" w:type="dxa"/>
            <w:noWrap w:val="0"/>
            <w:vAlign w:val="center"/>
          </w:tcPr>
          <w:p w14:paraId="2991687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24口交换机</w:t>
            </w:r>
          </w:p>
        </w:tc>
        <w:tc>
          <w:tcPr>
            <w:tcW w:w="480" w:type="dxa"/>
            <w:noWrap w:val="0"/>
            <w:vAlign w:val="center"/>
          </w:tcPr>
          <w:p w14:paraId="7039828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台</w:t>
            </w:r>
          </w:p>
        </w:tc>
        <w:tc>
          <w:tcPr>
            <w:tcW w:w="451" w:type="dxa"/>
            <w:noWrap w:val="0"/>
            <w:vAlign w:val="center"/>
          </w:tcPr>
          <w:p w14:paraId="20B2B40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2BD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294318D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18</w:t>
            </w:r>
          </w:p>
        </w:tc>
        <w:tc>
          <w:tcPr>
            <w:tcW w:w="915" w:type="dxa"/>
            <w:noWrap w:val="0"/>
            <w:vAlign w:val="center"/>
          </w:tcPr>
          <w:p w14:paraId="2E7A371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智能融合终端</w:t>
            </w:r>
          </w:p>
        </w:tc>
        <w:tc>
          <w:tcPr>
            <w:tcW w:w="6825" w:type="dxa"/>
            <w:noWrap w:val="0"/>
            <w:vAlign w:val="center"/>
          </w:tcPr>
          <w:p w14:paraId="6D9893F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1、机柜式终端，标准1U机架式设计，内置操作系统。</w:t>
            </w:r>
          </w:p>
          <w:p w14:paraId="2325FB2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3路HDMI高清输入接口，具备2路HDMI高清输出接口，具备1路HDBaseT接口。（要求内容能体现满足上述参数要求）</w:t>
            </w:r>
          </w:p>
          <w:p w14:paraId="63ACE9A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3、集成强电管理，采用防脱落电源插口，具备3路独立电源输出接口，1路电源输入。</w:t>
            </w:r>
          </w:p>
          <w:p w14:paraId="56531DC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4、具备网络中控功能，支持电教设备的本地或远程控制。集成物联网关功能，支持能耗数据上报。支持 MQTT协议，支持扩展最大30路2.4G无线物联模块，配合系统平台及小程序可远程对终端设备及物联模块进行手动、定时、集控管理。</w:t>
            </w:r>
          </w:p>
          <w:p w14:paraId="2E8DA7E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需提供CMA标识的检测报告扫描件，要求内容能体现满足上述参数要求，原件备查）</w:t>
            </w:r>
          </w:p>
          <w:p w14:paraId="553420F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web配置界面，支持本地系统参数、网络参数、高级参数、面板参数、物联参数、教室风格等配置。支持自定义电源输出延时设置，磁控锁开锁延时设置，物联模块联动开关及延时设置。支持功放选择、广播联动电源等功能。</w:t>
            </w:r>
          </w:p>
          <w:p w14:paraId="5BC922F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通过配套触控面板可完成一键开关机设备、音量调节、广播控制。支持IC卡刷卡/插卡、IP对讲等功能，支持同品牌无线麦克风接入及扩声。支持设备故障报修功能，待机状态下可显示设备联机网络信息、终端ID信息、运维电话等。</w:t>
            </w:r>
          </w:p>
          <w:p w14:paraId="11E051E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8、支持双路投影机同步或异步显示及控制。</w:t>
            </w:r>
          </w:p>
          <w:p w14:paraId="27C3A72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9、支持配置串口控制第三方录播主机的开关，录制和暂停，支持配置电脑联动控制。</w:t>
            </w:r>
          </w:p>
        </w:tc>
        <w:tc>
          <w:tcPr>
            <w:tcW w:w="480" w:type="dxa"/>
            <w:noWrap w:val="0"/>
            <w:vAlign w:val="center"/>
          </w:tcPr>
          <w:p w14:paraId="27F30D7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89D4FB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3C45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4132AFC9">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19</w:t>
            </w:r>
          </w:p>
        </w:tc>
        <w:tc>
          <w:tcPr>
            <w:tcW w:w="915" w:type="dxa"/>
            <w:noWrap w:val="0"/>
            <w:vAlign w:val="center"/>
          </w:tcPr>
          <w:p w14:paraId="2E1E9D3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触控控制面板</w:t>
            </w:r>
          </w:p>
        </w:tc>
        <w:tc>
          <w:tcPr>
            <w:tcW w:w="6825" w:type="dxa"/>
            <w:noWrap w:val="0"/>
            <w:vAlign w:val="center"/>
          </w:tcPr>
          <w:p w14:paraId="26002A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1、一体化设计，工业ABS工程塑料注塑成型。</w:t>
            </w:r>
          </w:p>
          <w:p w14:paraId="275735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2、集成5英寸高分辨率工业触摸屏，具备4个触摸按键。支持画面切换，声音调整，设备控制。支持广播信号本地暂停收听及音量调节，支持录播控制。</w:t>
            </w:r>
          </w:p>
          <w:p w14:paraId="37BFDEF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3、具备物联网关功能，可接入同品牌无线麦克风，可接入最大30路同品牌2.4G无线物联模块，可接入2路同品牌无线电子时钟，通过配套主机及系统平台实现对接入的物联模块进行策略管理。</w:t>
            </w:r>
          </w:p>
          <w:p w14:paraId="2571A52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4、集成IC卡读卡器，支持插卡或者刷卡开机，支持通过云平台系统二维码扫码开机。</w:t>
            </w:r>
          </w:p>
          <w:p w14:paraId="7477492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5、内置扬声器、拾音器，集成音频编解码功能，通过配套主机及系统平台实现远程IP对讲、语音监听等功能。</w:t>
            </w:r>
          </w:p>
          <w:p w14:paraId="5A02456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6、支持设备故障报修功能，如中控故障、投影故障、电脑故障、扩音故障。</w:t>
            </w:r>
          </w:p>
          <w:p w14:paraId="529C3A3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7、支持同品牌充电桩麦克风未归位语音提醒，支持关机倒计时提示，支持下课延时提示，支持外接传感器数据实时显示。</w:t>
            </w:r>
          </w:p>
          <w:p w14:paraId="2816359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8、与同品牌智能融合终端配套使用。</w:t>
            </w:r>
          </w:p>
        </w:tc>
        <w:tc>
          <w:tcPr>
            <w:tcW w:w="480" w:type="dxa"/>
            <w:noWrap w:val="0"/>
            <w:vAlign w:val="center"/>
          </w:tcPr>
          <w:p w14:paraId="6E21170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1892E50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65F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029AA7CE">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20</w:t>
            </w:r>
          </w:p>
        </w:tc>
        <w:tc>
          <w:tcPr>
            <w:tcW w:w="915" w:type="dxa"/>
            <w:noWrap w:val="0"/>
            <w:vAlign w:val="center"/>
          </w:tcPr>
          <w:p w14:paraId="4223C67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86盒灯光/窗帘控制器</w:t>
            </w:r>
          </w:p>
        </w:tc>
        <w:tc>
          <w:tcPr>
            <w:tcW w:w="6825" w:type="dxa"/>
            <w:noWrap w:val="0"/>
            <w:vAlign w:val="center"/>
          </w:tcPr>
          <w:p w14:paraId="62814E4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 标准触摸86型开关面板，通过2.4G无线方式与同品牌网关连接。</w:t>
            </w:r>
          </w:p>
          <w:p w14:paraId="1BC9A6B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2、220V AC电源输入，触控按键功能可自定义设置。具备2路220V AC独立输出。</w:t>
            </w:r>
          </w:p>
          <w:p w14:paraId="5FA1D82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3、面板可匹配2键/4键/6键三种风格，最多可配置2个按键为本地线路控制按键，其他可设置为关联按键。</w:t>
            </w:r>
          </w:p>
          <w:p w14:paraId="5135998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4、内置能耗计量芯片，可实时检测用电设备运行状态并上报能耗数据。</w:t>
            </w:r>
          </w:p>
          <w:p w14:paraId="0960B14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5、授权用户通过系统平台或小程序远程监控每路电源输出的状态，可手动或定时对接入的灯光、风扇、窗帘等用电设备进行智能策略通断电控制。</w:t>
            </w:r>
          </w:p>
          <w:p w14:paraId="1C40CB1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6、支持通过系统平台禁用本地按键模式，同时支持自主启用本地按键模式。</w:t>
            </w:r>
          </w:p>
        </w:tc>
        <w:tc>
          <w:tcPr>
            <w:tcW w:w="480" w:type="dxa"/>
            <w:noWrap w:val="0"/>
            <w:vAlign w:val="center"/>
          </w:tcPr>
          <w:p w14:paraId="35C385B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584D94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r w14:paraId="0D3E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58" w:type="dxa"/>
            <w:noWrap w:val="0"/>
            <w:vAlign w:val="center"/>
          </w:tcPr>
          <w:p w14:paraId="2048C415">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22</w:t>
            </w:r>
          </w:p>
        </w:tc>
        <w:tc>
          <w:tcPr>
            <w:tcW w:w="915" w:type="dxa"/>
            <w:noWrap w:val="0"/>
            <w:vAlign w:val="center"/>
          </w:tcPr>
          <w:p w14:paraId="764F743C">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空调控制器</w:t>
            </w:r>
          </w:p>
        </w:tc>
        <w:tc>
          <w:tcPr>
            <w:tcW w:w="6825" w:type="dxa"/>
            <w:noWrap w:val="0"/>
            <w:vAlign w:val="center"/>
          </w:tcPr>
          <w:p w14:paraId="7A6F780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1、工业ABS阻燃塑料注塑成型，通过2.4G无线方式与同品牌网关连接。</w:t>
            </w:r>
          </w:p>
          <w:p w14:paraId="3AEA150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2、输入采用1路220V大功率防脱落插头，输出采用1路大功率咬合式接口，最大支持6000W负载。</w:t>
            </w:r>
          </w:p>
          <w:p w14:paraId="6ED48AB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具备1路红外输出，可遥控所连接的空调设备。</w:t>
            </w:r>
          </w:p>
          <w:p w14:paraId="09B024F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3、内置温湿度传感器，配合系统平台可实时显示当前区域温湿度状态。内置能耗计量芯片，可实时检测所连接空调的能耗数据，通过系统平台可汇总空调能耗数据。</w:t>
            </w:r>
          </w:p>
          <w:p w14:paraId="494ABA0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4、支持通过系统平台和小程序远程监控所连接空调的运行状态，对其进行手动/定时的点对点、点对组开关机及模式切换。可选配同品牌操作面板对空调进行本地控制。</w:t>
            </w:r>
          </w:p>
          <w:p w14:paraId="58B90CE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5、支持自启动通电应急模式。</w:t>
            </w:r>
          </w:p>
        </w:tc>
        <w:tc>
          <w:tcPr>
            <w:tcW w:w="480" w:type="dxa"/>
            <w:noWrap w:val="0"/>
            <w:vAlign w:val="center"/>
          </w:tcPr>
          <w:p w14:paraId="1AFCF1E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套</w:t>
            </w:r>
          </w:p>
        </w:tc>
        <w:tc>
          <w:tcPr>
            <w:tcW w:w="451" w:type="dxa"/>
            <w:noWrap w:val="0"/>
            <w:vAlign w:val="center"/>
          </w:tcPr>
          <w:p w14:paraId="4808EB0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r>
    </w:tbl>
    <w:p w14:paraId="67EC02A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1"/>
          <w:szCs w:val="24"/>
          <w:highlight w:val="none"/>
          <w:lang w:val="en-US" w:eastAsia="zh-CN"/>
        </w:rPr>
      </w:pPr>
      <w:r>
        <w:rPr>
          <w:rFonts w:hint="eastAsia" w:ascii="宋体" w:hAnsi="宋体" w:eastAsia="宋体" w:cs="宋体"/>
          <w:b/>
          <w:bCs/>
          <w:color w:val="auto"/>
          <w:kern w:val="2"/>
          <w:sz w:val="21"/>
          <w:szCs w:val="24"/>
          <w:highlight w:val="none"/>
          <w:lang w:val="en-US" w:eastAsia="zh-CN"/>
        </w:rPr>
        <w:t>教学信息化系统</w:t>
      </w:r>
      <w:r>
        <w:rPr>
          <w:rStyle w:val="38"/>
          <w:rFonts w:hint="eastAsia" w:ascii="宋体" w:hAnsi="宋体" w:eastAsia="宋体" w:cs="宋体"/>
          <w:b/>
          <w:bCs/>
          <w:color w:val="auto"/>
          <w:kern w:val="2"/>
          <w:sz w:val="21"/>
          <w:szCs w:val="21"/>
          <w:highlight w:val="none"/>
          <w:vertAlign w:val="baseline"/>
          <w:lang w:val="en-US" w:eastAsia="zh-CN" w:bidi="ar-SA"/>
        </w:rPr>
        <w:t>技术要求</w:t>
      </w:r>
    </w:p>
    <w:p w14:paraId="369D2D53">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72" w:name="_Toc27020"/>
      <w:bookmarkStart w:id="173" w:name="_Toc600"/>
      <w:bookmarkStart w:id="174" w:name="_Toc19038"/>
      <w:bookmarkStart w:id="175" w:name="_Toc17166"/>
      <w:r>
        <w:rPr>
          <w:rStyle w:val="38"/>
          <w:rFonts w:hint="eastAsia" w:ascii="宋体" w:hAnsi="宋体" w:eastAsia="宋体" w:cs="宋体"/>
          <w:b w:val="0"/>
          <w:bCs w:val="0"/>
          <w:color w:val="auto"/>
          <w:sz w:val="21"/>
          <w:szCs w:val="21"/>
          <w:highlight w:val="none"/>
          <w:lang w:val="en-US" w:eastAsia="zh-CN"/>
        </w:rPr>
        <w:t>社会主义学院智慧教学系统的教学信息化系统，主要涵盖教学管理系统与学习管理平台的建设与集成、教学资源库的丰富与管理，以及数据分析与评估等关键环节。该系统通过云计算、大数据等先进技术，实现教学流程的数字化、网络化和智能化。支持在线课程、学习资源的便捷访问与管理，同时利用数据分析技术为师生提供个性化学习支持和精准教学评估。主要内容应当包括：基础应用、数据应用、教学管理应用、学习档案管理、学员考勤考评管理和数据查询分析。</w:t>
      </w:r>
      <w:bookmarkEnd w:id="172"/>
      <w:bookmarkEnd w:id="173"/>
      <w:bookmarkEnd w:id="174"/>
      <w:bookmarkEnd w:id="175"/>
    </w:p>
    <w:p w14:paraId="3F4A080F">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76" w:name="_Toc27178"/>
      <w:bookmarkStart w:id="177" w:name="_Toc1828"/>
      <w:bookmarkStart w:id="178" w:name="_Toc2878"/>
      <w:bookmarkStart w:id="179" w:name="_Toc8582"/>
      <w:r>
        <w:rPr>
          <w:rStyle w:val="38"/>
          <w:rFonts w:hint="eastAsia" w:ascii="宋体" w:hAnsi="宋体" w:eastAsia="宋体" w:cs="宋体"/>
          <w:b w:val="0"/>
          <w:bCs w:val="0"/>
          <w:color w:val="auto"/>
          <w:sz w:val="21"/>
          <w:szCs w:val="21"/>
          <w:highlight w:val="none"/>
          <w:lang w:val="en-US" w:eastAsia="zh-CN"/>
        </w:rPr>
        <w:t>1.基础应用：主要包括用户中心、消息中心、应用中心及统一工作平台，它们共同构成一个集成化、高效能的教学管理与服务平台。用户中心负责师生身份认证与信息管理；消息中心确保教学通知、公告等信息即时传达；应用中心聚合多样化的教学工具与资源；而统一工作平台整合所有功能模块，为教学、学习、管理提供一站式解决方案。</w:t>
      </w:r>
      <w:bookmarkEnd w:id="176"/>
      <w:bookmarkEnd w:id="177"/>
      <w:bookmarkEnd w:id="178"/>
      <w:bookmarkEnd w:id="179"/>
      <w:r>
        <w:rPr>
          <w:rStyle w:val="38"/>
          <w:rFonts w:hint="eastAsia" w:ascii="宋体" w:hAnsi="宋体" w:eastAsia="宋体" w:cs="宋体"/>
          <w:b w:val="0"/>
          <w:bCs w:val="0"/>
          <w:color w:val="auto"/>
          <w:sz w:val="21"/>
          <w:szCs w:val="21"/>
          <w:highlight w:val="none"/>
          <w:lang w:val="en-US" w:eastAsia="zh-CN"/>
        </w:rPr>
        <w:t xml:space="preserve"> </w:t>
      </w:r>
    </w:p>
    <w:p w14:paraId="65A0EC9E">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80" w:name="_Toc30623"/>
      <w:bookmarkStart w:id="181" w:name="_Toc5493"/>
      <w:bookmarkStart w:id="182" w:name="_Toc18087"/>
      <w:bookmarkStart w:id="183" w:name="_Toc15334"/>
      <w:r>
        <w:rPr>
          <w:rStyle w:val="38"/>
          <w:rFonts w:hint="eastAsia" w:ascii="宋体" w:hAnsi="宋体" w:eastAsia="宋体" w:cs="宋体"/>
          <w:b w:val="0"/>
          <w:bCs w:val="0"/>
          <w:color w:val="auto"/>
          <w:sz w:val="21"/>
          <w:szCs w:val="21"/>
          <w:highlight w:val="none"/>
          <w:lang w:val="en-US" w:eastAsia="zh-CN"/>
        </w:rPr>
        <w:t>2.数据应用：教学信息化系统在数据应用方面，主要涵盖数据集成、数据安全、数据资产、数据服务和数据对接等多个核心内容。具体内容如下：</w:t>
      </w:r>
      <w:bookmarkEnd w:id="180"/>
      <w:bookmarkEnd w:id="181"/>
      <w:bookmarkEnd w:id="182"/>
      <w:bookmarkEnd w:id="183"/>
      <w:r>
        <w:rPr>
          <w:rStyle w:val="38"/>
          <w:rFonts w:hint="eastAsia" w:ascii="宋体" w:hAnsi="宋体" w:eastAsia="宋体" w:cs="宋体"/>
          <w:b w:val="0"/>
          <w:bCs w:val="0"/>
          <w:color w:val="auto"/>
          <w:sz w:val="21"/>
          <w:szCs w:val="21"/>
          <w:highlight w:val="none"/>
          <w:lang w:val="en-US" w:eastAsia="zh-CN"/>
        </w:rPr>
        <w:t xml:space="preserve"> </w:t>
      </w:r>
    </w:p>
    <w:p w14:paraId="4BB7A8CB">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84" w:name="_Toc15242"/>
      <w:bookmarkStart w:id="185" w:name="_Toc10088"/>
      <w:bookmarkStart w:id="186" w:name="_Toc26803"/>
      <w:bookmarkStart w:id="187" w:name="_Toc18837"/>
      <w:r>
        <w:rPr>
          <w:rStyle w:val="38"/>
          <w:rFonts w:hint="eastAsia" w:ascii="宋体" w:hAnsi="宋体" w:eastAsia="宋体" w:cs="宋体"/>
          <w:b w:val="0"/>
          <w:bCs w:val="0"/>
          <w:color w:val="auto"/>
          <w:sz w:val="21"/>
          <w:szCs w:val="21"/>
          <w:highlight w:val="none"/>
          <w:lang w:val="en-US" w:eastAsia="zh-CN"/>
        </w:rPr>
        <w:t>（1）数据集成：通过先进的数据交换与整合技术，实现校内各教学管理系统、学习资源平台等数据的全面集成，消除“信息孤岛”，形成统一、全面的数据源，为教学管理决策提供有力支撑。</w:t>
      </w:r>
      <w:bookmarkEnd w:id="184"/>
      <w:bookmarkEnd w:id="185"/>
      <w:bookmarkEnd w:id="186"/>
      <w:bookmarkEnd w:id="187"/>
    </w:p>
    <w:p w14:paraId="13D0136E">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88" w:name="_Toc29572"/>
      <w:bookmarkStart w:id="189" w:name="_Toc11067"/>
      <w:bookmarkStart w:id="190" w:name="_Toc26110"/>
      <w:bookmarkStart w:id="191" w:name="_Toc929"/>
      <w:r>
        <w:rPr>
          <w:rStyle w:val="38"/>
          <w:rFonts w:hint="eastAsia" w:ascii="宋体" w:hAnsi="宋体" w:eastAsia="宋体" w:cs="宋体"/>
          <w:b w:val="0"/>
          <w:bCs w:val="0"/>
          <w:color w:val="auto"/>
          <w:sz w:val="21"/>
          <w:szCs w:val="21"/>
          <w:highlight w:val="none"/>
          <w:lang w:val="en-US" w:eastAsia="zh-CN"/>
        </w:rPr>
        <w:t>（2）数据安全：构建综合安全保障系统平台，涵盖网络安全、数据安全、运行安全等多个方面，确保学校重要数据和应用系统具备抵抗灾难的能力，保障教学信息化系统的稳定运行和师生信息的安全。</w:t>
      </w:r>
      <w:bookmarkEnd w:id="188"/>
      <w:bookmarkEnd w:id="189"/>
      <w:bookmarkEnd w:id="190"/>
      <w:bookmarkEnd w:id="191"/>
    </w:p>
    <w:p w14:paraId="2DB410E6">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92" w:name="_Toc32678"/>
      <w:bookmarkStart w:id="193" w:name="_Toc26126"/>
      <w:bookmarkStart w:id="194" w:name="_Toc29751"/>
      <w:bookmarkStart w:id="195" w:name="_Toc4345"/>
      <w:r>
        <w:rPr>
          <w:rStyle w:val="38"/>
          <w:rFonts w:hint="eastAsia" w:ascii="宋体" w:hAnsi="宋体" w:eastAsia="宋体" w:cs="宋体"/>
          <w:b w:val="0"/>
          <w:bCs w:val="0"/>
          <w:color w:val="auto"/>
          <w:sz w:val="21"/>
          <w:szCs w:val="21"/>
          <w:highlight w:val="none"/>
          <w:lang w:val="en-US" w:eastAsia="zh-CN"/>
        </w:rPr>
        <w:t>（3）数据资产：对学校教学信息化过程中产生的各类数据进行系统化管理和利用，形成宝贵的数据资产，支持教学质量的持续改进和个性化教学服务的提供。</w:t>
      </w:r>
      <w:bookmarkEnd w:id="192"/>
      <w:bookmarkEnd w:id="193"/>
      <w:bookmarkEnd w:id="194"/>
      <w:bookmarkEnd w:id="195"/>
    </w:p>
    <w:p w14:paraId="26A1542F">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196" w:name="_Toc17331"/>
      <w:bookmarkStart w:id="197" w:name="_Toc30994"/>
      <w:bookmarkStart w:id="198" w:name="_Toc17608"/>
      <w:bookmarkStart w:id="199" w:name="_Toc13995"/>
      <w:r>
        <w:rPr>
          <w:rStyle w:val="38"/>
          <w:rFonts w:hint="eastAsia" w:ascii="宋体" w:hAnsi="宋体" w:eastAsia="宋体" w:cs="宋体"/>
          <w:b w:val="0"/>
          <w:bCs w:val="0"/>
          <w:color w:val="auto"/>
          <w:sz w:val="21"/>
          <w:szCs w:val="21"/>
          <w:highlight w:val="none"/>
          <w:lang w:val="en-US" w:eastAsia="zh-CN"/>
        </w:rPr>
        <w:t>（4）数据服务：基于集成的数据资源，为师生提供个性化学习支持、教学质量评估等多样化的数据服务，助力教学管理的科学化和精细化。</w:t>
      </w:r>
      <w:bookmarkEnd w:id="196"/>
      <w:bookmarkEnd w:id="197"/>
      <w:bookmarkEnd w:id="198"/>
      <w:bookmarkEnd w:id="199"/>
    </w:p>
    <w:p w14:paraId="6FDD36E7">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eastAsia="zh-CN"/>
        </w:rPr>
      </w:pPr>
      <w:bookmarkStart w:id="200" w:name="_Toc272"/>
      <w:bookmarkStart w:id="201" w:name="_Toc25279"/>
      <w:bookmarkStart w:id="202" w:name="_Toc4607"/>
      <w:bookmarkStart w:id="203" w:name="_Toc376"/>
      <w:r>
        <w:rPr>
          <w:rStyle w:val="38"/>
          <w:rFonts w:hint="eastAsia" w:ascii="宋体" w:hAnsi="宋体" w:eastAsia="宋体" w:cs="宋体"/>
          <w:b w:val="0"/>
          <w:bCs w:val="0"/>
          <w:color w:val="auto"/>
          <w:sz w:val="21"/>
          <w:szCs w:val="21"/>
          <w:highlight w:val="none"/>
          <w:lang w:val="en-US" w:eastAsia="zh-CN"/>
        </w:rPr>
        <w:t>（5）数据对接：</w:t>
      </w:r>
      <w:bookmarkEnd w:id="200"/>
      <w:bookmarkEnd w:id="201"/>
      <w:bookmarkEnd w:id="202"/>
      <w:r>
        <w:rPr>
          <w:rStyle w:val="38"/>
          <w:rFonts w:hint="eastAsia" w:ascii="宋体" w:hAnsi="宋体" w:eastAsia="宋体" w:cs="宋体"/>
          <w:b w:val="0"/>
          <w:bCs w:val="0"/>
          <w:color w:val="auto"/>
          <w:sz w:val="21"/>
          <w:szCs w:val="21"/>
          <w:highlight w:val="none"/>
        </w:rPr>
        <w:t>社会主义学院智慧教学系统需实现与学院一体化数据资源平台的全量业务数据推送以及重要培训数据与一码通的实时对接，将智慧教学系统中产生的学员身份数据、手机号、班次、课表等涉及学院其他系统所需的重要业务数据同步实时推送至一码通。并确保智库、档案等学院业务系统通过一体化数据资源平台获取智慧教学系统同步的业务数据；社会主义学院智慧教学系统还需完成与学院IAM可信身份认证平台的单点登陆对接，同时实现闸机、POS机、自助入住机、门锁等物联网设备触发学员报道状态的改变，并通过后台统计查询。完成科研管理功能模块与浙社云OA系统审批流对接。</w:t>
      </w:r>
      <w:bookmarkEnd w:id="203"/>
    </w:p>
    <w:p w14:paraId="648036AA">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04" w:name="_Toc13816"/>
      <w:bookmarkStart w:id="205" w:name="_Toc3682"/>
      <w:bookmarkStart w:id="206" w:name="_Toc15351"/>
      <w:bookmarkStart w:id="207" w:name="_Toc13161"/>
      <w:r>
        <w:rPr>
          <w:rStyle w:val="38"/>
          <w:rFonts w:hint="eastAsia" w:ascii="宋体" w:hAnsi="宋体" w:eastAsia="宋体" w:cs="宋体"/>
          <w:b w:val="0"/>
          <w:bCs w:val="0"/>
          <w:color w:val="auto"/>
          <w:sz w:val="21"/>
          <w:szCs w:val="21"/>
          <w:highlight w:val="none"/>
          <w:lang w:val="en-US" w:eastAsia="zh-CN"/>
        </w:rPr>
        <w:t>3.教学管理应用：社会主义学院智慧教学系统的教学信息化系统在教学管理应用上，需要集成以下内容：课程与班级管理、学员报到服务、教学资源库、备课及在线教学平台、评价与作业反馈、教师工作记录、入学通知管理、主办单位管理、短信平台、就餐查询、教室使用管理、教学成果统计。形成一整套全面、智能的教学管理体系。具体需要包含的内容如下：</w:t>
      </w:r>
      <w:bookmarkEnd w:id="204"/>
      <w:bookmarkEnd w:id="205"/>
      <w:bookmarkEnd w:id="206"/>
      <w:bookmarkEnd w:id="207"/>
    </w:p>
    <w:p w14:paraId="4DB1E2FC">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08" w:name="_Toc19466"/>
      <w:bookmarkStart w:id="209" w:name="_Toc24515"/>
      <w:bookmarkStart w:id="210" w:name="_Toc5475"/>
      <w:bookmarkStart w:id="211" w:name="_Toc1053"/>
      <w:r>
        <w:rPr>
          <w:rStyle w:val="38"/>
          <w:rFonts w:hint="eastAsia" w:ascii="宋体" w:hAnsi="宋体" w:eastAsia="宋体" w:cs="宋体"/>
          <w:b w:val="0"/>
          <w:bCs w:val="0"/>
          <w:color w:val="auto"/>
          <w:sz w:val="21"/>
          <w:szCs w:val="21"/>
          <w:highlight w:val="none"/>
          <w:lang w:val="en-US" w:eastAsia="zh-CN"/>
        </w:rPr>
        <w:t>（1）课程管理：课程管理系统负责创建、编辑、发布及维护各类教学课程信息，包括课程名称、描述、授课教师、学时安排等，确保课程信息的准确性和时效性，为学员选课和学习提供便利。支持课表导入导出功能、课程内容搜索功能，和OA系统打通数据实现课表领导审核。支持二维码扫码查询课程信息。</w:t>
      </w:r>
      <w:bookmarkEnd w:id="208"/>
      <w:bookmarkEnd w:id="209"/>
      <w:bookmarkEnd w:id="210"/>
      <w:bookmarkEnd w:id="211"/>
    </w:p>
    <w:p w14:paraId="61BE9EA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12" w:name="_Toc26169"/>
      <w:bookmarkStart w:id="213" w:name="_Toc2699"/>
      <w:bookmarkStart w:id="214" w:name="_Toc20343"/>
      <w:bookmarkStart w:id="215" w:name="_Toc24644"/>
      <w:r>
        <w:rPr>
          <w:rStyle w:val="38"/>
          <w:rFonts w:hint="eastAsia" w:ascii="宋体" w:hAnsi="宋体" w:eastAsia="宋体" w:cs="宋体"/>
          <w:b w:val="0"/>
          <w:bCs w:val="0"/>
          <w:color w:val="auto"/>
          <w:sz w:val="21"/>
          <w:szCs w:val="21"/>
          <w:highlight w:val="none"/>
          <w:lang w:val="en-US" w:eastAsia="zh-CN"/>
        </w:rPr>
        <w:t>（2）班级管理：班级管理模块用于创建、编辑班级信息，分配学员至相应班级，并管理班级成员、班主任及助教等角色，实现班级信息的集中管理和快速查询，为日常教学活动的开展提供基础支持。</w:t>
      </w:r>
      <w:bookmarkEnd w:id="212"/>
      <w:bookmarkEnd w:id="213"/>
      <w:bookmarkEnd w:id="214"/>
      <w:bookmarkEnd w:id="215"/>
    </w:p>
    <w:p w14:paraId="0A77FBD9">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16" w:name="_Toc28288"/>
      <w:bookmarkStart w:id="217" w:name="_Toc21707"/>
      <w:bookmarkStart w:id="218" w:name="_Toc23850"/>
      <w:bookmarkStart w:id="219" w:name="_Toc4216"/>
      <w:r>
        <w:rPr>
          <w:rStyle w:val="38"/>
          <w:rFonts w:hint="eastAsia" w:ascii="宋体" w:hAnsi="宋体" w:eastAsia="宋体" w:cs="宋体"/>
          <w:b w:val="0"/>
          <w:bCs w:val="0"/>
          <w:color w:val="auto"/>
          <w:sz w:val="21"/>
          <w:szCs w:val="21"/>
          <w:highlight w:val="none"/>
          <w:lang w:val="en-US" w:eastAsia="zh-CN"/>
        </w:rPr>
        <w:t>（3）学员报到服务系统：学员报到服务系统通过线上化流程，简化学员报到手续，包括信息登记、身份核验、课程确认等环节，提高报到效率，同时为学员提供便捷的报到体验。（与一码通对接）</w:t>
      </w:r>
      <w:bookmarkEnd w:id="216"/>
      <w:bookmarkEnd w:id="217"/>
      <w:bookmarkEnd w:id="218"/>
      <w:bookmarkEnd w:id="219"/>
    </w:p>
    <w:p w14:paraId="58CFE6C6">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20" w:name="_Toc31695"/>
      <w:bookmarkStart w:id="221" w:name="_Toc4812"/>
      <w:bookmarkStart w:id="222" w:name="_Toc3347"/>
      <w:bookmarkStart w:id="223" w:name="_Toc2216"/>
      <w:r>
        <w:rPr>
          <w:rStyle w:val="38"/>
          <w:rFonts w:hint="eastAsia" w:ascii="宋体" w:hAnsi="宋体" w:eastAsia="宋体" w:cs="宋体"/>
          <w:b w:val="0"/>
          <w:bCs w:val="0"/>
          <w:color w:val="auto"/>
          <w:sz w:val="21"/>
          <w:szCs w:val="21"/>
          <w:highlight w:val="none"/>
          <w:lang w:val="en-US" w:eastAsia="zh-CN"/>
        </w:rPr>
        <w:t>（4）资源库：资源库是教学资源的集中存储和管理平台，涵盖课件、视频、文档、案例等多种类型的教学资源，支持资源的上传、分类、检索和下载，为师生提供丰富的教学和学习素材；支持名单导入功能，增加数据推送功能，和数字统战、浙统云等上级系统打通。</w:t>
      </w:r>
      <w:bookmarkEnd w:id="220"/>
      <w:bookmarkEnd w:id="221"/>
      <w:bookmarkEnd w:id="222"/>
      <w:bookmarkEnd w:id="223"/>
    </w:p>
    <w:p w14:paraId="7706B71A">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24" w:name="_Toc8845"/>
      <w:bookmarkStart w:id="225" w:name="_Toc8627"/>
      <w:bookmarkStart w:id="226" w:name="_Toc10274"/>
      <w:bookmarkStart w:id="227" w:name="_Toc20313"/>
      <w:r>
        <w:rPr>
          <w:rStyle w:val="38"/>
          <w:rFonts w:hint="eastAsia" w:ascii="宋体" w:hAnsi="宋体" w:eastAsia="宋体" w:cs="宋体"/>
          <w:b w:val="0"/>
          <w:bCs w:val="0"/>
          <w:color w:val="auto"/>
          <w:sz w:val="21"/>
          <w:szCs w:val="21"/>
          <w:highlight w:val="none"/>
          <w:lang w:val="en-US" w:eastAsia="zh-CN"/>
        </w:rPr>
        <w:t>（5）备课系统：备课系统为教师提供便捷的备课工具，支持教案编写、资料整合、课件制作等功能，帮助教师高效准备教学内容，提升教学质量和效率。</w:t>
      </w:r>
      <w:bookmarkEnd w:id="224"/>
      <w:bookmarkEnd w:id="225"/>
      <w:bookmarkEnd w:id="226"/>
      <w:bookmarkEnd w:id="227"/>
    </w:p>
    <w:p w14:paraId="1C586A43">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28" w:name="_Toc23772"/>
      <w:bookmarkStart w:id="229" w:name="_Toc2808"/>
      <w:bookmarkStart w:id="230" w:name="_Toc29076"/>
      <w:bookmarkStart w:id="231" w:name="_Toc10246"/>
      <w:r>
        <w:rPr>
          <w:rStyle w:val="38"/>
          <w:rFonts w:hint="eastAsia" w:ascii="宋体" w:hAnsi="宋体" w:eastAsia="宋体" w:cs="宋体"/>
          <w:b w:val="0"/>
          <w:bCs w:val="0"/>
          <w:color w:val="auto"/>
          <w:sz w:val="21"/>
          <w:szCs w:val="21"/>
          <w:highlight w:val="none"/>
          <w:lang w:val="en-US" w:eastAsia="zh-CN"/>
        </w:rPr>
        <w:t>（6）在线教学系统：在线教学系统支持直播授课、录播回放、互动问答等多种教学模式，打破时间和空间的限制，为师生提供灵活多样的教学和学习方式，增强教学的互动性和参与感。</w:t>
      </w:r>
      <w:bookmarkEnd w:id="228"/>
      <w:bookmarkEnd w:id="229"/>
      <w:bookmarkEnd w:id="230"/>
      <w:bookmarkEnd w:id="231"/>
    </w:p>
    <w:p w14:paraId="71C3613D">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32" w:name="_Toc7602"/>
      <w:bookmarkStart w:id="233" w:name="_Toc31607"/>
      <w:bookmarkStart w:id="234" w:name="_Toc29865"/>
      <w:bookmarkStart w:id="235" w:name="_Toc23724"/>
      <w:r>
        <w:rPr>
          <w:rStyle w:val="38"/>
          <w:rFonts w:hint="eastAsia" w:ascii="宋体" w:hAnsi="宋体" w:eastAsia="宋体" w:cs="宋体"/>
          <w:b w:val="0"/>
          <w:bCs w:val="0"/>
          <w:color w:val="auto"/>
          <w:sz w:val="21"/>
          <w:szCs w:val="21"/>
          <w:highlight w:val="none"/>
          <w:lang w:val="en-US" w:eastAsia="zh-CN"/>
        </w:rPr>
        <w:t>（7）入学通知管理：点击“入学通知”，下载培训班入学通知，具体内容包括入学通知模版维护功能、短信模版维护功能、通知发送历史查询、短信发送状态查询、发送失败短信再次发、短信发送情况月度统计。</w:t>
      </w:r>
      <w:bookmarkEnd w:id="232"/>
      <w:bookmarkEnd w:id="233"/>
      <w:bookmarkEnd w:id="234"/>
      <w:bookmarkEnd w:id="235"/>
    </w:p>
    <w:p w14:paraId="59DDCA3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36" w:name="_Toc13359"/>
      <w:bookmarkStart w:id="237" w:name="_Toc2202"/>
      <w:bookmarkStart w:id="238" w:name="_Toc25835"/>
      <w:bookmarkStart w:id="239" w:name="_Toc17883"/>
      <w:r>
        <w:rPr>
          <w:rStyle w:val="38"/>
          <w:rFonts w:hint="eastAsia" w:ascii="宋体" w:hAnsi="宋体" w:eastAsia="宋体" w:cs="宋体"/>
          <w:b w:val="0"/>
          <w:bCs w:val="0"/>
          <w:color w:val="auto"/>
          <w:sz w:val="21"/>
          <w:szCs w:val="21"/>
          <w:highlight w:val="none"/>
          <w:lang w:val="en-US" w:eastAsia="zh-CN"/>
        </w:rPr>
        <w:t>（8）主办单位管理：点击“主办单位”，可以查询主办单位名称、用户名、密码等内容，点击“删除”，可删除主办单位账号，支持导出功能，为主办单位开通班级开班进程查看、数据查询功能。</w:t>
      </w:r>
      <w:bookmarkEnd w:id="236"/>
      <w:bookmarkEnd w:id="237"/>
      <w:bookmarkEnd w:id="238"/>
      <w:bookmarkEnd w:id="239"/>
    </w:p>
    <w:p w14:paraId="47886CCE">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40" w:name="_Toc27431"/>
      <w:bookmarkStart w:id="241" w:name="_Toc11071"/>
      <w:bookmarkStart w:id="242" w:name="_Toc16190"/>
      <w:bookmarkStart w:id="243" w:name="_Toc15800"/>
      <w:r>
        <w:rPr>
          <w:rStyle w:val="38"/>
          <w:rFonts w:hint="eastAsia" w:ascii="宋体" w:hAnsi="宋体" w:eastAsia="宋体" w:cs="宋体"/>
          <w:b w:val="0"/>
          <w:bCs w:val="0"/>
          <w:color w:val="auto"/>
          <w:sz w:val="21"/>
          <w:szCs w:val="21"/>
          <w:highlight w:val="none"/>
          <w:lang w:val="en-US" w:eastAsia="zh-CN"/>
        </w:rPr>
        <w:t>（9）短信平台：点击“短信平台”，可批量给学员发送短信通知，可根据班次编号或班次名称进行检索。支持培训班批量发送和单个学员发送短信功能.</w:t>
      </w:r>
      <w:bookmarkEnd w:id="240"/>
      <w:bookmarkEnd w:id="241"/>
      <w:bookmarkEnd w:id="242"/>
      <w:bookmarkEnd w:id="243"/>
    </w:p>
    <w:p w14:paraId="18C3AA8D">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44" w:name="_Toc13400"/>
      <w:bookmarkStart w:id="245" w:name="_Toc26107"/>
      <w:bookmarkStart w:id="246" w:name="_Toc29525"/>
      <w:bookmarkStart w:id="247" w:name="_Toc13835"/>
      <w:r>
        <w:rPr>
          <w:rStyle w:val="38"/>
          <w:rFonts w:hint="eastAsia" w:ascii="宋体" w:hAnsi="宋体" w:eastAsia="宋体" w:cs="宋体"/>
          <w:b w:val="0"/>
          <w:bCs w:val="0"/>
          <w:color w:val="auto"/>
          <w:sz w:val="21"/>
          <w:szCs w:val="21"/>
          <w:highlight w:val="none"/>
          <w:lang w:val="en-US" w:eastAsia="zh-CN"/>
        </w:rPr>
        <w:t>（10）就餐查询：点击“就餐查询”，可查看历史培训班次，点击“查看详情”，可查询学员相关就餐情况。与学校考勤一卡通打通数据接口。（与一码通对接）</w:t>
      </w:r>
      <w:bookmarkEnd w:id="244"/>
      <w:bookmarkEnd w:id="245"/>
      <w:bookmarkEnd w:id="246"/>
      <w:bookmarkEnd w:id="247"/>
    </w:p>
    <w:p w14:paraId="7EE1698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48" w:name="_Toc8305"/>
      <w:bookmarkStart w:id="249" w:name="_Toc21685"/>
      <w:bookmarkStart w:id="250" w:name="_Toc25592"/>
      <w:bookmarkStart w:id="251" w:name="_Toc26642"/>
      <w:r>
        <w:rPr>
          <w:rStyle w:val="38"/>
          <w:rFonts w:hint="eastAsia" w:ascii="宋体" w:hAnsi="宋体" w:eastAsia="宋体" w:cs="宋体"/>
          <w:b w:val="0"/>
          <w:bCs w:val="0"/>
          <w:color w:val="auto"/>
          <w:sz w:val="21"/>
          <w:szCs w:val="21"/>
          <w:highlight w:val="none"/>
          <w:lang w:val="en-US" w:eastAsia="zh-CN"/>
        </w:rPr>
        <w:t>（11）教室使用管理：点击“教室使用”，可以查看教室占用情况。显示班级所占教室和所占时间段，增加按照班级名称和时间查询功能，实现管理员及班主任皆可操作新增教室功能，多位排课老师在排课时可看到平台显示的教室及座位使用情况，避免重复教室。</w:t>
      </w:r>
      <w:bookmarkEnd w:id="248"/>
      <w:bookmarkEnd w:id="249"/>
      <w:bookmarkEnd w:id="250"/>
      <w:bookmarkEnd w:id="251"/>
    </w:p>
    <w:p w14:paraId="7F309D53">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52" w:name="_Toc30210"/>
      <w:bookmarkStart w:id="253" w:name="_Toc30103"/>
      <w:bookmarkStart w:id="254" w:name="_Toc2233"/>
      <w:bookmarkStart w:id="255" w:name="_Toc11170"/>
      <w:r>
        <w:rPr>
          <w:rStyle w:val="38"/>
          <w:rFonts w:hint="eastAsia" w:ascii="宋体" w:hAnsi="宋体" w:eastAsia="宋体" w:cs="宋体"/>
          <w:b w:val="0"/>
          <w:bCs w:val="0"/>
          <w:color w:val="auto"/>
          <w:sz w:val="21"/>
          <w:szCs w:val="21"/>
          <w:highlight w:val="none"/>
          <w:lang w:val="en-US" w:eastAsia="zh-CN"/>
        </w:rPr>
        <w:t>（12）教学成果统计：教学成果统计模块用于收集、整理和分析学员的学习成果数据，如考试成绩、学习进度、证书获取情况等，为学校评估教学效果、制定教学政策提供科学依据。</w:t>
      </w:r>
      <w:bookmarkEnd w:id="252"/>
      <w:bookmarkEnd w:id="253"/>
      <w:bookmarkEnd w:id="254"/>
      <w:bookmarkEnd w:id="255"/>
    </w:p>
    <w:p w14:paraId="102DEBB0">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56" w:name="_Toc16894"/>
      <w:bookmarkStart w:id="257" w:name="_Toc16648"/>
      <w:bookmarkStart w:id="258" w:name="_Toc14178"/>
      <w:bookmarkStart w:id="259" w:name="_Toc15184"/>
      <w:r>
        <w:rPr>
          <w:rStyle w:val="38"/>
          <w:rFonts w:hint="eastAsia" w:ascii="宋体" w:hAnsi="宋体" w:eastAsia="宋体" w:cs="宋体"/>
          <w:b w:val="0"/>
          <w:bCs w:val="0"/>
          <w:color w:val="auto"/>
          <w:sz w:val="21"/>
          <w:szCs w:val="21"/>
          <w:highlight w:val="none"/>
          <w:lang w:val="en-US" w:eastAsia="zh-CN"/>
        </w:rPr>
        <w:t>4.数据查询分析：涵盖学员考勤、办公审批、数据归集等多个关键领域。通过强大的数据分析工具，实现对学员出勤情况的实时监控与回溯查询，同时整合办公审批流程中的各项数据。</w:t>
      </w:r>
      <w:bookmarkEnd w:id="256"/>
      <w:bookmarkEnd w:id="257"/>
      <w:bookmarkEnd w:id="258"/>
      <w:bookmarkEnd w:id="259"/>
    </w:p>
    <w:p w14:paraId="22FA6FE0">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60" w:name="_Toc28902"/>
      <w:bookmarkStart w:id="261" w:name="_Toc15621"/>
      <w:bookmarkStart w:id="262" w:name="_Toc1883"/>
      <w:bookmarkStart w:id="263" w:name="_Toc438"/>
      <w:r>
        <w:rPr>
          <w:rStyle w:val="38"/>
          <w:rFonts w:hint="eastAsia" w:ascii="宋体" w:hAnsi="宋体" w:eastAsia="宋体" w:cs="宋体"/>
          <w:b w:val="0"/>
          <w:bCs w:val="0"/>
          <w:color w:val="auto"/>
          <w:sz w:val="21"/>
          <w:szCs w:val="21"/>
          <w:highlight w:val="none"/>
          <w:lang w:val="en-US" w:eastAsia="zh-CN"/>
        </w:rPr>
        <w:t>5.社会主义学院日常业务管理驾驶舱：支持为社会主义学院管理层提供学校日常管理业务的可视化决策数据。如教师情况、学员情况、班级情况和事件通知等。</w:t>
      </w:r>
      <w:bookmarkEnd w:id="260"/>
      <w:bookmarkEnd w:id="261"/>
      <w:bookmarkEnd w:id="262"/>
      <w:bookmarkEnd w:id="263"/>
    </w:p>
    <w:p w14:paraId="5CEA40A1">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64" w:name="_Toc8235"/>
      <w:bookmarkStart w:id="265" w:name="_Toc18599"/>
      <w:bookmarkStart w:id="266" w:name="_Toc8156"/>
      <w:bookmarkStart w:id="267" w:name="_Toc22670"/>
      <w:r>
        <w:rPr>
          <w:rStyle w:val="38"/>
          <w:rFonts w:hint="eastAsia" w:ascii="宋体" w:hAnsi="宋体" w:eastAsia="宋体" w:cs="宋体"/>
          <w:b w:val="0"/>
          <w:bCs w:val="0"/>
          <w:color w:val="auto"/>
          <w:sz w:val="21"/>
          <w:szCs w:val="21"/>
          <w:highlight w:val="none"/>
          <w:lang w:val="en-US" w:eastAsia="zh-CN"/>
        </w:rPr>
        <w:t>（1）教师情况</w:t>
      </w:r>
      <w:bookmarkEnd w:id="264"/>
      <w:bookmarkEnd w:id="265"/>
      <w:bookmarkEnd w:id="266"/>
      <w:bookmarkEnd w:id="267"/>
    </w:p>
    <w:p w14:paraId="009B9790">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68" w:name="_Toc16563"/>
      <w:bookmarkStart w:id="269" w:name="_Toc25160"/>
      <w:bookmarkStart w:id="270" w:name="_Toc4202"/>
      <w:bookmarkStart w:id="271" w:name="_Toc17341"/>
      <w:r>
        <w:rPr>
          <w:rStyle w:val="38"/>
          <w:rFonts w:hint="eastAsia" w:ascii="宋体" w:hAnsi="宋体" w:eastAsia="宋体" w:cs="宋体"/>
          <w:b w:val="0"/>
          <w:bCs w:val="0"/>
          <w:color w:val="auto"/>
          <w:sz w:val="21"/>
          <w:szCs w:val="21"/>
          <w:highlight w:val="none"/>
          <w:lang w:val="en-US" w:eastAsia="zh-CN"/>
        </w:rPr>
        <w:t>教师基本信息：包括教师的姓名、性别、年龄、职称、学历、研究方向等。</w:t>
      </w:r>
      <w:bookmarkEnd w:id="268"/>
      <w:bookmarkEnd w:id="269"/>
      <w:bookmarkEnd w:id="270"/>
      <w:bookmarkEnd w:id="271"/>
    </w:p>
    <w:p w14:paraId="555EFA89">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72" w:name="_Toc26140"/>
      <w:bookmarkStart w:id="273" w:name="_Toc21320"/>
      <w:bookmarkStart w:id="274" w:name="_Toc25183"/>
      <w:bookmarkStart w:id="275" w:name="_Toc16247"/>
      <w:r>
        <w:rPr>
          <w:rStyle w:val="38"/>
          <w:rFonts w:hint="eastAsia" w:ascii="宋体" w:hAnsi="宋体" w:eastAsia="宋体" w:cs="宋体"/>
          <w:b w:val="0"/>
          <w:bCs w:val="0"/>
          <w:color w:val="auto"/>
          <w:sz w:val="21"/>
          <w:szCs w:val="21"/>
          <w:highlight w:val="none"/>
          <w:lang w:val="en-US" w:eastAsia="zh-CN"/>
        </w:rPr>
        <w:t>教学安排：显示教师的授课课程、授课时间、授课地点、学员人数等相关信息。</w:t>
      </w:r>
      <w:bookmarkEnd w:id="272"/>
      <w:bookmarkEnd w:id="273"/>
      <w:bookmarkEnd w:id="274"/>
      <w:bookmarkEnd w:id="275"/>
    </w:p>
    <w:p w14:paraId="1A503B50">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76" w:name="_Toc12068"/>
      <w:bookmarkStart w:id="277" w:name="_Toc5509"/>
      <w:bookmarkStart w:id="278" w:name="_Toc19504"/>
      <w:bookmarkStart w:id="279" w:name="_Toc366"/>
      <w:r>
        <w:rPr>
          <w:rStyle w:val="38"/>
          <w:rFonts w:hint="eastAsia" w:ascii="宋体" w:hAnsi="宋体" w:eastAsia="宋体" w:cs="宋体"/>
          <w:b w:val="0"/>
          <w:bCs w:val="0"/>
          <w:color w:val="auto"/>
          <w:sz w:val="21"/>
          <w:szCs w:val="21"/>
          <w:highlight w:val="none"/>
          <w:lang w:val="en-US" w:eastAsia="zh-CN"/>
        </w:rPr>
        <w:t>科研成果：展示教师的论文发表、课题研究、获奖情况等科研成果。</w:t>
      </w:r>
      <w:bookmarkEnd w:id="276"/>
      <w:bookmarkEnd w:id="277"/>
      <w:bookmarkEnd w:id="278"/>
      <w:bookmarkEnd w:id="279"/>
    </w:p>
    <w:p w14:paraId="7327E369">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80" w:name="_Toc10108"/>
      <w:bookmarkStart w:id="281" w:name="_Toc7518"/>
      <w:bookmarkStart w:id="282" w:name="_Toc15865"/>
      <w:bookmarkStart w:id="283" w:name="_Toc16910"/>
      <w:r>
        <w:rPr>
          <w:rStyle w:val="38"/>
          <w:rFonts w:hint="eastAsia" w:ascii="宋体" w:hAnsi="宋体" w:eastAsia="宋体" w:cs="宋体"/>
          <w:b w:val="0"/>
          <w:bCs w:val="0"/>
          <w:color w:val="auto"/>
          <w:sz w:val="21"/>
          <w:szCs w:val="21"/>
          <w:highlight w:val="none"/>
          <w:lang w:val="en-US" w:eastAsia="zh-CN"/>
        </w:rPr>
        <w:t>评价反馈：收集学员对教师的教学评价，以及同行评价、领导评价等多维度的反馈信息。</w:t>
      </w:r>
      <w:bookmarkEnd w:id="280"/>
      <w:bookmarkEnd w:id="281"/>
      <w:bookmarkEnd w:id="282"/>
      <w:bookmarkEnd w:id="283"/>
    </w:p>
    <w:p w14:paraId="0A4094C6">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84" w:name="_Toc22665"/>
      <w:bookmarkStart w:id="285" w:name="_Toc2518"/>
      <w:bookmarkStart w:id="286" w:name="_Toc2385"/>
      <w:bookmarkStart w:id="287" w:name="_Toc13536"/>
      <w:r>
        <w:rPr>
          <w:rStyle w:val="38"/>
          <w:rFonts w:hint="eastAsia" w:ascii="宋体" w:hAnsi="宋体" w:eastAsia="宋体" w:cs="宋体"/>
          <w:b w:val="0"/>
          <w:bCs w:val="0"/>
          <w:color w:val="auto"/>
          <w:sz w:val="21"/>
          <w:szCs w:val="21"/>
          <w:highlight w:val="none"/>
          <w:lang w:val="en-US" w:eastAsia="zh-CN"/>
        </w:rPr>
        <w:t>（2）学员情况</w:t>
      </w:r>
      <w:bookmarkEnd w:id="284"/>
      <w:bookmarkEnd w:id="285"/>
      <w:bookmarkEnd w:id="286"/>
      <w:bookmarkEnd w:id="287"/>
    </w:p>
    <w:p w14:paraId="2776037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88" w:name="_Toc26258"/>
      <w:bookmarkStart w:id="289" w:name="_Toc25229"/>
      <w:bookmarkStart w:id="290" w:name="_Toc4416"/>
      <w:bookmarkStart w:id="291" w:name="_Toc26724"/>
      <w:r>
        <w:rPr>
          <w:rStyle w:val="38"/>
          <w:rFonts w:hint="eastAsia" w:ascii="宋体" w:hAnsi="宋体" w:eastAsia="宋体" w:cs="宋体"/>
          <w:b w:val="0"/>
          <w:bCs w:val="0"/>
          <w:color w:val="auto"/>
          <w:sz w:val="21"/>
          <w:szCs w:val="21"/>
          <w:highlight w:val="none"/>
          <w:lang w:val="en-US" w:eastAsia="zh-CN"/>
        </w:rPr>
        <w:t>学员基本信息：包括学员的姓名、性别、年龄、专业、班级、学号等基本信息。</w:t>
      </w:r>
      <w:bookmarkEnd w:id="288"/>
      <w:bookmarkEnd w:id="289"/>
      <w:bookmarkEnd w:id="290"/>
      <w:bookmarkEnd w:id="291"/>
    </w:p>
    <w:p w14:paraId="79467C1D">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92" w:name="_Toc10880"/>
      <w:bookmarkStart w:id="293" w:name="_Toc20015"/>
      <w:bookmarkStart w:id="294" w:name="_Toc18928"/>
      <w:bookmarkStart w:id="295" w:name="_Toc19094"/>
      <w:r>
        <w:rPr>
          <w:rStyle w:val="38"/>
          <w:rFonts w:hint="eastAsia" w:ascii="宋体" w:hAnsi="宋体" w:eastAsia="宋体" w:cs="宋体"/>
          <w:b w:val="0"/>
          <w:bCs w:val="0"/>
          <w:color w:val="auto"/>
          <w:sz w:val="21"/>
          <w:szCs w:val="21"/>
          <w:highlight w:val="none"/>
          <w:lang w:val="en-US" w:eastAsia="zh-CN"/>
        </w:rPr>
        <w:t>学习情况：展示学员的学习成绩、课程进度、出勤率等学习状态信息。</w:t>
      </w:r>
      <w:bookmarkEnd w:id="292"/>
      <w:bookmarkEnd w:id="293"/>
      <w:bookmarkEnd w:id="294"/>
      <w:bookmarkEnd w:id="295"/>
    </w:p>
    <w:p w14:paraId="15F520D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296" w:name="_Toc24352"/>
      <w:bookmarkStart w:id="297" w:name="_Toc1888"/>
      <w:bookmarkStart w:id="298" w:name="_Toc12682"/>
      <w:bookmarkStart w:id="299" w:name="_Toc4221"/>
      <w:r>
        <w:rPr>
          <w:rStyle w:val="38"/>
          <w:rFonts w:hint="eastAsia" w:ascii="宋体" w:hAnsi="宋体" w:eastAsia="宋体" w:cs="宋体"/>
          <w:b w:val="0"/>
          <w:bCs w:val="0"/>
          <w:color w:val="auto"/>
          <w:sz w:val="21"/>
          <w:szCs w:val="21"/>
          <w:highlight w:val="none"/>
          <w:lang w:val="en-US" w:eastAsia="zh-CN"/>
        </w:rPr>
        <w:t>行为表现：记录学员的日常行为表现，如参与活动、获奖情况、违纪行为等。</w:t>
      </w:r>
      <w:bookmarkEnd w:id="296"/>
      <w:bookmarkEnd w:id="297"/>
      <w:bookmarkEnd w:id="298"/>
      <w:bookmarkEnd w:id="299"/>
    </w:p>
    <w:p w14:paraId="69DAB5F1">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00" w:name="_Toc905"/>
      <w:bookmarkStart w:id="301" w:name="_Toc2670"/>
      <w:bookmarkStart w:id="302" w:name="_Toc24305"/>
      <w:bookmarkStart w:id="303" w:name="_Toc20596"/>
      <w:r>
        <w:rPr>
          <w:rStyle w:val="38"/>
          <w:rFonts w:hint="eastAsia" w:ascii="宋体" w:hAnsi="宋体" w:eastAsia="宋体" w:cs="宋体"/>
          <w:b w:val="0"/>
          <w:bCs w:val="0"/>
          <w:color w:val="auto"/>
          <w:sz w:val="21"/>
          <w:szCs w:val="21"/>
          <w:highlight w:val="none"/>
          <w:lang w:val="en-US" w:eastAsia="zh-CN"/>
        </w:rPr>
        <w:t>（3）班级情况</w:t>
      </w:r>
      <w:bookmarkEnd w:id="300"/>
      <w:bookmarkEnd w:id="301"/>
      <w:bookmarkEnd w:id="302"/>
      <w:bookmarkEnd w:id="303"/>
    </w:p>
    <w:p w14:paraId="51442765">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04" w:name="_Toc993"/>
      <w:bookmarkStart w:id="305" w:name="_Toc27043"/>
      <w:bookmarkStart w:id="306" w:name="_Toc17046"/>
      <w:bookmarkStart w:id="307" w:name="_Toc5659"/>
      <w:r>
        <w:rPr>
          <w:rStyle w:val="38"/>
          <w:rFonts w:hint="eastAsia" w:ascii="宋体" w:hAnsi="宋体" w:eastAsia="宋体" w:cs="宋体"/>
          <w:b w:val="0"/>
          <w:bCs w:val="0"/>
          <w:color w:val="auto"/>
          <w:sz w:val="21"/>
          <w:szCs w:val="21"/>
          <w:highlight w:val="none"/>
          <w:lang w:val="en-US" w:eastAsia="zh-CN"/>
        </w:rPr>
        <w:t>班级基本信息：包括班级名称、班主任、学员人数、专业方向等基本信息。</w:t>
      </w:r>
      <w:bookmarkEnd w:id="304"/>
      <w:bookmarkEnd w:id="305"/>
      <w:bookmarkEnd w:id="306"/>
      <w:bookmarkEnd w:id="307"/>
    </w:p>
    <w:p w14:paraId="42A2EEF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08" w:name="_Toc9163"/>
      <w:bookmarkStart w:id="309" w:name="_Toc23758"/>
      <w:bookmarkStart w:id="310" w:name="_Toc9709"/>
      <w:bookmarkStart w:id="311" w:name="_Toc15312"/>
      <w:r>
        <w:rPr>
          <w:rStyle w:val="38"/>
          <w:rFonts w:hint="eastAsia" w:ascii="宋体" w:hAnsi="宋体" w:eastAsia="宋体" w:cs="宋体"/>
          <w:b w:val="0"/>
          <w:bCs w:val="0"/>
          <w:color w:val="auto"/>
          <w:sz w:val="21"/>
          <w:szCs w:val="21"/>
          <w:highlight w:val="none"/>
          <w:lang w:val="en-US" w:eastAsia="zh-CN"/>
        </w:rPr>
        <w:t>班级管理：展示班级的日常管理情况，如班级会议记录、班级活动安排、班级文化建设等。</w:t>
      </w:r>
      <w:bookmarkEnd w:id="308"/>
      <w:bookmarkEnd w:id="309"/>
      <w:bookmarkEnd w:id="310"/>
      <w:bookmarkEnd w:id="311"/>
    </w:p>
    <w:p w14:paraId="0FC1631B">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12" w:name="_Toc27775"/>
      <w:bookmarkStart w:id="313" w:name="_Toc16340"/>
      <w:bookmarkStart w:id="314" w:name="_Toc15501"/>
      <w:bookmarkStart w:id="315" w:name="_Toc23253"/>
      <w:r>
        <w:rPr>
          <w:rStyle w:val="38"/>
          <w:rFonts w:hint="eastAsia" w:ascii="宋体" w:hAnsi="宋体" w:eastAsia="宋体" w:cs="宋体"/>
          <w:b w:val="0"/>
          <w:bCs w:val="0"/>
          <w:color w:val="auto"/>
          <w:sz w:val="21"/>
          <w:szCs w:val="21"/>
          <w:highlight w:val="none"/>
          <w:lang w:val="en-US" w:eastAsia="zh-CN"/>
        </w:rPr>
        <w:t>学风建设：反映班级的学风状况，如学习氛围、学习态度、学习成果等。</w:t>
      </w:r>
      <w:bookmarkEnd w:id="312"/>
      <w:bookmarkEnd w:id="313"/>
      <w:bookmarkEnd w:id="314"/>
      <w:bookmarkEnd w:id="315"/>
    </w:p>
    <w:p w14:paraId="1A393806">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16" w:name="_Toc23242"/>
      <w:bookmarkStart w:id="317" w:name="_Toc4864"/>
      <w:bookmarkStart w:id="318" w:name="_Toc16655"/>
      <w:bookmarkStart w:id="319" w:name="_Toc16965"/>
      <w:r>
        <w:rPr>
          <w:rStyle w:val="38"/>
          <w:rFonts w:hint="eastAsia" w:ascii="宋体" w:hAnsi="宋体" w:eastAsia="宋体" w:cs="宋体"/>
          <w:b w:val="0"/>
          <w:bCs w:val="0"/>
          <w:color w:val="auto"/>
          <w:sz w:val="21"/>
          <w:szCs w:val="21"/>
          <w:highlight w:val="none"/>
          <w:lang w:val="en-US" w:eastAsia="zh-CN"/>
        </w:rPr>
        <w:t>班级动态：实时更新班级的最新动态和新闻，如班级活动照片、获奖通知等。</w:t>
      </w:r>
      <w:bookmarkEnd w:id="316"/>
      <w:bookmarkEnd w:id="317"/>
      <w:bookmarkEnd w:id="318"/>
      <w:bookmarkEnd w:id="319"/>
    </w:p>
    <w:p w14:paraId="67CC3B1F">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20" w:name="_Toc7285"/>
      <w:bookmarkStart w:id="321" w:name="_Toc13206"/>
      <w:bookmarkStart w:id="322" w:name="_Toc19449"/>
      <w:bookmarkStart w:id="323" w:name="_Toc9"/>
      <w:r>
        <w:rPr>
          <w:rStyle w:val="38"/>
          <w:rFonts w:hint="eastAsia" w:ascii="宋体" w:hAnsi="宋体" w:eastAsia="宋体" w:cs="宋体"/>
          <w:b w:val="0"/>
          <w:bCs w:val="0"/>
          <w:color w:val="auto"/>
          <w:sz w:val="21"/>
          <w:szCs w:val="21"/>
          <w:highlight w:val="none"/>
          <w:lang w:val="en-US" w:eastAsia="zh-CN"/>
        </w:rPr>
        <w:t>（4）事件通知</w:t>
      </w:r>
      <w:bookmarkEnd w:id="320"/>
      <w:bookmarkEnd w:id="321"/>
      <w:bookmarkEnd w:id="322"/>
      <w:bookmarkEnd w:id="323"/>
    </w:p>
    <w:p w14:paraId="53739E22">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24" w:name="_Toc17507"/>
      <w:bookmarkStart w:id="325" w:name="_Toc6195"/>
      <w:bookmarkStart w:id="326" w:name="_Toc27057"/>
      <w:bookmarkStart w:id="327" w:name="_Toc17460"/>
      <w:r>
        <w:rPr>
          <w:rStyle w:val="38"/>
          <w:rFonts w:hint="eastAsia" w:ascii="宋体" w:hAnsi="宋体" w:eastAsia="宋体" w:cs="宋体"/>
          <w:b w:val="0"/>
          <w:bCs w:val="0"/>
          <w:color w:val="auto"/>
          <w:sz w:val="21"/>
          <w:szCs w:val="21"/>
          <w:highlight w:val="none"/>
          <w:lang w:val="en-US" w:eastAsia="zh-CN"/>
        </w:rPr>
        <w:t>重要通知：发布学院的重要通知和公告，如放假安排、考试安排、活动通知等。</w:t>
      </w:r>
      <w:bookmarkEnd w:id="324"/>
      <w:bookmarkEnd w:id="325"/>
      <w:bookmarkEnd w:id="326"/>
      <w:bookmarkEnd w:id="327"/>
    </w:p>
    <w:p w14:paraId="3F527569">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28" w:name="_Toc11547"/>
      <w:bookmarkStart w:id="329" w:name="_Toc4700"/>
      <w:bookmarkStart w:id="330" w:name="_Toc28562"/>
      <w:bookmarkStart w:id="331" w:name="_Toc10287"/>
      <w:r>
        <w:rPr>
          <w:rStyle w:val="38"/>
          <w:rFonts w:hint="eastAsia" w:ascii="宋体" w:hAnsi="宋体" w:eastAsia="宋体" w:cs="宋体"/>
          <w:b w:val="0"/>
          <w:bCs w:val="0"/>
          <w:color w:val="auto"/>
          <w:sz w:val="21"/>
          <w:szCs w:val="21"/>
          <w:highlight w:val="none"/>
          <w:lang w:val="en-US" w:eastAsia="zh-CN"/>
        </w:rPr>
        <w:t>紧急事件：在发生紧急事件时，及时发布预警信息和应对措施，确保师生安全。</w:t>
      </w:r>
      <w:bookmarkEnd w:id="328"/>
      <w:bookmarkEnd w:id="329"/>
      <w:bookmarkEnd w:id="330"/>
      <w:bookmarkEnd w:id="331"/>
    </w:p>
    <w:p w14:paraId="79B04867">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32" w:name="_Toc27739"/>
      <w:bookmarkStart w:id="333" w:name="_Toc17118"/>
      <w:bookmarkStart w:id="334" w:name="_Toc27050"/>
      <w:bookmarkStart w:id="335" w:name="_Toc24273"/>
      <w:r>
        <w:rPr>
          <w:rStyle w:val="38"/>
          <w:rFonts w:hint="eastAsia" w:ascii="宋体" w:hAnsi="宋体" w:eastAsia="宋体" w:cs="宋体"/>
          <w:b w:val="0"/>
          <w:bCs w:val="0"/>
          <w:color w:val="auto"/>
          <w:sz w:val="21"/>
          <w:szCs w:val="21"/>
          <w:highlight w:val="none"/>
          <w:lang w:val="en-US" w:eastAsia="zh-CN"/>
        </w:rPr>
        <w:t>会议安排：展示学院的各类会议安排，包括会议时间、地点、参会人员等。</w:t>
      </w:r>
      <w:bookmarkEnd w:id="332"/>
      <w:bookmarkEnd w:id="333"/>
      <w:bookmarkEnd w:id="334"/>
      <w:bookmarkEnd w:id="335"/>
    </w:p>
    <w:p w14:paraId="5131F17C">
      <w:pPr>
        <w:pStyle w:val="4"/>
        <w:keepNext w:val="0"/>
        <w:keepLines/>
        <w:pageBreakBefore w:val="0"/>
        <w:widowControl w:val="0"/>
        <w:kinsoku/>
        <w:wordWrap/>
        <w:overflowPunct/>
        <w:topLinePunct w:val="0"/>
        <w:autoSpaceDE/>
        <w:autoSpaceDN/>
        <w:bidi w:val="0"/>
        <w:adjustRightInd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36" w:name="_Toc18376"/>
      <w:bookmarkStart w:id="337" w:name="_Toc28634"/>
      <w:bookmarkStart w:id="338" w:name="_Toc22793"/>
      <w:bookmarkStart w:id="339" w:name="_Toc1344"/>
      <w:r>
        <w:rPr>
          <w:rStyle w:val="38"/>
          <w:rFonts w:hint="eastAsia" w:ascii="宋体" w:hAnsi="宋体" w:eastAsia="宋体" w:cs="宋体"/>
          <w:b w:val="0"/>
          <w:bCs w:val="0"/>
          <w:color w:val="auto"/>
          <w:sz w:val="21"/>
          <w:szCs w:val="21"/>
          <w:highlight w:val="none"/>
          <w:lang w:val="en-US" w:eastAsia="zh-CN"/>
        </w:rPr>
        <w:t>日程提醒：为师生提供个性化的日程提醒服务，如课程提醒、活动提醒等。</w:t>
      </w:r>
      <w:bookmarkEnd w:id="336"/>
      <w:bookmarkEnd w:id="337"/>
      <w:bookmarkEnd w:id="338"/>
      <w:bookmarkEnd w:id="339"/>
    </w:p>
    <w:p w14:paraId="5D8980E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1"/>
          <w:szCs w:val="24"/>
          <w:highlight w:val="none"/>
          <w:lang w:val="en-US" w:eastAsia="zh-CN"/>
        </w:rPr>
      </w:pPr>
      <w:r>
        <w:rPr>
          <w:rFonts w:hint="eastAsia" w:ascii="宋体" w:hAnsi="宋体" w:eastAsia="宋体" w:cs="宋体"/>
          <w:b/>
          <w:bCs/>
          <w:color w:val="auto"/>
          <w:kern w:val="2"/>
          <w:sz w:val="21"/>
          <w:szCs w:val="24"/>
          <w:highlight w:val="none"/>
          <w:lang w:val="en-US" w:eastAsia="zh-CN"/>
        </w:rPr>
        <w:t>科研信息管理系统</w:t>
      </w:r>
      <w:r>
        <w:rPr>
          <w:rStyle w:val="38"/>
          <w:rFonts w:hint="eastAsia" w:ascii="宋体" w:hAnsi="宋体" w:eastAsia="宋体" w:cs="宋体"/>
          <w:b/>
          <w:bCs/>
          <w:color w:val="auto"/>
          <w:kern w:val="2"/>
          <w:sz w:val="21"/>
          <w:szCs w:val="21"/>
          <w:highlight w:val="none"/>
          <w:vertAlign w:val="baseline"/>
          <w:lang w:val="en-US" w:eastAsia="zh-CN" w:bidi="ar-SA"/>
        </w:rPr>
        <w:t>技术要求</w:t>
      </w:r>
    </w:p>
    <w:p w14:paraId="37330AA6">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40" w:name="_Toc1282"/>
      <w:bookmarkStart w:id="341" w:name="_Toc18421"/>
      <w:bookmarkStart w:id="342" w:name="_Toc14716"/>
      <w:bookmarkStart w:id="343" w:name="_Toc31382"/>
      <w:r>
        <w:rPr>
          <w:rStyle w:val="38"/>
          <w:rFonts w:hint="eastAsia" w:ascii="宋体" w:hAnsi="宋体" w:eastAsia="宋体" w:cs="宋体"/>
          <w:b w:val="0"/>
          <w:bCs w:val="0"/>
          <w:color w:val="auto"/>
          <w:sz w:val="21"/>
          <w:szCs w:val="21"/>
          <w:highlight w:val="none"/>
          <w:lang w:val="en-US" w:eastAsia="zh-CN"/>
        </w:rPr>
        <w:t>支持根据社会主义学院在科研申报管理过程中的需要，将传统的流程线上化，实现数据流转的自动化，数据存储更加安全方便。基于项目全生命周期管理理念，设计的科研管理信息系统包括多个功能模块，涵盖科研人员、科研项目、科研成果、学术活动、用户管理、退出系统和统计分析等方面。其中，科研人员模块包括人员信息管理和组织结构管理；科研项目模块实现项目的发布、管理、成果统计等功能；科研成果模块负责成果的认定、管理和奖励；学术活动模块用于组织和管理学术会议、讲座等活动；用户管理模块包括用户权限管理和信息维护等功能；退出系统模块提供安全退出系统的功能；统计分析模块用于对科研项目、成果等数据进行统计分析，为科研管理提供数据支持和决策依据。这些模块共同构建一个完整的科研管理信息系统，实现了科研管理的信息化、网络化和全生命周期管理。</w:t>
      </w:r>
      <w:bookmarkEnd w:id="340"/>
      <w:bookmarkEnd w:id="341"/>
      <w:bookmarkEnd w:id="342"/>
      <w:bookmarkEnd w:id="343"/>
    </w:p>
    <w:p w14:paraId="0B0C1F98">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44" w:name="_Toc32221"/>
      <w:bookmarkStart w:id="345" w:name="_Toc4786"/>
      <w:bookmarkStart w:id="346" w:name="_Toc26035"/>
      <w:bookmarkStart w:id="347" w:name="_Toc10726"/>
      <w:r>
        <w:rPr>
          <w:rStyle w:val="38"/>
          <w:rFonts w:hint="eastAsia" w:ascii="宋体" w:hAnsi="宋体" w:eastAsia="宋体" w:cs="宋体"/>
          <w:b w:val="0"/>
          <w:bCs w:val="0"/>
          <w:color w:val="auto"/>
          <w:sz w:val="21"/>
          <w:szCs w:val="21"/>
          <w:highlight w:val="none"/>
          <w:lang w:val="en-US" w:eastAsia="zh-CN"/>
        </w:rPr>
        <w:t>（1）科研人员模块</w:t>
      </w:r>
      <w:bookmarkEnd w:id="344"/>
      <w:bookmarkEnd w:id="345"/>
      <w:bookmarkEnd w:id="346"/>
      <w:bookmarkEnd w:id="347"/>
    </w:p>
    <w:p w14:paraId="53729FF7">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48" w:name="_Toc318"/>
      <w:bookmarkStart w:id="349" w:name="_Toc6972"/>
      <w:bookmarkStart w:id="350" w:name="_Toc25747"/>
      <w:bookmarkStart w:id="351" w:name="_Toc2827"/>
      <w:r>
        <w:rPr>
          <w:rStyle w:val="38"/>
          <w:rFonts w:hint="eastAsia" w:ascii="宋体" w:hAnsi="宋体" w:eastAsia="宋体" w:cs="宋体"/>
          <w:b w:val="0"/>
          <w:bCs w:val="0"/>
          <w:color w:val="auto"/>
          <w:sz w:val="21"/>
          <w:szCs w:val="21"/>
          <w:highlight w:val="none"/>
          <w:lang w:val="en-US" w:eastAsia="zh-CN"/>
        </w:rPr>
        <w:t>主要负责管理科研人员的信息及组织结构。这一模块确保对研究中心、院内外科研人员、专家等人员信息的全面掌控与高效管理。</w:t>
      </w:r>
      <w:bookmarkEnd w:id="348"/>
      <w:bookmarkEnd w:id="349"/>
      <w:bookmarkEnd w:id="350"/>
      <w:bookmarkEnd w:id="351"/>
    </w:p>
    <w:p w14:paraId="265D37EC">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52" w:name="_Toc24971"/>
      <w:bookmarkStart w:id="353" w:name="_Toc1952"/>
      <w:bookmarkStart w:id="354" w:name="_Toc20362"/>
      <w:bookmarkStart w:id="355" w:name="_Toc29547"/>
      <w:r>
        <w:rPr>
          <w:rStyle w:val="38"/>
          <w:rFonts w:hint="eastAsia" w:ascii="宋体" w:hAnsi="宋体" w:eastAsia="宋体" w:cs="宋体"/>
          <w:b w:val="0"/>
          <w:bCs w:val="0"/>
          <w:color w:val="auto"/>
          <w:sz w:val="21"/>
          <w:szCs w:val="21"/>
          <w:highlight w:val="none"/>
          <w:lang w:val="en-US" w:eastAsia="zh-CN"/>
        </w:rPr>
        <w:t>（2）科研项目</w:t>
      </w:r>
      <w:bookmarkEnd w:id="352"/>
      <w:bookmarkEnd w:id="353"/>
      <w:bookmarkEnd w:id="354"/>
      <w:bookmarkEnd w:id="355"/>
    </w:p>
    <w:p w14:paraId="3690A8D1">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56" w:name="_Toc24648"/>
      <w:bookmarkStart w:id="357" w:name="_Toc31782"/>
      <w:bookmarkStart w:id="358" w:name="_Toc19526"/>
      <w:bookmarkStart w:id="359" w:name="_Toc14479"/>
      <w:r>
        <w:rPr>
          <w:rStyle w:val="38"/>
          <w:rFonts w:hint="eastAsia" w:ascii="宋体" w:hAnsi="宋体" w:eastAsia="宋体" w:cs="宋体"/>
          <w:b w:val="0"/>
          <w:bCs w:val="0"/>
          <w:color w:val="auto"/>
          <w:sz w:val="21"/>
          <w:szCs w:val="21"/>
          <w:highlight w:val="none"/>
          <w:lang w:val="en-US" w:eastAsia="zh-CN"/>
        </w:rPr>
        <w:t>项目管理系统对内面向科研项目管理部门，对外面向需进行项目申报的各级科研机构等单位，实现省社院科研项目发布、管理、成果统计、业绩考核及分析等业务管理的信息化、网络化。</w:t>
      </w:r>
      <w:bookmarkEnd w:id="356"/>
      <w:bookmarkEnd w:id="357"/>
      <w:bookmarkEnd w:id="358"/>
      <w:bookmarkEnd w:id="359"/>
    </w:p>
    <w:p w14:paraId="200C718E">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60" w:name="_Toc23243"/>
      <w:bookmarkStart w:id="361" w:name="_Toc16341"/>
      <w:bookmarkStart w:id="362" w:name="_Toc31521"/>
      <w:bookmarkStart w:id="363" w:name="_Toc10808"/>
      <w:r>
        <w:rPr>
          <w:rStyle w:val="38"/>
          <w:rFonts w:hint="eastAsia" w:ascii="宋体" w:hAnsi="宋体" w:eastAsia="宋体" w:cs="宋体"/>
          <w:b w:val="0"/>
          <w:bCs w:val="0"/>
          <w:color w:val="auto"/>
          <w:sz w:val="21"/>
          <w:szCs w:val="21"/>
          <w:highlight w:val="none"/>
          <w:lang w:val="en-US" w:eastAsia="zh-CN"/>
        </w:rPr>
        <w:t>（3）纵向项目</w:t>
      </w:r>
      <w:bookmarkEnd w:id="360"/>
      <w:bookmarkEnd w:id="361"/>
      <w:bookmarkEnd w:id="362"/>
      <w:bookmarkEnd w:id="363"/>
    </w:p>
    <w:p w14:paraId="6ADE0772">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64" w:name="_Toc4035"/>
      <w:bookmarkStart w:id="365" w:name="_Toc1026"/>
      <w:bookmarkStart w:id="366" w:name="_Toc19930"/>
      <w:bookmarkStart w:id="367" w:name="_Toc3729"/>
      <w:r>
        <w:rPr>
          <w:rStyle w:val="38"/>
          <w:rFonts w:hint="eastAsia" w:ascii="宋体" w:hAnsi="宋体" w:eastAsia="宋体" w:cs="宋体"/>
          <w:b w:val="0"/>
          <w:bCs w:val="0"/>
          <w:color w:val="auto"/>
          <w:sz w:val="21"/>
          <w:szCs w:val="21"/>
          <w:highlight w:val="none"/>
          <w:lang w:val="en-US" w:eastAsia="zh-CN"/>
        </w:rPr>
        <w:t>科研管理部门根据纵向项目的管理特点，提供一系列功能模块，专门管理不同类型的纵向项目，包括国家社科基金、省规划课题、部门专项课题、联合课题和中央社院高端智库课题、其他类课题（新增）。</w:t>
      </w:r>
      <w:bookmarkEnd w:id="364"/>
      <w:bookmarkEnd w:id="365"/>
      <w:bookmarkEnd w:id="366"/>
      <w:bookmarkEnd w:id="367"/>
    </w:p>
    <w:p w14:paraId="77F08B25">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68" w:name="_Toc1868"/>
      <w:bookmarkStart w:id="369" w:name="_Toc11645"/>
      <w:bookmarkStart w:id="370" w:name="_Toc7255"/>
      <w:bookmarkStart w:id="371" w:name="_Toc21797"/>
      <w:r>
        <w:rPr>
          <w:rStyle w:val="38"/>
          <w:rFonts w:hint="eastAsia" w:ascii="宋体" w:hAnsi="宋体" w:eastAsia="宋体" w:cs="宋体"/>
          <w:b w:val="0"/>
          <w:bCs w:val="0"/>
          <w:color w:val="auto"/>
          <w:sz w:val="21"/>
          <w:szCs w:val="21"/>
          <w:highlight w:val="none"/>
          <w:lang w:val="en-US" w:eastAsia="zh-CN"/>
        </w:rPr>
        <w:t>（4）横向项目</w:t>
      </w:r>
      <w:bookmarkEnd w:id="368"/>
      <w:bookmarkEnd w:id="369"/>
      <w:bookmarkEnd w:id="370"/>
      <w:bookmarkEnd w:id="371"/>
    </w:p>
    <w:p w14:paraId="28067ABC">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72" w:name="_Toc25875"/>
      <w:bookmarkStart w:id="373" w:name="_Toc12141"/>
      <w:bookmarkStart w:id="374" w:name="_Toc25227"/>
      <w:bookmarkStart w:id="375" w:name="_Toc13714"/>
      <w:r>
        <w:rPr>
          <w:rStyle w:val="38"/>
          <w:rFonts w:hint="eastAsia" w:ascii="宋体" w:hAnsi="宋体" w:eastAsia="宋体" w:cs="宋体"/>
          <w:b w:val="0"/>
          <w:bCs w:val="0"/>
          <w:color w:val="auto"/>
          <w:sz w:val="21"/>
          <w:szCs w:val="21"/>
          <w:highlight w:val="none"/>
          <w:lang w:val="en-US" w:eastAsia="zh-CN"/>
        </w:rPr>
        <w:t>横向项目管理模块是根据横向项目的管理特点设计的，以合同为主线，实现项目的全面管理。</w:t>
      </w:r>
      <w:bookmarkEnd w:id="372"/>
      <w:bookmarkEnd w:id="373"/>
      <w:bookmarkEnd w:id="374"/>
      <w:bookmarkEnd w:id="375"/>
    </w:p>
    <w:p w14:paraId="79E9CE5C">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76" w:name="_Toc1463"/>
      <w:bookmarkStart w:id="377" w:name="_Toc10111"/>
      <w:bookmarkStart w:id="378" w:name="_Toc26891"/>
      <w:bookmarkStart w:id="379" w:name="_Toc4939"/>
      <w:r>
        <w:rPr>
          <w:rStyle w:val="38"/>
          <w:rFonts w:hint="eastAsia" w:ascii="宋体" w:hAnsi="宋体" w:eastAsia="宋体" w:cs="宋体"/>
          <w:b w:val="0"/>
          <w:bCs w:val="0"/>
          <w:color w:val="auto"/>
          <w:sz w:val="21"/>
          <w:szCs w:val="21"/>
          <w:highlight w:val="none"/>
          <w:lang w:val="en-US" w:eastAsia="zh-CN"/>
        </w:rPr>
        <w:t>（5）院内项目全过程管理</w:t>
      </w:r>
      <w:bookmarkEnd w:id="376"/>
      <w:bookmarkEnd w:id="377"/>
      <w:bookmarkEnd w:id="378"/>
      <w:bookmarkEnd w:id="379"/>
      <w:r>
        <w:rPr>
          <w:rStyle w:val="38"/>
          <w:rFonts w:hint="eastAsia" w:ascii="宋体" w:hAnsi="宋体" w:eastAsia="宋体" w:cs="宋体"/>
          <w:b w:val="0"/>
          <w:bCs w:val="0"/>
          <w:color w:val="auto"/>
          <w:sz w:val="21"/>
          <w:szCs w:val="21"/>
          <w:highlight w:val="none"/>
          <w:lang w:val="en-US" w:eastAsia="zh-CN"/>
        </w:rPr>
        <w:t xml:space="preserve"> </w:t>
      </w:r>
    </w:p>
    <w:p w14:paraId="560AE058">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80" w:name="_Toc21735"/>
      <w:bookmarkStart w:id="381" w:name="_Toc4897"/>
      <w:bookmarkStart w:id="382" w:name="_Toc5966"/>
      <w:bookmarkStart w:id="383" w:name="_Toc26170"/>
      <w:r>
        <w:rPr>
          <w:rStyle w:val="38"/>
          <w:rFonts w:hint="eastAsia" w:ascii="宋体" w:hAnsi="宋体" w:eastAsia="宋体" w:cs="宋体"/>
          <w:b w:val="0"/>
          <w:bCs w:val="0"/>
          <w:color w:val="auto"/>
          <w:sz w:val="21"/>
          <w:szCs w:val="21"/>
          <w:highlight w:val="none"/>
          <w:lang w:val="en-US" w:eastAsia="zh-CN"/>
        </w:rPr>
        <w:t>院内项目全过程管理模块涵盖从项目申报到结题验收的全过程，确保项目管理的高效、透明和规范。</w:t>
      </w:r>
      <w:bookmarkEnd w:id="380"/>
      <w:bookmarkEnd w:id="381"/>
      <w:bookmarkEnd w:id="382"/>
      <w:bookmarkEnd w:id="383"/>
    </w:p>
    <w:p w14:paraId="33356964">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84" w:name="_Toc5848"/>
      <w:bookmarkStart w:id="385" w:name="_Toc29564"/>
      <w:bookmarkStart w:id="386" w:name="_Toc16713"/>
      <w:bookmarkStart w:id="387" w:name="_Toc9516"/>
      <w:r>
        <w:rPr>
          <w:rStyle w:val="38"/>
          <w:rFonts w:hint="eastAsia" w:ascii="宋体" w:hAnsi="宋体" w:eastAsia="宋体" w:cs="宋体"/>
          <w:b w:val="0"/>
          <w:bCs w:val="0"/>
          <w:color w:val="auto"/>
          <w:sz w:val="21"/>
          <w:szCs w:val="21"/>
          <w:highlight w:val="none"/>
          <w:lang w:val="en-US" w:eastAsia="zh-CN"/>
        </w:rPr>
        <w:t>（6）项目申报</w:t>
      </w:r>
      <w:bookmarkEnd w:id="384"/>
      <w:bookmarkEnd w:id="385"/>
      <w:bookmarkEnd w:id="386"/>
      <w:bookmarkEnd w:id="387"/>
      <w:r>
        <w:rPr>
          <w:rStyle w:val="38"/>
          <w:rFonts w:hint="eastAsia" w:ascii="宋体" w:hAnsi="宋体" w:eastAsia="宋体" w:cs="宋体"/>
          <w:b w:val="0"/>
          <w:bCs w:val="0"/>
          <w:color w:val="auto"/>
          <w:sz w:val="21"/>
          <w:szCs w:val="21"/>
          <w:highlight w:val="none"/>
          <w:lang w:val="en-US" w:eastAsia="zh-CN"/>
        </w:rPr>
        <w:t xml:space="preserve"> </w:t>
      </w:r>
    </w:p>
    <w:p w14:paraId="5BD648E2">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88" w:name="_Toc29828"/>
      <w:bookmarkStart w:id="389" w:name="_Toc6541"/>
      <w:bookmarkStart w:id="390" w:name="_Toc14838"/>
      <w:bookmarkStart w:id="391" w:name="_Toc16902"/>
      <w:r>
        <w:rPr>
          <w:rStyle w:val="38"/>
          <w:rFonts w:hint="eastAsia" w:ascii="宋体" w:hAnsi="宋体" w:eastAsia="宋体" w:cs="宋体"/>
          <w:b w:val="0"/>
          <w:bCs w:val="0"/>
          <w:color w:val="auto"/>
          <w:sz w:val="21"/>
          <w:szCs w:val="21"/>
          <w:highlight w:val="none"/>
          <w:lang w:val="en-US" w:eastAsia="zh-CN"/>
        </w:rPr>
        <w:t>教研人员可以通过系统在线填写和提交项目申报表格，包括项目名称、研究背景、研究目标、研究内容、预期成果、项目成员等。支持上传申报所需的各种附件，如研究计划书、预算表、相关证明文件等。</w:t>
      </w:r>
      <w:bookmarkEnd w:id="388"/>
      <w:bookmarkEnd w:id="389"/>
      <w:bookmarkEnd w:id="390"/>
      <w:bookmarkEnd w:id="391"/>
      <w:r>
        <w:rPr>
          <w:rStyle w:val="38"/>
          <w:rFonts w:hint="eastAsia" w:ascii="宋体" w:hAnsi="宋体" w:eastAsia="宋体" w:cs="宋体"/>
          <w:b w:val="0"/>
          <w:bCs w:val="0"/>
          <w:color w:val="auto"/>
          <w:sz w:val="21"/>
          <w:szCs w:val="21"/>
          <w:highlight w:val="none"/>
          <w:lang w:val="en-US" w:eastAsia="zh-CN"/>
        </w:rPr>
        <w:t xml:space="preserve"> </w:t>
      </w:r>
    </w:p>
    <w:p w14:paraId="6AB7986B">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92" w:name="_Toc6004"/>
      <w:bookmarkStart w:id="393" w:name="_Toc11490"/>
      <w:bookmarkStart w:id="394" w:name="_Toc32640"/>
      <w:bookmarkStart w:id="395" w:name="_Toc24427"/>
      <w:r>
        <w:rPr>
          <w:rStyle w:val="38"/>
          <w:rFonts w:hint="eastAsia" w:ascii="宋体" w:hAnsi="宋体" w:eastAsia="宋体" w:cs="宋体"/>
          <w:b w:val="0"/>
          <w:bCs w:val="0"/>
          <w:color w:val="auto"/>
          <w:sz w:val="21"/>
          <w:szCs w:val="21"/>
          <w:highlight w:val="none"/>
          <w:lang w:val="en-US" w:eastAsia="zh-CN"/>
        </w:rPr>
        <w:t>（7）申报指导</w:t>
      </w:r>
      <w:bookmarkEnd w:id="392"/>
      <w:bookmarkEnd w:id="393"/>
      <w:bookmarkEnd w:id="394"/>
      <w:bookmarkEnd w:id="395"/>
      <w:r>
        <w:rPr>
          <w:rStyle w:val="38"/>
          <w:rFonts w:hint="eastAsia" w:ascii="宋体" w:hAnsi="宋体" w:eastAsia="宋体" w:cs="宋体"/>
          <w:b w:val="0"/>
          <w:bCs w:val="0"/>
          <w:color w:val="auto"/>
          <w:sz w:val="21"/>
          <w:szCs w:val="21"/>
          <w:highlight w:val="none"/>
          <w:lang w:val="en-US" w:eastAsia="zh-CN"/>
        </w:rPr>
        <w:t xml:space="preserve"> </w:t>
      </w:r>
    </w:p>
    <w:p w14:paraId="57971A95">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396" w:name="_Toc14593"/>
      <w:bookmarkStart w:id="397" w:name="_Toc28159"/>
      <w:bookmarkStart w:id="398" w:name="_Toc6973"/>
      <w:bookmarkStart w:id="399" w:name="_Toc9510"/>
      <w:r>
        <w:rPr>
          <w:rStyle w:val="38"/>
          <w:rFonts w:hint="eastAsia" w:ascii="宋体" w:hAnsi="宋体" w:eastAsia="宋体" w:cs="宋体"/>
          <w:b w:val="0"/>
          <w:bCs w:val="0"/>
          <w:color w:val="auto"/>
          <w:sz w:val="21"/>
          <w:szCs w:val="21"/>
          <w:highlight w:val="none"/>
          <w:lang w:val="en-US" w:eastAsia="zh-CN"/>
        </w:rPr>
        <w:t>提供详细的项目申报指南和流程说明，帮助教研人员了解申报要求和步骤。设立在线咨询平台，教研人员可以随时提问，获得项目申报的相关指导和帮助。</w:t>
      </w:r>
      <w:bookmarkEnd w:id="396"/>
      <w:bookmarkEnd w:id="397"/>
      <w:bookmarkEnd w:id="398"/>
      <w:bookmarkEnd w:id="399"/>
      <w:r>
        <w:rPr>
          <w:rStyle w:val="38"/>
          <w:rFonts w:hint="eastAsia" w:ascii="宋体" w:hAnsi="宋体" w:eastAsia="宋体" w:cs="宋体"/>
          <w:b w:val="0"/>
          <w:bCs w:val="0"/>
          <w:color w:val="auto"/>
          <w:sz w:val="21"/>
          <w:szCs w:val="21"/>
          <w:highlight w:val="none"/>
          <w:lang w:val="en-US" w:eastAsia="zh-CN"/>
        </w:rPr>
        <w:t xml:space="preserve"> </w:t>
      </w:r>
    </w:p>
    <w:p w14:paraId="1038FB16">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00" w:name="_Toc2198"/>
      <w:bookmarkStart w:id="401" w:name="_Toc1576"/>
      <w:bookmarkStart w:id="402" w:name="_Toc28167"/>
      <w:bookmarkStart w:id="403" w:name="_Toc12987"/>
      <w:r>
        <w:rPr>
          <w:rStyle w:val="38"/>
          <w:rFonts w:hint="eastAsia" w:ascii="宋体" w:hAnsi="宋体" w:eastAsia="宋体" w:cs="宋体"/>
          <w:b w:val="0"/>
          <w:bCs w:val="0"/>
          <w:color w:val="auto"/>
          <w:sz w:val="21"/>
          <w:szCs w:val="21"/>
          <w:highlight w:val="none"/>
          <w:lang w:val="en-US" w:eastAsia="zh-CN"/>
        </w:rPr>
        <w:t>（8）项目收集审核管理</w:t>
      </w:r>
      <w:bookmarkEnd w:id="400"/>
      <w:bookmarkEnd w:id="401"/>
      <w:bookmarkEnd w:id="402"/>
      <w:bookmarkEnd w:id="403"/>
      <w:r>
        <w:rPr>
          <w:rStyle w:val="38"/>
          <w:rFonts w:hint="eastAsia" w:ascii="宋体" w:hAnsi="宋体" w:eastAsia="宋体" w:cs="宋体"/>
          <w:b w:val="0"/>
          <w:bCs w:val="0"/>
          <w:color w:val="auto"/>
          <w:sz w:val="21"/>
          <w:szCs w:val="21"/>
          <w:highlight w:val="none"/>
          <w:lang w:val="en-US" w:eastAsia="zh-CN"/>
        </w:rPr>
        <w:t xml:space="preserve"> </w:t>
      </w:r>
    </w:p>
    <w:p w14:paraId="0E6CE620">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04" w:name="_Toc31627"/>
      <w:bookmarkStart w:id="405" w:name="_Toc12132"/>
      <w:bookmarkStart w:id="406" w:name="_Toc7869"/>
      <w:bookmarkStart w:id="407" w:name="_Toc1198"/>
      <w:r>
        <w:rPr>
          <w:rStyle w:val="38"/>
          <w:rFonts w:hint="eastAsia" w:ascii="宋体" w:hAnsi="宋体" w:eastAsia="宋体" w:cs="宋体"/>
          <w:b w:val="0"/>
          <w:bCs w:val="0"/>
          <w:color w:val="auto"/>
          <w:sz w:val="21"/>
          <w:szCs w:val="21"/>
          <w:highlight w:val="none"/>
          <w:lang w:val="en-US" w:eastAsia="zh-CN"/>
        </w:rPr>
        <w:t>管理员对提交的项目申报材料进行初步审核，检查材料的完整性和基本合规性。对不符合要求的申报材料，管理员可以给予反馈，要求教研人员进行修改和补充。</w:t>
      </w:r>
      <w:bookmarkEnd w:id="404"/>
      <w:bookmarkEnd w:id="405"/>
      <w:bookmarkEnd w:id="406"/>
      <w:bookmarkEnd w:id="407"/>
      <w:r>
        <w:rPr>
          <w:rStyle w:val="38"/>
          <w:rFonts w:hint="eastAsia" w:ascii="宋体" w:hAnsi="宋体" w:eastAsia="宋体" w:cs="宋体"/>
          <w:b w:val="0"/>
          <w:bCs w:val="0"/>
          <w:color w:val="auto"/>
          <w:sz w:val="21"/>
          <w:szCs w:val="21"/>
          <w:highlight w:val="none"/>
          <w:lang w:val="en-US" w:eastAsia="zh-CN"/>
        </w:rPr>
        <w:t xml:space="preserve"> </w:t>
      </w:r>
    </w:p>
    <w:p w14:paraId="3055D110">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08" w:name="_Toc15368"/>
      <w:bookmarkStart w:id="409" w:name="_Toc398"/>
      <w:bookmarkStart w:id="410" w:name="_Toc29917"/>
      <w:bookmarkStart w:id="411" w:name="_Toc15247"/>
      <w:r>
        <w:rPr>
          <w:rStyle w:val="38"/>
          <w:rFonts w:hint="eastAsia" w:ascii="宋体" w:hAnsi="宋体" w:eastAsia="宋体" w:cs="宋体"/>
          <w:b w:val="0"/>
          <w:bCs w:val="0"/>
          <w:color w:val="auto"/>
          <w:sz w:val="21"/>
          <w:szCs w:val="21"/>
          <w:highlight w:val="none"/>
          <w:lang w:val="en-US" w:eastAsia="zh-CN"/>
        </w:rPr>
        <w:t>（9）项目收集与分类</w:t>
      </w:r>
      <w:bookmarkEnd w:id="408"/>
      <w:bookmarkEnd w:id="409"/>
      <w:bookmarkEnd w:id="410"/>
      <w:bookmarkEnd w:id="411"/>
      <w:r>
        <w:rPr>
          <w:rStyle w:val="38"/>
          <w:rFonts w:hint="eastAsia" w:ascii="宋体" w:hAnsi="宋体" w:eastAsia="宋体" w:cs="宋体"/>
          <w:b w:val="0"/>
          <w:bCs w:val="0"/>
          <w:color w:val="auto"/>
          <w:sz w:val="21"/>
          <w:szCs w:val="21"/>
          <w:highlight w:val="none"/>
          <w:lang w:val="en-US" w:eastAsia="zh-CN"/>
        </w:rPr>
        <w:t xml:space="preserve"> </w:t>
      </w:r>
    </w:p>
    <w:p w14:paraId="456A9E80">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12" w:name="_Toc9575"/>
      <w:bookmarkStart w:id="413" w:name="_Toc29430"/>
      <w:bookmarkStart w:id="414" w:name="_Toc7883"/>
      <w:bookmarkStart w:id="415" w:name="_Toc15869"/>
      <w:r>
        <w:rPr>
          <w:rStyle w:val="38"/>
          <w:rFonts w:hint="eastAsia" w:ascii="宋体" w:hAnsi="宋体" w:eastAsia="宋体" w:cs="宋体"/>
          <w:b w:val="0"/>
          <w:bCs w:val="0"/>
          <w:color w:val="auto"/>
          <w:sz w:val="21"/>
          <w:szCs w:val="21"/>
          <w:highlight w:val="none"/>
          <w:lang w:val="en-US" w:eastAsia="zh-CN"/>
        </w:rPr>
        <w:t>系统自动对收集的项目进行分类，按学科、研究方向、项目类型等进行整理和归档。生成项目申报的汇总表，便于后续的评审和管理。</w:t>
      </w:r>
      <w:bookmarkEnd w:id="412"/>
      <w:bookmarkEnd w:id="413"/>
      <w:bookmarkEnd w:id="414"/>
      <w:bookmarkEnd w:id="415"/>
      <w:r>
        <w:rPr>
          <w:rStyle w:val="38"/>
          <w:rFonts w:hint="eastAsia" w:ascii="宋体" w:hAnsi="宋体" w:eastAsia="宋体" w:cs="宋体"/>
          <w:b w:val="0"/>
          <w:bCs w:val="0"/>
          <w:color w:val="auto"/>
          <w:sz w:val="21"/>
          <w:szCs w:val="21"/>
          <w:highlight w:val="none"/>
          <w:lang w:val="en-US" w:eastAsia="zh-CN"/>
        </w:rPr>
        <w:t xml:space="preserve"> </w:t>
      </w:r>
    </w:p>
    <w:p w14:paraId="7C8E6704">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16" w:name="_Toc632"/>
      <w:bookmarkStart w:id="417" w:name="_Toc19052"/>
      <w:bookmarkStart w:id="418" w:name="_Toc20191"/>
      <w:bookmarkStart w:id="419" w:name="_Toc4588"/>
      <w:r>
        <w:rPr>
          <w:rStyle w:val="38"/>
          <w:rFonts w:hint="eastAsia" w:ascii="宋体" w:hAnsi="宋体" w:eastAsia="宋体" w:cs="宋体"/>
          <w:b w:val="0"/>
          <w:bCs w:val="0"/>
          <w:color w:val="auto"/>
          <w:sz w:val="21"/>
          <w:szCs w:val="21"/>
          <w:highlight w:val="none"/>
          <w:lang w:val="en-US" w:eastAsia="zh-CN"/>
        </w:rPr>
        <w:t>（10）项目评审</w:t>
      </w:r>
      <w:bookmarkEnd w:id="416"/>
      <w:bookmarkEnd w:id="417"/>
      <w:bookmarkEnd w:id="418"/>
      <w:bookmarkEnd w:id="419"/>
      <w:r>
        <w:rPr>
          <w:rStyle w:val="38"/>
          <w:rFonts w:hint="eastAsia" w:ascii="宋体" w:hAnsi="宋体" w:eastAsia="宋体" w:cs="宋体"/>
          <w:b w:val="0"/>
          <w:bCs w:val="0"/>
          <w:color w:val="auto"/>
          <w:sz w:val="21"/>
          <w:szCs w:val="21"/>
          <w:highlight w:val="none"/>
          <w:lang w:val="en-US" w:eastAsia="zh-CN"/>
        </w:rPr>
        <w:t xml:space="preserve"> </w:t>
      </w:r>
    </w:p>
    <w:p w14:paraId="67E1BA94">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20" w:name="_Toc5437"/>
      <w:bookmarkStart w:id="421" w:name="_Toc2409"/>
      <w:bookmarkStart w:id="422" w:name="_Toc27866"/>
      <w:bookmarkStart w:id="423" w:name="_Toc24303"/>
      <w:r>
        <w:rPr>
          <w:rStyle w:val="38"/>
          <w:rFonts w:hint="eastAsia" w:ascii="宋体" w:hAnsi="宋体" w:eastAsia="宋体" w:cs="宋体"/>
          <w:b w:val="0"/>
          <w:bCs w:val="0"/>
          <w:color w:val="auto"/>
          <w:sz w:val="21"/>
          <w:szCs w:val="21"/>
          <w:highlight w:val="none"/>
          <w:lang w:val="en-US" w:eastAsia="zh-CN"/>
        </w:rPr>
        <w:t>1）评审组织</w:t>
      </w:r>
      <w:bookmarkEnd w:id="420"/>
      <w:bookmarkEnd w:id="421"/>
      <w:bookmarkEnd w:id="422"/>
      <w:bookmarkEnd w:id="423"/>
      <w:r>
        <w:rPr>
          <w:rStyle w:val="38"/>
          <w:rFonts w:hint="eastAsia" w:ascii="宋体" w:hAnsi="宋体" w:eastAsia="宋体" w:cs="宋体"/>
          <w:b w:val="0"/>
          <w:bCs w:val="0"/>
          <w:color w:val="auto"/>
          <w:sz w:val="21"/>
          <w:szCs w:val="21"/>
          <w:highlight w:val="none"/>
          <w:lang w:val="en-US" w:eastAsia="zh-CN"/>
        </w:rPr>
        <w:t xml:space="preserve"> </w:t>
      </w:r>
    </w:p>
    <w:p w14:paraId="4C7B721A">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24" w:name="_Toc7449"/>
      <w:bookmarkStart w:id="425" w:name="_Toc11743"/>
      <w:bookmarkStart w:id="426" w:name="_Toc17758"/>
      <w:bookmarkStart w:id="427" w:name="_Toc30577"/>
      <w:r>
        <w:rPr>
          <w:rStyle w:val="38"/>
          <w:rFonts w:hint="eastAsia" w:ascii="宋体" w:hAnsi="宋体" w:eastAsia="宋体" w:cs="宋体"/>
          <w:b w:val="0"/>
          <w:bCs w:val="0"/>
          <w:color w:val="auto"/>
          <w:sz w:val="21"/>
          <w:szCs w:val="21"/>
          <w:highlight w:val="none"/>
          <w:lang w:val="en-US" w:eastAsia="zh-CN"/>
        </w:rPr>
        <w:t>根据项目的学科和研究方向，将项目分组进行评审，确保评审的专业性和针对性；为避免利益冲突，系统设有评审规避机制，确保评审的公平和公正。</w:t>
      </w:r>
      <w:bookmarkEnd w:id="424"/>
      <w:bookmarkEnd w:id="425"/>
      <w:bookmarkEnd w:id="426"/>
      <w:bookmarkEnd w:id="427"/>
      <w:r>
        <w:rPr>
          <w:rStyle w:val="38"/>
          <w:rFonts w:hint="eastAsia" w:ascii="宋体" w:hAnsi="宋体" w:eastAsia="宋体" w:cs="宋体"/>
          <w:b w:val="0"/>
          <w:bCs w:val="0"/>
          <w:color w:val="auto"/>
          <w:sz w:val="21"/>
          <w:szCs w:val="21"/>
          <w:highlight w:val="none"/>
          <w:lang w:val="en-US" w:eastAsia="zh-CN"/>
        </w:rPr>
        <w:t xml:space="preserve"> </w:t>
      </w:r>
    </w:p>
    <w:p w14:paraId="49C20921">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28" w:name="_Toc3804"/>
      <w:bookmarkStart w:id="429" w:name="_Toc8109"/>
      <w:bookmarkStart w:id="430" w:name="_Toc29353"/>
      <w:bookmarkStart w:id="431" w:name="_Toc26310"/>
      <w:r>
        <w:rPr>
          <w:rStyle w:val="38"/>
          <w:rFonts w:hint="eastAsia" w:ascii="宋体" w:hAnsi="宋体" w:eastAsia="宋体" w:cs="宋体"/>
          <w:b w:val="0"/>
          <w:bCs w:val="0"/>
          <w:color w:val="auto"/>
          <w:sz w:val="21"/>
          <w:szCs w:val="21"/>
          <w:highlight w:val="none"/>
          <w:lang w:val="en-US" w:eastAsia="zh-CN"/>
        </w:rPr>
        <w:t>2）评审流程</w:t>
      </w:r>
      <w:bookmarkEnd w:id="428"/>
      <w:bookmarkEnd w:id="429"/>
      <w:bookmarkEnd w:id="430"/>
      <w:bookmarkEnd w:id="431"/>
      <w:r>
        <w:rPr>
          <w:rStyle w:val="38"/>
          <w:rFonts w:hint="eastAsia" w:ascii="宋体" w:hAnsi="宋体" w:eastAsia="宋体" w:cs="宋体"/>
          <w:b w:val="0"/>
          <w:bCs w:val="0"/>
          <w:color w:val="auto"/>
          <w:sz w:val="21"/>
          <w:szCs w:val="21"/>
          <w:highlight w:val="none"/>
          <w:lang w:val="en-US" w:eastAsia="zh-CN"/>
        </w:rPr>
        <w:t xml:space="preserve"> </w:t>
      </w:r>
    </w:p>
    <w:p w14:paraId="28223971">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32" w:name="_Toc19574"/>
      <w:bookmarkStart w:id="433" w:name="_Toc30059"/>
      <w:bookmarkStart w:id="434" w:name="_Toc19053"/>
      <w:bookmarkStart w:id="435" w:name="_Toc31094"/>
      <w:r>
        <w:rPr>
          <w:rStyle w:val="38"/>
          <w:rFonts w:hint="eastAsia" w:ascii="宋体" w:hAnsi="宋体" w:eastAsia="宋体" w:cs="宋体"/>
          <w:b w:val="0"/>
          <w:bCs w:val="0"/>
          <w:color w:val="auto"/>
          <w:sz w:val="21"/>
          <w:szCs w:val="21"/>
          <w:highlight w:val="none"/>
          <w:lang w:val="en-US" w:eastAsia="zh-CN"/>
        </w:rPr>
        <w:t>系统从专家库中邀请评审专家，确保每个项目都有多位专家进行评审，评审专家在系统中进行匿名打分和评审意见填写，系统自动汇总评分结果，评审结果和意见通过系统反馈给项目申报人员，提供改进建议。</w:t>
      </w:r>
      <w:bookmarkEnd w:id="432"/>
      <w:bookmarkEnd w:id="433"/>
      <w:bookmarkEnd w:id="434"/>
      <w:bookmarkEnd w:id="435"/>
    </w:p>
    <w:p w14:paraId="3FA834A0">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36" w:name="_Toc21953"/>
      <w:bookmarkStart w:id="437" w:name="_Toc14398"/>
      <w:bookmarkStart w:id="438" w:name="_Toc21530"/>
      <w:bookmarkStart w:id="439" w:name="_Toc6695"/>
      <w:r>
        <w:rPr>
          <w:rStyle w:val="38"/>
          <w:rFonts w:hint="eastAsia" w:ascii="宋体" w:hAnsi="宋体" w:eastAsia="宋体" w:cs="宋体"/>
          <w:b w:val="0"/>
          <w:bCs w:val="0"/>
          <w:color w:val="auto"/>
          <w:sz w:val="21"/>
          <w:szCs w:val="21"/>
          <w:highlight w:val="none"/>
          <w:lang w:val="en-US" w:eastAsia="zh-CN"/>
        </w:rPr>
        <w:t>（11）</w:t>
      </w:r>
      <w:bookmarkEnd w:id="436"/>
      <w:bookmarkEnd w:id="437"/>
      <w:bookmarkEnd w:id="438"/>
      <w:bookmarkStart w:id="440" w:name="_Toc26946"/>
      <w:bookmarkStart w:id="441" w:name="_Toc30585"/>
      <w:bookmarkStart w:id="442" w:name="_Toc17528"/>
      <w:r>
        <w:rPr>
          <w:rStyle w:val="38"/>
          <w:rFonts w:hint="eastAsia" w:ascii="宋体" w:hAnsi="宋体" w:eastAsia="宋体" w:cs="宋体"/>
          <w:b w:val="0"/>
          <w:bCs w:val="0"/>
          <w:color w:val="auto"/>
          <w:sz w:val="21"/>
          <w:szCs w:val="21"/>
          <w:highlight w:val="none"/>
          <w:lang w:val="en-US" w:eastAsia="zh-CN"/>
        </w:rPr>
        <w:t>科研成果</w:t>
      </w:r>
      <w:bookmarkEnd w:id="439"/>
      <w:bookmarkEnd w:id="440"/>
      <w:bookmarkEnd w:id="441"/>
      <w:bookmarkEnd w:id="442"/>
    </w:p>
    <w:p w14:paraId="4FD749F6">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43" w:name="_Toc29180"/>
      <w:bookmarkStart w:id="444" w:name="_Toc2458"/>
      <w:bookmarkStart w:id="445" w:name="_Toc27341"/>
      <w:bookmarkStart w:id="446" w:name="_Toc5723"/>
      <w:r>
        <w:rPr>
          <w:rStyle w:val="38"/>
          <w:rFonts w:hint="eastAsia" w:ascii="宋体" w:hAnsi="宋体" w:eastAsia="宋体" w:cs="宋体"/>
          <w:b w:val="0"/>
          <w:bCs w:val="0"/>
          <w:color w:val="auto"/>
          <w:sz w:val="21"/>
          <w:szCs w:val="21"/>
          <w:highlight w:val="none"/>
          <w:lang w:val="en-US" w:eastAsia="zh-CN"/>
        </w:rPr>
        <w:t>科研成果管理模块旨在对科研活动所产生的各类成果进行统一管理，包括学术论文、学术著作、成果获奖、决策咨询、宣传信息等方面的成果申报、认定审核管理和统计分析，以便高效透明地进行成果认定、奖励和科研工作量考核工作。</w:t>
      </w:r>
      <w:bookmarkEnd w:id="443"/>
      <w:bookmarkEnd w:id="444"/>
      <w:bookmarkEnd w:id="445"/>
      <w:bookmarkEnd w:id="446"/>
    </w:p>
    <w:p w14:paraId="4B06F1DE">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47" w:name="_Toc18459"/>
      <w:bookmarkStart w:id="448" w:name="_Toc25012"/>
      <w:bookmarkStart w:id="449" w:name="_Toc13391"/>
      <w:bookmarkStart w:id="450" w:name="_Toc14384"/>
      <w:r>
        <w:rPr>
          <w:rStyle w:val="38"/>
          <w:rFonts w:hint="eastAsia" w:ascii="宋体" w:hAnsi="宋体" w:eastAsia="宋体" w:cs="宋体"/>
          <w:b w:val="0"/>
          <w:bCs w:val="0"/>
          <w:color w:val="auto"/>
          <w:sz w:val="21"/>
          <w:szCs w:val="21"/>
          <w:highlight w:val="none"/>
          <w:lang w:val="en-US" w:eastAsia="zh-CN"/>
        </w:rPr>
        <w:t>（12）绩效自动化计算</w:t>
      </w:r>
      <w:bookmarkEnd w:id="447"/>
      <w:bookmarkEnd w:id="448"/>
      <w:bookmarkEnd w:id="449"/>
      <w:bookmarkEnd w:id="450"/>
      <w:r>
        <w:rPr>
          <w:rStyle w:val="38"/>
          <w:rFonts w:hint="eastAsia" w:ascii="宋体" w:hAnsi="宋体" w:eastAsia="宋体" w:cs="宋体"/>
          <w:b w:val="0"/>
          <w:bCs w:val="0"/>
          <w:color w:val="auto"/>
          <w:sz w:val="21"/>
          <w:szCs w:val="21"/>
          <w:highlight w:val="none"/>
          <w:lang w:val="en-US" w:eastAsia="zh-CN"/>
        </w:rPr>
        <w:t xml:space="preserve"> </w:t>
      </w:r>
    </w:p>
    <w:p w14:paraId="64F4EB32">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51" w:name="_Toc2321"/>
      <w:bookmarkStart w:id="452" w:name="_Toc18995"/>
      <w:bookmarkStart w:id="453" w:name="_Toc3402"/>
      <w:bookmarkStart w:id="454" w:name="_Toc22875"/>
      <w:r>
        <w:rPr>
          <w:rStyle w:val="38"/>
          <w:rFonts w:hint="eastAsia" w:ascii="宋体" w:hAnsi="宋体" w:eastAsia="宋体" w:cs="宋体"/>
          <w:b w:val="0"/>
          <w:bCs w:val="0"/>
          <w:color w:val="auto"/>
          <w:sz w:val="21"/>
          <w:szCs w:val="21"/>
          <w:highlight w:val="none"/>
          <w:lang w:val="en-US" w:eastAsia="zh-CN"/>
        </w:rPr>
        <w:t>1）绩效标准设定</w:t>
      </w:r>
      <w:bookmarkEnd w:id="451"/>
      <w:bookmarkEnd w:id="452"/>
      <w:bookmarkEnd w:id="453"/>
      <w:bookmarkEnd w:id="454"/>
      <w:r>
        <w:rPr>
          <w:rStyle w:val="38"/>
          <w:rFonts w:hint="eastAsia" w:ascii="宋体" w:hAnsi="宋体" w:eastAsia="宋体" w:cs="宋体"/>
          <w:b w:val="0"/>
          <w:bCs w:val="0"/>
          <w:color w:val="auto"/>
          <w:sz w:val="21"/>
          <w:szCs w:val="21"/>
          <w:highlight w:val="none"/>
          <w:lang w:val="en-US" w:eastAsia="zh-CN"/>
        </w:rPr>
        <w:t xml:space="preserve"> </w:t>
      </w:r>
    </w:p>
    <w:p w14:paraId="0C65BC6B">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55" w:name="_Toc31750"/>
      <w:bookmarkStart w:id="456" w:name="_Toc12419"/>
      <w:bookmarkStart w:id="457" w:name="_Toc7739"/>
      <w:bookmarkStart w:id="458" w:name="_Toc747"/>
      <w:r>
        <w:rPr>
          <w:rStyle w:val="38"/>
          <w:rFonts w:hint="eastAsia" w:ascii="宋体" w:hAnsi="宋体" w:eastAsia="宋体" w:cs="宋体"/>
          <w:b w:val="0"/>
          <w:bCs w:val="0"/>
          <w:color w:val="auto"/>
          <w:sz w:val="21"/>
          <w:szCs w:val="21"/>
          <w:highlight w:val="none"/>
          <w:lang w:val="en-US" w:eastAsia="zh-CN"/>
        </w:rPr>
        <w:t>系统中设定科研绩效评价的标准和指标，如论文影响因子、著作出版社级别、成果获奖级别等。</w:t>
      </w:r>
      <w:bookmarkEnd w:id="455"/>
      <w:bookmarkEnd w:id="456"/>
      <w:bookmarkEnd w:id="457"/>
      <w:bookmarkEnd w:id="458"/>
      <w:r>
        <w:rPr>
          <w:rStyle w:val="38"/>
          <w:rFonts w:hint="eastAsia" w:ascii="宋体" w:hAnsi="宋体" w:eastAsia="宋体" w:cs="宋体"/>
          <w:b w:val="0"/>
          <w:bCs w:val="0"/>
          <w:color w:val="auto"/>
          <w:sz w:val="21"/>
          <w:szCs w:val="21"/>
          <w:highlight w:val="none"/>
          <w:lang w:val="en-US" w:eastAsia="zh-CN"/>
        </w:rPr>
        <w:t xml:space="preserve"> </w:t>
      </w:r>
    </w:p>
    <w:p w14:paraId="18B4B2F6">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59" w:name="_Toc14112"/>
      <w:bookmarkStart w:id="460" w:name="_Toc1675"/>
      <w:bookmarkStart w:id="461" w:name="_Toc30247"/>
      <w:bookmarkStart w:id="462" w:name="_Toc29769"/>
      <w:r>
        <w:rPr>
          <w:rStyle w:val="38"/>
          <w:rFonts w:hint="eastAsia" w:ascii="宋体" w:hAnsi="宋体" w:eastAsia="宋体" w:cs="宋体"/>
          <w:b w:val="0"/>
          <w:bCs w:val="0"/>
          <w:color w:val="auto"/>
          <w:sz w:val="21"/>
          <w:szCs w:val="21"/>
          <w:highlight w:val="none"/>
          <w:lang w:val="en-US" w:eastAsia="zh-CN"/>
        </w:rPr>
        <w:t>2）绩效自动计算</w:t>
      </w:r>
      <w:bookmarkEnd w:id="459"/>
      <w:bookmarkEnd w:id="460"/>
      <w:bookmarkEnd w:id="461"/>
      <w:bookmarkEnd w:id="462"/>
      <w:r>
        <w:rPr>
          <w:rStyle w:val="38"/>
          <w:rFonts w:hint="eastAsia" w:ascii="宋体" w:hAnsi="宋体" w:eastAsia="宋体" w:cs="宋体"/>
          <w:b w:val="0"/>
          <w:bCs w:val="0"/>
          <w:color w:val="auto"/>
          <w:sz w:val="21"/>
          <w:szCs w:val="21"/>
          <w:highlight w:val="none"/>
          <w:lang w:val="en-US" w:eastAsia="zh-CN"/>
        </w:rPr>
        <w:t xml:space="preserve"> </w:t>
      </w:r>
    </w:p>
    <w:p w14:paraId="3A2F2608">
      <w:pPr>
        <w:pStyle w:val="4"/>
        <w:keepNext w:val="0"/>
        <w:keepLines/>
        <w:pageBreakBefore w:val="0"/>
        <w:widowControl w:val="0"/>
        <w:kinsoku/>
        <w:wordWrap/>
        <w:overflowPunct/>
        <w:topLinePunct w:val="0"/>
        <w:autoSpaceDE/>
        <w:autoSpaceDN/>
        <w:bidi w:val="0"/>
        <w:snapToGrid/>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val="en-US" w:eastAsia="zh-CN"/>
        </w:rPr>
      </w:pPr>
      <w:bookmarkStart w:id="463" w:name="_Toc1633"/>
      <w:bookmarkStart w:id="464" w:name="_Toc27581"/>
      <w:bookmarkStart w:id="465" w:name="_Toc17273"/>
      <w:bookmarkStart w:id="466" w:name="_Toc28041"/>
      <w:r>
        <w:rPr>
          <w:rStyle w:val="38"/>
          <w:rFonts w:hint="eastAsia" w:ascii="宋体" w:hAnsi="宋体" w:eastAsia="宋体" w:cs="宋体"/>
          <w:b w:val="0"/>
          <w:bCs w:val="0"/>
          <w:color w:val="auto"/>
          <w:sz w:val="21"/>
          <w:szCs w:val="21"/>
          <w:highlight w:val="none"/>
          <w:lang w:val="en-US" w:eastAsia="zh-CN"/>
        </w:rPr>
        <w:t>根据设定的绩效标准，系统自动计算科研人员的绩效得分，包括论文数量、论文质量、著作出版情况、成果获奖情况等。</w:t>
      </w:r>
      <w:bookmarkEnd w:id="463"/>
      <w:bookmarkEnd w:id="464"/>
      <w:bookmarkEnd w:id="465"/>
      <w:bookmarkEnd w:id="466"/>
    </w:p>
    <w:p w14:paraId="6FCA2D51">
      <w:pPr>
        <w:pStyle w:val="4"/>
        <w:keepNext w:val="0"/>
        <w:keepLines/>
        <w:pageBreakBefore w:val="0"/>
        <w:kinsoku/>
        <w:wordWrap/>
        <w:overflowPunct/>
        <w:topLinePunct w:val="0"/>
        <w:autoSpaceDE/>
        <w:autoSpaceDN/>
        <w:bidi w:val="0"/>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lang w:eastAsia="zh-CN"/>
        </w:rPr>
      </w:pPr>
      <w:bookmarkStart w:id="467" w:name="_Toc31211"/>
      <w:r>
        <w:rPr>
          <w:rStyle w:val="38"/>
          <w:rFonts w:hint="eastAsia" w:ascii="宋体" w:hAnsi="宋体" w:eastAsia="宋体" w:cs="宋体"/>
          <w:b w:val="0"/>
          <w:bCs w:val="0"/>
          <w:color w:val="auto"/>
          <w:sz w:val="21"/>
          <w:szCs w:val="21"/>
          <w:highlight w:val="none"/>
        </w:rPr>
        <w:t>（13）</w:t>
      </w:r>
      <w:r>
        <w:rPr>
          <w:rStyle w:val="38"/>
          <w:rFonts w:hint="eastAsia" w:ascii="宋体" w:hAnsi="宋体" w:eastAsia="宋体" w:cs="宋体"/>
          <w:b w:val="0"/>
          <w:bCs w:val="0"/>
          <w:color w:val="auto"/>
          <w:sz w:val="21"/>
          <w:szCs w:val="21"/>
          <w:highlight w:val="none"/>
          <w:lang w:eastAsia="zh-CN"/>
        </w:rPr>
        <w:t>导出功能</w:t>
      </w:r>
      <w:bookmarkEnd w:id="467"/>
    </w:p>
    <w:p w14:paraId="4F0E34B0">
      <w:pPr>
        <w:pStyle w:val="4"/>
        <w:keepNext w:val="0"/>
        <w:keepLines/>
        <w:pageBreakBefore w:val="0"/>
        <w:kinsoku/>
        <w:wordWrap/>
        <w:overflowPunct/>
        <w:topLinePunct w:val="0"/>
        <w:autoSpaceDE/>
        <w:autoSpaceDN/>
        <w:bidi w:val="0"/>
        <w:spacing w:before="0" w:after="0" w:line="360" w:lineRule="auto"/>
        <w:ind w:firstLine="420" w:firstLineChars="200"/>
        <w:textAlignment w:val="auto"/>
        <w:rPr>
          <w:rStyle w:val="38"/>
          <w:rFonts w:hint="eastAsia" w:ascii="宋体" w:hAnsi="宋体" w:eastAsia="宋体" w:cs="宋体"/>
          <w:b w:val="0"/>
          <w:bCs w:val="0"/>
          <w:color w:val="auto"/>
          <w:sz w:val="21"/>
          <w:szCs w:val="21"/>
          <w:highlight w:val="none"/>
        </w:rPr>
      </w:pPr>
      <w:bookmarkStart w:id="468" w:name="_Toc3028"/>
      <w:r>
        <w:rPr>
          <w:rStyle w:val="38"/>
          <w:rFonts w:hint="eastAsia" w:ascii="宋体" w:hAnsi="宋体" w:eastAsia="宋体" w:cs="宋体"/>
          <w:b w:val="0"/>
          <w:bCs w:val="0"/>
          <w:color w:val="auto"/>
          <w:sz w:val="21"/>
          <w:szCs w:val="21"/>
          <w:highlight w:val="none"/>
        </w:rPr>
        <w:t>所有汇总统计结果支持本地EXCEL 表格导出功能</w:t>
      </w:r>
      <w:bookmarkEnd w:id="468"/>
    </w:p>
    <w:p w14:paraId="35A6ED7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1"/>
          <w:szCs w:val="24"/>
          <w:highlight w:val="none"/>
          <w:lang w:val="en-US" w:eastAsia="zh-CN"/>
        </w:rPr>
      </w:pPr>
      <w:r>
        <w:rPr>
          <w:rFonts w:hint="eastAsia" w:ascii="宋体" w:hAnsi="宋体" w:eastAsia="宋体" w:cs="宋体"/>
          <w:b/>
          <w:bCs/>
          <w:color w:val="auto"/>
          <w:kern w:val="2"/>
          <w:sz w:val="21"/>
          <w:szCs w:val="24"/>
          <w:highlight w:val="none"/>
          <w:lang w:val="en-US" w:eastAsia="zh-CN"/>
        </w:rPr>
        <w:t>一码通优化升级</w:t>
      </w:r>
      <w:r>
        <w:rPr>
          <w:rStyle w:val="38"/>
          <w:rFonts w:hint="eastAsia" w:ascii="宋体" w:hAnsi="宋体" w:eastAsia="宋体" w:cs="宋体"/>
          <w:b/>
          <w:bCs/>
          <w:color w:val="auto"/>
          <w:kern w:val="2"/>
          <w:sz w:val="21"/>
          <w:szCs w:val="21"/>
          <w:highlight w:val="none"/>
          <w:vertAlign w:val="baseline"/>
          <w:lang w:val="en-US" w:eastAsia="zh-CN" w:bidi="ar-SA"/>
        </w:rPr>
        <w:t>技术要求</w:t>
      </w:r>
    </w:p>
    <w:p w14:paraId="1914C57C">
      <w:pPr>
        <w:pStyle w:val="2"/>
        <w:pageBreakBefore w:val="0"/>
        <w:kinsoku/>
        <w:wordWrap/>
        <w:overflowPunct/>
        <w:topLinePunct w:val="0"/>
        <w:autoSpaceDE/>
        <w:autoSpaceDN/>
        <w:bidi w:val="0"/>
        <w:spacing w:line="360" w:lineRule="auto"/>
        <w:ind w:left="0" w:leftChars="0" w:firstLine="422" w:firstLineChars="200"/>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bCs/>
          <w:color w:val="auto"/>
          <w:kern w:val="2"/>
          <w:sz w:val="21"/>
          <w:szCs w:val="21"/>
          <w:highlight w:val="none"/>
          <w:vertAlign w:val="baseline"/>
          <w:lang w:val="en-US" w:eastAsia="zh-CN" w:bidi="ar-SA"/>
        </w:rPr>
        <w:t>主页优化</w:t>
      </w:r>
      <w:bookmarkStart w:id="469" w:name="_Toc31623"/>
      <w:bookmarkStart w:id="470" w:name="_Toc28279"/>
      <w:bookmarkStart w:id="471" w:name="_Toc3072"/>
    </w:p>
    <w:p w14:paraId="1E99C64A">
      <w:pPr>
        <w:keepLines w:val="0"/>
        <w:pageBreakBefore w:val="0"/>
        <w:widowControl/>
        <w:numPr>
          <w:ilvl w:val="0"/>
          <w:numId w:val="18"/>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pPr>
      <w:r>
        <w:rPr>
          <w:rStyle w:val="38"/>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“一码通”小程序界面进行优化，并添加主要功能按钮，主要功能分为：预约服务、订房订餐、一键报修、服务测评。</w:t>
      </w:r>
    </w:p>
    <w:p w14:paraId="10BE2E35">
      <w:pPr>
        <w:pStyle w:val="2"/>
        <w:numPr>
          <w:ilvl w:val="0"/>
          <w:numId w:val="18"/>
        </w:numPr>
        <w:rPr>
          <w:rFonts w:hint="eastAsia"/>
          <w:lang w:val="en-US" w:eastAsia="zh-CN"/>
        </w:rPr>
      </w:pPr>
      <w:r>
        <w:rPr>
          <w:rStyle w:val="38"/>
          <w:rFonts w:hint="eastAsia" w:ascii="宋体" w:hAnsi="宋体" w:cs="宋体"/>
          <w:b w:val="0"/>
          <w:bCs w:val="0"/>
          <w:i w:val="0"/>
          <w:iCs w:val="0"/>
          <w:caps w:val="0"/>
          <w:color w:val="auto"/>
          <w:spacing w:val="0"/>
          <w:kern w:val="0"/>
          <w:sz w:val="21"/>
          <w:szCs w:val="21"/>
          <w:highlight w:val="none"/>
          <w:shd w:val="clear" w:color="auto" w:fill="auto"/>
          <w:lang w:val="en-US" w:eastAsia="zh-CN" w:bidi="ar-SA"/>
        </w:rPr>
        <w:t>一码通主界面标题并行显示“浙社好管家、一码通”。</w:t>
      </w:r>
    </w:p>
    <w:p w14:paraId="2F35BDCD">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u w:val="none"/>
          <w:lang w:bidi="ar-SA"/>
        </w:rPr>
      </w:pPr>
      <w:r>
        <w:rPr>
          <w:rStyle w:val="38"/>
          <w:rFonts w:hint="eastAsia" w:ascii="宋体" w:hAnsi="宋体" w:eastAsia="宋体" w:cs="宋体"/>
          <w:b/>
          <w:bCs/>
          <w:color w:val="auto"/>
          <w:kern w:val="0"/>
          <w:highlight w:val="none"/>
          <w:lang w:bidi="ar-SA"/>
        </w:rPr>
        <w:t>预约</w:t>
      </w:r>
      <w:r>
        <w:rPr>
          <w:rStyle w:val="38"/>
          <w:rFonts w:hint="eastAsia" w:ascii="宋体" w:hAnsi="宋体" w:eastAsia="宋体" w:cs="宋体"/>
          <w:b/>
          <w:bCs/>
          <w:color w:val="auto"/>
          <w:kern w:val="0"/>
          <w:highlight w:val="none"/>
          <w:u w:val="none"/>
          <w:lang w:bidi="ar-SA"/>
        </w:rPr>
        <w:t>服务：</w:t>
      </w:r>
    </w:p>
    <w:p w14:paraId="4AE698F1">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u w:val="none"/>
          <w:lang w:eastAsia="zh-CN" w:bidi="ar-SA"/>
        </w:rPr>
      </w:pPr>
      <w:r>
        <w:rPr>
          <w:rStyle w:val="38"/>
          <w:rFonts w:hint="eastAsia" w:ascii="宋体" w:hAnsi="宋体" w:eastAsia="宋体" w:cs="宋体"/>
          <w:b w:val="0"/>
          <w:bCs w:val="0"/>
          <w:color w:val="auto"/>
          <w:kern w:val="0"/>
          <w:highlight w:val="none"/>
          <w:u w:val="none"/>
          <w:lang w:bidi="ar-SA"/>
        </w:rPr>
        <w:t>（1）理发预</w:t>
      </w:r>
      <w:r>
        <w:rPr>
          <w:rStyle w:val="38"/>
          <w:rFonts w:hint="eastAsia" w:ascii="宋体" w:hAnsi="宋体" w:eastAsia="宋体" w:cs="宋体"/>
          <w:b w:val="0"/>
          <w:bCs w:val="0"/>
          <w:color w:val="auto"/>
          <w:kern w:val="0"/>
          <w:highlight w:val="none"/>
          <w:u w:val="none"/>
          <w:lang w:eastAsia="zh-CN" w:bidi="ar-SA"/>
        </w:rPr>
        <w:t>约</w:t>
      </w:r>
    </w:p>
    <w:p w14:paraId="086491E3">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u w:val="none"/>
          <w:lang w:bidi="ar-SA"/>
        </w:rPr>
      </w:pPr>
      <w:r>
        <w:rPr>
          <w:rStyle w:val="38"/>
          <w:rFonts w:hint="eastAsia" w:ascii="宋体" w:hAnsi="宋体" w:eastAsia="宋体" w:cs="宋体"/>
          <w:b w:val="0"/>
          <w:bCs w:val="0"/>
          <w:color w:val="auto"/>
          <w:kern w:val="0"/>
          <w:highlight w:val="none"/>
          <w:u w:val="none"/>
          <w:lang w:bidi="ar-SA"/>
        </w:rPr>
        <w:t>理发预约时间仅限预约当日，如当日理发师请假的，可在系统上关闭当日预约服务（可选择关闭上半天或下半天预约），且需选择所需预约服务（理发、洗吹、烫发等）。预约界面显示当日已预约情况，且理发师可通过小程序查阅预约人及预约服务，如未及时到场，理发师可从小程序上将该预约取消，系统将向其他已预约的教职工/学员通过小程序通知提示前面还有几位在等待。</w:t>
      </w:r>
    </w:p>
    <w:p w14:paraId="30D3BDAC">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（2）场地预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（含乒乓球室、台球室、羽毛球场、篮球场）</w:t>
      </w:r>
    </w:p>
    <w:p w14:paraId="02D740E4">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可通过小程序预约本日或后一周的场地，并提供可预约场所以供用户选择，同时在预约界面中显示已预约被时间段，如因故需取消预约的，可在已预约内容栏中进行取消。用户预约成功后，统一由后台传到后勤服务公司后台进行确认</w:t>
      </w:r>
      <w:r>
        <w:rPr>
          <w:rStyle w:val="38"/>
          <w:rFonts w:hint="eastAsia" w:ascii="宋体" w:hAnsi="宋体" w:eastAsia="宋体" w:cs="宋体"/>
          <w:b w:val="0"/>
          <w:bCs w:val="0"/>
          <w:color w:val="auto"/>
          <w:kern w:val="0"/>
          <w:highlight w:val="none"/>
          <w:lang w:eastAsia="zh-CN" w:bidi="ar-SA"/>
        </w:rPr>
        <w:t>，</w:t>
      </w:r>
      <w:r>
        <w:rPr>
          <w:rFonts w:hint="eastAsia" w:ascii="宋体" w:hAnsi="宋体" w:eastAsia="宋体" w:cs="宋体"/>
          <w:color w:val="auto"/>
          <w:highlight w:val="none"/>
          <w:lang w:val="en-US" w:eastAsia="zh-CN"/>
        </w:rPr>
        <w:t>预定状态展示同“功能教室预约”</w:t>
      </w:r>
      <w:r>
        <w:rPr>
          <w:rStyle w:val="38"/>
          <w:rFonts w:hint="eastAsia" w:ascii="宋体" w:hAnsi="宋体" w:eastAsia="宋体" w:cs="宋体"/>
          <w:b w:val="0"/>
          <w:bCs w:val="0"/>
          <w:color w:val="auto"/>
          <w:kern w:val="0"/>
          <w:highlight w:val="none"/>
          <w:lang w:bidi="ar-SA"/>
        </w:rPr>
        <w:t>。</w:t>
      </w:r>
    </w:p>
    <w:p w14:paraId="4B1FB706">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eastAsia="zh-CN" w:bidi="ar-SA"/>
        </w:rPr>
      </w:pPr>
      <w:r>
        <w:rPr>
          <w:rStyle w:val="38"/>
          <w:rFonts w:hint="eastAsia" w:ascii="宋体" w:hAnsi="宋体" w:eastAsia="宋体" w:cs="宋体"/>
          <w:b w:val="0"/>
          <w:bCs w:val="0"/>
          <w:color w:val="auto"/>
          <w:kern w:val="0"/>
          <w:highlight w:val="none"/>
          <w:lang w:bidi="ar-SA"/>
        </w:rPr>
        <w:t>（3）功能教室/会议室预</w:t>
      </w:r>
      <w:r>
        <w:rPr>
          <w:rStyle w:val="38"/>
          <w:rFonts w:hint="eastAsia" w:ascii="宋体" w:hAnsi="宋体" w:eastAsia="宋体" w:cs="宋体"/>
          <w:b w:val="0"/>
          <w:bCs w:val="0"/>
          <w:color w:val="auto"/>
          <w:kern w:val="0"/>
          <w:highlight w:val="none"/>
          <w:lang w:eastAsia="zh-CN" w:bidi="ar-SA"/>
        </w:rPr>
        <w:t>约</w:t>
      </w:r>
    </w:p>
    <w:p w14:paraId="56AFAB2E">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界面显示可预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的房间或会议室（具体哪些后续总务处提供表单），每个房间的房间号下应显示用途（会议室/教室/党派之家），已被预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的功能教室/会议室在用于预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时显示为灰色，用户仅可点击查看预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人员信息及预定开始及截止时间。教室/会议室仅支持当天及后一天的预约，预约人需填写预约事由、参加人数、开始及截止时间。</w:t>
      </w:r>
    </w:p>
    <w:p w14:paraId="1EEA5247">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功能教室/会议室</w:t>
      </w:r>
      <w:r>
        <w:rPr>
          <w:rStyle w:val="38"/>
          <w:rFonts w:hint="eastAsia" w:ascii="宋体" w:hAnsi="宋体" w:eastAsia="宋体" w:cs="宋体"/>
          <w:b w:val="0"/>
          <w:bCs w:val="0"/>
          <w:color w:val="auto"/>
          <w:kern w:val="0"/>
          <w:highlight w:val="none"/>
          <w:lang w:eastAsia="zh-CN" w:bidi="ar-SA"/>
        </w:rPr>
        <w:t>预约</w:t>
      </w:r>
      <w:r>
        <w:rPr>
          <w:rStyle w:val="38"/>
          <w:rFonts w:hint="eastAsia" w:ascii="宋体" w:hAnsi="宋体" w:eastAsia="宋体" w:cs="宋体"/>
          <w:b w:val="0"/>
          <w:bCs w:val="0"/>
          <w:color w:val="auto"/>
          <w:kern w:val="0"/>
          <w:highlight w:val="none"/>
          <w:lang w:bidi="ar-SA"/>
        </w:rPr>
        <w:t>数据按月统一保存成表格至总务处分管人员处。</w:t>
      </w:r>
    </w:p>
    <w:p w14:paraId="7147506C">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（4）统一战线图书资料中心茶书吧包厢预约</w:t>
      </w:r>
    </w:p>
    <w:p w14:paraId="4F1B0C87">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在</w:t>
      </w:r>
      <w:r>
        <w:rPr>
          <w:rStyle w:val="38"/>
          <w:rFonts w:hint="eastAsia" w:ascii="宋体" w:hAnsi="宋体" w:eastAsia="宋体" w:cs="宋体"/>
          <w:b w:val="0"/>
          <w:bCs w:val="0"/>
          <w:color w:val="auto"/>
          <w:kern w:val="0"/>
          <w:szCs w:val="22"/>
          <w:highlight w:val="none"/>
          <w:lang w:bidi="ar-SA"/>
        </w:rPr>
        <w:t>预</w:t>
      </w:r>
      <w:r>
        <w:rPr>
          <w:rStyle w:val="38"/>
          <w:rFonts w:hint="eastAsia" w:ascii="宋体" w:hAnsi="宋体" w:eastAsia="宋体" w:cs="宋体"/>
          <w:b w:val="0"/>
          <w:bCs w:val="0"/>
          <w:color w:val="auto"/>
          <w:kern w:val="0"/>
          <w:szCs w:val="22"/>
          <w:highlight w:val="none"/>
          <w:lang w:eastAsia="zh-CN" w:bidi="ar-SA"/>
        </w:rPr>
        <w:t>约</w:t>
      </w:r>
      <w:r>
        <w:rPr>
          <w:rStyle w:val="38"/>
          <w:rFonts w:hint="eastAsia" w:ascii="宋体" w:hAnsi="宋体" w:eastAsia="宋体" w:cs="宋体"/>
          <w:b w:val="0"/>
          <w:bCs w:val="0"/>
          <w:color w:val="auto"/>
          <w:kern w:val="0"/>
          <w:highlight w:val="none"/>
          <w:lang w:bidi="ar-SA"/>
        </w:rPr>
        <w:t>页面显示预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内容：会议区/主委谈心室（清风阁 大包厢）/主委谈心室（竹素苑 小包厢）；人数、使用时间，预</w:t>
      </w:r>
      <w:r>
        <w:rPr>
          <w:rStyle w:val="38"/>
          <w:rFonts w:hint="eastAsia" w:ascii="宋体" w:hAnsi="宋体" w:eastAsia="宋体" w:cs="宋体"/>
          <w:b w:val="0"/>
          <w:bCs w:val="0"/>
          <w:color w:val="auto"/>
          <w:kern w:val="0"/>
          <w:highlight w:val="none"/>
          <w:lang w:eastAsia="zh-CN" w:bidi="ar-SA"/>
        </w:rPr>
        <w:t>约</w:t>
      </w:r>
      <w:r>
        <w:rPr>
          <w:rStyle w:val="38"/>
          <w:rFonts w:hint="eastAsia" w:ascii="宋体" w:hAnsi="宋体" w:eastAsia="宋体" w:cs="宋体"/>
          <w:b w:val="0"/>
          <w:bCs w:val="0"/>
          <w:color w:val="auto"/>
          <w:kern w:val="0"/>
          <w:highlight w:val="none"/>
          <w:lang w:bidi="ar-SA"/>
        </w:rPr>
        <w:t>数据按月统一保持成表格至统一战线图书资料中心茶书吧管理人员处</w:t>
      </w:r>
      <w:r>
        <w:rPr>
          <w:rStyle w:val="38"/>
          <w:rFonts w:hint="eastAsia" w:ascii="宋体" w:hAnsi="宋体" w:eastAsia="宋体" w:cs="宋体"/>
          <w:b w:val="0"/>
          <w:bCs w:val="0"/>
          <w:color w:val="auto"/>
          <w:kern w:val="0"/>
          <w:highlight w:val="none"/>
          <w:lang w:eastAsia="zh-CN" w:bidi="ar-SA"/>
        </w:rPr>
        <w:t>，</w:t>
      </w:r>
      <w:r>
        <w:rPr>
          <w:rFonts w:hint="eastAsia" w:ascii="宋体" w:hAnsi="宋体" w:eastAsia="宋体" w:cs="宋体"/>
          <w:color w:val="auto"/>
          <w:highlight w:val="none"/>
          <w:lang w:val="en-US" w:eastAsia="zh-CN"/>
        </w:rPr>
        <w:t>预定状态展示同“功能教室预约”</w:t>
      </w:r>
      <w:r>
        <w:rPr>
          <w:rStyle w:val="38"/>
          <w:rFonts w:hint="eastAsia" w:ascii="宋体" w:hAnsi="宋体" w:eastAsia="宋体" w:cs="宋体"/>
          <w:b w:val="0"/>
          <w:bCs w:val="0"/>
          <w:color w:val="auto"/>
          <w:kern w:val="0"/>
          <w:highlight w:val="none"/>
          <w:lang w:bidi="ar-SA"/>
        </w:rPr>
        <w:t>。</w:t>
      </w:r>
    </w:p>
    <w:p w14:paraId="184E18C6">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订房订餐：</w:t>
      </w:r>
    </w:p>
    <w:p w14:paraId="644B330F">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（1）食堂订餐</w:t>
      </w:r>
    </w:p>
    <w:p w14:paraId="3FD1BC1A">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熟食预订</w:t>
      </w:r>
    </w:p>
    <w:p w14:paraId="5B7D3E65">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用户可在每周一查阅本周可预订菜单，菜单以图片形式展示，每周食堂餐厅经理可从后台查看预订数量，并安排统一取餐，同时设置代取页面，如需代取的，在代取页面输入代取人信息及订餐人信息后，刷码代取。</w:t>
      </w:r>
    </w:p>
    <w:p w14:paraId="6A33A2DD">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加班餐预订</w:t>
      </w:r>
    </w:p>
    <w:p w14:paraId="2D7DFC24">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需要预</w:t>
      </w:r>
      <w:r>
        <w:rPr>
          <w:rStyle w:val="38"/>
          <w:rFonts w:hint="eastAsia" w:ascii="宋体" w:hAnsi="宋体" w:eastAsia="宋体" w:cs="宋体"/>
          <w:b w:val="0"/>
          <w:bCs w:val="0"/>
          <w:color w:val="auto"/>
          <w:kern w:val="0"/>
          <w:highlight w:val="none"/>
          <w:lang w:eastAsia="zh-CN" w:bidi="ar-SA"/>
        </w:rPr>
        <w:t>订</w:t>
      </w:r>
      <w:r>
        <w:rPr>
          <w:rStyle w:val="38"/>
          <w:rFonts w:hint="eastAsia" w:ascii="宋体" w:hAnsi="宋体" w:eastAsia="宋体" w:cs="宋体"/>
          <w:b w:val="0"/>
          <w:bCs w:val="0"/>
          <w:color w:val="auto"/>
          <w:kern w:val="0"/>
          <w:highlight w:val="none"/>
          <w:lang w:bidi="ar-SA"/>
        </w:rPr>
        <w:t>加班餐的用户，需在每日6点前在小程序中预订，系统将预订姓名以及数量传至餐厅经理系统后台（最少设置2名负责人可查阅），并使用小程序通知。用户可留言自己忌口，取餐时采用扫码取餐，如需代取的，同时设置代取页面，在代取页面输入代取人信息及订餐人信息后，刷码代取。</w:t>
      </w:r>
    </w:p>
    <w:p w14:paraId="54078EC5">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（2）预定房间</w:t>
      </w:r>
    </w:p>
    <w:p w14:paraId="7F1CA21B">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教职工可通过小程序进行房间预定，该通道仅对教职员工开放。系统预订后上传至总务处监管部助理处，经确认可以订房后上传至监管部主任处审核后下发至后勤公司前台办理分配房间号，前台办理完成后通过微信小程序告知预定教职工，并显示房间号及取门禁卡的位置。</w:t>
      </w:r>
    </w:p>
    <w:p w14:paraId="108534C7">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所有预约需提供后台暂停服务设置，相关管理员因场所维修等因素需暂停提供服务的，可通过分管账户暂停相关服务，并可在暂停服务页面输入暂停时间至何时截止。</w:t>
      </w:r>
    </w:p>
    <w:p w14:paraId="73B42B9F">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订餐数据按月统一保存成表格至餐饮部总务处分管人员处，如有代取，表格内需注明。</w:t>
      </w:r>
    </w:p>
    <w:p w14:paraId="30C02073">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一键报修</w:t>
      </w:r>
    </w:p>
    <w:p w14:paraId="77AC0EBE">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highlight w:val="none"/>
          <w:lang w:bidi="ar-SA"/>
        </w:rPr>
      </w:pPr>
      <w:r>
        <w:rPr>
          <w:rStyle w:val="38"/>
          <w:rFonts w:hint="eastAsia" w:ascii="宋体" w:hAnsi="宋体" w:eastAsia="宋体" w:cs="宋体"/>
          <w:b w:val="0"/>
          <w:bCs w:val="0"/>
          <w:color w:val="auto"/>
          <w:kern w:val="0"/>
          <w:highlight w:val="none"/>
          <w:lang w:bidi="ar-SA"/>
        </w:rPr>
        <w:t>用户可通过图片拍摄或文字描述进行报修，报修时，用户必须选定维修种类【信息化设备维修或后勤维修，信息化设备维修包含：电脑、网络、电视、投影仪、各系统、其他（供用户填写）；后勤维修包含：宿舍、办公室、运动场所、厕所（浴室）、道路、其他（供用户填写）】，然后填写所在楼及房间，并描述相关问题；</w:t>
      </w:r>
      <w:r>
        <w:rPr>
          <w:rStyle w:val="38"/>
          <w:rFonts w:hint="eastAsia" w:ascii="宋体" w:hAnsi="宋体" w:eastAsia="宋体" w:cs="宋体"/>
          <w:b w:val="0"/>
          <w:bCs w:val="0"/>
          <w:color w:val="auto"/>
          <w:kern w:val="0"/>
          <w:highlight w:val="none"/>
          <w:lang w:val="en-US" w:eastAsia="zh-CN" w:bidi="ar-SA"/>
        </w:rPr>
        <w:t>系统</w:t>
      </w:r>
      <w:r>
        <w:rPr>
          <w:rFonts w:hint="eastAsia" w:ascii="宋体" w:hAnsi="宋体" w:eastAsia="宋体" w:cs="宋体"/>
          <w:color w:val="auto"/>
          <w:highlight w:val="none"/>
          <w:lang w:val="en-US" w:eastAsia="zh-CN"/>
        </w:rPr>
        <w:t>根据类别通过智能分派规则分派至不同渠道处理，</w:t>
      </w:r>
      <w:r>
        <w:rPr>
          <w:rStyle w:val="38"/>
          <w:rFonts w:hint="eastAsia" w:ascii="宋体" w:hAnsi="宋体" w:eastAsia="宋体" w:cs="宋体"/>
          <w:b w:val="0"/>
          <w:bCs w:val="0"/>
          <w:color w:val="auto"/>
          <w:kern w:val="0"/>
          <w:highlight w:val="none"/>
          <w:lang w:bidi="ar-SA"/>
        </w:rPr>
        <w:t>物业维修通道依次由后勤公司工程部经理、监管部工程监管和总务处后勤分管处理办结。信息化维修通道由信息化部门处理。同时，增加“紧急报修”功能，如遇停电等紧急问题，可以一键拨打总台电话或工程部值班人员电话。</w:t>
      </w:r>
    </w:p>
    <w:p w14:paraId="329372DE">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2" w:firstLineChars="200"/>
        <w:jc w:val="both"/>
        <w:textAlignment w:val="auto"/>
        <w:rPr>
          <w:rStyle w:val="38"/>
          <w:rFonts w:hint="eastAsia" w:ascii="宋体" w:hAnsi="宋体" w:eastAsia="宋体" w:cs="宋体"/>
          <w:b/>
          <w:bCs/>
          <w:color w:val="auto"/>
          <w:kern w:val="0"/>
          <w:highlight w:val="none"/>
          <w:lang w:bidi="ar-SA"/>
        </w:rPr>
      </w:pPr>
      <w:r>
        <w:rPr>
          <w:rStyle w:val="38"/>
          <w:rFonts w:hint="eastAsia" w:ascii="宋体" w:hAnsi="宋体" w:eastAsia="宋体" w:cs="宋体"/>
          <w:b/>
          <w:bCs/>
          <w:color w:val="auto"/>
          <w:kern w:val="0"/>
          <w:highlight w:val="none"/>
          <w:lang w:bidi="ar-SA"/>
        </w:rPr>
        <w:t>服务测评</w:t>
      </w:r>
    </w:p>
    <w:p w14:paraId="70A450DA">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szCs w:val="22"/>
          <w:highlight w:val="none"/>
          <w:lang w:val="en-US" w:eastAsia="zh-CN"/>
        </w:rPr>
      </w:pPr>
      <w:r>
        <w:rPr>
          <w:rStyle w:val="38"/>
          <w:rFonts w:hint="eastAsia" w:ascii="宋体" w:hAnsi="宋体" w:eastAsia="宋体" w:cs="宋体"/>
          <w:b w:val="0"/>
          <w:bCs w:val="0"/>
          <w:color w:val="auto"/>
          <w:kern w:val="0"/>
          <w:szCs w:val="22"/>
          <w:highlight w:val="none"/>
          <w:lang w:val="en-US" w:eastAsia="zh-CN"/>
        </w:rPr>
        <w:t>文本调整。对原有问卷调查的文本信息进行调整，使之匹配现有问卷调查实际需求。</w:t>
      </w:r>
    </w:p>
    <w:p w14:paraId="791A977F">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szCs w:val="22"/>
          <w:highlight w:val="none"/>
          <w:lang w:val="en-US" w:eastAsia="zh-CN"/>
        </w:rPr>
      </w:pPr>
      <w:r>
        <w:rPr>
          <w:rFonts w:hint="eastAsia" w:ascii="宋体" w:hAnsi="宋体" w:eastAsia="宋体" w:cs="宋体"/>
          <w:color w:val="auto"/>
          <w:highlight w:val="none"/>
          <w:lang w:val="en-US" w:eastAsia="zh-CN"/>
        </w:rPr>
        <w:t>表单统计。</w:t>
      </w:r>
      <w:r>
        <w:rPr>
          <w:rStyle w:val="38"/>
          <w:rFonts w:hint="eastAsia" w:ascii="宋体" w:hAnsi="宋体" w:eastAsia="宋体" w:cs="宋体"/>
          <w:b w:val="0"/>
          <w:bCs w:val="0"/>
          <w:color w:val="auto"/>
          <w:kern w:val="0"/>
          <w:szCs w:val="22"/>
          <w:highlight w:val="none"/>
          <w:lang w:val="en-US" w:eastAsia="zh-CN"/>
        </w:rPr>
        <w:t>对问卷调查评估结果进行表单统计和多维数据分析，支持可视化报表生成和展示，并支持统计结果数据导出功能。同时调查问卷表可通过链接或二维码分享至其他微信用户进行填写，并将学员填写完成的测评结果上传至系统，通过系统后台自动对各个部门的分数进行分析。</w:t>
      </w:r>
    </w:p>
    <w:p w14:paraId="399FB38C">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班次服务</w:t>
      </w:r>
    </w:p>
    <w:p w14:paraId="1164AC2D">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新增班次查看功能。教职工可在“一码通”即时查看本周的教学班次安排，如课程时间、地点、班级及学生名单等信息，点击具体班次可显示完整课程表，无需再依赖传统的纸质通知或电子邮件。</w:t>
      </w:r>
    </w:p>
    <w:p w14:paraId="1EC2B2CE">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图书借阅</w:t>
      </w:r>
    </w:p>
    <w:p w14:paraId="5C8E3FE7">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原有图书借阅功能进行改造。图书借阅小程序中可查看目前在库可借的书籍（包含书籍的封面、作者、出版社、ISBN编码），对每人借阅书籍的数量、时间进行限制，若超过时间未归还的，将通过短信推送提醒归还借阅书籍。</w:t>
      </w:r>
    </w:p>
    <w:p w14:paraId="5B0F9C93">
      <w:pPr>
        <w:keepLines w:val="0"/>
        <w:pageBreakBefore w:val="0"/>
        <w:widowControl/>
        <w:numPr>
          <w:ilvl w:val="0"/>
          <w:numId w:val="0"/>
        </w:numPr>
        <w:tabs>
          <w:tab w:val="left" w:pos="312"/>
          <w:tab w:val="left" w:pos="420"/>
        </w:tabs>
        <w:kinsoku/>
        <w:wordWrap/>
        <w:overflowPunct/>
        <w:topLinePunct w:val="0"/>
        <w:autoSpaceDE/>
        <w:autoSpaceDN/>
        <w:bidi w:val="0"/>
        <w:spacing w:line="360" w:lineRule="auto"/>
        <w:ind w:left="0" w:leftChars="0" w:firstLine="42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通知公告</w:t>
      </w:r>
    </w:p>
    <w:p w14:paraId="25162BA3">
      <w:pPr>
        <w:keepLines w:val="0"/>
        <w:pageBreakBefore w:val="0"/>
        <w:widowControl/>
        <w:numPr>
          <w:ilvl w:val="0"/>
          <w:numId w:val="0"/>
        </w:numPr>
        <w:tabs>
          <w:tab w:val="left" w:pos="420"/>
        </w:tabs>
        <w:kinsoku/>
        <w:wordWrap/>
        <w:overflowPunct/>
        <w:topLinePunct w:val="0"/>
        <w:autoSpaceDE/>
        <w:autoSpaceDN/>
        <w:bidi w:val="0"/>
        <w:spacing w:line="360" w:lineRule="auto"/>
        <w:ind w:left="0" w:leftChars="0" w:firstLine="420" w:firstLineChars="200"/>
        <w:jc w:val="both"/>
        <w:textAlignment w:val="auto"/>
        <w:rPr>
          <w:rStyle w:val="38"/>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highlight w:val="none"/>
          <w:lang w:val="en-US" w:eastAsia="zh-CN"/>
        </w:rPr>
        <w:t>主要完成通知公告的功能改造。在一码通后台发布通告信息，可选择班次和发送对象（教职员工、不同班次学员）。内容涵盖本周菜单（可预订菜品）、学院后勤各项通知等。当学员/教职工在小程序预定房间/维修/订餐/图书借阅/成功后，均可通过短信平台进行消息推送。</w:t>
      </w:r>
      <w:bookmarkEnd w:id="469"/>
      <w:bookmarkEnd w:id="470"/>
      <w:bookmarkEnd w:id="471"/>
    </w:p>
    <w:p w14:paraId="21D9C20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1"/>
          <w:szCs w:val="24"/>
          <w:highlight w:val="none"/>
          <w:lang w:val="en-US" w:eastAsia="zh-CN"/>
        </w:rPr>
      </w:pPr>
      <w:r>
        <w:rPr>
          <w:rStyle w:val="38"/>
          <w:rFonts w:hint="eastAsia" w:ascii="宋体" w:hAnsi="宋体" w:eastAsia="宋体" w:cs="宋体"/>
          <w:b/>
          <w:bCs/>
          <w:color w:val="auto"/>
          <w:kern w:val="2"/>
          <w:sz w:val="21"/>
          <w:szCs w:val="21"/>
          <w:highlight w:val="none"/>
          <w:vertAlign w:val="baseline"/>
          <w:lang w:val="en-US" w:eastAsia="zh-CN" w:bidi="ar-SA"/>
        </w:rPr>
        <w:t>国产化软硬件环境</w:t>
      </w:r>
    </w:p>
    <w:p w14:paraId="708515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0"/>
          <w:sz w:val="21"/>
          <w:szCs w:val="21"/>
          <w:highlight w:val="none"/>
        </w:rPr>
        <w:t>本项目所需云端部署资源由中标单位配合业主方向</w:t>
      </w:r>
      <w:r>
        <w:rPr>
          <w:rStyle w:val="38"/>
          <w:rFonts w:hint="eastAsia" w:ascii="宋体" w:hAnsi="宋体" w:eastAsia="宋体" w:cs="宋体"/>
          <w:b w:val="0"/>
          <w:bCs w:val="0"/>
          <w:color w:val="auto"/>
          <w:kern w:val="2"/>
          <w:sz w:val="21"/>
          <w:szCs w:val="21"/>
          <w:highlight w:val="none"/>
          <w:lang w:eastAsia="zh-CN"/>
        </w:rPr>
        <w:t>主管</w:t>
      </w:r>
      <w:r>
        <w:rPr>
          <w:rStyle w:val="38"/>
          <w:rFonts w:hint="eastAsia" w:ascii="宋体" w:hAnsi="宋体" w:eastAsia="宋体" w:cs="宋体"/>
          <w:b w:val="0"/>
          <w:bCs w:val="0"/>
          <w:color w:val="auto"/>
          <w:kern w:val="2"/>
          <w:sz w:val="21"/>
          <w:szCs w:val="21"/>
          <w:highlight w:val="none"/>
          <w:lang w:val="en-US" w:eastAsia="zh-CN"/>
        </w:rPr>
        <w:t>部门</w:t>
      </w:r>
      <w:r>
        <w:rPr>
          <w:rStyle w:val="38"/>
          <w:rFonts w:hint="eastAsia" w:ascii="宋体" w:hAnsi="宋体" w:eastAsia="宋体" w:cs="宋体"/>
          <w:b w:val="0"/>
          <w:bCs w:val="0"/>
          <w:color w:val="auto"/>
          <w:kern w:val="0"/>
          <w:sz w:val="21"/>
          <w:szCs w:val="21"/>
          <w:highlight w:val="none"/>
        </w:rPr>
        <w:t>申请。中标单位需提供</w:t>
      </w:r>
      <w:r>
        <w:rPr>
          <w:rStyle w:val="38"/>
          <w:rFonts w:hint="eastAsia" w:ascii="宋体" w:hAnsi="宋体" w:eastAsia="宋体" w:cs="宋体"/>
          <w:b w:val="0"/>
          <w:bCs w:val="0"/>
          <w:color w:val="auto"/>
          <w:kern w:val="2"/>
          <w:sz w:val="21"/>
          <w:szCs w:val="21"/>
          <w:highlight w:val="none"/>
          <w:lang w:eastAsia="zh-CN"/>
        </w:rPr>
        <w:t>系统</w:t>
      </w:r>
      <w:r>
        <w:rPr>
          <w:rStyle w:val="38"/>
          <w:rFonts w:hint="eastAsia" w:ascii="宋体" w:hAnsi="宋体" w:eastAsia="宋体" w:cs="宋体"/>
          <w:b w:val="0"/>
          <w:bCs w:val="0"/>
          <w:color w:val="auto"/>
          <w:kern w:val="2"/>
          <w:sz w:val="21"/>
          <w:szCs w:val="21"/>
          <w:highlight w:val="none"/>
          <w:lang w:val="en-US" w:eastAsia="zh-CN"/>
        </w:rPr>
        <w:t>部署适配的</w:t>
      </w:r>
      <w:r>
        <w:rPr>
          <w:rStyle w:val="38"/>
          <w:rFonts w:hint="eastAsia" w:ascii="宋体" w:hAnsi="宋体" w:eastAsia="宋体" w:cs="宋体"/>
          <w:b w:val="0"/>
          <w:bCs w:val="0"/>
          <w:color w:val="auto"/>
          <w:kern w:val="2"/>
          <w:sz w:val="21"/>
          <w:szCs w:val="21"/>
          <w:highlight w:val="none"/>
          <w:vertAlign w:val="baseline"/>
          <w:lang w:val="en-US" w:eastAsia="zh-CN" w:bidi="ar-SA"/>
        </w:rPr>
        <w:t>国产化软硬件环境，</w:t>
      </w:r>
      <w:r>
        <w:rPr>
          <w:rStyle w:val="38"/>
          <w:rFonts w:hint="eastAsia" w:ascii="宋体" w:hAnsi="宋体" w:eastAsia="宋体" w:cs="宋体"/>
          <w:b w:val="0"/>
          <w:bCs w:val="0"/>
          <w:color w:val="auto"/>
          <w:kern w:val="2"/>
          <w:sz w:val="21"/>
          <w:szCs w:val="21"/>
          <w:highlight w:val="none"/>
        </w:rPr>
        <w:t>包括国产操作系统、国产应用服务中间件和国产数据库系统等。国产操作系统具备设备管理、文件系统管理、用户管理、个性化设置等基本功能，提供应用商店、邮件客户端、图片查看器、视频播放器、备份还原、安全中心等常用工具，具备桌面智能助手、听写播报、语音记事本、多种用户交互界面等特色功能。</w:t>
      </w:r>
    </w:p>
    <w:p w14:paraId="1BD43AF9">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2" w:name="_Toc4770"/>
      <w:r>
        <w:rPr>
          <w:rFonts w:hint="eastAsia" w:ascii="宋体" w:hAnsi="宋体" w:eastAsia="宋体" w:cs="宋体"/>
          <w:color w:val="auto"/>
          <w:sz w:val="21"/>
          <w:szCs w:val="21"/>
          <w:highlight w:val="none"/>
          <w:lang w:val="en-US" w:eastAsia="zh-CN"/>
        </w:rPr>
        <w:t>非功能性要求</w:t>
      </w:r>
      <w:bookmarkEnd w:id="472"/>
    </w:p>
    <w:p w14:paraId="14FDF4F6">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（一）可靠性要求</w:t>
      </w:r>
    </w:p>
    <w:p w14:paraId="32DBB33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具体可靠性指标的目标要求如下：</w:t>
      </w:r>
    </w:p>
    <w:p w14:paraId="5694003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（1）能够连续 7×24 小时不间断工作，出现故障应</w:t>
      </w:r>
      <w:r>
        <w:rPr>
          <w:rStyle w:val="38"/>
          <w:rFonts w:hint="eastAsia" w:ascii="宋体" w:hAnsi="宋体" w:eastAsia="宋体" w:cs="宋体"/>
          <w:b w:val="0"/>
          <w:bCs w:val="0"/>
          <w:color w:val="auto"/>
          <w:kern w:val="2"/>
          <w:sz w:val="21"/>
          <w:szCs w:val="21"/>
          <w:highlight w:val="none"/>
          <w:lang w:val="en-US" w:eastAsia="zh-CN"/>
        </w:rPr>
        <w:t>即时</w:t>
      </w:r>
      <w:r>
        <w:rPr>
          <w:rStyle w:val="38"/>
          <w:rFonts w:hint="eastAsia" w:ascii="宋体" w:hAnsi="宋体" w:eastAsia="宋体" w:cs="宋体"/>
          <w:b w:val="0"/>
          <w:bCs w:val="0"/>
          <w:color w:val="auto"/>
          <w:kern w:val="2"/>
          <w:sz w:val="21"/>
          <w:szCs w:val="21"/>
          <w:highlight w:val="none"/>
        </w:rPr>
        <w:t>告警。</w:t>
      </w:r>
    </w:p>
    <w:p w14:paraId="2D6B5D1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（2）应具备自动或手动恢复措施，以便在发生错误时能够快速地恢复正常运行。软件系统故障时，自动恢复时间&lt;15分钟，手工恢复时间&lt;4小时。</w:t>
      </w:r>
    </w:p>
    <w:p w14:paraId="2BC528E5">
      <w:pPr>
        <w:pageBreakBefore w:val="0"/>
        <w:kinsoku/>
        <w:wordWrap/>
        <w:overflowPunct/>
        <w:topLinePunct w:val="0"/>
        <w:autoSpaceDE/>
        <w:autoSpaceDN/>
        <w:bidi w:val="0"/>
        <w:snapToGrid w:val="0"/>
        <w:spacing w:line="360" w:lineRule="auto"/>
        <w:ind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lang w:eastAsia="zh-CN"/>
        </w:rPr>
        <w:t>（</w:t>
      </w:r>
      <w:r>
        <w:rPr>
          <w:rStyle w:val="38"/>
          <w:rFonts w:hint="eastAsia" w:ascii="宋体" w:hAnsi="宋体" w:eastAsia="宋体" w:cs="宋体"/>
          <w:b w:val="0"/>
          <w:bCs w:val="0"/>
          <w:color w:val="auto"/>
          <w:kern w:val="2"/>
          <w:sz w:val="21"/>
          <w:szCs w:val="21"/>
          <w:highlight w:val="none"/>
          <w:lang w:val="en-US" w:eastAsia="zh-CN"/>
        </w:rPr>
        <w:t>3</w:t>
      </w:r>
      <w:r>
        <w:rPr>
          <w:rStyle w:val="38"/>
          <w:rFonts w:hint="eastAsia" w:ascii="宋体" w:hAnsi="宋体" w:eastAsia="宋体" w:cs="宋体"/>
          <w:b w:val="0"/>
          <w:bCs w:val="0"/>
          <w:color w:val="auto"/>
          <w:kern w:val="2"/>
          <w:sz w:val="21"/>
          <w:szCs w:val="21"/>
          <w:highlight w:val="none"/>
        </w:rPr>
        <w:t>）国产化可适配性，适配国产化操作系统。</w:t>
      </w:r>
    </w:p>
    <w:p w14:paraId="25F0B6A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w:t>
      </w:r>
      <w:r>
        <w:rPr>
          <w:rStyle w:val="38"/>
          <w:rFonts w:hint="eastAsia" w:ascii="宋体" w:hAnsi="宋体" w:eastAsia="宋体" w:cs="宋体"/>
          <w:b w:val="0"/>
          <w:bCs w:val="0"/>
          <w:color w:val="auto"/>
          <w:kern w:val="2"/>
          <w:sz w:val="21"/>
          <w:szCs w:val="21"/>
          <w:highlight w:val="none"/>
          <w:lang w:val="en-US" w:eastAsia="zh-CN"/>
        </w:rPr>
        <w:t>二</w:t>
      </w:r>
      <w:r>
        <w:rPr>
          <w:rStyle w:val="38"/>
          <w:rFonts w:hint="eastAsia" w:ascii="宋体" w:hAnsi="宋体" w:eastAsia="宋体" w:cs="宋体"/>
          <w:b w:val="0"/>
          <w:bCs w:val="0"/>
          <w:color w:val="auto"/>
          <w:kern w:val="2"/>
          <w:sz w:val="21"/>
          <w:szCs w:val="21"/>
          <w:highlight w:val="none"/>
        </w:rPr>
        <w:t>）可维护性要求</w:t>
      </w:r>
    </w:p>
    <w:p w14:paraId="0F4EC1E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可维护性是指在不影响系统其他部分的情况下修改现有系统功能中问题或缺陷的能力。</w:t>
      </w:r>
    </w:p>
    <w:p w14:paraId="04802A18">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（1）采用构件化设计思想，整体框架与业务逻辑分离。</w:t>
      </w:r>
    </w:p>
    <w:p w14:paraId="1D5C2626">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（2）当出现异常错误报告时，能提供详细的异常信息。</w:t>
      </w:r>
    </w:p>
    <w:p w14:paraId="59EC2A70">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（3）在运行过程中所发生的错误有明确的错误编号，并能在维护手册中查到处理方法与步骤。</w:t>
      </w:r>
    </w:p>
    <w:p w14:paraId="799B0DB8">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（4）当负荷加大时，仍需确保所需的服务质量，而不更改整个系统的架构。</w:t>
      </w:r>
    </w:p>
    <w:p w14:paraId="51FF4A89">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（5）支持各构件的单独升级。</w:t>
      </w:r>
    </w:p>
    <w:p w14:paraId="2CBBDD8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（6）任一模块更新、加载时，在不更新与上下模块的接口的前提下，不影响业务运转和服务。</w:t>
      </w:r>
    </w:p>
    <w:p w14:paraId="68DB0868">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w:t>
      </w:r>
      <w:r>
        <w:rPr>
          <w:rStyle w:val="38"/>
          <w:rFonts w:hint="eastAsia" w:ascii="宋体" w:hAnsi="宋体" w:eastAsia="宋体" w:cs="宋体"/>
          <w:b w:val="0"/>
          <w:bCs w:val="0"/>
          <w:color w:val="auto"/>
          <w:kern w:val="2"/>
          <w:sz w:val="21"/>
          <w:szCs w:val="21"/>
          <w:highlight w:val="none"/>
          <w:lang w:val="en-US" w:eastAsia="zh-CN"/>
        </w:rPr>
        <w:t>三</w:t>
      </w:r>
      <w:r>
        <w:rPr>
          <w:rStyle w:val="38"/>
          <w:rFonts w:hint="eastAsia" w:ascii="宋体" w:hAnsi="宋体" w:eastAsia="宋体" w:cs="宋体"/>
          <w:b w:val="0"/>
          <w:bCs w:val="0"/>
          <w:color w:val="auto"/>
          <w:kern w:val="2"/>
          <w:sz w:val="21"/>
          <w:szCs w:val="21"/>
          <w:highlight w:val="none"/>
        </w:rPr>
        <w:t>）易用性要求</w:t>
      </w:r>
    </w:p>
    <w:p w14:paraId="6340443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用户交互界面风格统一、操作友好，易学习、易操作。人机交互界面友好，检索查询灵活快捷，图表生成实用美观，输入输出操作方便，客户端支持常见的浏览器。符合用户操作习惯，功能简单易用，具有操作提示功能和必要的输入校验功能。支持短信提醒功能，业务人员有待办或监控事项时，能收到短信通知；业务人员可以对本人手机是否启用短信提醒功能和短信提醒的待办类型进行设置。操作提示和错误提示通俗易懂，用业务语言描述，不出现技术性文本。</w:t>
      </w:r>
    </w:p>
    <w:p w14:paraId="4EBF9CA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w:t>
      </w:r>
      <w:r>
        <w:rPr>
          <w:rStyle w:val="38"/>
          <w:rFonts w:hint="eastAsia" w:ascii="宋体" w:hAnsi="宋体" w:eastAsia="宋体" w:cs="宋体"/>
          <w:b w:val="0"/>
          <w:bCs w:val="0"/>
          <w:color w:val="auto"/>
          <w:kern w:val="2"/>
          <w:sz w:val="21"/>
          <w:szCs w:val="21"/>
          <w:highlight w:val="none"/>
          <w:lang w:val="en-US" w:eastAsia="zh-CN"/>
        </w:rPr>
        <w:t>四</w:t>
      </w:r>
      <w:r>
        <w:rPr>
          <w:rStyle w:val="38"/>
          <w:rFonts w:hint="eastAsia" w:ascii="宋体" w:hAnsi="宋体" w:eastAsia="宋体" w:cs="宋体"/>
          <w:b w:val="0"/>
          <w:bCs w:val="0"/>
          <w:color w:val="auto"/>
          <w:kern w:val="2"/>
          <w:sz w:val="21"/>
          <w:szCs w:val="21"/>
          <w:highlight w:val="none"/>
        </w:rPr>
        <w:t>）备份与灾备要求</w:t>
      </w:r>
    </w:p>
    <w:p w14:paraId="16BDE787">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保证所有信息能够安全存储，并有良好的数据备份、快速恢复及数据级的灾备设计方案。</w:t>
      </w:r>
    </w:p>
    <w:p w14:paraId="51FD0862">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3" w:name="_Toc25481"/>
      <w:r>
        <w:rPr>
          <w:rFonts w:hint="eastAsia" w:ascii="宋体" w:hAnsi="宋体" w:eastAsia="宋体" w:cs="宋体"/>
          <w:color w:val="auto"/>
          <w:sz w:val="21"/>
          <w:szCs w:val="21"/>
          <w:highlight w:val="none"/>
          <w:lang w:val="en-US" w:eastAsia="zh-CN"/>
        </w:rPr>
        <w:t>安装要求</w:t>
      </w:r>
      <w:bookmarkEnd w:id="473"/>
    </w:p>
    <w:p w14:paraId="3F818E77">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 xml:space="preserve">1.  </w:t>
      </w:r>
      <w:r>
        <w:rPr>
          <w:rStyle w:val="38"/>
          <w:rFonts w:hint="eastAsia" w:ascii="宋体" w:hAnsi="宋体" w:eastAsia="宋体" w:cs="宋体"/>
          <w:b w:val="0"/>
          <w:bCs w:val="0"/>
          <w:color w:val="auto"/>
          <w:kern w:val="2"/>
          <w:sz w:val="21"/>
          <w:szCs w:val="21"/>
          <w:highlight w:val="none"/>
          <w:lang w:val="en-US" w:eastAsia="zh-CN"/>
        </w:rPr>
        <w:t>系统</w:t>
      </w:r>
      <w:r>
        <w:rPr>
          <w:rStyle w:val="38"/>
          <w:rFonts w:hint="eastAsia" w:ascii="宋体" w:hAnsi="宋体" w:eastAsia="宋体" w:cs="宋体"/>
          <w:b w:val="0"/>
          <w:bCs w:val="0"/>
          <w:color w:val="auto"/>
          <w:kern w:val="2"/>
          <w:sz w:val="21"/>
          <w:szCs w:val="21"/>
          <w:highlight w:val="none"/>
        </w:rPr>
        <w:t>设备的安装、调试和验收</w:t>
      </w:r>
    </w:p>
    <w:p w14:paraId="45D5A2D0">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1.1 安装调试投标人必须在合同规定的工作日内完成设备供货、安装、调试工作，并确保系统的正常运行。</w:t>
      </w:r>
    </w:p>
    <w:p w14:paraId="451924C2">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 xml:space="preserve">1.2 </w:t>
      </w:r>
      <w:r>
        <w:rPr>
          <w:rStyle w:val="38"/>
          <w:rFonts w:hint="eastAsia" w:ascii="宋体" w:hAnsi="宋体" w:eastAsia="宋体" w:cs="宋体"/>
          <w:b w:val="0"/>
          <w:bCs w:val="0"/>
          <w:color w:val="auto"/>
          <w:kern w:val="2"/>
          <w:sz w:val="21"/>
          <w:szCs w:val="21"/>
          <w:highlight w:val="none"/>
          <w:lang w:val="en-US" w:eastAsia="zh-CN"/>
        </w:rPr>
        <w:t>系统</w:t>
      </w:r>
      <w:r>
        <w:rPr>
          <w:rStyle w:val="38"/>
          <w:rFonts w:hint="eastAsia" w:ascii="宋体" w:hAnsi="宋体" w:eastAsia="宋体" w:cs="宋体"/>
          <w:b w:val="0"/>
          <w:bCs w:val="0"/>
          <w:color w:val="auto"/>
          <w:kern w:val="2"/>
          <w:sz w:val="21"/>
          <w:szCs w:val="21"/>
          <w:highlight w:val="none"/>
        </w:rPr>
        <w:t>设备的到货、安装、调试、验收</w:t>
      </w:r>
    </w:p>
    <w:p w14:paraId="7FE689B6">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（1）所供设备在现场进行到货验收时</w:t>
      </w:r>
      <w:r>
        <w:rPr>
          <w:rStyle w:val="38"/>
          <w:rFonts w:hint="eastAsia" w:ascii="宋体" w:hAnsi="宋体" w:eastAsia="宋体" w:cs="宋体"/>
          <w:b w:val="0"/>
          <w:bCs w:val="0"/>
          <w:color w:val="auto"/>
          <w:kern w:val="2"/>
          <w:sz w:val="21"/>
          <w:szCs w:val="21"/>
          <w:highlight w:val="none"/>
          <w:lang w:eastAsia="zh-CN"/>
        </w:rPr>
        <w:t>，</w:t>
      </w:r>
      <w:r>
        <w:rPr>
          <w:rStyle w:val="38"/>
          <w:rFonts w:hint="eastAsia" w:ascii="宋体" w:hAnsi="宋体" w:eastAsia="宋体" w:cs="宋体"/>
          <w:b w:val="0"/>
          <w:bCs w:val="0"/>
          <w:color w:val="auto"/>
          <w:kern w:val="2"/>
          <w:sz w:val="21"/>
          <w:szCs w:val="21"/>
          <w:highlight w:val="none"/>
        </w:rPr>
        <w:t>由</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负责，</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派员参加</w:t>
      </w:r>
      <w:r>
        <w:rPr>
          <w:rStyle w:val="38"/>
          <w:rFonts w:hint="eastAsia" w:ascii="宋体" w:hAnsi="宋体" w:eastAsia="宋体" w:cs="宋体"/>
          <w:b w:val="0"/>
          <w:bCs w:val="0"/>
          <w:color w:val="auto"/>
          <w:kern w:val="2"/>
          <w:sz w:val="21"/>
          <w:szCs w:val="21"/>
          <w:highlight w:val="none"/>
          <w:lang w:eastAsia="zh-CN"/>
        </w:rPr>
        <w:t>，</w:t>
      </w:r>
      <w:r>
        <w:rPr>
          <w:rStyle w:val="38"/>
          <w:rFonts w:hint="eastAsia" w:ascii="宋体" w:hAnsi="宋体" w:eastAsia="宋体" w:cs="宋体"/>
          <w:b w:val="0"/>
          <w:bCs w:val="0"/>
          <w:color w:val="auto"/>
          <w:kern w:val="2"/>
          <w:sz w:val="21"/>
          <w:szCs w:val="21"/>
          <w:highlight w:val="none"/>
        </w:rPr>
        <w:t>如发现问题应及时处理直至使</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满意</w:t>
      </w:r>
      <w:r>
        <w:rPr>
          <w:rStyle w:val="38"/>
          <w:rFonts w:hint="eastAsia" w:ascii="宋体" w:hAnsi="宋体" w:eastAsia="宋体" w:cs="宋体"/>
          <w:b w:val="0"/>
          <w:bCs w:val="0"/>
          <w:color w:val="auto"/>
          <w:kern w:val="2"/>
          <w:sz w:val="21"/>
          <w:szCs w:val="21"/>
          <w:highlight w:val="none"/>
          <w:lang w:eastAsia="zh-CN"/>
        </w:rPr>
        <w:t>，</w:t>
      </w:r>
      <w:r>
        <w:rPr>
          <w:rStyle w:val="38"/>
          <w:rFonts w:hint="eastAsia" w:ascii="宋体" w:hAnsi="宋体" w:eastAsia="宋体" w:cs="宋体"/>
          <w:b w:val="0"/>
          <w:bCs w:val="0"/>
          <w:color w:val="auto"/>
          <w:kern w:val="2"/>
          <w:sz w:val="21"/>
          <w:szCs w:val="21"/>
          <w:highlight w:val="none"/>
        </w:rPr>
        <w:t>其中费用由</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lang w:val="en-US" w:eastAsia="zh-CN"/>
        </w:rPr>
        <w:t>承担</w:t>
      </w:r>
      <w:r>
        <w:rPr>
          <w:rStyle w:val="38"/>
          <w:rFonts w:hint="eastAsia" w:ascii="宋体" w:hAnsi="宋体" w:eastAsia="宋体" w:cs="宋体"/>
          <w:b w:val="0"/>
          <w:bCs w:val="0"/>
          <w:color w:val="auto"/>
          <w:kern w:val="2"/>
          <w:sz w:val="21"/>
          <w:szCs w:val="21"/>
          <w:highlight w:val="none"/>
        </w:rPr>
        <w:t>，设备的存放点由</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提供，</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负责保管。</w:t>
      </w:r>
    </w:p>
    <w:p w14:paraId="0378741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（2）安装范围包括设备本身及整个系统的安装，安装必须符合有关标准和规范，安装过程中</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和有关部门共同对设备及系统的安装质量进行监理。</w:t>
      </w:r>
    </w:p>
    <w:p w14:paraId="001DC56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（3）安装完毕后，</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可以要求</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或具有检测资质的第三方用专用仪器进行测试，</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应负责测试和调试所需的人员、工具、材料、仪器及一切费用，并填写测试报告交由</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存档。</w:t>
      </w:r>
    </w:p>
    <w:p w14:paraId="50C7D71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（4） 设备经过试运行后达到并符合合同要求，其中故障和隐患均已排除或解决，并使</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满意，所有的技术资料和图纸均已向</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 xml:space="preserve">移交并被接受，验收视为合格，由双方签署验收证书后，设备才视为接受。  </w:t>
      </w:r>
    </w:p>
    <w:p w14:paraId="646351A4">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 质量保证</w:t>
      </w:r>
    </w:p>
    <w:p w14:paraId="63523024">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2.1 需要制定服务计划的，</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要制订计划并将服务计划送</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确认；具体服务内容按照经确认的计划进行；</w:t>
      </w:r>
    </w:p>
    <w:p w14:paraId="4B36EED6">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2.2 技术服务工程师到达用户现场后，向</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提交本次技术服务内容清单，交用户确认；</w:t>
      </w:r>
    </w:p>
    <w:p w14:paraId="69C4D24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2.3 服务过程中形成的服务记录须提交</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签字确认；</w:t>
      </w:r>
    </w:p>
    <w:p w14:paraId="79CE413A">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2.4 服务完毕，技术服务工程师离开用户之前，必须将本次服务内容完成情况的书面材料交</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签字确认，在</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未签字之前不得擅离服务现场；</w:t>
      </w:r>
    </w:p>
    <w:p w14:paraId="1C6F85AD">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 xml:space="preserve">2.5 </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质检部门应不定期对技术服务工程师的服务水平、服务态度和服务效果及</w:t>
      </w:r>
      <w:r>
        <w:rPr>
          <w:rStyle w:val="38"/>
          <w:rFonts w:hint="eastAsia" w:ascii="宋体" w:hAnsi="宋体" w:eastAsia="宋体" w:cs="宋体"/>
          <w:b w:val="0"/>
          <w:bCs w:val="0"/>
          <w:color w:val="auto"/>
          <w:kern w:val="2"/>
          <w:sz w:val="21"/>
          <w:szCs w:val="21"/>
          <w:highlight w:val="none"/>
          <w:lang w:eastAsia="zh-CN"/>
        </w:rPr>
        <w:t>采购人</w:t>
      </w:r>
      <w:r>
        <w:rPr>
          <w:rStyle w:val="38"/>
          <w:rFonts w:hint="eastAsia" w:ascii="宋体" w:hAnsi="宋体" w:eastAsia="宋体" w:cs="宋体"/>
          <w:b w:val="0"/>
          <w:bCs w:val="0"/>
          <w:color w:val="auto"/>
          <w:kern w:val="2"/>
          <w:sz w:val="21"/>
          <w:szCs w:val="21"/>
          <w:highlight w:val="none"/>
        </w:rPr>
        <w:t>满意度进行调查，以便及时发现服务过程中存在的问题并及时解决；</w:t>
      </w:r>
    </w:p>
    <w:p w14:paraId="722FC4E4">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 xml:space="preserve">2.6 </w:t>
      </w:r>
      <w:r>
        <w:rPr>
          <w:rStyle w:val="38"/>
          <w:rFonts w:hint="eastAsia" w:ascii="宋体" w:hAnsi="宋体" w:eastAsia="宋体" w:cs="宋体"/>
          <w:b w:val="0"/>
          <w:bCs w:val="0"/>
          <w:color w:val="auto"/>
          <w:kern w:val="2"/>
          <w:sz w:val="21"/>
          <w:szCs w:val="21"/>
          <w:highlight w:val="none"/>
          <w:lang w:eastAsia="zh-CN"/>
        </w:rPr>
        <w:t>中标供应商提供技术服务工程师满意度评价渠道及</w:t>
      </w:r>
      <w:r>
        <w:rPr>
          <w:rStyle w:val="38"/>
          <w:rFonts w:hint="eastAsia" w:ascii="宋体" w:hAnsi="宋体" w:eastAsia="宋体" w:cs="宋体"/>
          <w:b w:val="0"/>
          <w:bCs w:val="0"/>
          <w:color w:val="auto"/>
          <w:kern w:val="2"/>
          <w:sz w:val="21"/>
          <w:szCs w:val="21"/>
          <w:highlight w:val="none"/>
          <w:lang w:val="en-US" w:eastAsia="zh-CN"/>
        </w:rPr>
        <w:t>7*24小时</w:t>
      </w:r>
      <w:r>
        <w:rPr>
          <w:rStyle w:val="38"/>
          <w:rFonts w:hint="eastAsia" w:ascii="宋体" w:hAnsi="宋体" w:eastAsia="宋体" w:cs="宋体"/>
          <w:b w:val="0"/>
          <w:bCs w:val="0"/>
          <w:color w:val="auto"/>
          <w:kern w:val="2"/>
          <w:sz w:val="21"/>
          <w:szCs w:val="21"/>
          <w:highlight w:val="none"/>
        </w:rPr>
        <w:t>电话</w:t>
      </w:r>
      <w:r>
        <w:rPr>
          <w:rStyle w:val="38"/>
          <w:rFonts w:hint="eastAsia" w:ascii="宋体" w:hAnsi="宋体" w:eastAsia="宋体" w:cs="宋体"/>
          <w:b w:val="0"/>
          <w:bCs w:val="0"/>
          <w:color w:val="auto"/>
          <w:kern w:val="2"/>
          <w:sz w:val="21"/>
          <w:szCs w:val="21"/>
          <w:highlight w:val="none"/>
          <w:lang w:eastAsia="zh-CN"/>
        </w:rPr>
        <w:t>支持服务</w:t>
      </w:r>
      <w:r>
        <w:rPr>
          <w:rStyle w:val="38"/>
          <w:rFonts w:hint="eastAsia" w:ascii="宋体" w:hAnsi="宋体" w:eastAsia="宋体" w:cs="宋体"/>
          <w:b w:val="0"/>
          <w:bCs w:val="0"/>
          <w:color w:val="auto"/>
          <w:kern w:val="2"/>
          <w:sz w:val="21"/>
          <w:szCs w:val="21"/>
          <w:highlight w:val="none"/>
        </w:rPr>
        <w:t>，</w:t>
      </w:r>
      <w:r>
        <w:rPr>
          <w:rStyle w:val="38"/>
          <w:rFonts w:hint="eastAsia" w:ascii="宋体" w:hAnsi="宋体" w:eastAsia="宋体" w:cs="宋体"/>
          <w:b w:val="0"/>
          <w:bCs w:val="0"/>
          <w:color w:val="auto"/>
          <w:kern w:val="2"/>
          <w:sz w:val="21"/>
          <w:szCs w:val="21"/>
          <w:highlight w:val="none"/>
          <w:lang w:eastAsia="zh-CN"/>
        </w:rPr>
        <w:t>采购人可</w:t>
      </w:r>
      <w:r>
        <w:rPr>
          <w:rStyle w:val="38"/>
          <w:rFonts w:hint="eastAsia" w:ascii="宋体" w:hAnsi="宋体" w:eastAsia="宋体" w:cs="宋体"/>
          <w:b w:val="0"/>
          <w:bCs w:val="0"/>
          <w:color w:val="auto"/>
          <w:kern w:val="2"/>
          <w:sz w:val="21"/>
          <w:szCs w:val="21"/>
          <w:highlight w:val="none"/>
        </w:rPr>
        <w:t>随时就技术服务工程师的服务情况向</w:t>
      </w:r>
      <w:r>
        <w:rPr>
          <w:rStyle w:val="38"/>
          <w:rFonts w:hint="eastAsia" w:ascii="宋体" w:hAnsi="宋体" w:eastAsia="宋体" w:cs="宋体"/>
          <w:b w:val="0"/>
          <w:bCs w:val="0"/>
          <w:color w:val="auto"/>
          <w:kern w:val="2"/>
          <w:sz w:val="21"/>
          <w:szCs w:val="21"/>
          <w:highlight w:val="none"/>
          <w:lang w:eastAsia="zh-CN"/>
        </w:rPr>
        <w:t>中标供应商</w:t>
      </w:r>
      <w:r>
        <w:rPr>
          <w:rStyle w:val="38"/>
          <w:rFonts w:hint="eastAsia" w:ascii="宋体" w:hAnsi="宋体" w:eastAsia="宋体" w:cs="宋体"/>
          <w:b w:val="0"/>
          <w:bCs w:val="0"/>
          <w:color w:val="auto"/>
          <w:kern w:val="2"/>
          <w:sz w:val="21"/>
          <w:szCs w:val="21"/>
          <w:highlight w:val="none"/>
        </w:rPr>
        <w:t>进行投诉。</w:t>
      </w:r>
    </w:p>
    <w:p w14:paraId="003472E2">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4" w:name="_Toc12301"/>
      <w:r>
        <w:rPr>
          <w:rFonts w:hint="eastAsia" w:ascii="宋体" w:hAnsi="宋体" w:eastAsia="宋体" w:cs="宋体"/>
          <w:color w:val="auto"/>
          <w:sz w:val="21"/>
          <w:szCs w:val="21"/>
          <w:highlight w:val="none"/>
          <w:lang w:val="en-US" w:eastAsia="zh-CN"/>
        </w:rPr>
        <w:t>培训要求</w:t>
      </w:r>
      <w:bookmarkEnd w:id="474"/>
    </w:p>
    <w:p w14:paraId="1E8009D7">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rPr>
      </w:pPr>
      <w:r>
        <w:rPr>
          <w:rStyle w:val="38"/>
          <w:rFonts w:hint="eastAsia" w:ascii="宋体" w:hAnsi="宋体" w:eastAsia="宋体" w:cs="宋体"/>
          <w:b w:val="0"/>
          <w:bCs w:val="0"/>
          <w:color w:val="auto"/>
          <w:kern w:val="2"/>
          <w:sz w:val="21"/>
          <w:szCs w:val="21"/>
          <w:highlight w:val="none"/>
        </w:rPr>
        <w:t>提升信息化教学能力：使教师和管理人员熟练掌握智慧教学系统的各项功能，提高教学管理的信息化水平。</w:t>
      </w:r>
    </w:p>
    <w:p w14:paraId="6C62475B">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授课老师。供应商须提供系统应用、维护等的培训，选派熟悉相关业务、具有相应专业资格和实际工作经验的工程师担任授课老师。要求授课老师不少于2名。</w:t>
      </w:r>
    </w:p>
    <w:p w14:paraId="396AA88D">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培训方式。授课方式包括集中培训、上门指导、视频会议等方式。</w:t>
      </w:r>
    </w:p>
    <w:p w14:paraId="4EBE0924">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培训内容。供应商需针对用户的角色提供培训课程，安排不同的培训课程。</w:t>
      </w:r>
    </w:p>
    <w:p w14:paraId="013A9455">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初验前培训场次要求不少于3次。</w:t>
      </w:r>
    </w:p>
    <w:p w14:paraId="16EF7618">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培训规模根据甲方要求安排。</w:t>
      </w:r>
    </w:p>
    <w:p w14:paraId="62602402">
      <w:pPr>
        <w:pageBreakBefore w:val="0"/>
        <w:widowControl w:val="0"/>
        <w:numPr>
          <w:ilvl w:val="0"/>
          <w:numId w:val="19"/>
        </w:numPr>
        <w:kinsoku/>
        <w:wordWrap/>
        <w:overflowPunct/>
        <w:topLinePunct w:val="0"/>
        <w:autoSpaceDE/>
        <w:autoSpaceDN/>
        <w:bidi w:val="0"/>
        <w:snapToGrid w:val="0"/>
        <w:spacing w:line="360" w:lineRule="auto"/>
        <w:ind w:left="0" w:leftChars="0" w:firstLine="42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培训费用计入投标总价中。</w:t>
      </w:r>
    </w:p>
    <w:p w14:paraId="36030235">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5" w:name="_Toc32581"/>
      <w:r>
        <w:rPr>
          <w:rFonts w:hint="eastAsia" w:ascii="宋体" w:hAnsi="宋体" w:eastAsia="宋体" w:cs="宋体"/>
          <w:color w:val="auto"/>
          <w:sz w:val="21"/>
          <w:szCs w:val="21"/>
          <w:highlight w:val="none"/>
          <w:lang w:val="en-US" w:eastAsia="zh-CN"/>
        </w:rPr>
        <w:t>履约保证金、合同价款支付</w:t>
      </w:r>
      <w:bookmarkEnd w:id="475"/>
    </w:p>
    <w:p w14:paraId="0E35024C">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（一）履约保证金</w:t>
      </w:r>
    </w:p>
    <w:p w14:paraId="29C89BCD">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履约保证金收取</w:t>
      </w:r>
    </w:p>
    <w:p w14:paraId="729C1BDF">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签订合同后</w:t>
      </w:r>
      <w:r>
        <w:rPr>
          <w:rFonts w:hint="eastAsia" w:ascii="宋体" w:hAnsi="宋体" w:eastAsia="宋体" w:cs="宋体"/>
          <w:b w:val="0"/>
          <w:bCs w:val="0"/>
          <w:color w:val="auto"/>
          <w:kern w:val="2"/>
          <w:sz w:val="21"/>
          <w:szCs w:val="21"/>
          <w:highlight w:val="none"/>
          <w:lang w:eastAsia="zh-CN"/>
        </w:rPr>
        <w:t>中标供应商</w:t>
      </w:r>
      <w:r>
        <w:rPr>
          <w:rFonts w:hint="eastAsia" w:ascii="宋体" w:hAnsi="宋体" w:eastAsia="宋体" w:cs="宋体"/>
          <w:b w:val="0"/>
          <w:bCs w:val="0"/>
          <w:color w:val="auto"/>
          <w:kern w:val="2"/>
          <w:sz w:val="21"/>
          <w:szCs w:val="21"/>
          <w:highlight w:val="none"/>
        </w:rPr>
        <w:t>向采购人</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浙江省</w:t>
      </w:r>
      <w:r>
        <w:rPr>
          <w:rFonts w:hint="eastAsia" w:ascii="宋体" w:hAnsi="宋体" w:eastAsia="宋体" w:cs="宋体"/>
          <w:b w:val="0"/>
          <w:bCs w:val="0"/>
          <w:color w:val="auto"/>
          <w:kern w:val="2"/>
          <w:sz w:val="21"/>
          <w:szCs w:val="21"/>
          <w:highlight w:val="none"/>
          <w:lang w:eastAsia="zh-Hans"/>
        </w:rPr>
        <w:t>社会主义学院</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缴纳合同总金额的1%作为履约保证金。缴纳方式：</w:t>
      </w:r>
      <w:r>
        <w:rPr>
          <w:rFonts w:hint="eastAsia" w:ascii="宋体" w:hAnsi="宋体" w:eastAsia="宋体" w:cs="宋体"/>
          <w:b w:val="0"/>
          <w:bCs w:val="0"/>
          <w:color w:val="auto"/>
          <w:kern w:val="2"/>
          <w:sz w:val="21"/>
          <w:szCs w:val="21"/>
          <w:highlight w:val="none"/>
          <w:lang w:eastAsia="zh-CN"/>
        </w:rPr>
        <w:t>中标供应商</w:t>
      </w:r>
      <w:r>
        <w:rPr>
          <w:rFonts w:hint="eastAsia" w:ascii="宋体" w:hAnsi="宋体" w:eastAsia="宋体" w:cs="宋体"/>
          <w:b w:val="0"/>
          <w:bCs w:val="0"/>
          <w:color w:val="auto"/>
          <w:kern w:val="2"/>
          <w:sz w:val="21"/>
          <w:szCs w:val="21"/>
          <w:highlight w:val="none"/>
        </w:rPr>
        <w:t>应当以支票、汇票、本票或者金融机构、担保机构出具的保函等非现金形式提交。</w:t>
      </w:r>
    </w:p>
    <w:p w14:paraId="3085D188">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履约保证金退还</w:t>
      </w:r>
    </w:p>
    <w:p w14:paraId="6EC3A065">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采购人在验收结束之后30个工作日内无息退还履约保证金。</w:t>
      </w:r>
    </w:p>
    <w:p w14:paraId="7F246544">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办理履约保证金退还手续时，</w:t>
      </w:r>
      <w:r>
        <w:rPr>
          <w:rFonts w:hint="eastAsia" w:ascii="宋体" w:hAnsi="宋体" w:eastAsia="宋体" w:cs="宋体"/>
          <w:b w:val="0"/>
          <w:bCs w:val="0"/>
          <w:color w:val="auto"/>
          <w:kern w:val="2"/>
          <w:sz w:val="21"/>
          <w:szCs w:val="21"/>
          <w:highlight w:val="none"/>
          <w:lang w:eastAsia="zh-CN"/>
        </w:rPr>
        <w:t>中标供应商</w:t>
      </w:r>
      <w:r>
        <w:rPr>
          <w:rFonts w:hint="eastAsia" w:ascii="宋体" w:hAnsi="宋体" w:eastAsia="宋体" w:cs="宋体"/>
          <w:b w:val="0"/>
          <w:bCs w:val="0"/>
          <w:color w:val="auto"/>
          <w:kern w:val="2"/>
          <w:sz w:val="21"/>
          <w:szCs w:val="21"/>
          <w:highlight w:val="none"/>
        </w:rPr>
        <w:t>凭以下材料办理退保手续。</w:t>
      </w:r>
    </w:p>
    <w:p w14:paraId="324FA03E">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（1）由采购人开具的交入履约保证金往来款收据原件</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如无法提供原件的，提供复印件及采购单位开具的收据</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w:t>
      </w:r>
    </w:p>
    <w:p w14:paraId="563371CA">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（2）合同原件或复印件一份；</w:t>
      </w:r>
    </w:p>
    <w:p w14:paraId="0E8FFE3A">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（3）使用单位的验收证明</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需两人以上签名并盖章</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w:t>
      </w:r>
    </w:p>
    <w:p w14:paraId="09D99794">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（4）保证金交入时的银行回单复印件；</w:t>
      </w:r>
    </w:p>
    <w:p w14:paraId="52AB86EB">
      <w:pPr>
        <w:pageBreakBefore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（5）如原账户发生变更，提供说明和账户变更资料。</w:t>
      </w:r>
    </w:p>
    <w:p w14:paraId="3C9A7C9B">
      <w:pPr>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kern w:val="2"/>
          <w:sz w:val="21"/>
          <w:szCs w:val="21"/>
          <w:highlight w:val="none"/>
          <w:lang w:val="en-US" w:eastAsia="zh-CN"/>
        </w:rPr>
        <w:t>二</w:t>
      </w:r>
      <w:r>
        <w:rPr>
          <w:rFonts w:hint="eastAsia" w:ascii="宋体" w:hAnsi="宋体" w:eastAsia="宋体" w:cs="宋体"/>
          <w:b w:val="0"/>
          <w:bCs w:val="0"/>
          <w:color w:val="auto"/>
          <w:kern w:val="2"/>
          <w:sz w:val="21"/>
          <w:szCs w:val="21"/>
          <w:highlight w:val="none"/>
        </w:rPr>
        <w:t>）合同价款支付</w:t>
      </w:r>
    </w:p>
    <w:p w14:paraId="0CB0D729">
      <w:pPr>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b w:val="0"/>
          <w:bCs w:val="0"/>
          <w:color w:val="auto"/>
          <w:kern w:val="2"/>
          <w:sz w:val="21"/>
          <w:szCs w:val="21"/>
          <w:highlight w:val="none"/>
          <w:u w:val="single"/>
        </w:rPr>
      </w:pPr>
      <w:r>
        <w:rPr>
          <w:rStyle w:val="38"/>
          <w:rFonts w:hint="eastAsia" w:ascii="宋体" w:hAnsi="宋体" w:eastAsia="宋体" w:cs="宋体"/>
          <w:b w:val="0"/>
          <w:bCs w:val="0"/>
          <w:color w:val="auto"/>
          <w:kern w:val="2"/>
          <w:sz w:val="21"/>
          <w:szCs w:val="21"/>
          <w:highlight w:val="none"/>
          <w:shd w:val="clear" w:color="auto" w:fill="auto"/>
          <w:lang w:val="en-US" w:eastAsia="zh-CN"/>
        </w:rPr>
        <w:t>合同签订后7个工作日内支付合同款30%，设备到货、全部软件系统安装完成支付合同款40%，</w:t>
      </w:r>
      <w:r>
        <w:rPr>
          <w:rStyle w:val="38"/>
          <w:rFonts w:hint="eastAsia" w:ascii="宋体" w:hAnsi="宋体" w:eastAsia="宋体" w:cs="宋体"/>
          <w:b w:val="0"/>
          <w:bCs w:val="0"/>
          <w:color w:val="auto"/>
          <w:kern w:val="2"/>
          <w:sz w:val="21"/>
          <w:szCs w:val="21"/>
          <w:highlight w:val="none"/>
          <w:lang w:val="en-US" w:eastAsia="zh-CN"/>
        </w:rPr>
        <w:t>完成所有数据对接，初验通过后付20%，终验通过后付10%。</w:t>
      </w:r>
    </w:p>
    <w:p w14:paraId="42A3FBDA">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6" w:name="_Toc23558"/>
      <w:r>
        <w:rPr>
          <w:rFonts w:hint="eastAsia" w:ascii="宋体" w:hAnsi="宋体" w:eastAsia="宋体" w:cs="宋体"/>
          <w:color w:val="auto"/>
          <w:sz w:val="21"/>
          <w:szCs w:val="21"/>
          <w:highlight w:val="none"/>
          <w:lang w:val="en-US" w:eastAsia="zh-CN"/>
        </w:rPr>
        <w:t>售后服务</w:t>
      </w:r>
      <w:bookmarkEnd w:id="476"/>
    </w:p>
    <w:p w14:paraId="63E48937">
      <w:pPr>
        <w:pageBreakBefore w:val="0"/>
        <w:widowControl w:val="0"/>
        <w:numPr>
          <w:ilvl w:val="0"/>
          <w:numId w:val="20"/>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质保期内服务要求</w:t>
      </w:r>
    </w:p>
    <w:p w14:paraId="411D945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1）质保期：自项目验收合格之日起，硬件提供不少于3年质保，软件提供不少于1年质保。</w:t>
      </w:r>
    </w:p>
    <w:p w14:paraId="399ED07D">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2）供应商提供定期维护：供应商在投标时须提出整体的定期维护计划，并协助完成维护计划。</w:t>
      </w:r>
    </w:p>
    <w:p w14:paraId="4BC82F8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3）供应商对采购人要求的不定期维护提出响应措施，并进行实施。</w:t>
      </w:r>
    </w:p>
    <w:p w14:paraId="36CB66B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4）供应商对采购人提出的修改设计提出响应措施，并进行实施。</w:t>
      </w:r>
    </w:p>
    <w:p w14:paraId="1F45B711">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5）供应商实施系统维护或修改设计后，在1周内提交有关技术文档。</w:t>
      </w:r>
    </w:p>
    <w:p w14:paraId="20E9B15E">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6）供应商提供7×24小时的技术咨询服务及远程协助服务。</w:t>
      </w:r>
    </w:p>
    <w:p w14:paraId="75FB6265">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7）供应商协助制定备份计划，以及定期备份及检验数据备份的有效性。</w:t>
      </w:r>
    </w:p>
    <w:p w14:paraId="488D847F">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8）供应商提供7×24小时的故障服务受理。</w:t>
      </w:r>
    </w:p>
    <w:p w14:paraId="598613D8">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9）供应商对重大故障提供7×24小时的现场支援，在100分钟内响应，一般故障提供5×8小时的现场支援。每次故障后需提供故障报告。</w:t>
      </w:r>
    </w:p>
    <w:p w14:paraId="0F78A7F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10）故障服务的响应时间在工作时间内小于1小时，其他时间内小于2小时；在必要时能在上述响应时间内到达现场协助排除问题。如因供应商交付的系统发生全局故障导致服务不可用超过4小时，采购人有权根据现场情况确定是否没收供应商的全部或部分履约保证金。</w:t>
      </w:r>
    </w:p>
    <w:p w14:paraId="2DE1161A">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11）质保期内供应商应及时提供最新版本的升级服务，提供相应的安装、调试、培训及运行维护，并向采购人提供相关技术开发文档和接口，费用包含在投标总价中。在质保期内属产品质量问题所发生的一切费用由供应商负担。</w:t>
      </w:r>
    </w:p>
    <w:p w14:paraId="6DF9B7A4">
      <w:pPr>
        <w:pageBreakBefore w:val="0"/>
        <w:widowControl w:val="0"/>
        <w:numPr>
          <w:ilvl w:val="0"/>
          <w:numId w:val="20"/>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bookmarkStart w:id="477" w:name="_Toc127952994"/>
      <w:bookmarkStart w:id="478" w:name="_Toc126833052"/>
      <w:r>
        <w:rPr>
          <w:rStyle w:val="38"/>
          <w:rFonts w:hint="eastAsia" w:ascii="宋体" w:hAnsi="宋体" w:eastAsia="宋体" w:cs="宋体"/>
          <w:b w:val="0"/>
          <w:bCs w:val="0"/>
          <w:color w:val="auto"/>
          <w:kern w:val="2"/>
          <w:sz w:val="21"/>
          <w:szCs w:val="21"/>
          <w:highlight w:val="none"/>
          <w:lang w:val="en-US" w:eastAsia="zh-CN"/>
        </w:rPr>
        <w:t>质保期外服务要求</w:t>
      </w:r>
      <w:bookmarkEnd w:id="477"/>
      <w:bookmarkEnd w:id="478"/>
    </w:p>
    <w:p w14:paraId="4FA015F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1）质保期后，中标供应商应同样提供电话咨询服务并应承诺提供上门维护服务，费用包含在投标总价中。</w:t>
      </w:r>
    </w:p>
    <w:p w14:paraId="1AB9DBE3">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2）质保期后，采购人需要继续由中标供应商提供售后服务的，中标供应商应以优惠价格提供售后服务。质保期限届满时，如采购人认可中标供应商售后服务质量，采购人有权选择中标供应商继续提供售后服务，供应商应按采购人要求履行相关合同签署手续，采购人按每年不超过项目合同金额10%支付供应商售后服务费。</w:t>
      </w:r>
    </w:p>
    <w:p w14:paraId="37266F96">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79" w:name="_Toc27767"/>
      <w:r>
        <w:rPr>
          <w:rFonts w:hint="eastAsia" w:ascii="宋体" w:hAnsi="宋体" w:eastAsia="宋体" w:cs="宋体"/>
          <w:color w:val="auto"/>
          <w:sz w:val="21"/>
          <w:szCs w:val="21"/>
          <w:highlight w:val="none"/>
          <w:lang w:val="en-US" w:eastAsia="zh-CN"/>
        </w:rPr>
        <w:t>验收标准</w:t>
      </w:r>
      <w:bookmarkEnd w:id="479"/>
    </w:p>
    <w:p w14:paraId="14DEC8DA">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验收依据</w:t>
      </w:r>
    </w:p>
    <w:p w14:paraId="1BD55AA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项目验收主要依据本项目的采购文件和磋商响应文件、磋商过程中的内容、签订的采购合同、建设规范、建设标准，以及建设过程中经双方同意增加的约定文件，包括经过签署的补充合同、备忘录等。</w:t>
      </w:r>
    </w:p>
    <w:p w14:paraId="20C0E3A2">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验收流程</w:t>
      </w:r>
    </w:p>
    <w:p w14:paraId="057303D7">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2.1验收组织</w:t>
      </w:r>
    </w:p>
    <w:p w14:paraId="16007AFF">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项目验收分为阶段验收和最终验收，由采购人组织或委托专业的第三方代理机构进行。</w:t>
      </w:r>
    </w:p>
    <w:p w14:paraId="7A4A98EB">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2.2阶段验收流程</w:t>
      </w:r>
    </w:p>
    <w:p w14:paraId="37D6F49D">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按照项目进度要求，中标供应商完成阶段成果后，由采购人或委托专业的第三方代理机构组织成立验收组，对项目进行阶段验收，形成阶段验收报告。</w:t>
      </w:r>
    </w:p>
    <w:p w14:paraId="32A8A8AE">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2.3终验流程</w:t>
      </w:r>
    </w:p>
    <w:p w14:paraId="490E56C9">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完成本项目所有工作后，由采购人或委托专业的第三方代理机构组织成立验收组，对项目进行最终验收，形成终验报告。</w:t>
      </w:r>
    </w:p>
    <w:p w14:paraId="660F9F7B">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验收相关资料</w:t>
      </w:r>
    </w:p>
    <w:p w14:paraId="37EDD48C">
      <w:pPr>
        <w:pageBreakBefore w:val="0"/>
        <w:widowControl w:val="0"/>
        <w:kinsoku/>
        <w:wordWrap/>
        <w:overflowPunct/>
        <w:topLinePunct w:val="0"/>
        <w:autoSpaceDE/>
        <w:autoSpaceDN/>
        <w:bidi w:val="0"/>
        <w:snapToGrid w:val="0"/>
        <w:spacing w:line="360" w:lineRule="auto"/>
        <w:ind w:left="0" w:leftChars="0" w:firstLine="420" w:firstLineChars="20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中标供应商应当书面向采购人提出验收申请，经采购人审核同意后组织验收，中标供应商针对验收中提出的问题进行补充完善，验收通过出具正式验收报告。</w:t>
      </w:r>
    </w:p>
    <w:p w14:paraId="10318D4F">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中标供应商按照上述进度安排，适时向采购人发出验收申请，申请包括书面验收申请、相关说明、报告等，采购人收到中标供应商申请后组织进行验收。该验收的结果为本合同付款依据。</w:t>
      </w:r>
    </w:p>
    <w:p w14:paraId="56027E15">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采购人在中标供应商提供相关服务的过程中，有权不定期对服务内容和质量进行考核。中标供应商提供相关服务过程中有违反合同约定、不达约定标准情况的，采购人有权要求中标供应商限期整改，中标供应商未按采购人要求整改的，采购人有权拒绝验收，中标供应商应承担本合同第十四条相应的违约责任。</w:t>
      </w:r>
    </w:p>
    <w:p w14:paraId="24020CF3">
      <w:pPr>
        <w:pageBreakBefore w:val="0"/>
        <w:widowControl w:val="0"/>
        <w:numPr>
          <w:ilvl w:val="0"/>
          <w:numId w:val="21"/>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中标供应商服务成果未通过采购人验收，采购人有权要求中标供应商进行整改，相关费用（包括但不限于重新组织验收等费用）由中标供应商承担；如中标供应商未在采购人要求期限内整改完成或整改后仍不合格或已经无法整改的，采购人有权要求中标供应商承担本合同约定的违约责任。</w:t>
      </w:r>
    </w:p>
    <w:p w14:paraId="3BCCFF4E">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80" w:name="_Toc12925"/>
      <w:bookmarkStart w:id="481" w:name="_Toc12434"/>
      <w:bookmarkStart w:id="482" w:name="_Toc30004"/>
      <w:r>
        <w:rPr>
          <w:rFonts w:hint="eastAsia" w:ascii="宋体" w:hAnsi="宋体" w:eastAsia="宋体" w:cs="宋体"/>
          <w:color w:val="auto"/>
          <w:sz w:val="21"/>
          <w:szCs w:val="21"/>
          <w:highlight w:val="none"/>
          <w:lang w:val="en-US" w:eastAsia="zh-CN"/>
        </w:rPr>
        <w:t>安全保密及知识产权建设要求</w:t>
      </w:r>
      <w:bookmarkEnd w:id="480"/>
      <w:bookmarkEnd w:id="481"/>
      <w:bookmarkEnd w:id="482"/>
    </w:p>
    <w:p w14:paraId="0E796ED7">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针对浙江省社会主义学院“智慧教务”（2.0）建设项目，中标供应商需配合采购人指定的测评机构完成系统等保测评以及密码测评，密码应用方案需中标供应商自行处理。</w:t>
      </w:r>
    </w:p>
    <w:p w14:paraId="2D2A7427">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系统的安全性是项目稳定运行实施的基础，既要保证信息共享利用，又满足安全管理的需要。本项目建设需符合国家《信息安全等级保护管理办法》及相关文件要求。全方位的安全体系建设，需要从网络安全、管理安全、应用安全和数据安全等方面综合考虑。</w:t>
      </w:r>
    </w:p>
    <w:p w14:paraId="7A1E2EE6">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网络安全：主要依托现有网络安全系统进行防护，承建单位需完成甲方指定的网络安全资源的配置、部署和系统调试、相关云端资源向省主管部门申请，系统设计满足等保三级标准。</w:t>
      </w:r>
    </w:p>
    <w:p w14:paraId="1C42D15A">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管理安全：健全的安全管理体系是各种安全防范措施得以有效实施、网络系统安全实现和维系的保证，安全技术措施和安全管理措施可以相互补充，共同构建全面、有效的信息安全保障体系。管理安全主要考虑如下方面的内容：安全管理机构、安全管理制度、人员安全管理、系统建设管理、系统运维管理。</w:t>
      </w:r>
    </w:p>
    <w:p w14:paraId="0DE02347">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应用安全：在应用系统的生命周期中，系统设计和开发阶段进行安全防护是对应用系统安全控制的一个重要手段。对于新上线的应用系统应同步考虑身份鉴别、访问控制、安全审计、剩余信息保护、通信完整性、通信保密性、抗抵赖、软件容错、资源控制等方面的设计。</w:t>
      </w:r>
    </w:p>
    <w:p w14:paraId="410AF53F">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数据安全：数据安全包括数据库安全需求、数据传输安全需求、数据存储安全需求等构成。数据安全主要考虑如下方面的内容：数据完整性数据保密性数据备份和恢复。</w:t>
      </w:r>
    </w:p>
    <w:p w14:paraId="61573CD2">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知识产权：本地化适配部分需向采购方提供全部源代码和技术设计文档，采购方此拥有完整的所有权及不限次数的使用权和二次开发权，软件的一切知识产权及完整所有权归采购方所有，供应商需配合建设单位完成该项目的资料移交及软著申请。</w:t>
      </w:r>
    </w:p>
    <w:p w14:paraId="171E14B8">
      <w:pPr>
        <w:pageBreakBefore w:val="0"/>
        <w:widowControl w:val="0"/>
        <w:numPr>
          <w:ilvl w:val="0"/>
          <w:numId w:val="22"/>
        </w:numPr>
        <w:kinsoku/>
        <w:wordWrap/>
        <w:overflowPunct/>
        <w:topLinePunct w:val="0"/>
        <w:autoSpaceDE/>
        <w:autoSpaceDN/>
        <w:bidi w:val="0"/>
        <w:snapToGrid w:val="0"/>
        <w:spacing w:line="360" w:lineRule="auto"/>
        <w:ind w:left="0" w:leftChars="0" w:firstLine="400" w:firstLineChars="0"/>
        <w:textAlignment w:val="auto"/>
        <w:rPr>
          <w:rStyle w:val="38"/>
          <w:rFonts w:hint="eastAsia" w:ascii="宋体" w:hAnsi="宋体" w:eastAsia="宋体" w:cs="宋体"/>
          <w:b w:val="0"/>
          <w:bCs w:val="0"/>
          <w:color w:val="auto"/>
          <w:kern w:val="2"/>
          <w:sz w:val="21"/>
          <w:szCs w:val="21"/>
          <w:highlight w:val="none"/>
          <w:lang w:val="en-US" w:eastAsia="zh-CN"/>
        </w:rPr>
      </w:pPr>
      <w:r>
        <w:rPr>
          <w:rStyle w:val="38"/>
          <w:rFonts w:hint="eastAsia" w:ascii="宋体" w:hAnsi="宋体" w:eastAsia="宋体" w:cs="宋体"/>
          <w:b w:val="0"/>
          <w:bCs w:val="0"/>
          <w:color w:val="auto"/>
          <w:kern w:val="2"/>
          <w:sz w:val="21"/>
          <w:szCs w:val="21"/>
          <w:highlight w:val="none"/>
          <w:lang w:val="en-US" w:eastAsia="zh-CN"/>
        </w:rPr>
        <w:t>供应商应保证所提供的系统、应用或其任何一部分均不会侵犯任何第三方的知识产权，如发生此类纠纷，由中标方承担一切责任。供应商项目内提供的系统、项目成果应保证质保期内免费修改、扩容、升级。</w:t>
      </w:r>
    </w:p>
    <w:p w14:paraId="445B35C3">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83" w:name="_Toc25154"/>
      <w:r>
        <w:rPr>
          <w:rFonts w:hint="eastAsia" w:ascii="宋体" w:hAnsi="宋体" w:eastAsia="宋体" w:cs="宋体"/>
          <w:color w:val="auto"/>
          <w:sz w:val="21"/>
          <w:szCs w:val="21"/>
          <w:highlight w:val="none"/>
          <w:lang w:val="en-US" w:eastAsia="zh-CN"/>
        </w:rPr>
        <w:t>其他要求</w:t>
      </w:r>
      <w:bookmarkEnd w:id="483"/>
    </w:p>
    <w:p w14:paraId="47796D5C">
      <w:pPr>
        <w:pageBreakBefore w:val="0"/>
        <w:numPr>
          <w:ilvl w:val="0"/>
          <w:numId w:val="23"/>
        </w:numPr>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投标人具有ISO27001信息安全管理体系认证、ISO20000信息技术服务管理体系认证、ISO9001质量管理体系认证且认证内容包括信息技术等本项目履约相关内容的。</w:t>
      </w:r>
    </w:p>
    <w:p w14:paraId="6B60E404">
      <w:pPr>
        <w:pageBreakBefore w:val="0"/>
        <w:widowControl w:val="0"/>
        <w:numPr>
          <w:ilvl w:val="0"/>
          <w:numId w:val="2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项目实施团队要求：投标人须拟派充足、有相关经验的团队成员。其中，项目负责人具有信息系统项目管理师、网络规划与管理师证书</w:t>
      </w:r>
      <w:r>
        <w:rPr>
          <w:rFonts w:hint="eastAsia" w:ascii="宋体" w:hAnsi="宋体" w:eastAsia="宋体" w:cs="宋体"/>
          <w:b w:val="0"/>
          <w:bCs w:val="0"/>
          <w:color w:val="auto"/>
          <w:kern w:val="2"/>
          <w:sz w:val="21"/>
          <w:szCs w:val="24"/>
          <w:highlight w:val="none"/>
          <w:lang w:eastAsia="zh-CN"/>
        </w:rPr>
        <w:t>；</w:t>
      </w:r>
      <w:r>
        <w:rPr>
          <w:rFonts w:hint="eastAsia" w:ascii="宋体" w:hAnsi="宋体" w:eastAsia="宋体" w:cs="宋体"/>
          <w:b w:val="0"/>
          <w:bCs w:val="0"/>
          <w:color w:val="auto"/>
          <w:kern w:val="2"/>
          <w:sz w:val="21"/>
          <w:szCs w:val="21"/>
          <w:highlight w:val="none"/>
          <w:lang w:val="en-US" w:eastAsia="zh-CN"/>
        </w:rPr>
        <w:t>项目技术负责人具有系统分析师、系统规划与管理师、信息系统项目管理师、信息安全工程师证书；项目团队其他成员具有信息系统项目管理师、系统规划与管理师、软件设计师证书。</w:t>
      </w:r>
    </w:p>
    <w:p w14:paraId="21C9F19B">
      <w:pPr>
        <w:pageBreakBefore w:val="0"/>
        <w:numPr>
          <w:ilvl w:val="0"/>
          <w:numId w:val="23"/>
        </w:numPr>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4"/>
          <w:highlight w:val="none"/>
          <w:lang w:val="en-US" w:eastAsia="zh-CN"/>
        </w:rPr>
      </w:pPr>
      <w:r>
        <w:rPr>
          <w:rFonts w:hint="eastAsia" w:ascii="宋体" w:hAnsi="宋体" w:eastAsia="宋体" w:cs="宋体"/>
          <w:b w:val="0"/>
          <w:bCs w:val="0"/>
          <w:color w:val="auto"/>
          <w:kern w:val="2"/>
          <w:sz w:val="21"/>
          <w:szCs w:val="21"/>
          <w:highlight w:val="none"/>
          <w:lang w:val="en-US" w:eastAsia="zh-CN"/>
        </w:rPr>
        <w:t>投标人</w:t>
      </w:r>
      <w:r>
        <w:rPr>
          <w:rFonts w:hint="eastAsia" w:ascii="宋体" w:hAnsi="宋体" w:eastAsia="宋体" w:cs="宋体"/>
          <w:b w:val="0"/>
          <w:bCs w:val="0"/>
          <w:color w:val="auto"/>
          <w:kern w:val="2"/>
          <w:sz w:val="21"/>
          <w:szCs w:val="24"/>
          <w:highlight w:val="none"/>
          <w:lang w:val="en-US" w:eastAsia="zh-CN"/>
        </w:rPr>
        <w:t>需提供应急响应服务方案，包括应急响应服务流程、应急响应服务措施及应急响应服务承诺等。</w:t>
      </w:r>
    </w:p>
    <w:p w14:paraId="2E849319">
      <w:pPr>
        <w:pStyle w:val="4"/>
        <w:keepNext/>
        <w:keepLines/>
        <w:pageBreakBefore w:val="0"/>
        <w:widowControl w:val="0"/>
        <w:numPr>
          <w:ilvl w:val="0"/>
          <w:numId w:val="14"/>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highlight w:val="none"/>
          <w:lang w:val="en-US" w:eastAsia="zh-CN"/>
        </w:rPr>
      </w:pPr>
      <w:bookmarkStart w:id="484" w:name="_Toc9468"/>
      <w:r>
        <w:rPr>
          <w:rFonts w:hint="eastAsia" w:ascii="宋体" w:hAnsi="宋体" w:eastAsia="宋体" w:cs="宋体"/>
          <w:color w:val="auto"/>
          <w:sz w:val="21"/>
          <w:szCs w:val="21"/>
          <w:highlight w:val="none"/>
          <w:lang w:val="en-US" w:eastAsia="zh-CN"/>
        </w:rPr>
        <w:t>演示要求</w:t>
      </w:r>
      <w:bookmarkEnd w:id="484"/>
    </w:p>
    <w:p w14:paraId="321959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评标时安排每个投标人进行系统演示，系统演示要求详见采购文件</w:t>
      </w:r>
      <w:r>
        <w:rPr>
          <w:rFonts w:hint="eastAsia" w:ascii="宋体" w:hAnsi="宋体" w:eastAsia="宋体" w:cs="宋体"/>
          <w:b w:val="0"/>
          <w:bCs/>
          <w:color w:val="auto"/>
          <w:kern w:val="2"/>
          <w:sz w:val="21"/>
          <w:szCs w:val="21"/>
          <w:highlight w:val="none"/>
          <w:lang w:val="en-US" w:eastAsia="zh-CN"/>
        </w:rPr>
        <w:t>第五部分</w:t>
      </w:r>
      <w:r>
        <w:rPr>
          <w:rFonts w:hint="eastAsia" w:ascii="宋体" w:hAnsi="宋体" w:eastAsia="宋体" w:cs="宋体"/>
          <w:b w:val="0"/>
          <w:bCs/>
          <w:color w:val="auto"/>
          <w:kern w:val="2"/>
          <w:sz w:val="21"/>
          <w:szCs w:val="21"/>
          <w:highlight w:val="none"/>
        </w:rPr>
        <w:t>评标</w:t>
      </w:r>
      <w:r>
        <w:rPr>
          <w:rFonts w:hint="eastAsia" w:ascii="宋体" w:hAnsi="宋体" w:eastAsia="宋体" w:cs="宋体"/>
          <w:b w:val="0"/>
          <w:bCs/>
          <w:color w:val="auto"/>
          <w:kern w:val="2"/>
          <w:sz w:val="21"/>
          <w:szCs w:val="21"/>
          <w:highlight w:val="none"/>
          <w:lang w:val="en-US" w:eastAsia="zh-CN"/>
        </w:rPr>
        <w:t>办法的演示要求</w:t>
      </w:r>
      <w:r>
        <w:rPr>
          <w:rFonts w:hint="eastAsia" w:ascii="宋体" w:hAnsi="宋体" w:eastAsia="宋体" w:cs="宋体"/>
          <w:b w:val="0"/>
          <w:bCs/>
          <w:color w:val="auto"/>
          <w:kern w:val="2"/>
          <w:sz w:val="21"/>
          <w:szCs w:val="21"/>
          <w:highlight w:val="none"/>
        </w:rPr>
        <w:t>。每个投标人时间不超过</w:t>
      </w:r>
      <w:r>
        <w:rPr>
          <w:rFonts w:hint="eastAsia" w:ascii="宋体" w:hAnsi="宋体" w:eastAsia="宋体" w:cs="宋体"/>
          <w:b w:val="0"/>
          <w:bCs/>
          <w:color w:val="auto"/>
          <w:kern w:val="2"/>
          <w:sz w:val="21"/>
          <w:szCs w:val="21"/>
          <w:highlight w:val="none"/>
          <w:lang w:val="en-US" w:eastAsia="zh-CN"/>
        </w:rPr>
        <w:t>10</w:t>
      </w:r>
      <w:r>
        <w:rPr>
          <w:rFonts w:hint="eastAsia" w:ascii="宋体" w:hAnsi="宋体" w:eastAsia="宋体" w:cs="宋体"/>
          <w:b w:val="0"/>
          <w:bCs/>
          <w:color w:val="auto"/>
          <w:kern w:val="2"/>
          <w:sz w:val="21"/>
          <w:szCs w:val="21"/>
          <w:highlight w:val="none"/>
        </w:rPr>
        <w:t>分钟，演示次序以投标文件解密时间先后次序为准，如遇不演示的投标人则自动至下一次序投标人。</w:t>
      </w:r>
    </w:p>
    <w:p w14:paraId="76D2C1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rPr>
        <w:t>2.系统</w:t>
      </w:r>
      <w:r>
        <w:rPr>
          <w:rFonts w:hint="eastAsia" w:ascii="宋体" w:hAnsi="宋体" w:eastAsia="宋体" w:cs="宋体"/>
          <w:b w:val="0"/>
          <w:bCs/>
          <w:color w:val="auto"/>
          <w:kern w:val="2"/>
          <w:sz w:val="21"/>
          <w:szCs w:val="21"/>
          <w:highlight w:val="none"/>
        </w:rPr>
        <w:t>演示</w:t>
      </w:r>
      <w:r>
        <w:rPr>
          <w:rFonts w:hint="eastAsia" w:ascii="宋体" w:hAnsi="宋体" w:eastAsia="宋体" w:cs="宋体"/>
          <w:b w:val="0"/>
          <w:bCs/>
          <w:color w:val="auto"/>
          <w:kern w:val="2"/>
          <w:sz w:val="21"/>
          <w:szCs w:val="21"/>
          <w:highlight w:val="none"/>
          <w:lang w:val="en-US" w:eastAsia="zh-CN"/>
        </w:rPr>
        <w:t>方式</w:t>
      </w:r>
      <w:r>
        <w:rPr>
          <w:rFonts w:hint="eastAsia" w:ascii="宋体" w:hAnsi="宋体" w:eastAsia="宋体" w:cs="宋体"/>
          <w:b w:val="0"/>
          <w:bCs/>
          <w:color w:val="auto"/>
          <w:kern w:val="2"/>
          <w:sz w:val="21"/>
          <w:szCs w:val="21"/>
          <w:highlight w:val="none"/>
        </w:rPr>
        <w:t>：递交系统演示视频。</w:t>
      </w:r>
    </w:p>
    <w:p w14:paraId="1B0DC2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投标人采用递交系统演示视频方式的，应将按采购文件评分要求录制的视频（格式须为AVI、MPEG、MPEG-4、RM、RMVB等主流视频格式）同</w:t>
      </w:r>
      <w:r>
        <w:rPr>
          <w:rFonts w:hint="eastAsia" w:ascii="宋体" w:hAnsi="宋体" w:eastAsia="宋体" w:cs="宋体"/>
          <w:b w:val="0"/>
          <w:bCs/>
          <w:color w:val="auto"/>
          <w:kern w:val="2"/>
          <w:sz w:val="21"/>
          <w:szCs w:val="21"/>
          <w:highlight w:val="none"/>
          <w:lang w:val="en-US" w:eastAsia="zh-CN"/>
        </w:rPr>
        <w:t>前附</w:t>
      </w:r>
      <w:r>
        <w:rPr>
          <w:rFonts w:hint="eastAsia" w:ascii="宋体" w:hAnsi="宋体" w:eastAsia="宋体" w:cs="宋体"/>
          <w:b w:val="0"/>
          <w:bCs/>
          <w:color w:val="auto"/>
          <w:kern w:val="2"/>
          <w:sz w:val="21"/>
          <w:szCs w:val="21"/>
          <w:highlight w:val="none"/>
        </w:rPr>
        <w:t>表第1</w:t>
      </w:r>
      <w:r>
        <w:rPr>
          <w:rFonts w:hint="eastAsia" w:ascii="宋体" w:hAnsi="宋体" w:eastAsia="宋体" w:cs="宋体"/>
          <w:b w:val="0"/>
          <w:bCs/>
          <w:color w:val="auto"/>
          <w:kern w:val="2"/>
          <w:sz w:val="21"/>
          <w:szCs w:val="21"/>
          <w:highlight w:val="none"/>
          <w:lang w:val="en-US" w:eastAsia="zh-CN"/>
        </w:rPr>
        <w:t>7</w:t>
      </w:r>
      <w:r>
        <w:rPr>
          <w:rFonts w:hint="eastAsia" w:ascii="宋体" w:hAnsi="宋体" w:eastAsia="宋体" w:cs="宋体"/>
          <w:b w:val="0"/>
          <w:bCs/>
          <w:color w:val="auto"/>
          <w:kern w:val="2"/>
          <w:sz w:val="21"/>
          <w:szCs w:val="21"/>
          <w:highlight w:val="none"/>
        </w:rPr>
        <w:t>“备份投标文件递交要求”在提交投标文件截止时间前通过快递形式寄达或现场送达采购代理机构处，（邮寄/送达地址：杭州市西湖区文三路90号东部软件园1号楼3楼305室，接收人：</w:t>
      </w:r>
      <w:r>
        <w:rPr>
          <w:rFonts w:hint="eastAsia" w:ascii="宋体" w:hAnsi="宋体" w:eastAsia="宋体" w:cs="宋体"/>
          <w:b w:val="0"/>
          <w:bCs w:val="0"/>
          <w:color w:val="auto"/>
          <w:kern w:val="2"/>
          <w:sz w:val="21"/>
          <w:szCs w:val="21"/>
          <w:highlight w:val="none"/>
          <w:u w:val="single"/>
        </w:rPr>
        <w:t>周群峰、葛珍妮</w:t>
      </w:r>
      <w:r>
        <w:rPr>
          <w:rFonts w:hint="eastAsia" w:ascii="宋体" w:hAnsi="宋体" w:eastAsia="宋体" w:cs="宋体"/>
          <w:b w:val="0"/>
          <w:bCs/>
          <w:color w:val="auto"/>
          <w:kern w:val="2"/>
          <w:sz w:val="21"/>
          <w:szCs w:val="21"/>
          <w:highlight w:val="none"/>
        </w:rPr>
        <w:t>，电话：</w:t>
      </w:r>
      <w:r>
        <w:rPr>
          <w:rFonts w:hint="eastAsia" w:ascii="宋体" w:hAnsi="宋体" w:eastAsia="宋体" w:cs="宋体"/>
          <w:b w:val="0"/>
          <w:bCs w:val="0"/>
          <w:color w:val="auto"/>
          <w:kern w:val="2"/>
          <w:sz w:val="21"/>
          <w:szCs w:val="21"/>
          <w:highlight w:val="none"/>
          <w:u w:val="single"/>
        </w:rPr>
        <w:t>0571-81061804、0571-88081687</w:t>
      </w:r>
      <w:r>
        <w:rPr>
          <w:rFonts w:hint="eastAsia" w:ascii="宋体" w:hAnsi="宋体" w:eastAsia="宋体" w:cs="宋体"/>
          <w:b w:val="0"/>
          <w:bCs/>
          <w:color w:val="auto"/>
          <w:kern w:val="2"/>
          <w:sz w:val="21"/>
          <w:szCs w:val="21"/>
          <w:highlight w:val="none"/>
        </w:rPr>
        <w:t>）。</w:t>
      </w:r>
    </w:p>
    <w:p w14:paraId="473DB6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未按上述要求在提交投标文件截止时间后密封送达的，不予接收；未递交系统演示视频的视为自动放弃系统演示，采购文件第五部分中评标细则及标准中的系统演示部分不得分，但不会导致投标无效。</w:t>
      </w:r>
    </w:p>
    <w:p w14:paraId="2596D5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因投标人自身原因导致无法演示或者演示效果不理想的，责任自负。因平台原因导致本项目方案讲解演示环节无法顺利开展，按照《浙江省政府采购项目电子交易管理暂行办法》相关规定执行。</w:t>
      </w:r>
    </w:p>
    <w:p w14:paraId="2B6AF98D">
      <w:pPr>
        <w:pageBreakBefore w:val="0"/>
        <w:widowControl w:val="0"/>
        <w:numPr>
          <w:ilvl w:val="0"/>
          <w:numId w:val="0"/>
        </w:numPr>
        <w:kinsoku/>
        <w:wordWrap/>
        <w:overflowPunct/>
        <w:topLinePunct w:val="0"/>
        <w:bidi w:val="0"/>
        <w:spacing w:line="360" w:lineRule="auto"/>
        <w:jc w:val="both"/>
        <w:rPr>
          <w:rFonts w:hint="eastAsia" w:ascii="宋体" w:hAnsi="宋体" w:eastAsia="宋体" w:cs="宋体"/>
          <w:bCs/>
          <w:color w:val="auto"/>
          <w:szCs w:val="21"/>
          <w:highlight w:val="none"/>
        </w:rPr>
        <w:sectPr>
          <w:pgSz w:w="11906" w:h="16838"/>
          <w:pgMar w:top="1417" w:right="1474" w:bottom="1417" w:left="1587" w:header="851" w:footer="992" w:gutter="0"/>
          <w:cols w:space="720" w:num="1"/>
          <w:docGrid w:type="lines" w:linePitch="332" w:charSpace="0"/>
        </w:sectPr>
      </w:pPr>
    </w:p>
    <w:p w14:paraId="1E804D62">
      <w:pPr>
        <w:adjustRightInd w:val="0"/>
        <w:snapToGrid w:val="0"/>
        <w:spacing w:line="360" w:lineRule="auto"/>
        <w:ind w:firstLine="602" w:firstLineChars="200"/>
        <w:jc w:val="center"/>
        <w:outlineLvl w:val="0"/>
        <w:rPr>
          <w:rFonts w:hint="eastAsia" w:ascii="宋体" w:hAnsi="宋体" w:eastAsia="宋体" w:cs="宋体"/>
          <w:color w:val="auto"/>
          <w:sz w:val="36"/>
          <w:highlight w:val="none"/>
        </w:rPr>
      </w:pPr>
      <w:bookmarkStart w:id="485" w:name="_Toc8211"/>
      <w:r>
        <w:rPr>
          <w:rFonts w:hint="eastAsia" w:ascii="宋体" w:hAnsi="宋体" w:eastAsia="宋体" w:cs="宋体"/>
          <w:b/>
          <w:color w:val="auto"/>
          <w:sz w:val="30"/>
          <w:szCs w:val="30"/>
          <w:highlight w:val="none"/>
        </w:rPr>
        <w:t>第四部分  合同主要条款</w:t>
      </w:r>
      <w:bookmarkEnd w:id="485"/>
    </w:p>
    <w:p w14:paraId="77C5B2B1">
      <w:pPr>
        <w:keepNext/>
        <w:keepLines/>
        <w:spacing w:line="360" w:lineRule="auto"/>
        <w:jc w:val="center"/>
        <w:outlineLvl w:val="2"/>
        <w:rPr>
          <w:rFonts w:hint="eastAsia" w:ascii="宋体" w:hAnsi="宋体" w:eastAsia="宋体" w:cs="宋体"/>
          <w:color w:val="auto"/>
          <w:sz w:val="24"/>
          <w:highlight w:val="none"/>
        </w:rPr>
      </w:pPr>
      <w:bookmarkStart w:id="486" w:name="_Toc54833966"/>
      <w:bookmarkStart w:id="487" w:name="_Toc536610517"/>
      <w:bookmarkStart w:id="488" w:name="_Toc1459380911"/>
      <w:bookmarkStart w:id="489" w:name="_Toc7743"/>
      <w:bookmarkStart w:id="490" w:name="_Toc17570"/>
      <w:bookmarkStart w:id="491" w:name="_Toc9206"/>
      <w:bookmarkStart w:id="492" w:name="_Toc14523"/>
      <w:bookmarkStart w:id="493" w:name="_Toc17438"/>
      <w:bookmarkStart w:id="494" w:name="_Toc28480"/>
      <w:bookmarkStart w:id="495" w:name="_Toc1103933012"/>
      <w:bookmarkStart w:id="496" w:name="_Toc14078"/>
      <w:bookmarkStart w:id="497" w:name="_Toc4460"/>
      <w:bookmarkStart w:id="498" w:name="_Toc14791"/>
      <w:bookmarkStart w:id="499" w:name="_Toc11176"/>
      <w:bookmarkStart w:id="500" w:name="_Toc24870"/>
      <w:bookmarkStart w:id="501" w:name="_Toc6576"/>
      <w:bookmarkStart w:id="502" w:name="_Toc25284"/>
      <w:bookmarkStart w:id="503" w:name="_Toc25103"/>
      <w:bookmarkStart w:id="504" w:name="_Toc1878830502"/>
      <w:bookmarkStart w:id="505" w:name="_Toc368604799"/>
      <w:bookmarkStart w:id="506" w:name="_Toc557696005"/>
      <w:bookmarkStart w:id="507" w:name="_Toc177870558"/>
      <w:bookmarkStart w:id="508" w:name="_Hlk534720381"/>
      <w:bookmarkStart w:id="509" w:name="_Toc251566661"/>
      <w:bookmarkStart w:id="510" w:name="_Toc249760790"/>
      <w:bookmarkStart w:id="511" w:name="_Toc3071"/>
      <w:bookmarkStart w:id="512" w:name="_Toc14349"/>
      <w:bookmarkStart w:id="513" w:name="_Toc20497"/>
      <w:bookmarkStart w:id="514" w:name="_Toc2298"/>
      <w:bookmarkStart w:id="515" w:name="_Toc13754"/>
      <w:r>
        <w:rPr>
          <w:rFonts w:hint="eastAsia" w:ascii="宋体" w:hAnsi="宋体" w:eastAsia="宋体" w:cs="宋体"/>
          <w:color w:val="auto"/>
          <w:sz w:val="24"/>
          <w:highlight w:val="none"/>
        </w:rPr>
        <w:t>（最终签订合同以甲方确认为准）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F89DE81">
      <w:pPr>
        <w:spacing w:line="360" w:lineRule="auto"/>
        <w:ind w:right="-185" w:rightChars="-8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bookmarkEnd w:id="507"/>
    <w:bookmarkEnd w:id="508"/>
    <w:p w14:paraId="11A4D1B2">
      <w:pPr>
        <w:adjustRightInd w:val="0"/>
        <w:snapToGrid w:val="0"/>
        <w:spacing w:line="360" w:lineRule="auto"/>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技术服务合同</w:t>
      </w:r>
    </w:p>
    <w:p w14:paraId="615684D0">
      <w:pPr>
        <w:adjustRightInd w:val="0"/>
        <w:snapToGrid w:val="0"/>
        <w:spacing w:line="360" w:lineRule="auto"/>
        <w:jc w:val="center"/>
        <w:rPr>
          <w:rFonts w:hint="eastAsia" w:ascii="宋体" w:hAnsi="宋体" w:eastAsia="宋体" w:cs="宋体"/>
          <w:color w:val="auto"/>
          <w:sz w:val="56"/>
          <w:szCs w:val="56"/>
          <w:highlight w:val="none"/>
        </w:rPr>
      </w:pPr>
    </w:p>
    <w:p w14:paraId="558B981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 目 名 称：</w:t>
      </w:r>
    </w:p>
    <w:p w14:paraId="55781E10">
      <w:pPr>
        <w:spacing w:line="360" w:lineRule="auto"/>
        <w:rPr>
          <w:rFonts w:hint="eastAsia"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rPr>
        <w:t>甲方（采购人）：</w:t>
      </w:r>
      <w:r>
        <w:rPr>
          <w:rFonts w:hint="eastAsia" w:ascii="宋体" w:hAnsi="宋体" w:eastAsia="宋体" w:cs="宋体"/>
          <w:color w:val="auto"/>
          <w:sz w:val="28"/>
          <w:szCs w:val="28"/>
          <w:highlight w:val="none"/>
          <w:u w:val="single"/>
        </w:rPr>
        <w:t>浙江省</w:t>
      </w:r>
      <w:r>
        <w:rPr>
          <w:rFonts w:hint="eastAsia" w:ascii="宋体" w:hAnsi="宋体" w:eastAsia="宋体" w:cs="宋体"/>
          <w:color w:val="auto"/>
          <w:sz w:val="28"/>
          <w:szCs w:val="28"/>
          <w:highlight w:val="none"/>
          <w:u w:val="single"/>
          <w:lang w:eastAsia="zh-Hans"/>
        </w:rPr>
        <w:t>社会主义学院</w:t>
      </w:r>
    </w:p>
    <w:p w14:paraId="088CF3C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eastAsia="zh-CN"/>
        </w:rPr>
        <w:t>中标供应商</w:t>
      </w:r>
      <w:r>
        <w:rPr>
          <w:rFonts w:hint="eastAsia" w:ascii="宋体" w:hAnsi="宋体" w:eastAsia="宋体" w:cs="宋体"/>
          <w:color w:val="auto"/>
          <w:sz w:val="28"/>
          <w:szCs w:val="28"/>
          <w:highlight w:val="none"/>
        </w:rPr>
        <w:t>）：</w:t>
      </w:r>
    </w:p>
    <w:p w14:paraId="41910EF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鉴证方（采购代理机构）：</w:t>
      </w:r>
    </w:p>
    <w:p w14:paraId="03998C43">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 订 地 点：</w:t>
      </w:r>
      <w:r>
        <w:rPr>
          <w:rFonts w:hint="eastAsia" w:ascii="宋体" w:hAnsi="宋体" w:eastAsia="宋体" w:cs="宋体"/>
          <w:color w:val="auto"/>
          <w:sz w:val="28"/>
          <w:szCs w:val="28"/>
          <w:highlight w:val="none"/>
          <w:u w:val="single"/>
        </w:rPr>
        <w:t>杭州</w:t>
      </w:r>
    </w:p>
    <w:p w14:paraId="33B28D80">
      <w:pPr>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 日 期：</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rPr>
        <w:t>年  月</w:t>
      </w:r>
    </w:p>
    <w:p w14:paraId="68EC5995">
      <w:pPr>
        <w:pStyle w:val="2"/>
        <w:rPr>
          <w:rFonts w:hint="eastAsia" w:ascii="宋体" w:hAnsi="宋体" w:eastAsia="宋体" w:cs="宋体"/>
          <w:color w:val="auto"/>
          <w:highlight w:val="none"/>
        </w:rPr>
      </w:pPr>
    </w:p>
    <w:p w14:paraId="507BFAE2">
      <w:pPr>
        <w:adjustRightInd w:val="0"/>
        <w:snapToGrid w:val="0"/>
        <w:spacing w:line="360" w:lineRule="auto"/>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 xml:space="preserve"> </w:t>
      </w:r>
    </w:p>
    <w:p w14:paraId="00E62B95">
      <w:pPr>
        <w:adjustRightInd w:val="0"/>
        <w:snapToGrid w:val="0"/>
        <w:spacing w:line="360" w:lineRule="auto"/>
        <w:rPr>
          <w:rFonts w:hint="eastAsia" w:ascii="宋体" w:hAnsi="宋体" w:eastAsia="宋体" w:cs="宋体"/>
          <w:color w:val="auto"/>
          <w:sz w:val="24"/>
          <w:highlight w:val="none"/>
        </w:rPr>
      </w:pPr>
    </w:p>
    <w:p w14:paraId="34D1F393">
      <w:pPr>
        <w:adjustRightInd w:val="0"/>
        <w:snapToGrid w:val="0"/>
        <w:spacing w:line="360" w:lineRule="auto"/>
        <w:jc w:val="center"/>
        <w:rPr>
          <w:rFonts w:hint="eastAsia" w:ascii="宋体" w:hAnsi="宋体" w:eastAsia="宋体" w:cs="宋体"/>
          <w:color w:val="auto"/>
          <w:sz w:val="56"/>
          <w:szCs w:val="5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技术服务合同</w:t>
      </w:r>
    </w:p>
    <w:p w14:paraId="520D9F9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甲方（采购人）：</w:t>
      </w:r>
    </w:p>
    <w:p w14:paraId="5AAA80A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w:t>
      </w:r>
    </w:p>
    <w:p w14:paraId="12876D4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鉴证方（采购代理机构）：</w:t>
      </w:r>
    </w:p>
    <w:p w14:paraId="02012B13">
      <w:pPr>
        <w:keepNext w:val="0"/>
        <w:keepLines w:val="0"/>
        <w:pageBreakBefore w:val="0"/>
        <w:kinsoku/>
        <w:wordWrap/>
        <w:overflowPunct/>
        <w:topLinePunct w:val="0"/>
        <w:bidi w:val="0"/>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项目采购结果和</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的要求，并依照《中华人民共和国民法典》等有关法律、行政法规的规定，同时在平等、公平、诚实和信用的原则下，经双方协商一致，订立本合同。</w:t>
      </w:r>
    </w:p>
    <w:p w14:paraId="2102380D">
      <w:pPr>
        <w:keepNext w:val="0"/>
        <w:keepLines w:val="0"/>
        <w:pageBreakBefore w:val="0"/>
        <w:kinsoku/>
        <w:wordWrap/>
        <w:overflowPunct/>
        <w:topLinePunct w:val="0"/>
        <w:bidi w:val="0"/>
        <w:adjustRightInd w:val="0"/>
        <w:snapToGrid w:val="0"/>
        <w:spacing w:line="360" w:lineRule="auto"/>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1、项目内容及合同价格：</w:t>
      </w:r>
    </w:p>
    <w:p w14:paraId="7BF7CC44">
      <w:pPr>
        <w:keepNext w:val="0"/>
        <w:keepLines w:val="0"/>
        <w:pageBreakBefore w:val="0"/>
        <w:kinsoku/>
        <w:wordWrap/>
        <w:overflowPunct/>
        <w:topLinePunct w:val="0"/>
        <w:bidi w:val="0"/>
        <w:adjustRightInd w:val="0"/>
        <w:snapToGrid w:val="0"/>
        <w:spacing w:line="360" w:lineRule="auto"/>
        <w:ind w:right="240"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992"/>
        <w:gridCol w:w="1013"/>
        <w:gridCol w:w="1362"/>
      </w:tblGrid>
      <w:tr w14:paraId="180E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561C4588">
            <w:pPr>
              <w:pStyle w:val="10"/>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B29B735">
            <w:pPr>
              <w:pStyle w:val="10"/>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B605DD">
            <w:pPr>
              <w:pStyle w:val="10"/>
              <w:keepNext w:val="0"/>
              <w:keepLines w:val="0"/>
              <w:pageBreakBefore w:val="0"/>
              <w:kinsoku/>
              <w:wordWrap/>
              <w:overflowPunct/>
              <w:topLinePunct w:val="0"/>
              <w:bidi w:val="0"/>
              <w:snapToGrid w:val="0"/>
              <w:spacing w:line="360" w:lineRule="auto"/>
              <w:ind w:left="-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03C10C3">
            <w:pPr>
              <w:pStyle w:val="10"/>
              <w:keepNext w:val="0"/>
              <w:keepLines w:val="0"/>
              <w:pageBreakBefore w:val="0"/>
              <w:kinsoku/>
              <w:wordWrap/>
              <w:overflowPunct/>
              <w:topLinePunct w:val="0"/>
              <w:bidi w:val="0"/>
              <w:snapToGrid w:val="0"/>
              <w:spacing w:line="360" w:lineRule="auto"/>
              <w:ind w:left="-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4C941A7">
            <w:pPr>
              <w:pStyle w:val="10"/>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r>
      <w:tr w14:paraId="38E5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31374AD7">
            <w:pPr>
              <w:keepNext w:val="0"/>
              <w:keepLines w:val="0"/>
              <w:pageBreakBefore w:val="0"/>
              <w:kinsoku/>
              <w:wordWrap/>
              <w:overflowPunct/>
              <w:topLinePunct w:val="0"/>
              <w:bidi w:val="0"/>
              <w:spacing w:line="360" w:lineRule="auto"/>
              <w:rPr>
                <w:rFonts w:hint="eastAsia" w:ascii="宋体" w:hAnsi="宋体" w:eastAsia="宋体" w:cs="宋体"/>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AC97134">
            <w:pPr>
              <w:keepNext w:val="0"/>
              <w:keepLines w:val="0"/>
              <w:pageBreakBefore w:val="0"/>
              <w:kinsoku/>
              <w:wordWrap/>
              <w:overflowPunct/>
              <w:topLinePunct w:val="0"/>
              <w:bidi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详见项目对应</w:t>
            </w:r>
            <w:r>
              <w:rPr>
                <w:rFonts w:hint="eastAsia" w:ascii="宋体" w:hAnsi="宋体" w:eastAsia="宋体" w:cs="宋体"/>
                <w:color w:val="auto"/>
                <w:szCs w:val="21"/>
                <w:highlight w:val="none"/>
                <w:lang w:eastAsia="zh-CN"/>
              </w:rPr>
              <w:t>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030D8D">
            <w:pPr>
              <w:keepNext w:val="0"/>
              <w:keepLines w:val="0"/>
              <w:pageBreakBefore w:val="0"/>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A81EF70">
            <w:pPr>
              <w:pStyle w:val="59"/>
              <w:keepNext w:val="0"/>
              <w:keepLines w:val="0"/>
              <w:pageBreakBefore w:val="0"/>
              <w:kinsoku/>
              <w:wordWrap/>
              <w:overflowPunct/>
              <w:topLinePunct w:val="0"/>
              <w:bidi w:val="0"/>
              <w:spacing w:after="0" w:line="360" w:lineRule="auto"/>
              <w:rPr>
                <w:rFonts w:hint="eastAsia" w:ascii="宋体" w:hAnsi="宋体" w:eastAsia="宋体" w:cs="宋体"/>
                <w:color w:val="auto"/>
                <w:kern w:val="2"/>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151EB7F">
            <w:pPr>
              <w:pStyle w:val="59"/>
              <w:keepNext w:val="0"/>
              <w:keepLines w:val="0"/>
              <w:pageBreakBefore w:val="0"/>
              <w:kinsoku/>
              <w:wordWrap/>
              <w:overflowPunct/>
              <w:topLinePunct w:val="0"/>
              <w:bidi w:val="0"/>
              <w:spacing w:after="0" w:line="360" w:lineRule="auto"/>
              <w:rPr>
                <w:rFonts w:hint="eastAsia" w:ascii="宋体" w:hAnsi="宋体" w:eastAsia="宋体" w:cs="宋体"/>
                <w:color w:val="auto"/>
                <w:kern w:val="2"/>
                <w:sz w:val="21"/>
                <w:szCs w:val="21"/>
                <w:highlight w:val="none"/>
              </w:rPr>
            </w:pPr>
          </w:p>
        </w:tc>
      </w:tr>
      <w:tr w14:paraId="320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53" w:type="dxa"/>
            <w:gridSpan w:val="2"/>
            <w:tcBorders>
              <w:top w:val="single" w:color="auto" w:sz="4" w:space="0"/>
              <w:left w:val="single" w:color="auto" w:sz="4" w:space="0"/>
              <w:bottom w:val="single" w:color="auto" w:sz="4" w:space="0"/>
              <w:right w:val="single" w:color="auto" w:sz="4" w:space="0"/>
            </w:tcBorders>
            <w:noWrap w:val="0"/>
            <w:vAlign w:val="center"/>
          </w:tcPr>
          <w:p w14:paraId="116B2C28">
            <w:pPr>
              <w:pStyle w:val="10"/>
              <w:keepNext w:val="0"/>
              <w:keepLines w:val="0"/>
              <w:pageBreakBefore w:val="0"/>
              <w:kinsoku/>
              <w:wordWrap/>
              <w:overflowPunct/>
              <w:topLinePunct w:val="0"/>
              <w:bidi w:val="0"/>
              <w:snapToGrid w:val="0"/>
              <w:spacing w:line="360" w:lineRule="auto"/>
              <w:ind w:firstLine="447" w:firstLineChars="2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2B3A84">
            <w:pPr>
              <w:pStyle w:val="10"/>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43334FE">
            <w:pPr>
              <w:pStyle w:val="59"/>
              <w:keepNext w:val="0"/>
              <w:keepLines w:val="0"/>
              <w:pageBreakBefore w:val="0"/>
              <w:kinsoku/>
              <w:wordWrap/>
              <w:overflowPunct/>
              <w:topLinePunct w:val="0"/>
              <w:bidi w:val="0"/>
              <w:spacing w:after="0" w:line="360" w:lineRule="auto"/>
              <w:ind w:firstLine="447" w:firstLineChars="213"/>
              <w:rPr>
                <w:rFonts w:hint="eastAsia" w:ascii="宋体" w:hAnsi="宋体" w:eastAsia="宋体" w:cs="宋体"/>
                <w:color w:val="auto"/>
                <w:kern w:val="2"/>
                <w:sz w:val="21"/>
                <w:szCs w:val="21"/>
                <w:highlight w:val="none"/>
              </w:rPr>
            </w:pPr>
          </w:p>
        </w:tc>
      </w:tr>
      <w:tr w14:paraId="5814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20" w:type="dxa"/>
            <w:gridSpan w:val="5"/>
            <w:tcBorders>
              <w:top w:val="single" w:color="auto" w:sz="4" w:space="0"/>
              <w:left w:val="single" w:color="auto" w:sz="4" w:space="0"/>
              <w:bottom w:val="single" w:color="auto" w:sz="4" w:space="0"/>
              <w:right w:val="single" w:color="auto" w:sz="4" w:space="0"/>
            </w:tcBorders>
            <w:noWrap w:val="0"/>
            <w:vAlign w:val="center"/>
          </w:tcPr>
          <w:p w14:paraId="389B03FD">
            <w:pPr>
              <w:pStyle w:val="10"/>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14:paraId="5DD942FD">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2、服务期及服务人员：</w:t>
      </w:r>
    </w:p>
    <w:p w14:paraId="03647A06">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（1）服务期为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，具体起止时间在签订合同时由甲方如下：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日至</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14735543">
      <w:pPr>
        <w:pStyle w:val="2"/>
        <w:keepNext w:val="0"/>
        <w:keepLines w:val="0"/>
        <w:pageBreakBefore w:val="0"/>
        <w:kinsoku/>
        <w:wordWrap/>
        <w:overflowPunct/>
        <w:topLinePunct w:val="0"/>
        <w:bidi w:val="0"/>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（2）本项目实施地点：</w:t>
      </w:r>
      <w:r>
        <w:rPr>
          <w:rFonts w:hint="eastAsia" w:ascii="宋体" w:hAnsi="宋体" w:eastAsia="宋体" w:cs="宋体"/>
          <w:color w:val="auto"/>
          <w:szCs w:val="21"/>
          <w:highlight w:val="none"/>
          <w:u w:val="single"/>
        </w:rPr>
        <w:t xml:space="preserve">甲方指定的地点    </w:t>
      </w:r>
      <w:r>
        <w:rPr>
          <w:rFonts w:hint="eastAsia" w:ascii="宋体" w:hAnsi="宋体" w:eastAsia="宋体" w:cs="宋体"/>
          <w:color w:val="auto"/>
          <w:szCs w:val="21"/>
          <w:highlight w:val="none"/>
        </w:rPr>
        <w:t>。</w:t>
      </w:r>
    </w:p>
    <w:p w14:paraId="04E6BE1E">
      <w:pPr>
        <w:pStyle w:val="2"/>
        <w:keepNext w:val="0"/>
        <w:keepLines w:val="0"/>
        <w:pageBreakBefore w:val="0"/>
        <w:kinsoku/>
        <w:wordWrap/>
        <w:overflowPunct/>
        <w:topLinePunct w:val="0"/>
        <w:bidi w:val="0"/>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（3）乙方投入本项目服务人员为：</w:t>
      </w:r>
    </w:p>
    <w:p w14:paraId="24FA9348">
      <w:pPr>
        <w:pStyle w:val="2"/>
        <w:keepNext w:val="0"/>
        <w:keepLines w:val="0"/>
        <w:pageBreakBefore w:val="0"/>
        <w:kinsoku/>
        <w:wordWrap/>
        <w:overflowPunct/>
        <w:topLinePunct w:val="0"/>
        <w:bidi w:val="0"/>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详见附件一（按</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中的承诺在签署合同时可作为附件之一）。</w:t>
      </w:r>
    </w:p>
    <w:p w14:paraId="6BF291FE">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）乙方和甲方共同协商服务计划并通过甲方的同意后按此实施。</w:t>
      </w:r>
    </w:p>
    <w:p w14:paraId="2DA394E8">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3、质量标准</w:t>
      </w:r>
    </w:p>
    <w:p w14:paraId="65A0853D">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达到现行国家行业规定的技术标准和乙方企业标准，并满足甲方业务需求。</w:t>
      </w:r>
    </w:p>
    <w:p w14:paraId="4DE726BE">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4、相关定义</w:t>
      </w:r>
    </w:p>
    <w:p w14:paraId="071E2E9B">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除非本合同另有特别约定，本合同所使用的术语、概念的含义如下：</w:t>
      </w:r>
    </w:p>
    <w:p w14:paraId="2534D99A">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rPr>
        <w:t>（1）合同：是指双方所签署的合同正文、所有附件、所有补充文件，以及双方在合同履行中所签</w:t>
      </w:r>
      <w:r>
        <w:rPr>
          <w:rFonts w:hint="eastAsia" w:ascii="宋体" w:hAnsi="宋体" w:eastAsia="宋体" w:cs="宋体"/>
          <w:color w:val="auto"/>
          <w:szCs w:val="21"/>
          <w:highlight w:val="none"/>
          <w:lang w:val="zh-TW" w:eastAsia="zh-TW"/>
        </w:rPr>
        <w:t>署、确认的其他与双方权利义务相关的所有书面材料、技术文档等文件。也称为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TW" w:eastAsia="zh-TW"/>
        </w:rPr>
        <w:t>技术服务合同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TW" w:eastAsia="zh-TW"/>
        </w:rPr>
        <w:t>或</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TW" w:eastAsia="zh-TW"/>
        </w:rPr>
        <w:t>服务合同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TW" w:eastAsia="zh-TW"/>
        </w:rPr>
        <w:t>。</w:t>
      </w:r>
    </w:p>
    <w:p w14:paraId="66C3DD2D">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（2）服务价款：是指根据本合同约定，乙方在正确地完全履行合同义务后甲方应支付给乙方的全部价款。</w:t>
      </w:r>
    </w:p>
    <w:p w14:paraId="400339BE">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（3）工作说明书：是指约定服务的工作内容、范围、质量标准、项目进度、资源管理等特定内容的文件。</w:t>
      </w:r>
    </w:p>
    <w:p w14:paraId="25BCF8A4">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（4）技术文档：指乙方向甲丙方提供产品过程中，使用或产生的技术资料、项目文档，文档的形式可以是纸面文件，也可以为电子文档，技术文档包括一般文档和项目专用文档。</w:t>
      </w:r>
    </w:p>
    <w:p w14:paraId="3DF20452">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成果：是指乙方按照附件一的约定所完成的项目工作成果，包括以纸质、电子磁盘或其他介质体现的服务文档、各种数据、参数，乙方为履行本合同所搜集、使用、编制、创作的所有其他技术文档和解决方案，以及乙方按照合同、法律、法规及行业规范等规定应当提供的服务。</w:t>
      </w:r>
    </w:p>
    <w:p w14:paraId="6BA82403">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（6）交付：是指乙方将合同约定的服务成果提交给甲方使用。</w:t>
      </w:r>
    </w:p>
    <w:p w14:paraId="3E97042A">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（7）服务期：项目实施期、</w:t>
      </w:r>
      <w:r>
        <w:rPr>
          <w:rFonts w:hint="eastAsia" w:ascii="宋体" w:hAnsi="宋体" w:eastAsia="宋体" w:cs="宋体"/>
          <w:color w:val="auto"/>
          <w:szCs w:val="21"/>
          <w:highlight w:val="none"/>
          <w:lang w:eastAsia="zh-CN"/>
        </w:rPr>
        <w:t>试运营</w:t>
      </w:r>
      <w:r>
        <w:rPr>
          <w:rFonts w:hint="eastAsia" w:ascii="宋体" w:hAnsi="宋体" w:eastAsia="宋体" w:cs="宋体"/>
          <w:color w:val="auto"/>
          <w:szCs w:val="21"/>
          <w:highlight w:val="none"/>
        </w:rPr>
        <w:t>期及免费维护期。</w:t>
      </w:r>
    </w:p>
    <w:p w14:paraId="4EDB1E17">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（8）知识产权：指受中国法律及国际公约保护的专利权、商标权、著作权、商业秘密等及其他与之相关的权利。</w:t>
      </w:r>
    </w:p>
    <w:p w14:paraId="23A1DF44">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（9）不可抗力：本合同各方由于地震、台风、水灾、火灾、战争以及其它不能预见、且对其发生和后果不能防止或不能避免且不可克服的客观情况。</w:t>
      </w:r>
    </w:p>
    <w:p w14:paraId="0AAA2477">
      <w:pPr>
        <w:keepNext w:val="0"/>
        <w:keepLines w:val="0"/>
        <w:pageBreakBefore w:val="0"/>
        <w:suppressAutoHyphens/>
        <w:kinsoku/>
        <w:wordWrap/>
        <w:overflowPunct/>
        <w:topLinePunct w:val="0"/>
        <w:bidi w:val="0"/>
        <w:spacing w:line="360" w:lineRule="auto"/>
        <w:ind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5、服务内容</w:t>
      </w:r>
    </w:p>
    <w:p w14:paraId="41C79494">
      <w:pPr>
        <w:pStyle w:val="2"/>
        <w:keepNext w:val="0"/>
        <w:keepLines w:val="0"/>
        <w:pageBreakBefore w:val="0"/>
        <w:kinsoku/>
        <w:wordWrap/>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所述的全部采购需求；</w:t>
      </w:r>
    </w:p>
    <w:p w14:paraId="72678E58">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6、履约保证金、合同价款支付</w:t>
      </w:r>
    </w:p>
    <w:p w14:paraId="12E452ED">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（一）履约保证金收取</w:t>
      </w:r>
    </w:p>
    <w:p w14:paraId="01C0EA28">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签订合同后</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向采购人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w:t>
      </w:r>
      <w:r>
        <w:rPr>
          <w:rFonts w:hint="eastAsia" w:ascii="宋体" w:hAnsi="宋体" w:eastAsia="宋体" w:cs="宋体"/>
          <w:color w:val="auto"/>
          <w:szCs w:val="21"/>
          <w:highlight w:val="none"/>
          <w:lang w:eastAsia="zh-Hans"/>
        </w:rPr>
        <w:t>社会主义学院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缴纳合同总金额的1%作为履约保证金。缴纳方式：</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应当以支票、汇票、本票或者金融机构、担保机构出具的保函等非现金形式提交。</w:t>
      </w:r>
    </w:p>
    <w:p w14:paraId="7D07BE4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（二）履约保证金退还</w:t>
      </w:r>
    </w:p>
    <w:p w14:paraId="0E831567">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采购人在验收结束之后30个工作日内无息退还履约保证金。</w:t>
      </w:r>
    </w:p>
    <w:p w14:paraId="69AC4860">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办理履约保证金退还手续时，</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凭以下材料办理退保手续。</w:t>
      </w:r>
    </w:p>
    <w:p w14:paraId="575FFA3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（1）由采购人开具的交入履约保证金往来款收据原件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如无法提供原件的，提供复印件及采购单位开具的收据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C484C6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（2）合同原件或复印件一份；</w:t>
      </w:r>
    </w:p>
    <w:p w14:paraId="6DF7A35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（3）使用单位的验收证明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需两人以上签名并盖章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61DE61D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（4）保证金交入时的银行回单复印件；</w:t>
      </w:r>
    </w:p>
    <w:p w14:paraId="6A5F523A">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（5）如原账户发生变更，提供说明和账户变更资料。</w:t>
      </w:r>
    </w:p>
    <w:p w14:paraId="62BD440C">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（三）付款方式：合同签订后7个工作日内支付合同款</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0%，设备到货、</w:t>
      </w:r>
      <w:r>
        <w:rPr>
          <w:rFonts w:hint="eastAsia" w:ascii="宋体" w:hAnsi="宋体" w:eastAsia="宋体" w:cs="宋体"/>
          <w:color w:val="auto"/>
          <w:szCs w:val="21"/>
          <w:highlight w:val="none"/>
          <w:lang w:eastAsia="zh-CN"/>
        </w:rPr>
        <w:t>全部软件</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eastAsia="zh-CN"/>
        </w:rPr>
        <w:t>安装完成</w:t>
      </w:r>
      <w:r>
        <w:rPr>
          <w:rFonts w:hint="eastAsia" w:ascii="宋体" w:hAnsi="宋体" w:eastAsia="宋体" w:cs="宋体"/>
          <w:color w:val="auto"/>
          <w:szCs w:val="21"/>
          <w:highlight w:val="none"/>
        </w:rPr>
        <w:t>支付合同款</w:t>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完成所有数据对接，初验通过后付20%，终验通过后付10%。</w:t>
      </w:r>
    </w:p>
    <w:p w14:paraId="0685FBC4">
      <w:pPr>
        <w:keepNext w:val="0"/>
        <w:keepLines w:val="0"/>
        <w:pageBreakBefore w:val="0"/>
        <w:widowControl/>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7、服务交付</w:t>
      </w:r>
    </w:p>
    <w:p w14:paraId="5BB8F72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（1）服务地点：甲方指定地点。</w:t>
      </w:r>
    </w:p>
    <w:p w14:paraId="05C4B07C">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（2）服务标准：符合我国国家有关技术规范要求和技术标准。</w:t>
      </w:r>
    </w:p>
    <w:p w14:paraId="0E25F8B7">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在项目实施过程中，向甲方提供齐全的电子版和书面的操作说明等文档。</w:t>
      </w:r>
    </w:p>
    <w:p w14:paraId="5CDB43EE">
      <w:pPr>
        <w:keepNext w:val="0"/>
        <w:keepLines w:val="0"/>
        <w:pageBreakBefore w:val="0"/>
        <w:widowControl/>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8、验收</w:t>
      </w:r>
    </w:p>
    <w:p w14:paraId="4C2A5AA9">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在项目即将结束，并满足要求后，经采购人确认，按照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及采购人要求的方法和 验收标准，对项目进行验收。项目最终验收，由用户确定具体时间组织专家进行项目最终验收。 验收相关费用由</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 xml:space="preserve">承担。 </w:t>
      </w:r>
    </w:p>
    <w:p w14:paraId="2B189055">
      <w:pPr>
        <w:keepNext w:val="0"/>
        <w:keepLines w:val="0"/>
        <w:pageBreakBefore w:val="0"/>
        <w:widowControl/>
        <w:kinsoku/>
        <w:wordWrap/>
        <w:overflowPunct/>
        <w:topLinePunct w:val="0"/>
        <w:autoSpaceDE w:val="0"/>
        <w:autoSpaceDN w:val="0"/>
        <w:bidi w:val="0"/>
        <w:spacing w:line="360" w:lineRule="auto"/>
        <w:ind w:firstLine="472" w:firstLineChars="224"/>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9、</w:t>
      </w:r>
      <w:r>
        <w:rPr>
          <w:rFonts w:hint="eastAsia" w:ascii="宋体" w:hAnsi="宋体" w:eastAsia="宋体" w:cs="宋体"/>
          <w:b/>
          <w:bCs/>
          <w:color w:val="auto"/>
          <w:szCs w:val="21"/>
          <w:highlight w:val="none"/>
        </w:rPr>
        <w:t>问题处理约定</w:t>
      </w:r>
    </w:p>
    <w:p w14:paraId="4C4E976B">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如果甲方发现工作成果中存在缺陷，双方应当视问题的严重性给出合适的处理措施。约定如下： </w:t>
      </w:r>
    </w:p>
    <w:p w14:paraId="56B49DD8">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如果工作成果存在严重的缺陷，则退回给乙方。乙方应当给出纠正缺陷，双方协商第二次验收的时间。乙方应当赔偿给甲方造成的损失。</w:t>
      </w:r>
    </w:p>
    <w:p w14:paraId="0A26D874">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如果工作成果存在一些轻微的缺陷，则乙方应当给出纠正缺陷的措施，双方协商是否需要第二次验收。</w:t>
      </w:r>
    </w:p>
    <w:p w14:paraId="0DEDAFB2">
      <w:pPr>
        <w:keepNext w:val="0"/>
        <w:keepLines w:val="0"/>
        <w:pageBreakBefore w:val="0"/>
        <w:widowControl/>
        <w:kinsoku/>
        <w:wordWrap/>
        <w:overflowPunct/>
        <w:topLinePunct w:val="0"/>
        <w:autoSpaceDE w:val="0"/>
        <w:autoSpaceDN w:val="0"/>
        <w:bidi w:val="0"/>
        <w:spacing w:line="360" w:lineRule="auto"/>
        <w:ind w:firstLine="472" w:firstLineChars="224"/>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10、保密责任和义务</w:t>
      </w:r>
    </w:p>
    <w:p w14:paraId="69D16F05">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14:paraId="3D4C329B">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（2）乙方知道违反本条规定将给甲方造成难以弥补的损失，为此同意承担由此产生的经济上和法律上的责任。</w:t>
      </w:r>
    </w:p>
    <w:p w14:paraId="681EC657">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（3）乙方承认本合同中的技术资料和技术秘密为甲方所专有，将其对乙方进行披露并不意味着任何所有权、专利权的转让。</w:t>
      </w:r>
    </w:p>
    <w:p w14:paraId="2F7F4383">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（4）在本合同项目的服务结束并通过验收后，乙方应向甲方提供本合同项目的服务成果。乙方应归还甲方提供的所有技术资料或文件等，并承诺不保留任何复印件。</w:t>
      </w:r>
    </w:p>
    <w:p w14:paraId="05CE4C1E">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本条规定的义务和权利在本合同期满或终止后持续有效，而不受合同履行完毕时间的限制，除非甲方自行公开技术资料和技术秘密或向乙方出具放弃保密权利的书面声明。</w:t>
      </w:r>
    </w:p>
    <w:p w14:paraId="4E9D8A38">
      <w:pPr>
        <w:keepNext w:val="0"/>
        <w:keepLines w:val="0"/>
        <w:pageBreakBefore w:val="0"/>
        <w:widowControl/>
        <w:kinsoku/>
        <w:wordWrap/>
        <w:overflowPunct/>
        <w:topLinePunct w:val="0"/>
        <w:autoSpaceDE w:val="0"/>
        <w:autoSpaceDN w:val="0"/>
        <w:bidi w:val="0"/>
        <w:spacing w:line="360" w:lineRule="auto"/>
        <w:ind w:firstLine="472" w:firstLineChars="224"/>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11、知识产权归属</w:t>
      </w:r>
    </w:p>
    <w:p w14:paraId="6CFC392F">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（1）本合同项目技术成果的专利申请权、技术秘密以及技术资料等知识产权归甲方所有。</w:t>
      </w:r>
    </w:p>
    <w:p w14:paraId="5A29C2EE">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（2）乙方原有的嵌入本项目的功能模块的知识产权归乙方所有。</w:t>
      </w:r>
    </w:p>
    <w:p w14:paraId="7F2BD7B0">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（3）乙方不得在向甲方交付研究开发成果之前，将研究开发成果及非专利技术泄露或转让给第三方。</w:t>
      </w:r>
    </w:p>
    <w:p w14:paraId="3796D7AF">
      <w:pPr>
        <w:keepNext w:val="0"/>
        <w:keepLines w:val="0"/>
        <w:pageBreakBefore w:val="0"/>
        <w:widowControl/>
        <w:kinsoku/>
        <w:wordWrap/>
        <w:overflowPunct/>
        <w:topLinePunct w:val="0"/>
        <w:autoSpaceDE w:val="0"/>
        <w:autoSpaceDN w:val="0"/>
        <w:bidi w:val="0"/>
        <w:spacing w:line="360" w:lineRule="auto"/>
        <w:ind w:firstLine="470" w:firstLineChars="22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履行本合同期间及以后，乙方不得就本合同的研究开发项目与任何第三方签订或接受委托开发合同。乙方如重复签订研究开发项目合同，应对以后签订合同的无效及其对侵犯甲方的知识产权承担所有经济和法律的责任。</w:t>
      </w:r>
    </w:p>
    <w:p w14:paraId="34666E0B">
      <w:pPr>
        <w:keepNext w:val="0"/>
        <w:keepLines w:val="0"/>
        <w:pageBreakBefore w:val="0"/>
        <w:widowControl/>
        <w:kinsoku/>
        <w:wordWrap/>
        <w:overflowPunct/>
        <w:topLinePunct w:val="0"/>
        <w:autoSpaceDE w:val="0"/>
        <w:autoSpaceDN w:val="0"/>
        <w:bidi w:val="0"/>
        <w:spacing w:line="360" w:lineRule="auto"/>
        <w:ind w:firstLine="472" w:firstLineChars="224"/>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12、</w:t>
      </w:r>
      <w:r>
        <w:rPr>
          <w:rFonts w:hint="eastAsia" w:ascii="宋体" w:hAnsi="宋体" w:eastAsia="宋体" w:cs="宋体"/>
          <w:b/>
          <w:bCs/>
          <w:color w:val="auto"/>
          <w:szCs w:val="21"/>
          <w:highlight w:val="none"/>
        </w:rPr>
        <w:t>第三方知识产权</w:t>
      </w:r>
    </w:p>
    <w:p w14:paraId="6F2D940D">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（1）乙方承诺，其在受托开发本合同项目中，不会侵犯第三方的知识产权，同时，在交付本合同成果中也不会涉及或非法使用第三方的知识产权。</w:t>
      </w:r>
    </w:p>
    <w:p w14:paraId="3C013E65">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何因甲方使用本项目的成果而引起对第三方知识产权的侵权诉讼，乙方应积极协助甲方进行抗辩。如确因本项目成果引起的侵权，乙方应承担所有的赔偿责任，包括甲方因诉讼产生的一切费用，包括但不限于诉讼费、仲裁费、调查费、律师费等。</w:t>
      </w:r>
    </w:p>
    <w:p w14:paraId="72DD797B">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w:t>
      </w:r>
      <w:r>
        <w:rPr>
          <w:rFonts w:hint="eastAsia" w:ascii="宋体" w:hAnsi="宋体" w:eastAsia="宋体" w:cs="宋体"/>
          <w:b/>
          <w:bCs/>
          <w:color w:val="auto"/>
          <w:szCs w:val="21"/>
          <w:highlight w:val="none"/>
        </w:rPr>
        <w:t>风险责任的承担</w:t>
      </w:r>
    </w:p>
    <w:p w14:paraId="5A2E0284">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过程中，由于受现有的科学知识、技术水平或试验条件的限制，发生无法预见、无法防止或无法克服的技术困难，导致研究开发工作全部或部分失败，该风险责任的损失由双方共同承担，即根据损失的金额各自承担50%。</w:t>
      </w:r>
    </w:p>
    <w:p w14:paraId="014584F9">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（2）确定上述风险必须同时具备以下三个条件：</w:t>
      </w:r>
    </w:p>
    <w:p w14:paraId="36C5E552">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服务项目本身在国际和国内现有技术水平下具有足够的难度；</w:t>
      </w:r>
    </w:p>
    <w:p w14:paraId="7645583A">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服务方在开发过程中已充分发挥了主观的努力；</w:t>
      </w:r>
    </w:p>
    <w:p w14:paraId="4A49934C">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同领域的专家认为在技术上是属于合理的失败。</w:t>
      </w:r>
    </w:p>
    <w:p w14:paraId="6BBC38CD">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（3）乙方发现可能致使研究开发失败或部分失败的情形时，应当及时通知甲方并采取适当措施减少损失。没有及时通知并采取适当措施，致使损失扩大的，乙方应当就扩大的损失承担责任。</w:t>
      </w:r>
    </w:p>
    <w:p w14:paraId="7E151FF7">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14、违约与赔偿</w:t>
      </w:r>
    </w:p>
    <w:p w14:paraId="0CA7265F">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（1）甲方未按本合同规定支付第一期服务费的，乙方有权解除合同。</w:t>
      </w:r>
    </w:p>
    <w:p w14:paraId="792CB84A">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未按计划或不实施服务工作，甲方有权要求乙方实施服务计划并采取补救措施。如乙方逾期一个月仍未按计划或不实施服务工作，甲方有权解除本合同，并且乙方应在二周内返还所有甲方提供的服务报酬，返还或销毁甲方提供的有关技术资料和文件，并承担本合同报酬总额20%的违约金。</w:t>
      </w:r>
    </w:p>
    <w:p w14:paraId="6E36E7A9">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（3）乙方应按本合同规定的服务进程完成服务项目。未经甲方同意乙方逾期完成</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项目，乙方应按逾期服务总额每日千分之六向甲方支付违约金，由甲方从待付合同款中扣除。逾期超过约定日期10个工作日不能交付的，甲方可解除本合同。乙方因逾期交付或因其他违约行为导致甲方解除合同的，乙方应向甲方支付合同总金额20%的违约金，如造成甲方损失超过违约金的，超出部分由乙方继续承担赔偿责任。</w:t>
      </w:r>
    </w:p>
    <w:p w14:paraId="3E838797">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（4）乙方未能完成甲方委托的服务项目或服务成果不符合本合同约定的要求，乙方承担本合同报酬总额20%的违约金，并返还服务费用。</w:t>
      </w:r>
    </w:p>
    <w:p w14:paraId="43F1155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（5）乙方将甲方支付的服务经费用于履行合同以外的目的，甲方有权制止并要求其纠正。如因此造成本合同服务项目停滞、延误或失败的，乙方应当承担给甲方造成的损失赔偿责任。</w:t>
      </w:r>
    </w:p>
    <w:p w14:paraId="12206BF3">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（6）因一方违约给另一方造成的损失超过约定违约金的，违约方除支付违约金外，承担赔偿损失（超出违约金部分）责任。</w:t>
      </w:r>
    </w:p>
    <w:p w14:paraId="54BAABB6">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（7）本条约定的损失，包括直接损失和间接损失。</w:t>
      </w:r>
    </w:p>
    <w:p w14:paraId="3DE2B648">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（8）因一方违约导致诉讼的，由违约方承担守约方为此支付的诉讼费、调查费及律师费等。</w:t>
      </w:r>
    </w:p>
    <w:p w14:paraId="7B206728">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w:t>
      </w:r>
      <w:r>
        <w:rPr>
          <w:rFonts w:hint="eastAsia" w:ascii="宋体" w:hAnsi="宋体" w:eastAsia="宋体" w:cs="宋体"/>
          <w:b/>
          <w:bCs/>
          <w:color w:val="auto"/>
          <w:szCs w:val="21"/>
          <w:highlight w:val="none"/>
        </w:rPr>
        <w:t xml:space="preserve">不可抗力 </w:t>
      </w:r>
    </w:p>
    <w:p w14:paraId="784C6CFC">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（1）不可抗力是指本合同生效后，发生不能预见并且对其发生和后果不能防止或避免的事件，如地震、台风、水灾、火灾、战争等，致使直接影响本合同的履行或不能按约定的条件履行。</w:t>
      </w:r>
    </w:p>
    <w:p w14:paraId="357F3B10">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（2）发生不可抗力的一方应立即通知对方，并在十五天内提供不可抗力的详情及将有关证明文件送交对方。</w:t>
      </w:r>
    </w:p>
    <w:p w14:paraId="4F3A3A6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（3）发生不可抗力事件时，甲乙双方应协商以寻找一个合理的解决方法，并尽一切努力减轻不可抗力产生的后果。</w:t>
      </w:r>
    </w:p>
    <w:p w14:paraId="3A5EAAA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（4）如不可抗力事件持续三十天时，甲乙双方应友好协商解决本合同是否继续履行或终止的问题。</w:t>
      </w:r>
    </w:p>
    <w:p w14:paraId="34EB29DF">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16、解除合同 </w:t>
      </w:r>
    </w:p>
    <w:p w14:paraId="3EEFB61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（1）如果满足以下条件，任一方在通知对方后，都可以解除本合同。</w:t>
      </w:r>
    </w:p>
    <w:p w14:paraId="58410ABB">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71C40B1">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1FF80A49">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（4）当本合同以任何原因终止时，乙方应立即停止使用并销毁包含甲方机密信息的所有物件，并证明该销毁情况；或者将这些物件归还对方。</w:t>
      </w:r>
    </w:p>
    <w:p w14:paraId="24525471">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17、争议解决</w:t>
      </w:r>
    </w:p>
    <w:p w14:paraId="416867E7">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（1）本合同及其修订本的有效性、履行和与本合同及其修订本效力有关的所有事宜，将受中华人民共和国法律管辖，任何争议仅适用中华人民共和国法律。</w:t>
      </w:r>
    </w:p>
    <w:p w14:paraId="2A560D42">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（2）甲乙双方因合同的解释或履行发生争议时，首先应争取通过友好协商解决，该协商应在三十天内解决。</w:t>
      </w:r>
    </w:p>
    <w:p w14:paraId="21F73002">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（3）如协商不能解决时，提交甲方所在地人民法院裁定。</w:t>
      </w:r>
    </w:p>
    <w:p w14:paraId="3BED356C">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（4）争议进行期间，除争议事项外，甲乙双方应继续履行各自本合同中规定的义务和行使权利。</w:t>
      </w:r>
    </w:p>
    <w:p w14:paraId="6E72B92E">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18、</w:t>
      </w:r>
      <w:r>
        <w:rPr>
          <w:rFonts w:hint="eastAsia" w:ascii="宋体" w:hAnsi="宋体" w:eastAsia="宋体" w:cs="宋体"/>
          <w:b/>
          <w:bCs/>
          <w:color w:val="auto"/>
          <w:szCs w:val="21"/>
          <w:highlight w:val="none"/>
        </w:rPr>
        <w:t xml:space="preserve">一般条款 </w:t>
      </w:r>
    </w:p>
    <w:p w14:paraId="6948A3D1">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14:paraId="5E9F61D2">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（2）如本合同的一条或者一条以上的条款被适用法律视为无法实施或无效，则：该无法实施的条款不会影响到本合同中其他任何条款。</w:t>
      </w:r>
    </w:p>
    <w:p w14:paraId="074EE4C0">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双方应本着诚信的原则商议，用一条意思最接近的条款替换该无法实施或无效的条款。</w:t>
      </w:r>
    </w:p>
    <w:p w14:paraId="39CC50FA">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（3）合同各方在此声明并保证：</w:t>
      </w:r>
    </w:p>
    <w:p w14:paraId="1D5E991C">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代表各方签署本合同的人员拥有明确的授权，其签字对签约方具有约束力；</w:t>
      </w:r>
    </w:p>
    <w:p w14:paraId="7BCCAFE2">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本合同的执行、递交与履行不会违反各方公司的章程、规定；</w:t>
      </w:r>
    </w:p>
    <w:p w14:paraId="2702BABF">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本合同的执行、递交与履行已经得到全部所需合作方或公司行为的正式授权；并且本合同已对上述方形成了有效的、具有约束力的同时能按其条款执行的义务。</w:t>
      </w:r>
    </w:p>
    <w:p w14:paraId="5769D964">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（4）双方同意，本合同条款的上下文如果表示出该条款在本合同有效期后仍然有效，则该条款在本合同有效期后应继续保持有效。</w:t>
      </w:r>
    </w:p>
    <w:p w14:paraId="180FEDF1">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（5）本合同与附件构成双方间的完整的合同，并将取代之前所有的书面或口头、执行或未执行的讨论、合同或声明。未经双方授权代表再签订正式合同，本合同将不作变化、增删和修改或其他活动。 </w:t>
      </w:r>
    </w:p>
    <w:p w14:paraId="255E2256">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19、组成合同</w:t>
      </w:r>
      <w:r>
        <w:rPr>
          <w:rFonts w:hint="eastAsia" w:ascii="宋体" w:hAnsi="宋体" w:eastAsia="宋体" w:cs="宋体"/>
          <w:b/>
          <w:bCs/>
          <w:color w:val="auto"/>
          <w:szCs w:val="21"/>
          <w:highlight w:val="none"/>
        </w:rPr>
        <w:t>文件及优先顺序</w:t>
      </w:r>
    </w:p>
    <w:p w14:paraId="186A5FA8">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组成合同的各项文件应相互解释，互为说明。除合同另有规定外，其优先顺序如下：</w:t>
      </w:r>
    </w:p>
    <w:p w14:paraId="5D8874E7">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（1）本合同。</w:t>
      </w:r>
    </w:p>
    <w:p w14:paraId="3BB2D756">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（2）中标（成交）通知书。</w:t>
      </w:r>
    </w:p>
    <w:p w14:paraId="39B08546">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投标文件</w:t>
      </w:r>
      <w:r>
        <w:rPr>
          <w:rFonts w:hint="eastAsia" w:ascii="宋体" w:hAnsi="宋体" w:eastAsia="宋体" w:cs="宋体"/>
          <w:b/>
          <w:bCs/>
          <w:color w:val="auto"/>
          <w:szCs w:val="21"/>
          <w:highlight w:val="none"/>
        </w:rPr>
        <w:t>及其附件（含</w:t>
      </w:r>
      <w:r>
        <w:rPr>
          <w:rFonts w:hint="eastAsia" w:ascii="宋体" w:hAnsi="宋体" w:eastAsia="宋体" w:cs="宋体"/>
          <w:b/>
          <w:bCs/>
          <w:color w:val="auto"/>
          <w:szCs w:val="21"/>
          <w:highlight w:val="none"/>
          <w:lang w:val="en-US" w:eastAsia="zh-CN"/>
        </w:rPr>
        <w:t>澄清函</w:t>
      </w:r>
      <w:r>
        <w:rPr>
          <w:rFonts w:hint="eastAsia" w:ascii="宋体" w:hAnsi="宋体" w:eastAsia="宋体" w:cs="宋体"/>
          <w:b/>
          <w:bCs/>
          <w:color w:val="auto"/>
          <w:szCs w:val="21"/>
          <w:highlight w:val="none"/>
        </w:rPr>
        <w:t>）；【如有负偏离</w:t>
      </w:r>
      <w:r>
        <w:rPr>
          <w:rFonts w:hint="eastAsia" w:ascii="宋体" w:hAnsi="宋体" w:eastAsia="宋体" w:cs="宋体"/>
          <w:b/>
          <w:bCs/>
          <w:color w:val="auto"/>
          <w:szCs w:val="21"/>
          <w:highlight w:val="none"/>
          <w:lang w:eastAsia="zh-CN"/>
        </w:rPr>
        <w:t>采购文件</w:t>
      </w:r>
      <w:r>
        <w:rPr>
          <w:rFonts w:hint="eastAsia" w:ascii="宋体" w:hAnsi="宋体" w:eastAsia="宋体" w:cs="宋体"/>
          <w:b/>
          <w:bCs/>
          <w:color w:val="auto"/>
          <w:szCs w:val="21"/>
          <w:highlight w:val="none"/>
        </w:rPr>
        <w:t>要求的内容，则无条件按</w:t>
      </w:r>
      <w:r>
        <w:rPr>
          <w:rFonts w:hint="eastAsia" w:ascii="宋体" w:hAnsi="宋体" w:eastAsia="宋体" w:cs="宋体"/>
          <w:b/>
          <w:bCs/>
          <w:color w:val="auto"/>
          <w:szCs w:val="21"/>
          <w:highlight w:val="none"/>
          <w:lang w:eastAsia="zh-CN"/>
        </w:rPr>
        <w:t>采购文件</w:t>
      </w:r>
      <w:r>
        <w:rPr>
          <w:rFonts w:hint="eastAsia" w:ascii="宋体" w:hAnsi="宋体" w:eastAsia="宋体" w:cs="宋体"/>
          <w:b/>
          <w:bCs/>
          <w:color w:val="auto"/>
          <w:szCs w:val="21"/>
          <w:highlight w:val="none"/>
        </w:rPr>
        <w:t>要求执行】。</w:t>
      </w:r>
    </w:p>
    <w:p w14:paraId="37607580">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eastAsia="zh-CN"/>
        </w:rPr>
        <w:t>采购文件</w:t>
      </w:r>
      <w:r>
        <w:rPr>
          <w:rFonts w:hint="eastAsia" w:ascii="宋体" w:hAnsi="宋体" w:eastAsia="宋体" w:cs="宋体"/>
          <w:b/>
          <w:bCs/>
          <w:color w:val="auto"/>
          <w:szCs w:val="21"/>
          <w:highlight w:val="none"/>
        </w:rPr>
        <w:t>（含补充文件、答疑纪要）。</w:t>
      </w:r>
    </w:p>
    <w:p w14:paraId="169DA159">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（5）标准、规范及有关技术文件。</w:t>
      </w:r>
    </w:p>
    <w:p w14:paraId="69AAF9D7">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甲乙双方有关项目实施过程中的洽商、变更等书面协议或文件作为本合同的组成部分。</w:t>
      </w:r>
    </w:p>
    <w:p w14:paraId="08A6F780">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（签订合同时，采购要求、投标的优惠承诺等均可作为合同条款。）</w:t>
      </w:r>
    </w:p>
    <w:p w14:paraId="4A313CB3">
      <w:pPr>
        <w:keepNext w:val="0"/>
        <w:keepLines w:val="0"/>
        <w:pageBreakBefore w:val="0"/>
        <w:suppressAutoHyphens/>
        <w:kinsoku/>
        <w:wordWrap/>
        <w:overflowPunct/>
        <w:topLinePunct w:val="0"/>
        <w:bidi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20、合同成立及生效</w:t>
      </w:r>
    </w:p>
    <w:p w14:paraId="71A139FE">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（1）本合同一式五份，甲乙双方各持二份，鉴证方持一份，自合同双方授权代表签字盖章并具备本合同约定的附加合同生效条件后生效，并报经浙江政府采购网的政府采购云平台备案后才能进入合同支付程序。</w:t>
      </w:r>
    </w:p>
    <w:p w14:paraId="074FC7DF">
      <w:pPr>
        <w:keepNext w:val="0"/>
        <w:keepLines w:val="0"/>
        <w:pageBreakBefore w:val="0"/>
        <w:widowControl/>
        <w:kinsoku/>
        <w:wordWrap/>
        <w:overflowPunct/>
        <w:topLinePunct w:val="0"/>
        <w:autoSpaceDE w:val="0"/>
        <w:autoSpaceDN w:val="0"/>
        <w:bidi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516" w:name="_Hlk4733863"/>
      <w:bookmarkStart w:id="517" w:name="_Hlk4733739"/>
      <w:r>
        <w:rPr>
          <w:rFonts w:hint="eastAsia" w:ascii="宋体" w:hAnsi="宋体" w:eastAsia="宋体" w:cs="宋体"/>
          <w:color w:val="auto"/>
          <w:szCs w:val="21"/>
          <w:highlight w:val="none"/>
        </w:rPr>
        <w:t>如果由于乙方原因导致合同不生效的，</w:t>
      </w:r>
      <w:bookmarkEnd w:id="516"/>
      <w:bookmarkEnd w:id="517"/>
      <w:r>
        <w:rPr>
          <w:rFonts w:hint="eastAsia" w:ascii="宋体" w:hAnsi="宋体" w:eastAsia="宋体" w:cs="宋体"/>
          <w:color w:val="auto"/>
          <w:szCs w:val="21"/>
          <w:highlight w:val="none"/>
        </w:rPr>
        <w:t>视作</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自动放弃中标资格，乙方向甲方支付数额为本项目预算金额的2%的违约金，并承担缔约过错给甲方造成的损失。</w:t>
      </w:r>
    </w:p>
    <w:tbl>
      <w:tblPr>
        <w:tblStyle w:val="23"/>
        <w:tblW w:w="0" w:type="auto"/>
        <w:tblInd w:w="468" w:type="dxa"/>
        <w:tblLayout w:type="fixed"/>
        <w:tblCellMar>
          <w:top w:w="0" w:type="dxa"/>
          <w:left w:w="108" w:type="dxa"/>
          <w:bottom w:w="0" w:type="dxa"/>
          <w:right w:w="108" w:type="dxa"/>
        </w:tblCellMar>
      </w:tblPr>
      <w:tblGrid>
        <w:gridCol w:w="4320"/>
        <w:gridCol w:w="3960"/>
      </w:tblGrid>
      <w:tr w14:paraId="263001DC">
        <w:trPr>
          <w:trHeight w:val="632" w:hRule="atLeast"/>
        </w:trPr>
        <w:tc>
          <w:tcPr>
            <w:tcW w:w="4320" w:type="dxa"/>
            <w:tcBorders>
              <w:top w:val="single" w:color="000000" w:sz="4" w:space="0"/>
              <w:left w:val="single" w:color="000000" w:sz="4" w:space="0"/>
              <w:bottom w:val="single" w:color="000000" w:sz="4" w:space="0"/>
              <w:right w:val="single" w:color="000000" w:sz="4" w:space="0"/>
            </w:tcBorders>
            <w:noWrap w:val="0"/>
            <w:vAlign w:val="top"/>
          </w:tcPr>
          <w:p w14:paraId="2664050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甲方（公章）：</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38F78097">
            <w:pPr>
              <w:spacing w:line="380" w:lineRule="exact"/>
              <w:ind w:left="1470" w:hanging="1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乙方（公章）：</w:t>
            </w:r>
          </w:p>
        </w:tc>
      </w:tr>
      <w:tr w14:paraId="724C62C2">
        <w:tblPrEx>
          <w:tblCellMar>
            <w:top w:w="0" w:type="dxa"/>
            <w:left w:w="108" w:type="dxa"/>
            <w:bottom w:w="0" w:type="dxa"/>
            <w:right w:w="108" w:type="dxa"/>
          </w:tblCellMar>
        </w:tblPrEx>
        <w:trPr>
          <w:trHeight w:val="717" w:hRule="atLeast"/>
        </w:trPr>
        <w:tc>
          <w:tcPr>
            <w:tcW w:w="4320" w:type="dxa"/>
            <w:tcBorders>
              <w:top w:val="single" w:color="000000" w:sz="4" w:space="0"/>
              <w:left w:val="single" w:color="000000" w:sz="4" w:space="0"/>
              <w:bottom w:val="single" w:color="000000" w:sz="4" w:space="0"/>
              <w:right w:val="single" w:color="000000" w:sz="4" w:space="0"/>
            </w:tcBorders>
            <w:noWrap w:val="0"/>
            <w:vAlign w:val="top"/>
          </w:tcPr>
          <w:p w14:paraId="194CD6E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法定代表人或受委托人：</w:t>
            </w:r>
          </w:p>
          <w:p w14:paraId="6A631FAC">
            <w:pPr>
              <w:spacing w:line="380" w:lineRule="exact"/>
              <w:ind w:left="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63F2196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法定代表人或受委托人：</w:t>
            </w:r>
          </w:p>
          <w:p w14:paraId="3F0C93B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383A8088">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noWrap w:val="0"/>
            <w:vAlign w:val="top"/>
          </w:tcPr>
          <w:p w14:paraId="1BE8B51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4E12F65F">
            <w:pPr>
              <w:spacing w:line="380" w:lineRule="exact"/>
              <w:ind w:left="19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1EFFF5A6">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noWrap w:val="0"/>
            <w:vAlign w:val="top"/>
          </w:tcPr>
          <w:p w14:paraId="67A49BA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6F59BA8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A91F121">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noWrap w:val="0"/>
            <w:vAlign w:val="top"/>
          </w:tcPr>
          <w:p w14:paraId="3F16791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2C7E0D9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7EE1F5C6">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noWrap w:val="0"/>
            <w:vAlign w:val="top"/>
          </w:tcPr>
          <w:p w14:paraId="3F63E11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295A57C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5FE7308D">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noWrap w:val="0"/>
            <w:vAlign w:val="top"/>
          </w:tcPr>
          <w:p w14:paraId="39067E6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账号</w:t>
            </w:r>
            <w:r>
              <w:rPr>
                <w:rFonts w:hint="eastAsia" w:ascii="宋体" w:hAnsi="宋体" w:eastAsia="宋体" w:cs="宋体"/>
                <w:color w:val="auto"/>
                <w:szCs w:val="21"/>
                <w:highlight w:val="none"/>
              </w:rPr>
              <w:t>：</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3053155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账号</w:t>
            </w:r>
            <w:r>
              <w:rPr>
                <w:rFonts w:hint="eastAsia" w:ascii="宋体" w:hAnsi="宋体" w:eastAsia="宋体" w:cs="宋体"/>
                <w:color w:val="auto"/>
                <w:szCs w:val="21"/>
                <w:highlight w:val="none"/>
              </w:rPr>
              <w:t>：</w:t>
            </w:r>
          </w:p>
        </w:tc>
      </w:tr>
      <w:tr w14:paraId="0D668382">
        <w:tblPrEx>
          <w:tblCellMar>
            <w:top w:w="0" w:type="dxa"/>
            <w:left w:w="108" w:type="dxa"/>
            <w:bottom w:w="0" w:type="dxa"/>
            <w:right w:w="108" w:type="dxa"/>
          </w:tblCellMar>
        </w:tblPrEx>
        <w:trPr>
          <w:trHeight w:val="479" w:hRule="atLeast"/>
        </w:trPr>
        <w:tc>
          <w:tcPr>
            <w:tcW w:w="4320" w:type="dxa"/>
            <w:tcBorders>
              <w:top w:val="single" w:color="000000" w:sz="4" w:space="0"/>
              <w:left w:val="single" w:color="000000" w:sz="4" w:space="0"/>
              <w:bottom w:val="single" w:color="000000" w:sz="4" w:space="0"/>
              <w:right w:val="single" w:color="000000" w:sz="4" w:space="0"/>
            </w:tcBorders>
            <w:noWrap w:val="0"/>
            <w:vAlign w:val="top"/>
          </w:tcPr>
          <w:p w14:paraId="0DD1FC0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w:t>
            </w: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c>
          <w:tcPr>
            <w:tcW w:w="3960" w:type="dxa"/>
            <w:tcBorders>
              <w:top w:val="single" w:color="000000" w:sz="4" w:space="0"/>
              <w:left w:val="single" w:color="000000" w:sz="4" w:space="0"/>
              <w:bottom w:val="single" w:color="000000" w:sz="4" w:space="0"/>
              <w:right w:val="single" w:color="000000" w:sz="4" w:space="0"/>
            </w:tcBorders>
            <w:noWrap w:val="0"/>
            <w:vAlign w:val="top"/>
          </w:tcPr>
          <w:p w14:paraId="02D4126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w:t>
            </w: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r>
      <w:tr w14:paraId="00C8B988">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66EFA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鉴证方（公章）：浙江国际招投标有限公司</w:t>
            </w:r>
          </w:p>
        </w:tc>
      </w:tr>
      <w:tr w14:paraId="68221FED">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E737C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法定代表人或受委托人：</w:t>
            </w:r>
          </w:p>
          <w:p w14:paraId="0BE23C2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4A037072">
        <w:tblPrEx>
          <w:tblCellMar>
            <w:top w:w="0" w:type="dxa"/>
            <w:left w:w="108" w:type="dxa"/>
            <w:bottom w:w="0" w:type="dxa"/>
            <w:right w:w="108" w:type="dxa"/>
          </w:tblCellMar>
        </w:tblPrEx>
        <w:trPr>
          <w:gridAfter w:val="1"/>
          <w:wAfter w:w="3960" w:type="dxa"/>
          <w:trHeight w:val="717" w:hRule="atLeast"/>
        </w:trPr>
        <w:tc>
          <w:tcPr>
            <w:tcW w:w="4320" w:type="dxa"/>
            <w:tcBorders>
              <w:top w:val="single" w:color="000000" w:sz="4" w:space="0"/>
              <w:left w:val="single" w:color="000000" w:sz="4" w:space="0"/>
              <w:bottom w:val="single" w:color="000000" w:sz="4" w:space="0"/>
              <w:right w:val="single" w:color="000000" w:sz="4" w:space="0"/>
            </w:tcBorders>
            <w:noWrap w:val="0"/>
            <w:vAlign w:val="top"/>
          </w:tcPr>
          <w:p w14:paraId="5BCB1A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地址：杭州市西湖区文三路90号东部软件园1号楼3楼</w:t>
            </w:r>
          </w:p>
        </w:tc>
      </w:tr>
      <w:tr w14:paraId="5899B04E">
        <w:tblPrEx>
          <w:tblCellMar>
            <w:top w:w="0" w:type="dxa"/>
            <w:left w:w="108" w:type="dxa"/>
            <w:bottom w:w="0" w:type="dxa"/>
            <w:right w:w="108" w:type="dxa"/>
          </w:tblCellMar>
        </w:tblPrEx>
        <w:trPr>
          <w:gridAfter w:val="1"/>
          <w:wAfter w:w="3960" w:type="dxa"/>
          <w:trHeight w:val="717" w:hRule="atLeast"/>
        </w:trPr>
        <w:tc>
          <w:tcPr>
            <w:tcW w:w="4320" w:type="dxa"/>
            <w:tcBorders>
              <w:top w:val="single" w:color="000000" w:sz="4" w:space="0"/>
              <w:left w:val="single" w:color="000000" w:sz="4" w:space="0"/>
              <w:bottom w:val="single" w:color="000000" w:sz="4" w:space="0"/>
              <w:right w:val="single" w:color="000000" w:sz="4" w:space="0"/>
            </w:tcBorders>
            <w:noWrap w:val="0"/>
            <w:vAlign w:val="top"/>
          </w:tcPr>
          <w:p w14:paraId="5CDBEF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鉴定日期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r>
    </w:tbl>
    <w:p w14:paraId="77328252">
      <w:pPr>
        <w:keepNext w:val="0"/>
        <w:keepLines w:val="0"/>
        <w:pageBreakBefore w:val="0"/>
        <w:kinsoku/>
        <w:wordWrap/>
        <w:overflowPunct/>
        <w:topLinePunct w:val="0"/>
        <w:bidi w:val="0"/>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none"/>
          <w:lang w:val="en-US" w:eastAsia="zh-CN"/>
        </w:rPr>
        <w:t xml:space="preserve">                  </w:t>
      </w:r>
    </w:p>
    <w:p w14:paraId="70E53F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auto"/>
          <w:sz w:val="30"/>
          <w:szCs w:val="30"/>
          <w:highlight w:val="none"/>
        </w:rPr>
      </w:pPr>
      <w:r>
        <w:rPr>
          <w:rFonts w:hint="eastAsia" w:ascii="宋体" w:hAnsi="宋体" w:eastAsia="宋体" w:cs="宋体"/>
          <w:color w:val="auto"/>
          <w:highlight w:val="none"/>
          <w:lang w:val="en-US" w:eastAsia="zh-CN"/>
        </w:rPr>
        <w:br w:type="page"/>
      </w:r>
      <w:bookmarkStart w:id="518" w:name="_Toc557"/>
      <w:r>
        <w:rPr>
          <w:rStyle w:val="31"/>
          <w:rFonts w:hint="eastAsia" w:ascii="宋体" w:hAnsi="宋体" w:eastAsia="宋体" w:cs="宋体"/>
          <w:b/>
          <w:bCs/>
          <w:color w:val="auto"/>
          <w:sz w:val="30"/>
          <w:szCs w:val="30"/>
          <w:highlight w:val="none"/>
        </w:rPr>
        <w:t>第五部分  评标办法（综合评分法）</w:t>
      </w:r>
      <w:bookmarkEnd w:id="509"/>
      <w:bookmarkEnd w:id="510"/>
      <w:bookmarkEnd w:id="511"/>
      <w:bookmarkEnd w:id="512"/>
      <w:bookmarkEnd w:id="513"/>
      <w:bookmarkEnd w:id="514"/>
      <w:bookmarkEnd w:id="515"/>
      <w:bookmarkEnd w:id="518"/>
    </w:p>
    <w:p w14:paraId="5F1FDBA1">
      <w:pPr>
        <w:tabs>
          <w:tab w:val="left" w:pos="735"/>
        </w:tabs>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eastAsia="宋体" w:cs="宋体"/>
          <w:color w:val="auto"/>
          <w:szCs w:val="21"/>
          <w:highlight w:val="none"/>
        </w:rPr>
        <w:t>。</w:t>
      </w:r>
    </w:p>
    <w:p w14:paraId="353612B1">
      <w:pPr>
        <w:pStyle w:val="4"/>
        <w:snapToGrid w:val="0"/>
        <w:spacing w:before="0" w:after="0" w:line="360" w:lineRule="auto"/>
        <w:rPr>
          <w:rFonts w:hint="eastAsia" w:ascii="宋体" w:hAnsi="宋体" w:eastAsia="宋体" w:cs="宋体"/>
          <w:color w:val="auto"/>
          <w:sz w:val="21"/>
          <w:szCs w:val="21"/>
          <w:highlight w:val="none"/>
        </w:rPr>
      </w:pPr>
      <w:bookmarkStart w:id="519" w:name="_Toc7363"/>
      <w:bookmarkStart w:id="520" w:name="_Toc19840"/>
      <w:bookmarkStart w:id="521" w:name="_Toc23956"/>
      <w:bookmarkStart w:id="522" w:name="_Toc12843"/>
      <w:bookmarkStart w:id="523" w:name="_Toc18993"/>
      <w:r>
        <w:rPr>
          <w:rFonts w:hint="eastAsia" w:ascii="宋体" w:hAnsi="宋体" w:eastAsia="宋体" w:cs="宋体"/>
          <w:color w:val="auto"/>
          <w:sz w:val="21"/>
          <w:szCs w:val="21"/>
          <w:highlight w:val="none"/>
        </w:rPr>
        <w:t>一、总则</w:t>
      </w:r>
      <w:bookmarkEnd w:id="519"/>
      <w:bookmarkEnd w:id="520"/>
      <w:bookmarkEnd w:id="521"/>
      <w:bookmarkEnd w:id="522"/>
      <w:bookmarkEnd w:id="523"/>
    </w:p>
    <w:p w14:paraId="7BE75195">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0B8263A6">
      <w:pPr>
        <w:pStyle w:val="4"/>
        <w:snapToGrid w:val="0"/>
        <w:spacing w:before="0" w:after="0" w:line="360" w:lineRule="auto"/>
        <w:rPr>
          <w:rFonts w:hint="eastAsia" w:ascii="宋体" w:hAnsi="宋体" w:eastAsia="宋体" w:cs="宋体"/>
          <w:color w:val="auto"/>
          <w:sz w:val="21"/>
          <w:szCs w:val="21"/>
          <w:highlight w:val="none"/>
        </w:rPr>
      </w:pPr>
      <w:bookmarkStart w:id="524" w:name="_Toc14650"/>
      <w:bookmarkStart w:id="525" w:name="_Toc11741"/>
      <w:bookmarkStart w:id="526" w:name="_Toc7677"/>
      <w:bookmarkStart w:id="527" w:name="_Toc32306"/>
      <w:bookmarkStart w:id="528" w:name="_Toc18277"/>
      <w:r>
        <w:rPr>
          <w:rFonts w:hint="eastAsia" w:ascii="宋体" w:hAnsi="宋体" w:eastAsia="宋体" w:cs="宋体"/>
          <w:color w:val="auto"/>
          <w:sz w:val="21"/>
          <w:szCs w:val="21"/>
          <w:highlight w:val="none"/>
        </w:rPr>
        <w:t>二、评标组织</w:t>
      </w:r>
      <w:bookmarkEnd w:id="524"/>
      <w:bookmarkEnd w:id="525"/>
      <w:bookmarkEnd w:id="526"/>
      <w:bookmarkEnd w:id="527"/>
      <w:bookmarkEnd w:id="528"/>
    </w:p>
    <w:p w14:paraId="552CAC13">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529" w:name="_Toc18118"/>
      <w:r>
        <w:rPr>
          <w:rFonts w:hint="eastAsia" w:ascii="宋体" w:hAnsi="宋体" w:eastAsia="宋体" w:cs="宋体"/>
          <w:snapToGrid w:val="0"/>
          <w:color w:val="auto"/>
          <w:kern w:val="0"/>
          <w:szCs w:val="21"/>
          <w:highlight w:val="none"/>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14:paraId="48348284">
      <w:pPr>
        <w:pStyle w:val="4"/>
        <w:snapToGrid w:val="0"/>
        <w:spacing w:before="0" w:after="0" w:line="360" w:lineRule="auto"/>
        <w:rPr>
          <w:rFonts w:hint="eastAsia" w:ascii="宋体" w:hAnsi="宋体" w:eastAsia="宋体" w:cs="宋体"/>
          <w:color w:val="auto"/>
          <w:sz w:val="21"/>
          <w:szCs w:val="21"/>
          <w:highlight w:val="none"/>
        </w:rPr>
      </w:pPr>
      <w:bookmarkStart w:id="530" w:name="_Toc21085"/>
      <w:bookmarkStart w:id="531" w:name="_Toc31643"/>
      <w:bookmarkStart w:id="532" w:name="_Toc31259"/>
      <w:bookmarkStart w:id="533" w:name="_Toc27167"/>
      <w:r>
        <w:rPr>
          <w:rFonts w:hint="eastAsia" w:ascii="宋体" w:hAnsi="宋体" w:eastAsia="宋体" w:cs="宋体"/>
          <w:color w:val="auto"/>
          <w:sz w:val="21"/>
          <w:szCs w:val="21"/>
          <w:highlight w:val="none"/>
        </w:rPr>
        <w:t>三、评标纪律</w:t>
      </w:r>
      <w:bookmarkEnd w:id="529"/>
      <w:bookmarkEnd w:id="530"/>
      <w:bookmarkEnd w:id="531"/>
      <w:bookmarkEnd w:id="532"/>
      <w:bookmarkEnd w:id="533"/>
    </w:p>
    <w:p w14:paraId="748D577B">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1．评标是招标工作的重要环节，评标工作在评标委员会内独立进行。评标委员会将按照评标原则的要求，公正、平等地对待所有投标人。</w:t>
      </w:r>
    </w:p>
    <w:p w14:paraId="36E7A3A7">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2．所有评标人员应忠于职守、廉洁自律、秉公办事、不徇私情。</w:t>
      </w:r>
    </w:p>
    <w:p w14:paraId="0405B837">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3．评标人员不得接受或参加投标人或与投标有关的单位、组织或个人的有碍公务的宴请、娱乐活动等，不得以任何形式弄虚作假。</w:t>
      </w:r>
    </w:p>
    <w:p w14:paraId="4BE6F00C">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4．评标期间，评标人员不得随意出入评标地点、与外界通讯、会客等。</w:t>
      </w:r>
    </w:p>
    <w:p w14:paraId="107E5C86">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5．在投标文件的审查、澄清、评价和比较以及授予合同的过程中，投标人对采购人、采购代理机构人员及评标委员会成员施加影响的任何行为，都将导致被取消投标资格。</w:t>
      </w:r>
    </w:p>
    <w:p w14:paraId="7BAD1707">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3D495555">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14:paraId="28294878">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8．评标结束后，各评标人员应将全部资料整理上交采购人，严禁将评标过程中的任何资料带出评标现场向投标人或其他单位提供。</w:t>
      </w:r>
    </w:p>
    <w:p w14:paraId="209197D0">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9．在中标结果公布前应对评标委员会成员名单予以保密。</w:t>
      </w:r>
    </w:p>
    <w:p w14:paraId="10B7D684">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10．评标委员会对各投标人的商业秘密予以保密。</w:t>
      </w:r>
    </w:p>
    <w:p w14:paraId="6B5BEE5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11．评标委员会成员应当客观、公正地履行职责，遵守职业道德，对所提出的评审意见承担个人责任。</w:t>
      </w:r>
    </w:p>
    <w:p w14:paraId="1788FAE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12．在整个评标过程中，投标人企图影响招标结果的任何活动，可能导致其投标失败。如有违法行为，将依法追究其法律责任。</w:t>
      </w:r>
    </w:p>
    <w:p w14:paraId="4EC8E7B9">
      <w:pPr>
        <w:pStyle w:val="4"/>
        <w:snapToGrid w:val="0"/>
        <w:spacing w:before="0" w:after="0" w:line="360" w:lineRule="auto"/>
        <w:rPr>
          <w:rFonts w:hint="eastAsia" w:ascii="宋体" w:hAnsi="宋体" w:eastAsia="宋体" w:cs="宋体"/>
          <w:color w:val="auto"/>
          <w:sz w:val="21"/>
          <w:szCs w:val="21"/>
          <w:highlight w:val="none"/>
        </w:rPr>
      </w:pPr>
      <w:bookmarkStart w:id="534" w:name="_Toc17717"/>
      <w:bookmarkStart w:id="535" w:name="_Toc19445"/>
      <w:bookmarkStart w:id="536" w:name="_Toc5927"/>
      <w:bookmarkStart w:id="537" w:name="_Toc21334"/>
      <w:bookmarkStart w:id="538" w:name="_Toc6498"/>
      <w:bookmarkStart w:id="539" w:name="_Toc25677"/>
      <w:r>
        <w:rPr>
          <w:rFonts w:hint="eastAsia" w:ascii="宋体" w:hAnsi="宋体" w:eastAsia="宋体" w:cs="宋体"/>
          <w:color w:val="auto"/>
          <w:sz w:val="21"/>
          <w:szCs w:val="21"/>
          <w:highlight w:val="none"/>
        </w:rPr>
        <w:t>四、评标程序</w:t>
      </w:r>
      <w:bookmarkEnd w:id="534"/>
      <w:bookmarkEnd w:id="535"/>
      <w:bookmarkEnd w:id="536"/>
      <w:bookmarkEnd w:id="537"/>
      <w:bookmarkEnd w:id="538"/>
      <w:bookmarkEnd w:id="539"/>
    </w:p>
    <w:p w14:paraId="73BA23B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1．本项目采用不公开方式评标，评标的依据为采购文件和投标文件。</w:t>
      </w:r>
    </w:p>
    <w:p w14:paraId="05568C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2．熟悉采购文件和评标办法。</w:t>
      </w:r>
    </w:p>
    <w:p w14:paraId="4519CC4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3．采购代理机构按照采购文件规定的时间、地点及程序组织评审。流程如下：</w:t>
      </w:r>
    </w:p>
    <w:p w14:paraId="7E756BEE">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开启评审场地的录音录像采集设备，并确保其正常运行。</w:t>
      </w:r>
    </w:p>
    <w:p w14:paraId="6F743852">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核验出席评审活动现场的评审小组各成员和相关监督人员身份，并要求其分别登记、签到，按规定统一收缴、保存其通讯工具，无关人员一律拒绝其进入评审现场。</w:t>
      </w:r>
    </w:p>
    <w:p w14:paraId="632DEC94">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介绍评审现场的人员情况，宣布评审工作纪律，告知评审人员应当回避情形；组织推选评审小组组长。</w:t>
      </w:r>
    </w:p>
    <w:p w14:paraId="23D6CD9D">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通报报名参加本项目采购的投标人名单及资格预审情况（如有），宣读最终提交采购响应文件的投标人名单，组织评审小组各位成员签订《政府采购评审人员廉洁自律承诺书》。</w:t>
      </w:r>
    </w:p>
    <w:p w14:paraId="112F0358">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根据需要简要介绍采购文件（含补充文件）制定及质疑答复情况、按书面陈述项目基本情况及评审工作需注意事项等。</w:t>
      </w:r>
    </w:p>
    <w:p w14:paraId="47976180">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评审小组组长组织评审人员独立评审。评标程序见本文件投标须知第21.4条。</w:t>
      </w:r>
    </w:p>
    <w:p w14:paraId="46A5A4CF">
      <w:pPr>
        <w:tabs>
          <w:tab w:val="left" w:pos="851"/>
          <w:tab w:val="left" w:pos="993"/>
        </w:tabs>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5ADA984F">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评审小组根据评审汇总情况和采购文件规定确定中标（成交）候选供应商排序名单。</w:t>
      </w:r>
    </w:p>
    <w:p w14:paraId="63B76C22">
      <w:pPr>
        <w:numPr>
          <w:ilvl w:val="1"/>
          <w:numId w:val="24"/>
        </w:numPr>
        <w:tabs>
          <w:tab w:val="left" w:pos="851"/>
          <w:tab w:val="left" w:pos="993"/>
        </w:tabs>
        <w:adjustRightInd w:val="0"/>
        <w:snapToGrid w:val="0"/>
        <w:spacing w:line="360" w:lineRule="auto"/>
        <w:ind w:left="0"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起草评审报告，所有评审人员须在评审报告上签字确认。</w:t>
      </w:r>
    </w:p>
    <w:p w14:paraId="4784309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09DBCA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评标报告是评标委员会根据全体评标成员签字的原始评标记录和评标结果编写的报告，其主要内容包括：</w:t>
      </w:r>
    </w:p>
    <w:p w14:paraId="770246E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（1）采购公告刊登的媒体名称、开标日期和地点；</w:t>
      </w:r>
    </w:p>
    <w:p w14:paraId="02EFD9B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（2）获取采购文件的投标人名单和评标委员会成员名单；</w:t>
      </w:r>
    </w:p>
    <w:p w14:paraId="0994A0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（3）评标方法和标准；</w:t>
      </w:r>
    </w:p>
    <w:p w14:paraId="1474C9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（4）开标记录和评标情况及说明，包括投标无效投标人名单及原因；</w:t>
      </w:r>
    </w:p>
    <w:p w14:paraId="218C4A5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（5）评标结果和中标候选人排序；</w:t>
      </w:r>
    </w:p>
    <w:p w14:paraId="134ABB5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（6）评标委员会的授标建议。</w:t>
      </w:r>
    </w:p>
    <w:p w14:paraId="12A2E898">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4.评标程序</w:t>
      </w:r>
    </w:p>
    <w:p w14:paraId="0ACC455B">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4.1投标文件初审。初审分为资格性检查和符合性检查。</w:t>
      </w:r>
    </w:p>
    <w:p w14:paraId="62B05025">
      <w:pPr>
        <w:numPr>
          <w:ilvl w:val="0"/>
          <w:numId w:val="25"/>
        </w:num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资格性检查。</w:t>
      </w:r>
    </w:p>
    <w:p w14:paraId="4D686A7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开标后，采购人或采购代理机构将依据法律法规和投标须知第9.1条规定对投标人的基本资格条件、落实政府采购政策需满足的资格要求及特定资格条件进行审查。</w:t>
      </w:r>
    </w:p>
    <w:p w14:paraId="0154667C">
      <w:pPr>
        <w:numPr>
          <w:ilvl w:val="0"/>
          <w:numId w:val="25"/>
        </w:num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符合性检查。依据采购文件的规定，从投标文件的有效性、完整性和对采购文件的响应程度进行审查，以确定是否对采购文件的实质性要求作出响应。具体审查内容见“无效投标的认定”。</w:t>
      </w:r>
    </w:p>
    <w:p w14:paraId="56BD6C34">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评标委员会决定投标文件的响应性只根据投标文件本身的内容，而不寻求外部证据。</w:t>
      </w:r>
    </w:p>
    <w:p w14:paraId="7E641FC1">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如果投标文件没有实质上响应采购文件的要求，评标委员会将判定无效，投标人不得通过修改或撤销不合要求的偏离或保留而使其投标成为实质性响应的投标。</w:t>
      </w:r>
    </w:p>
    <w:p w14:paraId="0B2813D3">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14:paraId="2909A250">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投标人的澄清、说明或者补正应当加盖投标人电子签章后上传提交（或通过平台上传经授权代表签字或加盖公章的扫描件）。</w:t>
      </w:r>
    </w:p>
    <w:p w14:paraId="181921E7">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授权代表对澄清、说明或者补正内容未签字确认的，将自行承担由此可能导致的对其不利的评审结果，评标委员会按少数服从多数原则对相关内容进行评判。</w:t>
      </w:r>
    </w:p>
    <w:p w14:paraId="333D6ECD">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除邮件交互外，如政采云平台提供信息发布、澄清说明、数据交换等操作方式的，或者政采云系统平台有新的操作流程的，按其规定。</w:t>
      </w:r>
    </w:p>
    <w:p w14:paraId="45CB6FB4">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4.3修正原则</w:t>
      </w:r>
    </w:p>
    <w:p w14:paraId="6FB7E65E">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投标文件报价出现前后不一致的，按照下列规定修正：</w:t>
      </w:r>
    </w:p>
    <w:p w14:paraId="41AB68BC">
      <w:pPr>
        <w:numPr>
          <w:ilvl w:val="0"/>
          <w:numId w:val="26"/>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212C9CC6">
      <w:pPr>
        <w:numPr>
          <w:ilvl w:val="0"/>
          <w:numId w:val="26"/>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4D16F41C">
      <w:pPr>
        <w:numPr>
          <w:ilvl w:val="0"/>
          <w:numId w:val="26"/>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0DA76512">
      <w:pPr>
        <w:numPr>
          <w:ilvl w:val="0"/>
          <w:numId w:val="26"/>
        </w:numPr>
        <w:tabs>
          <w:tab w:val="left" w:pos="630"/>
          <w:tab w:val="left" w:pos="840"/>
          <w:tab w:val="left" w:pos="1050"/>
        </w:tabs>
        <w:adjustRightInd w:val="0"/>
        <w:snapToGrid w:val="0"/>
        <w:spacing w:line="360" w:lineRule="auto"/>
        <w:ind w:left="5" w:firstLine="6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54CE3CB1">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E3C42AF">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(5)政采云平台填报的开标一览表中的价格与上传的报价响应文件中开标一览表的报价不一致的，以上传的报价响应文件中开标一览表的价格为准，修正平台上的投标报价。</w:t>
      </w:r>
    </w:p>
    <w:p w14:paraId="1789837B">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4.4比较与评价。</w:t>
      </w:r>
    </w:p>
    <w:p w14:paraId="2FD8C3BB">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按采购文件中规定的评标方法和标准，对资格性检查和符合性检查合格的投标文件进行商务和技术评估，综合比较与评价。</w:t>
      </w:r>
    </w:p>
    <w:p w14:paraId="02FF8818">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4.5按采购文件中规定的评标方法和标准，对投标人进行排序，并推荐中标候选人。</w:t>
      </w:r>
    </w:p>
    <w:p w14:paraId="37445BE8">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4.6编写评标报告。</w:t>
      </w:r>
    </w:p>
    <w:p w14:paraId="28844891">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5．无效投标的认定</w:t>
      </w:r>
    </w:p>
    <w:p w14:paraId="1DFB8B71">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5.1资格审查阶段</w:t>
      </w:r>
    </w:p>
    <w:p w14:paraId="227D58A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14:paraId="5A40E733">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《中小企业声明函》填写企业类型错误或者未填写企业类型的，投标无效。</w:t>
      </w:r>
    </w:p>
    <w:p w14:paraId="20C62A8B">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5.2商务技术文件评审阶段</w:t>
      </w:r>
    </w:p>
    <w:p w14:paraId="39BB853F">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98B4D20">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5.2.1如发现下列情形之一的，商务文件将被视为无效投标：</w:t>
      </w:r>
    </w:p>
    <w:p w14:paraId="4FC1936C">
      <w:pPr>
        <w:numPr>
          <w:ilvl w:val="0"/>
          <w:numId w:val="27"/>
        </w:numPr>
        <w:tabs>
          <w:tab w:val="left" w:pos="900"/>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投标文件中授权委托书所载内容与本项目内容有异的或者授权委托书未按照采购文件要求签署、盖章的；</w:t>
      </w:r>
    </w:p>
    <w:p w14:paraId="2EE8BB4C">
      <w:pPr>
        <w:numPr>
          <w:ilvl w:val="0"/>
          <w:numId w:val="27"/>
        </w:numPr>
        <w:tabs>
          <w:tab w:val="left" w:pos="900"/>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投标文件内容弄虚作假的</w:t>
      </w:r>
      <w:r>
        <w:rPr>
          <w:rFonts w:hint="eastAsia" w:ascii="宋体" w:hAnsi="宋体" w:eastAsia="宋体" w:cs="宋体"/>
          <w:b/>
          <w:snapToGrid w:val="0"/>
          <w:color w:val="auto"/>
          <w:kern w:val="0"/>
          <w:szCs w:val="21"/>
          <w:highlight w:val="none"/>
          <w:lang w:eastAsia="zh-CN"/>
        </w:rPr>
        <w:t>（</w:t>
      </w:r>
      <w:r>
        <w:rPr>
          <w:rFonts w:hint="eastAsia" w:ascii="宋体" w:hAnsi="宋体" w:eastAsia="宋体" w:cs="宋体"/>
          <w:b/>
          <w:snapToGrid w:val="0"/>
          <w:color w:val="auto"/>
          <w:kern w:val="0"/>
          <w:szCs w:val="21"/>
          <w:highlight w:val="none"/>
          <w:lang w:val="en-US" w:eastAsia="zh-CN"/>
        </w:rPr>
        <w:t>包括商务文件标明的响应或偏离与事实不符）</w:t>
      </w:r>
      <w:r>
        <w:rPr>
          <w:rFonts w:hint="eastAsia" w:ascii="宋体" w:hAnsi="宋体" w:eastAsia="宋体" w:cs="宋体"/>
          <w:b/>
          <w:snapToGrid w:val="0"/>
          <w:color w:val="auto"/>
          <w:kern w:val="0"/>
          <w:szCs w:val="21"/>
          <w:highlight w:val="none"/>
        </w:rPr>
        <w:t>；</w:t>
      </w:r>
    </w:p>
    <w:p w14:paraId="0762D24F">
      <w:pPr>
        <w:numPr>
          <w:ilvl w:val="0"/>
          <w:numId w:val="27"/>
        </w:numPr>
        <w:tabs>
          <w:tab w:val="left" w:pos="900"/>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商务文件未按采购文件要求盖章的；</w:t>
      </w:r>
    </w:p>
    <w:p w14:paraId="702AF0E2">
      <w:pPr>
        <w:numPr>
          <w:ilvl w:val="0"/>
          <w:numId w:val="27"/>
        </w:numPr>
        <w:tabs>
          <w:tab w:val="left" w:pos="900"/>
          <w:tab w:val="left" w:pos="1080"/>
        </w:tabs>
        <w:adjustRightInd w:val="0"/>
        <w:snapToGrid w:val="0"/>
        <w:spacing w:line="360" w:lineRule="auto"/>
        <w:ind w:left="0" w:firstLine="360"/>
        <w:jc w:val="left"/>
        <w:rPr>
          <w:rFonts w:hint="eastAsia" w:ascii="宋体" w:hAnsi="宋体" w:eastAsia="宋体" w:cs="宋体"/>
          <w:b/>
          <w:snapToGrid w:val="0"/>
          <w:color w:val="auto"/>
          <w:kern w:val="0"/>
          <w:szCs w:val="21"/>
          <w:highlight w:val="none"/>
        </w:rPr>
      </w:pPr>
      <w:r>
        <w:rPr>
          <w:rFonts w:hint="eastAsia" w:ascii="宋体" w:hAnsi="宋体" w:eastAsia="宋体" w:cs="宋体"/>
          <w:b/>
          <w:bCs/>
          <w:color w:val="auto"/>
          <w:szCs w:val="21"/>
          <w:highlight w:val="none"/>
        </w:rPr>
        <w:t>不响应采购文件标注“</w:t>
      </w:r>
      <w:r>
        <w:rPr>
          <w:rFonts w:hint="eastAsia" w:ascii="宋体" w:hAnsi="宋体" w:eastAsia="宋体" w:cs="宋体"/>
          <w:snapToGrid w:val="0"/>
          <w:color w:val="auto"/>
          <w:kern w:val="0"/>
          <w:szCs w:val="21"/>
          <w:highlight w:val="none"/>
        </w:rPr>
        <w:t>▲</w:t>
      </w:r>
      <w:r>
        <w:rPr>
          <w:rFonts w:hint="eastAsia" w:ascii="宋体" w:hAnsi="宋体" w:eastAsia="宋体" w:cs="宋体"/>
          <w:b/>
          <w:bCs/>
          <w:color w:val="auto"/>
          <w:szCs w:val="21"/>
          <w:highlight w:val="none"/>
        </w:rPr>
        <w:t>”条款要求的；</w:t>
      </w:r>
    </w:p>
    <w:p w14:paraId="59FC8E73">
      <w:pPr>
        <w:numPr>
          <w:ilvl w:val="0"/>
          <w:numId w:val="27"/>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投标有效期、服务期等条款不满足采购文件要求的；</w:t>
      </w:r>
    </w:p>
    <w:p w14:paraId="553F7C50">
      <w:pPr>
        <w:numPr>
          <w:ilvl w:val="0"/>
          <w:numId w:val="27"/>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投标人有恶意串通、妨碍其他投标人的竞争行为、损害采购人或者其他投标人的合法权益情形的；</w:t>
      </w:r>
    </w:p>
    <w:p w14:paraId="3952B5AC">
      <w:pPr>
        <w:numPr>
          <w:ilvl w:val="0"/>
          <w:numId w:val="27"/>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与同一个采购包（标段）的供应商存在下列情形之一的，其投标（响应）文件无效：①不同供应商的电子投标（响应）文件上传计算机的网卡MAC地址、CPU序列号和硬盘序列号等硬件信息相同的；②上传的电子投标（响应）文件若出现使用本项目其他投标（响应）人的数字证书加密的，或者加盖本项目其他投标（响应）人的电子印章的；③不同供应商的投标（响应）文件的内容存在两处以上细节错误一致，且无法合理解释的；④不同供应商联系人为同一人或不同联系人的联系电话一致，且无法合理解释的；</w:t>
      </w:r>
    </w:p>
    <w:p w14:paraId="13E79253">
      <w:pPr>
        <w:numPr>
          <w:ilvl w:val="0"/>
          <w:numId w:val="27"/>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存在法律、法规规定及采购文件规定</w:t>
      </w:r>
      <w:r>
        <w:rPr>
          <w:rFonts w:hint="eastAsia" w:ascii="宋体" w:hAnsi="宋体" w:eastAsia="宋体" w:cs="宋体"/>
          <w:b/>
          <w:bCs/>
          <w:color w:val="auto"/>
          <w:szCs w:val="21"/>
          <w:highlight w:val="none"/>
          <w:lang w:eastAsia="zh-CN"/>
        </w:rPr>
        <w:t>的其他</w:t>
      </w:r>
      <w:r>
        <w:rPr>
          <w:rFonts w:hint="eastAsia" w:ascii="宋体" w:hAnsi="宋体" w:eastAsia="宋体" w:cs="宋体"/>
          <w:b/>
          <w:bCs/>
          <w:color w:val="auto"/>
          <w:szCs w:val="21"/>
          <w:highlight w:val="none"/>
        </w:rPr>
        <w:t>无效情形的。</w:t>
      </w:r>
    </w:p>
    <w:p w14:paraId="567D6722">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5.2.2如发现下列情形之一的，技术文件将被视为无效投标：</w:t>
      </w:r>
    </w:p>
    <w:p w14:paraId="0B8EBD01">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技术文件未按采购文件要求盖章的；</w:t>
      </w:r>
    </w:p>
    <w:p w14:paraId="7A0BD5DB">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投标文件内容弄虚作假的（包括</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文件标明的响应或偏离与事实不符）；</w:t>
      </w:r>
    </w:p>
    <w:p w14:paraId="7E981A31">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明显不符合采购内容、质量标准，或者与采购文件中标注“▲”条款存在实质性偏离的；</w:t>
      </w:r>
    </w:p>
    <w:p w14:paraId="49B9604A">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投标文件含有采购人不能接受的附加条件的；</w:t>
      </w:r>
    </w:p>
    <w:p w14:paraId="3E7E4A8B">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color w:val="auto"/>
          <w:szCs w:val="21"/>
          <w:highlight w:val="none"/>
        </w:rPr>
        <w:t>投标人有恶意串通、妨碍其他投标人的竞争行为、损害采购人或者其他投标人的合法权益情形的；</w:t>
      </w:r>
    </w:p>
    <w:p w14:paraId="73CFA7D6">
      <w:pPr>
        <w:numPr>
          <w:ilvl w:val="0"/>
          <w:numId w:val="28"/>
        </w:numPr>
        <w:tabs>
          <w:tab w:val="left" w:pos="900"/>
          <w:tab w:val="left" w:pos="1080"/>
        </w:tabs>
        <w:adjustRightInd w:val="0"/>
        <w:snapToGrid w:val="0"/>
        <w:spacing w:line="360" w:lineRule="auto"/>
        <w:ind w:left="0" w:firstLine="36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存在法律、法规规定及采购文件规定</w:t>
      </w:r>
      <w:r>
        <w:rPr>
          <w:rFonts w:hint="eastAsia" w:ascii="宋体" w:hAnsi="宋体" w:eastAsia="宋体" w:cs="宋体"/>
          <w:b/>
          <w:bCs/>
          <w:snapToGrid w:val="0"/>
          <w:color w:val="auto"/>
          <w:kern w:val="0"/>
          <w:szCs w:val="21"/>
          <w:highlight w:val="none"/>
          <w:lang w:eastAsia="zh-CN"/>
        </w:rPr>
        <w:t>的其他</w:t>
      </w:r>
      <w:r>
        <w:rPr>
          <w:rFonts w:hint="eastAsia" w:ascii="宋体" w:hAnsi="宋体" w:eastAsia="宋体" w:cs="宋体"/>
          <w:b/>
          <w:bCs/>
          <w:snapToGrid w:val="0"/>
          <w:color w:val="auto"/>
          <w:kern w:val="0"/>
          <w:szCs w:val="21"/>
          <w:highlight w:val="none"/>
        </w:rPr>
        <w:t>无效情形的。</w:t>
      </w:r>
    </w:p>
    <w:p w14:paraId="11CF261A">
      <w:pPr>
        <w:adjustRightInd w:val="0"/>
        <w:snapToGrid w:val="0"/>
        <w:spacing w:line="360" w:lineRule="auto"/>
        <w:ind w:firstLine="422" w:firstLineChars="200"/>
        <w:jc w:val="left"/>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5.3报价响应文件评审阶段</w:t>
      </w:r>
    </w:p>
    <w:p w14:paraId="19852363">
      <w:pPr>
        <w:tabs>
          <w:tab w:val="left" w:pos="900"/>
          <w:tab w:val="left" w:pos="1080"/>
        </w:tabs>
        <w:adjustRightInd w:val="0"/>
        <w:snapToGrid w:val="0"/>
        <w:spacing w:line="360" w:lineRule="auto"/>
        <w:ind w:left="360"/>
        <w:jc w:val="left"/>
        <w:rPr>
          <w:rFonts w:hint="eastAsia" w:ascii="宋体" w:hAnsi="宋体" w:eastAsia="宋体" w:cs="宋体"/>
          <w:b/>
          <w:bCs/>
          <w:color w:val="auto"/>
          <w:szCs w:val="21"/>
          <w:highlight w:val="none"/>
        </w:rPr>
      </w:pPr>
      <w:r>
        <w:rPr>
          <w:rFonts w:hint="eastAsia" w:ascii="宋体" w:hAnsi="宋体" w:eastAsia="宋体" w:cs="宋体"/>
          <w:snapToGrid w:val="0"/>
          <w:color w:val="auto"/>
          <w:kern w:val="0"/>
          <w:szCs w:val="21"/>
          <w:highlight w:val="none"/>
        </w:rPr>
        <w:t>在报价评审时，如发现下列情形之一的，投标文件将被视为无效：</w:t>
      </w:r>
    </w:p>
    <w:p w14:paraId="158DCE84">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报价文件未按采购文件要求盖章的；</w:t>
      </w:r>
    </w:p>
    <w:p w14:paraId="504D578E">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开标一览表投标报价为零的（包括投标文件中标明：免费或赠予）或其报价（大写）无法按正常书写方式进行报价唱标的或无投标报价的；</w:t>
      </w:r>
    </w:p>
    <w:p w14:paraId="250EAA55">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投标文件中的投标报价出现前后不一致等本部分第4.3条适用的情形时，投标人不同意按本部分“第4.3修正原则”进行修正并确认的；</w:t>
      </w:r>
    </w:p>
    <w:p w14:paraId="3EDDF1BD">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政采云平台上传的报价响应文件缺少最基本的报价内容（如开标一览表）的；</w:t>
      </w:r>
    </w:p>
    <w:p w14:paraId="7AEF6523">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报价明细表存在缺漏项的；</w:t>
      </w:r>
    </w:p>
    <w:p w14:paraId="02B03B0B">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bCs/>
          <w:color w:val="auto"/>
          <w:szCs w:val="21"/>
          <w:highlight w:val="none"/>
        </w:rPr>
      </w:pPr>
      <w:r>
        <w:rPr>
          <w:rFonts w:hint="eastAsia" w:ascii="宋体" w:hAnsi="宋体" w:eastAsia="宋体" w:cs="宋体"/>
          <w:b/>
          <w:snapToGrid w:val="0"/>
          <w:color w:val="auto"/>
          <w:kern w:val="0"/>
          <w:highlight w:val="none"/>
        </w:rPr>
        <w:t>投标人提交两份或多份内容不同的报价响应文件，或在一份报价响应文件中对同一内容报有两个或多个报价，且未声明哪一个为最终报价的；</w:t>
      </w:r>
    </w:p>
    <w:p w14:paraId="008FA5AD">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14:paraId="5F58F560">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投标报价超过采购文件中规定的预算金额（或最高限价）的；</w:t>
      </w:r>
    </w:p>
    <w:p w14:paraId="6ACC9FBD">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投标人有恶意串通、妨碍其他投标人的竞争行为、损害采购人或者其他投标人的合法权益情形的；</w:t>
      </w:r>
    </w:p>
    <w:p w14:paraId="6BF0AFDF">
      <w:pPr>
        <w:numPr>
          <w:ilvl w:val="0"/>
          <w:numId w:val="29"/>
        </w:numPr>
        <w:tabs>
          <w:tab w:val="left" w:pos="900"/>
          <w:tab w:val="left" w:pos="1080"/>
        </w:tabs>
        <w:adjustRightInd w:val="0"/>
        <w:snapToGrid w:val="0"/>
        <w:spacing w:line="360" w:lineRule="auto"/>
        <w:ind w:left="0" w:firstLine="360"/>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存在法律、法规规定及采购文件规定</w:t>
      </w:r>
      <w:r>
        <w:rPr>
          <w:rFonts w:hint="eastAsia" w:ascii="宋体" w:hAnsi="宋体" w:eastAsia="宋体" w:cs="宋体"/>
          <w:b/>
          <w:snapToGrid w:val="0"/>
          <w:color w:val="auto"/>
          <w:kern w:val="0"/>
          <w:highlight w:val="none"/>
          <w:lang w:eastAsia="zh-CN"/>
        </w:rPr>
        <w:t>的其他</w:t>
      </w:r>
      <w:r>
        <w:rPr>
          <w:rFonts w:hint="eastAsia" w:ascii="宋体" w:hAnsi="宋体" w:eastAsia="宋体" w:cs="宋体"/>
          <w:b/>
          <w:snapToGrid w:val="0"/>
          <w:color w:val="auto"/>
          <w:kern w:val="0"/>
          <w:highlight w:val="none"/>
        </w:rPr>
        <w:t>无效情形的。</w:t>
      </w:r>
    </w:p>
    <w:p w14:paraId="29F8D400">
      <w:pPr>
        <w:pStyle w:val="4"/>
        <w:numPr>
          <w:ilvl w:val="0"/>
          <w:numId w:val="30"/>
        </w:numPr>
        <w:snapToGrid w:val="0"/>
        <w:spacing w:before="0" w:after="0" w:line="360" w:lineRule="auto"/>
        <w:rPr>
          <w:rFonts w:hint="eastAsia" w:ascii="宋体" w:hAnsi="宋体" w:eastAsia="宋体" w:cs="宋体"/>
          <w:color w:val="auto"/>
          <w:sz w:val="21"/>
          <w:szCs w:val="21"/>
          <w:highlight w:val="none"/>
        </w:rPr>
      </w:pPr>
      <w:bookmarkStart w:id="540" w:name="_Toc251566666"/>
      <w:bookmarkStart w:id="541" w:name="_Toc249760795"/>
      <w:bookmarkStart w:id="542" w:name="_Toc14251"/>
      <w:bookmarkStart w:id="543" w:name="_Toc15564"/>
      <w:bookmarkStart w:id="544" w:name="_Toc11517"/>
      <w:bookmarkStart w:id="545" w:name="_Toc2295"/>
      <w:bookmarkStart w:id="546" w:name="_Toc20349"/>
      <w:bookmarkStart w:id="547" w:name="_Toc16354"/>
      <w:r>
        <w:rPr>
          <w:rFonts w:hint="eastAsia" w:ascii="宋体" w:hAnsi="宋体" w:eastAsia="宋体" w:cs="宋体"/>
          <w:color w:val="auto"/>
          <w:sz w:val="21"/>
          <w:szCs w:val="21"/>
          <w:highlight w:val="none"/>
        </w:rPr>
        <w:t>评标</w:t>
      </w:r>
      <w:bookmarkEnd w:id="540"/>
      <w:bookmarkEnd w:id="541"/>
      <w:r>
        <w:rPr>
          <w:rFonts w:hint="eastAsia" w:ascii="宋体" w:hAnsi="宋体" w:eastAsia="宋体" w:cs="宋体"/>
          <w:color w:val="auto"/>
          <w:sz w:val="21"/>
          <w:szCs w:val="21"/>
          <w:highlight w:val="none"/>
        </w:rPr>
        <w:t>细则及标准</w:t>
      </w:r>
      <w:bookmarkEnd w:id="542"/>
      <w:bookmarkEnd w:id="543"/>
      <w:bookmarkEnd w:id="544"/>
      <w:bookmarkEnd w:id="545"/>
      <w:bookmarkEnd w:id="546"/>
      <w:bookmarkEnd w:id="547"/>
    </w:p>
    <w:tbl>
      <w:tblPr>
        <w:tblStyle w:val="23"/>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84"/>
        <w:gridCol w:w="6065"/>
        <w:gridCol w:w="838"/>
        <w:gridCol w:w="838"/>
      </w:tblGrid>
      <w:tr w14:paraId="6BD9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108769F8">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bookmarkStart w:id="548" w:name="_Toc7548"/>
            <w:r>
              <w:rPr>
                <w:rFonts w:hint="eastAsia" w:ascii="宋体" w:hAnsi="宋体" w:eastAsia="宋体" w:cs="宋体"/>
                <w:b w:val="0"/>
                <w:bCs w:val="0"/>
                <w:color w:val="auto"/>
                <w:kern w:val="2"/>
                <w:sz w:val="21"/>
                <w:szCs w:val="21"/>
                <w:highlight w:val="none"/>
                <w:lang w:val="en-US" w:eastAsia="zh-CN"/>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8868A4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评分项目</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336F853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评标要点及说明</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6C729EC">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分值（分）</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AAF4CE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备注</w:t>
            </w:r>
          </w:p>
        </w:tc>
      </w:tr>
      <w:tr w14:paraId="2D9E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49CB167E">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86A2D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技术指标响应性</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357C7A4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完全响应招标文件第三部分采购需求“技术要求”表中各项指标的，得20分。</w:t>
            </w:r>
            <w:r>
              <w:rPr>
                <w:rFonts w:hint="eastAsia" w:ascii="宋体" w:hAnsi="宋体" w:eastAsia="宋体" w:cs="宋体"/>
                <w:b w:val="0"/>
                <w:bCs w:val="0"/>
                <w:color w:val="auto"/>
                <w:kern w:val="2"/>
                <w:sz w:val="21"/>
                <w:szCs w:val="21"/>
                <w:highlight w:val="none"/>
                <w:lang w:val="zh-CN" w:eastAsia="zh-CN"/>
              </w:rPr>
              <w:t>标▲的指标（如有）不得负偏离，否则投标无效，标★的指标（如有）每有1项负偏离扣</w:t>
            </w: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zh-CN" w:eastAsia="zh-CN"/>
              </w:rPr>
              <w:t>分，一般指标每有1项负偏离扣</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lang w:val="zh-CN" w:eastAsia="zh-CN"/>
              </w:rPr>
              <w:t>分，扣完为止。</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6964C4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BDDBD9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6F8E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right w:val="single" w:color="auto" w:sz="4" w:space="0"/>
            </w:tcBorders>
            <w:noWrap w:val="0"/>
            <w:vAlign w:val="center"/>
          </w:tcPr>
          <w:p w14:paraId="747FEA1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2</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D33D69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企业实力</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7B279B62">
            <w:pPr>
              <w:rPr>
                <w:rFonts w:hint="eastAsia" w:ascii="宋体" w:hAnsi="宋体" w:eastAsia="宋体" w:cs="宋体"/>
                <w:b w:val="0"/>
                <w:bCs w:val="0"/>
                <w:color w:val="auto"/>
                <w:kern w:val="2"/>
                <w:sz w:val="21"/>
                <w:szCs w:val="24"/>
                <w:highlight w:val="none"/>
                <w:lang w:val="en-US" w:eastAsia="zh-CN"/>
              </w:rPr>
            </w:pPr>
            <w:bookmarkStart w:id="549" w:name="OLE_LINK14"/>
            <w:r>
              <w:rPr>
                <w:rFonts w:hint="eastAsia" w:ascii="宋体" w:hAnsi="宋体" w:eastAsia="宋体" w:cs="宋体"/>
                <w:b w:val="0"/>
                <w:bCs w:val="0"/>
                <w:color w:val="auto"/>
                <w:kern w:val="2"/>
                <w:sz w:val="21"/>
                <w:szCs w:val="21"/>
                <w:highlight w:val="none"/>
                <w:lang w:val="en-US" w:eastAsia="zh-CN"/>
              </w:rPr>
              <w:t>投标人具有ISO27001</w:t>
            </w:r>
            <w:bookmarkStart w:id="550" w:name="OLE_LINK3"/>
            <w:r>
              <w:rPr>
                <w:rFonts w:hint="eastAsia" w:ascii="宋体" w:hAnsi="宋体" w:eastAsia="宋体" w:cs="宋体"/>
                <w:b w:val="0"/>
                <w:bCs w:val="0"/>
                <w:color w:val="auto"/>
                <w:kern w:val="2"/>
                <w:sz w:val="21"/>
                <w:szCs w:val="21"/>
                <w:highlight w:val="none"/>
                <w:lang w:val="en-US" w:eastAsia="zh-CN"/>
              </w:rPr>
              <w:t>信息安全管理体系认证</w:t>
            </w:r>
            <w:bookmarkEnd w:id="550"/>
            <w:r>
              <w:rPr>
                <w:rFonts w:hint="eastAsia" w:ascii="宋体" w:hAnsi="宋体" w:eastAsia="宋体" w:cs="宋体"/>
                <w:b w:val="0"/>
                <w:bCs w:val="0"/>
                <w:color w:val="auto"/>
                <w:kern w:val="2"/>
                <w:sz w:val="21"/>
                <w:szCs w:val="21"/>
                <w:highlight w:val="none"/>
                <w:lang w:val="en-US" w:eastAsia="zh-CN"/>
              </w:rPr>
              <w:t>、ISO20000信息技术服务管理体系认证、</w:t>
            </w:r>
            <w:bookmarkStart w:id="551" w:name="OLE_LINK4"/>
            <w:r>
              <w:rPr>
                <w:rFonts w:hint="eastAsia" w:ascii="宋体" w:hAnsi="宋体" w:eastAsia="宋体" w:cs="宋体"/>
                <w:b w:val="0"/>
                <w:bCs w:val="0"/>
                <w:color w:val="auto"/>
                <w:kern w:val="2"/>
                <w:sz w:val="21"/>
                <w:szCs w:val="21"/>
                <w:highlight w:val="none"/>
                <w:lang w:val="en-US" w:eastAsia="zh-CN"/>
              </w:rPr>
              <w:t>ISO9001质量管理体系认证</w:t>
            </w:r>
            <w:bookmarkEnd w:id="549"/>
            <w:bookmarkEnd w:id="551"/>
            <w:r>
              <w:rPr>
                <w:rFonts w:hint="eastAsia" w:ascii="宋体" w:hAnsi="宋体" w:eastAsia="宋体" w:cs="宋体"/>
                <w:b w:val="0"/>
                <w:bCs w:val="0"/>
                <w:color w:val="auto"/>
                <w:kern w:val="2"/>
                <w:sz w:val="21"/>
                <w:szCs w:val="21"/>
                <w:highlight w:val="none"/>
                <w:lang w:val="en-US" w:eastAsia="zh-CN"/>
              </w:rPr>
              <w:t>且认证内容包括信息技术等本项目履约相关内容的，每个证书得1分，满分3分，需提供有效期内的证书复印件和证书在</w:t>
            </w:r>
            <w:bookmarkStart w:id="552" w:name="OLE_LINK2"/>
            <w:r>
              <w:rPr>
                <w:rFonts w:hint="eastAsia" w:ascii="宋体" w:hAnsi="宋体" w:eastAsia="宋体" w:cs="宋体"/>
                <w:b w:val="0"/>
                <w:bCs w:val="0"/>
                <w:color w:val="auto"/>
                <w:kern w:val="2"/>
                <w:sz w:val="21"/>
                <w:szCs w:val="21"/>
                <w:highlight w:val="none"/>
                <w:lang w:val="en-US" w:eastAsia="zh-CN"/>
              </w:rPr>
              <w:t>全国认证认可信息公共服务平台</w:t>
            </w:r>
            <w:bookmarkEnd w:id="552"/>
            <w:r>
              <w:rPr>
                <w:rFonts w:hint="eastAsia" w:ascii="宋体" w:hAnsi="宋体" w:eastAsia="宋体" w:cs="宋体"/>
                <w:b w:val="0"/>
                <w:bCs w:val="0"/>
                <w:color w:val="auto"/>
                <w:kern w:val="2"/>
                <w:sz w:val="21"/>
                <w:szCs w:val="21"/>
                <w:highlight w:val="none"/>
                <w:lang w:val="en-US" w:eastAsia="zh-CN"/>
              </w:rPr>
              <w:t>查询状态为有效的查询结果截图，否则不得分。</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677F56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7A3CA0D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1D9C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6C449881">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3</w:t>
            </w:r>
          </w:p>
        </w:tc>
        <w:tc>
          <w:tcPr>
            <w:tcW w:w="1284" w:type="dxa"/>
            <w:vMerge w:val="restart"/>
            <w:tcBorders>
              <w:top w:val="single" w:color="auto" w:sz="4" w:space="0"/>
              <w:left w:val="single" w:color="auto" w:sz="4" w:space="0"/>
              <w:right w:val="single" w:color="auto" w:sz="4" w:space="0"/>
            </w:tcBorders>
            <w:noWrap w:val="0"/>
            <w:vAlign w:val="center"/>
          </w:tcPr>
          <w:p w14:paraId="718EFCC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项目实施团队</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49AC75A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拟派项目负责人具有人社部门颁发的信息系统项目管理师证书的，得3分。需提供项目负责人有效期内的证书复印件及离开标前近6个月内任意时间本单位的社保缴纳证明材料。</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7AB5804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64560E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1AE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2A9218DD">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4</w:t>
            </w:r>
          </w:p>
        </w:tc>
        <w:tc>
          <w:tcPr>
            <w:tcW w:w="1284" w:type="dxa"/>
            <w:vMerge w:val="continue"/>
            <w:tcBorders>
              <w:left w:val="single" w:color="auto" w:sz="4" w:space="0"/>
              <w:right w:val="single" w:color="auto" w:sz="4" w:space="0"/>
            </w:tcBorders>
            <w:noWrap w:val="0"/>
            <w:vAlign w:val="center"/>
          </w:tcPr>
          <w:p w14:paraId="7185601D">
            <w:pPr>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748573E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项目实施团队人员（除项目负责人外）具有人社部门颁发的信息系统项目管理工程师证书、网络规划设计师（高级）、数据库系统工程师、信息安全工程师，每一类证书具备1个得1分，最多得4分。人员证书不重复计分。需提供相关人员有效期内的证书复印件及离开标前近6个月内任意时间本单位的社保缴纳证明材料。</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1E1686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DE66ED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2992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7718F73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w:t>
            </w:r>
          </w:p>
        </w:tc>
        <w:tc>
          <w:tcPr>
            <w:tcW w:w="1284" w:type="dxa"/>
            <w:vMerge w:val="continue"/>
            <w:tcBorders>
              <w:left w:val="single" w:color="auto" w:sz="4" w:space="0"/>
              <w:bottom w:val="single" w:color="auto" w:sz="4" w:space="0"/>
              <w:right w:val="single" w:color="auto" w:sz="4" w:space="0"/>
            </w:tcBorders>
            <w:noWrap w:val="0"/>
            <w:vAlign w:val="center"/>
          </w:tcPr>
          <w:p w14:paraId="1FA411DC">
            <w:pPr>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072E725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i w:val="0"/>
                <w:iCs w:val="0"/>
                <w:caps w:val="0"/>
                <w:color w:val="auto"/>
                <w:spacing w:val="0"/>
                <w:kern w:val="2"/>
                <w:sz w:val="20"/>
                <w:szCs w:val="20"/>
                <w:highlight w:val="none"/>
              </w:rPr>
              <w:t>根据拟投入项目人员的资格职称、数量配置、职责分工等，进行打</w:t>
            </w:r>
            <w:r>
              <w:rPr>
                <w:rFonts w:hint="eastAsia" w:ascii="宋体" w:hAnsi="宋体" w:eastAsia="宋体" w:cs="宋体"/>
                <w:b w:val="0"/>
                <w:bCs w:val="0"/>
                <w:color w:val="auto"/>
                <w:kern w:val="2"/>
                <w:sz w:val="21"/>
                <w:szCs w:val="21"/>
                <w:highlight w:val="none"/>
                <w:lang w:val="en-US" w:eastAsia="zh-CN"/>
              </w:rPr>
              <w:t>分。（分值：3，2，1，0）（需提供证书复印件，近六个月内任意时间本单位的社</w:t>
            </w:r>
            <w:r>
              <w:rPr>
                <w:rFonts w:hint="eastAsia" w:ascii="宋体" w:hAnsi="宋体" w:eastAsia="宋体" w:cs="宋体"/>
                <w:b w:val="0"/>
                <w:bCs w:val="0"/>
                <w:i w:val="0"/>
                <w:iCs w:val="0"/>
                <w:caps w:val="0"/>
                <w:color w:val="auto"/>
                <w:spacing w:val="0"/>
                <w:kern w:val="2"/>
                <w:sz w:val="20"/>
                <w:szCs w:val="20"/>
                <w:highlight w:val="none"/>
              </w:rPr>
              <w:t>保证明材料复印件，否则不得分</w:t>
            </w:r>
            <w:r>
              <w:rPr>
                <w:rFonts w:hint="eastAsia" w:ascii="宋体" w:hAnsi="宋体" w:eastAsia="宋体" w:cs="宋体"/>
                <w:b w:val="0"/>
                <w:bCs w:val="0"/>
                <w:i w:val="0"/>
                <w:iCs w:val="0"/>
                <w:caps w:val="0"/>
                <w:color w:val="auto"/>
                <w:spacing w:val="0"/>
                <w:kern w:val="2"/>
                <w:sz w:val="20"/>
                <w:szCs w:val="20"/>
                <w:highlight w:val="none"/>
                <w:lang w:eastAsia="zh-CN"/>
              </w:rPr>
              <w:t>。</w:t>
            </w:r>
            <w:r>
              <w:rPr>
                <w:rFonts w:hint="eastAsia" w:ascii="宋体" w:hAnsi="宋体" w:eastAsia="宋体" w:cs="宋体"/>
                <w:b w:val="0"/>
                <w:bCs w:val="0"/>
                <w:i w:val="0"/>
                <w:iCs w:val="0"/>
                <w:caps w:val="0"/>
                <w:color w:val="auto"/>
                <w:spacing w:val="0"/>
                <w:kern w:val="2"/>
                <w:sz w:val="20"/>
                <w:szCs w:val="20"/>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F1A07D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EB2CF97">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5FF0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22337D7A">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6</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55E441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同类业绩</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759D956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投标人提供自2021年1月以来系统开发类项目合同，每个合同得0.5分。本项最高得1分，单个合同不重复计分。须提供业绩合同复印件或扫描件加盖公章，不提供则不得分。</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417BD0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3D90DD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1013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1CC9A69A">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7</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4DA85D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需求理解及现状分析</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5602FE2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根据投标人提供的针对本项目的需求理解及现状分析进行评分，（分值：4,3,2,1,0）。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052954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A5FC92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025C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128A8431">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8</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5575C1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整体方案设计</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534E140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根据投标人提供的针对本项目的整体方案设计中拟采用的技术路线、系统实现等关键技术情况进行打分，（分值：5,4,3,2,1,0）。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7DE480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8EA523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53A4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00402AEE">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9</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4B596C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具体建设方案</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24E96C8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根据投标人提供的针对本项目的项目建设思路、系统建设方案进行评分，（分值：4,3,2,1,0）。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784ABA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DECE46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7C6F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restart"/>
            <w:tcBorders>
              <w:left w:val="single" w:color="auto" w:sz="4" w:space="0"/>
              <w:right w:val="single" w:color="auto" w:sz="4" w:space="0"/>
            </w:tcBorders>
            <w:noWrap w:val="0"/>
            <w:vAlign w:val="center"/>
          </w:tcPr>
          <w:p w14:paraId="03DCA56B">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10</w:t>
            </w:r>
          </w:p>
        </w:tc>
        <w:tc>
          <w:tcPr>
            <w:tcW w:w="1284" w:type="dxa"/>
            <w:vMerge w:val="restart"/>
            <w:tcBorders>
              <w:top w:val="single" w:color="auto" w:sz="4" w:space="0"/>
              <w:left w:val="single" w:color="auto" w:sz="4" w:space="0"/>
              <w:right w:val="single" w:color="auto" w:sz="4" w:space="0"/>
            </w:tcBorders>
            <w:noWrap w:val="0"/>
            <w:vAlign w:val="center"/>
          </w:tcPr>
          <w:p w14:paraId="57C4CBB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实施方案</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3220077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bookmarkStart w:id="553" w:name="OLE_LINK7"/>
            <w:r>
              <w:rPr>
                <w:rFonts w:hint="eastAsia" w:ascii="宋体" w:hAnsi="宋体" w:eastAsia="宋体" w:cs="宋体"/>
                <w:b w:val="0"/>
                <w:bCs w:val="0"/>
                <w:color w:val="auto"/>
                <w:kern w:val="2"/>
                <w:sz w:val="21"/>
                <w:szCs w:val="21"/>
                <w:highlight w:val="none"/>
                <w:lang w:val="en-US" w:eastAsia="zh-CN"/>
              </w:rPr>
              <w:t>根据投标人提供的针对本项目的整体实施组织计划安排方案</w:t>
            </w:r>
            <w:bookmarkEnd w:id="553"/>
            <w:r>
              <w:rPr>
                <w:rFonts w:hint="eastAsia" w:ascii="宋体" w:hAnsi="宋体" w:eastAsia="宋体" w:cs="宋体"/>
                <w:b w:val="0"/>
                <w:bCs w:val="0"/>
                <w:color w:val="auto"/>
                <w:kern w:val="2"/>
                <w:sz w:val="21"/>
                <w:szCs w:val="21"/>
                <w:highlight w:val="none"/>
                <w:lang w:val="en-US" w:eastAsia="zh-CN"/>
              </w:rPr>
              <w:t>，包括</w:t>
            </w:r>
            <w:r>
              <w:rPr>
                <w:rFonts w:hint="eastAsia" w:ascii="宋体" w:hAnsi="宋体" w:eastAsia="宋体" w:cs="宋体"/>
                <w:b w:val="0"/>
                <w:bCs w:val="0"/>
                <w:i w:val="0"/>
                <w:iCs w:val="0"/>
                <w:caps w:val="0"/>
                <w:color w:val="auto"/>
                <w:spacing w:val="0"/>
                <w:kern w:val="2"/>
                <w:sz w:val="21"/>
                <w:szCs w:val="21"/>
                <w:highlight w:val="none"/>
              </w:rPr>
              <w:t>工作程序和步骤</w:t>
            </w:r>
            <w:r>
              <w:rPr>
                <w:rFonts w:hint="eastAsia" w:ascii="宋体" w:hAnsi="宋体" w:eastAsia="宋体" w:cs="宋体"/>
                <w:b w:val="0"/>
                <w:bCs w:val="0"/>
                <w:i w:val="0"/>
                <w:iCs w:val="0"/>
                <w:caps w:val="0"/>
                <w:color w:val="auto"/>
                <w:spacing w:val="0"/>
                <w:kern w:val="2"/>
                <w:sz w:val="21"/>
                <w:szCs w:val="21"/>
                <w:highlight w:val="none"/>
                <w:lang w:eastAsia="zh-CN"/>
              </w:rPr>
              <w:t>、</w:t>
            </w:r>
            <w:r>
              <w:rPr>
                <w:rFonts w:hint="eastAsia" w:ascii="宋体" w:hAnsi="宋体" w:eastAsia="宋体" w:cs="宋体"/>
                <w:b w:val="0"/>
                <w:bCs w:val="0"/>
                <w:i w:val="0"/>
                <w:iCs w:val="0"/>
                <w:caps w:val="0"/>
                <w:color w:val="auto"/>
                <w:spacing w:val="0"/>
                <w:kern w:val="2"/>
                <w:sz w:val="21"/>
                <w:szCs w:val="21"/>
                <w:highlight w:val="none"/>
              </w:rPr>
              <w:t>关键步骤的思路和要点</w:t>
            </w:r>
            <w:r>
              <w:rPr>
                <w:rFonts w:hint="eastAsia" w:ascii="宋体" w:hAnsi="宋体" w:eastAsia="宋体" w:cs="宋体"/>
                <w:b w:val="0"/>
                <w:bCs w:val="0"/>
                <w:color w:val="auto"/>
                <w:kern w:val="2"/>
                <w:sz w:val="21"/>
                <w:szCs w:val="21"/>
                <w:highlight w:val="none"/>
                <w:lang w:val="en-US" w:eastAsia="zh-CN"/>
              </w:rPr>
              <w:t>等</w:t>
            </w:r>
            <w:bookmarkStart w:id="554" w:name="OLE_LINK10"/>
            <w:r>
              <w:rPr>
                <w:rFonts w:hint="eastAsia" w:ascii="宋体" w:hAnsi="宋体" w:eastAsia="宋体" w:cs="宋体"/>
                <w:b w:val="0"/>
                <w:bCs w:val="0"/>
                <w:color w:val="auto"/>
                <w:kern w:val="2"/>
                <w:sz w:val="21"/>
                <w:szCs w:val="21"/>
                <w:highlight w:val="none"/>
                <w:lang w:val="en-US" w:eastAsia="zh-CN"/>
              </w:rPr>
              <w:t>情况进行打分（分值：4,3,2,1,0）</w:t>
            </w:r>
            <w:bookmarkEnd w:id="554"/>
            <w:r>
              <w:rPr>
                <w:rFonts w:hint="eastAsia" w:ascii="宋体" w:hAnsi="宋体" w:eastAsia="宋体" w:cs="宋体"/>
                <w:b w:val="0"/>
                <w:bCs w:val="0"/>
                <w:color w:val="auto"/>
                <w:kern w:val="2"/>
                <w:sz w:val="21"/>
                <w:szCs w:val="21"/>
                <w:highlight w:val="none"/>
                <w:lang w:val="en-US" w:eastAsia="zh-CN"/>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1D6503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B72A8B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781D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tcBorders>
              <w:left w:val="single" w:color="auto" w:sz="4" w:space="0"/>
              <w:right w:val="single" w:color="auto" w:sz="4" w:space="0"/>
            </w:tcBorders>
            <w:noWrap w:val="0"/>
            <w:vAlign w:val="center"/>
          </w:tcPr>
          <w:p w14:paraId="7662F9B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1284" w:type="dxa"/>
            <w:vMerge w:val="continue"/>
            <w:tcBorders>
              <w:left w:val="single" w:color="auto" w:sz="4" w:space="0"/>
              <w:right w:val="single" w:color="auto" w:sz="4" w:space="0"/>
            </w:tcBorders>
            <w:noWrap w:val="0"/>
            <w:vAlign w:val="center"/>
          </w:tcPr>
          <w:p w14:paraId="711D3D8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754484D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bookmarkStart w:id="555" w:name="OLE_LINK11"/>
            <w:r>
              <w:rPr>
                <w:rFonts w:hint="eastAsia" w:ascii="宋体" w:hAnsi="宋体" w:eastAsia="宋体" w:cs="宋体"/>
                <w:b w:val="0"/>
                <w:bCs w:val="0"/>
                <w:color w:val="auto"/>
                <w:kern w:val="2"/>
                <w:sz w:val="21"/>
                <w:szCs w:val="21"/>
                <w:highlight w:val="none"/>
                <w:lang w:val="en-US" w:eastAsia="zh-CN"/>
              </w:rPr>
              <w:t>根据投标人提供的针对本项目的质量保证措施方案，包括项目管理机构组成、项目质量管控等情况进行打分（分值：4,3,2,1,0）</w:t>
            </w:r>
            <w:bookmarkEnd w:id="555"/>
          </w:p>
        </w:tc>
        <w:tc>
          <w:tcPr>
            <w:tcW w:w="838" w:type="dxa"/>
            <w:tcBorders>
              <w:top w:val="single" w:color="auto" w:sz="4" w:space="0"/>
              <w:left w:val="single" w:color="auto" w:sz="4" w:space="0"/>
              <w:bottom w:val="single" w:color="auto" w:sz="4" w:space="0"/>
              <w:right w:val="single" w:color="auto" w:sz="4" w:space="0"/>
            </w:tcBorders>
            <w:noWrap w:val="0"/>
            <w:vAlign w:val="center"/>
          </w:tcPr>
          <w:p w14:paraId="572E704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94D4E6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6FF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tcBorders>
              <w:left w:val="single" w:color="auto" w:sz="4" w:space="0"/>
              <w:right w:val="single" w:color="auto" w:sz="4" w:space="0"/>
            </w:tcBorders>
            <w:noWrap w:val="0"/>
            <w:vAlign w:val="center"/>
          </w:tcPr>
          <w:p w14:paraId="79D8D81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1284" w:type="dxa"/>
            <w:vMerge w:val="continue"/>
            <w:tcBorders>
              <w:left w:val="single" w:color="auto" w:sz="4" w:space="0"/>
              <w:right w:val="single" w:color="auto" w:sz="4" w:space="0"/>
            </w:tcBorders>
            <w:noWrap w:val="0"/>
            <w:vAlign w:val="center"/>
          </w:tcPr>
          <w:p w14:paraId="66157A33">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5E1581E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bookmarkStart w:id="556" w:name="OLE_LINK19"/>
            <w:r>
              <w:rPr>
                <w:rFonts w:hint="eastAsia" w:ascii="宋体" w:hAnsi="宋体" w:eastAsia="宋体" w:cs="宋体"/>
                <w:b w:val="0"/>
                <w:bCs w:val="0"/>
                <w:color w:val="auto"/>
                <w:kern w:val="2"/>
                <w:sz w:val="21"/>
                <w:szCs w:val="21"/>
                <w:highlight w:val="none"/>
                <w:lang w:val="en-US" w:eastAsia="zh-CN"/>
              </w:rPr>
              <w:t>根据投标人提供的针对本项目的项目工期进度计划及工期进度管控方案情况进行打分（分值：4,3,2,1,0）</w:t>
            </w:r>
            <w:bookmarkEnd w:id="556"/>
          </w:p>
        </w:tc>
        <w:tc>
          <w:tcPr>
            <w:tcW w:w="838" w:type="dxa"/>
            <w:tcBorders>
              <w:top w:val="single" w:color="auto" w:sz="4" w:space="0"/>
              <w:left w:val="single" w:color="auto" w:sz="4" w:space="0"/>
              <w:bottom w:val="single" w:color="auto" w:sz="4" w:space="0"/>
              <w:right w:val="single" w:color="auto" w:sz="4" w:space="0"/>
            </w:tcBorders>
            <w:noWrap w:val="0"/>
            <w:vAlign w:val="center"/>
          </w:tcPr>
          <w:p w14:paraId="756B00A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192D6EC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1C5D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tcBorders>
              <w:left w:val="single" w:color="auto" w:sz="4" w:space="0"/>
              <w:right w:val="single" w:color="auto" w:sz="4" w:space="0"/>
            </w:tcBorders>
            <w:noWrap w:val="0"/>
            <w:vAlign w:val="center"/>
          </w:tcPr>
          <w:p w14:paraId="7C27BE3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1284" w:type="dxa"/>
            <w:vMerge w:val="continue"/>
            <w:tcBorders>
              <w:left w:val="single" w:color="auto" w:sz="4" w:space="0"/>
              <w:bottom w:val="single" w:color="auto" w:sz="4" w:space="0"/>
              <w:right w:val="single" w:color="auto" w:sz="4" w:space="0"/>
            </w:tcBorders>
            <w:noWrap w:val="0"/>
            <w:vAlign w:val="center"/>
          </w:tcPr>
          <w:p w14:paraId="5914F8D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0A9FC63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根据投标人提供的针对本项目的试运行方案、验收优化建议情况进行打分（分值：4,3,2,1,0）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474AF9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7C65998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6382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left w:val="single" w:color="auto" w:sz="4" w:space="0"/>
              <w:right w:val="single" w:color="auto" w:sz="4" w:space="0"/>
            </w:tcBorders>
            <w:noWrap w:val="0"/>
            <w:vAlign w:val="center"/>
          </w:tcPr>
          <w:p w14:paraId="688E6B83">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A8636F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系统演示</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560AE6F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投标人就项目建设内容提供如下功能的演示视频（密封递交U盘），演示时间不超过10分钟，未按要求提供演示或未提供软件演示视频的或提供的视频播放失败的本项均不得分，最高得12分</w:t>
            </w:r>
            <w:r>
              <w:rPr>
                <w:rFonts w:hint="eastAsia" w:ascii="宋体" w:hAnsi="宋体" w:eastAsia="宋体" w:cs="宋体"/>
                <w:b w:val="0"/>
                <w:bCs w:val="0"/>
                <w:color w:val="auto"/>
                <w:kern w:val="2"/>
                <w:sz w:val="21"/>
                <w:szCs w:val="21"/>
                <w:highlight w:val="none"/>
                <w:lang w:val="zh-CN" w:eastAsia="zh-CN"/>
              </w:rPr>
              <w:t>。具体演示内容如下：</w:t>
            </w:r>
          </w:p>
          <w:p w14:paraId="167CC87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本项内容供应商需对重点业务系统中的重点功能进行逐一演示。具体功能点要求如下：</w:t>
            </w:r>
          </w:p>
          <w:p w14:paraId="4A1E30A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1.对课表内容进行演示：包括课表的获取、导入导出功能。</w:t>
            </w:r>
            <w:bookmarkStart w:id="557" w:name="OLE_LINK12"/>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bookmarkEnd w:id="557"/>
          </w:p>
          <w:p w14:paraId="44339F8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2.对智能物联管控系统进行演示：包括灯光控制：根据教室使用情况自动调节灯光亮度；教学设备智能管控：一键式管理多媒体、投影等设备。</w:t>
            </w:r>
            <w:bookmarkStart w:id="558" w:name="OLE_LINK13"/>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bookmarkEnd w:id="558"/>
          </w:p>
          <w:p w14:paraId="7E38937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3.对师生协作系统进行演示：包括同屏互动、互动协作、分组教学、师生互动。</w:t>
            </w:r>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p>
          <w:p w14:paraId="6C5C074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4.对智慧录播系统进行演示：主要演示内容为课堂自动录制。</w:t>
            </w:r>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p>
          <w:p w14:paraId="54C9D1E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5.对驾驶舱内容进行演示：支持为社会主义学院管理层提供学校日常管理业务的可视化决策数据。如教师情况、学员情况、班级情况和事件通知。</w:t>
            </w:r>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p>
          <w:p w14:paraId="089CEE3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6.对课程管理功能进行演示：课程管理系统负责创建、编辑、发布及维护各类教学课程信息，包括课程名称、描述、授课教师、学时安排等。</w:t>
            </w:r>
            <w:r>
              <w:rPr>
                <w:rFonts w:hint="eastAsia" w:ascii="宋体" w:hAnsi="宋体" w:eastAsia="宋体" w:cs="宋体"/>
                <w:b w:val="0"/>
                <w:bCs w:val="0"/>
                <w:color w:val="auto"/>
                <w:kern w:val="2"/>
                <w:sz w:val="21"/>
                <w:szCs w:val="21"/>
                <w:highlight w:val="none"/>
              </w:rPr>
              <w:t>演示功能完整的</w:t>
            </w:r>
            <w:r>
              <w:rPr>
                <w:rFonts w:hint="eastAsia" w:ascii="宋体" w:hAnsi="宋体" w:eastAsia="宋体" w:cs="宋体"/>
                <w:b w:val="0"/>
                <w:bCs w:val="0"/>
                <w:color w:val="auto"/>
                <w:kern w:val="2"/>
                <w:sz w:val="21"/>
                <w:szCs w:val="21"/>
                <w:highlight w:val="none"/>
                <w:lang w:val="en-US" w:eastAsia="zh-CN"/>
              </w:rPr>
              <w:t>得2</w:t>
            </w:r>
            <w:r>
              <w:rPr>
                <w:rFonts w:hint="eastAsia" w:ascii="宋体" w:hAnsi="宋体" w:eastAsia="宋体" w:cs="宋体"/>
                <w:b w:val="0"/>
                <w:bCs w:val="0"/>
                <w:color w:val="auto"/>
                <w:kern w:val="2"/>
                <w:sz w:val="21"/>
                <w:szCs w:val="21"/>
                <w:highlight w:val="none"/>
              </w:rPr>
              <w:t>分，演示功能有缺失的得</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演示全部不成功或未演示的得0分。</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6EDB2E34">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8DCECF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3060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restart"/>
            <w:tcBorders>
              <w:left w:val="single" w:color="auto" w:sz="4" w:space="0"/>
              <w:right w:val="single" w:color="auto" w:sz="4" w:space="0"/>
            </w:tcBorders>
            <w:noWrap w:val="0"/>
            <w:vAlign w:val="center"/>
          </w:tcPr>
          <w:p w14:paraId="72147AB1">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12</w:t>
            </w:r>
          </w:p>
        </w:tc>
        <w:tc>
          <w:tcPr>
            <w:tcW w:w="1284" w:type="dxa"/>
            <w:vMerge w:val="restart"/>
            <w:tcBorders>
              <w:top w:val="single" w:color="auto" w:sz="4" w:space="0"/>
              <w:left w:val="single" w:color="auto" w:sz="4" w:space="0"/>
              <w:right w:val="single" w:color="auto" w:sz="4" w:space="0"/>
            </w:tcBorders>
            <w:noWrap w:val="0"/>
            <w:vAlign w:val="center"/>
          </w:tcPr>
          <w:p w14:paraId="0013895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售后服务方案</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0EF2168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根据投标人提供的针对本项目的售后服务方案进行打分，（分值：4，3，2,1,0）。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EA6938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1D09EF0">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6626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tcBorders>
              <w:left w:val="single" w:color="auto" w:sz="4" w:space="0"/>
              <w:right w:val="single" w:color="auto" w:sz="4" w:space="0"/>
            </w:tcBorders>
            <w:noWrap w:val="0"/>
            <w:vAlign w:val="center"/>
          </w:tcPr>
          <w:p w14:paraId="12F391D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1284" w:type="dxa"/>
            <w:vMerge w:val="continue"/>
            <w:tcBorders>
              <w:left w:val="single" w:color="auto" w:sz="4" w:space="0"/>
              <w:bottom w:val="single" w:color="auto" w:sz="4" w:space="0"/>
              <w:right w:val="single" w:color="auto" w:sz="4" w:space="0"/>
            </w:tcBorders>
            <w:noWrap w:val="0"/>
            <w:vAlign w:val="center"/>
          </w:tcPr>
          <w:p w14:paraId="75CA9F2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14:paraId="34F357D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根据投标人提供的针对本项目的售后服务人员设置情况及服务承诺进行打分，</w:t>
            </w:r>
            <w:bookmarkStart w:id="559" w:name="OLE_LINK8"/>
            <w:r>
              <w:rPr>
                <w:rFonts w:hint="eastAsia" w:ascii="宋体" w:hAnsi="宋体" w:eastAsia="宋体" w:cs="宋体"/>
                <w:b w:val="0"/>
                <w:bCs w:val="0"/>
                <w:color w:val="auto"/>
                <w:kern w:val="2"/>
                <w:sz w:val="21"/>
                <w:szCs w:val="21"/>
                <w:highlight w:val="none"/>
                <w:lang w:val="en-US" w:eastAsia="zh-CN"/>
              </w:rPr>
              <w:t>（分值：3，2,1,0）</w:t>
            </w:r>
            <w:bookmarkEnd w:id="559"/>
            <w:r>
              <w:rPr>
                <w:rFonts w:hint="eastAsia" w:ascii="宋体" w:hAnsi="宋体" w:eastAsia="宋体" w:cs="宋体"/>
                <w:b w:val="0"/>
                <w:bCs w:val="0"/>
                <w:color w:val="auto"/>
                <w:kern w:val="2"/>
                <w:sz w:val="21"/>
                <w:szCs w:val="21"/>
                <w:highlight w:val="none"/>
                <w:lang w:val="en-US" w:eastAsia="zh-CN"/>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B10EB2A">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73B6F5CB">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2704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2FF34B8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13</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3881A3C">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2859708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根据投标人提供的针对本项目的培训方案进行打分，</w:t>
            </w:r>
            <w:bookmarkStart w:id="560" w:name="OLE_LINK9"/>
            <w:r>
              <w:rPr>
                <w:rFonts w:hint="eastAsia" w:ascii="宋体" w:hAnsi="宋体" w:eastAsia="宋体" w:cs="宋体"/>
                <w:b w:val="0"/>
                <w:bCs w:val="0"/>
                <w:color w:val="auto"/>
                <w:kern w:val="2"/>
                <w:sz w:val="21"/>
                <w:szCs w:val="21"/>
                <w:highlight w:val="none"/>
                <w:lang w:val="en-US" w:eastAsia="zh-CN"/>
              </w:rPr>
              <w:t>（分值：4，3，2,1,0）</w:t>
            </w:r>
            <w:bookmarkEnd w:id="560"/>
            <w:r>
              <w:rPr>
                <w:rFonts w:hint="eastAsia" w:ascii="宋体" w:hAnsi="宋体" w:eastAsia="宋体" w:cs="宋体"/>
                <w:b w:val="0"/>
                <w:bCs w:val="0"/>
                <w:color w:val="auto"/>
                <w:kern w:val="2"/>
                <w:sz w:val="21"/>
                <w:szCs w:val="21"/>
                <w:highlight w:val="none"/>
                <w:lang w:val="en-US" w:eastAsia="zh-CN"/>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2FD5D9F">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18B9A046">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1644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4F9A783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14</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DFE135">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应急响应</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62232B4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根据投标人提供的针对本项目的应急响应服务内容、应急响应服务能力、应急响应服务流程、应急响应服务措施及应急响应服务承诺情况进行打分，（分值：4，3，2,1,0）。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6717041">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9BDE0B7">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7F2A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48A51822">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BAEDC6E">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0"/>
                <w:sz w:val="21"/>
                <w:szCs w:val="21"/>
                <w:highlight w:val="none"/>
                <w:lang w:bidi="ar"/>
              </w:rPr>
              <w:t>报价</w:t>
            </w:r>
          </w:p>
        </w:tc>
        <w:tc>
          <w:tcPr>
            <w:tcW w:w="6065" w:type="dxa"/>
            <w:tcBorders>
              <w:top w:val="single" w:color="auto" w:sz="4" w:space="0"/>
              <w:left w:val="single" w:color="auto" w:sz="4" w:space="0"/>
              <w:bottom w:val="single" w:color="auto" w:sz="4" w:space="0"/>
              <w:right w:val="single" w:color="auto" w:sz="4" w:space="0"/>
            </w:tcBorders>
            <w:noWrap w:val="0"/>
            <w:vAlign w:val="center"/>
          </w:tcPr>
          <w:p w14:paraId="42A62584">
            <w:pPr>
              <w:keepNext w:val="0"/>
              <w:keepLines w:val="0"/>
              <w:pageBreakBefore w:val="0"/>
              <w:widowControl/>
              <w:kinsoku/>
              <w:wordWrap/>
              <w:overflowPunct/>
              <w:topLinePunct w:val="0"/>
              <w:autoSpaceDN/>
              <w:bidi w:val="0"/>
              <w:adjustRightInd/>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1.投标价格的合理性和有效性评价</w:t>
            </w:r>
          </w:p>
          <w:p w14:paraId="645FE576">
            <w:pPr>
              <w:keepNext w:val="0"/>
              <w:keepLines w:val="0"/>
              <w:pageBreakBefore w:val="0"/>
              <w:widowControl/>
              <w:kinsoku/>
              <w:wordWrap/>
              <w:overflowPunct/>
              <w:topLinePunct w:val="0"/>
              <w:autoSpaceDN/>
              <w:bidi w:val="0"/>
              <w:adjustRightInd/>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14:paraId="33BC02CD">
            <w:pPr>
              <w:keepNext w:val="0"/>
              <w:keepLines w:val="0"/>
              <w:pageBreakBefore w:val="0"/>
              <w:widowControl/>
              <w:kinsoku/>
              <w:wordWrap/>
              <w:overflowPunct/>
              <w:topLinePunct w:val="0"/>
              <w:autoSpaceDN/>
              <w:bidi w:val="0"/>
              <w:adjustRightInd/>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2.商务报价计算</w:t>
            </w:r>
          </w:p>
          <w:p w14:paraId="3235B6A2">
            <w:pPr>
              <w:keepNext w:val="0"/>
              <w:keepLines w:val="0"/>
              <w:pageBreakBefore w:val="0"/>
              <w:widowControl/>
              <w:kinsoku/>
              <w:wordWrap/>
              <w:overflowPunct/>
              <w:topLinePunct w:val="0"/>
              <w:autoSpaceDN/>
              <w:bidi w:val="0"/>
              <w:adjustRightInd/>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各投标人的商务报价得分统一采用低价优先法计算，即满足采购文件要求且投标价格最低的投标报价为评标基准价，其价格分为满分10分。其他投标人的商务报价得分统一按照下列公式计算：</w:t>
            </w:r>
          </w:p>
          <w:p w14:paraId="243490D0">
            <w:pPr>
              <w:keepNext w:val="0"/>
              <w:keepLines w:val="0"/>
              <w:pageBreakBefore w:val="0"/>
              <w:widowControl/>
              <w:kinsoku/>
              <w:wordWrap/>
              <w:overflowPunct/>
              <w:topLinePunct w:val="0"/>
              <w:autoSpaceDN/>
              <w:bidi w:val="0"/>
              <w:adjustRightInd/>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投标报价得分=（评标基准价/投标报价）×价格权值（即10%）×100</w:t>
            </w:r>
          </w:p>
          <w:p w14:paraId="2CA3023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0"/>
                <w:sz w:val="21"/>
                <w:szCs w:val="21"/>
                <w:highlight w:val="none"/>
                <w:lang w:bidi="ar"/>
              </w:rPr>
              <w:t>3.</w:t>
            </w:r>
            <w:r>
              <w:rPr>
                <w:rFonts w:hint="eastAsia" w:ascii="宋体" w:hAnsi="宋体" w:eastAsia="宋体" w:cs="宋体"/>
                <w:b w:val="0"/>
                <w:bCs w:val="0"/>
                <w:color w:val="auto"/>
                <w:kern w:val="0"/>
                <w:sz w:val="21"/>
                <w:szCs w:val="21"/>
                <w:highlight w:val="none"/>
              </w:rPr>
              <w:t>如本项目为专门面向中小微企业采购的项目，价格不再</w:t>
            </w:r>
            <w:r>
              <w:rPr>
                <w:rFonts w:hint="eastAsia" w:ascii="宋体" w:hAnsi="宋体" w:eastAsia="宋体" w:cs="宋体"/>
                <w:b w:val="0"/>
                <w:bCs w:val="0"/>
                <w:color w:val="auto"/>
                <w:kern w:val="0"/>
                <w:sz w:val="21"/>
                <w:szCs w:val="21"/>
                <w:highlight w:val="none"/>
                <w:lang w:val="en-US" w:eastAsia="zh-CN"/>
              </w:rPr>
              <w:t>给予</w:t>
            </w:r>
            <w:r>
              <w:rPr>
                <w:rFonts w:hint="eastAsia" w:ascii="宋体" w:hAnsi="宋体" w:eastAsia="宋体" w:cs="宋体"/>
                <w:b w:val="0"/>
                <w:bCs w:val="0"/>
                <w:color w:val="auto"/>
                <w:kern w:val="0"/>
                <w:sz w:val="21"/>
                <w:szCs w:val="21"/>
                <w:highlight w:val="none"/>
              </w:rPr>
              <w:t>评审优惠。</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167C379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031B25F9">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统一评分</w:t>
            </w:r>
          </w:p>
        </w:tc>
      </w:tr>
      <w:tr w14:paraId="35F7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79E911CD">
            <w:pPr>
              <w:ind w:left="0" w:leftChars="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9E22147">
            <w:pPr>
              <w:ind w:left="0" w:lef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备注</w:t>
            </w:r>
          </w:p>
        </w:tc>
        <w:tc>
          <w:tcPr>
            <w:tcW w:w="7741" w:type="dxa"/>
            <w:gridSpan w:val="3"/>
            <w:tcBorders>
              <w:top w:val="single" w:color="auto" w:sz="4" w:space="0"/>
              <w:left w:val="single" w:color="auto" w:sz="4" w:space="0"/>
              <w:bottom w:val="single" w:color="auto" w:sz="4" w:space="0"/>
              <w:right w:val="single" w:color="auto" w:sz="4" w:space="0"/>
            </w:tcBorders>
            <w:noWrap w:val="0"/>
            <w:vAlign w:val="center"/>
          </w:tcPr>
          <w:p w14:paraId="189B6237">
            <w:pPr>
              <w:ind w:left="0" w:leftChars="0"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 xml:space="preserve">1.评分时保留小数点后1位小数，计算评分值时保留小数点后2位小数，第3位四舍五入，由评标委员会当场统一计算。 </w:t>
            </w:r>
          </w:p>
          <w:p w14:paraId="368D56D7">
            <w:pPr>
              <w:ind w:left="0" w:leftChars="0"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 xml:space="preserve">2.投标人的最终总得分为以上各部分得分的总和。 </w:t>
            </w:r>
          </w:p>
          <w:p w14:paraId="337D4A40">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0"/>
                <w:sz w:val="21"/>
                <w:szCs w:val="21"/>
                <w:highlight w:val="none"/>
              </w:rPr>
              <w:t xml:space="preserve">3.报价是中标的一个重要因素，但最低报价不是中标的唯一依据。 </w:t>
            </w:r>
          </w:p>
        </w:tc>
      </w:tr>
    </w:tbl>
    <w:p w14:paraId="7792C1A9">
      <w:pPr>
        <w:pStyle w:val="4"/>
        <w:snapToGrid w:val="0"/>
        <w:spacing w:before="0" w:after="0" w:line="360" w:lineRule="auto"/>
        <w:rPr>
          <w:rFonts w:hint="eastAsia" w:ascii="宋体" w:hAnsi="宋体" w:eastAsia="宋体" w:cs="宋体"/>
          <w:color w:val="auto"/>
          <w:sz w:val="21"/>
          <w:szCs w:val="21"/>
          <w:highlight w:val="none"/>
        </w:rPr>
      </w:pPr>
      <w:bookmarkStart w:id="561" w:name="_Toc2513"/>
      <w:r>
        <w:rPr>
          <w:rFonts w:hint="eastAsia" w:ascii="宋体" w:hAnsi="宋体" w:eastAsia="宋体" w:cs="宋体"/>
          <w:color w:val="auto"/>
          <w:sz w:val="21"/>
          <w:szCs w:val="21"/>
          <w:highlight w:val="none"/>
        </w:rPr>
        <w:t>六、询标</w:t>
      </w:r>
      <w:bookmarkEnd w:id="548"/>
      <w:bookmarkEnd w:id="561"/>
    </w:p>
    <w:p w14:paraId="21BBE6D5">
      <w:pPr>
        <w:pStyle w:val="18"/>
        <w:adjustRightInd w:val="0"/>
        <w:snapToGrid w:val="0"/>
        <w:spacing w:line="360" w:lineRule="auto"/>
        <w:ind w:left="0" w:leftChars="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对投标文件中存在含义不清楚的内容，必要时评标委员会要求投标人作必要的澄清、说明或补正。询标记录将作为投标文件的一部分。</w:t>
      </w:r>
    </w:p>
    <w:p w14:paraId="3151F382">
      <w:pPr>
        <w:pStyle w:val="4"/>
        <w:snapToGrid w:val="0"/>
        <w:spacing w:before="0" w:after="0" w:line="360" w:lineRule="auto"/>
        <w:rPr>
          <w:rFonts w:hint="eastAsia" w:ascii="宋体" w:hAnsi="宋体" w:eastAsia="宋体" w:cs="宋体"/>
          <w:color w:val="auto"/>
          <w:sz w:val="21"/>
          <w:szCs w:val="21"/>
          <w:highlight w:val="none"/>
        </w:rPr>
      </w:pPr>
      <w:bookmarkStart w:id="562" w:name="_Toc29753"/>
      <w:bookmarkStart w:id="563" w:name="_Toc31983"/>
      <w:r>
        <w:rPr>
          <w:rFonts w:hint="eastAsia" w:ascii="宋体" w:hAnsi="宋体" w:eastAsia="宋体" w:cs="宋体"/>
          <w:color w:val="auto"/>
          <w:sz w:val="21"/>
          <w:szCs w:val="21"/>
          <w:highlight w:val="none"/>
        </w:rPr>
        <w:t>七、修改评标结果</w:t>
      </w:r>
      <w:bookmarkEnd w:id="562"/>
      <w:bookmarkEnd w:id="563"/>
    </w:p>
    <w:p w14:paraId="0B5DBCC5">
      <w:pPr>
        <w:adjustRightInd w:val="0"/>
        <w:snapToGrid w:val="0"/>
        <w:spacing w:line="360" w:lineRule="auto"/>
        <w:ind w:firstLine="420" w:firstLineChars="200"/>
        <w:rPr>
          <w:rFonts w:hint="eastAsia" w:ascii="宋体" w:hAnsi="宋体" w:eastAsia="宋体" w:cs="宋体"/>
          <w:b/>
          <w:bCs/>
          <w:color w:val="auto"/>
          <w:szCs w:val="21"/>
          <w:highlight w:val="none"/>
        </w:rPr>
      </w:pPr>
      <w:r>
        <w:rPr>
          <w:rStyle w:val="39"/>
          <w:rFonts w:hint="eastAsia" w:ascii="宋体" w:hAnsi="宋体" w:eastAsia="宋体" w:cs="宋体"/>
          <w:color w:val="auto"/>
          <w:sz w:val="21"/>
          <w:szCs w:val="21"/>
          <w:highlight w:val="none"/>
        </w:rPr>
        <w:t>评标结果汇总完成后，除下列情形外，任何人不得修改评标结果：</w:t>
      </w:r>
    </w:p>
    <w:p w14:paraId="1241DBFD">
      <w:pPr>
        <w:adjustRightInd w:val="0"/>
        <w:snapToGrid w:val="0"/>
        <w:spacing w:line="360" w:lineRule="auto"/>
        <w:ind w:firstLine="420" w:firstLineChars="200"/>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（一）分值汇总计算错误的</w:t>
      </w:r>
    </w:p>
    <w:p w14:paraId="3A6A9F6C">
      <w:pPr>
        <w:adjustRightInd w:val="0"/>
        <w:snapToGrid w:val="0"/>
        <w:spacing w:line="360" w:lineRule="auto"/>
        <w:ind w:firstLine="420" w:firstLineChars="200"/>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（二）分项评分超出评分标准范围的；</w:t>
      </w:r>
    </w:p>
    <w:p w14:paraId="688533CE">
      <w:pPr>
        <w:adjustRightInd w:val="0"/>
        <w:snapToGrid w:val="0"/>
        <w:spacing w:line="360" w:lineRule="auto"/>
        <w:ind w:firstLine="420" w:firstLineChars="200"/>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（三）评标委员会成员对客观评审因素评分不一致的；</w:t>
      </w:r>
    </w:p>
    <w:p w14:paraId="45429A1C">
      <w:pPr>
        <w:adjustRightInd w:val="0"/>
        <w:snapToGrid w:val="0"/>
        <w:spacing w:line="360" w:lineRule="auto"/>
        <w:ind w:firstLine="420" w:firstLineChars="200"/>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（四）经评标委员会认定评分畸高、畸低的。</w:t>
      </w:r>
    </w:p>
    <w:p w14:paraId="394689FC">
      <w:pPr>
        <w:pStyle w:val="4"/>
        <w:snapToGrid w:val="0"/>
        <w:spacing w:before="0" w:after="0" w:line="360" w:lineRule="auto"/>
        <w:rPr>
          <w:rFonts w:hint="eastAsia" w:ascii="宋体" w:hAnsi="宋体" w:eastAsia="宋体" w:cs="宋体"/>
          <w:color w:val="auto"/>
          <w:sz w:val="21"/>
          <w:szCs w:val="21"/>
          <w:highlight w:val="none"/>
        </w:rPr>
      </w:pPr>
      <w:bookmarkStart w:id="564" w:name="_Toc21454"/>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候选供应商</w:t>
      </w:r>
      <w:bookmarkEnd w:id="564"/>
    </w:p>
    <w:p w14:paraId="523E5A29">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评标委员会</w:t>
      </w:r>
      <w:r>
        <w:rPr>
          <w:rFonts w:hint="eastAsia" w:ascii="宋体" w:hAnsi="宋体" w:eastAsia="宋体" w:cs="宋体"/>
          <w:color w:val="auto"/>
          <w:szCs w:val="21"/>
          <w:highlight w:val="none"/>
        </w:rPr>
        <w:t>应当根据综合评分情况，按照评审得分由高到低顺序推荐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候选供应商，并编写评审报告。</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分相同的，按投标报价由低到高顺序排列。得分且投标报价相同的并列。投标文件满足招标文件全部实质性要求，且按照评审因素的量化指标评审得分最高的投标人为排名第一的中标</w:t>
      </w:r>
      <w:r>
        <w:rPr>
          <w:rFonts w:hint="eastAsia" w:ascii="宋体" w:hAnsi="宋体" w:eastAsia="宋体" w:cs="宋体"/>
          <w:color w:val="auto"/>
          <w:sz w:val="21"/>
          <w:szCs w:val="21"/>
          <w:highlight w:val="none"/>
        </w:rPr>
        <w:t>候选供应商</w:t>
      </w:r>
      <w:r>
        <w:rPr>
          <w:rFonts w:hint="eastAsia" w:ascii="宋体" w:hAnsi="宋体" w:eastAsia="宋体" w:cs="宋体"/>
          <w:color w:val="auto"/>
          <w:szCs w:val="21"/>
          <w:highlight w:val="none"/>
        </w:rPr>
        <w:t>。</w:t>
      </w:r>
    </w:p>
    <w:p w14:paraId="63672EB3">
      <w:pPr>
        <w:pStyle w:val="2"/>
        <w:rPr>
          <w:rStyle w:val="39"/>
          <w:rFonts w:hint="eastAsia" w:ascii="宋体" w:hAnsi="宋体" w:eastAsia="宋体" w:cs="宋体"/>
          <w:color w:val="auto"/>
          <w:sz w:val="21"/>
          <w:szCs w:val="21"/>
          <w:highlight w:val="none"/>
        </w:rPr>
        <w:sectPr>
          <w:pgSz w:w="11906" w:h="16838"/>
          <w:pgMar w:top="1440" w:right="1483" w:bottom="1440" w:left="1603" w:header="851" w:footer="992" w:gutter="0"/>
          <w:cols w:space="720" w:num="1"/>
          <w:docGrid w:type="lines" w:linePitch="332" w:charSpace="0"/>
        </w:sectPr>
      </w:pPr>
    </w:p>
    <w:p w14:paraId="2E87F79E">
      <w:pPr>
        <w:adjustRightInd w:val="0"/>
        <w:snapToGrid w:val="0"/>
        <w:spacing w:before="166" w:beforeLines="50" w:after="166" w:afterLines="50" w:line="360" w:lineRule="auto"/>
        <w:jc w:val="center"/>
        <w:outlineLvl w:val="0"/>
        <w:rPr>
          <w:rFonts w:hint="eastAsia" w:ascii="宋体" w:hAnsi="宋体" w:eastAsia="宋体" w:cs="宋体"/>
          <w:b/>
          <w:bCs/>
          <w:color w:val="auto"/>
          <w:sz w:val="32"/>
          <w:szCs w:val="32"/>
          <w:highlight w:val="none"/>
        </w:rPr>
      </w:pPr>
      <w:bookmarkStart w:id="565" w:name="_Toc14456"/>
      <w:bookmarkStart w:id="566" w:name="_Toc30193"/>
      <w:bookmarkStart w:id="567" w:name="_Toc234764855"/>
      <w:bookmarkStart w:id="568" w:name="_Toc9232"/>
      <w:bookmarkStart w:id="569" w:name="_Toc1306"/>
      <w:bookmarkStart w:id="570" w:name="_Toc20687"/>
      <w:bookmarkStart w:id="571" w:name="_Toc251566668"/>
      <w:bookmarkStart w:id="572" w:name="_Toc249760797"/>
      <w:bookmarkStart w:id="573" w:name="_Toc29177"/>
      <w:r>
        <w:rPr>
          <w:rFonts w:hint="eastAsia" w:ascii="宋体" w:hAnsi="宋体" w:eastAsia="宋体" w:cs="宋体"/>
          <w:b/>
          <w:color w:val="auto"/>
          <w:sz w:val="30"/>
          <w:szCs w:val="30"/>
          <w:highlight w:val="none"/>
        </w:rPr>
        <w:t>第六部分  投标文件格式</w:t>
      </w:r>
      <w:bookmarkEnd w:id="565"/>
      <w:bookmarkEnd w:id="566"/>
      <w:bookmarkEnd w:id="567"/>
      <w:bookmarkEnd w:id="568"/>
      <w:bookmarkEnd w:id="569"/>
      <w:bookmarkEnd w:id="570"/>
      <w:bookmarkEnd w:id="571"/>
      <w:bookmarkEnd w:id="572"/>
      <w:bookmarkEnd w:id="573"/>
    </w:p>
    <w:p w14:paraId="5D416D71">
      <w:pPr>
        <w:autoSpaceDE w:val="0"/>
        <w:autoSpaceDN w:val="0"/>
        <w:adjustRightInd w:val="0"/>
        <w:spacing w:line="360" w:lineRule="auto"/>
        <w:ind w:firstLine="480"/>
        <w:rPr>
          <w:rFonts w:hint="eastAsia" w:ascii="宋体" w:hAnsi="宋体" w:eastAsia="宋体" w:cs="宋体"/>
          <w:color w:val="auto"/>
          <w:sz w:val="24"/>
          <w:highlight w:val="none"/>
        </w:rPr>
      </w:pPr>
    </w:p>
    <w:p w14:paraId="3E1DF58E">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364E635E">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1．投标文件由投标人根据采购文件要求参照附件格式编制。</w:t>
      </w:r>
    </w:p>
    <w:p w14:paraId="35FE6672">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2．投标人根据实际情况填写。</w:t>
      </w:r>
    </w:p>
    <w:p w14:paraId="1DEF71C3">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3．采购文件中没有参考格式的，投标人自行编制。</w:t>
      </w:r>
    </w:p>
    <w:p w14:paraId="401329C7">
      <w:pPr>
        <w:autoSpaceDE w:val="0"/>
        <w:autoSpaceDN w:val="0"/>
        <w:adjustRightInd w:val="0"/>
        <w:snapToGrid w:val="0"/>
        <w:spacing w:line="360" w:lineRule="auto"/>
        <w:outlineLvl w:val="1"/>
        <w:rPr>
          <w:rFonts w:hint="eastAsia" w:ascii="宋体" w:hAnsi="宋体" w:eastAsia="宋体" w:cs="宋体"/>
          <w:bCs/>
          <w:snapToGrid w:val="0"/>
          <w:color w:val="auto"/>
          <w:kern w:val="0"/>
          <w:szCs w:val="21"/>
          <w:highlight w:val="none"/>
        </w:rPr>
      </w:pPr>
      <w:r>
        <w:rPr>
          <w:rFonts w:hint="eastAsia" w:ascii="宋体" w:hAnsi="宋体" w:eastAsia="宋体" w:cs="宋体"/>
          <w:b/>
          <w:bCs/>
          <w:color w:val="auto"/>
          <w:sz w:val="32"/>
          <w:szCs w:val="32"/>
          <w:highlight w:val="none"/>
        </w:rPr>
        <w:br w:type="page"/>
      </w:r>
      <w:bookmarkStart w:id="574" w:name="_Toc27220"/>
      <w:bookmarkStart w:id="575" w:name="_Toc1647"/>
      <w:bookmarkStart w:id="576" w:name="_Toc22464"/>
      <w:bookmarkStart w:id="577" w:name="_Toc2724"/>
      <w:bookmarkStart w:id="578" w:name="_Toc22147"/>
      <w:bookmarkStart w:id="579" w:name="_Toc18896"/>
      <w:bookmarkStart w:id="580" w:name="_Toc30963"/>
      <w:r>
        <w:rPr>
          <w:rStyle w:val="32"/>
          <w:rFonts w:hint="eastAsia" w:ascii="宋体" w:hAnsi="宋体" w:eastAsia="宋体" w:cs="宋体"/>
          <w:color w:val="auto"/>
          <w:sz w:val="28"/>
          <w:szCs w:val="28"/>
          <w:highlight w:val="none"/>
        </w:rPr>
        <w:t>一、</w:t>
      </w:r>
      <w:bookmarkEnd w:id="574"/>
      <w:bookmarkEnd w:id="575"/>
      <w:bookmarkStart w:id="581" w:name="_Toc32101"/>
      <w:bookmarkStart w:id="582" w:name="_Toc27346"/>
      <w:r>
        <w:rPr>
          <w:rStyle w:val="32"/>
          <w:rFonts w:hint="eastAsia" w:ascii="宋体" w:hAnsi="宋体" w:eastAsia="宋体" w:cs="宋体"/>
          <w:color w:val="auto"/>
          <w:sz w:val="28"/>
          <w:szCs w:val="28"/>
          <w:highlight w:val="none"/>
        </w:rPr>
        <w:t>投标文件封面（格式供参考）</w:t>
      </w:r>
      <w:bookmarkEnd w:id="576"/>
      <w:bookmarkEnd w:id="577"/>
      <w:bookmarkEnd w:id="578"/>
      <w:bookmarkEnd w:id="579"/>
      <w:bookmarkEnd w:id="580"/>
      <w:bookmarkEnd w:id="581"/>
      <w:bookmarkEnd w:id="582"/>
    </w:p>
    <w:p w14:paraId="5E98A8EB">
      <w:pPr>
        <w:autoSpaceDE w:val="0"/>
        <w:autoSpaceDN w:val="0"/>
        <w:adjustRightInd w:val="0"/>
        <w:rPr>
          <w:rFonts w:hint="eastAsia" w:ascii="宋体" w:hAnsi="宋体" w:eastAsia="宋体" w:cs="宋体"/>
          <w:bCs/>
          <w:color w:val="auto"/>
          <w:highlight w:val="none"/>
        </w:rPr>
      </w:pPr>
    </w:p>
    <w:p w14:paraId="2A843457">
      <w:pPr>
        <w:autoSpaceDE w:val="0"/>
        <w:autoSpaceDN w:val="0"/>
        <w:adjustRightInd w:val="0"/>
        <w:rPr>
          <w:rFonts w:hint="eastAsia" w:ascii="宋体" w:hAnsi="宋体" w:eastAsia="宋体" w:cs="宋体"/>
          <w:bCs/>
          <w:color w:val="auto"/>
          <w:highlight w:val="none"/>
        </w:rPr>
      </w:pPr>
      <w:r>
        <w:rPr>
          <w:rFonts w:hint="eastAsia" w:ascii="宋体" w:hAnsi="宋体" w:eastAsia="宋体" w:cs="宋体"/>
          <w:bCs/>
          <w:color w:val="auto"/>
          <w:highlight w:val="none"/>
        </w:rPr>
        <w:t>1.1报价响应文件封面格式</w:t>
      </w:r>
    </w:p>
    <w:p w14:paraId="0646DFAE">
      <w:pPr>
        <w:autoSpaceDE w:val="0"/>
        <w:autoSpaceDN w:val="0"/>
        <w:adjustRightInd w:val="0"/>
        <w:spacing w:line="360" w:lineRule="auto"/>
        <w:jc w:val="right"/>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 xml:space="preserve">                </w:t>
      </w:r>
    </w:p>
    <w:p w14:paraId="2138B259">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45E9FB0D">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浙江省社会主义学院</w:t>
      </w:r>
    </w:p>
    <w:p w14:paraId="17EE6DA5">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 xml:space="preserve">“智慧教务”（2.0）建设项目 </w:t>
      </w:r>
    </w:p>
    <w:p w14:paraId="5D44BD53">
      <w:pPr>
        <w:autoSpaceDE w:val="0"/>
        <w:autoSpaceDN w:val="0"/>
        <w:adjustRightInd w:val="0"/>
        <w:spacing w:line="360" w:lineRule="auto"/>
        <w:jc w:val="center"/>
        <w:rPr>
          <w:rFonts w:hint="eastAsia" w:ascii="宋体" w:hAnsi="宋体" w:eastAsia="宋体" w:cs="宋体"/>
          <w:color w:val="auto"/>
          <w:sz w:val="32"/>
          <w:szCs w:val="32"/>
          <w:highlight w:val="none"/>
          <w:u w:val="single"/>
        </w:rPr>
      </w:pPr>
    </w:p>
    <w:p w14:paraId="62540F5B">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5B66EB4C">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5E2F7440">
      <w:pPr>
        <w:autoSpaceDE w:val="0"/>
        <w:autoSpaceDN w:val="0"/>
        <w:adjustRightIn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（报价响应文件）</w:t>
      </w:r>
    </w:p>
    <w:p w14:paraId="6A9AF66B">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ZJ-2470973-07</w:t>
      </w:r>
    </w:p>
    <w:p w14:paraId="266398FA">
      <w:pPr>
        <w:autoSpaceDE w:val="0"/>
        <w:autoSpaceDN w:val="0"/>
        <w:adjustRightInd w:val="0"/>
        <w:spacing w:line="360" w:lineRule="auto"/>
        <w:rPr>
          <w:rFonts w:hint="eastAsia" w:ascii="宋体" w:hAnsi="宋体" w:eastAsia="宋体" w:cs="宋体"/>
          <w:b/>
          <w:color w:val="auto"/>
          <w:sz w:val="32"/>
          <w:szCs w:val="32"/>
          <w:highlight w:val="none"/>
        </w:rPr>
      </w:pPr>
    </w:p>
    <w:p w14:paraId="3ABFE133">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投标人（盖公章或电子签章）：</w:t>
      </w:r>
      <w:r>
        <w:rPr>
          <w:rFonts w:hint="eastAsia" w:ascii="宋体" w:hAnsi="宋体" w:eastAsia="宋体" w:cs="宋体"/>
          <w:b/>
          <w:color w:val="auto"/>
          <w:sz w:val="32"/>
          <w:szCs w:val="32"/>
          <w:highlight w:val="none"/>
          <w:u w:val="single"/>
        </w:rPr>
        <w:t xml:space="preserve">                        </w:t>
      </w:r>
    </w:p>
    <w:p w14:paraId="43D37893">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1106A982">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日期：    年   月   日</w:t>
      </w:r>
    </w:p>
    <w:p w14:paraId="10CFF091">
      <w:pPr>
        <w:autoSpaceDE w:val="0"/>
        <w:autoSpaceDN w:val="0"/>
        <w:adjustRightInd w:val="0"/>
        <w:rPr>
          <w:rFonts w:hint="eastAsia" w:ascii="宋体" w:hAnsi="宋体" w:eastAsia="宋体" w:cs="宋体"/>
          <w:bCs/>
          <w:color w:val="auto"/>
          <w:highlight w:val="none"/>
        </w:rPr>
      </w:pPr>
      <w:r>
        <w:rPr>
          <w:rFonts w:hint="eastAsia" w:ascii="宋体" w:hAnsi="宋体" w:eastAsia="宋体" w:cs="宋体"/>
          <w:color w:val="auto"/>
          <w:highlight w:val="none"/>
        </w:rPr>
        <w:br w:type="page"/>
      </w:r>
      <w:r>
        <w:rPr>
          <w:rFonts w:hint="eastAsia" w:ascii="宋体" w:hAnsi="宋体" w:eastAsia="宋体" w:cs="宋体"/>
          <w:bCs/>
          <w:color w:val="auto"/>
          <w:highlight w:val="none"/>
        </w:rPr>
        <w:t>1.2资格响应文件/商务技术响应文件封面格式</w:t>
      </w:r>
    </w:p>
    <w:p w14:paraId="35E2FD72">
      <w:pPr>
        <w:autoSpaceDE w:val="0"/>
        <w:autoSpaceDN w:val="0"/>
        <w:adjustRightInd w:val="0"/>
        <w:rPr>
          <w:rFonts w:hint="eastAsia" w:ascii="宋体" w:hAnsi="宋体" w:eastAsia="宋体" w:cs="宋体"/>
          <w:b/>
          <w:bCs/>
          <w:color w:val="auto"/>
          <w:highlight w:val="none"/>
        </w:rPr>
      </w:pPr>
    </w:p>
    <w:p w14:paraId="0B411621">
      <w:pPr>
        <w:pStyle w:val="8"/>
        <w:rPr>
          <w:rFonts w:hint="eastAsia" w:ascii="宋体" w:hAnsi="宋体" w:eastAsia="宋体" w:cs="宋体"/>
          <w:color w:val="auto"/>
          <w:highlight w:val="none"/>
        </w:rPr>
      </w:pPr>
    </w:p>
    <w:p w14:paraId="2BFD37B8">
      <w:pPr>
        <w:autoSpaceDE w:val="0"/>
        <w:autoSpaceDN w:val="0"/>
        <w:adjustRightInd w:val="0"/>
        <w:spacing w:line="360" w:lineRule="auto"/>
        <w:jc w:val="right"/>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 xml:space="preserve">              </w:t>
      </w:r>
    </w:p>
    <w:p w14:paraId="25A21764">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3CAB13C0">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浙江省社会主义学院</w:t>
      </w:r>
    </w:p>
    <w:p w14:paraId="29E35D7D">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 xml:space="preserve">“智慧教务”（2.0）建设项目 </w:t>
      </w:r>
    </w:p>
    <w:p w14:paraId="79B1ACA7">
      <w:pPr>
        <w:autoSpaceDE w:val="0"/>
        <w:autoSpaceDN w:val="0"/>
        <w:adjustRightInd w:val="0"/>
        <w:spacing w:line="360" w:lineRule="auto"/>
        <w:jc w:val="center"/>
        <w:rPr>
          <w:rFonts w:hint="eastAsia" w:ascii="宋体" w:hAnsi="宋体" w:eastAsia="宋体" w:cs="宋体"/>
          <w:color w:val="auto"/>
          <w:sz w:val="32"/>
          <w:szCs w:val="32"/>
          <w:highlight w:val="none"/>
          <w:u w:val="single"/>
        </w:rPr>
      </w:pPr>
    </w:p>
    <w:p w14:paraId="1792A1F8">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36FDDD1D">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225CFFE9">
      <w:pPr>
        <w:autoSpaceDE w:val="0"/>
        <w:autoSpaceDN w:val="0"/>
        <w:adjustRightIn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（资格响应文件/商务技术响应文件）</w:t>
      </w:r>
    </w:p>
    <w:p w14:paraId="3B9DB1DC">
      <w:pPr>
        <w:autoSpaceDE w:val="0"/>
        <w:autoSpaceDN w:val="0"/>
        <w:adjustRightInd w:val="0"/>
        <w:spacing w:line="360" w:lineRule="auto"/>
        <w:ind w:firstLine="2528" w:firstLineChars="787"/>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ZJ-2470973-07</w:t>
      </w:r>
    </w:p>
    <w:p w14:paraId="6FFC2C3A">
      <w:pPr>
        <w:autoSpaceDE w:val="0"/>
        <w:autoSpaceDN w:val="0"/>
        <w:adjustRightInd w:val="0"/>
        <w:spacing w:line="360" w:lineRule="auto"/>
        <w:rPr>
          <w:rFonts w:hint="eastAsia" w:ascii="宋体" w:hAnsi="宋体" w:eastAsia="宋体" w:cs="宋体"/>
          <w:b/>
          <w:color w:val="auto"/>
          <w:sz w:val="32"/>
          <w:szCs w:val="32"/>
          <w:highlight w:val="none"/>
        </w:rPr>
      </w:pPr>
    </w:p>
    <w:p w14:paraId="1379DCF2">
      <w:pPr>
        <w:autoSpaceDE w:val="0"/>
        <w:autoSpaceDN w:val="0"/>
        <w:adjustRightInd w:val="0"/>
        <w:spacing w:line="360" w:lineRule="auto"/>
        <w:rPr>
          <w:rFonts w:hint="eastAsia" w:ascii="宋体" w:hAnsi="宋体" w:eastAsia="宋体" w:cs="宋体"/>
          <w:b/>
          <w:color w:val="auto"/>
          <w:sz w:val="32"/>
          <w:szCs w:val="32"/>
          <w:highlight w:val="none"/>
        </w:rPr>
      </w:pPr>
    </w:p>
    <w:p w14:paraId="255255E7">
      <w:pPr>
        <w:autoSpaceDE w:val="0"/>
        <w:autoSpaceDN w:val="0"/>
        <w:adjustRightInd w:val="0"/>
        <w:spacing w:line="360" w:lineRule="auto"/>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投标人（盖公章或电子签章）：</w:t>
      </w:r>
      <w:r>
        <w:rPr>
          <w:rFonts w:hint="eastAsia" w:ascii="宋体" w:hAnsi="宋体" w:eastAsia="宋体" w:cs="宋体"/>
          <w:b/>
          <w:color w:val="auto"/>
          <w:sz w:val="32"/>
          <w:szCs w:val="32"/>
          <w:highlight w:val="none"/>
          <w:u w:val="single"/>
        </w:rPr>
        <w:t xml:space="preserve">                        </w:t>
      </w:r>
    </w:p>
    <w:p w14:paraId="1EEA8A3D">
      <w:pPr>
        <w:pStyle w:val="8"/>
        <w:rPr>
          <w:rFonts w:hint="eastAsia" w:ascii="宋体" w:hAnsi="宋体" w:eastAsia="宋体" w:cs="宋体"/>
          <w:color w:val="auto"/>
          <w:highlight w:val="none"/>
        </w:rPr>
      </w:pPr>
    </w:p>
    <w:p w14:paraId="3ADE4CDA">
      <w:pPr>
        <w:autoSpaceDE w:val="0"/>
        <w:autoSpaceDN w:val="0"/>
        <w:adjustRightInd w:val="0"/>
        <w:spacing w:line="360" w:lineRule="auto"/>
        <w:jc w:val="center"/>
        <w:rPr>
          <w:rFonts w:hint="eastAsia" w:ascii="宋体" w:hAnsi="宋体" w:eastAsia="宋体" w:cs="宋体"/>
          <w:b/>
          <w:color w:val="auto"/>
          <w:sz w:val="32"/>
          <w:szCs w:val="32"/>
          <w:highlight w:val="none"/>
        </w:rPr>
      </w:pPr>
    </w:p>
    <w:p w14:paraId="794396D2">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日期：    年   月   日</w:t>
      </w:r>
    </w:p>
    <w:p w14:paraId="296F025C">
      <w:pPr>
        <w:autoSpaceDE w:val="0"/>
        <w:autoSpaceDN w:val="0"/>
        <w:adjustRightInd w:val="0"/>
        <w:spacing w:line="360" w:lineRule="auto"/>
        <w:rPr>
          <w:rFonts w:hint="eastAsia" w:ascii="宋体" w:hAnsi="宋体" w:eastAsia="宋体" w:cs="宋体"/>
          <w:color w:val="auto"/>
          <w:highlight w:val="none"/>
        </w:rPr>
      </w:pPr>
    </w:p>
    <w:p w14:paraId="520CF7FA">
      <w:pPr>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br w:type="page"/>
      </w:r>
    </w:p>
    <w:p w14:paraId="3C85C518">
      <w:pPr>
        <w:autoSpaceDE w:val="0"/>
        <w:autoSpaceDN w:val="0"/>
        <w:adjustRightInd w:val="0"/>
        <w:snapToGrid w:val="0"/>
        <w:spacing w:line="360" w:lineRule="auto"/>
        <w:outlineLvl w:val="1"/>
        <w:rPr>
          <w:rStyle w:val="32"/>
          <w:rFonts w:hint="eastAsia" w:ascii="宋体" w:hAnsi="宋体" w:eastAsia="宋体" w:cs="宋体"/>
          <w:color w:val="auto"/>
          <w:sz w:val="28"/>
          <w:szCs w:val="28"/>
          <w:highlight w:val="none"/>
        </w:rPr>
      </w:pPr>
      <w:bookmarkStart w:id="583" w:name="_Toc31523"/>
      <w:bookmarkStart w:id="584" w:name="_Toc15653"/>
      <w:bookmarkStart w:id="585" w:name="_Toc20310"/>
      <w:bookmarkStart w:id="586" w:name="_Toc7837"/>
      <w:bookmarkStart w:id="587" w:name="_Toc286"/>
      <w:bookmarkStart w:id="588" w:name="_Toc8129"/>
      <w:bookmarkStart w:id="589" w:name="_Toc18880"/>
      <w:r>
        <w:rPr>
          <w:rStyle w:val="32"/>
          <w:rFonts w:hint="eastAsia" w:ascii="宋体" w:hAnsi="宋体" w:eastAsia="宋体" w:cs="宋体"/>
          <w:color w:val="auto"/>
          <w:sz w:val="28"/>
          <w:szCs w:val="28"/>
          <w:highlight w:val="none"/>
        </w:rPr>
        <w:t>二、</w:t>
      </w:r>
      <w:bookmarkEnd w:id="583"/>
      <w:bookmarkEnd w:id="584"/>
      <w:r>
        <w:rPr>
          <w:rStyle w:val="32"/>
          <w:rFonts w:hint="eastAsia" w:ascii="宋体" w:hAnsi="宋体" w:eastAsia="宋体" w:cs="宋体"/>
          <w:color w:val="auto"/>
          <w:sz w:val="28"/>
          <w:szCs w:val="28"/>
          <w:highlight w:val="none"/>
        </w:rPr>
        <w:t>资格响应文件</w:t>
      </w:r>
      <w:bookmarkEnd w:id="585"/>
      <w:bookmarkEnd w:id="586"/>
      <w:bookmarkEnd w:id="587"/>
      <w:bookmarkEnd w:id="588"/>
      <w:bookmarkEnd w:id="589"/>
    </w:p>
    <w:p w14:paraId="685560DF">
      <w:pPr>
        <w:pStyle w:val="20"/>
        <w:tabs>
          <w:tab w:val="left" w:pos="630"/>
          <w:tab w:val="left" w:pos="840"/>
          <w:tab w:val="left" w:pos="1050"/>
        </w:tabs>
        <w:adjustRightInd w:val="0"/>
        <w:snapToGrid w:val="0"/>
        <w:spacing w:before="0" w:beforeAutospacing="0" w:after="0" w:afterAutospacing="0"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2.1基本资格条件相关证明材料</w:t>
      </w:r>
    </w:p>
    <w:p w14:paraId="4B00FE8B">
      <w:pPr>
        <w:pStyle w:val="20"/>
        <w:tabs>
          <w:tab w:val="left" w:pos="630"/>
          <w:tab w:val="left" w:pos="840"/>
          <w:tab w:val="left" w:pos="1050"/>
        </w:tabs>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a.具有独立承担民事责任能力的证明材料（如为联合体投标人的，联合体各方均须提供）</w:t>
      </w:r>
    </w:p>
    <w:p w14:paraId="0D36FE4B">
      <w:pPr>
        <w:pStyle w:val="20"/>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投标人须在投标文件中出具符合以下情况的证明材料复印件（五选一）：</w:t>
      </w:r>
    </w:p>
    <w:p w14:paraId="3D42463D">
      <w:pPr>
        <w:pStyle w:val="20"/>
        <w:numPr>
          <w:ilvl w:val="0"/>
          <w:numId w:val="31"/>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如投标人是企业（包括合伙企业），提供在工商部门注册的有效“企业法人营业执照”或“营业执照”；</w:t>
      </w:r>
    </w:p>
    <w:p w14:paraId="158D5BB4">
      <w:pPr>
        <w:pStyle w:val="20"/>
        <w:numPr>
          <w:ilvl w:val="0"/>
          <w:numId w:val="31"/>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如投标人是事业单位，提供有效的“事业单位法人证书”；</w:t>
      </w:r>
    </w:p>
    <w:p w14:paraId="49259606">
      <w:pPr>
        <w:pStyle w:val="20"/>
        <w:numPr>
          <w:ilvl w:val="0"/>
          <w:numId w:val="31"/>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如投标人是非企业专业服务机构的，提供执业许可证等证明文件；</w:t>
      </w:r>
    </w:p>
    <w:p w14:paraId="5E2BF5CA">
      <w:pPr>
        <w:pStyle w:val="20"/>
        <w:numPr>
          <w:ilvl w:val="0"/>
          <w:numId w:val="31"/>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如投标人是个体工商户，提供有效的“个体工商户营业执照”；</w:t>
      </w:r>
    </w:p>
    <w:p w14:paraId="40AB3003">
      <w:pPr>
        <w:pStyle w:val="20"/>
        <w:numPr>
          <w:ilvl w:val="0"/>
          <w:numId w:val="31"/>
        </w:numPr>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如投标人是自然人，提供有效的自然人身份证明（居民身份证正反面或公安机关出具的临时居民身份证正反面或港澳台胞证或护照）。</w:t>
      </w:r>
    </w:p>
    <w:p w14:paraId="7D228742">
      <w:pPr>
        <w:pStyle w:val="20"/>
        <w:tabs>
          <w:tab w:val="left" w:pos="312"/>
        </w:tabs>
        <w:adjustRightInd w:val="0"/>
        <w:snapToGrid w:val="0"/>
        <w:spacing w:before="0" w:beforeAutospacing="0" w:after="0" w:afterAutospacing="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21"/>
          <w:szCs w:val="21"/>
          <w:highlight w:val="none"/>
        </w:rPr>
        <w:t>b.符合参与政府采购活动资格条件的证明材料（如为联合体投标人的，联合体各方均须提供）</w:t>
      </w:r>
    </w:p>
    <w:p w14:paraId="3017AA5C">
      <w:pPr>
        <w:pStyle w:val="20"/>
        <w:adjustRightInd w:val="0"/>
        <w:snapToGrid w:val="0"/>
        <w:spacing w:before="166" w:beforeLines="50" w:beforeAutospacing="0" w:after="166" w:afterLines="50" w:afterAutospacing="0" w:line="360" w:lineRule="auto"/>
        <w:jc w:val="center"/>
        <w:rPr>
          <w:rFonts w:hint="eastAsia" w:ascii="宋体" w:hAnsi="宋体" w:eastAsia="宋体" w:cs="宋体"/>
          <w:color w:val="auto"/>
          <w:szCs w:val="21"/>
          <w:highlight w:val="none"/>
          <w:u w:val="single"/>
        </w:rPr>
      </w:pPr>
      <w:r>
        <w:rPr>
          <w:rFonts w:hint="eastAsia" w:ascii="宋体" w:hAnsi="宋体" w:eastAsia="宋体" w:cs="宋体"/>
          <w:b/>
          <w:bCs/>
          <w:color w:val="auto"/>
          <w:sz w:val="32"/>
          <w:szCs w:val="32"/>
          <w:highlight w:val="none"/>
        </w:rPr>
        <w:t>符合参与政府采购活动资格条件的承诺函</w:t>
      </w:r>
    </w:p>
    <w:p w14:paraId="561FF4E4">
      <w:pPr>
        <w:spacing w:line="400" w:lineRule="exac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lang w:eastAsia="zh-CN"/>
        </w:rPr>
        <w:t>浙江省社会主义学院</w:t>
      </w:r>
      <w:r>
        <w:rPr>
          <w:rFonts w:hint="eastAsia" w:ascii="宋体" w:hAnsi="宋体" w:eastAsia="宋体" w:cs="宋体"/>
          <w:b/>
          <w:bCs/>
          <w:color w:val="auto"/>
          <w:szCs w:val="21"/>
          <w:highlight w:val="none"/>
          <w:u w:val="single"/>
        </w:rPr>
        <w:t>：</w:t>
      </w:r>
    </w:p>
    <w:p w14:paraId="4F32404A">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（投标人全称）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u w:val="single"/>
          <w:lang w:eastAsia="zh-CN"/>
        </w:rPr>
        <w:t xml:space="preserve">浙江省社会主义学院“智慧教务”（2.0）建设项目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ZJ-2470973-07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政府采购活动，郑重承诺如下：</w:t>
      </w:r>
    </w:p>
    <w:p w14:paraId="2646FBF3">
      <w:pPr>
        <w:adjustRightIn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（一）具备《中华人民共和国政府采购法》第二十二条第一款规定的下列条件：</w:t>
      </w:r>
    </w:p>
    <w:p w14:paraId="790858B8">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1.我方具有良好的商业信誉和健全的财务会计制度；</w:t>
      </w:r>
    </w:p>
    <w:p w14:paraId="3A0452E2">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2.我方具有履行本项目合同所必需的设备和专业技术能力；</w:t>
      </w:r>
    </w:p>
    <w:p w14:paraId="4C34B6A1">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3.我方没有缴纳税收和社会保障等方面的失信记录；</w:t>
      </w:r>
    </w:p>
    <w:p w14:paraId="7DE72F7F">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7B0ED8B">
      <w:pPr>
        <w:pStyle w:val="20"/>
        <w:spacing w:before="0" w:beforeAutospacing="0" w:after="0" w:afterAutospacing="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（二）未被信用中国（www.creditchina.gov.cn）、中国政府采购网（www.ccgp.gov.cn）列入失信被执行人、重大税收违法案件当事人名单、政府采购严重违法失信行为记录名单。</w:t>
      </w:r>
    </w:p>
    <w:p w14:paraId="2912F070">
      <w:pPr>
        <w:pStyle w:val="20"/>
        <w:spacing w:before="0" w:beforeAutospacing="0" w:after="0" w:afterAutospacing="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（三）不存在以下情况：</w:t>
      </w:r>
    </w:p>
    <w:p w14:paraId="1FD5AF4B">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29EBD8BB">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2.为采购项目提供整体设计、规范编制或者项目管理、监理、检测等服务后再参加该采购项目的其他采购活动的（其他采购活动不包括为该项目提供整体设计、规范编制或者项目管理、监理、检测等服务）；</w:t>
      </w:r>
    </w:p>
    <w:p w14:paraId="5D2C9424">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3.以联合体形式参加政府采购活动的，再单独参加或者与其他投标人另外组成联合体参加同一合同项下的政府采购活动的情形。</w:t>
      </w:r>
    </w:p>
    <w:p w14:paraId="4026CB3C">
      <w:pPr>
        <w:pStyle w:val="2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我方对上述承诺内容的真实性负责。如有虚假，将依法承担相应责任。</w:t>
      </w:r>
    </w:p>
    <w:p w14:paraId="7CDBE055">
      <w:pPr>
        <w:adjustRightInd w:val="0"/>
        <w:spacing w:line="360" w:lineRule="auto"/>
        <w:ind w:firstLine="4515" w:firstLineChars="2150"/>
        <w:rPr>
          <w:rFonts w:hint="eastAsia" w:ascii="宋体" w:hAnsi="宋体" w:eastAsia="宋体" w:cs="宋体"/>
          <w:color w:val="auto"/>
          <w:szCs w:val="21"/>
          <w:highlight w:val="none"/>
        </w:rPr>
      </w:pPr>
    </w:p>
    <w:p w14:paraId="42AE450B">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14917CAF">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682D3298">
      <w:pPr>
        <w:pStyle w:val="2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p>
    <w:p w14:paraId="783AAF25">
      <w:pPr>
        <w:pStyle w:val="2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特别说明：已完成信用修复的“缴纳税收和社会保障等方面的失信记录”不包含在上述第</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3点所述情形内（属于重大违法记录情形的除外）。</w:t>
      </w:r>
    </w:p>
    <w:p w14:paraId="43FE5D4B">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2.2落实政府采购政策需满足的资格要求（如为联合体投标人的，联合体各方均须提供）：标项1：</w:t>
      </w:r>
      <w:r>
        <w:rPr>
          <w:rFonts w:hint="eastAsia" w:ascii="宋体" w:hAnsi="宋体" w:eastAsia="宋体" w:cs="宋体"/>
          <w:b/>
          <w:bCs/>
          <w:color w:val="auto"/>
          <w:szCs w:val="21"/>
          <w:highlight w:val="none"/>
          <w:lang w:eastAsia="zh-CN"/>
        </w:rPr>
        <w:t>本项目专门面向中小企业，服务全部由符合政策要求的中小企业承接。</w:t>
      </w:r>
    </w:p>
    <w:p w14:paraId="78AB3ADE">
      <w:pPr>
        <w:pStyle w:val="52"/>
        <w:rPr>
          <w:rFonts w:hint="eastAsia" w:ascii="宋体" w:hAnsi="宋体" w:eastAsia="宋体" w:cs="宋体"/>
          <w:b/>
          <w:bCs/>
          <w:color w:val="auto"/>
          <w:szCs w:val="21"/>
          <w:highlight w:val="none"/>
        </w:rPr>
      </w:pPr>
    </w:p>
    <w:p w14:paraId="3CED4972">
      <w:pPr>
        <w:pStyle w:val="9"/>
        <w:spacing w:line="600" w:lineRule="exact"/>
        <w:ind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7AB4E0C5">
      <w:pPr>
        <w:pStyle w:val="7"/>
        <w:spacing w:before="5"/>
        <w:ind w:firstLine="361"/>
        <w:rPr>
          <w:rFonts w:hint="eastAsia" w:ascii="宋体" w:hAnsi="宋体" w:eastAsia="宋体" w:cs="宋体"/>
          <w:b/>
          <w:color w:val="auto"/>
          <w:sz w:val="18"/>
          <w:szCs w:val="18"/>
          <w:highlight w:val="none"/>
        </w:rPr>
      </w:pPr>
    </w:p>
    <w:p w14:paraId="15D7C298">
      <w:pPr>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采购活动，</w:t>
      </w:r>
      <w:r>
        <w:rPr>
          <w:rFonts w:hint="eastAsia" w:ascii="宋体" w:hAnsi="宋体" w:eastAsia="宋体" w:cs="宋体"/>
          <w:b/>
          <w:bCs/>
          <w:color w:val="auto"/>
          <w:szCs w:val="21"/>
          <w:highlight w:val="none"/>
        </w:rPr>
        <w:t>服务</w:t>
      </w:r>
      <w:r>
        <w:rPr>
          <w:rFonts w:hint="eastAsia" w:ascii="宋体" w:hAnsi="宋体" w:eastAsia="宋体" w:cs="宋体"/>
          <w:b/>
          <w:bCs/>
          <w:color w:val="auto"/>
          <w:w w:val="95"/>
          <w:szCs w:val="21"/>
          <w:highlight w:val="none"/>
        </w:rPr>
        <w:t>全部由符合政策要求的中小企业承接。</w:t>
      </w:r>
      <w:r>
        <w:rPr>
          <w:rFonts w:hint="eastAsia" w:ascii="宋体" w:hAnsi="宋体" w:eastAsia="宋体" w:cs="宋体"/>
          <w:color w:val="auto"/>
          <w:w w:val="95"/>
          <w:szCs w:val="21"/>
          <w:highlight w:val="none"/>
        </w:rPr>
        <w:t>相关企业（含联合</w:t>
      </w:r>
      <w:r>
        <w:rPr>
          <w:rFonts w:hint="eastAsia" w:ascii="宋体" w:hAnsi="宋体" w:eastAsia="宋体" w:cs="宋体"/>
          <w:color w:val="auto"/>
          <w:szCs w:val="21"/>
          <w:highlight w:val="none"/>
        </w:rPr>
        <w:t>体中的中小企业、签订分包意向协议的中小企业）的具体情况如下：</w:t>
      </w:r>
    </w:p>
    <w:p w14:paraId="6ED6A125">
      <w:pPr>
        <w:pStyle w:val="50"/>
        <w:tabs>
          <w:tab w:val="left" w:pos="1243"/>
        </w:tabs>
        <w:autoSpaceDE w:val="0"/>
        <w:autoSpaceDN w:val="0"/>
        <w:spacing w:line="360" w:lineRule="auto"/>
        <w:ind w:left="19" w:firstLine="480" w:firstLineChars="239"/>
        <w:rPr>
          <w:rFonts w:hint="eastAsia" w:ascii="宋体" w:hAnsi="宋体" w:eastAsia="宋体" w:cs="宋体"/>
          <w:color w:val="auto"/>
          <w:szCs w:val="21"/>
          <w:highlight w:val="none"/>
        </w:rPr>
      </w:pPr>
      <w:r>
        <w:rPr>
          <w:rFonts w:hint="eastAsia" w:ascii="宋体" w:hAnsi="宋体" w:eastAsia="宋体" w:cs="宋体"/>
          <w:iCs/>
          <w:color w:val="auto"/>
          <w:w w:val="96"/>
          <w:szCs w:val="21"/>
          <w:highlight w:val="none"/>
        </w:rPr>
        <w:t>1.</w:t>
      </w:r>
      <w:r>
        <w:rPr>
          <w:rFonts w:hint="eastAsia" w:ascii="宋体" w:hAnsi="宋体" w:eastAsia="宋体" w:cs="宋体"/>
          <w:i/>
          <w:color w:val="auto"/>
          <w:w w:val="96"/>
          <w:szCs w:val="21"/>
          <w:highlight w:val="none"/>
          <w:u w:val="single"/>
        </w:rPr>
        <w:t>（标的名称）</w:t>
      </w:r>
      <w:r>
        <w:rPr>
          <w:rFonts w:hint="eastAsia" w:ascii="宋体" w:hAnsi="宋体" w:eastAsia="宋体" w:cs="宋体"/>
          <w:color w:val="auto"/>
          <w:w w:val="99"/>
          <w:szCs w:val="21"/>
          <w:highlight w:val="none"/>
        </w:rPr>
        <w:t>，属于</w:t>
      </w:r>
      <w:r>
        <w:rPr>
          <w:rFonts w:hint="eastAsia" w:ascii="宋体" w:hAnsi="宋体" w:eastAsia="宋体" w:cs="宋体"/>
          <w:i/>
          <w:color w:val="auto"/>
          <w:w w:val="96"/>
          <w:szCs w:val="21"/>
          <w:highlight w:val="none"/>
          <w:u w:val="single"/>
        </w:rPr>
        <w:t>软件和信息技术服务业行业</w:t>
      </w:r>
      <w:r>
        <w:rPr>
          <w:rFonts w:hint="eastAsia" w:ascii="宋体" w:hAnsi="宋体" w:eastAsia="宋体" w:cs="宋体"/>
          <w:color w:val="auto"/>
          <w:w w:val="99"/>
          <w:szCs w:val="21"/>
          <w:highlight w:val="none"/>
        </w:rPr>
        <w:t>；承建（承接）企业为</w:t>
      </w:r>
      <w:r>
        <w:rPr>
          <w:rFonts w:hint="eastAsia" w:ascii="宋体" w:hAnsi="宋体" w:eastAsia="宋体" w:cs="宋体"/>
          <w:i/>
          <w:color w:val="auto"/>
          <w:w w:val="96"/>
          <w:szCs w:val="21"/>
          <w:highlight w:val="none"/>
          <w:u w:val="single"/>
        </w:rPr>
        <w:t>（企业名称）</w:t>
      </w:r>
      <w:r>
        <w:rPr>
          <w:rFonts w:hint="eastAsia" w:ascii="宋体" w:hAnsi="宋体" w:eastAsia="宋体" w:cs="宋体"/>
          <w:color w:val="auto"/>
          <w:w w:val="99"/>
          <w:szCs w:val="21"/>
          <w:highlight w:val="none"/>
        </w:rPr>
        <w:t>，从业人员</w:t>
      </w:r>
      <w:r>
        <w:rPr>
          <w:rFonts w:hint="eastAsia" w:ascii="宋体" w:hAnsi="宋体" w:eastAsia="宋体" w:cs="宋体"/>
          <w:color w:val="auto"/>
          <w:w w:val="99"/>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w w:val="99"/>
          <w:szCs w:val="21"/>
          <w:highlight w:val="none"/>
        </w:rPr>
        <w:t>人，营业</w:t>
      </w:r>
      <w:r>
        <w:rPr>
          <w:rFonts w:hint="eastAsia" w:ascii="宋体" w:hAnsi="宋体" w:eastAsia="宋体" w:cs="宋体"/>
          <w:color w:val="auto"/>
          <w:szCs w:val="21"/>
          <w:highlight w:val="none"/>
        </w:rPr>
        <w:t>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vertAlign w:val="superscript"/>
        </w:rPr>
        <w:fldChar w:fldCharType="end"/>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（中型企业、</w:t>
      </w:r>
      <w:r>
        <w:rPr>
          <w:rFonts w:hint="eastAsia" w:ascii="宋体" w:hAnsi="宋体" w:eastAsia="宋体" w:cs="宋体"/>
          <w:i/>
          <w:color w:val="auto"/>
          <w:w w:val="96"/>
          <w:szCs w:val="21"/>
          <w:highlight w:val="none"/>
          <w:u w:val="single"/>
        </w:rPr>
        <w:t>小型企业、微型企业）</w:t>
      </w:r>
      <w:r>
        <w:rPr>
          <w:rFonts w:hint="eastAsia" w:ascii="宋体" w:hAnsi="宋体" w:eastAsia="宋体" w:cs="宋体"/>
          <w:color w:val="auto"/>
          <w:w w:val="99"/>
          <w:szCs w:val="21"/>
          <w:highlight w:val="none"/>
        </w:rPr>
        <w:t>；</w:t>
      </w:r>
    </w:p>
    <w:p w14:paraId="1551182D">
      <w:pPr>
        <w:pStyle w:val="50"/>
        <w:tabs>
          <w:tab w:val="left" w:pos="1243"/>
          <w:tab w:val="left" w:pos="1806"/>
          <w:tab w:val="left" w:pos="5005"/>
          <w:tab w:val="left" w:pos="7213"/>
        </w:tabs>
        <w:autoSpaceDE w:val="0"/>
        <w:autoSpaceDN w:val="0"/>
        <w:spacing w:line="360" w:lineRule="auto"/>
        <w:ind w:left="15" w:right="-54" w:firstLine="478" w:firstLineChars="238"/>
        <w:jc w:val="left"/>
        <w:rPr>
          <w:rFonts w:hint="eastAsia" w:ascii="宋体" w:hAnsi="宋体" w:eastAsia="宋体" w:cs="宋体"/>
          <w:color w:val="auto"/>
          <w:szCs w:val="21"/>
          <w:highlight w:val="none"/>
        </w:rPr>
      </w:pPr>
      <w:r>
        <w:rPr>
          <w:rFonts w:hint="eastAsia" w:ascii="宋体" w:hAnsi="宋体" w:eastAsia="宋体" w:cs="宋体"/>
          <w:iCs/>
          <w:color w:val="auto"/>
          <w:w w:val="96"/>
          <w:szCs w:val="21"/>
          <w:highlight w:val="none"/>
        </w:rPr>
        <w:t>2.</w:t>
      </w:r>
      <w:r>
        <w:rPr>
          <w:rFonts w:hint="eastAsia" w:ascii="宋体" w:hAnsi="宋体" w:eastAsia="宋体" w:cs="宋体"/>
          <w:i/>
          <w:color w:val="auto"/>
          <w:w w:val="96"/>
          <w:szCs w:val="21"/>
          <w:highlight w:val="none"/>
          <w:u w:val="single"/>
        </w:rPr>
        <w:t>（标的名称）</w:t>
      </w:r>
      <w:r>
        <w:rPr>
          <w:rFonts w:hint="eastAsia" w:ascii="宋体" w:hAnsi="宋体" w:eastAsia="宋体" w:cs="宋体"/>
          <w:color w:val="auto"/>
          <w:w w:val="99"/>
          <w:szCs w:val="21"/>
          <w:highlight w:val="none"/>
        </w:rPr>
        <w:t>，属于</w:t>
      </w:r>
      <w:r>
        <w:rPr>
          <w:rFonts w:hint="eastAsia" w:ascii="宋体" w:hAnsi="宋体" w:eastAsia="宋体" w:cs="宋体"/>
          <w:i/>
          <w:color w:val="auto"/>
          <w:w w:val="96"/>
          <w:szCs w:val="21"/>
          <w:highlight w:val="none"/>
          <w:u w:val="single"/>
        </w:rPr>
        <w:t>软件和信息技术服务业行业</w:t>
      </w:r>
      <w:r>
        <w:rPr>
          <w:rFonts w:hint="eastAsia" w:ascii="宋体" w:hAnsi="宋体" w:eastAsia="宋体" w:cs="宋体"/>
          <w:color w:val="auto"/>
          <w:w w:val="99"/>
          <w:szCs w:val="21"/>
          <w:highlight w:val="none"/>
        </w:rPr>
        <w:t>； 承建（承接）企业为</w:t>
      </w:r>
      <w:r>
        <w:rPr>
          <w:rFonts w:hint="eastAsia" w:ascii="宋体" w:hAnsi="宋体" w:eastAsia="宋体" w:cs="宋体"/>
          <w:i/>
          <w:color w:val="auto"/>
          <w:w w:val="96"/>
          <w:szCs w:val="21"/>
          <w:highlight w:val="none"/>
          <w:u w:val="single"/>
        </w:rPr>
        <w:t>（企业名称）</w:t>
      </w:r>
      <w:r>
        <w:rPr>
          <w:rFonts w:hint="eastAsia" w:ascii="宋体" w:hAnsi="宋体" w:eastAsia="宋体" w:cs="宋体"/>
          <w:color w:val="auto"/>
          <w:w w:val="99"/>
          <w:szCs w:val="21"/>
          <w:highlight w:val="none"/>
        </w:rPr>
        <w:t>，从业人员</w:t>
      </w:r>
      <w:r>
        <w:rPr>
          <w:rFonts w:hint="eastAsia" w:ascii="宋体" w:hAnsi="宋体" w:eastAsia="宋体" w:cs="宋体"/>
          <w:color w:val="auto"/>
          <w:w w:val="99"/>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w w:val="99"/>
          <w:szCs w:val="21"/>
          <w:highlight w:val="none"/>
        </w:rPr>
        <w:t>人，营业</w:t>
      </w:r>
      <w:r>
        <w:rPr>
          <w:rFonts w:hint="eastAsia" w:ascii="宋体" w:hAnsi="宋体" w:eastAsia="宋体" w:cs="宋体"/>
          <w:color w:val="auto"/>
          <w:szCs w:val="21"/>
          <w:highlight w:val="none"/>
        </w:rPr>
        <w:t>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w:t>
      </w:r>
      <w:r>
        <w:rPr>
          <w:rFonts w:hint="eastAsia" w:ascii="宋体" w:hAnsi="宋体" w:eastAsia="宋体" w:cs="宋体"/>
          <w:i/>
          <w:color w:val="auto"/>
          <w:w w:val="96"/>
          <w:szCs w:val="21"/>
          <w:highlight w:val="none"/>
          <w:u w:val="single"/>
        </w:rPr>
        <w:t>小型企业、微型企业）</w:t>
      </w:r>
      <w:r>
        <w:rPr>
          <w:rFonts w:hint="eastAsia" w:ascii="宋体" w:hAnsi="宋体" w:eastAsia="宋体" w:cs="宋体"/>
          <w:color w:val="auto"/>
          <w:w w:val="99"/>
          <w:szCs w:val="21"/>
          <w:highlight w:val="none"/>
        </w:rPr>
        <w:t>；</w:t>
      </w:r>
    </w:p>
    <w:p w14:paraId="53F2CF3B">
      <w:pPr>
        <w:pStyle w:val="7"/>
        <w:keepNext w:val="0"/>
        <w:keepLines w:val="0"/>
        <w:pageBreakBefore w:val="0"/>
        <w:widowControl w:val="0"/>
        <w:kinsoku/>
        <w:wordWrap/>
        <w:overflowPunct/>
        <w:topLinePunct w:val="0"/>
        <w:autoSpaceDE w:val="0"/>
        <w:autoSpaceDN w:val="0"/>
        <w:bidi w:val="0"/>
        <w:adjustRightInd/>
        <w:snapToGrid/>
        <w:spacing w:before="11" w:after="0" w:line="360" w:lineRule="auto"/>
        <w:ind w:left="860" w:firstLine="56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C9B05C7">
      <w:pPr>
        <w:pStyle w:val="7"/>
        <w:keepNext w:val="0"/>
        <w:keepLines w:val="0"/>
        <w:pageBreakBefore w:val="0"/>
        <w:widowControl w:val="0"/>
        <w:kinsoku/>
        <w:wordWrap/>
        <w:overflowPunct/>
        <w:topLinePunct w:val="0"/>
        <w:autoSpaceDE w:val="0"/>
        <w:autoSpaceDN w:val="0"/>
        <w:bidi w:val="0"/>
        <w:adjustRightInd/>
        <w:snapToGrid/>
        <w:spacing w:before="108" w:after="0" w:line="360" w:lineRule="auto"/>
        <w:ind w:right="-54" w:firstLine="56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133A1A5F">
      <w:pPr>
        <w:pStyle w:val="7"/>
        <w:keepNext w:val="0"/>
        <w:keepLines w:val="0"/>
        <w:pageBreakBefore w:val="0"/>
        <w:widowControl w:val="0"/>
        <w:kinsoku/>
        <w:wordWrap/>
        <w:overflowPunct/>
        <w:topLinePunct w:val="0"/>
        <w:autoSpaceDE w:val="0"/>
        <w:autoSpaceDN w:val="0"/>
        <w:bidi w:val="0"/>
        <w:adjustRightInd/>
        <w:snapToGrid/>
        <w:spacing w:after="0" w:line="360" w:lineRule="auto"/>
        <w:ind w:right="-54" w:firstLine="56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6AD1E62C">
      <w:pPr>
        <w:pStyle w:val="7"/>
        <w:autoSpaceDE w:val="0"/>
        <w:autoSpaceDN w:val="0"/>
        <w:spacing w:after="0"/>
        <w:ind w:right="372" w:firstLine="420"/>
        <w:rPr>
          <w:rFonts w:hint="eastAsia" w:ascii="宋体" w:hAnsi="宋体" w:eastAsia="宋体" w:cs="宋体"/>
          <w:color w:val="auto"/>
          <w:szCs w:val="21"/>
          <w:highlight w:val="none"/>
        </w:rPr>
      </w:pPr>
    </w:p>
    <w:p w14:paraId="578D0036">
      <w:pPr>
        <w:adjustRightInd w:val="0"/>
        <w:spacing w:line="360" w:lineRule="auto"/>
        <w:ind w:firstLine="4620" w:firstLineChars="2200"/>
        <w:rPr>
          <w:rFonts w:hint="eastAsia" w:ascii="宋体" w:hAnsi="宋体" w:eastAsia="宋体" w:cs="宋体"/>
          <w:color w:val="auto"/>
          <w:szCs w:val="21"/>
          <w:highlight w:val="none"/>
        </w:rPr>
      </w:pPr>
    </w:p>
    <w:p w14:paraId="286D4A8F">
      <w:pPr>
        <w:adjustRightIn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w:t>
      </w:r>
      <w:r>
        <w:rPr>
          <w:rFonts w:hint="eastAsia" w:ascii="宋体" w:hAnsi="宋体" w:eastAsia="宋体" w:cs="宋体"/>
          <w:bCs/>
          <w:color w:val="auto"/>
          <w:szCs w:val="21"/>
          <w:highlight w:val="none"/>
        </w:rPr>
        <w:t>或电子签章</w:t>
      </w:r>
      <w:r>
        <w:rPr>
          <w:rFonts w:hint="eastAsia" w:ascii="宋体" w:hAnsi="宋体" w:eastAsia="宋体" w:cs="宋体"/>
          <w:color w:val="auto"/>
          <w:szCs w:val="21"/>
          <w:highlight w:val="none"/>
        </w:rPr>
        <w:t>）：</w:t>
      </w:r>
    </w:p>
    <w:p w14:paraId="4144677B">
      <w:pPr>
        <w:pStyle w:val="7"/>
        <w:autoSpaceDE w:val="0"/>
        <w:autoSpaceDN w:val="0"/>
        <w:spacing w:after="0"/>
        <w:ind w:right="2166"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C370C5C">
      <w:pPr>
        <w:adjustRightInd w:val="0"/>
        <w:snapToGrid w:val="0"/>
        <w:spacing w:line="320" w:lineRule="exact"/>
        <w:rPr>
          <w:rFonts w:hint="eastAsia" w:ascii="宋体" w:hAnsi="宋体" w:eastAsia="宋体" w:cs="宋体"/>
          <w:b/>
          <w:color w:val="auto"/>
          <w:szCs w:val="21"/>
          <w:highlight w:val="none"/>
        </w:rPr>
      </w:pPr>
    </w:p>
    <w:p w14:paraId="37B03C49">
      <w:pPr>
        <w:adjustRightInd w:val="0"/>
        <w:snapToGrid w:val="0"/>
        <w:spacing w:line="3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01888909">
      <w:pPr>
        <w:adjustRightInd w:val="0"/>
        <w:snapToGrid w:val="0"/>
        <w:spacing w:line="320" w:lineRule="exact"/>
        <w:jc w:val="left"/>
        <w:rPr>
          <w:rFonts w:hint="eastAsia" w:ascii="宋体" w:hAnsi="宋体" w:eastAsia="宋体" w:cs="宋体"/>
          <w:b/>
          <w:color w:val="auto"/>
          <w:sz w:val="18"/>
          <w:highlight w:val="none"/>
        </w:rPr>
        <w:sectPr>
          <w:footerReference r:id="rId4" w:type="default"/>
          <w:pgSz w:w="11910" w:h="16840"/>
          <w:pgMar w:top="1502" w:right="1380" w:bottom="1780" w:left="1580" w:header="0" w:footer="1378" w:gutter="0"/>
          <w:cols w:space="720" w:num="1"/>
          <w:docGrid w:linePitch="1" w:charSpace="0"/>
        </w:sectPr>
      </w:pPr>
      <w:r>
        <w:rPr>
          <w:rFonts w:hint="eastAsia" w:ascii="宋体" w:hAnsi="宋体" w:eastAsia="宋体" w:cs="宋体"/>
          <w:b/>
          <w:color w:val="auto"/>
          <w:sz w:val="18"/>
          <w:highlight w:val="none"/>
        </w:rPr>
        <w:t>①从业人员、营业收入、资产总额填报上一年度数据，无上一年度数据的新成立企业可不填报。②《中小企业声明函》中“标的名称”、“采购文件中明确的所属行业”依据招标文件投标人须知前附表中“采购标的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8BC5E60">
      <w:pPr>
        <w:pStyle w:val="52"/>
        <w:ind w:left="10" w:hanging="10" w:hangingChars="5"/>
        <w:rPr>
          <w:rFonts w:hint="eastAsia" w:ascii="宋体" w:hAnsi="宋体" w:eastAsia="宋体" w:cs="宋体"/>
          <w:b/>
          <w:bCs/>
          <w:color w:val="auto"/>
          <w:szCs w:val="21"/>
          <w:highlight w:val="none"/>
        </w:rPr>
        <w:sectPr>
          <w:footerReference r:id="rId5" w:type="default"/>
          <w:pgSz w:w="11906" w:h="16838"/>
          <w:pgMar w:top="1440" w:right="1483" w:bottom="1440" w:left="1603" w:header="851" w:footer="992" w:gutter="0"/>
          <w:cols w:space="720" w:num="1"/>
          <w:formProt w:val="0"/>
          <w:docGrid w:type="lines" w:linePitch="332" w:charSpace="0"/>
        </w:sectPr>
      </w:pPr>
      <w:r>
        <w:rPr>
          <w:rFonts w:hint="eastAsia" w:ascii="宋体" w:hAnsi="宋体" w:eastAsia="宋体" w:cs="宋体"/>
          <w:color w:val="auto"/>
          <w:highlight w:val="none"/>
        </w:rPr>
        <w:drawing>
          <wp:inline distT="0" distB="0" distL="114300" distR="114300">
            <wp:extent cx="8671560" cy="5244465"/>
            <wp:effectExtent l="0" t="0" r="133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rot="5400000">
                      <a:off x="0" y="0"/>
                      <a:ext cx="8671560" cy="5244465"/>
                    </a:xfrm>
                    <a:prstGeom prst="rect">
                      <a:avLst/>
                    </a:prstGeom>
                    <a:noFill/>
                    <a:ln>
                      <a:noFill/>
                    </a:ln>
                  </pic:spPr>
                </pic:pic>
              </a:graphicData>
            </a:graphic>
          </wp:inline>
        </w:drawing>
      </w:r>
    </w:p>
    <w:p w14:paraId="6BA6D177">
      <w:pPr>
        <w:rPr>
          <w:rFonts w:hint="eastAsia" w:ascii="宋体" w:hAnsi="宋体" w:eastAsia="宋体" w:cs="宋体"/>
          <w:b/>
          <w:bCs/>
          <w:color w:val="auto"/>
          <w:szCs w:val="21"/>
          <w:highlight w:val="none"/>
          <w:lang w:eastAsia="zh-CN"/>
        </w:rPr>
        <w:sectPr>
          <w:pgSz w:w="11906" w:h="16838"/>
          <w:pgMar w:top="1276" w:right="1418" w:bottom="1247" w:left="1418" w:header="851" w:footer="992" w:gutter="0"/>
          <w:cols w:space="720" w:num="1"/>
          <w:formProt w:val="0"/>
        </w:sectPr>
      </w:pPr>
      <w:r>
        <w:rPr>
          <w:rFonts w:hint="eastAsia" w:ascii="宋体" w:hAnsi="宋体" w:eastAsia="宋体" w:cs="宋体"/>
          <w:b/>
          <w:bCs/>
          <w:color w:val="auto"/>
          <w:szCs w:val="21"/>
          <w:highlight w:val="none"/>
        </w:rPr>
        <w:t>2.3 特定资格条件证明材料：无</w:t>
      </w:r>
      <w:r>
        <w:rPr>
          <w:rFonts w:hint="eastAsia" w:ascii="宋体" w:hAnsi="宋体" w:eastAsia="宋体" w:cs="宋体"/>
          <w:b/>
          <w:bCs/>
          <w:color w:val="auto"/>
          <w:szCs w:val="21"/>
          <w:highlight w:val="none"/>
          <w:lang w:eastAsia="zh-CN"/>
        </w:rPr>
        <w:t>。</w:t>
      </w:r>
    </w:p>
    <w:p w14:paraId="63CF1346">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2.4联合体协议（如为联合体投标的，须提供）</w:t>
      </w:r>
    </w:p>
    <w:p w14:paraId="3EF2C79E">
      <w:pPr>
        <w:rPr>
          <w:rFonts w:hint="eastAsia" w:ascii="宋体" w:hAnsi="宋体" w:eastAsia="宋体" w:cs="宋体"/>
          <w:color w:val="auto"/>
          <w:highlight w:val="none"/>
        </w:rPr>
      </w:pPr>
    </w:p>
    <w:p w14:paraId="596FFD7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w:t>
      </w:r>
      <w:r>
        <w:rPr>
          <w:rFonts w:hint="eastAsia" w:ascii="宋体" w:hAnsi="宋体" w:eastAsia="宋体" w:cs="宋体"/>
          <w:b/>
          <w:color w:val="auto"/>
          <w:kern w:val="0"/>
          <w:sz w:val="32"/>
          <w:szCs w:val="32"/>
          <w:highlight w:val="none"/>
        </w:rPr>
        <w:t>体</w:t>
      </w:r>
      <w:r>
        <w:rPr>
          <w:rFonts w:hint="eastAsia" w:ascii="宋体" w:hAnsi="宋体" w:eastAsia="宋体" w:cs="宋体"/>
          <w:b/>
          <w:color w:val="auto"/>
          <w:kern w:val="0"/>
          <w:sz w:val="32"/>
          <w:szCs w:val="32"/>
          <w:highlight w:val="none"/>
          <w:lang w:val="zh-CN"/>
        </w:rPr>
        <w:t>协议</w:t>
      </w:r>
    </w:p>
    <w:p w14:paraId="3882DD3F">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（以联合体形式投标的，提供联合协议；本项目不接受联合体投标或者投标人不以联合体形式投标的，则不需要提供）</w:t>
      </w:r>
    </w:p>
    <w:p w14:paraId="41B6E9D6">
      <w:pPr>
        <w:snapToGrid w:val="0"/>
        <w:spacing w:line="360" w:lineRule="auto"/>
        <w:ind w:firstLine="576"/>
        <w:rPr>
          <w:rFonts w:hint="eastAsia" w:ascii="宋体" w:hAnsi="宋体" w:eastAsia="宋体" w:cs="宋体"/>
          <w:color w:val="auto"/>
          <w:kern w:val="0"/>
          <w:szCs w:val="21"/>
          <w:highlight w:val="none"/>
          <w:u w:val="single"/>
        </w:rPr>
      </w:pPr>
    </w:p>
    <w:p w14:paraId="12963DAD">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 xml:space="preserve">投标。 </w:t>
      </w:r>
    </w:p>
    <w:p w14:paraId="5F22DC74">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40B9584">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授权代表根据采购文件规定及投标内容而对采购人、采购代理机构所作的任何合法承诺，包括书面澄清及响应等均对联合投标各方产生约束力。</w:t>
      </w:r>
    </w:p>
    <w:p w14:paraId="4C35D4C8">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r>
        <w:rPr>
          <w:rFonts w:hint="eastAsia" w:ascii="宋体" w:hAnsi="宋体" w:eastAsia="宋体" w:cs="宋体"/>
          <w:color w:val="auto"/>
          <w:kern w:val="0"/>
          <w:szCs w:val="21"/>
          <w:highlight w:val="none"/>
          <w:u w:val="single"/>
        </w:rPr>
        <w:t>（联合体其中一方成员名称）</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（联合体其中一方成员名称）</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 xml:space="preserve"> ；……。</w:t>
      </w:r>
    </w:p>
    <w:p w14:paraId="1F88BACE">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w:t>
      </w: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的扣除）</w:t>
      </w:r>
    </w:p>
    <w:p w14:paraId="264F59BD">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32301C7C">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1A6357CA">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5F26F453">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1DCD840">
      <w:pPr>
        <w:snapToGrid w:val="0"/>
        <w:spacing w:line="360" w:lineRule="auto"/>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606634E5">
      <w:pPr>
        <w:snapToGrid w:val="0"/>
        <w:spacing w:line="360" w:lineRule="auto"/>
        <w:ind w:firstLine="4410" w:firstLineChars="2100"/>
        <w:rPr>
          <w:rFonts w:hint="eastAsia" w:ascii="宋体" w:hAnsi="宋体" w:eastAsia="宋体" w:cs="宋体"/>
          <w:color w:val="auto"/>
          <w:kern w:val="0"/>
          <w:szCs w:val="21"/>
          <w:highlight w:val="none"/>
          <w:lang w:val="zh-CN"/>
        </w:rPr>
      </w:pPr>
    </w:p>
    <w:p w14:paraId="775FF842">
      <w:pPr>
        <w:snapToGrid w:val="0"/>
        <w:spacing w:line="360" w:lineRule="auto"/>
        <w:ind w:firstLine="4410" w:firstLineChars="2100"/>
        <w:rPr>
          <w:rFonts w:hint="eastAsia" w:ascii="宋体" w:hAnsi="宋体" w:eastAsia="宋体" w:cs="宋体"/>
          <w:color w:val="auto"/>
          <w:kern w:val="0"/>
          <w:szCs w:val="21"/>
          <w:highlight w:val="none"/>
          <w:lang w:val="zh-CN"/>
        </w:rPr>
      </w:pPr>
    </w:p>
    <w:p w14:paraId="4A95C901">
      <w:pPr>
        <w:snapToGrid w:val="0"/>
        <w:spacing w:line="360" w:lineRule="auto"/>
        <w:ind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联合体成员名称（盖公章或电子签章）：</w:t>
      </w:r>
    </w:p>
    <w:p w14:paraId="20057FBF">
      <w:pPr>
        <w:snapToGrid w:val="0"/>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72B6FAA7">
      <w:pPr>
        <w:snapToGrid w:val="0"/>
        <w:spacing w:line="360" w:lineRule="auto"/>
        <w:ind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p>
    <w:p w14:paraId="569EAE52">
      <w:pPr>
        <w:pStyle w:val="10"/>
        <w:spacing w:line="420" w:lineRule="exact"/>
        <w:rPr>
          <w:rFonts w:hint="eastAsia" w:ascii="宋体" w:hAnsi="宋体" w:eastAsia="宋体" w:cs="宋体"/>
          <w:b/>
          <w:bCs/>
          <w:color w:val="auto"/>
          <w:highlight w:val="none"/>
        </w:rPr>
      </w:pPr>
      <w:r>
        <w:rPr>
          <w:rFonts w:hint="eastAsia" w:ascii="宋体" w:hAnsi="宋体" w:eastAsia="宋体" w:cs="宋体"/>
          <w:b/>
          <w:color w:val="auto"/>
          <w:kern w:val="0"/>
          <w:szCs w:val="21"/>
          <w:highlight w:val="none"/>
          <w:lang w:val="zh-CN"/>
        </w:rPr>
        <w:br w:type="page"/>
      </w:r>
      <w:r>
        <w:rPr>
          <w:rFonts w:hint="eastAsia" w:ascii="宋体" w:hAnsi="宋体" w:eastAsia="宋体" w:cs="宋体"/>
          <w:b/>
          <w:color w:val="auto"/>
          <w:kern w:val="0"/>
          <w:szCs w:val="21"/>
          <w:highlight w:val="none"/>
          <w:lang w:val="en-US" w:eastAsia="zh-CN"/>
        </w:rPr>
        <w:t>2.5</w:t>
      </w:r>
      <w:r>
        <w:rPr>
          <w:rFonts w:hint="eastAsia" w:ascii="宋体" w:hAnsi="宋体" w:eastAsia="宋体" w:cs="宋体"/>
          <w:b/>
          <w:bCs/>
          <w:color w:val="auto"/>
          <w:highlight w:val="none"/>
        </w:rPr>
        <w:t>分包意向协议</w:t>
      </w:r>
    </w:p>
    <w:p w14:paraId="29F7805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5A2E71DE">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7AC7F9A">
      <w:pPr>
        <w:snapToGrid w:val="0"/>
        <w:spacing w:line="360" w:lineRule="auto"/>
        <w:ind w:firstLine="576"/>
        <w:rPr>
          <w:rFonts w:hint="eastAsia" w:ascii="宋体" w:hAnsi="宋体" w:eastAsia="宋体" w:cs="宋体"/>
          <w:color w:val="auto"/>
          <w:kern w:val="0"/>
          <w:szCs w:val="21"/>
          <w:highlight w:val="none"/>
          <w:u w:val="single"/>
        </w:rPr>
      </w:pPr>
    </w:p>
    <w:p w14:paraId="1485F585">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885A443">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4AE74F23">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（某分包供应商名称）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（某分包供应商名称），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00BE8B3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2F5CEC67">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二、分包工作履行期限、地点、方式</w:t>
      </w:r>
    </w:p>
    <w:p w14:paraId="2A266BBC">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6B548AAD">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三、质量</w:t>
      </w:r>
    </w:p>
    <w:p w14:paraId="5EA2DF33">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4F1890D4">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四、价款或者报酬</w:t>
      </w:r>
    </w:p>
    <w:p w14:paraId="730E4D90">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01EBBEFC">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五、违约责任</w:t>
      </w:r>
    </w:p>
    <w:p w14:paraId="2154EF51">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3F5AF8FE">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六、争议解决的办法</w:t>
      </w:r>
    </w:p>
    <w:p w14:paraId="6C70F6DC">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0E407948">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七、其他</w:t>
      </w:r>
    </w:p>
    <w:p w14:paraId="45AB8FFC">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（分包供应商名称）提供的货物全部由小微企业制造，</w:t>
      </w:r>
      <w:r>
        <w:rPr>
          <w:rFonts w:hint="eastAsia" w:ascii="宋体" w:hAnsi="宋体" w:eastAsia="宋体" w:cs="宋体"/>
          <w:color w:val="auto"/>
          <w:kern w:val="0"/>
          <w:szCs w:val="21"/>
          <w:highlight w:val="none"/>
        </w:rPr>
        <w:t>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供应商提供的货物全部由小微企业制造，且其合同份额占到合同总金额30%以上的，对大中型企业的报价给予</w:t>
      </w:r>
      <w:r>
        <w:rPr>
          <w:rFonts w:hint="eastAsia" w:ascii="宋体" w:hAnsi="宋体" w:eastAsia="宋体" w:cs="宋体"/>
          <w:b/>
          <w:color w:val="auto"/>
          <w:kern w:val="0"/>
          <w:szCs w:val="21"/>
          <w:highlight w:val="none"/>
        </w:rPr>
        <w:t>4%</w:t>
      </w:r>
      <w:r>
        <w:rPr>
          <w:rFonts w:hint="eastAsia" w:ascii="宋体" w:hAnsi="宋体" w:eastAsia="宋体" w:cs="宋体"/>
          <w:b/>
          <w:color w:val="auto"/>
          <w:kern w:val="0"/>
          <w:szCs w:val="21"/>
          <w:highlight w:val="none"/>
          <w:lang w:val="zh-CN"/>
        </w:rPr>
        <w:t>的扣除）</w:t>
      </w:r>
    </w:p>
    <w:p w14:paraId="4569C41F">
      <w:pPr>
        <w:snapToGrid w:val="0"/>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p>
    <w:p w14:paraId="6FA94BB6">
      <w:pPr>
        <w:snapToGrid w:val="0"/>
        <w:spacing w:line="360" w:lineRule="auto"/>
        <w:ind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投标人（盖公章或电子签章）：</w:t>
      </w:r>
    </w:p>
    <w:p w14:paraId="3DC2EDB8">
      <w:pPr>
        <w:snapToGrid w:val="0"/>
        <w:spacing w:line="360" w:lineRule="auto"/>
        <w:ind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w:t>
      </w:r>
    </w:p>
    <w:p w14:paraId="0A6E06D1">
      <w:pPr>
        <w:snapToGrid w:val="0"/>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日期：</w:t>
      </w:r>
    </w:p>
    <w:p w14:paraId="6A4A9B01">
      <w:pPr>
        <w:rPr>
          <w:rFonts w:hint="eastAsia" w:ascii="宋体" w:hAnsi="宋体" w:eastAsia="宋体" w:cs="宋体"/>
          <w:color w:val="auto"/>
          <w:highlight w:val="none"/>
          <w:lang w:val="zh-CN"/>
        </w:rPr>
        <w:sectPr>
          <w:pgSz w:w="11906" w:h="16838"/>
          <w:pgMar w:top="1276" w:right="1418" w:bottom="1247" w:left="1418" w:header="851" w:footer="992" w:gutter="0"/>
          <w:cols w:space="720" w:num="1"/>
          <w:formProt w:val="0"/>
        </w:sectPr>
      </w:pPr>
    </w:p>
    <w:p w14:paraId="433E1DB1">
      <w:pPr>
        <w:autoSpaceDE w:val="0"/>
        <w:autoSpaceDN w:val="0"/>
        <w:adjustRightInd w:val="0"/>
        <w:snapToGrid w:val="0"/>
        <w:spacing w:line="360" w:lineRule="auto"/>
        <w:outlineLvl w:val="1"/>
        <w:rPr>
          <w:rStyle w:val="32"/>
          <w:rFonts w:hint="eastAsia" w:ascii="宋体" w:hAnsi="宋体" w:eastAsia="宋体" w:cs="宋体"/>
          <w:color w:val="auto"/>
          <w:sz w:val="28"/>
          <w:szCs w:val="28"/>
          <w:highlight w:val="none"/>
        </w:rPr>
      </w:pPr>
      <w:bookmarkStart w:id="590" w:name="_Toc27282"/>
      <w:bookmarkStart w:id="591" w:name="_Toc3961"/>
      <w:bookmarkStart w:id="592" w:name="_Toc29816"/>
      <w:bookmarkStart w:id="593" w:name="_Toc1017"/>
      <w:bookmarkStart w:id="594" w:name="_Toc18332"/>
      <w:bookmarkStart w:id="595" w:name="_Toc12217"/>
      <w:bookmarkStart w:id="596" w:name="_Toc28362"/>
      <w:r>
        <w:rPr>
          <w:rStyle w:val="32"/>
          <w:rFonts w:hint="eastAsia" w:ascii="宋体" w:hAnsi="宋体" w:eastAsia="宋体" w:cs="宋体"/>
          <w:color w:val="auto"/>
          <w:sz w:val="28"/>
          <w:szCs w:val="28"/>
          <w:highlight w:val="none"/>
        </w:rPr>
        <w:t>三、商务技术响应文件部分格式</w:t>
      </w:r>
      <w:bookmarkEnd w:id="590"/>
      <w:bookmarkEnd w:id="591"/>
      <w:bookmarkEnd w:id="592"/>
      <w:bookmarkEnd w:id="593"/>
      <w:bookmarkEnd w:id="594"/>
      <w:bookmarkEnd w:id="595"/>
      <w:bookmarkEnd w:id="596"/>
    </w:p>
    <w:p w14:paraId="7067B6D3">
      <w:pPr>
        <w:autoSpaceDE w:val="0"/>
        <w:autoSpaceDN w:val="0"/>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（顺序不作强制；未提供格式的，可自行提供）</w:t>
      </w:r>
    </w:p>
    <w:p w14:paraId="293B5663">
      <w:pPr>
        <w:autoSpaceDE w:val="0"/>
        <w:autoSpaceDN w:val="0"/>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3.1评分索引表；</w:t>
      </w:r>
    </w:p>
    <w:p w14:paraId="0C3CEEBA">
      <w:pPr>
        <w:pStyle w:val="1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评分索引表</w:t>
      </w:r>
    </w:p>
    <w:p w14:paraId="2BEF6552">
      <w:pPr>
        <w:adjustRightIn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浙江省社会主义学院“智慧教务”（2.0）建设项目 </w:t>
      </w:r>
    </w:p>
    <w:p w14:paraId="1A060BAE">
      <w:pPr>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ZJ-2470973-07</w:t>
      </w:r>
      <w:r>
        <w:rPr>
          <w:rFonts w:hint="eastAsia" w:ascii="宋体" w:hAnsi="宋体" w:eastAsia="宋体" w:cs="宋体"/>
          <w:color w:val="auto"/>
          <w:highlight w:val="none"/>
        </w:rPr>
        <w:t xml:space="preserve">      </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14:paraId="7C49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04F22684">
            <w:pPr>
              <w:adjustRightInd w:val="0"/>
              <w:snapToGrid w:val="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序号</w:t>
            </w: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263DBD2D">
            <w:pPr>
              <w:adjustRightInd w:val="0"/>
              <w:snapToGrid w:val="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评分细则内容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EE44D85">
            <w:pPr>
              <w:adjustRightInd w:val="0"/>
              <w:snapToGrid w:val="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投标响应情况</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551F0477">
            <w:pPr>
              <w:adjustRightInd w:val="0"/>
              <w:snapToGrid w:val="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证明材料所在页码</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6563A0B">
            <w:pPr>
              <w:adjustRightInd w:val="0"/>
              <w:snapToGrid w:val="0"/>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14:paraId="1546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656197A0">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49947DCB">
            <w:pPr>
              <w:adjustRightInd w:val="0"/>
              <w:snapToGrid w:val="0"/>
              <w:rPr>
                <w:rFonts w:hint="eastAsia" w:ascii="宋体" w:hAnsi="宋体" w:eastAsia="宋体" w:cs="宋体"/>
                <w:snapToGrid w:val="0"/>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42900F">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A0FB59A">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003BE52">
            <w:pPr>
              <w:adjustRightInd w:val="0"/>
              <w:snapToGrid w:val="0"/>
              <w:jc w:val="center"/>
              <w:rPr>
                <w:rFonts w:hint="eastAsia" w:ascii="宋体" w:hAnsi="宋体" w:eastAsia="宋体" w:cs="宋体"/>
                <w:b/>
                <w:snapToGrid w:val="0"/>
                <w:color w:val="auto"/>
                <w:kern w:val="0"/>
                <w:szCs w:val="21"/>
                <w:highlight w:val="none"/>
              </w:rPr>
            </w:pPr>
          </w:p>
        </w:tc>
      </w:tr>
      <w:tr w14:paraId="28B4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29D988E">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54ADCF8D">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0FC1AAB">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030B2572">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0952F3F">
            <w:pPr>
              <w:adjustRightInd w:val="0"/>
              <w:snapToGrid w:val="0"/>
              <w:jc w:val="center"/>
              <w:rPr>
                <w:rFonts w:hint="eastAsia" w:ascii="宋体" w:hAnsi="宋体" w:eastAsia="宋体" w:cs="宋体"/>
                <w:b/>
                <w:snapToGrid w:val="0"/>
                <w:color w:val="auto"/>
                <w:kern w:val="0"/>
                <w:szCs w:val="21"/>
                <w:highlight w:val="none"/>
              </w:rPr>
            </w:pPr>
          </w:p>
        </w:tc>
      </w:tr>
      <w:tr w14:paraId="33FF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03FF217B">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661B8035">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CB77E4">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62336031">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46B9C2E">
            <w:pPr>
              <w:adjustRightInd w:val="0"/>
              <w:snapToGrid w:val="0"/>
              <w:jc w:val="center"/>
              <w:rPr>
                <w:rFonts w:hint="eastAsia" w:ascii="宋体" w:hAnsi="宋体" w:eastAsia="宋体" w:cs="宋体"/>
                <w:b/>
                <w:snapToGrid w:val="0"/>
                <w:color w:val="auto"/>
                <w:kern w:val="0"/>
                <w:szCs w:val="21"/>
                <w:highlight w:val="none"/>
              </w:rPr>
            </w:pPr>
          </w:p>
        </w:tc>
      </w:tr>
      <w:tr w14:paraId="6DE6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21048D0">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6744EA85">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5FDD853">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51C3EF9E">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B478A87">
            <w:pPr>
              <w:adjustRightInd w:val="0"/>
              <w:snapToGrid w:val="0"/>
              <w:jc w:val="center"/>
              <w:rPr>
                <w:rFonts w:hint="eastAsia" w:ascii="宋体" w:hAnsi="宋体" w:eastAsia="宋体" w:cs="宋体"/>
                <w:b/>
                <w:snapToGrid w:val="0"/>
                <w:color w:val="auto"/>
                <w:kern w:val="0"/>
                <w:szCs w:val="21"/>
                <w:highlight w:val="none"/>
              </w:rPr>
            </w:pPr>
          </w:p>
        </w:tc>
      </w:tr>
      <w:tr w14:paraId="4533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033351C2">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56656505">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AA6D87">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0E775BDC">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2300E96">
            <w:pPr>
              <w:adjustRightInd w:val="0"/>
              <w:snapToGrid w:val="0"/>
              <w:jc w:val="center"/>
              <w:rPr>
                <w:rFonts w:hint="eastAsia" w:ascii="宋体" w:hAnsi="宋体" w:eastAsia="宋体" w:cs="宋体"/>
                <w:b/>
                <w:snapToGrid w:val="0"/>
                <w:color w:val="auto"/>
                <w:kern w:val="0"/>
                <w:szCs w:val="21"/>
                <w:highlight w:val="none"/>
              </w:rPr>
            </w:pPr>
          </w:p>
        </w:tc>
      </w:tr>
      <w:tr w14:paraId="5759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56183D56">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0C38B7D5">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11EA254">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2E5A6D5F">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DB0E81">
            <w:pPr>
              <w:adjustRightInd w:val="0"/>
              <w:snapToGrid w:val="0"/>
              <w:jc w:val="center"/>
              <w:rPr>
                <w:rFonts w:hint="eastAsia" w:ascii="宋体" w:hAnsi="宋体" w:eastAsia="宋体" w:cs="宋体"/>
                <w:b/>
                <w:snapToGrid w:val="0"/>
                <w:color w:val="auto"/>
                <w:kern w:val="0"/>
                <w:szCs w:val="21"/>
                <w:highlight w:val="none"/>
              </w:rPr>
            </w:pPr>
          </w:p>
        </w:tc>
      </w:tr>
      <w:tr w14:paraId="3D73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42B4B853">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45342D3D">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DD1E7A">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58E7D915">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4CCCC65">
            <w:pPr>
              <w:adjustRightInd w:val="0"/>
              <w:snapToGrid w:val="0"/>
              <w:jc w:val="center"/>
              <w:rPr>
                <w:rFonts w:hint="eastAsia" w:ascii="宋体" w:hAnsi="宋体" w:eastAsia="宋体" w:cs="宋体"/>
                <w:b/>
                <w:snapToGrid w:val="0"/>
                <w:color w:val="auto"/>
                <w:kern w:val="0"/>
                <w:szCs w:val="21"/>
                <w:highlight w:val="none"/>
              </w:rPr>
            </w:pPr>
          </w:p>
        </w:tc>
      </w:tr>
      <w:tr w14:paraId="6BA2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F555F32">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233C2966">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30EE06">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1AD3B30F">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9E22E76">
            <w:pPr>
              <w:adjustRightInd w:val="0"/>
              <w:snapToGrid w:val="0"/>
              <w:jc w:val="center"/>
              <w:rPr>
                <w:rFonts w:hint="eastAsia" w:ascii="宋体" w:hAnsi="宋体" w:eastAsia="宋体" w:cs="宋体"/>
                <w:b/>
                <w:snapToGrid w:val="0"/>
                <w:color w:val="auto"/>
                <w:kern w:val="0"/>
                <w:szCs w:val="21"/>
                <w:highlight w:val="none"/>
              </w:rPr>
            </w:pPr>
          </w:p>
        </w:tc>
      </w:tr>
      <w:tr w14:paraId="01BE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79D9EA88">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16E79A61">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04BF19">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757A14DC">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0CC2EA1">
            <w:pPr>
              <w:adjustRightInd w:val="0"/>
              <w:snapToGrid w:val="0"/>
              <w:jc w:val="center"/>
              <w:rPr>
                <w:rFonts w:hint="eastAsia" w:ascii="宋体" w:hAnsi="宋体" w:eastAsia="宋体" w:cs="宋体"/>
                <w:b/>
                <w:snapToGrid w:val="0"/>
                <w:color w:val="auto"/>
                <w:kern w:val="0"/>
                <w:szCs w:val="21"/>
                <w:highlight w:val="none"/>
              </w:rPr>
            </w:pPr>
          </w:p>
        </w:tc>
      </w:tr>
      <w:tr w14:paraId="79B9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1E5CC96F">
            <w:pPr>
              <w:adjustRightInd w:val="0"/>
              <w:snapToGrid w:val="0"/>
              <w:jc w:val="center"/>
              <w:rPr>
                <w:rFonts w:hint="eastAsia" w:ascii="宋体" w:hAnsi="宋体" w:eastAsia="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14:paraId="21E473EB">
            <w:pPr>
              <w:adjustRightInd w:val="0"/>
              <w:snapToGrid w:val="0"/>
              <w:rPr>
                <w:rFonts w:hint="eastAsia" w:ascii="宋体" w:hAnsi="宋体" w:eastAsia="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B1A930">
            <w:pPr>
              <w:adjustRightInd w:val="0"/>
              <w:snapToGrid w:val="0"/>
              <w:jc w:val="center"/>
              <w:rPr>
                <w:rFonts w:hint="eastAsia" w:ascii="宋体" w:hAnsi="宋体" w:eastAsia="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513AC715">
            <w:pPr>
              <w:adjustRightInd w:val="0"/>
              <w:snapToGrid w:val="0"/>
              <w:jc w:val="center"/>
              <w:rPr>
                <w:rFonts w:hint="eastAsia" w:ascii="宋体" w:hAnsi="宋体" w:eastAsia="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9AD3569">
            <w:pPr>
              <w:adjustRightInd w:val="0"/>
              <w:snapToGrid w:val="0"/>
              <w:jc w:val="center"/>
              <w:rPr>
                <w:rFonts w:hint="eastAsia" w:ascii="宋体" w:hAnsi="宋体" w:eastAsia="宋体" w:cs="宋体"/>
                <w:b/>
                <w:snapToGrid w:val="0"/>
                <w:color w:val="auto"/>
                <w:kern w:val="0"/>
                <w:szCs w:val="21"/>
                <w:highlight w:val="none"/>
              </w:rPr>
            </w:pPr>
          </w:p>
        </w:tc>
      </w:tr>
    </w:tbl>
    <w:p w14:paraId="752B00E0">
      <w:pPr>
        <w:widowControl/>
        <w:spacing w:line="360" w:lineRule="auto"/>
        <w:jc w:val="left"/>
        <w:rPr>
          <w:rFonts w:hint="eastAsia" w:ascii="宋体" w:hAnsi="宋体" w:eastAsia="宋体" w:cs="宋体"/>
          <w:b/>
          <w:color w:val="auto"/>
          <w:szCs w:val="21"/>
          <w:highlight w:val="none"/>
        </w:rPr>
        <w:sectPr>
          <w:pgSz w:w="11906" w:h="16838"/>
          <w:pgMar w:top="1247" w:right="1587" w:bottom="1089" w:left="1587" w:header="851" w:footer="992" w:gutter="0"/>
          <w:cols w:space="720" w:num="1"/>
          <w:formProt w:val="0"/>
        </w:sectPr>
      </w:pPr>
    </w:p>
    <w:p w14:paraId="45DE236E">
      <w:pPr>
        <w:autoSpaceDE w:val="0"/>
        <w:autoSpaceDN w:val="0"/>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3.2投标函</w:t>
      </w:r>
    </w:p>
    <w:p w14:paraId="4F1B63C5">
      <w:pPr>
        <w:pStyle w:val="1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14:paraId="6B1695BE">
      <w:pPr>
        <w:pStyle w:val="1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lang w:eastAsia="zh-CN"/>
        </w:rPr>
        <w:t>浙江省社会主义学院</w:t>
      </w:r>
      <w:r>
        <w:rPr>
          <w:rFonts w:hint="eastAsia" w:ascii="宋体" w:hAnsi="宋体" w:eastAsia="宋体" w:cs="宋体"/>
          <w:color w:val="auto"/>
          <w:highlight w:val="none"/>
        </w:rPr>
        <w:t>：</w:t>
      </w:r>
    </w:p>
    <w:p w14:paraId="194E82A1">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（投标人全称）授权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lang w:eastAsia="zh-CN"/>
        </w:rPr>
        <w:t>浙江省社会主义学院“智慧教务”（2.0）建设项目</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ZJ-2470973-07</w:t>
      </w:r>
      <w:r>
        <w:rPr>
          <w:rFonts w:hint="eastAsia" w:ascii="宋体" w:hAnsi="宋体" w:eastAsia="宋体" w:cs="宋体"/>
          <w:color w:val="auto"/>
          <w:highlight w:val="none"/>
        </w:rPr>
        <w:t>）的有关活动，并对此项目进行投标。为此：</w:t>
      </w:r>
    </w:p>
    <w:p w14:paraId="21C3BCB1">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我方承诺投标有效期从提交投标文件截止之日起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0003D12E">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我方承诺已经具备《中华人民共和国政府采购法》中规定的参加政府采购活动的投标人应当具备的条件：</w:t>
      </w:r>
    </w:p>
    <w:p w14:paraId="0A4F06F3">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1C1CFDC8">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14:paraId="598A06B0">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14:paraId="5DD50423">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（4）良好的资金、财务状况；</w:t>
      </w:r>
    </w:p>
    <w:p w14:paraId="7A2B0688">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（5）没有违反政府采购法规、政策的记录；</w:t>
      </w:r>
    </w:p>
    <w:p w14:paraId="26CFE886">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（6）没有发生重大经济纠纷和走私犯罪记录。</w:t>
      </w:r>
    </w:p>
    <w:p w14:paraId="3947F4BD">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提供编制和提交投标文件须知规定的全部投标文件，具体内容为：</w:t>
      </w:r>
    </w:p>
    <w:p w14:paraId="133CB600">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（1）资格响应文件、商务技术响应文件、报价响应文件；</w:t>
      </w:r>
    </w:p>
    <w:p w14:paraId="2D165F4E">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（2）编制和提交投标文件须知要求投标人提交的全部文件；</w:t>
      </w:r>
    </w:p>
    <w:p w14:paraId="47D6DE9B">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（3）按采购文件要求提供和交付的货物和服务的投标报价详见开标一览表；</w:t>
      </w:r>
    </w:p>
    <w:p w14:paraId="30B715A6">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（4）保证忠实地执行双方所签订的合同，并承担合同规定的责任和义务；</w:t>
      </w:r>
    </w:p>
    <w:p w14:paraId="0386A70E">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（5）保证遵守采购文件中的其他有关规定。</w:t>
      </w:r>
    </w:p>
    <w:p w14:paraId="77505703">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我方完全理解贵方不一定要接受最低价的投标。</w:t>
      </w:r>
    </w:p>
    <w:p w14:paraId="6CE2EDBC">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我方愿意向贵方提供任何与该项投标有关的数据、情况和技术资料。若贵方需要，我方愿意提供我方作出的一切承诺的证明材料。</w:t>
      </w:r>
    </w:p>
    <w:p w14:paraId="7EAC726C">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我方已详细审核全部采购文件，包括采购文件修改书（如果有）、参考资料及有关附件，确认无误。</w:t>
      </w:r>
    </w:p>
    <w:p w14:paraId="0A76A80A">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01CAD18">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a）提供虚假材料谋取中标、成交的；</w:t>
      </w:r>
    </w:p>
    <w:p w14:paraId="4527960E">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b）采取不正当手段诋毁、排挤其他投标人的；</w:t>
      </w:r>
    </w:p>
    <w:p w14:paraId="75B98F58">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c）与采购人、其他投标人或者采购代理机构恶意串通的；</w:t>
      </w:r>
    </w:p>
    <w:p w14:paraId="7520CA69">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14:paraId="0677114D">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14:paraId="01F9076B">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14:paraId="1AB07B21">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14:paraId="30C66C08">
      <w:pPr>
        <w:pStyle w:val="10"/>
        <w:spacing w:line="420" w:lineRule="exact"/>
        <w:ind w:firstLine="420" w:firstLineChars="200"/>
        <w:rPr>
          <w:rFonts w:hint="eastAsia" w:ascii="宋体" w:hAnsi="宋体" w:eastAsia="宋体" w:cs="宋体"/>
          <w:color w:val="auto"/>
          <w:highlight w:val="none"/>
        </w:rPr>
      </w:pPr>
    </w:p>
    <w:p w14:paraId="1E42D1D0">
      <w:pPr>
        <w:pStyle w:val="10"/>
        <w:spacing w:line="420" w:lineRule="exact"/>
        <w:ind w:firstLine="420" w:firstLineChars="200"/>
        <w:rPr>
          <w:rFonts w:hint="eastAsia" w:ascii="宋体" w:hAnsi="宋体" w:eastAsia="宋体" w:cs="宋体"/>
          <w:color w:val="auto"/>
          <w:highlight w:val="none"/>
        </w:rPr>
      </w:pPr>
    </w:p>
    <w:p w14:paraId="67D74D8D">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投标人（盖公章</w:t>
      </w:r>
      <w:r>
        <w:rPr>
          <w:rFonts w:hint="eastAsia" w:ascii="宋体" w:hAnsi="宋体" w:eastAsia="宋体" w:cs="宋体"/>
          <w:bCs/>
          <w:color w:val="auto"/>
          <w:highlight w:val="none"/>
        </w:rPr>
        <w:t>或电子签章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97A377">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 xml:space="preserve">                 </w:t>
      </w:r>
    </w:p>
    <w:p w14:paraId="3BFF7AAA">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33F1677">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p>
    <w:p w14:paraId="15C317B4">
      <w:pPr>
        <w:pStyle w:val="1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 期：</w:t>
      </w:r>
    </w:p>
    <w:p w14:paraId="0BB04253">
      <w:pPr>
        <w:autoSpaceDE w:val="0"/>
        <w:autoSpaceDN w:val="0"/>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3.3投标响应一览表</w:t>
      </w:r>
    </w:p>
    <w:p w14:paraId="799B8367">
      <w:pPr>
        <w:pStyle w:val="1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投标响应一览表</w:t>
      </w:r>
    </w:p>
    <w:p w14:paraId="4833F0C4">
      <w:pPr>
        <w:adjustRightInd w:val="0"/>
        <w:spacing w:line="360" w:lineRule="auto"/>
        <w:jc w:val="left"/>
        <w:rPr>
          <w:rFonts w:hint="eastAsia" w:ascii="宋体" w:hAnsi="宋体" w:eastAsia="宋体" w:cs="宋体"/>
          <w:color w:val="auto"/>
          <w:szCs w:val="21"/>
          <w:highlight w:val="none"/>
        </w:rPr>
      </w:pPr>
    </w:p>
    <w:p w14:paraId="218235CF">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22FBD85A">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14:paraId="765F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14:paraId="5A7AF670">
            <w:pPr>
              <w:adjustRightInd w:val="0"/>
              <w:snapToGrid w:val="0"/>
              <w:jc w:val="center"/>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sz w:val="21"/>
                <w:szCs w:val="21"/>
                <w:highlight w:val="none"/>
                <w:lang w:val="en-US" w:eastAsia="zh-CN"/>
              </w:rPr>
              <w:t>服务期限</w:t>
            </w:r>
          </w:p>
        </w:tc>
        <w:tc>
          <w:tcPr>
            <w:tcW w:w="5271" w:type="dxa"/>
            <w:tcBorders>
              <w:top w:val="single" w:color="auto" w:sz="4" w:space="0"/>
              <w:left w:val="single" w:color="auto" w:sz="4" w:space="0"/>
              <w:bottom w:val="single" w:color="auto" w:sz="4" w:space="0"/>
              <w:right w:val="single" w:color="auto" w:sz="4" w:space="0"/>
            </w:tcBorders>
            <w:noWrap w:val="0"/>
            <w:vAlign w:val="center"/>
          </w:tcPr>
          <w:p w14:paraId="1868468C">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58C0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14:paraId="59E48D55">
            <w:pPr>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项目负责人</w:t>
            </w:r>
          </w:p>
        </w:tc>
        <w:tc>
          <w:tcPr>
            <w:tcW w:w="5271" w:type="dxa"/>
            <w:tcBorders>
              <w:top w:val="single" w:color="auto" w:sz="4" w:space="0"/>
              <w:left w:val="single" w:color="auto" w:sz="4" w:space="0"/>
              <w:bottom w:val="single" w:color="auto" w:sz="4" w:space="0"/>
              <w:right w:val="single" w:color="auto" w:sz="4" w:space="0"/>
            </w:tcBorders>
            <w:noWrap w:val="0"/>
            <w:vAlign w:val="center"/>
          </w:tcPr>
          <w:p w14:paraId="6A469123">
            <w:pPr>
              <w:adjustRightInd w:val="0"/>
              <w:snapToGrid w:val="0"/>
              <w:spacing w:line="360" w:lineRule="auto"/>
              <w:jc w:val="center"/>
              <w:rPr>
                <w:rFonts w:hint="eastAsia" w:ascii="宋体" w:hAnsi="宋体" w:eastAsia="宋体" w:cs="宋体"/>
                <w:snapToGrid w:val="0"/>
                <w:color w:val="auto"/>
                <w:kern w:val="0"/>
                <w:szCs w:val="21"/>
                <w:highlight w:val="none"/>
              </w:rPr>
            </w:pPr>
          </w:p>
        </w:tc>
      </w:tr>
    </w:tbl>
    <w:p w14:paraId="0B368CC8">
      <w:pPr>
        <w:pStyle w:val="20"/>
        <w:spacing w:before="0" w:beforeAutospacing="0" w:after="0" w:afterAutospacing="0" w:line="480" w:lineRule="auto"/>
        <w:ind w:firstLine="422" w:firstLineChars="200"/>
        <w:rPr>
          <w:rFonts w:hint="eastAsia" w:ascii="宋体" w:hAnsi="宋体" w:eastAsia="宋体" w:cs="宋体"/>
          <w:b/>
          <w:bCs/>
          <w:color w:val="auto"/>
          <w:sz w:val="21"/>
          <w:szCs w:val="21"/>
          <w:highlight w:val="none"/>
        </w:rPr>
      </w:pPr>
    </w:p>
    <w:p w14:paraId="26B0F249">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43B62281">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06A427E0">
      <w:pPr>
        <w:pStyle w:val="7"/>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3.4针对本项目的服务清单</w:t>
      </w:r>
    </w:p>
    <w:p w14:paraId="229C130A">
      <w:pPr>
        <w:adjustRightInd w:val="0"/>
        <w:snapToGrid w:val="0"/>
        <w:spacing w:line="360" w:lineRule="auto"/>
        <w:ind w:firstLine="4515" w:firstLineChars="2150"/>
        <w:rPr>
          <w:rFonts w:hint="eastAsia" w:ascii="宋体" w:hAnsi="宋体" w:eastAsia="宋体" w:cs="宋体"/>
          <w:snapToGrid w:val="0"/>
          <w:color w:val="auto"/>
          <w:kern w:val="0"/>
          <w:szCs w:val="21"/>
          <w:highlight w:val="none"/>
        </w:rPr>
      </w:pPr>
    </w:p>
    <w:p w14:paraId="349EE807">
      <w:pPr>
        <w:pStyle w:val="10"/>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针对本项目的服务清单（不含价格）</w:t>
      </w:r>
    </w:p>
    <w:p w14:paraId="5CAB7B3E">
      <w:pPr>
        <w:adjustRightInd w:val="0"/>
        <w:spacing w:line="360" w:lineRule="auto"/>
        <w:jc w:val="left"/>
        <w:rPr>
          <w:rFonts w:hint="eastAsia" w:ascii="宋体" w:hAnsi="宋体" w:eastAsia="宋体" w:cs="宋体"/>
          <w:color w:val="auto"/>
          <w:szCs w:val="21"/>
          <w:highlight w:val="none"/>
        </w:rPr>
      </w:pPr>
    </w:p>
    <w:p w14:paraId="44D4CEB0">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00D1F2EB">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49"/>
        <w:gridCol w:w="2349"/>
        <w:gridCol w:w="1247"/>
        <w:gridCol w:w="2693"/>
        <w:gridCol w:w="1699"/>
      </w:tblGrid>
      <w:tr w14:paraId="240469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649" w:type="dxa"/>
            <w:tcBorders>
              <w:top w:val="single" w:color="auto" w:sz="8" w:space="0"/>
              <w:left w:val="single" w:color="auto" w:sz="8" w:space="0"/>
              <w:bottom w:val="single" w:color="auto" w:sz="2" w:space="0"/>
              <w:right w:val="single" w:color="auto" w:sz="2" w:space="0"/>
            </w:tcBorders>
            <w:noWrap w:val="0"/>
            <w:vAlign w:val="center"/>
          </w:tcPr>
          <w:p w14:paraId="0326B8B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49" w:type="dxa"/>
            <w:tcBorders>
              <w:top w:val="single" w:color="auto" w:sz="8" w:space="0"/>
              <w:left w:val="single" w:color="auto" w:sz="2" w:space="0"/>
              <w:bottom w:val="single" w:color="auto" w:sz="2" w:space="0"/>
              <w:right w:val="single" w:color="auto" w:sz="2" w:space="0"/>
            </w:tcBorders>
            <w:noWrap w:val="0"/>
            <w:vAlign w:val="center"/>
          </w:tcPr>
          <w:p w14:paraId="5B2F0007">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247" w:type="dxa"/>
            <w:tcBorders>
              <w:top w:val="single" w:color="auto" w:sz="8" w:space="0"/>
              <w:left w:val="single" w:color="auto" w:sz="2" w:space="0"/>
              <w:bottom w:val="single" w:color="auto" w:sz="2" w:space="0"/>
              <w:right w:val="single" w:color="auto" w:sz="2" w:space="0"/>
            </w:tcBorders>
            <w:noWrap w:val="0"/>
            <w:vAlign w:val="center"/>
          </w:tcPr>
          <w:p w14:paraId="7D4393EA">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693" w:type="dxa"/>
            <w:tcBorders>
              <w:top w:val="single" w:color="auto" w:sz="8" w:space="0"/>
              <w:left w:val="single" w:color="auto" w:sz="2" w:space="0"/>
              <w:bottom w:val="single" w:color="auto" w:sz="2" w:space="0"/>
              <w:right w:val="single" w:color="auto" w:sz="2" w:space="0"/>
            </w:tcBorders>
            <w:noWrap w:val="0"/>
            <w:vAlign w:val="center"/>
          </w:tcPr>
          <w:p w14:paraId="7BFDE58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主要服务指标</w:t>
            </w:r>
          </w:p>
        </w:tc>
        <w:tc>
          <w:tcPr>
            <w:tcW w:w="1699" w:type="dxa"/>
            <w:tcBorders>
              <w:top w:val="single" w:color="auto" w:sz="8" w:space="0"/>
              <w:left w:val="single" w:color="auto" w:sz="2" w:space="0"/>
              <w:bottom w:val="single" w:color="auto" w:sz="2" w:space="0"/>
              <w:right w:val="single" w:color="auto" w:sz="8" w:space="0"/>
            </w:tcBorders>
            <w:noWrap w:val="0"/>
            <w:vAlign w:val="center"/>
          </w:tcPr>
          <w:p w14:paraId="501C3A5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3A67B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607F115D">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0EB8BB70">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1F1318FB">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101CF0E9">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58FA4D42">
            <w:pPr>
              <w:spacing w:line="460" w:lineRule="exact"/>
              <w:jc w:val="center"/>
              <w:rPr>
                <w:rFonts w:hint="eastAsia" w:ascii="宋体" w:hAnsi="宋体" w:eastAsia="宋体" w:cs="宋体"/>
                <w:color w:val="auto"/>
                <w:szCs w:val="21"/>
                <w:highlight w:val="none"/>
              </w:rPr>
            </w:pPr>
          </w:p>
        </w:tc>
      </w:tr>
      <w:tr w14:paraId="7FEE61B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37C6FA9A">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044AA6CF">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3FF86364">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4F981680">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0B36D59D">
            <w:pPr>
              <w:spacing w:line="460" w:lineRule="exact"/>
              <w:jc w:val="center"/>
              <w:rPr>
                <w:rFonts w:hint="eastAsia" w:ascii="宋体" w:hAnsi="宋体" w:eastAsia="宋体" w:cs="宋体"/>
                <w:color w:val="auto"/>
                <w:szCs w:val="21"/>
                <w:highlight w:val="none"/>
              </w:rPr>
            </w:pPr>
          </w:p>
        </w:tc>
      </w:tr>
      <w:tr w14:paraId="1D08BCB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7F9B18F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40D2026A">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6D1B1D36">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6E27461B">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2ACF6120">
            <w:pPr>
              <w:spacing w:line="460" w:lineRule="exact"/>
              <w:jc w:val="center"/>
              <w:rPr>
                <w:rFonts w:hint="eastAsia" w:ascii="宋体" w:hAnsi="宋体" w:eastAsia="宋体" w:cs="宋体"/>
                <w:color w:val="auto"/>
                <w:szCs w:val="21"/>
                <w:highlight w:val="none"/>
              </w:rPr>
            </w:pPr>
          </w:p>
        </w:tc>
      </w:tr>
      <w:tr w14:paraId="2E125F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4C2173BF">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2E37EF7A">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7D96A88A">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7A9DDAF8">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37FF6540">
            <w:pPr>
              <w:spacing w:line="460" w:lineRule="exact"/>
              <w:jc w:val="center"/>
              <w:rPr>
                <w:rFonts w:hint="eastAsia" w:ascii="宋体" w:hAnsi="宋体" w:eastAsia="宋体" w:cs="宋体"/>
                <w:color w:val="auto"/>
                <w:szCs w:val="21"/>
                <w:highlight w:val="none"/>
              </w:rPr>
            </w:pPr>
          </w:p>
        </w:tc>
      </w:tr>
      <w:tr w14:paraId="473C62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3844483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7FB27121">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5ED7B008">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7C2A2EBD">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28354D5D">
            <w:pPr>
              <w:spacing w:line="460" w:lineRule="exact"/>
              <w:jc w:val="center"/>
              <w:rPr>
                <w:rFonts w:hint="eastAsia" w:ascii="宋体" w:hAnsi="宋体" w:eastAsia="宋体" w:cs="宋体"/>
                <w:color w:val="auto"/>
                <w:szCs w:val="21"/>
                <w:highlight w:val="none"/>
              </w:rPr>
            </w:pPr>
          </w:p>
        </w:tc>
      </w:tr>
      <w:tr w14:paraId="0785E5A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73064ABB">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44FC3A5A">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6F308CA8">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45BC9F05">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1B27AAE0">
            <w:pPr>
              <w:spacing w:line="460" w:lineRule="exact"/>
              <w:jc w:val="center"/>
              <w:rPr>
                <w:rFonts w:hint="eastAsia" w:ascii="宋体" w:hAnsi="宋体" w:eastAsia="宋体" w:cs="宋体"/>
                <w:color w:val="auto"/>
                <w:szCs w:val="21"/>
                <w:highlight w:val="none"/>
              </w:rPr>
            </w:pPr>
          </w:p>
        </w:tc>
      </w:tr>
      <w:tr w14:paraId="73B3FE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14:paraId="79FE9B3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349" w:type="dxa"/>
            <w:tcBorders>
              <w:top w:val="single" w:color="auto" w:sz="2" w:space="0"/>
              <w:left w:val="single" w:color="auto" w:sz="2" w:space="0"/>
              <w:bottom w:val="single" w:color="auto" w:sz="2" w:space="0"/>
              <w:right w:val="single" w:color="auto" w:sz="2" w:space="0"/>
            </w:tcBorders>
            <w:noWrap w:val="0"/>
            <w:vAlign w:val="center"/>
          </w:tcPr>
          <w:p w14:paraId="67E11EF5">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14:paraId="2959C036">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14:paraId="7FC1EF81">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14:paraId="675243E2">
            <w:pPr>
              <w:spacing w:line="460" w:lineRule="exact"/>
              <w:jc w:val="center"/>
              <w:rPr>
                <w:rFonts w:hint="eastAsia" w:ascii="宋体" w:hAnsi="宋体" w:eastAsia="宋体" w:cs="宋体"/>
                <w:color w:val="auto"/>
                <w:szCs w:val="21"/>
                <w:highlight w:val="none"/>
              </w:rPr>
            </w:pPr>
          </w:p>
        </w:tc>
      </w:tr>
      <w:tr w14:paraId="1C9B045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8" w:space="0"/>
              <w:right w:val="single" w:color="auto" w:sz="2" w:space="0"/>
            </w:tcBorders>
            <w:noWrap w:val="0"/>
            <w:vAlign w:val="center"/>
          </w:tcPr>
          <w:p w14:paraId="3B3FF22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349" w:type="dxa"/>
            <w:tcBorders>
              <w:top w:val="single" w:color="auto" w:sz="2" w:space="0"/>
              <w:left w:val="single" w:color="auto" w:sz="2" w:space="0"/>
              <w:bottom w:val="single" w:color="auto" w:sz="8" w:space="0"/>
              <w:right w:val="single" w:color="auto" w:sz="2" w:space="0"/>
            </w:tcBorders>
            <w:noWrap w:val="0"/>
            <w:vAlign w:val="center"/>
          </w:tcPr>
          <w:p w14:paraId="7CC8B213">
            <w:pPr>
              <w:tabs>
                <w:tab w:val="left" w:pos="1547"/>
              </w:tabs>
              <w:spacing w:line="360" w:lineRule="auto"/>
              <w:rPr>
                <w:rFonts w:hint="eastAsia" w:ascii="宋体" w:hAnsi="宋体" w:eastAsia="宋体" w:cs="宋体"/>
                <w:snapToGrid w:val="0"/>
                <w:color w:val="auto"/>
                <w:szCs w:val="21"/>
                <w:highlight w:val="none"/>
              </w:rPr>
            </w:pPr>
          </w:p>
        </w:tc>
        <w:tc>
          <w:tcPr>
            <w:tcW w:w="1247" w:type="dxa"/>
            <w:tcBorders>
              <w:top w:val="single" w:color="auto" w:sz="2" w:space="0"/>
              <w:left w:val="single" w:color="auto" w:sz="2" w:space="0"/>
              <w:bottom w:val="single" w:color="auto" w:sz="8" w:space="0"/>
              <w:right w:val="single" w:color="auto" w:sz="2" w:space="0"/>
            </w:tcBorders>
            <w:noWrap w:val="0"/>
            <w:vAlign w:val="center"/>
          </w:tcPr>
          <w:p w14:paraId="02A2CD80">
            <w:pPr>
              <w:spacing w:line="460" w:lineRule="exact"/>
              <w:jc w:val="center"/>
              <w:rPr>
                <w:rFonts w:hint="eastAsia" w:ascii="宋体" w:hAnsi="宋体" w:eastAsia="宋体" w:cs="宋体"/>
                <w:color w:val="auto"/>
                <w:szCs w:val="21"/>
                <w:highlight w:val="none"/>
              </w:rPr>
            </w:pPr>
          </w:p>
        </w:tc>
        <w:tc>
          <w:tcPr>
            <w:tcW w:w="2693" w:type="dxa"/>
            <w:tcBorders>
              <w:top w:val="single" w:color="auto" w:sz="2" w:space="0"/>
              <w:left w:val="single" w:color="auto" w:sz="2" w:space="0"/>
              <w:bottom w:val="single" w:color="auto" w:sz="8" w:space="0"/>
              <w:right w:val="single" w:color="auto" w:sz="2" w:space="0"/>
            </w:tcBorders>
            <w:noWrap w:val="0"/>
            <w:vAlign w:val="center"/>
          </w:tcPr>
          <w:p w14:paraId="4CBD2F69">
            <w:pPr>
              <w:spacing w:line="460" w:lineRule="exact"/>
              <w:jc w:val="center"/>
              <w:rPr>
                <w:rFonts w:hint="eastAsia" w:ascii="宋体" w:hAnsi="宋体" w:eastAsia="宋体" w:cs="宋体"/>
                <w:color w:val="auto"/>
                <w:szCs w:val="21"/>
                <w:highlight w:val="none"/>
              </w:rPr>
            </w:pPr>
          </w:p>
        </w:tc>
        <w:tc>
          <w:tcPr>
            <w:tcW w:w="1699" w:type="dxa"/>
            <w:tcBorders>
              <w:top w:val="single" w:color="auto" w:sz="2" w:space="0"/>
              <w:left w:val="single" w:color="auto" w:sz="2" w:space="0"/>
              <w:bottom w:val="single" w:color="auto" w:sz="8" w:space="0"/>
              <w:right w:val="single" w:color="auto" w:sz="8" w:space="0"/>
            </w:tcBorders>
            <w:noWrap w:val="0"/>
            <w:vAlign w:val="center"/>
          </w:tcPr>
          <w:p w14:paraId="01D7B8B2">
            <w:pPr>
              <w:spacing w:line="460" w:lineRule="exact"/>
              <w:jc w:val="center"/>
              <w:rPr>
                <w:rFonts w:hint="eastAsia" w:ascii="宋体" w:hAnsi="宋体" w:eastAsia="宋体" w:cs="宋体"/>
                <w:color w:val="auto"/>
                <w:szCs w:val="21"/>
                <w:highlight w:val="none"/>
              </w:rPr>
            </w:pPr>
          </w:p>
        </w:tc>
      </w:tr>
    </w:tbl>
    <w:p w14:paraId="33940F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注：投标人根据实际情况可在表中报价明细的基础上进行扩展。</w:t>
      </w:r>
    </w:p>
    <w:p w14:paraId="2DC9E8D1">
      <w:pPr>
        <w:autoSpaceDE w:val="0"/>
        <w:autoSpaceDN w:val="0"/>
        <w:adjustRightInd w:val="0"/>
        <w:spacing w:line="360" w:lineRule="auto"/>
        <w:rPr>
          <w:rFonts w:hint="eastAsia" w:ascii="宋体" w:hAnsi="宋体" w:eastAsia="宋体" w:cs="宋体"/>
          <w:b/>
          <w:color w:val="auto"/>
          <w:szCs w:val="21"/>
          <w:highlight w:val="none"/>
        </w:rPr>
      </w:pPr>
    </w:p>
    <w:p w14:paraId="557F2B2E">
      <w:pPr>
        <w:adjustRightInd w:val="0"/>
        <w:snapToGrid w:val="0"/>
        <w:spacing w:line="360" w:lineRule="auto"/>
        <w:ind w:firstLine="4515" w:firstLineChars="21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投标人（盖公章或电子签章）：</w:t>
      </w:r>
    </w:p>
    <w:p w14:paraId="057EB93A">
      <w:pPr>
        <w:adjustRightInd w:val="0"/>
        <w:snapToGrid w:val="0"/>
        <w:spacing w:line="360" w:lineRule="auto"/>
        <w:ind w:firstLine="4515" w:firstLineChars="21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p>
    <w:p w14:paraId="55C65928">
      <w:pPr>
        <w:widowControl/>
        <w:jc w:val="left"/>
        <w:rPr>
          <w:rFonts w:hint="eastAsia" w:ascii="宋体" w:hAnsi="宋体" w:eastAsia="宋体" w:cs="宋体"/>
          <w:b/>
          <w:color w:val="auto"/>
          <w:szCs w:val="21"/>
          <w:highlight w:val="none"/>
        </w:rPr>
        <w:sectPr>
          <w:pgSz w:w="11906" w:h="16838"/>
          <w:pgMar w:top="1247" w:right="1587" w:bottom="1089" w:left="1587" w:header="851" w:footer="992" w:gutter="0"/>
          <w:cols w:space="720" w:num="1"/>
          <w:formProt w:val="0"/>
        </w:sectPr>
      </w:pPr>
    </w:p>
    <w:p w14:paraId="782C7B89">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3.5投标人基本情况</w:t>
      </w:r>
    </w:p>
    <w:p w14:paraId="260477CD">
      <w:pPr>
        <w:spacing w:line="24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投标人基本情况表</w:t>
      </w:r>
    </w:p>
    <w:p w14:paraId="048586C0">
      <w:pPr>
        <w:adjustRightInd w:val="0"/>
        <w:spacing w:line="360" w:lineRule="auto"/>
        <w:jc w:val="left"/>
        <w:rPr>
          <w:rFonts w:hint="eastAsia" w:ascii="宋体" w:hAnsi="宋体" w:eastAsia="宋体" w:cs="宋体"/>
          <w:color w:val="auto"/>
          <w:szCs w:val="21"/>
          <w:highlight w:val="none"/>
        </w:rPr>
      </w:pPr>
    </w:p>
    <w:p w14:paraId="5E10818C">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092C73D1">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28" w:type="dxa"/>
        <w:tblLayout w:type="fixed"/>
        <w:tblCellMar>
          <w:top w:w="0" w:type="dxa"/>
          <w:left w:w="28" w:type="dxa"/>
          <w:bottom w:w="0" w:type="dxa"/>
          <w:right w:w="28" w:type="dxa"/>
        </w:tblCellMar>
      </w:tblPr>
      <w:tblGrid>
        <w:gridCol w:w="2368"/>
        <w:gridCol w:w="2490"/>
        <w:gridCol w:w="1575"/>
        <w:gridCol w:w="2415"/>
      </w:tblGrid>
      <w:tr w14:paraId="271B9894">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311A23A0">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0493804D">
            <w:pPr>
              <w:widowControl/>
              <w:autoSpaceDE w:val="0"/>
              <w:autoSpaceDN w:val="0"/>
              <w:spacing w:line="440" w:lineRule="atLeast"/>
              <w:textAlignment w:val="bottom"/>
              <w:rPr>
                <w:rFonts w:hint="eastAsia" w:ascii="宋体" w:hAnsi="宋体" w:eastAsia="宋体" w:cs="宋体"/>
                <w:color w:val="auto"/>
                <w:highlight w:val="none"/>
              </w:rPr>
            </w:pPr>
          </w:p>
        </w:tc>
      </w:tr>
      <w:tr w14:paraId="3D9AAF1D">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4DF029F3">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5FB50300">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1.等级：            2.证书号：       3.发证单位： </w:t>
            </w:r>
          </w:p>
        </w:tc>
      </w:tr>
      <w:tr w14:paraId="442BA811">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2BEF4C2E">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73B1B2EA">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3.发照单位： </w:t>
            </w:r>
          </w:p>
        </w:tc>
      </w:tr>
      <w:tr w14:paraId="25D2F46B">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3AB19E49">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14:paraId="428E7C32">
            <w:pPr>
              <w:widowControl/>
              <w:autoSpaceDE w:val="0"/>
              <w:autoSpaceDN w:val="0"/>
              <w:spacing w:line="440" w:lineRule="atLeast"/>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1A6DE4D">
            <w:pPr>
              <w:widowControl/>
              <w:autoSpaceDE w:val="0"/>
              <w:autoSpaceDN w:val="0"/>
              <w:spacing w:line="440" w:lineRule="atLeast"/>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14:paraId="7068EEF9">
            <w:pPr>
              <w:widowControl/>
              <w:autoSpaceDE w:val="0"/>
              <w:autoSpaceDN w:val="0"/>
              <w:spacing w:line="440" w:lineRule="atLeast"/>
              <w:textAlignment w:val="bottom"/>
              <w:rPr>
                <w:rFonts w:hint="eastAsia" w:ascii="宋体" w:hAnsi="宋体" w:eastAsia="宋体" w:cs="宋体"/>
                <w:color w:val="auto"/>
                <w:highlight w:val="none"/>
              </w:rPr>
            </w:pPr>
          </w:p>
        </w:tc>
      </w:tr>
      <w:tr w14:paraId="51B507C0">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69B36C94">
            <w:pPr>
              <w:widowControl/>
              <w:autoSpaceDE w:val="0"/>
              <w:autoSpaceDN w:val="0"/>
              <w:spacing w:line="440" w:lineRule="atLeast"/>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4BAE04F8">
            <w:pPr>
              <w:widowControl/>
              <w:autoSpaceDE w:val="0"/>
              <w:autoSpaceDN w:val="0"/>
              <w:spacing w:line="440" w:lineRule="atLeast"/>
              <w:textAlignment w:val="bottom"/>
              <w:rPr>
                <w:rFonts w:hint="eastAsia" w:ascii="宋体" w:hAnsi="宋体" w:eastAsia="宋体" w:cs="宋体"/>
                <w:color w:val="auto"/>
                <w:highlight w:val="none"/>
              </w:rPr>
            </w:pPr>
          </w:p>
        </w:tc>
      </w:tr>
      <w:tr w14:paraId="2C5B74BF">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756BC175">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6638FDBA">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45B8FBC3">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1BA14431">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3806D016">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09A5D434">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14:paraId="5AB90ABB">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23F531C8">
            <w:pPr>
              <w:widowControl/>
              <w:autoSpaceDE w:val="0"/>
              <w:autoSpaceDN w:val="0"/>
              <w:spacing w:line="440" w:lineRule="atLeast"/>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w:t>
            </w:r>
          </w:p>
          <w:p w14:paraId="28DDDCC6">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14:paraId="6D6944F4">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14:paraId="73D500BD">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14:paraId="079EAC48">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14:paraId="0F7098F6">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00929FD5">
            <w:pPr>
              <w:widowControl/>
              <w:autoSpaceDE w:val="0"/>
              <w:autoSpaceDN w:val="0"/>
              <w:spacing w:line="440" w:lineRule="atLeast"/>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名称：                      账号：          </w:t>
            </w:r>
          </w:p>
        </w:tc>
      </w:tr>
      <w:tr w14:paraId="061BB3F0">
        <w:tblPrEx>
          <w:tblCellMar>
            <w:top w:w="0" w:type="dxa"/>
            <w:left w:w="28" w:type="dxa"/>
            <w:bottom w:w="0" w:type="dxa"/>
            <w:right w:w="28" w:type="dxa"/>
          </w:tblCellMar>
        </w:tblPrEx>
        <w:trPr>
          <w:cantSplit/>
          <w:trHeight w:val="4102" w:hRule="atLeast"/>
        </w:trPr>
        <w:tc>
          <w:tcPr>
            <w:tcW w:w="2368" w:type="dxa"/>
            <w:tcBorders>
              <w:top w:val="single" w:color="auto" w:sz="6" w:space="0"/>
              <w:left w:val="single" w:color="auto" w:sz="6" w:space="0"/>
              <w:bottom w:val="single" w:color="auto" w:sz="6" w:space="0"/>
              <w:right w:val="single" w:color="auto" w:sz="6" w:space="0"/>
            </w:tcBorders>
            <w:noWrap w:val="0"/>
            <w:vAlign w:val="top"/>
          </w:tcPr>
          <w:p w14:paraId="1BB61A85">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0245D0B5">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343D99E5">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1910FECF">
            <w:pPr>
              <w:widowControl/>
              <w:autoSpaceDE w:val="0"/>
              <w:autoSpaceDN w:val="0"/>
              <w:spacing w:line="440" w:lineRule="atLeast"/>
              <w:textAlignment w:val="bottom"/>
              <w:rPr>
                <w:rFonts w:hint="eastAsia" w:ascii="宋体" w:hAnsi="宋体" w:eastAsia="宋体" w:cs="宋体"/>
                <w:color w:val="auto"/>
                <w:highlight w:val="none"/>
              </w:rPr>
            </w:pPr>
          </w:p>
          <w:p w14:paraId="3A10BA53">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23B3360B">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427DD631">
            <w:pPr>
              <w:widowControl/>
              <w:autoSpaceDE w:val="0"/>
              <w:autoSpaceDN w:val="0"/>
              <w:spacing w:line="440" w:lineRule="atLeast"/>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p w14:paraId="25644046">
            <w:pPr>
              <w:widowControl/>
              <w:autoSpaceDE w:val="0"/>
              <w:autoSpaceDN w:val="0"/>
              <w:spacing w:line="440" w:lineRule="atLeast"/>
              <w:ind w:left="105"/>
              <w:jc w:val="center"/>
              <w:textAlignment w:val="bottom"/>
              <w:rPr>
                <w:rFonts w:hint="eastAsia" w:ascii="宋体" w:hAnsi="宋体" w:eastAsia="宋体" w:cs="宋体"/>
                <w:color w:val="auto"/>
                <w:highlight w:val="none"/>
              </w:rPr>
            </w:pPr>
          </w:p>
          <w:p w14:paraId="03639084">
            <w:pPr>
              <w:autoSpaceDE w:val="0"/>
              <w:autoSpaceDN w:val="0"/>
              <w:spacing w:line="440" w:lineRule="atLeast"/>
              <w:ind w:left="105"/>
              <w:textAlignment w:val="bottom"/>
              <w:rPr>
                <w:rFonts w:hint="eastAsia" w:ascii="宋体" w:hAnsi="宋体" w:eastAsia="宋体" w:cs="宋体"/>
                <w:color w:val="auto"/>
                <w:highlight w:val="none"/>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14:paraId="67C459D2">
            <w:pPr>
              <w:widowControl/>
              <w:autoSpaceDE w:val="0"/>
              <w:autoSpaceDN w:val="0"/>
              <w:spacing w:line="440" w:lineRule="atLeast"/>
              <w:textAlignment w:val="bottom"/>
              <w:rPr>
                <w:rFonts w:hint="eastAsia" w:ascii="宋体" w:hAnsi="宋体" w:eastAsia="宋体" w:cs="宋体"/>
                <w:color w:val="auto"/>
                <w:highlight w:val="none"/>
              </w:rPr>
            </w:pPr>
          </w:p>
        </w:tc>
      </w:tr>
    </w:tbl>
    <w:p w14:paraId="68BD9D99">
      <w:pPr>
        <w:spacing w:line="360" w:lineRule="auto"/>
        <w:ind w:left="630" w:hanging="630" w:hangingChars="300"/>
        <w:rPr>
          <w:rFonts w:hint="eastAsia" w:ascii="宋体" w:hAnsi="宋体" w:eastAsia="宋体" w:cs="宋体"/>
          <w:color w:val="auto"/>
          <w:highlight w:val="none"/>
        </w:rPr>
      </w:pPr>
    </w:p>
    <w:p w14:paraId="5AE6491E">
      <w:pPr>
        <w:adjustRightInd w:val="0"/>
        <w:snapToGrid w:val="0"/>
        <w:spacing w:before="120" w:beforeLines="50"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highlight w:val="none"/>
        </w:rPr>
        <w:t>3.6授权委托书</w:t>
      </w:r>
    </w:p>
    <w:p w14:paraId="308EBBE5">
      <w:pPr>
        <w:adjustRightInd w:val="0"/>
        <w:spacing w:line="360" w:lineRule="auto"/>
        <w:jc w:val="center"/>
        <w:rPr>
          <w:rFonts w:hint="eastAsia" w:ascii="宋体" w:hAnsi="宋体" w:eastAsia="宋体" w:cs="宋体"/>
          <w:b/>
          <w:snapToGrid w:val="0"/>
          <w:color w:val="auto"/>
          <w:kern w:val="0"/>
          <w:sz w:val="32"/>
          <w:szCs w:val="20"/>
          <w:highlight w:val="none"/>
        </w:rPr>
      </w:pPr>
      <w:r>
        <w:rPr>
          <w:rFonts w:hint="eastAsia" w:ascii="宋体" w:hAnsi="宋体" w:eastAsia="宋体" w:cs="宋体"/>
          <w:b/>
          <w:bCs/>
          <w:snapToGrid w:val="0"/>
          <w:color w:val="auto"/>
          <w:kern w:val="0"/>
          <w:sz w:val="32"/>
          <w:szCs w:val="32"/>
          <w:highlight w:val="none"/>
        </w:rPr>
        <w:t>授权委托书（</w:t>
      </w:r>
      <w:r>
        <w:rPr>
          <w:rFonts w:hint="eastAsia" w:ascii="宋体" w:hAnsi="宋体" w:eastAsia="宋体" w:cs="宋体"/>
          <w:b/>
          <w:bCs/>
          <w:snapToGrid w:val="0"/>
          <w:color w:val="auto"/>
          <w:kern w:val="0"/>
          <w:sz w:val="32"/>
          <w:szCs w:val="32"/>
          <w:highlight w:val="none"/>
          <w:lang w:val="zh-CN"/>
        </w:rPr>
        <w:t>适用于非联合体投标）</w:t>
      </w:r>
      <w:r>
        <w:rPr>
          <w:rFonts w:hint="eastAsia" w:ascii="宋体" w:hAnsi="宋体" w:eastAsia="宋体" w:cs="宋体"/>
          <w:b/>
          <w:bCs/>
          <w:snapToGrid w:val="0"/>
          <w:color w:val="auto"/>
          <w:kern w:val="0"/>
          <w:sz w:val="32"/>
          <w:szCs w:val="32"/>
          <w:highlight w:val="none"/>
        </w:rPr>
        <w:t xml:space="preserve">   </w:t>
      </w:r>
    </w:p>
    <w:p w14:paraId="6EBC9B95">
      <w:pPr>
        <w:adjustRightInd w:val="0"/>
        <w:spacing w:line="480" w:lineRule="auto"/>
        <w:rPr>
          <w:rFonts w:hint="eastAsia" w:ascii="宋体" w:hAnsi="宋体" w:eastAsia="宋体" w:cs="宋体"/>
          <w:b/>
          <w:bCs/>
          <w:snapToGrid w:val="0"/>
          <w:color w:val="auto"/>
          <w:kern w:val="0"/>
          <w:szCs w:val="21"/>
          <w:highlight w:val="none"/>
          <w:u w:val="single"/>
        </w:rPr>
      </w:pPr>
      <w:r>
        <w:rPr>
          <w:rFonts w:hint="eastAsia" w:ascii="宋体" w:hAnsi="宋体" w:eastAsia="宋体" w:cs="宋体"/>
          <w:b/>
          <w:bCs/>
          <w:color w:val="auto"/>
          <w:szCs w:val="21"/>
          <w:highlight w:val="none"/>
          <w:u w:val="single"/>
          <w:lang w:eastAsia="zh-CN"/>
        </w:rPr>
        <w:t>浙江省社会主义学院</w:t>
      </w:r>
      <w:r>
        <w:rPr>
          <w:rFonts w:hint="eastAsia" w:ascii="宋体" w:hAnsi="宋体" w:eastAsia="宋体" w:cs="宋体"/>
          <w:b/>
          <w:bCs/>
          <w:color w:val="auto"/>
          <w:szCs w:val="21"/>
          <w:highlight w:val="none"/>
          <w:u w:val="single"/>
        </w:rPr>
        <w:t>：</w:t>
      </w:r>
    </w:p>
    <w:p w14:paraId="6AE70C29">
      <w:pPr>
        <w:adjustRightInd w:val="0"/>
        <w:spacing w:line="360" w:lineRule="auto"/>
        <w:ind w:left="4" w:firstLine="455" w:firstLineChars="217"/>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我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（投标人名称），现授权委托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（姓名、身份证号）为我方授权代表，以本方的名义参加</w:t>
      </w:r>
      <w:r>
        <w:rPr>
          <w:rFonts w:hint="eastAsia" w:ascii="宋体" w:hAnsi="宋体" w:eastAsia="宋体" w:cs="宋体"/>
          <w:color w:val="auto"/>
          <w:szCs w:val="21"/>
          <w:highlight w:val="none"/>
          <w:u w:val="single"/>
          <w:lang w:eastAsia="zh-CN"/>
        </w:rPr>
        <w:t>浙江省社会主义学院</w:t>
      </w:r>
      <w:r>
        <w:rPr>
          <w:rFonts w:hint="eastAsia" w:ascii="宋体" w:hAnsi="宋体" w:eastAsia="宋体" w:cs="宋体"/>
          <w:snapToGrid w:val="0"/>
          <w:color w:val="auto"/>
          <w:kern w:val="0"/>
          <w:szCs w:val="21"/>
          <w:highlight w:val="none"/>
        </w:rPr>
        <w:t>的</w:t>
      </w:r>
      <w:r>
        <w:rPr>
          <w:rFonts w:hint="eastAsia" w:ascii="宋体" w:hAnsi="宋体" w:eastAsia="宋体" w:cs="宋体"/>
          <w:color w:val="auto"/>
          <w:szCs w:val="21"/>
          <w:highlight w:val="none"/>
          <w:u w:val="single"/>
          <w:lang w:eastAsia="zh-CN"/>
        </w:rPr>
        <w:t xml:space="preserve">浙江省社会主义学院“智慧教务”（2.0）建设项目 </w:t>
      </w:r>
      <w:r>
        <w:rPr>
          <w:rFonts w:hint="eastAsia" w:ascii="宋体" w:hAnsi="宋体" w:eastAsia="宋体" w:cs="宋体"/>
          <w:snapToGrid w:val="0"/>
          <w:color w:val="auto"/>
          <w:kern w:val="0"/>
          <w:szCs w:val="21"/>
          <w:highlight w:val="none"/>
          <w:u w:val="single"/>
        </w:rPr>
        <w:t>（项目编号：</w:t>
      </w:r>
      <w:r>
        <w:rPr>
          <w:rFonts w:hint="eastAsia" w:ascii="宋体" w:hAnsi="宋体" w:eastAsia="宋体" w:cs="宋体"/>
          <w:color w:val="auto"/>
          <w:szCs w:val="21"/>
          <w:highlight w:val="none"/>
          <w:u w:val="single"/>
          <w:lang w:eastAsia="zh-CN"/>
        </w:rPr>
        <w:t>ZJ-2470973-07</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的投标活动。授权代表在开标、评标、合同谈判过程中所签署的一切文件和处理与之有关的一切事务，我方均予以承认。</w:t>
      </w:r>
    </w:p>
    <w:p w14:paraId="08EA336F">
      <w:pPr>
        <w:adjustRightIn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授权代表无权转委托，特此委托。</w:t>
      </w:r>
    </w:p>
    <w:p w14:paraId="3453C6C0">
      <w:pPr>
        <w:spacing w:line="360" w:lineRule="auto"/>
        <w:ind w:right="99" w:rightChars="47" w:firstLine="3360" w:firstLineChars="1600"/>
        <w:rPr>
          <w:rFonts w:hint="eastAsia" w:ascii="宋体" w:hAnsi="宋体" w:eastAsia="宋体" w:cs="宋体"/>
          <w:snapToGrid w:val="0"/>
          <w:color w:val="auto"/>
          <w:kern w:val="0"/>
          <w:szCs w:val="21"/>
          <w:highlight w:val="none"/>
        </w:rPr>
      </w:pPr>
    </w:p>
    <w:p w14:paraId="3B6B7C19">
      <w:pPr>
        <w:spacing w:line="360" w:lineRule="auto"/>
        <w:ind w:right="99" w:rightChars="47"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投标人名称（盖公章或电子签章）：</w:t>
      </w:r>
    </w:p>
    <w:p w14:paraId="06F2F0C4">
      <w:pPr>
        <w:spacing w:line="360" w:lineRule="auto"/>
        <w:ind w:right="99" w:rightChars="47"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授权代表身份证号码：</w:t>
      </w:r>
    </w:p>
    <w:p w14:paraId="1F757CA6">
      <w:pPr>
        <w:autoSpaceDE w:val="0"/>
        <w:autoSpaceDN w:val="0"/>
        <w:adjustRightInd w:val="0"/>
        <w:spacing w:line="360" w:lineRule="auto"/>
        <w:ind w:right="99" w:rightChars="47"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p>
    <w:p w14:paraId="715DB228">
      <w:pPr>
        <w:autoSpaceDE w:val="0"/>
        <w:autoSpaceDN w:val="0"/>
        <w:adjustRightInd w:val="0"/>
        <w:spacing w:line="360" w:lineRule="auto"/>
        <w:ind w:right="99" w:rightChars="47" w:firstLine="3360" w:firstLineChars="1600"/>
        <w:rPr>
          <w:rFonts w:hint="eastAsia" w:ascii="宋体" w:hAnsi="宋体" w:eastAsia="宋体" w:cs="宋体"/>
          <w:color w:val="auto"/>
          <w:kern w:val="0"/>
          <w:szCs w:val="21"/>
          <w:highlight w:val="none"/>
          <w:lang w:val="zh-CN"/>
        </w:rPr>
      </w:pPr>
    </w:p>
    <w:p w14:paraId="4A27CFF5">
      <w:pPr>
        <w:autoSpaceDE w:val="0"/>
        <w:autoSpaceDN w:val="0"/>
        <w:adjustRightInd w:val="0"/>
        <w:snapToGrid w:val="0"/>
        <w:spacing w:line="360" w:lineRule="auto"/>
        <w:ind w:right="42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附：授权代表的身份证复印件（正反面）。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143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14:paraId="5FAC0892">
            <w:pPr>
              <w:autoSpaceDE w:val="0"/>
              <w:autoSpaceDN w:val="0"/>
              <w:adjustRightInd w:val="0"/>
              <w:spacing w:line="360" w:lineRule="auto"/>
              <w:rPr>
                <w:rFonts w:hint="eastAsia" w:ascii="宋体" w:hAnsi="宋体" w:eastAsia="宋体" w:cs="宋体"/>
                <w:color w:val="auto"/>
                <w:highlight w:val="none"/>
              </w:rPr>
            </w:pPr>
          </w:p>
          <w:p w14:paraId="58339819">
            <w:pPr>
              <w:pStyle w:val="9"/>
              <w:rPr>
                <w:rFonts w:hint="eastAsia" w:ascii="宋体" w:hAnsi="宋体" w:eastAsia="宋体" w:cs="宋体"/>
                <w:color w:val="auto"/>
                <w:highlight w:val="none"/>
              </w:rPr>
            </w:pPr>
          </w:p>
          <w:p w14:paraId="1129DA4E">
            <w:pPr>
              <w:rPr>
                <w:rFonts w:hint="eastAsia" w:ascii="宋体" w:hAnsi="宋体" w:eastAsia="宋体" w:cs="宋体"/>
                <w:color w:val="auto"/>
                <w:highlight w:val="none"/>
              </w:rPr>
            </w:pPr>
          </w:p>
          <w:p w14:paraId="40283C6C">
            <w:pPr>
              <w:rPr>
                <w:rFonts w:hint="eastAsia" w:ascii="宋体" w:hAnsi="宋体" w:eastAsia="宋体" w:cs="宋体"/>
                <w:color w:val="auto"/>
                <w:highlight w:val="none"/>
              </w:rPr>
            </w:pPr>
          </w:p>
          <w:p w14:paraId="7D0950A6">
            <w:pPr>
              <w:pStyle w:val="9"/>
              <w:rPr>
                <w:rFonts w:hint="eastAsia" w:ascii="宋体" w:hAnsi="宋体" w:eastAsia="宋体" w:cs="宋体"/>
                <w:color w:val="auto"/>
                <w:highlight w:val="none"/>
              </w:rPr>
            </w:pPr>
          </w:p>
          <w:p w14:paraId="70DEDC4F">
            <w:pPr>
              <w:rPr>
                <w:rFonts w:hint="eastAsia" w:ascii="宋体" w:hAnsi="宋体" w:eastAsia="宋体" w:cs="宋体"/>
                <w:color w:val="auto"/>
                <w:highlight w:val="none"/>
              </w:rPr>
            </w:pPr>
          </w:p>
          <w:p w14:paraId="2C8633A3">
            <w:pPr>
              <w:pStyle w:val="9"/>
              <w:rPr>
                <w:rFonts w:hint="eastAsia" w:ascii="宋体" w:hAnsi="宋体" w:eastAsia="宋体" w:cs="宋体"/>
                <w:color w:val="auto"/>
                <w:highlight w:val="none"/>
              </w:rPr>
            </w:pPr>
          </w:p>
          <w:p w14:paraId="134565D1">
            <w:pPr>
              <w:rPr>
                <w:rFonts w:hint="eastAsia" w:ascii="宋体" w:hAnsi="宋体" w:eastAsia="宋体" w:cs="宋体"/>
                <w:color w:val="auto"/>
                <w:highlight w:val="none"/>
              </w:rPr>
            </w:pPr>
          </w:p>
          <w:p w14:paraId="30E5A5C0">
            <w:pPr>
              <w:pStyle w:val="9"/>
              <w:rPr>
                <w:rFonts w:hint="eastAsia" w:ascii="宋体" w:hAnsi="宋体" w:eastAsia="宋体" w:cs="宋体"/>
                <w:color w:val="auto"/>
                <w:highlight w:val="none"/>
              </w:rPr>
            </w:pPr>
          </w:p>
          <w:p w14:paraId="6DC53AEB">
            <w:pPr>
              <w:rPr>
                <w:rFonts w:hint="eastAsia" w:ascii="宋体" w:hAnsi="宋体" w:eastAsia="宋体" w:cs="宋体"/>
                <w:color w:val="auto"/>
                <w:highlight w:val="none"/>
              </w:rPr>
            </w:pPr>
          </w:p>
          <w:p w14:paraId="1BBE70A6">
            <w:pPr>
              <w:pStyle w:val="9"/>
              <w:rPr>
                <w:rFonts w:hint="eastAsia" w:ascii="宋体" w:hAnsi="宋体" w:eastAsia="宋体" w:cs="宋体"/>
                <w:color w:val="auto"/>
                <w:highlight w:val="none"/>
              </w:rPr>
            </w:pPr>
          </w:p>
        </w:tc>
      </w:tr>
    </w:tbl>
    <w:p w14:paraId="63EB56A9">
      <w:pPr>
        <w:autoSpaceDE w:val="0"/>
        <w:autoSpaceDN w:val="0"/>
        <w:adjustRightInd w:val="0"/>
        <w:snapToGrid w:val="0"/>
        <w:spacing w:line="360" w:lineRule="auto"/>
        <w:ind w:right="420"/>
        <w:jc w:val="center"/>
        <w:rPr>
          <w:rFonts w:hint="eastAsia" w:ascii="宋体" w:hAnsi="宋体" w:eastAsia="宋体" w:cs="宋体"/>
          <w:b/>
          <w:snapToGrid w:val="0"/>
          <w:color w:val="auto"/>
          <w:kern w:val="0"/>
          <w:szCs w:val="21"/>
          <w:highlight w:val="none"/>
        </w:rPr>
      </w:pPr>
      <w:r>
        <w:rPr>
          <w:rFonts w:hint="eastAsia" w:ascii="宋体" w:hAnsi="宋体" w:eastAsia="宋体" w:cs="宋体"/>
          <w:b/>
          <w:bCs/>
          <w:snapToGrid w:val="0"/>
          <w:color w:val="auto"/>
          <w:kern w:val="0"/>
          <w:sz w:val="32"/>
          <w:szCs w:val="32"/>
          <w:highlight w:val="none"/>
        </w:rPr>
        <w:br w:type="page"/>
      </w:r>
      <w:r>
        <w:rPr>
          <w:rFonts w:hint="eastAsia" w:ascii="宋体" w:hAnsi="宋体" w:eastAsia="宋体" w:cs="宋体"/>
          <w:b/>
          <w:bCs/>
          <w:snapToGrid w:val="0"/>
          <w:color w:val="auto"/>
          <w:kern w:val="0"/>
          <w:sz w:val="32"/>
          <w:szCs w:val="32"/>
          <w:highlight w:val="none"/>
        </w:rPr>
        <w:t>授权委托书（</w:t>
      </w:r>
      <w:r>
        <w:rPr>
          <w:rFonts w:hint="eastAsia" w:ascii="宋体" w:hAnsi="宋体" w:eastAsia="宋体" w:cs="宋体"/>
          <w:b/>
          <w:bCs/>
          <w:snapToGrid w:val="0"/>
          <w:color w:val="auto"/>
          <w:kern w:val="0"/>
          <w:sz w:val="32"/>
          <w:szCs w:val="32"/>
          <w:highlight w:val="none"/>
          <w:lang w:val="zh-CN"/>
        </w:rPr>
        <w:t>适用于联合体投标）</w:t>
      </w:r>
    </w:p>
    <w:p w14:paraId="508272CE">
      <w:pPr>
        <w:adjustRightInd w:val="0"/>
        <w:spacing w:line="480" w:lineRule="auto"/>
        <w:rPr>
          <w:rFonts w:hint="eastAsia" w:ascii="宋体" w:hAnsi="宋体" w:eastAsia="宋体" w:cs="宋体"/>
          <w:b/>
          <w:bCs/>
          <w:snapToGrid w:val="0"/>
          <w:color w:val="auto"/>
          <w:kern w:val="0"/>
          <w:szCs w:val="21"/>
          <w:highlight w:val="none"/>
          <w:u w:val="single"/>
        </w:rPr>
      </w:pPr>
      <w:r>
        <w:rPr>
          <w:rFonts w:hint="eastAsia" w:ascii="宋体" w:hAnsi="宋体" w:eastAsia="宋体" w:cs="宋体"/>
          <w:b/>
          <w:bCs/>
          <w:color w:val="auto"/>
          <w:szCs w:val="21"/>
          <w:highlight w:val="none"/>
          <w:u w:val="single"/>
          <w:lang w:eastAsia="zh-CN"/>
        </w:rPr>
        <w:t>浙江省社会主义学院</w:t>
      </w:r>
      <w:r>
        <w:rPr>
          <w:rFonts w:hint="eastAsia" w:ascii="宋体" w:hAnsi="宋体" w:eastAsia="宋体" w:cs="宋体"/>
          <w:b/>
          <w:bCs/>
          <w:color w:val="auto"/>
          <w:szCs w:val="21"/>
          <w:highlight w:val="none"/>
          <w:u w:val="single"/>
        </w:rPr>
        <w:t>：</w:t>
      </w:r>
    </w:p>
    <w:p w14:paraId="2C5EF5D3">
      <w:pPr>
        <w:adjustRightInd w:val="0"/>
        <w:spacing w:line="360" w:lineRule="auto"/>
        <w:ind w:left="4" w:firstLine="455" w:firstLineChars="217"/>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我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（联合体各方名称），现授权委托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（姓名、身份证号）为我方授权代表，以本方的名义参加</w:t>
      </w:r>
      <w:r>
        <w:rPr>
          <w:rFonts w:hint="eastAsia" w:ascii="宋体" w:hAnsi="宋体" w:eastAsia="宋体" w:cs="宋体"/>
          <w:color w:val="auto"/>
          <w:szCs w:val="21"/>
          <w:highlight w:val="none"/>
          <w:u w:val="single"/>
          <w:lang w:eastAsia="zh-CN"/>
        </w:rPr>
        <w:t>浙江省社会主义学院</w:t>
      </w:r>
      <w:r>
        <w:rPr>
          <w:rFonts w:hint="eastAsia" w:ascii="宋体" w:hAnsi="宋体" w:eastAsia="宋体" w:cs="宋体"/>
          <w:snapToGrid w:val="0"/>
          <w:color w:val="auto"/>
          <w:kern w:val="0"/>
          <w:szCs w:val="21"/>
          <w:highlight w:val="none"/>
        </w:rPr>
        <w:t>的</w:t>
      </w:r>
      <w:r>
        <w:rPr>
          <w:rFonts w:hint="eastAsia" w:ascii="宋体" w:hAnsi="宋体" w:eastAsia="宋体" w:cs="宋体"/>
          <w:color w:val="auto"/>
          <w:szCs w:val="21"/>
          <w:highlight w:val="none"/>
          <w:u w:val="single"/>
          <w:lang w:eastAsia="zh-CN"/>
        </w:rPr>
        <w:t xml:space="preserve">浙江省社会主义学院“智慧教务”（2.0）建设项目 </w:t>
      </w:r>
      <w:r>
        <w:rPr>
          <w:rFonts w:hint="eastAsia" w:ascii="宋体" w:hAnsi="宋体" w:eastAsia="宋体" w:cs="宋体"/>
          <w:snapToGrid w:val="0"/>
          <w:color w:val="auto"/>
          <w:kern w:val="0"/>
          <w:szCs w:val="21"/>
          <w:highlight w:val="none"/>
          <w:u w:val="single"/>
        </w:rPr>
        <w:t>（项目编号：</w:t>
      </w:r>
      <w:r>
        <w:rPr>
          <w:rFonts w:hint="eastAsia" w:ascii="宋体" w:hAnsi="宋体" w:eastAsia="宋体" w:cs="宋体"/>
          <w:color w:val="auto"/>
          <w:szCs w:val="21"/>
          <w:highlight w:val="none"/>
          <w:u w:val="single"/>
          <w:lang w:eastAsia="zh-CN"/>
        </w:rPr>
        <w:t>ZJ-2470973-07</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rPr>
        <w:t>的投标活动。授权代表在开标、评标、合同谈判过程中所签署的一切文件和处理与之有关的一切事务，我方均予以承认。</w:t>
      </w:r>
    </w:p>
    <w:p w14:paraId="5BF54076">
      <w:pPr>
        <w:adjustRightIn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授权代表无权转委托，特此委托。</w:t>
      </w:r>
    </w:p>
    <w:p w14:paraId="6E286E71">
      <w:pPr>
        <w:spacing w:line="360" w:lineRule="auto"/>
        <w:ind w:right="128" w:rightChars="61" w:firstLine="3360" w:firstLineChars="1600"/>
        <w:rPr>
          <w:rFonts w:hint="eastAsia" w:ascii="宋体" w:hAnsi="宋体" w:eastAsia="宋体" w:cs="宋体"/>
          <w:snapToGrid w:val="0"/>
          <w:color w:val="auto"/>
          <w:kern w:val="0"/>
          <w:szCs w:val="21"/>
          <w:highlight w:val="none"/>
        </w:rPr>
      </w:pPr>
    </w:p>
    <w:p w14:paraId="371838F1">
      <w:pPr>
        <w:spacing w:line="360" w:lineRule="auto"/>
        <w:ind w:right="128" w:rightChars="61"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联合体成员名称（盖公章或电子签章）：       </w:t>
      </w:r>
    </w:p>
    <w:p w14:paraId="2040260F">
      <w:pPr>
        <w:autoSpaceDE w:val="0"/>
        <w:autoSpaceDN w:val="0"/>
        <w:adjustRightInd w:val="0"/>
        <w:spacing w:line="360" w:lineRule="auto"/>
        <w:ind w:right="128" w:rightChars="61"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联合体成员名称（盖公章或电子签章）： </w:t>
      </w:r>
    </w:p>
    <w:p w14:paraId="3759EDF9">
      <w:pPr>
        <w:autoSpaceDE w:val="0"/>
        <w:autoSpaceDN w:val="0"/>
        <w:adjustRightInd w:val="0"/>
        <w:spacing w:line="360" w:lineRule="auto"/>
        <w:ind w:right="128" w:rightChars="61"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14:paraId="19DBFB6E">
      <w:pPr>
        <w:autoSpaceDE w:val="0"/>
        <w:autoSpaceDN w:val="0"/>
        <w:adjustRightInd w:val="0"/>
        <w:spacing w:line="360" w:lineRule="auto"/>
        <w:ind w:right="128" w:rightChars="61" w:firstLine="3360" w:firstLineChars="16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授权代表身份证号码：</w:t>
      </w:r>
    </w:p>
    <w:p w14:paraId="3A4A4C20">
      <w:pPr>
        <w:autoSpaceDE w:val="0"/>
        <w:autoSpaceDN w:val="0"/>
        <w:adjustRightInd w:val="0"/>
        <w:spacing w:line="360" w:lineRule="auto"/>
        <w:ind w:right="128" w:rightChars="61" w:firstLine="3360" w:firstLineChars="16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p>
    <w:p w14:paraId="0B3362AE">
      <w:pPr>
        <w:autoSpaceDE w:val="0"/>
        <w:autoSpaceDN w:val="0"/>
        <w:adjustRightInd w:val="0"/>
        <w:spacing w:line="360" w:lineRule="auto"/>
        <w:ind w:right="128" w:rightChars="61" w:firstLine="3360" w:firstLineChars="1600"/>
        <w:rPr>
          <w:rFonts w:hint="eastAsia" w:ascii="宋体" w:hAnsi="宋体" w:eastAsia="宋体" w:cs="宋体"/>
          <w:color w:val="auto"/>
          <w:kern w:val="0"/>
          <w:szCs w:val="21"/>
          <w:highlight w:val="none"/>
          <w:lang w:val="zh-CN"/>
        </w:rPr>
      </w:pPr>
    </w:p>
    <w:p w14:paraId="05DA8D17">
      <w:pPr>
        <w:autoSpaceDE w:val="0"/>
        <w:autoSpaceDN w:val="0"/>
        <w:adjustRightInd w:val="0"/>
        <w:snapToGrid w:val="0"/>
        <w:spacing w:line="360" w:lineRule="auto"/>
        <w:ind w:right="42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附：授权代表的身份证复印件（正反面）。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C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14:paraId="4F716646">
            <w:pPr>
              <w:autoSpaceDE w:val="0"/>
              <w:autoSpaceDN w:val="0"/>
              <w:adjustRightInd w:val="0"/>
              <w:spacing w:line="360" w:lineRule="auto"/>
              <w:rPr>
                <w:rFonts w:hint="eastAsia" w:ascii="宋体" w:hAnsi="宋体" w:eastAsia="宋体" w:cs="宋体"/>
                <w:color w:val="auto"/>
                <w:highlight w:val="none"/>
              </w:rPr>
            </w:pPr>
          </w:p>
          <w:p w14:paraId="0AF3ACF4">
            <w:pPr>
              <w:pStyle w:val="9"/>
              <w:rPr>
                <w:rFonts w:hint="eastAsia" w:ascii="宋体" w:hAnsi="宋体" w:eastAsia="宋体" w:cs="宋体"/>
                <w:color w:val="auto"/>
                <w:highlight w:val="none"/>
              </w:rPr>
            </w:pPr>
          </w:p>
          <w:p w14:paraId="67CC0F9E">
            <w:pPr>
              <w:rPr>
                <w:rFonts w:hint="eastAsia" w:ascii="宋体" w:hAnsi="宋体" w:eastAsia="宋体" w:cs="宋体"/>
                <w:color w:val="auto"/>
                <w:highlight w:val="none"/>
              </w:rPr>
            </w:pPr>
          </w:p>
          <w:p w14:paraId="13F038ED">
            <w:pPr>
              <w:pStyle w:val="9"/>
              <w:rPr>
                <w:rFonts w:hint="eastAsia" w:ascii="宋体" w:hAnsi="宋体" w:eastAsia="宋体" w:cs="宋体"/>
                <w:color w:val="auto"/>
                <w:highlight w:val="none"/>
              </w:rPr>
            </w:pPr>
          </w:p>
          <w:p w14:paraId="459572AE">
            <w:pPr>
              <w:pStyle w:val="9"/>
              <w:rPr>
                <w:rFonts w:hint="eastAsia" w:ascii="宋体" w:hAnsi="宋体" w:eastAsia="宋体" w:cs="宋体"/>
                <w:color w:val="auto"/>
                <w:highlight w:val="none"/>
              </w:rPr>
            </w:pPr>
          </w:p>
          <w:p w14:paraId="4000C04A">
            <w:pPr>
              <w:rPr>
                <w:rFonts w:hint="eastAsia" w:ascii="宋体" w:hAnsi="宋体" w:eastAsia="宋体" w:cs="宋体"/>
                <w:color w:val="auto"/>
                <w:highlight w:val="none"/>
              </w:rPr>
            </w:pPr>
          </w:p>
          <w:p w14:paraId="58DC3E68">
            <w:pPr>
              <w:pStyle w:val="9"/>
              <w:rPr>
                <w:rFonts w:hint="eastAsia" w:ascii="宋体" w:hAnsi="宋体" w:eastAsia="宋体" w:cs="宋体"/>
                <w:color w:val="auto"/>
                <w:highlight w:val="none"/>
              </w:rPr>
            </w:pPr>
          </w:p>
          <w:p w14:paraId="66E3CE42">
            <w:pPr>
              <w:rPr>
                <w:rFonts w:hint="eastAsia" w:ascii="宋体" w:hAnsi="宋体" w:eastAsia="宋体" w:cs="宋体"/>
                <w:color w:val="auto"/>
                <w:highlight w:val="none"/>
              </w:rPr>
            </w:pPr>
          </w:p>
          <w:p w14:paraId="033B231B">
            <w:pPr>
              <w:pStyle w:val="9"/>
              <w:rPr>
                <w:rFonts w:hint="eastAsia" w:ascii="宋体" w:hAnsi="宋体" w:eastAsia="宋体" w:cs="宋体"/>
                <w:color w:val="auto"/>
                <w:highlight w:val="none"/>
              </w:rPr>
            </w:pPr>
          </w:p>
          <w:p w14:paraId="77F5D63C">
            <w:pPr>
              <w:rPr>
                <w:rFonts w:hint="eastAsia" w:ascii="宋体" w:hAnsi="宋体" w:eastAsia="宋体" w:cs="宋体"/>
                <w:color w:val="auto"/>
                <w:highlight w:val="none"/>
              </w:rPr>
            </w:pPr>
          </w:p>
          <w:p w14:paraId="6F00089B">
            <w:pPr>
              <w:pStyle w:val="9"/>
              <w:rPr>
                <w:rFonts w:hint="eastAsia" w:ascii="宋体" w:hAnsi="宋体" w:eastAsia="宋体" w:cs="宋体"/>
                <w:color w:val="auto"/>
                <w:highlight w:val="none"/>
              </w:rPr>
            </w:pPr>
          </w:p>
        </w:tc>
      </w:tr>
    </w:tbl>
    <w:p w14:paraId="1E44AC04">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3.7 政府采购供应商廉洁自律承诺书</w:t>
      </w:r>
    </w:p>
    <w:p w14:paraId="0B4CCF69">
      <w:pPr>
        <w:autoSpaceDE w:val="0"/>
        <w:autoSpaceDN w:val="0"/>
        <w:adjustRightInd w:val="0"/>
        <w:spacing w:line="360" w:lineRule="auto"/>
        <w:rPr>
          <w:rFonts w:hint="eastAsia" w:ascii="宋体" w:hAnsi="宋体" w:eastAsia="宋体" w:cs="宋体"/>
          <w:b/>
          <w:color w:val="auto"/>
          <w:highlight w:val="none"/>
        </w:rPr>
      </w:pPr>
    </w:p>
    <w:p w14:paraId="593470E7">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snapToGrid w:val="0"/>
          <w:color w:val="auto"/>
          <w:kern w:val="0"/>
          <w:sz w:val="32"/>
          <w:szCs w:val="32"/>
          <w:highlight w:val="none"/>
        </w:rPr>
        <w:t>政府采购供应商廉洁自律承诺书</w:t>
      </w:r>
    </w:p>
    <w:p w14:paraId="1FE0C5DB">
      <w:pPr>
        <w:spacing w:line="360" w:lineRule="auto"/>
        <w:rPr>
          <w:rFonts w:hint="eastAsia" w:ascii="宋体" w:hAnsi="宋体" w:eastAsia="宋体" w:cs="宋体"/>
          <w:b/>
          <w:bCs/>
          <w:snapToGrid w:val="0"/>
          <w:color w:val="auto"/>
          <w:kern w:val="0"/>
          <w:highlight w:val="none"/>
          <w:u w:val="single"/>
        </w:rPr>
      </w:pPr>
    </w:p>
    <w:p w14:paraId="1B22B67B">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b/>
          <w:bCs/>
          <w:snapToGrid w:val="0"/>
          <w:color w:val="auto"/>
          <w:kern w:val="0"/>
          <w:highlight w:val="none"/>
          <w:u w:val="single"/>
          <w:lang w:eastAsia="zh-CN"/>
        </w:rPr>
        <w:t>浙江省社会主义学院</w:t>
      </w:r>
      <w:r>
        <w:rPr>
          <w:rFonts w:hint="eastAsia" w:ascii="宋体" w:hAnsi="宋体" w:eastAsia="宋体" w:cs="宋体"/>
          <w:b/>
          <w:bCs/>
          <w:color w:val="auto"/>
          <w:szCs w:val="21"/>
          <w:highlight w:val="none"/>
          <w:u w:val="single"/>
        </w:rPr>
        <w:t>：</w:t>
      </w:r>
    </w:p>
    <w:p w14:paraId="1BC00E07">
      <w:pPr>
        <w:spacing w:line="360" w:lineRule="auto"/>
        <w:ind w:left="19" w:leftChars="9" w:firstLine="428" w:firstLineChars="2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本单位合法参加</w:t>
      </w:r>
      <w:r>
        <w:rPr>
          <w:rFonts w:hint="eastAsia" w:ascii="宋体" w:hAnsi="宋体" w:eastAsia="宋体" w:cs="宋体"/>
          <w:color w:val="auto"/>
          <w:szCs w:val="21"/>
          <w:highlight w:val="none"/>
          <w:u w:val="single"/>
          <w:lang w:eastAsia="zh-CN"/>
        </w:rPr>
        <w:t xml:space="preserve">浙江省社会主义学院“智慧教务”（2.0）建设项目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r>
        <w:rPr>
          <w:rFonts w:hint="eastAsia" w:ascii="宋体" w:hAnsi="宋体" w:eastAsia="宋体" w:cs="宋体"/>
          <w:color w:val="auto"/>
          <w:szCs w:val="21"/>
          <w:highlight w:val="none"/>
        </w:rPr>
        <w:t>）政府采购活动，就有关廉洁自律和公平竞争事项郑重声明如下：</w:t>
      </w:r>
    </w:p>
    <w:p w14:paraId="77BB36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一、本单位与采购人之间不存在利害关系，不存在行贿、串通等违法行为。</w:t>
      </w:r>
    </w:p>
    <w:p w14:paraId="73988F1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二、本单位与其他当事人之间不存在直接控股、管理关系等情况，不存在法定的不允许投标情形，不存在行贿、串通等违法行为。</w:t>
      </w:r>
    </w:p>
    <w:p w14:paraId="1272FE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三、本单位清楚知道并严格遵守政府采购法律法规、政策文件和相关纪律。</w:t>
      </w:r>
    </w:p>
    <w:p w14:paraId="4126B51F">
      <w:pPr>
        <w:autoSpaceDE w:val="0"/>
        <w:autoSpaceDN w:val="0"/>
        <w:spacing w:line="360" w:lineRule="auto"/>
        <w:ind w:firstLine="4410" w:firstLineChars="2100"/>
        <w:jc w:val="left"/>
        <w:rPr>
          <w:rFonts w:hint="eastAsia" w:ascii="宋体" w:hAnsi="宋体" w:eastAsia="宋体" w:cs="宋体"/>
          <w:color w:val="auto"/>
          <w:kern w:val="0"/>
          <w:szCs w:val="21"/>
          <w:highlight w:val="none"/>
          <w:lang w:val="zh-CN"/>
        </w:rPr>
      </w:pPr>
    </w:p>
    <w:p w14:paraId="43D8D4C6">
      <w:pPr>
        <w:autoSpaceDE w:val="0"/>
        <w:autoSpaceDN w:val="0"/>
        <w:spacing w:line="360" w:lineRule="auto"/>
        <w:ind w:firstLine="4410" w:firstLineChars="2100"/>
        <w:jc w:val="left"/>
        <w:rPr>
          <w:rFonts w:hint="eastAsia" w:ascii="宋体" w:hAnsi="宋体" w:eastAsia="宋体" w:cs="宋体"/>
          <w:color w:val="auto"/>
          <w:kern w:val="0"/>
          <w:szCs w:val="21"/>
          <w:highlight w:val="none"/>
          <w:lang w:val="zh-CN"/>
        </w:rPr>
      </w:pPr>
    </w:p>
    <w:p w14:paraId="52B32D0C">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1A1A8621">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74B1A02D">
      <w:pPr>
        <w:autoSpaceDE w:val="0"/>
        <w:autoSpaceDN w:val="0"/>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highlight w:val="none"/>
        </w:rPr>
        <w:t>3.8 廉政承诺书</w:t>
      </w:r>
    </w:p>
    <w:p w14:paraId="2BD93500">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 政 承 诺 书</w:t>
      </w:r>
    </w:p>
    <w:p w14:paraId="384D5FCA">
      <w:pPr>
        <w:autoSpaceDE w:val="0"/>
        <w:autoSpaceDN w:val="0"/>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b/>
          <w:bCs/>
          <w:snapToGrid w:val="0"/>
          <w:color w:val="auto"/>
          <w:kern w:val="0"/>
          <w:highlight w:val="none"/>
          <w:u w:val="single"/>
          <w:lang w:eastAsia="zh-CN"/>
        </w:rPr>
        <w:t>浙江省社会主义学院</w:t>
      </w:r>
      <w:r>
        <w:rPr>
          <w:rFonts w:hint="eastAsia" w:ascii="宋体" w:hAnsi="宋体" w:eastAsia="宋体" w:cs="宋体"/>
          <w:b/>
          <w:bCs/>
          <w:color w:val="auto"/>
          <w:szCs w:val="21"/>
          <w:highlight w:val="none"/>
        </w:rPr>
        <w:t>：</w:t>
      </w:r>
    </w:p>
    <w:p w14:paraId="615461B3">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我单位响应你单位项目招标要求参加投标。在这次投标过程中和中标后，我们将严格遵守国家法律法规规定要求，并郑重承诺：</w:t>
      </w:r>
    </w:p>
    <w:p w14:paraId="6FFEF1D1">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一、不向项目有关人员及部门赠送礼金礼物、有价证券、回扣以及中介费、介绍费、咨询费等好处费；</w:t>
      </w:r>
    </w:p>
    <w:p w14:paraId="5ECA1039">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二、不为项目有关人员及部门报销应由你方单位或个人支付的费用；</w:t>
      </w:r>
    </w:p>
    <w:p w14:paraId="0941A552">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三、不向项目有关人员及部门提供有可能影响公正执行公务的宴请和健身娱乐等活动；</w:t>
      </w:r>
    </w:p>
    <w:p w14:paraId="34D42A74">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四、不为项目有关人员及部门出国（境）、旅游等提供方便；</w:t>
      </w:r>
    </w:p>
    <w:p w14:paraId="71DD2960">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五、不为项目有关人员个人装修住房、婚丧嫁娶、配偶子女工作安排等提供好处； </w:t>
      </w:r>
    </w:p>
    <w:p w14:paraId="080C551E">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六、严格遵守政府采购法、民法典等法律，诚实守信，合法经营，坚决抵制各种违法违纪行为。</w:t>
      </w:r>
    </w:p>
    <w:p w14:paraId="4D6287E6">
      <w:pPr>
        <w:autoSpaceDE w:val="0"/>
        <w:autoSpaceDN w:val="0"/>
        <w:adjustRightIn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如违反上述承诺，你单位有权立即取消我单位投标、中标或在建项目的资格，有权拒绝我单位在一定时期内参与你单位项目采购或其他经营活动，并通报监管部门。由此引起的相应损失均由我单位承担。</w:t>
      </w:r>
    </w:p>
    <w:p w14:paraId="761FF613">
      <w:pPr>
        <w:autoSpaceDE w:val="0"/>
        <w:autoSpaceDN w:val="0"/>
        <w:adjustRightInd w:val="0"/>
        <w:spacing w:line="360" w:lineRule="auto"/>
        <w:rPr>
          <w:rFonts w:hint="eastAsia" w:ascii="宋体" w:hAnsi="宋体" w:eastAsia="宋体" w:cs="宋体"/>
          <w:bCs/>
          <w:color w:val="auto"/>
          <w:szCs w:val="21"/>
          <w:highlight w:val="none"/>
        </w:rPr>
      </w:pPr>
    </w:p>
    <w:p w14:paraId="7524262F">
      <w:pPr>
        <w:autoSpaceDE w:val="0"/>
        <w:autoSpaceDN w:val="0"/>
        <w:adjustRightInd w:val="0"/>
        <w:spacing w:line="360" w:lineRule="auto"/>
        <w:rPr>
          <w:rFonts w:hint="eastAsia" w:ascii="宋体" w:hAnsi="宋体" w:eastAsia="宋体" w:cs="宋体"/>
          <w:bCs/>
          <w:color w:val="auto"/>
          <w:szCs w:val="21"/>
          <w:highlight w:val="none"/>
        </w:rPr>
      </w:pPr>
    </w:p>
    <w:p w14:paraId="458209B3">
      <w:pPr>
        <w:autoSpaceDE w:val="0"/>
        <w:autoSpaceDN w:val="0"/>
        <w:adjustRightInd w:val="0"/>
        <w:spacing w:line="360" w:lineRule="auto"/>
        <w:rPr>
          <w:rFonts w:hint="eastAsia" w:ascii="宋体" w:hAnsi="宋体" w:eastAsia="宋体" w:cs="宋体"/>
          <w:bCs/>
          <w:color w:val="auto"/>
          <w:szCs w:val="21"/>
          <w:highlight w:val="none"/>
        </w:rPr>
      </w:pPr>
    </w:p>
    <w:p w14:paraId="65B04F44">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0013A1EB">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0FF07AB6">
      <w:pPr>
        <w:autoSpaceDE w:val="0"/>
        <w:autoSpaceDN w:val="0"/>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Cs w:val="21"/>
          <w:highlight w:val="none"/>
        </w:rPr>
        <w:t>3.9投标人业绩一览表</w:t>
      </w:r>
    </w:p>
    <w:p w14:paraId="05AEB451">
      <w:pPr>
        <w:snapToGrid w:val="0"/>
        <w:spacing w:line="360" w:lineRule="auto"/>
        <w:jc w:val="center"/>
        <w:rPr>
          <w:rFonts w:hint="eastAsia" w:ascii="宋体" w:hAnsi="宋体" w:eastAsia="宋体" w:cs="宋体"/>
          <w:b/>
          <w:snapToGrid w:val="0"/>
          <w:color w:val="auto"/>
          <w:kern w:val="0"/>
          <w:sz w:val="24"/>
          <w:highlight w:val="none"/>
        </w:rPr>
      </w:pPr>
    </w:p>
    <w:p w14:paraId="585EA95E">
      <w:pPr>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投标人业绩一览表</w:t>
      </w:r>
    </w:p>
    <w:p w14:paraId="6F4D7895">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7A8F0ECB">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508"/>
        <w:gridCol w:w="1391"/>
        <w:gridCol w:w="1391"/>
        <w:gridCol w:w="853"/>
        <w:gridCol w:w="1575"/>
        <w:gridCol w:w="1132"/>
      </w:tblGrid>
      <w:tr w14:paraId="0D52C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14:paraId="26B93482">
            <w:pPr>
              <w:autoSpaceDE w:val="0"/>
              <w:autoSpaceDN w:val="0"/>
              <w:adjustRightInd w:val="0"/>
              <w:snapToGrid w:val="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pacing w:val="30"/>
                <w:highlight w:val="none"/>
              </w:rPr>
              <w:t>序号</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34E9EC7">
            <w:pPr>
              <w:autoSpaceDE w:val="0"/>
              <w:autoSpaceDN w:val="0"/>
              <w:adjustRightInd w:val="0"/>
              <w:snapToGrid w:val="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pacing w:val="30"/>
                <w:highlight w:val="none"/>
              </w:rPr>
              <w:t>项目名称</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E8ED601">
            <w:pPr>
              <w:autoSpaceDE w:val="0"/>
              <w:autoSpaceDN w:val="0"/>
              <w:adjustRightInd w:val="0"/>
              <w:snapToGrid w:val="0"/>
              <w:jc w:val="center"/>
              <w:textAlignment w:val="bottom"/>
              <w:rPr>
                <w:rFonts w:hint="eastAsia" w:ascii="宋体" w:hAnsi="宋体" w:eastAsia="宋体" w:cs="宋体"/>
                <w:color w:val="auto"/>
                <w:spacing w:val="30"/>
                <w:highlight w:val="none"/>
              </w:rPr>
            </w:pPr>
            <w:r>
              <w:rPr>
                <w:rFonts w:hint="eastAsia" w:ascii="宋体" w:hAnsi="宋体" w:eastAsia="宋体" w:cs="宋体"/>
                <w:color w:val="auto"/>
                <w:spacing w:val="30"/>
                <w:highlight w:val="none"/>
              </w:rPr>
              <w:t>合同签订时间</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66C96BE">
            <w:pPr>
              <w:autoSpaceDE w:val="0"/>
              <w:autoSpaceDN w:val="0"/>
              <w:adjustRightInd w:val="0"/>
              <w:snapToGrid w:val="0"/>
              <w:jc w:val="center"/>
              <w:textAlignment w:val="bottom"/>
              <w:rPr>
                <w:rFonts w:hint="eastAsia" w:ascii="宋体" w:hAnsi="宋体" w:eastAsia="宋体" w:cs="宋体"/>
                <w:color w:val="auto"/>
                <w:spacing w:val="30"/>
                <w:highlight w:val="none"/>
              </w:rPr>
            </w:pPr>
            <w:r>
              <w:rPr>
                <w:rFonts w:hint="eastAsia" w:ascii="宋体" w:hAnsi="宋体" w:eastAsia="宋体" w:cs="宋体"/>
                <w:color w:val="auto"/>
                <w:spacing w:val="30"/>
                <w:highlight w:val="none"/>
              </w:rPr>
              <w:t>合同主要标的</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957591C">
            <w:pPr>
              <w:autoSpaceDE w:val="0"/>
              <w:autoSpaceDN w:val="0"/>
              <w:adjustRightInd w:val="0"/>
              <w:snapToGrid w:val="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pacing w:val="30"/>
                <w:highlight w:val="none"/>
              </w:rPr>
              <w:t>业主单位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B87DA2">
            <w:pPr>
              <w:autoSpaceDE w:val="0"/>
              <w:autoSpaceDN w:val="0"/>
              <w:adjustRightInd w:val="0"/>
              <w:snapToGrid w:val="0"/>
              <w:jc w:val="center"/>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业主联系人和联系方式</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F9D645F">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pacing w:val="30"/>
                <w:highlight w:val="none"/>
              </w:rPr>
              <w:t>备注</w:t>
            </w:r>
          </w:p>
        </w:tc>
      </w:tr>
      <w:tr w14:paraId="6EC0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0A8EE188">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55368775">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4BECBDF">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589259BD">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2BEB17B0">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FDCDF0A">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17C5F708">
            <w:pPr>
              <w:snapToGrid w:val="0"/>
              <w:spacing w:before="120" w:beforeLines="50" w:after="50" w:line="460" w:lineRule="exact"/>
              <w:rPr>
                <w:rFonts w:hint="eastAsia" w:ascii="宋体" w:hAnsi="宋体" w:eastAsia="宋体" w:cs="宋体"/>
                <w:color w:val="auto"/>
                <w:szCs w:val="21"/>
                <w:highlight w:val="none"/>
              </w:rPr>
            </w:pPr>
          </w:p>
        </w:tc>
      </w:tr>
      <w:tr w14:paraId="76C99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10FF36E5">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7C7B068B">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400CAD5B">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2CABAFF7">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491C8167">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1780AC4">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3B07E340">
            <w:pPr>
              <w:snapToGrid w:val="0"/>
              <w:spacing w:before="120" w:beforeLines="50" w:after="50" w:line="460" w:lineRule="exact"/>
              <w:rPr>
                <w:rFonts w:hint="eastAsia" w:ascii="宋体" w:hAnsi="宋体" w:eastAsia="宋体" w:cs="宋体"/>
                <w:color w:val="auto"/>
                <w:szCs w:val="21"/>
                <w:highlight w:val="none"/>
              </w:rPr>
            </w:pPr>
          </w:p>
        </w:tc>
      </w:tr>
      <w:tr w14:paraId="2832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66BCC0F4">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56B0D7FA">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5B13641A">
            <w:pPr>
              <w:pStyle w:val="12"/>
              <w:snapToGrid w:val="0"/>
              <w:spacing w:before="120" w:beforeLines="50" w:after="50" w:line="460" w:lineRule="exact"/>
              <w:ind w:left="5250"/>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7FE4FD24">
            <w:pPr>
              <w:pStyle w:val="12"/>
              <w:snapToGrid w:val="0"/>
              <w:spacing w:before="120" w:beforeLines="50" w:after="50" w:line="460" w:lineRule="exact"/>
              <w:ind w:left="5250"/>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7F2FB491">
            <w:pPr>
              <w:pStyle w:val="12"/>
              <w:snapToGrid w:val="0"/>
              <w:spacing w:before="120" w:beforeLines="50" w:after="50" w:line="460" w:lineRule="exact"/>
              <w:ind w:left="5250"/>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A929D59">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45372D6C">
            <w:pPr>
              <w:snapToGrid w:val="0"/>
              <w:spacing w:before="120" w:beforeLines="50" w:after="50" w:line="460" w:lineRule="exact"/>
              <w:rPr>
                <w:rFonts w:hint="eastAsia" w:ascii="宋体" w:hAnsi="宋体" w:eastAsia="宋体" w:cs="宋体"/>
                <w:color w:val="auto"/>
                <w:szCs w:val="21"/>
                <w:highlight w:val="none"/>
              </w:rPr>
            </w:pPr>
          </w:p>
        </w:tc>
      </w:tr>
      <w:tr w14:paraId="607B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1A667756">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3026661F">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55575423">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4EBCDE67">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630B27DF">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1144F08">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502B040D">
            <w:pPr>
              <w:snapToGrid w:val="0"/>
              <w:spacing w:before="120" w:beforeLines="50" w:after="50" w:line="460" w:lineRule="exact"/>
              <w:rPr>
                <w:rFonts w:hint="eastAsia" w:ascii="宋体" w:hAnsi="宋体" w:eastAsia="宋体" w:cs="宋体"/>
                <w:color w:val="auto"/>
                <w:szCs w:val="21"/>
                <w:highlight w:val="none"/>
              </w:rPr>
            </w:pPr>
          </w:p>
        </w:tc>
      </w:tr>
      <w:tr w14:paraId="12BF2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500992C3">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144DFB30">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3F32888D">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4879DA2C">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29F3994E">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73133B1">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0BCB34F6">
            <w:pPr>
              <w:snapToGrid w:val="0"/>
              <w:spacing w:before="120" w:beforeLines="50" w:after="50" w:line="460" w:lineRule="exact"/>
              <w:rPr>
                <w:rFonts w:hint="eastAsia" w:ascii="宋体" w:hAnsi="宋体" w:eastAsia="宋体" w:cs="宋体"/>
                <w:color w:val="auto"/>
                <w:szCs w:val="21"/>
                <w:highlight w:val="none"/>
              </w:rPr>
            </w:pPr>
          </w:p>
        </w:tc>
      </w:tr>
      <w:tr w14:paraId="2F2ED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4C4B2BCF">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5A601F6C">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1B461DD6">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1FBE9CF6">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515CB38F">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D2693A5">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7D7FAB7F">
            <w:pPr>
              <w:snapToGrid w:val="0"/>
              <w:spacing w:before="120" w:beforeLines="50" w:after="50" w:line="460" w:lineRule="exact"/>
              <w:rPr>
                <w:rFonts w:hint="eastAsia" w:ascii="宋体" w:hAnsi="宋体" w:eastAsia="宋体" w:cs="宋体"/>
                <w:color w:val="auto"/>
                <w:szCs w:val="21"/>
                <w:highlight w:val="none"/>
              </w:rPr>
            </w:pPr>
          </w:p>
        </w:tc>
      </w:tr>
      <w:tr w14:paraId="48C8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4D88EC98">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5C2BDFBD">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20285780">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1CD4CAC">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7BE50EFA">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F1C3951">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74F4FB97">
            <w:pPr>
              <w:snapToGrid w:val="0"/>
              <w:spacing w:before="120" w:beforeLines="50" w:after="50" w:line="460" w:lineRule="exact"/>
              <w:rPr>
                <w:rFonts w:hint="eastAsia" w:ascii="宋体" w:hAnsi="宋体" w:eastAsia="宋体" w:cs="宋体"/>
                <w:color w:val="auto"/>
                <w:szCs w:val="21"/>
                <w:highlight w:val="none"/>
              </w:rPr>
            </w:pPr>
          </w:p>
        </w:tc>
      </w:tr>
      <w:tr w14:paraId="54ACB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679DF0DD">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1C29D22D">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2A70480A">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607438FA">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695F0C5C">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B463B96">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5643B8A7">
            <w:pPr>
              <w:snapToGrid w:val="0"/>
              <w:spacing w:before="120" w:beforeLines="50" w:after="50" w:line="460" w:lineRule="exact"/>
              <w:rPr>
                <w:rFonts w:hint="eastAsia" w:ascii="宋体" w:hAnsi="宋体" w:eastAsia="宋体" w:cs="宋体"/>
                <w:color w:val="auto"/>
                <w:szCs w:val="21"/>
                <w:highlight w:val="none"/>
              </w:rPr>
            </w:pPr>
          </w:p>
        </w:tc>
      </w:tr>
      <w:tr w14:paraId="37D43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14:paraId="39895F3E">
            <w:pPr>
              <w:snapToGrid w:val="0"/>
              <w:spacing w:before="120" w:beforeLines="50" w:after="50" w:line="460" w:lineRule="exact"/>
              <w:rPr>
                <w:rFonts w:hint="eastAsia" w:ascii="宋体" w:hAnsi="宋体" w:eastAsia="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14:paraId="33B1C65A">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6557F21">
            <w:pPr>
              <w:snapToGrid w:val="0"/>
              <w:spacing w:before="120" w:beforeLines="50" w:after="50" w:line="460" w:lineRule="exact"/>
              <w:rPr>
                <w:rFonts w:hint="eastAsia" w:ascii="宋体" w:hAnsi="宋体" w:eastAsia="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14:paraId="0E3E34EF">
            <w:pPr>
              <w:snapToGrid w:val="0"/>
              <w:spacing w:before="120" w:beforeLines="50" w:after="50" w:line="460" w:lineRule="exact"/>
              <w:rPr>
                <w:rFonts w:hint="eastAsia" w:ascii="宋体" w:hAnsi="宋体" w:eastAsia="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0A34D3D3">
            <w:pPr>
              <w:snapToGrid w:val="0"/>
              <w:spacing w:before="120" w:beforeLines="50" w:after="50" w:line="460" w:lineRule="exact"/>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6A661BB">
            <w:pPr>
              <w:snapToGrid w:val="0"/>
              <w:spacing w:before="120" w:beforeLines="50" w:after="50" w:line="460" w:lineRule="exact"/>
              <w:rPr>
                <w:rFonts w:hint="eastAsia"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14:paraId="19E1852C">
            <w:pPr>
              <w:snapToGrid w:val="0"/>
              <w:spacing w:before="120" w:beforeLines="50" w:after="50" w:line="460" w:lineRule="exact"/>
              <w:rPr>
                <w:rFonts w:hint="eastAsia" w:ascii="宋体" w:hAnsi="宋体" w:eastAsia="宋体" w:cs="宋体"/>
                <w:color w:val="auto"/>
                <w:szCs w:val="21"/>
                <w:highlight w:val="none"/>
              </w:rPr>
            </w:pPr>
          </w:p>
        </w:tc>
      </w:tr>
    </w:tbl>
    <w:p w14:paraId="03274B9F">
      <w:pPr>
        <w:tabs>
          <w:tab w:val="left" w:pos="744"/>
        </w:tabs>
        <w:spacing w:line="400" w:lineRule="exact"/>
        <w:ind w:firstLine="308" w:firstLineChars="147"/>
        <w:rPr>
          <w:rFonts w:hint="eastAsia" w:ascii="宋体" w:hAnsi="宋体" w:eastAsia="宋体" w:cs="宋体"/>
          <w:color w:val="auto"/>
          <w:highlight w:val="none"/>
        </w:rPr>
      </w:pPr>
      <w:r>
        <w:rPr>
          <w:rFonts w:hint="eastAsia" w:ascii="宋体" w:hAnsi="宋体" w:eastAsia="宋体" w:cs="宋体"/>
          <w:color w:val="auto"/>
          <w:highlight w:val="none"/>
        </w:rPr>
        <w:t>注：表中所列业绩如与评分有关的，出具的证明材料需满足评审依据，否则不予得分。</w:t>
      </w:r>
    </w:p>
    <w:p w14:paraId="1688A5C9">
      <w:pPr>
        <w:tabs>
          <w:tab w:val="left" w:pos="744"/>
        </w:tabs>
        <w:spacing w:line="400" w:lineRule="exact"/>
        <w:ind w:firstLine="308" w:firstLineChars="147"/>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CDB95D4">
      <w:pPr>
        <w:rPr>
          <w:rFonts w:hint="eastAsia" w:ascii="宋体" w:hAnsi="宋体" w:eastAsia="宋体" w:cs="宋体"/>
          <w:color w:val="auto"/>
          <w:highlight w:val="none"/>
        </w:rPr>
      </w:pPr>
    </w:p>
    <w:p w14:paraId="5B9EE528">
      <w:pPr>
        <w:rPr>
          <w:rFonts w:hint="eastAsia" w:ascii="宋体" w:hAnsi="宋体" w:eastAsia="宋体" w:cs="宋体"/>
          <w:color w:val="auto"/>
          <w:highlight w:val="none"/>
        </w:rPr>
      </w:pPr>
    </w:p>
    <w:p w14:paraId="66B97174">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76401544">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4AF199B1">
      <w:pPr>
        <w:autoSpaceDE w:val="0"/>
        <w:autoSpaceDN w:val="0"/>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bCs/>
          <w:color w:val="auto"/>
          <w:szCs w:val="21"/>
          <w:highlight w:val="none"/>
        </w:rPr>
        <w:t>3.10 商务条款偏离表</w:t>
      </w:r>
    </w:p>
    <w:p w14:paraId="64501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14:paraId="1B36AA44">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06423735">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14:paraId="32DA0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14:paraId="4F8F6DC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14:paraId="05383BE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14:paraId="7A92032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14:paraId="05858D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05B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0945B1C">
            <w:pPr>
              <w:widowControl/>
              <w:jc w:val="lef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5CF336C9">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527551AB">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36AD6BE7">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2CBB3A4D">
            <w:pPr>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856720A">
            <w:pPr>
              <w:widowControl/>
              <w:jc w:val="left"/>
              <w:rPr>
                <w:rFonts w:hint="eastAsia" w:ascii="宋体" w:hAnsi="宋体" w:eastAsia="宋体" w:cs="宋体"/>
                <w:color w:val="auto"/>
                <w:szCs w:val="21"/>
                <w:highlight w:val="none"/>
              </w:rPr>
            </w:pPr>
          </w:p>
        </w:tc>
      </w:tr>
      <w:tr w14:paraId="73DA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5E2AB992">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CCB63E1">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80D3269">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30DE1433">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D9AF383">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1B96BB5B">
            <w:pPr>
              <w:spacing w:line="360" w:lineRule="atLeast"/>
              <w:rPr>
                <w:rFonts w:hint="eastAsia" w:ascii="宋体" w:hAnsi="宋体" w:eastAsia="宋体" w:cs="宋体"/>
                <w:color w:val="auto"/>
                <w:szCs w:val="21"/>
                <w:highlight w:val="none"/>
              </w:rPr>
            </w:pPr>
          </w:p>
        </w:tc>
      </w:tr>
      <w:tr w14:paraId="50E2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340B895F">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418C9AB">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46B9E46">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9A3322D">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0B68EDE">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44778DD5">
            <w:pPr>
              <w:spacing w:line="360" w:lineRule="atLeast"/>
              <w:rPr>
                <w:rFonts w:hint="eastAsia" w:ascii="宋体" w:hAnsi="宋体" w:eastAsia="宋体" w:cs="宋体"/>
                <w:color w:val="auto"/>
                <w:szCs w:val="21"/>
                <w:highlight w:val="none"/>
              </w:rPr>
            </w:pPr>
          </w:p>
        </w:tc>
      </w:tr>
      <w:tr w14:paraId="4515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50B3B0FB">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A62A9BC">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3636A38">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1E43BA27">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1288478">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22F7DE6C">
            <w:pPr>
              <w:spacing w:line="360" w:lineRule="atLeast"/>
              <w:rPr>
                <w:rFonts w:hint="eastAsia" w:ascii="宋体" w:hAnsi="宋体" w:eastAsia="宋体" w:cs="宋体"/>
                <w:color w:val="auto"/>
                <w:szCs w:val="21"/>
                <w:highlight w:val="none"/>
              </w:rPr>
            </w:pPr>
          </w:p>
        </w:tc>
      </w:tr>
      <w:tr w14:paraId="280B1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02B38375">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29C5A4B">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34D09B22">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DEC9023">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17CB3F39">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343ACA7C">
            <w:pPr>
              <w:spacing w:line="360" w:lineRule="atLeast"/>
              <w:rPr>
                <w:rFonts w:hint="eastAsia" w:ascii="宋体" w:hAnsi="宋体" w:eastAsia="宋体" w:cs="宋体"/>
                <w:color w:val="auto"/>
                <w:szCs w:val="21"/>
                <w:highlight w:val="none"/>
              </w:rPr>
            </w:pPr>
          </w:p>
        </w:tc>
      </w:tr>
      <w:tr w14:paraId="3971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24091C2E">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F899847">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852CB4F">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97EF0E7">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746E8E7">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1D729D6E">
            <w:pPr>
              <w:spacing w:line="360" w:lineRule="atLeast"/>
              <w:rPr>
                <w:rFonts w:hint="eastAsia" w:ascii="宋体" w:hAnsi="宋体" w:eastAsia="宋体" w:cs="宋体"/>
                <w:color w:val="auto"/>
                <w:szCs w:val="21"/>
                <w:highlight w:val="none"/>
              </w:rPr>
            </w:pPr>
          </w:p>
        </w:tc>
      </w:tr>
      <w:tr w14:paraId="6E962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02EF4EE0">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83F1EB3">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6F9EA033">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55076804">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4ABB1DE">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040CE32B">
            <w:pPr>
              <w:spacing w:line="360" w:lineRule="atLeast"/>
              <w:rPr>
                <w:rFonts w:hint="eastAsia" w:ascii="宋体" w:hAnsi="宋体" w:eastAsia="宋体" w:cs="宋体"/>
                <w:color w:val="auto"/>
                <w:szCs w:val="21"/>
                <w:highlight w:val="none"/>
              </w:rPr>
            </w:pPr>
          </w:p>
        </w:tc>
      </w:tr>
      <w:tr w14:paraId="0BDD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088822CC">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272B682">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31236C4">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F846FB9">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AE37ED6">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53DE5272">
            <w:pPr>
              <w:spacing w:line="360" w:lineRule="atLeast"/>
              <w:rPr>
                <w:rFonts w:hint="eastAsia" w:ascii="宋体" w:hAnsi="宋体" w:eastAsia="宋体" w:cs="宋体"/>
                <w:color w:val="auto"/>
                <w:szCs w:val="21"/>
                <w:highlight w:val="none"/>
              </w:rPr>
            </w:pPr>
          </w:p>
        </w:tc>
      </w:tr>
      <w:tr w14:paraId="761B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26663B21">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3FB5E71B">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5ACC60F">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242E3231">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7853FE31">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4CC6B545">
            <w:pPr>
              <w:spacing w:line="360" w:lineRule="atLeast"/>
              <w:rPr>
                <w:rFonts w:hint="eastAsia" w:ascii="宋体" w:hAnsi="宋体" w:eastAsia="宋体" w:cs="宋体"/>
                <w:color w:val="auto"/>
                <w:szCs w:val="21"/>
                <w:highlight w:val="none"/>
              </w:rPr>
            </w:pPr>
          </w:p>
        </w:tc>
      </w:tr>
      <w:tr w14:paraId="610E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14:paraId="5D63203D">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0400B6C5">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5BF92762">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50EEC417">
            <w:pPr>
              <w:spacing w:line="360" w:lineRule="atLeast"/>
              <w:rPr>
                <w:rFonts w:hint="eastAsia" w:ascii="宋体" w:hAnsi="宋体" w:eastAsia="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14:paraId="42BDE551">
            <w:pPr>
              <w:spacing w:line="360" w:lineRule="atLeast"/>
              <w:rPr>
                <w:rFonts w:hint="eastAsia" w:ascii="宋体" w:hAnsi="宋体" w:eastAsia="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14:paraId="1E21C7BD">
            <w:pPr>
              <w:spacing w:line="360" w:lineRule="atLeast"/>
              <w:rPr>
                <w:rFonts w:hint="eastAsia" w:ascii="宋体" w:hAnsi="宋体" w:eastAsia="宋体" w:cs="宋体"/>
                <w:color w:val="auto"/>
                <w:szCs w:val="21"/>
                <w:highlight w:val="none"/>
              </w:rPr>
            </w:pPr>
          </w:p>
        </w:tc>
      </w:tr>
    </w:tbl>
    <w:p w14:paraId="7D6A7E64">
      <w:pPr>
        <w:spacing w:line="360" w:lineRule="atLeas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若不填写或只填写“无”视作完全响应采购文件的要求。</w:t>
      </w:r>
    </w:p>
    <w:p w14:paraId="17A49F96">
      <w:pPr>
        <w:spacing w:line="360" w:lineRule="atLeast"/>
        <w:rPr>
          <w:rFonts w:hint="eastAsia" w:ascii="宋体" w:hAnsi="宋体" w:eastAsia="宋体" w:cs="宋体"/>
          <w:color w:val="auto"/>
          <w:highlight w:val="none"/>
        </w:rPr>
      </w:pPr>
      <w:r>
        <w:rPr>
          <w:rFonts w:hint="eastAsia" w:ascii="宋体" w:hAnsi="宋体" w:eastAsia="宋体" w:cs="宋体"/>
          <w:color w:val="auto"/>
          <w:highlight w:val="none"/>
        </w:rPr>
        <w:t>2.投标人须保证：除商务偏离表列出的偏离外，投标人响应招标文件的全部非实质性要求。</w:t>
      </w:r>
    </w:p>
    <w:p w14:paraId="66A43811">
      <w:pPr>
        <w:spacing w:line="360" w:lineRule="atLeast"/>
        <w:rPr>
          <w:rFonts w:hint="eastAsia" w:ascii="宋体" w:hAnsi="宋体" w:eastAsia="宋体" w:cs="宋体"/>
          <w:color w:val="auto"/>
          <w:highlight w:val="none"/>
        </w:rPr>
      </w:pPr>
      <w:r>
        <w:rPr>
          <w:rFonts w:hint="eastAsia" w:ascii="宋体" w:hAnsi="宋体" w:eastAsia="宋体" w:cs="宋体"/>
          <w:color w:val="auto"/>
          <w:highlight w:val="none"/>
        </w:rPr>
        <w:t>3.本表格所反映的偏离情况与“符合性审查资料”、“评标标准相应的商务技术资料”不一致的，以“符合性审查资料”、“评标标准相应的商务技术资料”为准。</w:t>
      </w:r>
    </w:p>
    <w:p w14:paraId="4A80C4E4">
      <w:pPr>
        <w:spacing w:line="360" w:lineRule="atLeast"/>
        <w:rPr>
          <w:rFonts w:hint="eastAsia" w:ascii="宋体" w:hAnsi="宋体" w:eastAsia="宋体" w:cs="宋体"/>
          <w:color w:val="auto"/>
          <w:highlight w:val="none"/>
        </w:rPr>
      </w:pPr>
    </w:p>
    <w:p w14:paraId="3D83373C">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365DF9FF">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0ACB81FC">
      <w:pPr>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3.11技术响应表</w:t>
      </w:r>
    </w:p>
    <w:p w14:paraId="18BC5C7F">
      <w:pPr>
        <w:spacing w:before="120" w:beforeLines="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技术响应表</w:t>
      </w:r>
    </w:p>
    <w:p w14:paraId="614C3F04">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363B07D8">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0" w:type="dxa"/>
        <w:tblLayout w:type="fixed"/>
        <w:tblCellMar>
          <w:top w:w="0" w:type="dxa"/>
          <w:left w:w="108" w:type="dxa"/>
          <w:bottom w:w="0" w:type="dxa"/>
          <w:right w:w="108" w:type="dxa"/>
        </w:tblCellMar>
      </w:tblPr>
      <w:tblGrid>
        <w:gridCol w:w="648"/>
        <w:gridCol w:w="3374"/>
        <w:gridCol w:w="3670"/>
        <w:gridCol w:w="1393"/>
      </w:tblGrid>
      <w:tr w14:paraId="60CC7EF4">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BBDD82E">
            <w:pPr>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序号</w:t>
            </w:r>
          </w:p>
        </w:tc>
        <w:tc>
          <w:tcPr>
            <w:tcW w:w="3374" w:type="dxa"/>
            <w:tcBorders>
              <w:top w:val="single" w:color="auto" w:sz="4" w:space="0"/>
              <w:left w:val="nil"/>
              <w:bottom w:val="single" w:color="auto" w:sz="4" w:space="0"/>
              <w:right w:val="single" w:color="auto" w:sz="4" w:space="0"/>
            </w:tcBorders>
            <w:noWrap w:val="0"/>
            <w:vAlign w:val="center"/>
          </w:tcPr>
          <w:p w14:paraId="44D95686">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采购文件技术要求</w:t>
            </w:r>
          </w:p>
        </w:tc>
        <w:tc>
          <w:tcPr>
            <w:tcW w:w="3670" w:type="dxa"/>
            <w:tcBorders>
              <w:top w:val="single" w:color="auto" w:sz="4" w:space="0"/>
              <w:left w:val="nil"/>
              <w:bottom w:val="nil"/>
              <w:right w:val="single" w:color="auto" w:sz="4" w:space="0"/>
            </w:tcBorders>
            <w:noWrap w:val="0"/>
            <w:vAlign w:val="center"/>
          </w:tcPr>
          <w:p w14:paraId="66E00942">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投标响应技术服务参数</w:t>
            </w:r>
          </w:p>
        </w:tc>
        <w:tc>
          <w:tcPr>
            <w:tcW w:w="1393" w:type="dxa"/>
            <w:tcBorders>
              <w:top w:val="single" w:color="auto" w:sz="4" w:space="0"/>
              <w:left w:val="nil"/>
              <w:bottom w:val="nil"/>
              <w:right w:val="single" w:color="auto" w:sz="4" w:space="0"/>
            </w:tcBorders>
            <w:noWrap w:val="0"/>
            <w:vAlign w:val="center"/>
          </w:tcPr>
          <w:p w14:paraId="0049D2B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是否符合</w:t>
            </w:r>
          </w:p>
        </w:tc>
      </w:tr>
      <w:tr w14:paraId="1CFAFE06">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A377EC3">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05F17D3D">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3456B5FD">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5FCA8243">
            <w:pPr>
              <w:adjustRightInd w:val="0"/>
              <w:spacing w:line="360" w:lineRule="auto"/>
              <w:jc w:val="center"/>
              <w:rPr>
                <w:rFonts w:hint="eastAsia" w:ascii="宋体" w:hAnsi="宋体" w:eastAsia="宋体" w:cs="宋体"/>
                <w:color w:val="auto"/>
                <w:szCs w:val="21"/>
                <w:highlight w:val="none"/>
              </w:rPr>
            </w:pPr>
          </w:p>
        </w:tc>
      </w:tr>
      <w:tr w14:paraId="300EE8A7">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0B4CE43">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2FB1182C">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248B6871">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00B88E41">
            <w:pPr>
              <w:adjustRightInd w:val="0"/>
              <w:spacing w:line="360" w:lineRule="auto"/>
              <w:jc w:val="center"/>
              <w:rPr>
                <w:rFonts w:hint="eastAsia" w:ascii="宋体" w:hAnsi="宋体" w:eastAsia="宋体" w:cs="宋体"/>
                <w:color w:val="auto"/>
                <w:szCs w:val="21"/>
                <w:highlight w:val="none"/>
              </w:rPr>
            </w:pPr>
          </w:p>
        </w:tc>
      </w:tr>
      <w:tr w14:paraId="19B1C468">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E1F11EA">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60816E5E">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046AC462">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5FF8A824">
            <w:pPr>
              <w:adjustRightInd w:val="0"/>
              <w:spacing w:line="360" w:lineRule="auto"/>
              <w:jc w:val="center"/>
              <w:rPr>
                <w:rFonts w:hint="eastAsia" w:ascii="宋体" w:hAnsi="宋体" w:eastAsia="宋体" w:cs="宋体"/>
                <w:color w:val="auto"/>
                <w:szCs w:val="21"/>
                <w:highlight w:val="none"/>
              </w:rPr>
            </w:pPr>
          </w:p>
        </w:tc>
      </w:tr>
      <w:tr w14:paraId="31E87906">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DD03D49">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495462F8">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59B38D59">
            <w:pPr>
              <w:adjustRightInd w:val="0"/>
              <w:spacing w:line="360" w:lineRule="auto"/>
              <w:jc w:val="center"/>
              <w:rPr>
                <w:rFonts w:hint="eastAsia" w:ascii="宋体" w:hAnsi="宋体" w:eastAsia="宋体" w:cs="宋体"/>
                <w:color w:val="auto"/>
                <w:sz w:val="8"/>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6ED689F8">
            <w:pPr>
              <w:adjustRightInd w:val="0"/>
              <w:spacing w:line="360" w:lineRule="auto"/>
              <w:jc w:val="center"/>
              <w:rPr>
                <w:rFonts w:hint="eastAsia" w:ascii="宋体" w:hAnsi="宋体" w:eastAsia="宋体" w:cs="宋体"/>
                <w:color w:val="auto"/>
                <w:sz w:val="8"/>
                <w:szCs w:val="21"/>
                <w:highlight w:val="none"/>
              </w:rPr>
            </w:pPr>
          </w:p>
        </w:tc>
      </w:tr>
      <w:tr w14:paraId="05242D68">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9DED4F9">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7E2E48B7">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1DE6E7A3">
            <w:pPr>
              <w:adjustRightInd w:val="0"/>
              <w:spacing w:line="360" w:lineRule="auto"/>
              <w:jc w:val="center"/>
              <w:rPr>
                <w:rFonts w:hint="eastAsia" w:ascii="宋体" w:hAnsi="宋体" w:eastAsia="宋体" w:cs="宋体"/>
                <w:color w:val="auto"/>
                <w:sz w:val="8"/>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1B1EB997">
            <w:pPr>
              <w:adjustRightInd w:val="0"/>
              <w:spacing w:line="360" w:lineRule="auto"/>
              <w:jc w:val="center"/>
              <w:rPr>
                <w:rFonts w:hint="eastAsia" w:ascii="宋体" w:hAnsi="宋体" w:eastAsia="宋体" w:cs="宋体"/>
                <w:color w:val="auto"/>
                <w:sz w:val="8"/>
                <w:szCs w:val="21"/>
                <w:highlight w:val="none"/>
              </w:rPr>
            </w:pPr>
          </w:p>
        </w:tc>
      </w:tr>
      <w:tr w14:paraId="789241D1">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B0F6A7C">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32F21272">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6A1A33EE">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29724A34">
            <w:pPr>
              <w:adjustRightInd w:val="0"/>
              <w:spacing w:line="360" w:lineRule="auto"/>
              <w:jc w:val="center"/>
              <w:rPr>
                <w:rFonts w:hint="eastAsia" w:ascii="宋体" w:hAnsi="宋体" w:eastAsia="宋体" w:cs="宋体"/>
                <w:color w:val="auto"/>
                <w:szCs w:val="21"/>
                <w:highlight w:val="none"/>
              </w:rPr>
            </w:pPr>
          </w:p>
        </w:tc>
      </w:tr>
      <w:tr w14:paraId="59A869E5">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031B728">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28C3D7B0">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1A2AA39B">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34975DDC">
            <w:pPr>
              <w:adjustRightInd w:val="0"/>
              <w:spacing w:line="360" w:lineRule="auto"/>
              <w:jc w:val="center"/>
              <w:rPr>
                <w:rFonts w:hint="eastAsia" w:ascii="宋体" w:hAnsi="宋体" w:eastAsia="宋体" w:cs="宋体"/>
                <w:color w:val="auto"/>
                <w:szCs w:val="21"/>
                <w:highlight w:val="none"/>
              </w:rPr>
            </w:pPr>
          </w:p>
        </w:tc>
      </w:tr>
      <w:tr w14:paraId="638E2F55">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45FB0BF">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17F57FC4">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4CE2F236">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20FDE688">
            <w:pPr>
              <w:adjustRightInd w:val="0"/>
              <w:spacing w:line="360" w:lineRule="auto"/>
              <w:jc w:val="center"/>
              <w:rPr>
                <w:rFonts w:hint="eastAsia" w:ascii="宋体" w:hAnsi="宋体" w:eastAsia="宋体" w:cs="宋体"/>
                <w:color w:val="auto"/>
                <w:szCs w:val="21"/>
                <w:highlight w:val="none"/>
              </w:rPr>
            </w:pPr>
          </w:p>
        </w:tc>
      </w:tr>
      <w:tr w14:paraId="732BA19B">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D07F32A">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02D8251F">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6C19A357">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0602C4B8">
            <w:pPr>
              <w:adjustRightInd w:val="0"/>
              <w:spacing w:line="360" w:lineRule="auto"/>
              <w:jc w:val="center"/>
              <w:rPr>
                <w:rFonts w:hint="eastAsia" w:ascii="宋体" w:hAnsi="宋体" w:eastAsia="宋体" w:cs="宋体"/>
                <w:color w:val="auto"/>
                <w:szCs w:val="21"/>
                <w:highlight w:val="none"/>
              </w:rPr>
            </w:pPr>
          </w:p>
        </w:tc>
      </w:tr>
      <w:tr w14:paraId="4918DD05">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16FBB1A">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077591FA">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690D0487">
            <w:pPr>
              <w:adjustRightInd w:val="0"/>
              <w:spacing w:line="360" w:lineRule="auto"/>
              <w:ind w:firstLine="1890" w:firstLineChars="900"/>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1C376B47">
            <w:pPr>
              <w:adjustRightInd w:val="0"/>
              <w:spacing w:line="360" w:lineRule="auto"/>
              <w:ind w:firstLine="1890" w:firstLineChars="900"/>
              <w:rPr>
                <w:rFonts w:hint="eastAsia" w:ascii="宋体" w:hAnsi="宋体" w:eastAsia="宋体" w:cs="宋体"/>
                <w:color w:val="auto"/>
                <w:szCs w:val="21"/>
                <w:highlight w:val="none"/>
              </w:rPr>
            </w:pPr>
          </w:p>
        </w:tc>
      </w:tr>
      <w:tr w14:paraId="45B84ECC">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A08114A">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1ED91EB8">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2DC74CB0">
            <w:pPr>
              <w:adjustRightInd w:val="0"/>
              <w:spacing w:line="360" w:lineRule="auto"/>
              <w:ind w:firstLine="1890" w:firstLineChars="900"/>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00A974F9">
            <w:pPr>
              <w:adjustRightInd w:val="0"/>
              <w:spacing w:line="360" w:lineRule="auto"/>
              <w:ind w:firstLine="1890" w:firstLineChars="900"/>
              <w:rPr>
                <w:rFonts w:hint="eastAsia" w:ascii="宋体" w:hAnsi="宋体" w:eastAsia="宋体" w:cs="宋体"/>
                <w:color w:val="auto"/>
                <w:szCs w:val="21"/>
                <w:highlight w:val="none"/>
              </w:rPr>
            </w:pPr>
          </w:p>
        </w:tc>
      </w:tr>
      <w:tr w14:paraId="15DADF50">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C53831D">
            <w:pPr>
              <w:adjustRightInd w:val="0"/>
              <w:jc w:val="center"/>
              <w:rPr>
                <w:rFonts w:hint="eastAsia" w:ascii="宋体" w:hAnsi="宋体" w:eastAsia="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14:paraId="65DD2E57">
            <w:pPr>
              <w:adjustRightInd w:val="0"/>
              <w:jc w:val="center"/>
              <w:rPr>
                <w:rFonts w:hint="eastAsia" w:ascii="宋体" w:hAnsi="宋体" w:eastAsia="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14:paraId="34ACA086">
            <w:pPr>
              <w:adjustRightInd w:val="0"/>
              <w:spacing w:line="360" w:lineRule="auto"/>
              <w:jc w:val="center"/>
              <w:rPr>
                <w:rFonts w:hint="eastAsia" w:ascii="宋体" w:hAnsi="宋体" w:eastAsia="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14:paraId="42F97ABF">
            <w:pPr>
              <w:adjustRightInd w:val="0"/>
              <w:spacing w:line="360" w:lineRule="auto"/>
              <w:jc w:val="center"/>
              <w:rPr>
                <w:rFonts w:hint="eastAsia" w:ascii="宋体" w:hAnsi="宋体" w:eastAsia="宋体" w:cs="宋体"/>
                <w:color w:val="auto"/>
                <w:szCs w:val="21"/>
                <w:highlight w:val="none"/>
              </w:rPr>
            </w:pPr>
          </w:p>
        </w:tc>
      </w:tr>
    </w:tbl>
    <w:p w14:paraId="02109E57">
      <w:pPr>
        <w:spacing w:line="360" w:lineRule="atLeas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投标人须保证：除</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偏离表列出的偏离外，投标人响应招标文件的全部非实质性要求。</w:t>
      </w:r>
    </w:p>
    <w:p w14:paraId="412F2711">
      <w:pPr>
        <w:spacing w:line="36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2973D4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B9E197E">
      <w:pPr>
        <w:spacing w:line="360" w:lineRule="atLeast"/>
        <w:rPr>
          <w:rFonts w:hint="eastAsia" w:ascii="宋体" w:hAnsi="宋体" w:eastAsia="宋体" w:cs="宋体"/>
          <w:color w:val="auto"/>
          <w:highlight w:val="none"/>
        </w:rPr>
      </w:pPr>
    </w:p>
    <w:p w14:paraId="05E81AFF">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3A2B32F3">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2DC24868">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Cs w:val="21"/>
          <w:highlight w:val="none"/>
        </w:rPr>
        <w:t>3.12</w:t>
      </w:r>
      <w:r>
        <w:rPr>
          <w:rFonts w:hint="eastAsia" w:ascii="宋体" w:hAnsi="宋体" w:eastAsia="宋体" w:cs="宋体"/>
          <w:b/>
          <w:snapToGrid w:val="0"/>
          <w:color w:val="auto"/>
          <w:kern w:val="0"/>
          <w:szCs w:val="21"/>
          <w:highlight w:val="none"/>
        </w:rPr>
        <w:t>项目服务人员配备情况表</w:t>
      </w:r>
    </w:p>
    <w:p w14:paraId="4FCA5123">
      <w:pPr>
        <w:pStyle w:val="10"/>
        <w:snapToGrid w:val="0"/>
        <w:spacing w:line="360" w:lineRule="auto"/>
        <w:jc w:val="center"/>
        <w:rPr>
          <w:rFonts w:hint="eastAsia" w:ascii="宋体" w:hAnsi="宋体" w:eastAsia="宋体" w:cs="宋体"/>
          <w:b/>
          <w:snapToGrid w:val="0"/>
          <w:color w:val="auto"/>
          <w:kern w:val="0"/>
          <w:sz w:val="32"/>
          <w:szCs w:val="32"/>
          <w:highlight w:val="none"/>
        </w:rPr>
      </w:pPr>
    </w:p>
    <w:p w14:paraId="5316CC20">
      <w:pPr>
        <w:pStyle w:val="1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（1）拟派项目服务人员配备情况表</w:t>
      </w:r>
    </w:p>
    <w:p w14:paraId="13785884">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7BD6559E">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72A56D0C">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14:paraId="7FA3DA3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14:paraId="41A5B85E">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14:paraId="7365DC66">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14:paraId="4C1FF153">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27D611C3">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524BE8D7">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7E512416">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14:paraId="2B81B1DA">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14:paraId="3F02946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78CD31">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4BC35D45">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14:paraId="74CAB226">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14:paraId="18448592">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14:paraId="43972332">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6517FF16">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7DAF3D93">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419643EE">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14:paraId="6810C806">
            <w:pPr>
              <w:autoSpaceDE w:val="0"/>
              <w:autoSpaceDN w:val="0"/>
              <w:adjustRightInd w:val="0"/>
              <w:ind w:left="5250"/>
              <w:rPr>
                <w:rFonts w:hint="eastAsia" w:ascii="宋体" w:hAnsi="宋体" w:eastAsia="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1A13B8F3">
            <w:pPr>
              <w:autoSpaceDE w:val="0"/>
              <w:autoSpaceDN w:val="0"/>
              <w:adjustRightInd w:val="0"/>
              <w:rPr>
                <w:rFonts w:hint="eastAsia" w:ascii="宋体" w:hAnsi="宋体" w:eastAsia="宋体" w:cs="宋体"/>
                <w:color w:val="auto"/>
                <w:szCs w:val="21"/>
                <w:highlight w:val="none"/>
              </w:rPr>
            </w:pPr>
          </w:p>
        </w:tc>
      </w:tr>
      <w:tr w14:paraId="3318207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1F01452">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28971C2">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9F46C77">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E63736F">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9E2BDE2">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8BB57F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749E35F">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FD5AB87">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C449141">
            <w:pPr>
              <w:autoSpaceDE w:val="0"/>
              <w:autoSpaceDN w:val="0"/>
              <w:adjustRightInd w:val="0"/>
              <w:ind w:left="5250"/>
              <w:rPr>
                <w:rFonts w:hint="eastAsia" w:ascii="宋体" w:hAnsi="宋体" w:eastAsia="宋体" w:cs="宋体"/>
                <w:color w:val="auto"/>
                <w:szCs w:val="21"/>
                <w:highlight w:val="none"/>
              </w:rPr>
            </w:pPr>
          </w:p>
        </w:tc>
      </w:tr>
      <w:tr w14:paraId="04D4542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6E5DD3E">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43A8F33">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FFB50F9">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6A33A29">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9F83C77">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54D64F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4C0E6C9">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5A668A4">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22CEFE3">
            <w:pPr>
              <w:autoSpaceDE w:val="0"/>
              <w:autoSpaceDN w:val="0"/>
              <w:adjustRightInd w:val="0"/>
              <w:rPr>
                <w:rFonts w:hint="eastAsia" w:ascii="宋体" w:hAnsi="宋体" w:eastAsia="宋体" w:cs="宋体"/>
                <w:color w:val="auto"/>
                <w:szCs w:val="21"/>
                <w:highlight w:val="none"/>
              </w:rPr>
            </w:pPr>
          </w:p>
        </w:tc>
      </w:tr>
      <w:tr w14:paraId="7370B64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CF6022E">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1B6B8847">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BE5C5DE">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31C286F">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A8B8230">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0457539">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AF33A33">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9847D89">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AC92A48">
            <w:pPr>
              <w:autoSpaceDE w:val="0"/>
              <w:autoSpaceDN w:val="0"/>
              <w:adjustRightInd w:val="0"/>
              <w:rPr>
                <w:rFonts w:hint="eastAsia" w:ascii="宋体" w:hAnsi="宋体" w:eastAsia="宋体" w:cs="宋体"/>
                <w:color w:val="auto"/>
                <w:szCs w:val="21"/>
                <w:highlight w:val="none"/>
              </w:rPr>
            </w:pPr>
          </w:p>
        </w:tc>
      </w:tr>
      <w:tr w14:paraId="28BB828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2666F93">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CDA9060">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666467E">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420CBA2">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C7018ED">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5AD320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AC07DF9">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D5F88DC">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45650D8">
            <w:pPr>
              <w:autoSpaceDE w:val="0"/>
              <w:autoSpaceDN w:val="0"/>
              <w:adjustRightInd w:val="0"/>
              <w:rPr>
                <w:rFonts w:hint="eastAsia" w:ascii="宋体" w:hAnsi="宋体" w:eastAsia="宋体" w:cs="宋体"/>
                <w:color w:val="auto"/>
                <w:szCs w:val="21"/>
                <w:highlight w:val="none"/>
              </w:rPr>
            </w:pPr>
          </w:p>
        </w:tc>
      </w:tr>
      <w:tr w14:paraId="6438428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DFF6743">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2CB8C76">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E846E12">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9025F8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6FF2AA">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B2F64BC">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7B8A1E6">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59A55139">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2491656">
            <w:pPr>
              <w:autoSpaceDE w:val="0"/>
              <w:autoSpaceDN w:val="0"/>
              <w:adjustRightInd w:val="0"/>
              <w:rPr>
                <w:rFonts w:hint="eastAsia" w:ascii="宋体" w:hAnsi="宋体" w:eastAsia="宋体" w:cs="宋体"/>
                <w:color w:val="auto"/>
                <w:szCs w:val="21"/>
                <w:highlight w:val="none"/>
              </w:rPr>
            </w:pPr>
          </w:p>
        </w:tc>
      </w:tr>
      <w:tr w14:paraId="483EF42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055932B">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FF04B7A">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6677851">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03B343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CD65F7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CF2CBEA">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3A3AFAA">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1C444DE2">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8969B36">
            <w:pPr>
              <w:autoSpaceDE w:val="0"/>
              <w:autoSpaceDN w:val="0"/>
              <w:adjustRightInd w:val="0"/>
              <w:rPr>
                <w:rFonts w:hint="eastAsia" w:ascii="宋体" w:hAnsi="宋体" w:eastAsia="宋体" w:cs="宋体"/>
                <w:color w:val="auto"/>
                <w:szCs w:val="21"/>
                <w:highlight w:val="none"/>
              </w:rPr>
            </w:pPr>
          </w:p>
        </w:tc>
      </w:tr>
      <w:tr w14:paraId="62A3713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FD1E113">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F36020C">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28902CC">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26A42DF">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EE5A04C">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3609A1A">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1C0EBDE">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F24ACD1">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6CE3888">
            <w:pPr>
              <w:autoSpaceDE w:val="0"/>
              <w:autoSpaceDN w:val="0"/>
              <w:adjustRightInd w:val="0"/>
              <w:rPr>
                <w:rFonts w:hint="eastAsia" w:ascii="宋体" w:hAnsi="宋体" w:eastAsia="宋体" w:cs="宋体"/>
                <w:color w:val="auto"/>
                <w:szCs w:val="21"/>
                <w:highlight w:val="none"/>
              </w:rPr>
            </w:pPr>
          </w:p>
        </w:tc>
      </w:tr>
      <w:tr w14:paraId="0A29B90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6A1DD1">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4E281AE2">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AD5C269">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63E840D">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2AE42C8">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D6F5670">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AB64A9C">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3F7E88EB">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71A0750">
            <w:pPr>
              <w:autoSpaceDE w:val="0"/>
              <w:autoSpaceDN w:val="0"/>
              <w:adjustRightInd w:val="0"/>
              <w:rPr>
                <w:rFonts w:hint="eastAsia" w:ascii="宋体" w:hAnsi="宋体" w:eastAsia="宋体" w:cs="宋体"/>
                <w:color w:val="auto"/>
                <w:szCs w:val="21"/>
                <w:highlight w:val="none"/>
              </w:rPr>
            </w:pPr>
          </w:p>
        </w:tc>
      </w:tr>
      <w:tr w14:paraId="5343BD6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E84454A">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C636287">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BBCC9E7">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16CA44C">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5D7CF4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9DA101B">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ECBCD6F">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50554712">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4BB206A">
            <w:pPr>
              <w:autoSpaceDE w:val="0"/>
              <w:autoSpaceDN w:val="0"/>
              <w:adjustRightInd w:val="0"/>
              <w:rPr>
                <w:rFonts w:hint="eastAsia" w:ascii="宋体" w:hAnsi="宋体" w:eastAsia="宋体" w:cs="宋体"/>
                <w:color w:val="auto"/>
                <w:szCs w:val="21"/>
                <w:highlight w:val="none"/>
              </w:rPr>
            </w:pPr>
          </w:p>
        </w:tc>
      </w:tr>
      <w:tr w14:paraId="279C2AA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59D1FBE">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9A88A3C">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E94A15A">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FD6A98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251B986">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23C6780">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4807064">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EC5B1BF">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D7372DE">
            <w:pPr>
              <w:autoSpaceDE w:val="0"/>
              <w:autoSpaceDN w:val="0"/>
              <w:adjustRightInd w:val="0"/>
              <w:rPr>
                <w:rFonts w:hint="eastAsia" w:ascii="宋体" w:hAnsi="宋体" w:eastAsia="宋体" w:cs="宋体"/>
                <w:color w:val="auto"/>
                <w:szCs w:val="21"/>
                <w:highlight w:val="none"/>
              </w:rPr>
            </w:pPr>
          </w:p>
        </w:tc>
      </w:tr>
      <w:tr w14:paraId="171274DC">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22A31B0">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13DCA33">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CB5612A">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17AF9A0A">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D2FEBFC">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F65C58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44D2781">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85390DE">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3A7B3E6">
            <w:pPr>
              <w:autoSpaceDE w:val="0"/>
              <w:autoSpaceDN w:val="0"/>
              <w:adjustRightInd w:val="0"/>
              <w:rPr>
                <w:rFonts w:hint="eastAsia" w:ascii="宋体" w:hAnsi="宋体" w:eastAsia="宋体" w:cs="宋体"/>
                <w:color w:val="auto"/>
                <w:szCs w:val="21"/>
                <w:highlight w:val="none"/>
              </w:rPr>
            </w:pPr>
          </w:p>
        </w:tc>
      </w:tr>
      <w:tr w14:paraId="38D22AB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D7B2CC6">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40A0C7F9">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716FC2E">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CA6331B">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6F39A6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ABA1DD5">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80B9223">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371182EC">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4BAA469">
            <w:pPr>
              <w:autoSpaceDE w:val="0"/>
              <w:autoSpaceDN w:val="0"/>
              <w:adjustRightInd w:val="0"/>
              <w:rPr>
                <w:rFonts w:hint="eastAsia" w:ascii="宋体" w:hAnsi="宋体" w:eastAsia="宋体" w:cs="宋体"/>
                <w:color w:val="auto"/>
                <w:szCs w:val="21"/>
                <w:highlight w:val="none"/>
              </w:rPr>
            </w:pPr>
          </w:p>
        </w:tc>
      </w:tr>
      <w:tr w14:paraId="7A0A1FD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54F7456">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03FB890">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AD021B1">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9AAEF9C">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73A5F2E">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6E45548">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447ABE4">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C4261E7">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DB6BEC5">
            <w:pPr>
              <w:autoSpaceDE w:val="0"/>
              <w:autoSpaceDN w:val="0"/>
              <w:adjustRightInd w:val="0"/>
              <w:rPr>
                <w:rFonts w:hint="eastAsia" w:ascii="宋体" w:hAnsi="宋体" w:eastAsia="宋体" w:cs="宋体"/>
                <w:color w:val="auto"/>
                <w:szCs w:val="21"/>
                <w:highlight w:val="none"/>
              </w:rPr>
            </w:pPr>
          </w:p>
        </w:tc>
      </w:tr>
      <w:tr w14:paraId="1D90271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109792F">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5B3B22EA">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44655A8">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E3AE291">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8ACFD8E">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4E7F549">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6571E6D">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1147AF63">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F7AFD1E">
            <w:pPr>
              <w:autoSpaceDE w:val="0"/>
              <w:autoSpaceDN w:val="0"/>
              <w:adjustRightInd w:val="0"/>
              <w:rPr>
                <w:rFonts w:hint="eastAsia" w:ascii="宋体" w:hAnsi="宋体" w:eastAsia="宋体" w:cs="宋体"/>
                <w:color w:val="auto"/>
                <w:szCs w:val="21"/>
                <w:highlight w:val="none"/>
              </w:rPr>
            </w:pPr>
          </w:p>
        </w:tc>
      </w:tr>
      <w:tr w14:paraId="45FDA58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14:paraId="6B7BC238">
            <w:pPr>
              <w:autoSpaceDE w:val="0"/>
              <w:autoSpaceDN w:val="0"/>
              <w:adjustRightInd w:val="0"/>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14:paraId="65F12A63">
            <w:pPr>
              <w:autoSpaceDE w:val="0"/>
              <w:autoSpaceDN w:val="0"/>
              <w:adjustRightInd w:val="0"/>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14:paraId="7E48A818">
            <w:pPr>
              <w:autoSpaceDE w:val="0"/>
              <w:autoSpaceDN w:val="0"/>
              <w:adjustRightInd w:val="0"/>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14:paraId="26FF373E">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67D17C3E">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14C692EA">
            <w:pPr>
              <w:autoSpaceDE w:val="0"/>
              <w:autoSpaceDN w:val="0"/>
              <w:adjustRightInd w:val="0"/>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3EBF6108">
            <w:pPr>
              <w:autoSpaceDE w:val="0"/>
              <w:autoSpaceDN w:val="0"/>
              <w:adjustRightInd w:val="0"/>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14:paraId="51705B1F">
            <w:pPr>
              <w:autoSpaceDE w:val="0"/>
              <w:autoSpaceDN w:val="0"/>
              <w:adjustRightInd w:val="0"/>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14:paraId="74D93588">
            <w:pPr>
              <w:autoSpaceDE w:val="0"/>
              <w:autoSpaceDN w:val="0"/>
              <w:adjustRightInd w:val="0"/>
              <w:rPr>
                <w:rFonts w:hint="eastAsia" w:ascii="宋体" w:hAnsi="宋体" w:eastAsia="宋体" w:cs="宋体"/>
                <w:color w:val="auto"/>
                <w:szCs w:val="21"/>
                <w:highlight w:val="none"/>
              </w:rPr>
            </w:pPr>
          </w:p>
        </w:tc>
      </w:tr>
    </w:tbl>
    <w:p w14:paraId="2DAC5475">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注：涉及评分项的其他证明材料附后。</w:t>
      </w:r>
    </w:p>
    <w:p w14:paraId="5758AB56">
      <w:pPr>
        <w:adjustRightInd w:val="0"/>
        <w:snapToGrid w:val="0"/>
        <w:spacing w:line="360" w:lineRule="auto"/>
        <w:ind w:firstLine="4158" w:firstLineChars="1980"/>
        <w:rPr>
          <w:rFonts w:hint="eastAsia" w:ascii="宋体" w:hAnsi="宋体" w:eastAsia="宋体" w:cs="宋体"/>
          <w:snapToGrid w:val="0"/>
          <w:color w:val="auto"/>
          <w:kern w:val="0"/>
          <w:szCs w:val="21"/>
          <w:highlight w:val="none"/>
        </w:rPr>
      </w:pPr>
    </w:p>
    <w:p w14:paraId="0EBC560B">
      <w:pPr>
        <w:adjustRightInd w:val="0"/>
        <w:snapToGrid w:val="0"/>
        <w:spacing w:line="360" w:lineRule="auto"/>
        <w:ind w:firstLine="4158" w:firstLineChars="1980"/>
        <w:rPr>
          <w:rFonts w:hint="eastAsia" w:ascii="宋体" w:hAnsi="宋体" w:eastAsia="宋体" w:cs="宋体"/>
          <w:snapToGrid w:val="0"/>
          <w:color w:val="auto"/>
          <w:kern w:val="0"/>
          <w:szCs w:val="21"/>
          <w:highlight w:val="none"/>
        </w:rPr>
      </w:pPr>
    </w:p>
    <w:p w14:paraId="65DC23B2">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4145542A">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5D36F44D">
      <w:pPr>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14:paraId="54CDF884">
      <w:pPr>
        <w:pStyle w:val="1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（2）主要人员简历表</w:t>
      </w:r>
    </w:p>
    <w:p w14:paraId="712C2791">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78947744">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74"/>
        <w:gridCol w:w="1389"/>
        <w:gridCol w:w="467"/>
        <w:gridCol w:w="688"/>
        <w:gridCol w:w="1056"/>
        <w:gridCol w:w="204"/>
        <w:gridCol w:w="1836"/>
        <w:gridCol w:w="256"/>
        <w:gridCol w:w="1276"/>
      </w:tblGrid>
      <w:tr w14:paraId="0C02272C">
        <w:tblPrEx>
          <w:tblCellMar>
            <w:top w:w="0" w:type="dxa"/>
            <w:left w:w="28" w:type="dxa"/>
            <w:bottom w:w="0" w:type="dxa"/>
            <w:right w:w="28" w:type="dxa"/>
          </w:tblCellMar>
        </w:tblPrEx>
        <w:trPr>
          <w:trHeight w:val="486"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AEC4ADA">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5E84C771">
            <w:pPr>
              <w:snapToGrid w:val="0"/>
              <w:spacing w:line="320" w:lineRule="atLeast"/>
              <w:jc w:val="center"/>
              <w:rPr>
                <w:rFonts w:hint="eastAsia" w:ascii="宋体" w:hAnsi="宋体" w:eastAsia="宋体" w:cs="宋体"/>
                <w:color w:val="auto"/>
                <w:highlight w:val="none"/>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14:paraId="30EEACFE">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14:paraId="1AA97BFA">
            <w:pPr>
              <w:snapToGrid w:val="0"/>
              <w:spacing w:line="320" w:lineRule="atLeast"/>
              <w:jc w:val="center"/>
              <w:rPr>
                <w:rFonts w:hint="eastAsia" w:ascii="宋体" w:hAnsi="宋体" w:eastAsia="宋体" w:cs="宋体"/>
                <w:color w:val="auto"/>
                <w:highlight w:val="none"/>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14:paraId="0B2B232B">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570743">
            <w:pPr>
              <w:snapToGrid w:val="0"/>
              <w:spacing w:line="320" w:lineRule="atLeast"/>
              <w:jc w:val="center"/>
              <w:rPr>
                <w:rFonts w:hint="eastAsia" w:ascii="宋体" w:hAnsi="宋体" w:eastAsia="宋体" w:cs="宋体"/>
                <w:color w:val="auto"/>
                <w:highlight w:val="none"/>
              </w:rPr>
            </w:pPr>
          </w:p>
        </w:tc>
      </w:tr>
      <w:tr w14:paraId="0E9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DF52545">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7D245985">
            <w:pPr>
              <w:snapToGrid w:val="0"/>
              <w:spacing w:line="320" w:lineRule="atLeast"/>
              <w:jc w:val="center"/>
              <w:rPr>
                <w:rFonts w:hint="eastAsia" w:ascii="宋体" w:hAnsi="宋体" w:eastAsia="宋体" w:cs="宋体"/>
                <w:color w:val="auto"/>
                <w:highlight w:val="none"/>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14:paraId="6B3D02F7">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14:paraId="5FF646B5">
            <w:pPr>
              <w:snapToGrid w:val="0"/>
              <w:spacing w:line="320" w:lineRule="atLeast"/>
              <w:jc w:val="center"/>
              <w:rPr>
                <w:rFonts w:hint="eastAsia" w:ascii="宋体" w:hAnsi="宋体" w:eastAsia="宋体" w:cs="宋体"/>
                <w:color w:val="auto"/>
                <w:highlight w:val="none"/>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14:paraId="0130FD1B">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w:t>
            </w:r>
          </w:p>
          <w:p w14:paraId="6EB0C35E">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CFA0698">
            <w:pPr>
              <w:snapToGrid w:val="0"/>
              <w:spacing w:line="320" w:lineRule="atLeast"/>
              <w:jc w:val="center"/>
              <w:rPr>
                <w:rFonts w:hint="eastAsia" w:ascii="宋体" w:hAnsi="宋体" w:eastAsia="宋体" w:cs="宋体"/>
                <w:color w:val="auto"/>
                <w:highlight w:val="none"/>
              </w:rPr>
            </w:pPr>
          </w:p>
        </w:tc>
      </w:tr>
      <w:tr w14:paraId="1649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AE75597">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172" w:type="dxa"/>
            <w:gridSpan w:val="8"/>
            <w:tcBorders>
              <w:top w:val="single" w:color="000000" w:sz="6" w:space="0"/>
              <w:left w:val="single" w:color="000000" w:sz="6" w:space="0"/>
              <w:bottom w:val="single" w:color="000000" w:sz="6" w:space="0"/>
              <w:right w:val="single" w:color="000000" w:sz="6" w:space="0"/>
            </w:tcBorders>
            <w:noWrap w:val="0"/>
            <w:vAlign w:val="center"/>
          </w:tcPr>
          <w:p w14:paraId="79F2D6B4">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月毕业于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系（科），学制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tc>
      </w:tr>
      <w:tr w14:paraId="2682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14:paraId="657C99A2">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主要学习和工作经历</w:t>
            </w:r>
          </w:p>
        </w:tc>
      </w:tr>
      <w:tr w14:paraId="617E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55C32F5">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年   月</w:t>
            </w: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14:paraId="4CF8C858">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工作经历</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6ABC3999">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担 任 何 职</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58B2789B">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095A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72ACC04">
            <w:pPr>
              <w:snapToGrid w:val="0"/>
              <w:spacing w:line="320" w:lineRule="atLeast"/>
              <w:jc w:val="center"/>
              <w:rPr>
                <w:rFonts w:hint="eastAsia" w:ascii="宋体" w:hAnsi="宋体" w:eastAsia="宋体" w:cs="宋体"/>
                <w:color w:val="auto"/>
                <w:highlight w:val="none"/>
              </w:rPr>
            </w:pPr>
          </w:p>
          <w:p w14:paraId="45E82DAC">
            <w:pPr>
              <w:snapToGrid w:val="0"/>
              <w:spacing w:line="320" w:lineRule="atLeast"/>
              <w:jc w:val="center"/>
              <w:rPr>
                <w:rFonts w:hint="eastAsia" w:ascii="宋体" w:hAnsi="宋体" w:eastAsia="宋体" w:cs="宋体"/>
                <w:color w:val="auto"/>
                <w:highlight w:val="none"/>
              </w:rPr>
            </w:pPr>
          </w:p>
          <w:p w14:paraId="006557AF">
            <w:pPr>
              <w:snapToGrid w:val="0"/>
              <w:spacing w:line="320" w:lineRule="atLeast"/>
              <w:jc w:val="center"/>
              <w:rPr>
                <w:rFonts w:hint="eastAsia" w:ascii="宋体" w:hAnsi="宋体" w:eastAsia="宋体" w:cs="宋体"/>
                <w:color w:val="auto"/>
                <w:highlight w:val="none"/>
              </w:rPr>
            </w:pPr>
          </w:p>
          <w:p w14:paraId="164A640B">
            <w:pPr>
              <w:snapToGrid w:val="0"/>
              <w:spacing w:line="320" w:lineRule="atLeast"/>
              <w:jc w:val="center"/>
              <w:rPr>
                <w:rFonts w:hint="eastAsia" w:ascii="宋体" w:hAnsi="宋体" w:eastAsia="宋体" w:cs="宋体"/>
                <w:color w:val="auto"/>
                <w:highlight w:val="none"/>
              </w:rPr>
            </w:pPr>
          </w:p>
          <w:p w14:paraId="67EF587A">
            <w:pPr>
              <w:snapToGrid w:val="0"/>
              <w:spacing w:line="320" w:lineRule="atLeast"/>
              <w:jc w:val="center"/>
              <w:rPr>
                <w:rFonts w:hint="eastAsia" w:ascii="宋体" w:hAnsi="宋体" w:eastAsia="宋体" w:cs="宋体"/>
                <w:color w:val="auto"/>
                <w:highlight w:val="none"/>
              </w:rPr>
            </w:pPr>
          </w:p>
          <w:p w14:paraId="623B7031">
            <w:pPr>
              <w:snapToGrid w:val="0"/>
              <w:spacing w:line="320" w:lineRule="atLeast"/>
              <w:jc w:val="center"/>
              <w:rPr>
                <w:rFonts w:hint="eastAsia" w:ascii="宋体" w:hAnsi="宋体" w:eastAsia="宋体" w:cs="宋体"/>
                <w:color w:val="auto"/>
                <w:highlight w:val="none"/>
              </w:rPr>
            </w:pPr>
          </w:p>
          <w:p w14:paraId="389FAC06">
            <w:pPr>
              <w:snapToGrid w:val="0"/>
              <w:spacing w:line="320" w:lineRule="atLeast"/>
              <w:jc w:val="center"/>
              <w:rPr>
                <w:rFonts w:hint="eastAsia" w:ascii="宋体" w:hAnsi="宋体" w:eastAsia="宋体" w:cs="宋体"/>
                <w:color w:val="auto"/>
                <w:highlight w:val="none"/>
              </w:rPr>
            </w:pPr>
          </w:p>
          <w:p w14:paraId="364C78F6">
            <w:pPr>
              <w:snapToGrid w:val="0"/>
              <w:spacing w:line="320" w:lineRule="atLeast"/>
              <w:jc w:val="center"/>
              <w:rPr>
                <w:rFonts w:hint="eastAsia" w:ascii="宋体" w:hAnsi="宋体" w:eastAsia="宋体" w:cs="宋体"/>
                <w:color w:val="auto"/>
                <w:highlight w:val="none"/>
              </w:rPr>
            </w:pP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14:paraId="31CC93F9">
            <w:pPr>
              <w:snapToGrid w:val="0"/>
              <w:spacing w:line="320" w:lineRule="atLeast"/>
              <w:jc w:val="center"/>
              <w:rPr>
                <w:rFonts w:hint="eastAsia" w:ascii="宋体" w:hAnsi="宋体" w:eastAsia="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77923717">
            <w:pPr>
              <w:snapToGrid w:val="0"/>
              <w:spacing w:line="320" w:lineRule="atLeast"/>
              <w:jc w:val="center"/>
              <w:rPr>
                <w:rFonts w:hint="eastAsia" w:ascii="宋体" w:hAnsi="宋体" w:eastAsia="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14D2F766">
            <w:pPr>
              <w:snapToGrid w:val="0"/>
              <w:spacing w:line="320" w:lineRule="atLeast"/>
              <w:jc w:val="center"/>
              <w:rPr>
                <w:rFonts w:hint="eastAsia" w:ascii="宋体" w:hAnsi="宋体" w:eastAsia="宋体" w:cs="宋体"/>
                <w:color w:val="auto"/>
                <w:highlight w:val="none"/>
              </w:rPr>
            </w:pPr>
          </w:p>
          <w:p w14:paraId="64846DF1">
            <w:pPr>
              <w:snapToGrid w:val="0"/>
              <w:spacing w:line="320" w:lineRule="atLeast"/>
              <w:jc w:val="center"/>
              <w:rPr>
                <w:rFonts w:hint="eastAsia" w:ascii="宋体" w:hAnsi="宋体" w:eastAsia="宋体" w:cs="宋体"/>
                <w:color w:val="auto"/>
                <w:highlight w:val="none"/>
              </w:rPr>
            </w:pPr>
          </w:p>
          <w:p w14:paraId="07E01A57">
            <w:pPr>
              <w:snapToGrid w:val="0"/>
              <w:spacing w:line="320" w:lineRule="atLeast"/>
              <w:jc w:val="center"/>
              <w:rPr>
                <w:rFonts w:hint="eastAsia" w:ascii="宋体" w:hAnsi="宋体" w:eastAsia="宋体" w:cs="宋体"/>
                <w:color w:val="auto"/>
                <w:highlight w:val="none"/>
              </w:rPr>
            </w:pPr>
          </w:p>
          <w:p w14:paraId="6198CB0D">
            <w:pPr>
              <w:snapToGrid w:val="0"/>
              <w:spacing w:line="320" w:lineRule="atLeast"/>
              <w:jc w:val="center"/>
              <w:rPr>
                <w:rFonts w:hint="eastAsia" w:ascii="宋体" w:hAnsi="宋体" w:eastAsia="宋体" w:cs="宋体"/>
                <w:color w:val="auto"/>
                <w:highlight w:val="none"/>
              </w:rPr>
            </w:pPr>
          </w:p>
          <w:p w14:paraId="56DE7EF0">
            <w:pPr>
              <w:snapToGrid w:val="0"/>
              <w:spacing w:line="320" w:lineRule="atLeast"/>
              <w:jc w:val="center"/>
              <w:rPr>
                <w:rFonts w:hint="eastAsia" w:ascii="宋体" w:hAnsi="宋体" w:eastAsia="宋体" w:cs="宋体"/>
                <w:color w:val="auto"/>
                <w:highlight w:val="none"/>
              </w:rPr>
            </w:pPr>
          </w:p>
        </w:tc>
      </w:tr>
      <w:tr w14:paraId="54FA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14:paraId="5A80F2F2">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业绩/经验情况</w:t>
            </w:r>
          </w:p>
        </w:tc>
      </w:tr>
      <w:tr w14:paraId="06DA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E72C1CF">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14:paraId="0C61360C">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14:paraId="426ED93E">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项目内容</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0A8081A8">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合同签订时间</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5FEADFE4">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169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5C28405">
            <w:pPr>
              <w:snapToGrid w:val="0"/>
              <w:spacing w:line="320" w:lineRule="atLeast"/>
              <w:jc w:val="center"/>
              <w:rPr>
                <w:rFonts w:hint="eastAsia" w:ascii="宋体" w:hAnsi="宋体" w:eastAsia="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14:paraId="059A8506">
            <w:pPr>
              <w:snapToGrid w:val="0"/>
              <w:spacing w:line="320" w:lineRule="atLeast"/>
              <w:jc w:val="center"/>
              <w:rPr>
                <w:rFonts w:hint="eastAsia" w:ascii="宋体" w:hAnsi="宋体" w:eastAsia="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14:paraId="2AE93116">
            <w:pPr>
              <w:snapToGrid w:val="0"/>
              <w:spacing w:line="320" w:lineRule="atLeast"/>
              <w:jc w:val="center"/>
              <w:rPr>
                <w:rFonts w:hint="eastAsia" w:ascii="宋体" w:hAnsi="宋体" w:eastAsia="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79A866DE">
            <w:pPr>
              <w:snapToGrid w:val="0"/>
              <w:spacing w:line="320" w:lineRule="atLeast"/>
              <w:jc w:val="center"/>
              <w:rPr>
                <w:rFonts w:hint="eastAsia" w:ascii="宋体" w:hAnsi="宋体" w:eastAsia="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37E53D6F">
            <w:pPr>
              <w:snapToGrid w:val="0"/>
              <w:spacing w:line="320" w:lineRule="atLeast"/>
              <w:jc w:val="center"/>
              <w:rPr>
                <w:rFonts w:hint="eastAsia" w:ascii="宋体" w:hAnsi="宋体" w:eastAsia="宋体" w:cs="宋体"/>
                <w:color w:val="auto"/>
                <w:highlight w:val="none"/>
              </w:rPr>
            </w:pPr>
          </w:p>
        </w:tc>
      </w:tr>
      <w:tr w14:paraId="5EC7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2000B16">
            <w:pPr>
              <w:snapToGrid w:val="0"/>
              <w:spacing w:line="320" w:lineRule="atLeast"/>
              <w:jc w:val="center"/>
              <w:rPr>
                <w:rFonts w:hint="eastAsia" w:ascii="宋体" w:hAnsi="宋体" w:eastAsia="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14:paraId="4AE22173">
            <w:pPr>
              <w:snapToGrid w:val="0"/>
              <w:spacing w:line="320" w:lineRule="atLeast"/>
              <w:jc w:val="center"/>
              <w:rPr>
                <w:rFonts w:hint="eastAsia" w:ascii="宋体" w:hAnsi="宋体" w:eastAsia="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14:paraId="4917C5D9">
            <w:pPr>
              <w:snapToGrid w:val="0"/>
              <w:spacing w:line="320" w:lineRule="atLeast"/>
              <w:jc w:val="center"/>
              <w:rPr>
                <w:rFonts w:hint="eastAsia" w:ascii="宋体" w:hAnsi="宋体" w:eastAsia="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5C4E02D3">
            <w:pPr>
              <w:snapToGrid w:val="0"/>
              <w:spacing w:line="320" w:lineRule="atLeast"/>
              <w:jc w:val="center"/>
              <w:rPr>
                <w:rFonts w:hint="eastAsia" w:ascii="宋体" w:hAnsi="宋体" w:eastAsia="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3B51E1F8">
            <w:pPr>
              <w:snapToGrid w:val="0"/>
              <w:spacing w:line="320" w:lineRule="atLeast"/>
              <w:jc w:val="center"/>
              <w:rPr>
                <w:rFonts w:hint="eastAsia" w:ascii="宋体" w:hAnsi="宋体" w:eastAsia="宋体" w:cs="宋体"/>
                <w:color w:val="auto"/>
                <w:highlight w:val="none"/>
              </w:rPr>
            </w:pPr>
          </w:p>
        </w:tc>
      </w:tr>
      <w:tr w14:paraId="125A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6830D3A">
            <w:pPr>
              <w:snapToGrid w:val="0"/>
              <w:spacing w:line="320" w:lineRule="atLeast"/>
              <w:jc w:val="center"/>
              <w:rPr>
                <w:rFonts w:hint="eastAsia" w:ascii="宋体" w:hAnsi="宋体" w:eastAsia="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14:paraId="773588F4">
            <w:pPr>
              <w:snapToGrid w:val="0"/>
              <w:spacing w:line="320" w:lineRule="atLeast"/>
              <w:jc w:val="center"/>
              <w:rPr>
                <w:rFonts w:hint="eastAsia" w:ascii="宋体" w:hAnsi="宋体" w:eastAsia="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14:paraId="48976834">
            <w:pPr>
              <w:snapToGrid w:val="0"/>
              <w:spacing w:line="320" w:lineRule="atLeast"/>
              <w:jc w:val="center"/>
              <w:rPr>
                <w:rFonts w:hint="eastAsia" w:ascii="宋体" w:hAnsi="宋体" w:eastAsia="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14:paraId="72B35BFC">
            <w:pPr>
              <w:snapToGrid w:val="0"/>
              <w:spacing w:line="320" w:lineRule="atLeast"/>
              <w:jc w:val="center"/>
              <w:rPr>
                <w:rFonts w:hint="eastAsia" w:ascii="宋体" w:hAnsi="宋体" w:eastAsia="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14:paraId="2B011F72">
            <w:pPr>
              <w:snapToGrid w:val="0"/>
              <w:spacing w:line="320" w:lineRule="atLeast"/>
              <w:jc w:val="center"/>
              <w:rPr>
                <w:rFonts w:hint="eastAsia" w:ascii="宋体" w:hAnsi="宋体" w:eastAsia="宋体" w:cs="宋体"/>
                <w:color w:val="auto"/>
                <w:highlight w:val="none"/>
              </w:rPr>
            </w:pPr>
          </w:p>
        </w:tc>
      </w:tr>
    </w:tbl>
    <w:p w14:paraId="41A8571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注：与评分有关的证明材料附后。</w:t>
      </w:r>
    </w:p>
    <w:p w14:paraId="76BC341E">
      <w:pPr>
        <w:snapToGrid w:val="0"/>
        <w:spacing w:line="360" w:lineRule="auto"/>
        <w:rPr>
          <w:rFonts w:hint="eastAsia" w:ascii="宋体" w:hAnsi="宋体" w:eastAsia="宋体" w:cs="宋体"/>
          <w:color w:val="auto"/>
          <w:highlight w:val="none"/>
        </w:rPr>
      </w:pPr>
    </w:p>
    <w:p w14:paraId="4AA88F3D">
      <w:pPr>
        <w:snapToGrid w:val="0"/>
        <w:spacing w:line="360" w:lineRule="auto"/>
        <w:rPr>
          <w:rFonts w:hint="eastAsia" w:ascii="宋体" w:hAnsi="宋体" w:eastAsia="宋体" w:cs="宋体"/>
          <w:color w:val="auto"/>
          <w:highlight w:val="none"/>
        </w:rPr>
      </w:pPr>
    </w:p>
    <w:p w14:paraId="4D2F7DAD">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4142C193">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7FC247E5">
      <w:pPr>
        <w:spacing w:line="360" w:lineRule="atLeas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bookmarkStart w:id="597" w:name="_Toc105141032"/>
      <w:bookmarkEnd w:id="597"/>
      <w:r>
        <w:rPr>
          <w:rFonts w:hint="eastAsia" w:ascii="宋体" w:hAnsi="宋体" w:eastAsia="宋体" w:cs="宋体"/>
          <w:b/>
          <w:bCs/>
          <w:color w:val="auto"/>
          <w:szCs w:val="21"/>
          <w:highlight w:val="none"/>
        </w:rPr>
        <w:t>3.13实施进度计划表</w:t>
      </w:r>
    </w:p>
    <w:p w14:paraId="67735503">
      <w:pPr>
        <w:spacing w:before="120" w:beforeLines="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实施进度计划表</w:t>
      </w:r>
    </w:p>
    <w:p w14:paraId="7B2C9FDA">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0980A635">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p w14:paraId="78C9610D">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（以生效日算起） </w:t>
      </w:r>
    </w:p>
    <w:tbl>
      <w:tblPr>
        <w:tblStyle w:val="23"/>
        <w:tblW w:w="0" w:type="auto"/>
        <w:tblInd w:w="-252" w:type="dxa"/>
        <w:tblLayout w:type="fixed"/>
        <w:tblCellMar>
          <w:top w:w="0" w:type="dxa"/>
          <w:left w:w="108" w:type="dxa"/>
          <w:bottom w:w="0" w:type="dxa"/>
          <w:right w:w="108" w:type="dxa"/>
        </w:tblCellMar>
      </w:tblPr>
      <w:tblGrid>
        <w:gridCol w:w="2169"/>
        <w:gridCol w:w="987"/>
        <w:gridCol w:w="987"/>
        <w:gridCol w:w="987"/>
        <w:gridCol w:w="987"/>
        <w:gridCol w:w="987"/>
        <w:gridCol w:w="987"/>
        <w:gridCol w:w="990"/>
      </w:tblGrid>
      <w:tr w14:paraId="080D760F">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65CCF7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时间进度</w:t>
            </w:r>
          </w:p>
        </w:tc>
        <w:tc>
          <w:tcPr>
            <w:tcW w:w="987" w:type="dxa"/>
            <w:tcBorders>
              <w:top w:val="single" w:color="auto" w:sz="4" w:space="0"/>
              <w:left w:val="nil"/>
              <w:bottom w:val="single" w:color="auto" w:sz="4" w:space="0"/>
              <w:right w:val="single" w:color="auto" w:sz="4" w:space="0"/>
            </w:tcBorders>
            <w:noWrap w:val="0"/>
            <w:vAlign w:val="center"/>
          </w:tcPr>
          <w:p w14:paraId="600A82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7" w:type="dxa"/>
            <w:tcBorders>
              <w:top w:val="single" w:color="auto" w:sz="4" w:space="0"/>
              <w:left w:val="nil"/>
              <w:bottom w:val="single" w:color="auto" w:sz="4" w:space="0"/>
              <w:right w:val="single" w:color="auto" w:sz="4" w:space="0"/>
            </w:tcBorders>
            <w:noWrap w:val="0"/>
            <w:vAlign w:val="center"/>
          </w:tcPr>
          <w:p w14:paraId="61AFB8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7" w:type="dxa"/>
            <w:tcBorders>
              <w:top w:val="single" w:color="auto" w:sz="4" w:space="0"/>
              <w:left w:val="nil"/>
              <w:bottom w:val="single" w:color="auto" w:sz="4" w:space="0"/>
              <w:right w:val="single" w:color="auto" w:sz="4" w:space="0"/>
            </w:tcBorders>
            <w:noWrap w:val="0"/>
            <w:vAlign w:val="center"/>
          </w:tcPr>
          <w:p w14:paraId="563D53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7" w:type="dxa"/>
            <w:tcBorders>
              <w:top w:val="single" w:color="auto" w:sz="4" w:space="0"/>
              <w:left w:val="nil"/>
              <w:bottom w:val="single" w:color="auto" w:sz="4" w:space="0"/>
              <w:right w:val="single" w:color="auto" w:sz="4" w:space="0"/>
            </w:tcBorders>
            <w:noWrap w:val="0"/>
            <w:vAlign w:val="center"/>
          </w:tcPr>
          <w:p w14:paraId="4EC50A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7" w:type="dxa"/>
            <w:tcBorders>
              <w:top w:val="single" w:color="auto" w:sz="4" w:space="0"/>
              <w:left w:val="nil"/>
              <w:bottom w:val="single" w:color="auto" w:sz="4" w:space="0"/>
              <w:right w:val="single" w:color="auto" w:sz="4" w:space="0"/>
            </w:tcBorders>
            <w:noWrap w:val="0"/>
            <w:vAlign w:val="center"/>
          </w:tcPr>
          <w:p w14:paraId="0C1794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7" w:type="dxa"/>
            <w:tcBorders>
              <w:top w:val="single" w:color="auto" w:sz="4" w:space="0"/>
              <w:left w:val="nil"/>
              <w:bottom w:val="single" w:color="auto" w:sz="4" w:space="0"/>
              <w:right w:val="single" w:color="auto" w:sz="4" w:space="0"/>
            </w:tcBorders>
            <w:noWrap w:val="0"/>
            <w:vAlign w:val="center"/>
          </w:tcPr>
          <w:p w14:paraId="0E4A79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90" w:type="dxa"/>
            <w:tcBorders>
              <w:top w:val="single" w:color="auto" w:sz="4" w:space="0"/>
              <w:left w:val="nil"/>
              <w:bottom w:val="single" w:color="auto" w:sz="4" w:space="0"/>
              <w:right w:val="single" w:color="auto" w:sz="4" w:space="0"/>
            </w:tcBorders>
            <w:noWrap w:val="0"/>
            <w:vAlign w:val="center"/>
          </w:tcPr>
          <w:p w14:paraId="67A87A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r>
      <w:tr w14:paraId="38AA9B72">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2B85F352">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3C099CE">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5A121E5C">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34F759A">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762E607">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080E94DC">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5EA1C6F8">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397C1D0B">
            <w:pPr>
              <w:spacing w:line="360" w:lineRule="auto"/>
              <w:rPr>
                <w:rFonts w:hint="eastAsia" w:ascii="宋体" w:hAnsi="宋体" w:eastAsia="宋体" w:cs="宋体"/>
                <w:color w:val="auto"/>
                <w:szCs w:val="21"/>
                <w:highlight w:val="none"/>
              </w:rPr>
            </w:pPr>
          </w:p>
        </w:tc>
      </w:tr>
      <w:tr w14:paraId="2CD1E561">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6D208E30">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63D463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4C7BA36C">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5D4F49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01A3910">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ED9AD86">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45A1228">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57B6268D">
            <w:pPr>
              <w:spacing w:line="360" w:lineRule="auto"/>
              <w:rPr>
                <w:rFonts w:hint="eastAsia" w:ascii="宋体" w:hAnsi="宋体" w:eastAsia="宋体" w:cs="宋体"/>
                <w:color w:val="auto"/>
                <w:szCs w:val="21"/>
                <w:highlight w:val="none"/>
              </w:rPr>
            </w:pPr>
          </w:p>
        </w:tc>
      </w:tr>
      <w:tr w14:paraId="08139D5F">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1D07F854">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6D44B23">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C0D6833">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0C932E23">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B0CDBFB">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7B49B9E9">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09E94636">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484915A0">
            <w:pPr>
              <w:spacing w:line="360" w:lineRule="auto"/>
              <w:rPr>
                <w:rFonts w:hint="eastAsia" w:ascii="宋体" w:hAnsi="宋体" w:eastAsia="宋体" w:cs="宋体"/>
                <w:color w:val="auto"/>
                <w:szCs w:val="21"/>
                <w:highlight w:val="none"/>
              </w:rPr>
            </w:pPr>
          </w:p>
        </w:tc>
      </w:tr>
      <w:tr w14:paraId="4F438CF7">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20873D77">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49B8F4C2">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E65B3A8">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0135F475">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F34C7CE">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4F8F346">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4D691646">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76D64922">
            <w:pPr>
              <w:spacing w:line="360" w:lineRule="auto"/>
              <w:rPr>
                <w:rFonts w:hint="eastAsia" w:ascii="宋体" w:hAnsi="宋体" w:eastAsia="宋体" w:cs="宋体"/>
                <w:color w:val="auto"/>
                <w:szCs w:val="21"/>
                <w:highlight w:val="none"/>
              </w:rPr>
            </w:pPr>
          </w:p>
        </w:tc>
      </w:tr>
      <w:tr w14:paraId="277DA30F">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416D5B72">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F7805D5">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76397B3A">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8B12959">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3DCF46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568033AA">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700E0190">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5306C495">
            <w:pPr>
              <w:spacing w:line="360" w:lineRule="auto"/>
              <w:rPr>
                <w:rFonts w:hint="eastAsia" w:ascii="宋体" w:hAnsi="宋体" w:eastAsia="宋体" w:cs="宋体"/>
                <w:color w:val="auto"/>
                <w:szCs w:val="21"/>
                <w:highlight w:val="none"/>
              </w:rPr>
            </w:pPr>
          </w:p>
        </w:tc>
      </w:tr>
      <w:tr w14:paraId="4B12C71F">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1AE1B763">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EB9BE86">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6ADBF13">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5469B529">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9843A4A">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13CD347">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6D987337">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5A897476">
            <w:pPr>
              <w:spacing w:line="360" w:lineRule="auto"/>
              <w:rPr>
                <w:rFonts w:hint="eastAsia" w:ascii="宋体" w:hAnsi="宋体" w:eastAsia="宋体" w:cs="宋体"/>
                <w:color w:val="auto"/>
                <w:szCs w:val="21"/>
                <w:highlight w:val="none"/>
              </w:rPr>
            </w:pPr>
          </w:p>
        </w:tc>
      </w:tr>
      <w:tr w14:paraId="2CD600B7">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14:paraId="771A918F">
            <w:pPr>
              <w:spacing w:line="360" w:lineRule="auto"/>
              <w:jc w:val="center"/>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0370D4BF">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280EAC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2DC3697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33C6C12C">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494DB58D">
            <w:pPr>
              <w:spacing w:line="360" w:lineRule="auto"/>
              <w:rPr>
                <w:rFonts w:hint="eastAsia" w:ascii="宋体" w:hAnsi="宋体" w:eastAsia="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14:paraId="1660F82E">
            <w:pPr>
              <w:spacing w:line="360" w:lineRule="auto"/>
              <w:rPr>
                <w:rFonts w:hint="eastAsia" w:ascii="宋体" w:hAnsi="宋体" w:eastAsia="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14:paraId="3F736E7F">
            <w:pPr>
              <w:spacing w:line="360" w:lineRule="auto"/>
              <w:rPr>
                <w:rFonts w:hint="eastAsia" w:ascii="宋体" w:hAnsi="宋体" w:eastAsia="宋体" w:cs="宋体"/>
                <w:color w:val="auto"/>
                <w:szCs w:val="21"/>
                <w:highlight w:val="none"/>
              </w:rPr>
            </w:pPr>
          </w:p>
        </w:tc>
      </w:tr>
    </w:tbl>
    <w:p w14:paraId="5FAD5A6F">
      <w:pPr>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注：上述时间表的格式仅供参考，采购人可自行编制切合实际的实施进度计划表模式。</w:t>
      </w:r>
    </w:p>
    <w:p w14:paraId="2960AB40">
      <w:pPr>
        <w:adjustRightInd w:val="0"/>
        <w:ind w:firstLine="4158" w:firstLineChars="1980"/>
        <w:rPr>
          <w:rFonts w:hint="eastAsia" w:ascii="宋体" w:hAnsi="宋体" w:eastAsia="宋体" w:cs="宋体"/>
          <w:color w:val="auto"/>
          <w:szCs w:val="21"/>
          <w:highlight w:val="none"/>
        </w:rPr>
      </w:pPr>
    </w:p>
    <w:p w14:paraId="17ED9180">
      <w:pPr>
        <w:adjustRightInd w:val="0"/>
        <w:ind w:firstLine="4158" w:firstLineChars="1980"/>
        <w:rPr>
          <w:rFonts w:hint="eastAsia" w:ascii="宋体" w:hAnsi="宋体" w:eastAsia="宋体" w:cs="宋体"/>
          <w:color w:val="auto"/>
          <w:szCs w:val="21"/>
          <w:highlight w:val="none"/>
        </w:rPr>
      </w:pPr>
    </w:p>
    <w:p w14:paraId="0D059C90">
      <w:pPr>
        <w:spacing w:line="360" w:lineRule="atLeast"/>
        <w:rPr>
          <w:rFonts w:hint="eastAsia" w:ascii="宋体" w:hAnsi="宋体" w:eastAsia="宋体" w:cs="宋体"/>
          <w:color w:val="auto"/>
          <w:highlight w:val="none"/>
        </w:rPr>
      </w:pPr>
    </w:p>
    <w:p w14:paraId="2A4A31C3">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11860E6F">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6C706C49">
      <w:pPr>
        <w:pStyle w:val="10"/>
        <w:spacing w:line="420" w:lineRule="exac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br w:type="page"/>
      </w:r>
      <w:bookmarkStart w:id="598" w:name="_Toc22766"/>
      <w:bookmarkStart w:id="599" w:name="_Toc18367"/>
      <w:bookmarkStart w:id="600" w:name="_Toc857"/>
      <w:bookmarkStart w:id="601" w:name="_Toc28558"/>
      <w:bookmarkStart w:id="602" w:name="_Toc21852"/>
      <w:bookmarkStart w:id="603" w:name="_Toc32525"/>
      <w:r>
        <w:rPr>
          <w:rStyle w:val="32"/>
          <w:rFonts w:hint="eastAsia" w:ascii="宋体" w:hAnsi="宋体" w:eastAsia="宋体" w:cs="宋体"/>
          <w:color w:val="auto"/>
          <w:sz w:val="28"/>
          <w:szCs w:val="28"/>
          <w:highlight w:val="none"/>
        </w:rPr>
        <w:t>四、报价响应文件部分格式</w:t>
      </w:r>
      <w:bookmarkEnd w:id="598"/>
      <w:bookmarkEnd w:id="599"/>
      <w:bookmarkEnd w:id="600"/>
      <w:bookmarkEnd w:id="601"/>
      <w:bookmarkEnd w:id="602"/>
      <w:bookmarkEnd w:id="603"/>
    </w:p>
    <w:p w14:paraId="16F127FB">
      <w:pPr>
        <w:autoSpaceDE w:val="0"/>
        <w:autoSpaceDN w:val="0"/>
        <w:adjustRightInd w:val="0"/>
        <w:spacing w:line="360" w:lineRule="auto"/>
        <w:rPr>
          <w:rFonts w:hint="eastAsia" w:ascii="宋体" w:hAnsi="宋体" w:eastAsia="宋体" w:cs="宋体"/>
          <w:b/>
          <w:bCs/>
          <w:color w:val="auto"/>
          <w:szCs w:val="21"/>
          <w:highlight w:val="none"/>
        </w:rPr>
      </w:pPr>
    </w:p>
    <w:p w14:paraId="0ECCD6A9">
      <w:pPr>
        <w:autoSpaceDE w:val="0"/>
        <w:autoSpaceDN w:val="0"/>
        <w:adjustRightIn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4.1开标一览表</w:t>
      </w:r>
    </w:p>
    <w:p w14:paraId="69DFDE7F">
      <w:pPr>
        <w:pStyle w:val="9"/>
        <w:spacing w:line="600" w:lineRule="exact"/>
        <w:ind w:firstLine="0"/>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开标一览表</w:t>
      </w:r>
    </w:p>
    <w:p w14:paraId="387BE7AF">
      <w:pPr>
        <w:adjustRightInd w:val="0"/>
        <w:spacing w:line="360" w:lineRule="auto"/>
        <w:rPr>
          <w:rFonts w:hint="eastAsia" w:ascii="宋体" w:hAnsi="宋体" w:eastAsia="宋体" w:cs="宋体"/>
          <w:color w:val="auto"/>
          <w:szCs w:val="21"/>
          <w:highlight w:val="none"/>
        </w:rPr>
      </w:pPr>
    </w:p>
    <w:p w14:paraId="29ABAB6F">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62EE1747">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14:paraId="58D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14:paraId="1A033E1A">
            <w:pPr>
              <w:pStyle w:val="8"/>
              <w:ind w:firstLine="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投标总价</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014EE38F">
            <w:pPr>
              <w:pStyle w:val="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72FB5D1F">
            <w:pPr>
              <w:pStyle w:val="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r>
      <w:tr w14:paraId="5AD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14:paraId="4B75B92B">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1E837A0E">
            <w:pPr>
              <w:adjustRightInd w:val="0"/>
              <w:spacing w:line="360" w:lineRule="auto"/>
              <w:jc w:val="center"/>
              <w:rPr>
                <w:rFonts w:hint="eastAsia" w:ascii="宋体" w:hAnsi="宋体" w:eastAsia="宋体" w:cs="宋体"/>
                <w:color w:val="auto"/>
                <w:szCs w:val="21"/>
                <w:highlight w:val="none"/>
              </w:rPr>
            </w:pPr>
          </w:p>
        </w:tc>
      </w:tr>
    </w:tbl>
    <w:p w14:paraId="09DD0538">
      <w:pPr>
        <w:pStyle w:val="8"/>
        <w:ind w:firstLine="0"/>
        <w:rPr>
          <w:rFonts w:hint="eastAsia" w:ascii="宋体" w:hAnsi="宋体" w:eastAsia="宋体" w:cs="宋体"/>
          <w:color w:val="auto"/>
          <w:szCs w:val="21"/>
          <w:highlight w:val="none"/>
        </w:rPr>
      </w:pPr>
    </w:p>
    <w:p w14:paraId="7960BE9C">
      <w:pPr>
        <w:adjustRightInd w:val="0"/>
        <w:spacing w:line="360" w:lineRule="auto"/>
        <w:jc w:val="left"/>
        <w:rPr>
          <w:rFonts w:hint="eastAsia" w:ascii="宋体" w:hAnsi="宋体" w:eastAsia="宋体" w:cs="宋体"/>
          <w:color w:val="auto"/>
          <w:szCs w:val="21"/>
          <w:highlight w:val="none"/>
        </w:rPr>
      </w:pPr>
    </w:p>
    <w:p w14:paraId="6506C295">
      <w:pPr>
        <w:adjustRightInd w:val="0"/>
        <w:spacing w:line="360" w:lineRule="auto"/>
        <w:ind w:firstLine="420" w:firstLineChars="200"/>
        <w:rPr>
          <w:rFonts w:hint="eastAsia" w:ascii="宋体" w:hAnsi="宋体" w:eastAsia="宋体" w:cs="宋体"/>
          <w:color w:val="auto"/>
          <w:szCs w:val="21"/>
          <w:highlight w:val="none"/>
        </w:rPr>
      </w:pPr>
    </w:p>
    <w:p w14:paraId="05818651">
      <w:pPr>
        <w:adjustRightInd w:val="0"/>
        <w:spacing w:line="360" w:lineRule="auto"/>
        <w:ind w:firstLine="420" w:firstLineChars="200"/>
        <w:rPr>
          <w:rFonts w:hint="eastAsia" w:ascii="宋体" w:hAnsi="宋体" w:eastAsia="宋体" w:cs="宋体"/>
          <w:color w:val="auto"/>
          <w:szCs w:val="21"/>
          <w:highlight w:val="none"/>
        </w:rPr>
      </w:pPr>
    </w:p>
    <w:p w14:paraId="7FD745C3">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1AEFF257">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04642275">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4.2投标报价明细表</w:t>
      </w:r>
    </w:p>
    <w:p w14:paraId="40102491">
      <w:pPr>
        <w:pStyle w:val="9"/>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投标报价明细表</w:t>
      </w:r>
    </w:p>
    <w:p w14:paraId="2A8D2E8C">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eastAsia="zh-CN"/>
        </w:rPr>
        <w:t xml:space="preserve">浙江省社会主义学院“智慧教务”（2.0）建设项目 </w:t>
      </w:r>
    </w:p>
    <w:p w14:paraId="61B1371E">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ZJ-2470973-07</w:t>
      </w:r>
    </w:p>
    <w:p w14:paraId="1230A061">
      <w:pPr>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元人民币</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1E8826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noWrap w:val="0"/>
            <w:vAlign w:val="center"/>
          </w:tcPr>
          <w:p w14:paraId="6ADF21B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551" w:type="dxa"/>
            <w:tcBorders>
              <w:top w:val="single" w:color="auto" w:sz="8" w:space="0"/>
              <w:left w:val="single" w:color="auto" w:sz="2" w:space="0"/>
              <w:bottom w:val="single" w:color="auto" w:sz="2" w:space="0"/>
              <w:right w:val="single" w:color="auto" w:sz="2" w:space="0"/>
            </w:tcBorders>
            <w:noWrap w:val="0"/>
            <w:vAlign w:val="center"/>
          </w:tcPr>
          <w:p w14:paraId="551D779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费用名称</w:t>
            </w:r>
          </w:p>
        </w:tc>
        <w:tc>
          <w:tcPr>
            <w:tcW w:w="1659" w:type="dxa"/>
            <w:tcBorders>
              <w:top w:val="single" w:color="auto" w:sz="8" w:space="0"/>
              <w:left w:val="single" w:color="auto" w:sz="2" w:space="0"/>
              <w:bottom w:val="single" w:color="auto" w:sz="2" w:space="0"/>
              <w:right w:val="single" w:color="auto" w:sz="2" w:space="0"/>
            </w:tcBorders>
            <w:noWrap w:val="0"/>
            <w:vAlign w:val="center"/>
          </w:tcPr>
          <w:p w14:paraId="5737612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32" w:type="dxa"/>
            <w:tcBorders>
              <w:top w:val="single" w:color="auto" w:sz="8" w:space="0"/>
              <w:left w:val="single" w:color="auto" w:sz="2" w:space="0"/>
              <w:bottom w:val="single" w:color="auto" w:sz="2" w:space="0"/>
              <w:right w:val="single" w:color="auto" w:sz="2" w:space="0"/>
            </w:tcBorders>
            <w:noWrap w:val="0"/>
            <w:vAlign w:val="center"/>
          </w:tcPr>
          <w:p w14:paraId="07136BE7">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746" w:type="dxa"/>
            <w:tcBorders>
              <w:top w:val="single" w:color="auto" w:sz="8" w:space="0"/>
              <w:left w:val="single" w:color="auto" w:sz="2" w:space="0"/>
              <w:bottom w:val="single" w:color="auto" w:sz="2" w:space="0"/>
              <w:right w:val="single" w:color="auto" w:sz="2" w:space="0"/>
            </w:tcBorders>
            <w:noWrap w:val="0"/>
            <w:vAlign w:val="center"/>
          </w:tcPr>
          <w:p w14:paraId="32698343">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1127" w:type="dxa"/>
            <w:tcBorders>
              <w:top w:val="single" w:color="auto" w:sz="8" w:space="0"/>
              <w:left w:val="single" w:color="auto" w:sz="2" w:space="0"/>
              <w:bottom w:val="single" w:color="auto" w:sz="2" w:space="0"/>
              <w:right w:val="single" w:color="auto" w:sz="8" w:space="0"/>
            </w:tcBorders>
            <w:noWrap w:val="0"/>
            <w:vAlign w:val="center"/>
          </w:tcPr>
          <w:p w14:paraId="34F53D20">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9C351B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14:paraId="526800A0">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14:paraId="11BFB1E6">
            <w:pPr>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67316E85">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6FB1939F">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4356DE54">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C8826A2">
            <w:pPr>
              <w:spacing w:line="460" w:lineRule="exact"/>
              <w:jc w:val="center"/>
              <w:rPr>
                <w:rFonts w:hint="eastAsia" w:ascii="宋体" w:hAnsi="宋体" w:eastAsia="宋体" w:cs="宋体"/>
                <w:color w:val="auto"/>
                <w:szCs w:val="21"/>
                <w:highlight w:val="none"/>
              </w:rPr>
            </w:pPr>
          </w:p>
        </w:tc>
      </w:tr>
      <w:tr w14:paraId="4595A68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14:paraId="3E0B55B1">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14:paraId="7AF741D6">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7AE28147">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5EDC2CCF">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40B8BBDC">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2282123">
            <w:pPr>
              <w:spacing w:line="460" w:lineRule="exact"/>
              <w:jc w:val="center"/>
              <w:rPr>
                <w:rFonts w:hint="eastAsia" w:ascii="宋体" w:hAnsi="宋体" w:eastAsia="宋体" w:cs="宋体"/>
                <w:color w:val="auto"/>
                <w:szCs w:val="21"/>
                <w:highlight w:val="none"/>
              </w:rPr>
            </w:pPr>
          </w:p>
        </w:tc>
      </w:tr>
      <w:tr w14:paraId="3A3F73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14:paraId="24C77FEE">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14:paraId="686D308B">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1EAC634E">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5B0BB042">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3933D696">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1BE11A77">
            <w:pPr>
              <w:spacing w:line="460" w:lineRule="exact"/>
              <w:jc w:val="center"/>
              <w:rPr>
                <w:rFonts w:hint="eastAsia" w:ascii="宋体" w:hAnsi="宋体" w:eastAsia="宋体" w:cs="宋体"/>
                <w:color w:val="auto"/>
                <w:szCs w:val="21"/>
                <w:highlight w:val="none"/>
              </w:rPr>
            </w:pPr>
          </w:p>
        </w:tc>
      </w:tr>
      <w:tr w14:paraId="1B822FA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14:paraId="7AD2A17B">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14:paraId="75CA4A41">
            <w:pPr>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478A717B">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7AFD4348">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2A3D53C7">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9D0E00D">
            <w:pPr>
              <w:spacing w:line="460" w:lineRule="exact"/>
              <w:jc w:val="center"/>
              <w:rPr>
                <w:rFonts w:hint="eastAsia" w:ascii="宋体" w:hAnsi="宋体" w:eastAsia="宋体" w:cs="宋体"/>
                <w:color w:val="auto"/>
                <w:szCs w:val="21"/>
                <w:highlight w:val="none"/>
              </w:rPr>
            </w:pPr>
          </w:p>
        </w:tc>
      </w:tr>
      <w:tr w14:paraId="1E7C56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2D0B7770">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1861346A">
            <w:pPr>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5BD3F906">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04D0D360">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1D23C967">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46CF2BB4">
            <w:pPr>
              <w:spacing w:line="460" w:lineRule="exact"/>
              <w:jc w:val="center"/>
              <w:rPr>
                <w:rFonts w:hint="eastAsia" w:ascii="宋体" w:hAnsi="宋体" w:eastAsia="宋体" w:cs="宋体"/>
                <w:color w:val="auto"/>
                <w:szCs w:val="21"/>
                <w:highlight w:val="none"/>
              </w:rPr>
            </w:pPr>
          </w:p>
        </w:tc>
      </w:tr>
      <w:tr w14:paraId="43B33B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16444299">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3DEAFABA">
            <w:pPr>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237B4636">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35824D55">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01D71523">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C65A2D5">
            <w:pPr>
              <w:spacing w:line="460" w:lineRule="exact"/>
              <w:jc w:val="center"/>
              <w:rPr>
                <w:rFonts w:hint="eastAsia" w:ascii="宋体" w:hAnsi="宋体" w:eastAsia="宋体" w:cs="宋体"/>
                <w:color w:val="auto"/>
                <w:szCs w:val="21"/>
                <w:highlight w:val="none"/>
              </w:rPr>
            </w:pPr>
          </w:p>
        </w:tc>
      </w:tr>
      <w:tr w14:paraId="17B85E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31795EDC">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19146F67">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69E82C49">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3EA2BC82">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7D9EDF37">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3FA5CB5A">
            <w:pPr>
              <w:spacing w:line="460" w:lineRule="exact"/>
              <w:jc w:val="center"/>
              <w:rPr>
                <w:rFonts w:hint="eastAsia" w:ascii="宋体" w:hAnsi="宋体" w:eastAsia="宋体" w:cs="宋体"/>
                <w:color w:val="auto"/>
                <w:szCs w:val="21"/>
                <w:highlight w:val="none"/>
              </w:rPr>
            </w:pPr>
          </w:p>
        </w:tc>
      </w:tr>
      <w:tr w14:paraId="740A63D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21AD261C">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6FF9F1DB">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59B274EC">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479804D1">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14A1C538">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184A12A4">
            <w:pPr>
              <w:spacing w:line="460" w:lineRule="exact"/>
              <w:jc w:val="center"/>
              <w:rPr>
                <w:rFonts w:hint="eastAsia" w:ascii="宋体" w:hAnsi="宋体" w:eastAsia="宋体" w:cs="宋体"/>
                <w:color w:val="auto"/>
                <w:szCs w:val="21"/>
                <w:highlight w:val="none"/>
              </w:rPr>
            </w:pPr>
          </w:p>
        </w:tc>
      </w:tr>
      <w:tr w14:paraId="31F38D5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48ED9FB2">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277EDC29">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11448EF3">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70DB460B">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77B2A9C6">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41FB7294">
            <w:pPr>
              <w:spacing w:line="460" w:lineRule="exact"/>
              <w:jc w:val="center"/>
              <w:rPr>
                <w:rFonts w:hint="eastAsia" w:ascii="宋体" w:hAnsi="宋体" w:eastAsia="宋体" w:cs="宋体"/>
                <w:color w:val="auto"/>
                <w:szCs w:val="21"/>
                <w:highlight w:val="none"/>
              </w:rPr>
            </w:pPr>
          </w:p>
        </w:tc>
      </w:tr>
      <w:tr w14:paraId="71BF37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4E13C0E2">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280E418B">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5C2BD238">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6E4C1D96">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6C87E606">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D92C118">
            <w:pPr>
              <w:spacing w:line="460" w:lineRule="exact"/>
              <w:jc w:val="center"/>
              <w:rPr>
                <w:rFonts w:hint="eastAsia" w:ascii="宋体" w:hAnsi="宋体" w:eastAsia="宋体" w:cs="宋体"/>
                <w:color w:val="auto"/>
                <w:szCs w:val="21"/>
                <w:highlight w:val="none"/>
              </w:rPr>
            </w:pPr>
          </w:p>
        </w:tc>
      </w:tr>
      <w:tr w14:paraId="33CA9D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6F067E88">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33EB68E0">
            <w:pPr>
              <w:adjustRightInd w:val="0"/>
              <w:snapToGrid w:val="0"/>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1F701B3E">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7B8CD5CF">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05DE0AE7">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76FF367C">
            <w:pPr>
              <w:spacing w:line="460" w:lineRule="exact"/>
              <w:jc w:val="center"/>
              <w:rPr>
                <w:rFonts w:hint="eastAsia" w:ascii="宋体" w:hAnsi="宋体" w:eastAsia="宋体" w:cs="宋体"/>
                <w:color w:val="auto"/>
                <w:szCs w:val="21"/>
                <w:highlight w:val="none"/>
              </w:rPr>
            </w:pPr>
          </w:p>
        </w:tc>
      </w:tr>
      <w:tr w14:paraId="4F53656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2410F5FF">
            <w:pPr>
              <w:spacing w:line="460" w:lineRule="exact"/>
              <w:jc w:val="center"/>
              <w:rPr>
                <w:rFonts w:hint="eastAsia" w:ascii="宋体" w:hAnsi="宋体" w:eastAsia="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2E47DD7F">
            <w:pPr>
              <w:spacing w:line="460" w:lineRule="exact"/>
              <w:rPr>
                <w:rFonts w:hint="eastAsia" w:ascii="宋体" w:hAnsi="宋体" w:eastAsia="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051F4043">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48D56772">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100EDFC6">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0F677CC7">
            <w:pPr>
              <w:spacing w:line="460" w:lineRule="exact"/>
              <w:jc w:val="center"/>
              <w:rPr>
                <w:rFonts w:hint="eastAsia" w:ascii="宋体" w:hAnsi="宋体" w:eastAsia="宋体" w:cs="宋体"/>
                <w:color w:val="auto"/>
                <w:szCs w:val="21"/>
                <w:highlight w:val="none"/>
              </w:rPr>
            </w:pPr>
          </w:p>
        </w:tc>
      </w:tr>
      <w:tr w14:paraId="576C43E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14:paraId="04C7254D">
            <w:pPr>
              <w:spacing w:line="460" w:lineRule="exact"/>
              <w:jc w:val="center"/>
              <w:rPr>
                <w:rFonts w:hint="eastAsia" w:ascii="宋体" w:hAnsi="宋体" w:eastAsia="宋体" w:cs="宋体"/>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14:paraId="5F26A038">
            <w:pPr>
              <w:spacing w:line="460" w:lineRule="exact"/>
              <w:rPr>
                <w:rFonts w:hint="eastAsia" w:ascii="宋体" w:hAnsi="宋体" w:eastAsia="宋体" w:cs="宋体"/>
                <w:b/>
                <w:b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14:paraId="68CE3AED">
            <w:pPr>
              <w:spacing w:line="460" w:lineRule="exact"/>
              <w:jc w:val="center"/>
              <w:rPr>
                <w:rFonts w:hint="eastAsia" w:ascii="宋体" w:hAnsi="宋体" w:eastAsia="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14:paraId="1CCBAB02">
            <w:pPr>
              <w:spacing w:line="460" w:lineRule="exact"/>
              <w:jc w:val="center"/>
              <w:rPr>
                <w:rFonts w:hint="eastAsia" w:ascii="宋体" w:hAnsi="宋体" w:eastAsia="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14:paraId="4681769F">
            <w:pPr>
              <w:spacing w:line="460" w:lineRule="exact"/>
              <w:jc w:val="center"/>
              <w:rPr>
                <w:rFonts w:hint="eastAsia" w:ascii="宋体" w:hAnsi="宋体" w:eastAsia="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14:paraId="5251CBF2">
            <w:pPr>
              <w:spacing w:line="460" w:lineRule="exact"/>
              <w:jc w:val="center"/>
              <w:rPr>
                <w:rFonts w:hint="eastAsia" w:ascii="宋体" w:hAnsi="宋体" w:eastAsia="宋体" w:cs="宋体"/>
                <w:color w:val="auto"/>
                <w:szCs w:val="21"/>
                <w:highlight w:val="none"/>
              </w:rPr>
            </w:pPr>
          </w:p>
        </w:tc>
      </w:tr>
      <w:tr w14:paraId="7974D1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tcBorders>
              <w:top w:val="single" w:color="auto" w:sz="2" w:space="0"/>
              <w:left w:val="single" w:color="auto" w:sz="8" w:space="0"/>
              <w:bottom w:val="single" w:color="auto" w:sz="8" w:space="0"/>
              <w:right w:val="single" w:color="auto" w:sz="2" w:space="0"/>
            </w:tcBorders>
            <w:noWrap w:val="0"/>
            <w:vAlign w:val="center"/>
          </w:tcPr>
          <w:p w14:paraId="634CA195">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5664" w:type="dxa"/>
            <w:gridSpan w:val="4"/>
            <w:tcBorders>
              <w:top w:val="single" w:color="auto" w:sz="2" w:space="0"/>
              <w:left w:val="single" w:color="auto" w:sz="2" w:space="0"/>
              <w:bottom w:val="single" w:color="auto" w:sz="2" w:space="0"/>
              <w:right w:val="single" w:color="auto" w:sz="8" w:space="0"/>
            </w:tcBorders>
            <w:noWrap w:val="0"/>
            <w:vAlign w:val="center"/>
          </w:tcPr>
          <w:p w14:paraId="3F3A8B58">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r w14:paraId="6468C9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tcBorders>
              <w:top w:val="single" w:color="auto" w:sz="2" w:space="0"/>
              <w:left w:val="single" w:color="auto" w:sz="8" w:space="0"/>
              <w:bottom w:val="single" w:color="auto" w:sz="8" w:space="0"/>
              <w:right w:val="single" w:color="auto" w:sz="2" w:space="0"/>
            </w:tcBorders>
            <w:noWrap w:val="0"/>
            <w:vAlign w:val="center"/>
          </w:tcPr>
          <w:p w14:paraId="559F93BD">
            <w:pPr>
              <w:widowControl/>
              <w:jc w:val="left"/>
              <w:rPr>
                <w:rFonts w:hint="eastAsia" w:ascii="宋体" w:hAnsi="宋体" w:eastAsia="宋体" w:cs="宋体"/>
                <w:color w:val="auto"/>
                <w:szCs w:val="21"/>
                <w:highlight w:val="none"/>
              </w:rPr>
            </w:pPr>
          </w:p>
        </w:tc>
        <w:tc>
          <w:tcPr>
            <w:tcW w:w="5664" w:type="dxa"/>
            <w:gridSpan w:val="4"/>
            <w:tcBorders>
              <w:top w:val="single" w:color="auto" w:sz="2" w:space="0"/>
              <w:left w:val="single" w:color="auto" w:sz="2" w:space="0"/>
              <w:bottom w:val="single" w:color="auto" w:sz="8" w:space="0"/>
              <w:right w:val="single" w:color="auto" w:sz="8" w:space="0"/>
            </w:tcBorders>
            <w:noWrap w:val="0"/>
            <w:vAlign w:val="center"/>
          </w:tcPr>
          <w:p w14:paraId="24073E90">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r>
    </w:tbl>
    <w:p w14:paraId="45F73B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 投标人根据实际情况可在表中报价明细的基础上进行扩展。</w:t>
      </w:r>
    </w:p>
    <w:p w14:paraId="20EA8A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2.上表所述“</w:t>
      </w:r>
      <w:r>
        <w:rPr>
          <w:rFonts w:hint="eastAsia" w:ascii="宋体" w:hAnsi="宋体" w:eastAsia="宋体" w:cs="宋体"/>
          <w:color w:val="auto"/>
          <w:szCs w:val="21"/>
          <w:highlight w:val="none"/>
        </w:rPr>
        <w:t>投标总价</w:t>
      </w:r>
      <w:r>
        <w:rPr>
          <w:rFonts w:hint="eastAsia" w:ascii="宋体" w:hAnsi="宋体" w:eastAsia="宋体" w:cs="宋体"/>
          <w:color w:val="auto"/>
          <w:highlight w:val="none"/>
        </w:rPr>
        <w:t>”应与“开标一览表”中的总报价一致，如有矛盾，以“开标一览表”中的为准。</w:t>
      </w:r>
    </w:p>
    <w:p w14:paraId="461C9290">
      <w:pPr>
        <w:adjustRightIn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投标人（盖公章或电子签章）：</w:t>
      </w:r>
    </w:p>
    <w:p w14:paraId="05EA90E2">
      <w:pPr>
        <w:pStyle w:val="10"/>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日期：</w:t>
      </w:r>
    </w:p>
    <w:p w14:paraId="496C73B3">
      <w:pPr>
        <w:rPr>
          <w:rFonts w:hint="eastAsia" w:ascii="宋体" w:hAnsi="宋体" w:eastAsia="宋体" w:cs="宋体"/>
          <w:color w:val="auto"/>
          <w:highlight w:val="none"/>
        </w:rPr>
      </w:pPr>
    </w:p>
    <w:p w14:paraId="5756358A">
      <w:pPr>
        <w:pStyle w:val="2"/>
        <w:rPr>
          <w:rFonts w:hint="eastAsia" w:ascii="宋体" w:hAnsi="宋体" w:eastAsia="宋体" w:cs="宋体"/>
          <w:color w:val="auto"/>
          <w:highlight w:val="none"/>
        </w:rPr>
      </w:pPr>
    </w:p>
    <w:p w14:paraId="3C96CE02">
      <w:pPr>
        <w:rPr>
          <w:rFonts w:hint="eastAsia" w:ascii="宋体" w:hAnsi="宋体" w:eastAsia="宋体" w:cs="宋体"/>
          <w:color w:val="auto"/>
          <w:highlight w:val="none"/>
        </w:rPr>
      </w:pPr>
    </w:p>
    <w:p w14:paraId="34F6833C">
      <w:pPr>
        <w:pStyle w:val="2"/>
        <w:rPr>
          <w:rFonts w:hint="eastAsia" w:ascii="宋体" w:hAnsi="宋体" w:eastAsia="宋体" w:cs="宋体"/>
          <w:color w:val="auto"/>
          <w:highlight w:val="none"/>
        </w:rPr>
      </w:pPr>
    </w:p>
    <w:p w14:paraId="5723B5A0">
      <w:pPr>
        <w:rPr>
          <w:rFonts w:hint="eastAsia" w:ascii="宋体" w:hAnsi="宋体" w:eastAsia="宋体" w:cs="宋体"/>
          <w:color w:val="auto"/>
          <w:highlight w:val="none"/>
        </w:rPr>
      </w:pPr>
    </w:p>
    <w:p w14:paraId="36FFB46D">
      <w:pPr>
        <w:pStyle w:val="2"/>
        <w:rPr>
          <w:rFonts w:hint="eastAsia" w:ascii="宋体" w:hAnsi="宋体" w:eastAsia="宋体" w:cs="宋体"/>
          <w:color w:val="auto"/>
          <w:highlight w:val="none"/>
        </w:rPr>
      </w:pPr>
    </w:p>
    <w:p w14:paraId="005DDD6B">
      <w:pPr>
        <w:rPr>
          <w:rFonts w:hint="eastAsia" w:ascii="宋体" w:hAnsi="宋体" w:eastAsia="宋体" w:cs="宋体"/>
          <w:color w:val="auto"/>
          <w:highlight w:val="none"/>
        </w:rPr>
      </w:pPr>
    </w:p>
    <w:p w14:paraId="36A34DFC">
      <w:pPr>
        <w:pStyle w:val="2"/>
        <w:rPr>
          <w:rFonts w:hint="eastAsia" w:ascii="宋体" w:hAnsi="宋体" w:eastAsia="宋体" w:cs="宋体"/>
          <w:color w:val="auto"/>
          <w:highlight w:val="none"/>
        </w:rPr>
      </w:pPr>
    </w:p>
    <w:p w14:paraId="38D62033">
      <w:pPr>
        <w:rPr>
          <w:rFonts w:hint="eastAsia" w:ascii="宋体" w:hAnsi="宋体" w:eastAsia="宋体" w:cs="宋体"/>
          <w:color w:val="auto"/>
          <w:highlight w:val="none"/>
        </w:rPr>
      </w:pPr>
    </w:p>
    <w:p w14:paraId="12CB59D3">
      <w:pPr>
        <w:pStyle w:val="2"/>
        <w:rPr>
          <w:rFonts w:hint="eastAsia" w:ascii="宋体" w:hAnsi="宋体" w:eastAsia="宋体" w:cs="宋体"/>
          <w:color w:val="auto"/>
          <w:highlight w:val="none"/>
        </w:rPr>
      </w:pPr>
    </w:p>
    <w:p w14:paraId="673BBA2A">
      <w:pPr>
        <w:pStyle w:val="3"/>
        <w:spacing w:before="0" w:after="0" w:line="360" w:lineRule="auto"/>
        <w:jc w:val="center"/>
        <w:rPr>
          <w:rFonts w:hint="eastAsia" w:ascii="宋体" w:hAnsi="宋体" w:eastAsia="宋体" w:cs="宋体"/>
          <w:b/>
          <w:bCs/>
          <w:color w:val="auto"/>
          <w:sz w:val="32"/>
          <w:szCs w:val="32"/>
          <w:highlight w:val="none"/>
        </w:rPr>
      </w:pPr>
      <w:bookmarkStart w:id="604" w:name="_Toc17675"/>
      <w:bookmarkStart w:id="605" w:name="_Toc1030"/>
      <w:bookmarkStart w:id="606" w:name="_Toc31451"/>
      <w:bookmarkStart w:id="607" w:name="_Toc29263"/>
      <w:bookmarkStart w:id="608" w:name="_Toc12597"/>
      <w:bookmarkStart w:id="609" w:name="_Toc18699"/>
      <w:r>
        <w:rPr>
          <w:rFonts w:hint="eastAsia" w:ascii="宋体" w:hAnsi="宋体" w:eastAsia="宋体" w:cs="宋体"/>
          <w:b/>
          <w:bCs/>
          <w:color w:val="auto"/>
          <w:sz w:val="32"/>
          <w:szCs w:val="32"/>
          <w:highlight w:val="none"/>
        </w:rPr>
        <w:t>第七部分   其它</w:t>
      </w:r>
      <w:bookmarkEnd w:id="604"/>
      <w:bookmarkEnd w:id="605"/>
      <w:bookmarkEnd w:id="606"/>
      <w:bookmarkEnd w:id="607"/>
      <w:bookmarkEnd w:id="608"/>
      <w:bookmarkEnd w:id="609"/>
    </w:p>
    <w:p w14:paraId="37C0B220">
      <w:pPr>
        <w:pStyle w:val="43"/>
        <w:widowControl w:val="0"/>
        <w:snapToGrid w:val="0"/>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59A80D86">
      <w:pPr>
        <w:pStyle w:val="43"/>
        <w:widowControl w:val="0"/>
        <w:adjustRightInd w:val="0"/>
        <w:snapToGrid w:val="0"/>
        <w:spacing w:line="360" w:lineRule="auto"/>
        <w:jc w:val="both"/>
        <w:rPr>
          <w:rFonts w:hint="eastAsia" w:ascii="宋体" w:hAnsi="宋体" w:eastAsia="宋体" w:cs="宋体"/>
          <w:color w:val="auto"/>
          <w:kern w:val="0"/>
          <w:szCs w:val="21"/>
          <w:highlight w:val="none"/>
          <w:u w:val="single"/>
        </w:rPr>
      </w:pPr>
    </w:p>
    <w:p w14:paraId="0933C3CA">
      <w:pPr>
        <w:pStyle w:val="43"/>
        <w:widowControl w:val="0"/>
        <w:adjustRightInd w:val="0"/>
        <w:snapToGrid w:val="0"/>
        <w:spacing w:line="360" w:lineRule="auto"/>
        <w:jc w:val="both"/>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u w:val="single"/>
        </w:rPr>
        <w:t>浙江国际招投标有限公司</w:t>
      </w:r>
      <w:r>
        <w:rPr>
          <w:rFonts w:hint="eastAsia" w:ascii="宋体" w:hAnsi="宋体" w:eastAsia="宋体" w:cs="宋体"/>
          <w:color w:val="auto"/>
          <w:kern w:val="0"/>
          <w:szCs w:val="21"/>
          <w:highlight w:val="none"/>
        </w:rPr>
        <w:t>：</w:t>
      </w:r>
    </w:p>
    <w:p w14:paraId="4059E513">
      <w:pPr>
        <w:pStyle w:val="43"/>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 xml:space="preserve">浙江省社会主义学院“智慧教务”（2.0）建设项目 </w:t>
      </w:r>
      <w:r>
        <w:rPr>
          <w:rFonts w:hint="eastAsia" w:ascii="宋体" w:hAnsi="宋体" w:eastAsia="宋体" w:cs="宋体"/>
          <w:color w:val="auto"/>
          <w:spacing w:val="6"/>
          <w:szCs w:val="21"/>
          <w:highlight w:val="none"/>
          <w:u w:val="single"/>
        </w:rPr>
        <w:t>（项目编号：</w:t>
      </w:r>
      <w:r>
        <w:rPr>
          <w:rFonts w:hint="eastAsia" w:ascii="宋体" w:hAnsi="宋体" w:eastAsia="宋体" w:cs="宋体"/>
          <w:color w:val="auto"/>
          <w:spacing w:val="6"/>
          <w:szCs w:val="21"/>
          <w:highlight w:val="none"/>
          <w:u w:val="single"/>
          <w:lang w:eastAsia="zh-CN"/>
        </w:rPr>
        <w:t>ZJ-2470973-07</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50174AA7">
      <w:pPr>
        <w:pStyle w:val="42"/>
        <w:widowControl/>
        <w:numPr>
          <w:ilvl w:val="0"/>
          <w:numId w:val="32"/>
        </w:numPr>
        <w:adjustRightInd w:val="0"/>
        <w:snapToGrid w:val="0"/>
        <w:spacing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F8B4AC1">
      <w:pPr>
        <w:pStyle w:val="42"/>
        <w:widowControl/>
        <w:adjustRightInd w:val="0"/>
        <w:snapToGrid w:val="0"/>
        <w:spacing w:line="360" w:lineRule="auto"/>
        <w:ind w:firstLine="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34A71715">
      <w:pPr>
        <w:pStyle w:val="42"/>
        <w:widowControl/>
        <w:adjustRightInd w:val="0"/>
        <w:snapToGrid w:val="0"/>
        <w:spacing w:line="360" w:lineRule="auto"/>
        <w:ind w:firstLine="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A82906F">
      <w:pPr>
        <w:pStyle w:val="42"/>
        <w:widowControl/>
        <w:adjustRightInd w:val="0"/>
        <w:snapToGrid w:val="0"/>
        <w:spacing w:line="360" w:lineRule="auto"/>
        <w:ind w:firstLine="200"/>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D96BDD2">
      <w:pPr>
        <w:pStyle w:val="43"/>
        <w:widowControl w:val="0"/>
        <w:adjustRightInd w:val="0"/>
        <w:snapToGri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r>
        <w:rPr>
          <w:rFonts w:hint="eastAsia" w:ascii="宋体" w:hAnsi="宋体" w:eastAsia="宋体" w:cs="宋体"/>
          <w:snapToGrid w:val="0"/>
          <w:color w:val="auto"/>
          <w:kern w:val="0"/>
          <w:szCs w:val="21"/>
          <w:highlight w:val="none"/>
        </w:rPr>
        <w:t>；</w:t>
      </w:r>
    </w:p>
    <w:p w14:paraId="4A92299F">
      <w:pPr>
        <w:pStyle w:val="43"/>
        <w:widowControl w:val="0"/>
        <w:adjustRightInd w:val="0"/>
        <w:snapToGri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14:paraId="01EF439F">
      <w:pPr>
        <w:pStyle w:val="43"/>
        <w:widowControl w:val="0"/>
        <w:adjustRightInd w:val="0"/>
        <w:snapToGri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14:paraId="7B836B4A">
      <w:pPr>
        <w:pStyle w:val="43"/>
        <w:widowControl w:val="0"/>
        <w:adjustRightInd w:val="0"/>
        <w:snapToGri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14:paraId="39212C81">
      <w:pPr>
        <w:pStyle w:val="43"/>
        <w:widowControl w:val="0"/>
        <w:adjustRightInd w:val="0"/>
        <w:snapToGri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14:paraId="646F59F8">
      <w:pPr>
        <w:pStyle w:val="43"/>
        <w:widowControl w:val="0"/>
        <w:adjustRightInd w:val="0"/>
        <w:snapToGri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14:paraId="0D153415">
      <w:pPr>
        <w:pStyle w:val="43"/>
        <w:widowControl w:val="0"/>
        <w:adjustRightInd w:val="0"/>
        <w:snapToGrid w:val="0"/>
        <w:spacing w:line="360" w:lineRule="auto"/>
        <w:ind w:firstLine="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14:paraId="15DD4132">
      <w:pPr>
        <w:pStyle w:val="43"/>
        <w:widowControl w:val="0"/>
        <w:adjustRightInd w:val="0"/>
        <w:snapToGrid w:val="0"/>
        <w:spacing w:line="360" w:lineRule="auto"/>
        <w:ind w:firstLine="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6C683AB6">
      <w:pPr>
        <w:pStyle w:val="43"/>
        <w:widowControl w:val="0"/>
        <w:adjustRightInd w:val="0"/>
        <w:snapToGrid w:val="0"/>
        <w:spacing w:line="360" w:lineRule="auto"/>
        <w:ind w:firstLine="200"/>
        <w:jc w:val="both"/>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769ACB7">
      <w:pPr>
        <w:pStyle w:val="42"/>
        <w:widowControl/>
        <w:numPr>
          <w:ilvl w:val="0"/>
          <w:numId w:val="33"/>
        </w:numPr>
        <w:adjustRightInd w:val="0"/>
        <w:snapToGrid w:val="0"/>
        <w:spacing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2689CB12">
      <w:pPr>
        <w:pStyle w:val="42"/>
        <w:widowControl/>
        <w:numPr>
          <w:ilvl w:val="0"/>
          <w:numId w:val="33"/>
        </w:numPr>
        <w:adjustRightInd w:val="0"/>
        <w:snapToGrid w:val="0"/>
        <w:spacing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57F504FC">
      <w:pPr>
        <w:pStyle w:val="42"/>
        <w:widowControl/>
        <w:adjustRightInd w:val="0"/>
        <w:snapToGrid w:val="0"/>
        <w:spacing w:line="360" w:lineRule="auto"/>
        <w:rPr>
          <w:rFonts w:hint="eastAsia" w:ascii="宋体" w:hAnsi="宋体" w:eastAsia="宋体" w:cs="宋体"/>
          <w:color w:val="auto"/>
          <w:kern w:val="0"/>
          <w:szCs w:val="21"/>
          <w:highlight w:val="none"/>
        </w:rPr>
      </w:pPr>
    </w:p>
    <w:p w14:paraId="4F345608">
      <w:pPr>
        <w:pStyle w:val="43"/>
        <w:widowControl w:val="0"/>
        <w:adjustRightInd w:val="0"/>
        <w:snapToGrid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14:paraId="543CAF03">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年  月  日 </w:t>
      </w:r>
    </w:p>
    <w:p w14:paraId="5A1AAC50">
      <w:pPr>
        <w:spacing w:line="3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特别说明：</w:t>
      </w:r>
      <w:r>
        <w:rPr>
          <w:rFonts w:hint="eastAsia" w:ascii="宋体" w:hAnsi="宋体" w:eastAsia="宋体" w:cs="宋体"/>
          <w:b/>
          <w:bCs/>
          <w:color w:val="auto"/>
          <w:szCs w:val="21"/>
          <w:highlight w:val="none"/>
        </w:rPr>
        <w:t>《政府采购活动现场确认声明书》</w:t>
      </w:r>
      <w:r>
        <w:rPr>
          <w:rFonts w:hint="eastAsia" w:ascii="宋体" w:hAnsi="宋体" w:eastAsia="宋体" w:cs="宋体"/>
          <w:b/>
          <w:bCs/>
          <w:color w:val="auto"/>
          <w:szCs w:val="21"/>
          <w:highlight w:val="none"/>
          <w:lang w:val="en-US" w:eastAsia="zh-CN"/>
        </w:rPr>
        <w:t>应</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lang w:val="en-US" w:eastAsia="zh-CN"/>
        </w:rPr>
        <w:t>标书开启</w:t>
      </w:r>
      <w:r>
        <w:rPr>
          <w:rFonts w:hint="eastAsia" w:ascii="宋体" w:hAnsi="宋体" w:eastAsia="宋体" w:cs="宋体"/>
          <w:b/>
          <w:bCs/>
          <w:color w:val="auto"/>
          <w:szCs w:val="21"/>
          <w:highlight w:val="none"/>
        </w:rPr>
        <w:t>后30分钟内发送至zq017@163.com。</w:t>
      </w:r>
    </w:p>
    <w:p w14:paraId="2136AB6D">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质疑函范本</w:t>
      </w:r>
    </w:p>
    <w:p w14:paraId="564A35CE">
      <w:pPr>
        <w:adjustRightInd w:val="0"/>
        <w:snapToGrid w:val="0"/>
        <w:spacing w:before="312" w:beforeLines="100"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0B1902DE">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u w:val="dotted"/>
        </w:rPr>
        <w:t xml:space="preserve">                                        </w:t>
      </w:r>
    </w:p>
    <w:p w14:paraId="1B155FC8">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54081E3D">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25B20456">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p>
    <w:p w14:paraId="247F61B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58A43782">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19DEE022">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6260B1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dotted"/>
        </w:rPr>
        <w:t xml:space="preserve">                                      </w:t>
      </w:r>
    </w:p>
    <w:p w14:paraId="46D2EE92">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3D271BE9">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p>
    <w:p w14:paraId="5A811106">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u w:val="dotted"/>
        </w:rPr>
        <w:t xml:space="preserve">                                    </w:t>
      </w:r>
    </w:p>
    <w:p w14:paraId="62E42776">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66C555F1">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u w:val="dotted"/>
        </w:rPr>
        <w:t xml:space="preserve">                                         </w:t>
      </w:r>
    </w:p>
    <w:p w14:paraId="403DAFF8">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17ECBA7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29B0631">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50AE0FD9">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5A9CEDE1">
      <w:pPr>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99E826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EA2FAC6">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6A88268A">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p>
    <w:p w14:paraId="075C68E5">
      <w:pPr>
        <w:spacing w:line="360" w:lineRule="auto"/>
        <w:rPr>
          <w:rFonts w:hint="eastAsia" w:ascii="宋体" w:hAnsi="宋体" w:eastAsia="宋体" w:cs="宋体"/>
          <w:color w:val="auto"/>
          <w:szCs w:val="21"/>
          <w:highlight w:val="none"/>
        </w:rPr>
      </w:pPr>
    </w:p>
    <w:p w14:paraId="749487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27E39A47">
      <w:pPr>
        <w:spacing w:line="360" w:lineRule="auto"/>
        <w:rPr>
          <w:rFonts w:hint="eastAsia" w:ascii="宋体" w:hAnsi="宋体" w:eastAsia="宋体" w:cs="宋体"/>
          <w:color w:val="auto"/>
          <w:szCs w:val="21"/>
          <w:highlight w:val="none"/>
        </w:rPr>
      </w:pPr>
    </w:p>
    <w:p w14:paraId="4934F8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14:paraId="25D1E622">
      <w:pPr>
        <w:adjustRightInd w:val="0"/>
        <w:snapToGrid w:val="0"/>
        <w:spacing w:line="360" w:lineRule="auto"/>
        <w:rPr>
          <w:rFonts w:hint="eastAsia" w:ascii="宋体" w:hAnsi="宋体" w:eastAsia="宋体" w:cs="宋体"/>
          <w:color w:val="auto"/>
          <w:szCs w:val="21"/>
          <w:highlight w:val="none"/>
        </w:rPr>
      </w:pPr>
    </w:p>
    <w:p w14:paraId="0E3FDBA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质疑函制作说明：</w:t>
      </w:r>
    </w:p>
    <w:p w14:paraId="122F8E4E">
      <w:pPr>
        <w:pStyle w:val="9"/>
        <w:rPr>
          <w:rFonts w:hint="eastAsia" w:ascii="宋体" w:hAnsi="宋体" w:eastAsia="宋体" w:cs="宋体"/>
          <w:color w:val="auto"/>
          <w:sz w:val="21"/>
          <w:szCs w:val="21"/>
          <w:highlight w:val="none"/>
        </w:rPr>
      </w:pPr>
    </w:p>
    <w:p w14:paraId="0C1AED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26C828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373B33C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739AED7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0DC6DF7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60E79AB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71C9B3F">
      <w:pPr>
        <w:widowControl/>
        <w:ind w:firstLine="480" w:firstLineChars="200"/>
        <w:jc w:val="left"/>
        <w:rPr>
          <w:rFonts w:hint="eastAsia" w:ascii="宋体" w:hAnsi="宋体" w:eastAsia="宋体" w:cs="宋体"/>
          <w:color w:val="auto"/>
          <w:sz w:val="24"/>
          <w:highlight w:val="none"/>
        </w:rPr>
      </w:pPr>
    </w:p>
    <w:p w14:paraId="5E2BAD92">
      <w:pPr>
        <w:rPr>
          <w:rFonts w:hint="eastAsia" w:ascii="宋体" w:hAnsi="宋体" w:eastAsia="宋体" w:cs="宋体"/>
          <w:color w:val="auto"/>
          <w:highlight w:val="none"/>
        </w:rPr>
      </w:pPr>
    </w:p>
    <w:p w14:paraId="732B7AA5">
      <w:pPr>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p>
    <w:p w14:paraId="601EE023">
      <w:pPr>
        <w:tabs>
          <w:tab w:val="left" w:pos="0"/>
        </w:tabs>
        <w:autoSpaceDE w:val="0"/>
        <w:autoSpaceDN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投诉书范本</w:t>
      </w:r>
    </w:p>
    <w:p w14:paraId="15994A0A">
      <w:pPr>
        <w:spacing w:line="360" w:lineRule="auto"/>
        <w:rPr>
          <w:rFonts w:hint="eastAsia" w:ascii="宋体" w:hAnsi="宋体" w:eastAsia="宋体" w:cs="宋体"/>
          <w:color w:val="auto"/>
          <w:szCs w:val="21"/>
          <w:highlight w:val="none"/>
        </w:rPr>
      </w:pPr>
    </w:p>
    <w:p w14:paraId="710624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37CF3E3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r>
        <w:rPr>
          <w:rFonts w:hint="eastAsia" w:ascii="宋体" w:hAnsi="宋体" w:eastAsia="宋体" w:cs="宋体"/>
          <w:color w:val="auto"/>
          <w:szCs w:val="21"/>
          <w:highlight w:val="none"/>
          <w:u w:val="dotted"/>
        </w:rPr>
        <w:t xml:space="preserve">                                               </w:t>
      </w:r>
    </w:p>
    <w:p w14:paraId="743321E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303CE1ED">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2D6CC2D8">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3DF4A4E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6F01340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681B1E68">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r>
        <w:rPr>
          <w:rFonts w:hint="eastAsia" w:ascii="宋体" w:hAnsi="宋体" w:eastAsia="宋体" w:cs="宋体"/>
          <w:color w:val="auto"/>
          <w:szCs w:val="21"/>
          <w:highlight w:val="none"/>
          <w:u w:val="dotted"/>
        </w:rPr>
        <w:t xml:space="preserve">                                           </w:t>
      </w:r>
    </w:p>
    <w:p w14:paraId="1229762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6CC3FCA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09C842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51610A26">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78603F7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r>
        <w:rPr>
          <w:rFonts w:hint="eastAsia" w:ascii="宋体" w:hAnsi="宋体" w:eastAsia="宋体" w:cs="宋体"/>
          <w:color w:val="auto"/>
          <w:szCs w:val="21"/>
          <w:highlight w:val="none"/>
          <w:u w:val="dotted"/>
        </w:rPr>
        <w:t xml:space="preserve">                                           </w:t>
      </w:r>
    </w:p>
    <w:p w14:paraId="621272B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6E95540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2806C5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53B6417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dotted"/>
        </w:rPr>
        <w:t xml:space="preserve">                                        </w:t>
      </w:r>
    </w:p>
    <w:p w14:paraId="1FE2145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0C9CCB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p>
    <w:p w14:paraId="25F665B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color w:val="auto"/>
          <w:szCs w:val="21"/>
          <w:highlight w:val="none"/>
          <w:u w:val="dotted"/>
        </w:rPr>
        <w:t xml:space="preserve">                                         </w:t>
      </w:r>
    </w:p>
    <w:p w14:paraId="3177137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r>
        <w:rPr>
          <w:rFonts w:hint="eastAsia" w:ascii="宋体" w:hAnsi="宋体" w:eastAsia="宋体" w:cs="宋体"/>
          <w:color w:val="auto"/>
          <w:szCs w:val="21"/>
          <w:highlight w:val="none"/>
          <w:u w:val="dotted"/>
        </w:rPr>
        <w:t xml:space="preserve">                          </w:t>
      </w:r>
    </w:p>
    <w:p w14:paraId="1DC6C3B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r>
        <w:rPr>
          <w:rFonts w:hint="eastAsia" w:ascii="宋体" w:hAnsi="宋体" w:eastAsia="宋体" w:cs="宋体"/>
          <w:color w:val="auto"/>
          <w:szCs w:val="21"/>
          <w:highlight w:val="none"/>
          <w:u w:val="dotted"/>
        </w:rPr>
        <w:t xml:space="preserve">                        </w:t>
      </w:r>
    </w:p>
    <w:p w14:paraId="2F0072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3A1FEB0D">
      <w:pPr>
        <w:spacing w:line="360" w:lineRule="auto"/>
        <w:ind w:firstLine="420" w:firstLineChars="2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提出质疑，质疑事项为：</w:t>
      </w:r>
      <w:r>
        <w:rPr>
          <w:rFonts w:hint="eastAsia" w:ascii="宋体" w:hAnsi="宋体" w:eastAsia="宋体" w:cs="宋体"/>
          <w:color w:val="auto"/>
          <w:szCs w:val="21"/>
          <w:highlight w:val="none"/>
          <w:u w:val="dotted"/>
        </w:rPr>
        <w:t xml:space="preserve">                                </w:t>
      </w:r>
    </w:p>
    <w:p w14:paraId="3862EFD4">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AD3C6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采购人/代理机构</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日，就质疑事项作出了答复/没有在法定期限内作出答复。</w:t>
      </w:r>
    </w:p>
    <w:p w14:paraId="646E2B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12AF031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 1：</w:t>
      </w:r>
      <w:r>
        <w:rPr>
          <w:rFonts w:hint="eastAsia" w:ascii="宋体" w:hAnsi="宋体" w:eastAsia="宋体" w:cs="宋体"/>
          <w:color w:val="auto"/>
          <w:szCs w:val="21"/>
          <w:highlight w:val="none"/>
          <w:u w:val="dotted"/>
        </w:rPr>
        <w:t xml:space="preserve">                                       </w:t>
      </w:r>
    </w:p>
    <w:p w14:paraId="740C8F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2F203DA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3F3F753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146ADCA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63048F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6D90C22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5095E9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62A4BB5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6227B9D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41A5D1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4ED7A6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14:paraId="1E0F7082">
      <w:pPr>
        <w:spacing w:line="360" w:lineRule="auto"/>
        <w:rPr>
          <w:rFonts w:hint="eastAsia" w:ascii="宋体" w:hAnsi="宋体" w:eastAsia="宋体" w:cs="宋体"/>
          <w:b/>
          <w:color w:val="auto"/>
          <w:szCs w:val="21"/>
          <w:highlight w:val="none"/>
        </w:rPr>
      </w:pPr>
    </w:p>
    <w:p w14:paraId="5F3068AD">
      <w:pPr>
        <w:spacing w:line="360" w:lineRule="auto"/>
        <w:rPr>
          <w:rFonts w:hint="eastAsia" w:ascii="宋体" w:hAnsi="宋体" w:eastAsia="宋体" w:cs="宋体"/>
          <w:b/>
          <w:color w:val="auto"/>
          <w:szCs w:val="21"/>
          <w:highlight w:val="none"/>
        </w:rPr>
      </w:pPr>
    </w:p>
    <w:p w14:paraId="086E4C32">
      <w:pPr>
        <w:spacing w:line="360" w:lineRule="auto"/>
        <w:rPr>
          <w:rFonts w:hint="eastAsia" w:ascii="宋体" w:hAnsi="宋体" w:eastAsia="宋体" w:cs="宋体"/>
          <w:b/>
          <w:color w:val="auto"/>
          <w:szCs w:val="21"/>
          <w:highlight w:val="none"/>
        </w:rPr>
      </w:pPr>
    </w:p>
    <w:p w14:paraId="49B5C3E3">
      <w:pPr>
        <w:spacing w:line="360" w:lineRule="auto"/>
        <w:rPr>
          <w:rFonts w:hint="eastAsia" w:ascii="宋体" w:hAnsi="宋体" w:eastAsia="宋体" w:cs="宋体"/>
          <w:b/>
          <w:color w:val="auto"/>
          <w:szCs w:val="21"/>
          <w:highlight w:val="none"/>
        </w:rPr>
      </w:pPr>
    </w:p>
    <w:p w14:paraId="4A6644E6">
      <w:pPr>
        <w:spacing w:line="360" w:lineRule="auto"/>
        <w:rPr>
          <w:rFonts w:hint="eastAsia" w:ascii="宋体" w:hAnsi="宋体" w:eastAsia="宋体" w:cs="宋体"/>
          <w:b/>
          <w:color w:val="auto"/>
          <w:szCs w:val="21"/>
          <w:highlight w:val="none"/>
        </w:rPr>
      </w:pPr>
    </w:p>
    <w:p w14:paraId="0AD4A1ED">
      <w:pPr>
        <w:spacing w:line="360" w:lineRule="auto"/>
        <w:rPr>
          <w:rFonts w:hint="eastAsia" w:ascii="宋体" w:hAnsi="宋体" w:eastAsia="宋体" w:cs="宋体"/>
          <w:b/>
          <w:color w:val="auto"/>
          <w:szCs w:val="21"/>
          <w:highlight w:val="none"/>
        </w:rPr>
      </w:pPr>
    </w:p>
    <w:p w14:paraId="778667BA">
      <w:pPr>
        <w:spacing w:line="360" w:lineRule="auto"/>
        <w:rPr>
          <w:rFonts w:hint="eastAsia" w:ascii="宋体" w:hAnsi="宋体" w:eastAsia="宋体" w:cs="宋体"/>
          <w:b/>
          <w:color w:val="auto"/>
          <w:szCs w:val="21"/>
          <w:highlight w:val="none"/>
        </w:rPr>
      </w:pPr>
    </w:p>
    <w:p w14:paraId="2034392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CEB1FB6">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投诉书制作说明：</w:t>
      </w:r>
    </w:p>
    <w:p w14:paraId="232C2F5D">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1C8BC908">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Cs w:val="21"/>
          <w:highlight w:val="none"/>
        </w:rPr>
        <w:t>投诉人签署的授权委托书。授权委托书应当载明代</w:t>
      </w:r>
      <w:r>
        <w:rPr>
          <w:rFonts w:hint="eastAsia" w:ascii="宋体" w:hAnsi="宋体" w:eastAsia="宋体" w:cs="宋体"/>
          <w:color w:val="auto"/>
          <w:szCs w:val="21"/>
          <w:highlight w:val="none"/>
        </w:rPr>
        <w:t>理人的姓名或者名称、代理事项、具体权限、期限和相关事项。</w:t>
      </w:r>
    </w:p>
    <w:p w14:paraId="12219D51">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4B69375F">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34ED46D8">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57532CD0">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655A850B">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36795AFF">
      <w:pPr>
        <w:spacing w:line="360" w:lineRule="auto"/>
        <w:jc w:val="center"/>
        <w:rPr>
          <w:rFonts w:hint="eastAsia" w:ascii="宋体" w:hAnsi="宋体" w:eastAsia="宋体" w:cs="宋体"/>
          <w:color w:val="auto"/>
          <w:sz w:val="30"/>
          <w:szCs w:val="30"/>
          <w:highlight w:val="none"/>
        </w:rPr>
      </w:pPr>
    </w:p>
    <w:p w14:paraId="1F3FFA70">
      <w:pPr>
        <w:rPr>
          <w:rFonts w:hint="eastAsia" w:ascii="宋体" w:hAnsi="宋体" w:eastAsia="宋体" w:cs="宋体"/>
          <w:color w:val="auto"/>
          <w:szCs w:val="21"/>
          <w:highlight w:val="none"/>
        </w:rPr>
      </w:pPr>
    </w:p>
    <w:p w14:paraId="5723A695">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ED248C2">
      <w:pPr>
        <w:rPr>
          <w:rFonts w:hint="eastAsia" w:ascii="宋体" w:hAnsi="宋体" w:eastAsia="宋体" w:cs="宋体"/>
          <w:color w:val="auto"/>
          <w:szCs w:val="21"/>
          <w:highlight w:val="none"/>
        </w:rPr>
      </w:pPr>
    </w:p>
    <w:p w14:paraId="7E022051">
      <w:pPr>
        <w:rPr>
          <w:rFonts w:hint="eastAsia" w:ascii="宋体" w:hAnsi="宋体" w:eastAsia="宋体" w:cs="宋体"/>
          <w:color w:val="auto"/>
          <w:highlight w:val="none"/>
        </w:rPr>
      </w:pPr>
    </w:p>
    <w:p w14:paraId="5EBB6D8D">
      <w:pPr>
        <w:rPr>
          <w:rFonts w:hint="eastAsia" w:ascii="宋体" w:hAnsi="宋体" w:eastAsia="宋体" w:cs="宋体"/>
          <w:color w:val="auto"/>
          <w:highlight w:val="none"/>
        </w:rPr>
      </w:pPr>
    </w:p>
    <w:p w14:paraId="18DB98DC">
      <w:pPr>
        <w:rPr>
          <w:rFonts w:hint="eastAsia" w:ascii="宋体" w:hAnsi="宋体" w:eastAsia="宋体" w:cs="宋体"/>
          <w:color w:val="auto"/>
          <w:highlight w:val="none"/>
        </w:rPr>
      </w:pPr>
    </w:p>
    <w:p w14:paraId="0C704EDF">
      <w:pPr>
        <w:rPr>
          <w:rFonts w:hint="eastAsia" w:ascii="宋体" w:hAnsi="宋体" w:eastAsia="宋体" w:cs="宋体"/>
          <w:color w:val="auto"/>
          <w:highlight w:val="none"/>
        </w:rPr>
      </w:pPr>
    </w:p>
    <w:sectPr>
      <w:headerReference r:id="rId6" w:type="default"/>
      <w:footerReference r:id="rId7" w:type="default"/>
      <w:pgSz w:w="11906" w:h="16838"/>
      <w:pgMar w:top="1247" w:right="1587" w:bottom="1089" w:left="1587" w:header="850" w:footer="992" w:gutter="0"/>
      <w:cols w:space="720" w:num="1"/>
      <w:formProt w:val="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FE2B">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0EC93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70EC93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6C35">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311BAF7">
                          <w:pPr>
                            <w:pStyle w:val="13"/>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3311BAF7">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A0C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6830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566830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D95B">
    <w:pPr>
      <w:pStyle w:val="13"/>
      <w:ind w:right="360"/>
      <w:jc w:val="center"/>
    </w:pPr>
    <w:r>
      <w:fldChar w:fldCharType="begin"/>
    </w:r>
    <w:r>
      <w:rPr>
        <w:rStyle w:val="27"/>
      </w:rPr>
      <w:instrText xml:space="preserve"> PAGE </w:instrText>
    </w:r>
    <w:r>
      <w:fldChar w:fldCharType="separate"/>
    </w:r>
    <w:r>
      <w:rPr>
        <w:rStyle w:val="27"/>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6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pPr>
        <w:ind w:left="0" w:firstLine="0"/>
      </w:pPr>
    </w:lvl>
  </w:abstractNum>
  <w:abstractNum w:abstractNumId="2">
    <w:nsid w:val="A0025F48"/>
    <w:multiLevelType w:val="multilevel"/>
    <w:tmpl w:val="A0025F48"/>
    <w:lvl w:ilvl="0" w:tentative="0">
      <w:start w:val="1"/>
      <w:numFmt w:val="chineseCounting"/>
      <w:suff w:val="nothing"/>
      <w:lvlText w:val="第%1章 "/>
      <w:lvlJc w:val="left"/>
      <w:pPr>
        <w:tabs>
          <w:tab w:val="left" w:pos="0"/>
        </w:tabs>
        <w:ind w:left="0" w:firstLine="0"/>
      </w:pPr>
      <w:rPr>
        <w:rFonts w:hint="eastAsia" w:ascii="黑体" w:hAnsi="黑体" w:eastAsia="黑体" w:cs="宋体"/>
        <w:sz w:val="32"/>
        <w:szCs w:val="32"/>
      </w:rPr>
    </w:lvl>
    <w:lvl w:ilvl="1" w:tentative="0">
      <w:start w:val="1"/>
      <w:numFmt w:val="chineseCounting"/>
      <w:pStyle w:val="58"/>
      <w:suff w:val="nothing"/>
      <w:lvlText w:val="%2、"/>
      <w:lvlJc w:val="left"/>
      <w:pPr>
        <w:ind w:left="0" w:firstLine="0"/>
      </w:pPr>
      <w:rPr>
        <w:rFonts w:hint="eastAsia" w:ascii="宋体" w:hAnsi="宋体" w:eastAsia="宋体" w:cs="宋体"/>
        <w:sz w:val="21"/>
        <w:szCs w:val="21"/>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FullWidth"/>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748B2BA"/>
    <w:multiLevelType w:val="singleLevel"/>
    <w:tmpl w:val="A748B2BA"/>
    <w:lvl w:ilvl="0" w:tentative="0">
      <w:start w:val="1"/>
      <w:numFmt w:val="decimal"/>
      <w:lvlText w:val="%1."/>
      <w:lvlJc w:val="left"/>
      <w:pPr>
        <w:tabs>
          <w:tab w:val="left" w:pos="312"/>
        </w:tabs>
        <w:ind w:left="0" w:firstLine="0"/>
      </w:pPr>
    </w:lvl>
  </w:abstractNum>
  <w:abstractNum w:abstractNumId="4">
    <w:nsid w:val="AB92FBAC"/>
    <w:multiLevelType w:val="singleLevel"/>
    <w:tmpl w:val="AB92FBAC"/>
    <w:lvl w:ilvl="0" w:tentative="0">
      <w:start w:val="1"/>
      <w:numFmt w:val="decimalEnclosedCircleChinese"/>
      <w:suff w:val="nothing"/>
      <w:lvlText w:val="%1　"/>
      <w:lvlJc w:val="left"/>
      <w:pPr>
        <w:ind w:left="0" w:firstLine="400"/>
      </w:pPr>
    </w:lvl>
  </w:abstractNum>
  <w:abstractNum w:abstractNumId="5">
    <w:nsid w:val="B7222C99"/>
    <w:multiLevelType w:val="singleLevel"/>
    <w:tmpl w:val="B7222C99"/>
    <w:lvl w:ilvl="0" w:tentative="0">
      <w:start w:val="1"/>
      <w:numFmt w:val="chineseCounting"/>
      <w:suff w:val="nothing"/>
      <w:lvlText w:val="%1、"/>
      <w:lvlJc w:val="left"/>
      <w:pPr>
        <w:ind w:left="0" w:firstLine="420"/>
      </w:pPr>
      <w:rPr>
        <w:rFonts w:hint="eastAsia"/>
      </w:rPr>
    </w:lvl>
  </w:abstractNum>
  <w:abstractNum w:abstractNumId="6">
    <w:nsid w:val="C6F8929E"/>
    <w:multiLevelType w:val="multilevel"/>
    <w:tmpl w:val="C6F8929E"/>
    <w:lvl w:ilvl="0" w:tentative="0">
      <w:start w:val="1"/>
      <w:numFmt w:val="chineseCounting"/>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chineseCounting"/>
      <w:suff w:val="nothing"/>
      <w:lvlText w:val="%2、"/>
      <w:lvlJc w:val="left"/>
      <w:pPr>
        <w:ind w:left="0" w:firstLine="0"/>
      </w:pPr>
      <w:rPr>
        <w:rFonts w:hint="eastAsia" w:ascii="黑体" w:hAnsi="黑体" w:eastAsia="黑体" w:cs="宋体"/>
        <w:sz w:val="32"/>
        <w:szCs w:val="32"/>
      </w:rPr>
    </w:lvl>
    <w:lvl w:ilvl="2" w:tentative="0">
      <w:start w:val="1"/>
      <w:numFmt w:val="chineseCounting"/>
      <w:pStyle w:val="45"/>
      <w:suff w:val="nothing"/>
      <w:lvlText w:val="（%3）"/>
      <w:lvlJc w:val="left"/>
      <w:pPr>
        <w:ind w:left="0" w:firstLine="400"/>
      </w:pPr>
      <w:rPr>
        <w:rFonts w:hint="eastAsia" w:ascii="宋体" w:hAnsi="宋体" w:eastAsia="宋体" w:cs="宋体"/>
      </w:rPr>
    </w:lvl>
    <w:lvl w:ilvl="3" w:tentative="0">
      <w:start w:val="1"/>
      <w:numFmt w:val="decimal"/>
      <w:pStyle w:val="48"/>
      <w:suff w:val="nothing"/>
      <w:lvlText w:val="%4. "/>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8E4A651"/>
    <w:multiLevelType w:val="singleLevel"/>
    <w:tmpl w:val="C8E4A651"/>
    <w:lvl w:ilvl="0" w:tentative="0">
      <w:start w:val="1"/>
      <w:numFmt w:val="decimal"/>
      <w:lvlText w:val="(%1)"/>
      <w:lvlJc w:val="left"/>
      <w:pPr>
        <w:ind w:left="425" w:hanging="425"/>
      </w:pPr>
    </w:lvl>
  </w:abstractNum>
  <w:abstractNum w:abstractNumId="8">
    <w:nsid w:val="D44A8FEE"/>
    <w:multiLevelType w:val="singleLevel"/>
    <w:tmpl w:val="D44A8FEE"/>
    <w:lvl w:ilvl="0" w:tentative="0">
      <w:start w:val="1"/>
      <w:numFmt w:val="decimal"/>
      <w:lvlText w:val="%1."/>
      <w:lvlJc w:val="left"/>
      <w:pPr>
        <w:tabs>
          <w:tab w:val="left" w:pos="312"/>
        </w:tabs>
      </w:pPr>
    </w:lvl>
  </w:abstractNum>
  <w:abstractNum w:abstractNumId="9">
    <w:nsid w:val="D5B14AB9"/>
    <w:multiLevelType w:val="multilevel"/>
    <w:tmpl w:val="D5B14AB9"/>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0">
    <w:nsid w:val="D70C1AA7"/>
    <w:multiLevelType w:val="singleLevel"/>
    <w:tmpl w:val="D70C1AA7"/>
    <w:lvl w:ilvl="0" w:tentative="0">
      <w:start w:val="1"/>
      <w:numFmt w:val="decimal"/>
      <w:suff w:val="nothing"/>
      <w:lvlText w:val="%1．"/>
      <w:lvlJc w:val="left"/>
      <w:pPr>
        <w:ind w:left="0" w:firstLine="400"/>
      </w:pPr>
      <w:rPr>
        <w:rFonts w:hint="default"/>
      </w:rPr>
    </w:lvl>
  </w:abstractNum>
  <w:abstractNum w:abstractNumId="11">
    <w:nsid w:val="EDA0B1C6"/>
    <w:multiLevelType w:val="multilevel"/>
    <w:tmpl w:val="EDA0B1C6"/>
    <w:lvl w:ilvl="0" w:tentative="0">
      <w:start w:val="1"/>
      <w:numFmt w:val="chineseCounting"/>
      <w:suff w:val="nothing"/>
      <w:lvlText w:val="第%1章 "/>
      <w:lvlJc w:val="left"/>
      <w:pPr>
        <w:tabs>
          <w:tab w:val="left" w:pos="0"/>
        </w:tabs>
        <w:ind w:left="0" w:firstLine="0"/>
      </w:pPr>
      <w:rPr>
        <w:rFonts w:hint="eastAsia" w:ascii="黑体" w:hAnsi="黑体" w:eastAsia="黑体" w:cs="宋体"/>
        <w:sz w:val="32"/>
        <w:szCs w:val="32"/>
      </w:rPr>
    </w:lvl>
    <w:lvl w:ilvl="1" w:tentative="0">
      <w:start w:val="1"/>
      <w:numFmt w:val="chineseCounting"/>
      <w:suff w:val="nothing"/>
      <w:lvlText w:val="%2、"/>
      <w:lvlJc w:val="left"/>
      <w:pPr>
        <w:ind w:left="0" w:firstLine="0"/>
      </w:pPr>
      <w:rPr>
        <w:rFonts w:hint="eastAsia" w:ascii="黑体" w:hAnsi="黑体" w:eastAsia="黑体" w:cs="宋体"/>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EnclosedCircleChinese"/>
      <w:pStyle w:val="60"/>
      <w:suff w:val="nothing"/>
      <w:lvlText w:val="%6 "/>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EDECAA05"/>
    <w:multiLevelType w:val="multilevel"/>
    <w:tmpl w:val="EDECAA05"/>
    <w:lvl w:ilvl="0" w:tentative="0">
      <w:start w:val="1"/>
      <w:numFmt w:val="chineseCounting"/>
      <w:suff w:val="nothing"/>
      <w:lvlText w:val="第%1章 "/>
      <w:lvlJc w:val="left"/>
      <w:pPr>
        <w:tabs>
          <w:tab w:val="left" w:pos="0"/>
        </w:tabs>
        <w:ind w:left="0" w:firstLine="0"/>
      </w:pPr>
      <w:rPr>
        <w:rFonts w:hint="eastAsia" w:ascii="黑体" w:hAnsi="黑体" w:eastAsia="黑体" w:cs="宋体"/>
        <w:sz w:val="32"/>
        <w:szCs w:val="32"/>
      </w:rPr>
    </w:lvl>
    <w:lvl w:ilvl="1" w:tentative="0">
      <w:start w:val="1"/>
      <w:numFmt w:val="chineseCounting"/>
      <w:suff w:val="nothing"/>
      <w:lvlText w:val="%2、"/>
      <w:lvlJc w:val="left"/>
      <w:pPr>
        <w:ind w:left="0" w:firstLine="0"/>
      </w:pPr>
      <w:rPr>
        <w:rFonts w:hint="eastAsia" w:ascii="黑体" w:hAnsi="黑体" w:eastAsia="黑体" w:cs="宋体"/>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
      <w:pStyle w:val="44"/>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F1D14BBD"/>
    <w:multiLevelType w:val="multilevel"/>
    <w:tmpl w:val="F1D14BBD"/>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F6CE8F93"/>
    <w:multiLevelType w:val="singleLevel"/>
    <w:tmpl w:val="F6CE8F93"/>
    <w:lvl w:ilvl="0" w:tentative="0">
      <w:start w:val="1"/>
      <w:numFmt w:val="decimalEnclosedCircleChinese"/>
      <w:suff w:val="nothing"/>
      <w:lvlText w:val="%1　"/>
      <w:lvlJc w:val="left"/>
      <w:pPr>
        <w:ind w:left="0" w:firstLine="400"/>
      </w:pPr>
    </w:lvl>
  </w:abstractNum>
  <w:abstractNum w:abstractNumId="15">
    <w:nsid w:val="FD3D5028"/>
    <w:multiLevelType w:val="singleLevel"/>
    <w:tmpl w:val="FD3D5028"/>
    <w:lvl w:ilvl="0" w:tentative="0">
      <w:start w:val="1"/>
      <w:numFmt w:val="decimal"/>
      <w:lvlText w:val="(%1)"/>
      <w:lvlJc w:val="left"/>
      <w:pPr>
        <w:ind w:left="425" w:hanging="425"/>
      </w:pPr>
    </w:lvl>
  </w:abstractNum>
  <w:abstractNum w:abstractNumId="16">
    <w:nsid w:val="00000003"/>
    <w:multiLevelType w:val="multilevel"/>
    <w:tmpl w:val="00000003"/>
    <w:lvl w:ilvl="0" w:tentative="0">
      <w:start w:val="1"/>
      <w:numFmt w:val="decimal"/>
      <w:lvlText w:val="（%1）"/>
      <w:lvlJc w:val="left"/>
      <w:pPr>
        <w:tabs>
          <w:tab w:val="left" w:pos="937"/>
        </w:tabs>
        <w:ind w:left="926" w:hanging="50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2FCA2B6"/>
    <w:multiLevelType w:val="singleLevel"/>
    <w:tmpl w:val="02FCA2B6"/>
    <w:lvl w:ilvl="0" w:tentative="0">
      <w:start w:val="1"/>
      <w:numFmt w:val="decimal"/>
      <w:suff w:val="space"/>
      <w:lvlText w:val="%1."/>
      <w:lvlJc w:val="left"/>
      <w:pPr>
        <w:ind w:left="0" w:firstLine="0"/>
      </w:pPr>
    </w:lvl>
  </w:abstractNum>
  <w:abstractNum w:abstractNumId="18">
    <w:nsid w:val="0AB90C6B"/>
    <w:multiLevelType w:val="multilevel"/>
    <w:tmpl w:val="0AB90C6B"/>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9">
    <w:nsid w:val="113068EE"/>
    <w:multiLevelType w:val="singleLevel"/>
    <w:tmpl w:val="113068EE"/>
    <w:lvl w:ilvl="0" w:tentative="0">
      <w:start w:val="1"/>
      <w:numFmt w:val="decimal"/>
      <w:suff w:val="nothing"/>
      <w:lvlText w:val="%1、"/>
      <w:lvlJc w:val="left"/>
    </w:lvl>
  </w:abstractNum>
  <w:abstractNum w:abstractNumId="20">
    <w:nsid w:val="12369DF3"/>
    <w:multiLevelType w:val="singleLevel"/>
    <w:tmpl w:val="12369DF3"/>
    <w:lvl w:ilvl="0" w:tentative="0">
      <w:start w:val="1"/>
      <w:numFmt w:val="decimal"/>
      <w:lvlText w:val="%1."/>
      <w:lvlJc w:val="left"/>
      <w:pPr>
        <w:tabs>
          <w:tab w:val="left" w:pos="312"/>
        </w:tabs>
      </w:pPr>
    </w:lvl>
  </w:abstractNum>
  <w:abstractNum w:abstractNumId="21">
    <w:nsid w:val="20B8076A"/>
    <w:multiLevelType w:val="singleLevel"/>
    <w:tmpl w:val="20B8076A"/>
    <w:lvl w:ilvl="0" w:tentative="0">
      <w:start w:val="1"/>
      <w:numFmt w:val="decimal"/>
      <w:suff w:val="nothing"/>
      <w:lvlText w:val="%1．"/>
      <w:lvlJc w:val="left"/>
      <w:pPr>
        <w:ind w:left="0" w:firstLine="400"/>
      </w:pPr>
      <w:rPr>
        <w:rFonts w:hint="default"/>
      </w:rPr>
    </w:lvl>
  </w:abstractNum>
  <w:abstractNum w:abstractNumId="22">
    <w:nsid w:val="214A64D4"/>
    <w:multiLevelType w:val="singleLevel"/>
    <w:tmpl w:val="214A64D4"/>
    <w:lvl w:ilvl="0" w:tentative="0">
      <w:start w:val="5"/>
      <w:numFmt w:val="decimal"/>
      <w:suff w:val="nothing"/>
      <w:lvlText w:val="（%1）"/>
      <w:lvlJc w:val="left"/>
    </w:lvl>
  </w:abstractNum>
  <w:abstractNum w:abstractNumId="23">
    <w:nsid w:val="3524713D"/>
    <w:multiLevelType w:val="singleLevel"/>
    <w:tmpl w:val="3524713D"/>
    <w:lvl w:ilvl="0" w:tentative="0">
      <w:start w:val="1"/>
      <w:numFmt w:val="decimal"/>
      <w:suff w:val="nothing"/>
      <w:lvlText w:val="%1．"/>
      <w:lvlJc w:val="left"/>
      <w:pPr>
        <w:ind w:left="0" w:firstLine="400"/>
      </w:pPr>
      <w:rPr>
        <w:rFonts w:hint="default"/>
      </w:rPr>
    </w:lvl>
  </w:abstractNum>
  <w:abstractNum w:abstractNumId="24">
    <w:nsid w:val="39E4E3C9"/>
    <w:multiLevelType w:val="singleLevel"/>
    <w:tmpl w:val="39E4E3C9"/>
    <w:lvl w:ilvl="0" w:tentative="0">
      <w:start w:val="13"/>
      <w:numFmt w:val="decimal"/>
      <w:suff w:val="nothing"/>
      <w:lvlText w:val="%1．"/>
      <w:lvlJc w:val="left"/>
      <w:pPr>
        <w:ind w:left="0" w:firstLine="0"/>
      </w:pPr>
    </w:lvl>
  </w:abstractNum>
  <w:abstractNum w:abstractNumId="25">
    <w:nsid w:val="471BFE56"/>
    <w:multiLevelType w:val="singleLevel"/>
    <w:tmpl w:val="471BFE56"/>
    <w:lvl w:ilvl="0" w:tentative="0">
      <w:start w:val="1"/>
      <w:numFmt w:val="decimal"/>
      <w:lvlText w:val="%1."/>
      <w:lvlJc w:val="left"/>
      <w:pPr>
        <w:ind w:left="425" w:hanging="425"/>
      </w:pPr>
      <w:rPr>
        <w:rFonts w:hint="default"/>
      </w:rPr>
    </w:lvl>
  </w:abstractNum>
  <w:abstractNum w:abstractNumId="26">
    <w:nsid w:val="54F403B5"/>
    <w:multiLevelType w:val="singleLevel"/>
    <w:tmpl w:val="54F403B5"/>
    <w:lvl w:ilvl="0" w:tentative="0">
      <w:start w:val="1"/>
      <w:numFmt w:val="chineseCounting"/>
      <w:suff w:val="nothing"/>
      <w:lvlText w:val="%1、"/>
      <w:lvlJc w:val="left"/>
      <w:pPr>
        <w:ind w:left="0" w:firstLine="0"/>
      </w:pPr>
    </w:lvl>
  </w:abstractNum>
  <w:abstractNum w:abstractNumId="27">
    <w:nsid w:val="557FD3DA"/>
    <w:multiLevelType w:val="singleLevel"/>
    <w:tmpl w:val="557FD3DA"/>
    <w:lvl w:ilvl="0" w:tentative="0">
      <w:start w:val="3"/>
      <w:numFmt w:val="chineseCounting"/>
      <w:suff w:val="nothing"/>
      <w:lvlText w:val="%1、"/>
      <w:lvlJc w:val="left"/>
      <w:pPr>
        <w:ind w:left="0" w:firstLine="0"/>
      </w:pPr>
    </w:lvl>
  </w:abstractNum>
  <w:abstractNum w:abstractNumId="28">
    <w:nsid w:val="5A3C02B2"/>
    <w:multiLevelType w:val="singleLevel"/>
    <w:tmpl w:val="5A3C02B2"/>
    <w:lvl w:ilvl="0" w:tentative="0">
      <w:start w:val="1"/>
      <w:numFmt w:val="lowerLetter"/>
      <w:lvlText w:val="%1."/>
      <w:lvlJc w:val="left"/>
      <w:pPr>
        <w:ind w:left="425" w:hanging="425"/>
      </w:pPr>
    </w:lvl>
  </w:abstractNum>
  <w:abstractNum w:abstractNumId="29">
    <w:nsid w:val="60FBB8A2"/>
    <w:multiLevelType w:val="singleLevel"/>
    <w:tmpl w:val="60FBB8A2"/>
    <w:lvl w:ilvl="0" w:tentative="0">
      <w:start w:val="1"/>
      <w:numFmt w:val="chineseCounting"/>
      <w:suff w:val="nothing"/>
      <w:lvlText w:val="（%1）"/>
      <w:lvlJc w:val="left"/>
      <w:pPr>
        <w:ind w:left="0" w:firstLine="420"/>
      </w:pPr>
      <w:rPr>
        <w:rFonts w:hint="eastAsia"/>
      </w:rPr>
    </w:lvl>
  </w:abstractNum>
  <w:abstractNum w:abstractNumId="30">
    <w:nsid w:val="76881C88"/>
    <w:multiLevelType w:val="singleLevel"/>
    <w:tmpl w:val="76881C88"/>
    <w:lvl w:ilvl="0" w:tentative="0">
      <w:start w:val="5"/>
      <w:numFmt w:val="chineseCounting"/>
      <w:suff w:val="nothing"/>
      <w:lvlText w:val="%1、"/>
      <w:lvlJc w:val="left"/>
      <w:rPr>
        <w:rFonts w:hint="eastAsia"/>
      </w:rPr>
    </w:lvl>
  </w:abstractNum>
  <w:abstractNum w:abstractNumId="31">
    <w:nsid w:val="7D4C19BB"/>
    <w:multiLevelType w:val="multilevel"/>
    <w:tmpl w:val="7D4C19BB"/>
    <w:lvl w:ilvl="0" w:tentative="0">
      <w:start w:val="1"/>
      <w:numFmt w:val="decimal"/>
      <w:lvlText w:val="（%1）"/>
      <w:lvlJc w:val="left"/>
      <w:pPr>
        <w:ind w:left="1249" w:hanging="420"/>
      </w:pPr>
    </w:lvl>
    <w:lvl w:ilvl="1" w:tentative="0">
      <w:start w:val="1"/>
      <w:numFmt w:val="decimal"/>
      <w:lvlText w:val="（%2）"/>
      <w:lvlJc w:val="left"/>
      <w:pPr>
        <w:ind w:left="3398" w:hanging="420"/>
      </w:p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abstractNum w:abstractNumId="32">
    <w:nsid w:val="7EF9CCA0"/>
    <w:multiLevelType w:val="singleLevel"/>
    <w:tmpl w:val="7EF9CCA0"/>
    <w:lvl w:ilvl="0" w:tentative="0">
      <w:start w:val="1"/>
      <w:numFmt w:val="decimal"/>
      <w:suff w:val="nothing"/>
      <w:lvlText w:val="%1、"/>
      <w:lvlJc w:val="left"/>
    </w:lvl>
  </w:abstractNum>
  <w:num w:numId="1">
    <w:abstractNumId w:val="12"/>
  </w:num>
  <w:num w:numId="2">
    <w:abstractNumId w:val="6"/>
  </w:num>
  <w:num w:numId="3">
    <w:abstractNumId w:val="2"/>
  </w:num>
  <w:num w:numId="4">
    <w:abstractNumId w:val="11"/>
  </w:num>
  <w:num w:numId="5">
    <w:abstractNumId w:val="17"/>
    <w:lvlOverride w:ilvl="0">
      <w:startOverride w:val="1"/>
    </w:lvlOverride>
  </w:num>
  <w:num w:numId="6">
    <w:abstractNumId w:val="3"/>
    <w:lvlOverride w:ilvl="0">
      <w:startOverride w:val="1"/>
    </w:lvlOverride>
  </w:num>
  <w:num w:numId="7">
    <w:abstractNumId w:val="28"/>
    <w:lvlOverride w:ilvl="0">
      <w:startOverride w:val="1"/>
    </w:lvlOverride>
  </w:num>
  <w:num w:numId="8">
    <w:abstractNumId w:val="4"/>
    <w:lvlOverride w:ilvl="0">
      <w:startOverride w:val="1"/>
    </w:lvlOverride>
  </w:num>
  <w:num w:numId="9">
    <w:abstractNumId w:val="2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3"/>
    </w:lvlOverride>
  </w:num>
  <w:num w:numId="14">
    <w:abstractNumId w:val="5"/>
  </w:num>
  <w:num w:numId="15">
    <w:abstractNumId w:val="29"/>
  </w:num>
  <w:num w:numId="16">
    <w:abstractNumId w:val="32"/>
  </w:num>
  <w:num w:numId="17">
    <w:abstractNumId w:val="19"/>
  </w:num>
  <w:num w:numId="18">
    <w:abstractNumId w:val="20"/>
  </w:num>
  <w:num w:numId="19">
    <w:abstractNumId w:val="25"/>
  </w:num>
  <w:num w:numId="20">
    <w:abstractNumId w:val="23"/>
  </w:num>
  <w:num w:numId="21">
    <w:abstractNumId w:val="21"/>
  </w:num>
  <w:num w:numId="22">
    <w:abstractNumId w:val="10"/>
  </w:num>
  <w:num w:numId="23">
    <w:abstractNumId w:va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7"/>
    <w:lvlOverride w:ilvl="0">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4"/>
    <w:lvlOverride w:ilvl="0">
      <w:startOverride w:val="1"/>
    </w:lvlOverride>
  </w:num>
  <w:num w:numId="32">
    <w:abstractNumId w:val="26"/>
    <w:lvlOverride w:ilvl="0">
      <w:startOverride w:val="1"/>
    </w:lvlOverride>
  </w:num>
  <w:num w:numId="33">
    <w:abstractNumId w:val="2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GQ2YTFlNjE2NWVjNmQ4MzkwYzgyYTkxODZkNGQifQ=="/>
  </w:docVars>
  <w:rsids>
    <w:rsidRoot w:val="001D0A15"/>
    <w:rsid w:val="000A0302"/>
    <w:rsid w:val="001D0A15"/>
    <w:rsid w:val="003605F0"/>
    <w:rsid w:val="0042027F"/>
    <w:rsid w:val="004E70E4"/>
    <w:rsid w:val="00514608"/>
    <w:rsid w:val="00531792"/>
    <w:rsid w:val="006A2783"/>
    <w:rsid w:val="00A22CBC"/>
    <w:rsid w:val="00AD6B3F"/>
    <w:rsid w:val="00BC24D0"/>
    <w:rsid w:val="00BD137C"/>
    <w:rsid w:val="00C6664C"/>
    <w:rsid w:val="00D21677"/>
    <w:rsid w:val="00E76ACE"/>
    <w:rsid w:val="00F44F67"/>
    <w:rsid w:val="00F7370D"/>
    <w:rsid w:val="011C44BE"/>
    <w:rsid w:val="012313A8"/>
    <w:rsid w:val="01515ACC"/>
    <w:rsid w:val="01A73D87"/>
    <w:rsid w:val="01D77DD3"/>
    <w:rsid w:val="01E87F29"/>
    <w:rsid w:val="0200339C"/>
    <w:rsid w:val="0225102C"/>
    <w:rsid w:val="0297116E"/>
    <w:rsid w:val="031C69F7"/>
    <w:rsid w:val="03AF1619"/>
    <w:rsid w:val="042E0790"/>
    <w:rsid w:val="05191440"/>
    <w:rsid w:val="053C0C8A"/>
    <w:rsid w:val="0599432F"/>
    <w:rsid w:val="061816F7"/>
    <w:rsid w:val="06653E46"/>
    <w:rsid w:val="066C1A43"/>
    <w:rsid w:val="067A5F0E"/>
    <w:rsid w:val="06846D8D"/>
    <w:rsid w:val="068E4036"/>
    <w:rsid w:val="071A324D"/>
    <w:rsid w:val="07AE2C91"/>
    <w:rsid w:val="07BE1E2B"/>
    <w:rsid w:val="07CD52BE"/>
    <w:rsid w:val="081B54CF"/>
    <w:rsid w:val="086730EE"/>
    <w:rsid w:val="0870581B"/>
    <w:rsid w:val="08A41020"/>
    <w:rsid w:val="08C77405"/>
    <w:rsid w:val="09336848"/>
    <w:rsid w:val="095C18FB"/>
    <w:rsid w:val="09B01C47"/>
    <w:rsid w:val="0A252635"/>
    <w:rsid w:val="0A434869"/>
    <w:rsid w:val="0A4679E7"/>
    <w:rsid w:val="0A77394C"/>
    <w:rsid w:val="0A8C7041"/>
    <w:rsid w:val="0AA03A6A"/>
    <w:rsid w:val="0AB17A25"/>
    <w:rsid w:val="0AEE6ECB"/>
    <w:rsid w:val="0B2E5519"/>
    <w:rsid w:val="0B725406"/>
    <w:rsid w:val="0B8007D8"/>
    <w:rsid w:val="0B96424D"/>
    <w:rsid w:val="0BA220EC"/>
    <w:rsid w:val="0C014064"/>
    <w:rsid w:val="0C1D241D"/>
    <w:rsid w:val="0C28640C"/>
    <w:rsid w:val="0C4F1BEB"/>
    <w:rsid w:val="0CC554F6"/>
    <w:rsid w:val="0CFE4D83"/>
    <w:rsid w:val="0D0E73B0"/>
    <w:rsid w:val="0D4C612B"/>
    <w:rsid w:val="0D5C31BB"/>
    <w:rsid w:val="0D5F5E5E"/>
    <w:rsid w:val="0D605732"/>
    <w:rsid w:val="0D7124F2"/>
    <w:rsid w:val="0D906017"/>
    <w:rsid w:val="0DE21BD7"/>
    <w:rsid w:val="0E852E03"/>
    <w:rsid w:val="0EC95C85"/>
    <w:rsid w:val="0ED909FF"/>
    <w:rsid w:val="0F007A8C"/>
    <w:rsid w:val="0F334EAC"/>
    <w:rsid w:val="0F360E40"/>
    <w:rsid w:val="0FDF4F5C"/>
    <w:rsid w:val="0FFF1232"/>
    <w:rsid w:val="101448F5"/>
    <w:rsid w:val="102D5D9F"/>
    <w:rsid w:val="10B77D5F"/>
    <w:rsid w:val="10BA3F67"/>
    <w:rsid w:val="115B2DE0"/>
    <w:rsid w:val="11965BC6"/>
    <w:rsid w:val="11AC7198"/>
    <w:rsid w:val="1220630D"/>
    <w:rsid w:val="122166A5"/>
    <w:rsid w:val="12303925"/>
    <w:rsid w:val="12372F05"/>
    <w:rsid w:val="13A66595"/>
    <w:rsid w:val="13E97063"/>
    <w:rsid w:val="13FA243C"/>
    <w:rsid w:val="14103A0E"/>
    <w:rsid w:val="144813FA"/>
    <w:rsid w:val="145C6C53"/>
    <w:rsid w:val="14C03686"/>
    <w:rsid w:val="15712BD2"/>
    <w:rsid w:val="158C5316"/>
    <w:rsid w:val="15973CBB"/>
    <w:rsid w:val="16157A01"/>
    <w:rsid w:val="16361726"/>
    <w:rsid w:val="165027E8"/>
    <w:rsid w:val="168B3820"/>
    <w:rsid w:val="16BE59A3"/>
    <w:rsid w:val="16D425D9"/>
    <w:rsid w:val="16DA2656"/>
    <w:rsid w:val="16F5513D"/>
    <w:rsid w:val="171F2696"/>
    <w:rsid w:val="17816174"/>
    <w:rsid w:val="179B7A92"/>
    <w:rsid w:val="17A34B99"/>
    <w:rsid w:val="17F17FFA"/>
    <w:rsid w:val="18707171"/>
    <w:rsid w:val="19726F19"/>
    <w:rsid w:val="1A5D54D3"/>
    <w:rsid w:val="1A9A0F30"/>
    <w:rsid w:val="1AF57E02"/>
    <w:rsid w:val="1B3A4D0B"/>
    <w:rsid w:val="1C250273"/>
    <w:rsid w:val="1C766D20"/>
    <w:rsid w:val="1CAE64BA"/>
    <w:rsid w:val="1CBA6C0D"/>
    <w:rsid w:val="1CD53A47"/>
    <w:rsid w:val="1CF57C45"/>
    <w:rsid w:val="1D091AC0"/>
    <w:rsid w:val="1D1C7EAC"/>
    <w:rsid w:val="1DE8737E"/>
    <w:rsid w:val="1DEB1048"/>
    <w:rsid w:val="1E05035C"/>
    <w:rsid w:val="1E0740D4"/>
    <w:rsid w:val="1E195BB5"/>
    <w:rsid w:val="1E2A6014"/>
    <w:rsid w:val="1E4A0464"/>
    <w:rsid w:val="1E522E75"/>
    <w:rsid w:val="1E6037E4"/>
    <w:rsid w:val="1E761259"/>
    <w:rsid w:val="1EC41FC5"/>
    <w:rsid w:val="1F1A7E37"/>
    <w:rsid w:val="1F26058A"/>
    <w:rsid w:val="1F662D0F"/>
    <w:rsid w:val="1F896D6A"/>
    <w:rsid w:val="1FBC4A4A"/>
    <w:rsid w:val="1FDE70B6"/>
    <w:rsid w:val="20036B1D"/>
    <w:rsid w:val="20120B0E"/>
    <w:rsid w:val="203B0903"/>
    <w:rsid w:val="20475A9E"/>
    <w:rsid w:val="20717F2A"/>
    <w:rsid w:val="20B83463"/>
    <w:rsid w:val="20DE6C42"/>
    <w:rsid w:val="21022930"/>
    <w:rsid w:val="21333432"/>
    <w:rsid w:val="213C22E6"/>
    <w:rsid w:val="215D334F"/>
    <w:rsid w:val="216D6944"/>
    <w:rsid w:val="21723F5A"/>
    <w:rsid w:val="218E0DE3"/>
    <w:rsid w:val="21A64D62"/>
    <w:rsid w:val="21C422DC"/>
    <w:rsid w:val="21C57132"/>
    <w:rsid w:val="21F42BC1"/>
    <w:rsid w:val="220358DB"/>
    <w:rsid w:val="22B42350"/>
    <w:rsid w:val="23897339"/>
    <w:rsid w:val="242F3B05"/>
    <w:rsid w:val="24415E66"/>
    <w:rsid w:val="245F4990"/>
    <w:rsid w:val="248027E9"/>
    <w:rsid w:val="24860940"/>
    <w:rsid w:val="24A63E5B"/>
    <w:rsid w:val="25257535"/>
    <w:rsid w:val="25697422"/>
    <w:rsid w:val="256D3DB1"/>
    <w:rsid w:val="257D2ECD"/>
    <w:rsid w:val="26F31699"/>
    <w:rsid w:val="279D1605"/>
    <w:rsid w:val="279D7857"/>
    <w:rsid w:val="27B86276"/>
    <w:rsid w:val="28021F53"/>
    <w:rsid w:val="285F2023"/>
    <w:rsid w:val="28920A3E"/>
    <w:rsid w:val="2975251C"/>
    <w:rsid w:val="29915199"/>
    <w:rsid w:val="29A221B5"/>
    <w:rsid w:val="2A1738F0"/>
    <w:rsid w:val="2A335322"/>
    <w:rsid w:val="2A9A0C7D"/>
    <w:rsid w:val="2B1C4F36"/>
    <w:rsid w:val="2C504E98"/>
    <w:rsid w:val="2C53688E"/>
    <w:rsid w:val="2E24038A"/>
    <w:rsid w:val="2E2C723F"/>
    <w:rsid w:val="2E4B0BA4"/>
    <w:rsid w:val="2E4E18AB"/>
    <w:rsid w:val="2EDE2C2F"/>
    <w:rsid w:val="2EFB7753"/>
    <w:rsid w:val="2F087CAC"/>
    <w:rsid w:val="2F3960B7"/>
    <w:rsid w:val="2F3A4DD0"/>
    <w:rsid w:val="2F656EAC"/>
    <w:rsid w:val="2FA17461"/>
    <w:rsid w:val="2FAF45CB"/>
    <w:rsid w:val="2FB634CE"/>
    <w:rsid w:val="2FBD0A96"/>
    <w:rsid w:val="2FBF7998"/>
    <w:rsid w:val="2FC666A5"/>
    <w:rsid w:val="2FE14059"/>
    <w:rsid w:val="306929CC"/>
    <w:rsid w:val="309A0DD7"/>
    <w:rsid w:val="30AC43E4"/>
    <w:rsid w:val="313905F0"/>
    <w:rsid w:val="31D04385"/>
    <w:rsid w:val="32625925"/>
    <w:rsid w:val="32704B55"/>
    <w:rsid w:val="32B81410"/>
    <w:rsid w:val="32C91500"/>
    <w:rsid w:val="32D91931"/>
    <w:rsid w:val="33820438"/>
    <w:rsid w:val="338A5133"/>
    <w:rsid w:val="33A67A93"/>
    <w:rsid w:val="33B757FC"/>
    <w:rsid w:val="33D06510"/>
    <w:rsid w:val="33E676BB"/>
    <w:rsid w:val="342B48EE"/>
    <w:rsid w:val="343A10ED"/>
    <w:rsid w:val="34677222"/>
    <w:rsid w:val="34802092"/>
    <w:rsid w:val="3546508A"/>
    <w:rsid w:val="35CB27E6"/>
    <w:rsid w:val="35DBB94F"/>
    <w:rsid w:val="35F615A3"/>
    <w:rsid w:val="371371EE"/>
    <w:rsid w:val="37977E1F"/>
    <w:rsid w:val="37995ADC"/>
    <w:rsid w:val="379E11AD"/>
    <w:rsid w:val="37D42E21"/>
    <w:rsid w:val="37E8067A"/>
    <w:rsid w:val="37E90DFF"/>
    <w:rsid w:val="380F0035"/>
    <w:rsid w:val="381A6BC7"/>
    <w:rsid w:val="381E22EE"/>
    <w:rsid w:val="383218F5"/>
    <w:rsid w:val="384F6021"/>
    <w:rsid w:val="388F4F9A"/>
    <w:rsid w:val="38F8669B"/>
    <w:rsid w:val="393F076E"/>
    <w:rsid w:val="395064D7"/>
    <w:rsid w:val="39581830"/>
    <w:rsid w:val="39691347"/>
    <w:rsid w:val="399A3BF6"/>
    <w:rsid w:val="39A922FC"/>
    <w:rsid w:val="39C1305F"/>
    <w:rsid w:val="39DE5A3F"/>
    <w:rsid w:val="39E11825"/>
    <w:rsid w:val="3AF70BD4"/>
    <w:rsid w:val="3AF85078"/>
    <w:rsid w:val="3AFD268F"/>
    <w:rsid w:val="3B082DE1"/>
    <w:rsid w:val="3B530501"/>
    <w:rsid w:val="3B531B88"/>
    <w:rsid w:val="3B716820"/>
    <w:rsid w:val="3BBC1545"/>
    <w:rsid w:val="3BFE0A00"/>
    <w:rsid w:val="3C1934F8"/>
    <w:rsid w:val="3C574020"/>
    <w:rsid w:val="3C641793"/>
    <w:rsid w:val="3C687FDC"/>
    <w:rsid w:val="3C7921E9"/>
    <w:rsid w:val="3C850B8E"/>
    <w:rsid w:val="3CBB45AF"/>
    <w:rsid w:val="3CD16B1C"/>
    <w:rsid w:val="3CE37662"/>
    <w:rsid w:val="3CFB41EE"/>
    <w:rsid w:val="3D2C725B"/>
    <w:rsid w:val="3D3103CE"/>
    <w:rsid w:val="3D3434D1"/>
    <w:rsid w:val="3D343F62"/>
    <w:rsid w:val="3D687B67"/>
    <w:rsid w:val="3DE23DBE"/>
    <w:rsid w:val="3DE47FA1"/>
    <w:rsid w:val="3E0D0E3B"/>
    <w:rsid w:val="3E4D1237"/>
    <w:rsid w:val="3EA542DF"/>
    <w:rsid w:val="3EBE0387"/>
    <w:rsid w:val="3ED06802"/>
    <w:rsid w:val="3EFE0783"/>
    <w:rsid w:val="3F95733A"/>
    <w:rsid w:val="3FCE45FA"/>
    <w:rsid w:val="3FEA0D08"/>
    <w:rsid w:val="3FF05917"/>
    <w:rsid w:val="401808C7"/>
    <w:rsid w:val="40291830"/>
    <w:rsid w:val="40657459"/>
    <w:rsid w:val="40E03BE5"/>
    <w:rsid w:val="414004D6"/>
    <w:rsid w:val="414032D5"/>
    <w:rsid w:val="417404B0"/>
    <w:rsid w:val="419C0E0A"/>
    <w:rsid w:val="41A3048C"/>
    <w:rsid w:val="41AD023F"/>
    <w:rsid w:val="41AF3FB7"/>
    <w:rsid w:val="427C033D"/>
    <w:rsid w:val="42FC147E"/>
    <w:rsid w:val="43115339"/>
    <w:rsid w:val="435117C9"/>
    <w:rsid w:val="43670FED"/>
    <w:rsid w:val="43884ABF"/>
    <w:rsid w:val="43AD2778"/>
    <w:rsid w:val="43C24475"/>
    <w:rsid w:val="43F65ECD"/>
    <w:rsid w:val="446B0669"/>
    <w:rsid w:val="44D22496"/>
    <w:rsid w:val="44E126D9"/>
    <w:rsid w:val="45120AE5"/>
    <w:rsid w:val="453707DA"/>
    <w:rsid w:val="4541586E"/>
    <w:rsid w:val="458D0AB3"/>
    <w:rsid w:val="458F482B"/>
    <w:rsid w:val="45C704D8"/>
    <w:rsid w:val="4621677D"/>
    <w:rsid w:val="471B76F1"/>
    <w:rsid w:val="47BC774E"/>
    <w:rsid w:val="47CE6D91"/>
    <w:rsid w:val="48147269"/>
    <w:rsid w:val="48496F13"/>
    <w:rsid w:val="487B2FE0"/>
    <w:rsid w:val="488C3B6E"/>
    <w:rsid w:val="48C04CFB"/>
    <w:rsid w:val="48FD1AAC"/>
    <w:rsid w:val="49105C83"/>
    <w:rsid w:val="49257642"/>
    <w:rsid w:val="49321D40"/>
    <w:rsid w:val="493F3E72"/>
    <w:rsid w:val="4957693F"/>
    <w:rsid w:val="497B1161"/>
    <w:rsid w:val="49E15F7B"/>
    <w:rsid w:val="4A076B5F"/>
    <w:rsid w:val="4A233794"/>
    <w:rsid w:val="4A2A609B"/>
    <w:rsid w:val="4A515F12"/>
    <w:rsid w:val="4B3A3976"/>
    <w:rsid w:val="4B3B207B"/>
    <w:rsid w:val="4B441C14"/>
    <w:rsid w:val="4B4E50E5"/>
    <w:rsid w:val="4CD3324F"/>
    <w:rsid w:val="4DCD4142"/>
    <w:rsid w:val="4E0833CC"/>
    <w:rsid w:val="4E0B4C6B"/>
    <w:rsid w:val="4E102411"/>
    <w:rsid w:val="4E452BB4"/>
    <w:rsid w:val="4E920EE8"/>
    <w:rsid w:val="4EB26E94"/>
    <w:rsid w:val="4EBE5738"/>
    <w:rsid w:val="4ECE0172"/>
    <w:rsid w:val="4ED96B17"/>
    <w:rsid w:val="4F494FB5"/>
    <w:rsid w:val="4F7E0706"/>
    <w:rsid w:val="4FA233AD"/>
    <w:rsid w:val="4FE472FB"/>
    <w:rsid w:val="5007603B"/>
    <w:rsid w:val="503F4AF2"/>
    <w:rsid w:val="5043249A"/>
    <w:rsid w:val="506B19F1"/>
    <w:rsid w:val="50850D04"/>
    <w:rsid w:val="50D47596"/>
    <w:rsid w:val="5107776B"/>
    <w:rsid w:val="511C4250"/>
    <w:rsid w:val="519136D9"/>
    <w:rsid w:val="520A1FAA"/>
    <w:rsid w:val="521C7446"/>
    <w:rsid w:val="523F3213"/>
    <w:rsid w:val="52666914"/>
    <w:rsid w:val="52CA0C50"/>
    <w:rsid w:val="52E77A54"/>
    <w:rsid w:val="52EA12F3"/>
    <w:rsid w:val="530D7B48"/>
    <w:rsid w:val="534602B3"/>
    <w:rsid w:val="53B611D5"/>
    <w:rsid w:val="53E67D0C"/>
    <w:rsid w:val="53FD32A8"/>
    <w:rsid w:val="54B35714"/>
    <w:rsid w:val="555B0286"/>
    <w:rsid w:val="55A40692"/>
    <w:rsid w:val="55AD03B6"/>
    <w:rsid w:val="55BA1450"/>
    <w:rsid w:val="55E80984"/>
    <w:rsid w:val="56072270"/>
    <w:rsid w:val="56764A66"/>
    <w:rsid w:val="567F69F3"/>
    <w:rsid w:val="5685588B"/>
    <w:rsid w:val="56902742"/>
    <w:rsid w:val="56B36E74"/>
    <w:rsid w:val="56B55774"/>
    <w:rsid w:val="56C84614"/>
    <w:rsid w:val="56D96D69"/>
    <w:rsid w:val="5705494D"/>
    <w:rsid w:val="5772757A"/>
    <w:rsid w:val="57BB500C"/>
    <w:rsid w:val="57CC7219"/>
    <w:rsid w:val="57EC3417"/>
    <w:rsid w:val="5827444F"/>
    <w:rsid w:val="5878114F"/>
    <w:rsid w:val="58A5065D"/>
    <w:rsid w:val="58AA62C3"/>
    <w:rsid w:val="58F05189"/>
    <w:rsid w:val="593E5EF4"/>
    <w:rsid w:val="597264E7"/>
    <w:rsid w:val="59943D66"/>
    <w:rsid w:val="59C503C4"/>
    <w:rsid w:val="59D269D5"/>
    <w:rsid w:val="5A1A070F"/>
    <w:rsid w:val="5A5A4FB0"/>
    <w:rsid w:val="5A7D28E0"/>
    <w:rsid w:val="5ACD39D4"/>
    <w:rsid w:val="5B062A42"/>
    <w:rsid w:val="5B8B6E62"/>
    <w:rsid w:val="5BFF1B20"/>
    <w:rsid w:val="5C5023BF"/>
    <w:rsid w:val="5C7C0ED9"/>
    <w:rsid w:val="5CC2348E"/>
    <w:rsid w:val="5D467A6D"/>
    <w:rsid w:val="5D494E68"/>
    <w:rsid w:val="5D7D7F4C"/>
    <w:rsid w:val="5D9E1657"/>
    <w:rsid w:val="5DD25564"/>
    <w:rsid w:val="5DEF1EB3"/>
    <w:rsid w:val="5E5F0DE7"/>
    <w:rsid w:val="5EAB5750"/>
    <w:rsid w:val="5EC944B2"/>
    <w:rsid w:val="5EEF2ECA"/>
    <w:rsid w:val="5EFC4888"/>
    <w:rsid w:val="5F0A7874"/>
    <w:rsid w:val="5F37766E"/>
    <w:rsid w:val="5F385194"/>
    <w:rsid w:val="5F4E1DDB"/>
    <w:rsid w:val="5F4E6765"/>
    <w:rsid w:val="5FAB005C"/>
    <w:rsid w:val="5FF7EF42"/>
    <w:rsid w:val="60065292"/>
    <w:rsid w:val="60152550"/>
    <w:rsid w:val="602A2D2E"/>
    <w:rsid w:val="604007A4"/>
    <w:rsid w:val="6076572F"/>
    <w:rsid w:val="60ED169B"/>
    <w:rsid w:val="60F577E0"/>
    <w:rsid w:val="610B05F4"/>
    <w:rsid w:val="61572249"/>
    <w:rsid w:val="615E4897"/>
    <w:rsid w:val="61A11716"/>
    <w:rsid w:val="62011472"/>
    <w:rsid w:val="62562501"/>
    <w:rsid w:val="626764BC"/>
    <w:rsid w:val="63100901"/>
    <w:rsid w:val="631F28F3"/>
    <w:rsid w:val="63911317"/>
    <w:rsid w:val="63B54B20"/>
    <w:rsid w:val="63C74D38"/>
    <w:rsid w:val="63D57455"/>
    <w:rsid w:val="64414AEB"/>
    <w:rsid w:val="645031CD"/>
    <w:rsid w:val="645A795A"/>
    <w:rsid w:val="64656A2B"/>
    <w:rsid w:val="64CF20F6"/>
    <w:rsid w:val="64F97173"/>
    <w:rsid w:val="652F3049"/>
    <w:rsid w:val="658A2923"/>
    <w:rsid w:val="659867B1"/>
    <w:rsid w:val="65C92FEA"/>
    <w:rsid w:val="65FF6A0B"/>
    <w:rsid w:val="66EC51E2"/>
    <w:rsid w:val="6728524B"/>
    <w:rsid w:val="67424E02"/>
    <w:rsid w:val="674F5770"/>
    <w:rsid w:val="675F43A0"/>
    <w:rsid w:val="681349F0"/>
    <w:rsid w:val="683E3C69"/>
    <w:rsid w:val="688509BE"/>
    <w:rsid w:val="68880F3A"/>
    <w:rsid w:val="68925915"/>
    <w:rsid w:val="696E3BB1"/>
    <w:rsid w:val="69884838"/>
    <w:rsid w:val="69B53FB1"/>
    <w:rsid w:val="6A366774"/>
    <w:rsid w:val="6A5E63F6"/>
    <w:rsid w:val="6AC75822"/>
    <w:rsid w:val="6AF24D91"/>
    <w:rsid w:val="6B4E646B"/>
    <w:rsid w:val="6B560E7C"/>
    <w:rsid w:val="6B882FFF"/>
    <w:rsid w:val="6BC524A5"/>
    <w:rsid w:val="6BF54B38"/>
    <w:rsid w:val="6C246089"/>
    <w:rsid w:val="6C496C32"/>
    <w:rsid w:val="6C53360D"/>
    <w:rsid w:val="6C552781"/>
    <w:rsid w:val="6CA56DAA"/>
    <w:rsid w:val="6D0019E7"/>
    <w:rsid w:val="6D050DAB"/>
    <w:rsid w:val="6DA1408F"/>
    <w:rsid w:val="6E421B8B"/>
    <w:rsid w:val="6E4E2996"/>
    <w:rsid w:val="6E56572C"/>
    <w:rsid w:val="6E9B72D1"/>
    <w:rsid w:val="6E9FF8E1"/>
    <w:rsid w:val="6EE80984"/>
    <w:rsid w:val="6F0219AD"/>
    <w:rsid w:val="6FD35191"/>
    <w:rsid w:val="6FFFF3D5"/>
    <w:rsid w:val="707F3429"/>
    <w:rsid w:val="70FF5B11"/>
    <w:rsid w:val="710B2708"/>
    <w:rsid w:val="717E737E"/>
    <w:rsid w:val="71D84CE0"/>
    <w:rsid w:val="71E13C65"/>
    <w:rsid w:val="72021D5D"/>
    <w:rsid w:val="72316176"/>
    <w:rsid w:val="723C07CF"/>
    <w:rsid w:val="72466A62"/>
    <w:rsid w:val="728D1159"/>
    <w:rsid w:val="72F63973"/>
    <w:rsid w:val="731735E6"/>
    <w:rsid w:val="735E7467"/>
    <w:rsid w:val="73A66F93"/>
    <w:rsid w:val="73B9469D"/>
    <w:rsid w:val="73F720C5"/>
    <w:rsid w:val="7491561A"/>
    <w:rsid w:val="74993A04"/>
    <w:rsid w:val="74B44E65"/>
    <w:rsid w:val="757F1917"/>
    <w:rsid w:val="75CB690A"/>
    <w:rsid w:val="75EF2537"/>
    <w:rsid w:val="7630676D"/>
    <w:rsid w:val="767B0330"/>
    <w:rsid w:val="76A35191"/>
    <w:rsid w:val="76BD6253"/>
    <w:rsid w:val="76FE8D92"/>
    <w:rsid w:val="77061D5D"/>
    <w:rsid w:val="773D55E5"/>
    <w:rsid w:val="77BA1CB5"/>
    <w:rsid w:val="77BD2282"/>
    <w:rsid w:val="77D93560"/>
    <w:rsid w:val="77E45CCE"/>
    <w:rsid w:val="780600CD"/>
    <w:rsid w:val="786C47D3"/>
    <w:rsid w:val="7899684C"/>
    <w:rsid w:val="78F76A00"/>
    <w:rsid w:val="78FB3338"/>
    <w:rsid w:val="794D3639"/>
    <w:rsid w:val="79743ABF"/>
    <w:rsid w:val="797A5F8B"/>
    <w:rsid w:val="79A11E5C"/>
    <w:rsid w:val="79D97847"/>
    <w:rsid w:val="79EA1A55"/>
    <w:rsid w:val="7A4A42A1"/>
    <w:rsid w:val="7ACB4CB6"/>
    <w:rsid w:val="7B1B5C3E"/>
    <w:rsid w:val="7B880FE0"/>
    <w:rsid w:val="7B901FBC"/>
    <w:rsid w:val="7C1458B1"/>
    <w:rsid w:val="7CA12173"/>
    <w:rsid w:val="7CD662C0"/>
    <w:rsid w:val="7CDCDF16"/>
    <w:rsid w:val="7CDE33C7"/>
    <w:rsid w:val="7D624EB4"/>
    <w:rsid w:val="7D6A3BA0"/>
    <w:rsid w:val="7D6E02A7"/>
    <w:rsid w:val="7D7950D0"/>
    <w:rsid w:val="7DBB7264"/>
    <w:rsid w:val="7DDB18E2"/>
    <w:rsid w:val="7E845342"/>
    <w:rsid w:val="7EC209BB"/>
    <w:rsid w:val="7EC763E1"/>
    <w:rsid w:val="7EC93B6C"/>
    <w:rsid w:val="7F460DAF"/>
    <w:rsid w:val="7F8869F6"/>
    <w:rsid w:val="7FAE4C68"/>
    <w:rsid w:val="96BB0185"/>
    <w:rsid w:val="AF186892"/>
    <w:rsid w:val="BF8F1F5D"/>
    <w:rsid w:val="BFDFB59E"/>
    <w:rsid w:val="DF1339F5"/>
    <w:rsid w:val="E7F3445F"/>
    <w:rsid w:val="EAFD8D63"/>
    <w:rsid w:val="F92F8CF5"/>
    <w:rsid w:val="FD8A881F"/>
    <w:rsid w:val="FDD9A6CC"/>
    <w:rsid w:val="FF1E719E"/>
    <w:rsid w:val="FF86A8C0"/>
    <w:rsid w:val="FFBDBE69"/>
    <w:rsid w:val="FFD9BA33"/>
    <w:rsid w:val="FFDF3047"/>
    <w:rsid w:val="FFFDE7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qFormat="1" w:unhideWhenUsed="0" w:uiPriority="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eastAsia="Century Gothic" w:cs="宋体"/>
      <w:kern w:val="44"/>
      <w:sz w:val="44"/>
      <w:szCs w:val="44"/>
    </w:rPr>
  </w:style>
  <w:style w:type="paragraph" w:styleId="4">
    <w:name w:val="heading 2"/>
    <w:basedOn w:val="1"/>
    <w:next w:val="1"/>
    <w:link w:val="32"/>
    <w:qFormat/>
    <w:uiPriority w:val="0"/>
    <w:pPr>
      <w:keepNext/>
      <w:keepLines/>
      <w:adjustRightInd w:val="0"/>
      <w:spacing w:before="260" w:after="260" w:line="412" w:lineRule="auto"/>
      <w:jc w:val="left"/>
      <w:outlineLvl w:val="1"/>
    </w:pPr>
    <w:rPr>
      <w:rFonts w:ascii="黑体" w:hAnsi="黑体" w:eastAsia="楷体" w:cs="宋体"/>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ind w:firstLine="420"/>
      <w:jc w:val="left"/>
    </w:pPr>
    <w:rPr>
      <w:rFonts w:ascii="Arial" w:hAnsi="Arial" w:cs="Arial"/>
      <w:kern w:val="0"/>
      <w:sz w:val="20"/>
      <w:szCs w:val="20"/>
    </w:rPr>
  </w:style>
  <w:style w:type="paragraph" w:styleId="6">
    <w:name w:val="annotation text"/>
    <w:basedOn w:val="1"/>
    <w:link w:val="33"/>
    <w:uiPriority w:val="0"/>
    <w:pPr>
      <w:jc w:val="left"/>
    </w:pPr>
  </w:style>
  <w:style w:type="paragraph" w:styleId="7">
    <w:name w:val="Body Text"/>
    <w:basedOn w:val="1"/>
    <w:next w:val="8"/>
    <w:unhideWhenUsed/>
    <w:qFormat/>
    <w:uiPriority w:val="0"/>
    <w:pPr>
      <w:spacing w:after="120"/>
    </w:pPr>
  </w:style>
  <w:style w:type="paragraph" w:styleId="8">
    <w:name w:val="Body Text First Indent"/>
    <w:basedOn w:val="7"/>
    <w:next w:val="1"/>
    <w:unhideWhenUsed/>
    <w:qFormat/>
    <w:uiPriority w:val="0"/>
    <w:pPr>
      <w:ind w:firstLine="420"/>
    </w:pPr>
  </w:style>
  <w:style w:type="paragraph" w:styleId="9">
    <w:name w:val="Body Text Indent"/>
    <w:basedOn w:val="1"/>
    <w:next w:val="1"/>
    <w:unhideWhenUsed/>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next w:val="1"/>
    <w:link w:val="34"/>
    <w:unhideWhenUsed/>
    <w:qFormat/>
    <w:uiPriority w:val="0"/>
    <w:rPr>
      <w:rFonts w:ascii="Century Gothic" w:hAnsi="楷体_GB2312" w:eastAsia="Century Gothic" w:cs="楷体_GB2312"/>
      <w:szCs w:val="21"/>
    </w:rPr>
  </w:style>
  <w:style w:type="paragraph" w:styleId="11">
    <w:name w:val="toc 8"/>
    <w:basedOn w:val="1"/>
    <w:next w:val="1"/>
    <w:semiHidden/>
    <w:qFormat/>
    <w:uiPriority w:val="0"/>
    <w:pPr>
      <w:ind w:left="1470"/>
      <w:jc w:val="left"/>
    </w:pPr>
    <w:rPr>
      <w:sz w:val="18"/>
      <w:szCs w:val="18"/>
    </w:rPr>
  </w:style>
  <w:style w:type="paragraph" w:styleId="12">
    <w:name w:val="Date"/>
    <w:basedOn w:val="1"/>
    <w:next w:val="1"/>
    <w:unhideWhenUsed/>
    <w:qFormat/>
    <w:uiPriority w:val="0"/>
    <w:pPr>
      <w:ind w:left="100" w:leftChars="2500"/>
    </w:p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35"/>
    <w:uiPriority w:val="0"/>
    <w:pP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720"/>
      </w:tabs>
      <w:spacing w:before="120" w:after="120"/>
      <w:jc w:val="left"/>
    </w:pPr>
    <w:rPr>
      <w:rFonts w:ascii="Century Gothic" w:hAnsi="Century Gothic"/>
      <w:bCs/>
      <w:caps/>
      <w:sz w:val="20"/>
      <w:szCs w:val="20"/>
    </w:rPr>
  </w:style>
  <w:style w:type="paragraph" w:styleId="17">
    <w:name w:val="toc 6"/>
    <w:basedOn w:val="1"/>
    <w:next w:val="1"/>
    <w:unhideWhenUsed/>
    <w:qFormat/>
    <w:uiPriority w:val="0"/>
    <w:pPr>
      <w:ind w:left="1050"/>
      <w:jc w:val="left"/>
    </w:pPr>
    <w:rPr>
      <w:sz w:val="18"/>
      <w:szCs w:val="18"/>
    </w:rPr>
  </w:style>
  <w:style w:type="paragraph" w:styleId="18">
    <w:name w:val="Body Text Indent 3"/>
    <w:basedOn w:val="1"/>
    <w:unhideWhenUsed/>
    <w:qFormat/>
    <w:uiPriority w:val="0"/>
    <w:pPr>
      <w:spacing w:after="120"/>
      <w:ind w:left="420" w:leftChars="200"/>
    </w:pPr>
    <w:rPr>
      <w:sz w:val="16"/>
      <w:szCs w:val="16"/>
    </w:rPr>
  </w:style>
  <w:style w:type="paragraph" w:styleId="19">
    <w:name w:val="toc 2"/>
    <w:basedOn w:val="1"/>
    <w:next w:val="1"/>
    <w:unhideWhenUsed/>
    <w:qFormat/>
    <w:uiPriority w:val="39"/>
    <w:pPr>
      <w:tabs>
        <w:tab w:val="right" w:leader="dot" w:pos="8720"/>
      </w:tabs>
      <w:adjustRightInd w:val="0"/>
      <w:snapToGrid w:val="0"/>
      <w:jc w:val="left"/>
    </w:pPr>
    <w:rPr>
      <w:smallCaps/>
      <w:sz w:val="20"/>
      <w:szCs w:val="20"/>
    </w:rPr>
  </w:style>
  <w:style w:type="paragraph" w:styleId="20">
    <w:name w:val="Normal (Web)"/>
    <w:basedOn w:val="1"/>
    <w:unhideWhenUsed/>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1">
    <w:name w:val="annotation subject"/>
    <w:basedOn w:val="6"/>
    <w:next w:val="6"/>
    <w:link w:val="36"/>
    <w:uiPriority w:val="0"/>
    <w:rPr>
      <w:b/>
      <w:bCs/>
    </w:rPr>
  </w:style>
  <w:style w:type="paragraph" w:styleId="22">
    <w:name w:val="Body Text First Indent 2"/>
    <w:basedOn w:val="9"/>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qFormat/>
    <w:uiPriority w:val="0"/>
  </w:style>
  <w:style w:type="character" w:styleId="28">
    <w:name w:val="Hyperlink"/>
    <w:uiPriority w:val="0"/>
    <w:rPr>
      <w:color w:val="0000FF"/>
      <w:u w:val="single"/>
    </w:rPr>
  </w:style>
  <w:style w:type="character" w:styleId="29">
    <w:name w:val="annotation reference"/>
    <w:uiPriority w:val="0"/>
    <w:rPr>
      <w:sz w:val="21"/>
      <w:szCs w:val="21"/>
    </w:rPr>
  </w:style>
  <w:style w:type="character" w:styleId="30">
    <w:name w:val="HTML Sample"/>
    <w:uiPriority w:val="0"/>
    <w:rPr>
      <w:rFonts w:ascii="Courier New" w:hAnsi="Courier New"/>
    </w:rPr>
  </w:style>
  <w:style w:type="character" w:customStyle="1" w:styleId="31">
    <w:name w:val="标题 1 Char"/>
    <w:link w:val="3"/>
    <w:qFormat/>
    <w:uiPriority w:val="0"/>
    <w:rPr>
      <w:rFonts w:eastAsia="Century Gothic" w:cs="宋体"/>
      <w:kern w:val="44"/>
      <w:sz w:val="44"/>
      <w:szCs w:val="44"/>
    </w:rPr>
  </w:style>
  <w:style w:type="character" w:customStyle="1" w:styleId="32">
    <w:name w:val="标题 2 字符"/>
    <w:link w:val="4"/>
    <w:qFormat/>
    <w:uiPriority w:val="0"/>
    <w:rPr>
      <w:rFonts w:ascii="黑体" w:hAnsi="黑体" w:eastAsia="楷体" w:cs="宋体"/>
      <w:b/>
      <w:bCs/>
      <w:kern w:val="0"/>
      <w:sz w:val="32"/>
      <w:szCs w:val="32"/>
    </w:rPr>
  </w:style>
  <w:style w:type="character" w:customStyle="1" w:styleId="33">
    <w:name w:val="批注文字 字符"/>
    <w:link w:val="6"/>
    <w:uiPriority w:val="0"/>
    <w:rPr>
      <w:rFonts w:ascii="Calibri" w:hAnsi="Calibri"/>
      <w:kern w:val="2"/>
      <w:sz w:val="21"/>
      <w:szCs w:val="24"/>
    </w:rPr>
  </w:style>
  <w:style w:type="character" w:customStyle="1" w:styleId="34">
    <w:name w:val="纯文本 字符"/>
    <w:link w:val="10"/>
    <w:qFormat/>
    <w:uiPriority w:val="0"/>
    <w:rPr>
      <w:rFonts w:ascii="Century Gothic" w:hAnsi="楷体_GB2312" w:eastAsia="Century Gothic" w:cs="楷体_GB2312"/>
      <w:kern w:val="2"/>
      <w:sz w:val="21"/>
      <w:szCs w:val="21"/>
    </w:rPr>
  </w:style>
  <w:style w:type="character" w:customStyle="1" w:styleId="35">
    <w:name w:val="页眉 字符"/>
    <w:link w:val="15"/>
    <w:qFormat/>
    <w:uiPriority w:val="0"/>
    <w:rPr>
      <w:rFonts w:ascii="Calibri" w:hAnsi="Calibri"/>
      <w:kern w:val="2"/>
      <w:sz w:val="18"/>
      <w:szCs w:val="18"/>
    </w:rPr>
  </w:style>
  <w:style w:type="character" w:customStyle="1" w:styleId="36">
    <w:name w:val="批注主题 字符"/>
    <w:link w:val="21"/>
    <w:qFormat/>
    <w:uiPriority w:val="0"/>
    <w:rPr>
      <w:rFonts w:ascii="Calibri" w:hAnsi="Calibri"/>
      <w:b/>
      <w:bCs/>
      <w:kern w:val="2"/>
      <w:sz w:val="21"/>
      <w:szCs w:val="24"/>
    </w:rPr>
  </w:style>
  <w:style w:type="character" w:customStyle="1" w:styleId="37">
    <w:name w:val="标题 1 字符"/>
    <w:link w:val="3"/>
    <w:qFormat/>
    <w:uiPriority w:val="0"/>
    <w:rPr>
      <w:rFonts w:eastAsia="Century Gothic"/>
      <w:b/>
      <w:bCs/>
      <w:kern w:val="44"/>
      <w:sz w:val="44"/>
      <w:szCs w:val="44"/>
      <w:lang w:val="en-US" w:eastAsia="zh-CN" w:bidi="ar-SA"/>
    </w:rPr>
  </w:style>
  <w:style w:type="character" w:customStyle="1" w:styleId="38">
    <w:name w:val="NormalCharacter"/>
    <w:qFormat/>
    <w:uiPriority w:val="0"/>
    <w:rPr>
      <w:rFonts w:ascii="Times New Roman" w:hAnsi="Times New Roman" w:eastAsia="宋体" w:cs="Times New Roman"/>
    </w:rPr>
  </w:style>
  <w:style w:type="character" w:customStyle="1" w:styleId="39">
    <w:name w:val="fontstyle01"/>
    <w:qFormat/>
    <w:uiPriority w:val="0"/>
    <w:rPr>
      <w:rFonts w:hint="eastAsia" w:ascii="宋体" w:hAnsi="宋体" w:eastAsia="宋体"/>
      <w:color w:val="000000"/>
      <w:sz w:val="22"/>
      <w:szCs w:val="22"/>
    </w:rPr>
  </w:style>
  <w:style w:type="paragraph" w:customStyle="1" w:styleId="40">
    <w:name w:val="首行缩进"/>
    <w:basedOn w:val="1"/>
    <w:qFormat/>
    <w:uiPriority w:val="0"/>
    <w:pPr>
      <w:spacing w:line="360" w:lineRule="auto"/>
      <w:ind w:firstLine="480" w:firstLineChars="200"/>
    </w:pPr>
    <w:rPr>
      <w:rFonts w:ascii="Calibri" w:hAnsi="Calibri" w:eastAsia="宋体" w:cs="Times New Roman"/>
      <w:sz w:val="24"/>
      <w:szCs w:val="22"/>
      <w:lang w:val="zh-CN"/>
    </w:rPr>
  </w:style>
  <w:style w:type="paragraph" w:customStyle="1" w:styleId="41">
    <w:name w:val="List Paragraph21"/>
    <w:basedOn w:val="1"/>
    <w:qFormat/>
    <w:uiPriority w:val="0"/>
    <w:pPr>
      <w:ind w:firstLine="420" w:firstLineChars="200"/>
    </w:pPr>
  </w:style>
  <w:style w:type="paragraph" w:customStyle="1" w:styleId="42">
    <w:name w:val="正文3"/>
    <w:qFormat/>
    <w:uiPriority w:val="0"/>
    <w:pPr>
      <w:widowControl w:val="0"/>
      <w:jc w:val="both"/>
    </w:pPr>
    <w:rPr>
      <w:rFonts w:ascii="Calibri" w:hAnsi="Calibri" w:eastAsia="宋体" w:cs="Times New Roman"/>
      <w:kern w:val="2"/>
      <w:sz w:val="21"/>
      <w:lang w:val="en-US" w:eastAsia="zh-CN" w:bidi="ar-SA"/>
    </w:rPr>
  </w:style>
  <w:style w:type="paragraph" w:customStyle="1" w:styleId="43">
    <w:name w:val="纯文本1"/>
    <w:basedOn w:val="42"/>
    <w:qFormat/>
    <w:uiPriority w:val="0"/>
    <w:pPr>
      <w:widowControl/>
      <w:jc w:val="left"/>
    </w:pPr>
    <w:rPr>
      <w:rFonts w:ascii="宋体" w:hAnsi="Courier New"/>
    </w:rPr>
  </w:style>
  <w:style w:type="paragraph" w:customStyle="1" w:styleId="44">
    <w:name w:val="WW5"/>
    <w:basedOn w:val="1"/>
    <w:next w:val="1"/>
    <w:qFormat/>
    <w:uiPriority w:val="0"/>
    <w:pPr>
      <w:keepNext/>
      <w:keepLines/>
      <w:numPr>
        <w:ilvl w:val="4"/>
        <w:numId w:val="1"/>
      </w:numPr>
      <w:tabs>
        <w:tab w:val="left" w:pos="0"/>
      </w:tabs>
      <w:spacing w:before="160" w:after="160" w:line="360" w:lineRule="auto"/>
      <w:ind w:leftChars="0" w:firstLine="640" w:firstLineChars="200"/>
      <w:jc w:val="left"/>
      <w:outlineLvl w:val="0"/>
    </w:pPr>
    <w:rPr>
      <w:rFonts w:ascii="Times New Roman" w:hAnsi="Times New Roman" w:eastAsia="仿宋_GB2312" w:cs="Times New Roman"/>
      <w:b/>
      <w:bCs/>
      <w:kern w:val="44"/>
      <w:sz w:val="32"/>
      <w:szCs w:val="44"/>
    </w:rPr>
  </w:style>
  <w:style w:type="paragraph" w:customStyle="1" w:styleId="45">
    <w:name w:val="WW3"/>
    <w:basedOn w:val="1"/>
    <w:next w:val="1"/>
    <w:qFormat/>
    <w:uiPriority w:val="0"/>
    <w:pPr>
      <w:keepNext/>
      <w:keepLines/>
      <w:numPr>
        <w:ilvl w:val="2"/>
        <w:numId w:val="2"/>
      </w:numPr>
      <w:tabs>
        <w:tab w:val="left" w:pos="0"/>
      </w:tabs>
      <w:spacing w:before="160" w:after="160" w:line="360" w:lineRule="auto"/>
      <w:ind w:leftChars="0" w:firstLine="400" w:firstLineChars="0"/>
      <w:jc w:val="left"/>
      <w:outlineLvl w:val="0"/>
    </w:pPr>
    <w:rPr>
      <w:rFonts w:ascii="Times New Roman" w:hAnsi="Times New Roman" w:eastAsia="楷体" w:cs="Times New Roman"/>
      <w:b/>
      <w:bCs/>
      <w:kern w:val="44"/>
      <w:sz w:val="32"/>
      <w:szCs w:val="44"/>
    </w:rPr>
  </w:style>
  <w:style w:type="paragraph" w:customStyle="1" w:styleId="46">
    <w:name w:val="仿宋_GB2312小四正文"/>
    <w:basedOn w:val="1"/>
    <w:qFormat/>
    <w:uiPriority w:val="0"/>
    <w:pPr>
      <w:ind w:firstLine="200"/>
    </w:pPr>
    <w:rPr>
      <w:kern w:val="0"/>
      <w:szCs w:val="30"/>
    </w:rPr>
  </w:style>
  <w:style w:type="paragraph" w:styleId="47">
    <w:name w:val="List Paragraph"/>
    <w:basedOn w:val="1"/>
    <w:qFormat/>
    <w:uiPriority w:val="34"/>
    <w:pPr>
      <w:ind w:firstLine="420" w:firstLineChars="200"/>
    </w:pPr>
    <w:rPr>
      <w:rFonts w:ascii="Times New Roman" w:hAnsi="Times New Roman" w:cs="Times New Roman"/>
    </w:rPr>
  </w:style>
  <w:style w:type="paragraph" w:customStyle="1" w:styleId="48">
    <w:name w:val="WW4"/>
    <w:basedOn w:val="1"/>
    <w:next w:val="1"/>
    <w:qFormat/>
    <w:uiPriority w:val="0"/>
    <w:pPr>
      <w:keepNext/>
      <w:keepLines/>
      <w:numPr>
        <w:ilvl w:val="3"/>
        <w:numId w:val="2"/>
      </w:numPr>
      <w:spacing w:before="160" w:after="160" w:line="360" w:lineRule="auto"/>
      <w:ind w:leftChars="0" w:firstLine="640" w:firstLineChars="200"/>
      <w:jc w:val="left"/>
      <w:outlineLvl w:val="0"/>
    </w:pPr>
    <w:rPr>
      <w:rFonts w:ascii="Times New Roman" w:hAnsi="Times New Roman" w:eastAsia="仿宋_GB2312" w:cs="Times New Roman"/>
      <w:b/>
      <w:bCs/>
      <w:kern w:val="44"/>
      <w:sz w:val="32"/>
      <w:szCs w:val="44"/>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0">
    <w:name w:val="列表段落1"/>
    <w:basedOn w:val="1"/>
    <w:qFormat/>
    <w:uiPriority w:val="0"/>
    <w:pPr>
      <w:ind w:firstLine="420" w:firstLineChars="200"/>
    </w:pPr>
    <w:rPr>
      <w:szCs w:val="24"/>
    </w:rPr>
  </w:style>
  <w:style w:type="paragraph" w:customStyle="1" w:styleId="51">
    <w:name w:val="Heading2"/>
    <w:basedOn w:val="1"/>
    <w:next w:val="1"/>
    <w:qFormat/>
    <w:uiPriority w:val="0"/>
    <w:pPr>
      <w:keepNext/>
      <w:keepLines/>
      <w:ind w:firstLine="0" w:firstLineChars="0"/>
      <w:jc w:val="left"/>
    </w:pPr>
    <w:rPr>
      <w:rFonts w:ascii="Cambria" w:hAnsi="Cambria"/>
      <w:b/>
      <w:bCs/>
      <w:szCs w:val="32"/>
    </w:rPr>
  </w:style>
  <w:style w:type="paragraph" w:customStyle="1" w:styleId="52">
    <w:name w:val="正文缩进1"/>
    <w:basedOn w:val="1"/>
    <w:qFormat/>
    <w:uiPriority w:val="0"/>
    <w:pPr>
      <w:widowControl/>
      <w:spacing w:before="120" w:after="120"/>
      <w:ind w:left="992"/>
    </w:pPr>
    <w:rPr>
      <w:rFonts w:ascii="Verdana" w:hAnsi="Verdana"/>
      <w:kern w:val="0"/>
      <w:sz w:val="20"/>
      <w:szCs w:val="20"/>
      <w:lang w:eastAsia="en-US"/>
    </w:rPr>
  </w:style>
  <w:style w:type="paragraph" w:customStyle="1" w:styleId="5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4">
    <w:name w:val="一级条标题"/>
    <w:basedOn w:val="53"/>
    <w:next w:val="49"/>
    <w:qFormat/>
    <w:uiPriority w:val="0"/>
    <w:pPr>
      <w:spacing w:line="240" w:lineRule="auto"/>
      <w:ind w:left="420"/>
      <w:outlineLvl w:val="2"/>
    </w:pPr>
  </w:style>
  <w:style w:type="paragraph" w:customStyle="1" w:styleId="55">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56">
    <w:name w:val="No Spacing"/>
    <w:qFormat/>
    <w:uiPriority w:val="1"/>
    <w:pPr>
      <w:widowControl w:val="0"/>
      <w:ind w:firstLine="200" w:firstLineChars="200"/>
      <w:jc w:val="both"/>
    </w:pPr>
    <w:rPr>
      <w:rFonts w:ascii="Calibri" w:hAnsi="Calibri" w:eastAsia="微软雅黑" w:cs="Times New Roman"/>
      <w:kern w:val="2"/>
      <w:sz w:val="21"/>
      <w:szCs w:val="24"/>
      <w:lang w:val="en-US" w:eastAsia="zh-CN" w:bidi="ar-SA"/>
    </w:rPr>
  </w:style>
  <w:style w:type="paragraph" w:customStyle="1" w:styleId="57">
    <w:name w:val="样式  + 首行缩进:  2 字符"/>
    <w:basedOn w:val="1"/>
    <w:qFormat/>
    <w:uiPriority w:val="0"/>
    <w:pPr>
      <w:spacing w:before="60" w:after="60" w:line="360" w:lineRule="auto"/>
      <w:ind w:firstLine="480" w:firstLineChars="200"/>
    </w:pPr>
    <w:rPr>
      <w:rFonts w:ascii="Times New Roman" w:hAnsi="Times New Roman" w:eastAsia="宋体" w:cs="Times New Roman"/>
      <w:sz w:val="24"/>
      <w:szCs w:val="20"/>
      <w:lang w:val="zh-CN"/>
    </w:rPr>
  </w:style>
  <w:style w:type="paragraph" w:customStyle="1" w:styleId="58">
    <w:name w:val="WW2"/>
    <w:basedOn w:val="1"/>
    <w:next w:val="1"/>
    <w:qFormat/>
    <w:uiPriority w:val="0"/>
    <w:pPr>
      <w:keepNext/>
      <w:keepLines/>
      <w:numPr>
        <w:ilvl w:val="1"/>
        <w:numId w:val="3"/>
      </w:numPr>
      <w:tabs>
        <w:tab w:val="left" w:pos="0"/>
      </w:tabs>
      <w:spacing w:before="160" w:after="160" w:line="360" w:lineRule="auto"/>
      <w:ind w:leftChars="0" w:firstLine="640" w:firstLineChars="200"/>
      <w:jc w:val="left"/>
      <w:outlineLvl w:val="0"/>
    </w:pPr>
    <w:rPr>
      <w:rFonts w:ascii="Times New Roman" w:hAnsi="Times New Roman" w:eastAsia="黑体" w:cs="Times New Roman"/>
      <w:b/>
      <w:bCs/>
      <w:kern w:val="44"/>
      <w:sz w:val="32"/>
      <w:szCs w:val="44"/>
    </w:rPr>
  </w:style>
  <w:style w:type="paragraph" w:customStyle="1" w:styleId="5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60">
    <w:name w:val="WW6"/>
    <w:basedOn w:val="1"/>
    <w:next w:val="1"/>
    <w:qFormat/>
    <w:uiPriority w:val="0"/>
    <w:pPr>
      <w:keepNext/>
      <w:keepLines/>
      <w:numPr>
        <w:ilvl w:val="5"/>
        <w:numId w:val="4"/>
      </w:numPr>
      <w:tabs>
        <w:tab w:val="left" w:pos="0"/>
      </w:tabs>
      <w:spacing w:before="160" w:after="160" w:line="360" w:lineRule="auto"/>
      <w:ind w:leftChars="0" w:firstLine="640" w:firstLineChars="200"/>
      <w:jc w:val="left"/>
      <w:outlineLvl w:val="0"/>
    </w:pPr>
    <w:rPr>
      <w:rFonts w:ascii="Times New Roman" w:hAnsi="Times New Roman" w:eastAsia="仿宋_GB2312"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9609</Words>
  <Characters>10364</Characters>
  <Lines>1</Lines>
  <Paragraphs>1</Paragraphs>
  <TotalTime>18</TotalTime>
  <ScaleCrop>false</ScaleCrop>
  <LinksUpToDate>false</LinksUpToDate>
  <CharactersWithSpaces>10478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2023-10-01T14:24:00Z</dcterms:created>
  <dc:creator>Lidan</dc:creator>
  <cp:lastModifiedBy>阿葛</cp:lastModifiedBy>
  <dcterms:modified xsi:type="dcterms:W3CDTF">2024-11-25T02:53:36Z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3B7BC136A1D149919644EB38A97046B7_13</vt:lpwstr>
  </property>
</Properties>
</file>