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DBACA">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14:paraId="399A8652">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14:paraId="35CDE5D0">
      <w:pPr>
        <w:spacing w:line="400" w:lineRule="atLeast"/>
        <w:jc w:val="center"/>
        <w:rPr>
          <w:rFonts w:hint="eastAsia" w:ascii="宋体" w:hAnsi="宋体" w:eastAsia="宋体" w:cs="宋体"/>
          <w:b/>
          <w:sz w:val="52"/>
          <w:szCs w:val="24"/>
          <w:highlight w:val="none"/>
        </w:rPr>
      </w:pPr>
    </w:p>
    <w:p w14:paraId="4512C830">
      <w:pPr>
        <w:spacing w:line="400" w:lineRule="atLeast"/>
        <w:jc w:val="center"/>
        <w:rPr>
          <w:rFonts w:hint="eastAsia" w:ascii="宋体" w:hAnsi="宋体" w:eastAsia="宋体" w:cs="宋体"/>
          <w:b/>
          <w:sz w:val="52"/>
          <w:szCs w:val="24"/>
          <w:highlight w:val="none"/>
        </w:rPr>
      </w:pPr>
    </w:p>
    <w:p w14:paraId="766985C6">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14:paraId="7283D9CA">
      <w:pPr>
        <w:spacing w:line="400" w:lineRule="exact"/>
        <w:jc w:val="center"/>
        <w:rPr>
          <w:rFonts w:hint="eastAsia" w:ascii="宋体" w:hAnsi="宋体" w:eastAsia="宋体" w:cs="宋体"/>
          <w:b/>
          <w:sz w:val="32"/>
          <w:szCs w:val="24"/>
          <w:highlight w:val="none"/>
        </w:rPr>
      </w:pPr>
    </w:p>
    <w:p w14:paraId="4857230F">
      <w:pPr>
        <w:spacing w:line="400" w:lineRule="exact"/>
        <w:jc w:val="center"/>
        <w:rPr>
          <w:rFonts w:hint="eastAsia" w:ascii="宋体" w:hAnsi="宋体" w:eastAsia="宋体" w:cs="宋体"/>
          <w:b/>
          <w:sz w:val="32"/>
          <w:szCs w:val="24"/>
          <w:highlight w:val="none"/>
        </w:rPr>
      </w:pPr>
    </w:p>
    <w:tbl>
      <w:tblPr>
        <w:tblStyle w:val="25"/>
        <w:tblW w:w="0" w:type="auto"/>
        <w:jc w:val="center"/>
        <w:tblLayout w:type="fixed"/>
        <w:tblCellMar>
          <w:top w:w="0" w:type="dxa"/>
          <w:left w:w="108" w:type="dxa"/>
          <w:bottom w:w="0" w:type="dxa"/>
          <w:right w:w="108" w:type="dxa"/>
        </w:tblCellMar>
      </w:tblPr>
      <w:tblGrid>
        <w:gridCol w:w="1497"/>
        <w:gridCol w:w="360"/>
        <w:gridCol w:w="3832"/>
      </w:tblGrid>
      <w:tr w14:paraId="35ED7E4E">
        <w:tblPrEx>
          <w:tblCellMar>
            <w:top w:w="0" w:type="dxa"/>
            <w:left w:w="108" w:type="dxa"/>
            <w:bottom w:w="0" w:type="dxa"/>
            <w:right w:w="108" w:type="dxa"/>
          </w:tblCellMar>
        </w:tblPrEx>
        <w:trPr>
          <w:trHeight w:val="659" w:hRule="atLeast"/>
          <w:jc w:val="center"/>
        </w:trPr>
        <w:tc>
          <w:tcPr>
            <w:tcW w:w="1497" w:type="dxa"/>
            <w:vAlign w:val="center"/>
          </w:tcPr>
          <w:p w14:paraId="1CA83349">
            <w:pPr>
              <w:adjustRightInd w:val="0"/>
              <w:snapToGrid w:val="0"/>
              <w:spacing w:line="440" w:lineRule="exact"/>
              <w:jc w:val="center"/>
              <w:rPr>
                <w:rFonts w:hint="eastAsia" w:ascii="宋体" w:hAnsi="宋体" w:eastAsia="宋体" w:cs="宋体"/>
                <w:sz w:val="30"/>
                <w:szCs w:val="30"/>
                <w:highlight w:val="none"/>
              </w:rPr>
            </w:pPr>
            <w:r>
              <w:rPr>
                <w:rFonts w:hint="eastAsia" w:ascii="宋体" w:hAnsi="宋体" w:eastAsia="宋体" w:cs="宋体"/>
                <w:spacing w:val="0"/>
                <w:sz w:val="30"/>
                <w:szCs w:val="30"/>
                <w:highlight w:val="none"/>
              </w:rPr>
              <w:t>采购编号</w:t>
            </w:r>
          </w:p>
        </w:tc>
        <w:tc>
          <w:tcPr>
            <w:tcW w:w="360" w:type="dxa"/>
            <w:vAlign w:val="center"/>
          </w:tcPr>
          <w:p w14:paraId="380FE500">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832" w:type="dxa"/>
            <w:vAlign w:val="center"/>
          </w:tcPr>
          <w:p w14:paraId="66380072">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WGSS-XDJT-Z-2024060</w:t>
            </w:r>
          </w:p>
        </w:tc>
      </w:tr>
      <w:tr w14:paraId="6D794D9C">
        <w:tblPrEx>
          <w:tblCellMar>
            <w:top w:w="0" w:type="dxa"/>
            <w:left w:w="108" w:type="dxa"/>
            <w:bottom w:w="0" w:type="dxa"/>
            <w:right w:w="108" w:type="dxa"/>
          </w:tblCellMar>
        </w:tblPrEx>
        <w:trPr>
          <w:trHeight w:val="614" w:hRule="atLeast"/>
          <w:jc w:val="center"/>
        </w:trPr>
        <w:tc>
          <w:tcPr>
            <w:tcW w:w="1497" w:type="dxa"/>
            <w:vAlign w:val="center"/>
          </w:tcPr>
          <w:p w14:paraId="40E89294">
            <w:pPr>
              <w:adjustRightInd w:val="0"/>
              <w:snapToGrid w:val="0"/>
              <w:spacing w:line="440" w:lineRule="exact"/>
              <w:jc w:val="center"/>
              <w:rPr>
                <w:rFonts w:hint="eastAsia" w:ascii="宋体" w:hAnsi="宋体" w:eastAsia="宋体" w:cs="宋体"/>
                <w:sz w:val="30"/>
                <w:szCs w:val="30"/>
                <w:highlight w:val="none"/>
              </w:rPr>
            </w:pPr>
            <w:r>
              <w:rPr>
                <w:rFonts w:hint="eastAsia" w:ascii="宋体" w:hAnsi="宋体" w:eastAsia="宋体" w:cs="宋体"/>
                <w:spacing w:val="0"/>
                <w:sz w:val="30"/>
                <w:szCs w:val="30"/>
                <w:highlight w:val="none"/>
              </w:rPr>
              <w:t>项目名称</w:t>
            </w:r>
          </w:p>
        </w:tc>
        <w:tc>
          <w:tcPr>
            <w:tcW w:w="360" w:type="dxa"/>
            <w:vAlign w:val="center"/>
          </w:tcPr>
          <w:p w14:paraId="1E8BA38E">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832" w:type="dxa"/>
            <w:vAlign w:val="center"/>
          </w:tcPr>
          <w:p w14:paraId="2592B8A1">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预制菜产业科技园办公设备及多媒体设备</w:t>
            </w:r>
          </w:p>
        </w:tc>
      </w:tr>
      <w:tr w14:paraId="565A8976">
        <w:tblPrEx>
          <w:tblCellMar>
            <w:top w:w="0" w:type="dxa"/>
            <w:left w:w="108" w:type="dxa"/>
            <w:bottom w:w="0" w:type="dxa"/>
            <w:right w:w="108" w:type="dxa"/>
          </w:tblCellMar>
        </w:tblPrEx>
        <w:trPr>
          <w:trHeight w:val="614" w:hRule="atLeast"/>
          <w:jc w:val="center"/>
        </w:trPr>
        <w:tc>
          <w:tcPr>
            <w:tcW w:w="1497" w:type="dxa"/>
            <w:vAlign w:val="center"/>
          </w:tcPr>
          <w:p w14:paraId="410FBA11">
            <w:pPr>
              <w:adjustRightInd w:val="0"/>
              <w:snapToGrid w:val="0"/>
              <w:spacing w:line="440" w:lineRule="exact"/>
              <w:jc w:val="center"/>
              <w:rPr>
                <w:rFonts w:hint="eastAsia" w:ascii="宋体" w:hAnsi="宋体" w:eastAsia="宋体" w:cs="宋体"/>
                <w:sz w:val="30"/>
                <w:szCs w:val="30"/>
                <w:highlight w:val="none"/>
              </w:rPr>
            </w:pPr>
            <w:r>
              <w:rPr>
                <w:rFonts w:hint="eastAsia" w:ascii="宋体" w:hAnsi="宋体" w:eastAsia="宋体" w:cs="宋体"/>
                <w:spacing w:val="0"/>
                <w:sz w:val="30"/>
                <w:szCs w:val="30"/>
                <w:highlight w:val="none"/>
              </w:rPr>
              <w:t>采购方式</w:t>
            </w:r>
          </w:p>
        </w:tc>
        <w:tc>
          <w:tcPr>
            <w:tcW w:w="360" w:type="dxa"/>
            <w:vAlign w:val="center"/>
          </w:tcPr>
          <w:p w14:paraId="7357CC89">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832" w:type="dxa"/>
            <w:vAlign w:val="center"/>
          </w:tcPr>
          <w:p w14:paraId="4CAEE33E">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14:paraId="261A6A14">
      <w:pPr>
        <w:jc w:val="center"/>
        <w:rPr>
          <w:rFonts w:hint="eastAsia" w:ascii="宋体" w:hAnsi="宋体" w:eastAsia="宋体" w:cs="宋体"/>
          <w:b/>
          <w:sz w:val="24"/>
          <w:szCs w:val="24"/>
          <w:highlight w:val="none"/>
        </w:rPr>
      </w:pPr>
    </w:p>
    <w:p w14:paraId="1E811B2F">
      <w:pPr>
        <w:jc w:val="center"/>
        <w:rPr>
          <w:rFonts w:hint="eastAsia" w:ascii="宋体" w:hAnsi="宋体" w:eastAsia="宋体" w:cs="宋体"/>
          <w:b/>
          <w:sz w:val="24"/>
          <w:szCs w:val="24"/>
          <w:highlight w:val="none"/>
        </w:rPr>
      </w:pPr>
    </w:p>
    <w:p w14:paraId="0A5A85C8">
      <w:pPr>
        <w:jc w:val="center"/>
        <w:rPr>
          <w:rFonts w:hint="eastAsia" w:ascii="宋体" w:hAnsi="宋体" w:eastAsia="宋体" w:cs="宋体"/>
          <w:b/>
          <w:sz w:val="24"/>
          <w:szCs w:val="24"/>
          <w:highlight w:val="none"/>
        </w:rPr>
      </w:pPr>
    </w:p>
    <w:p w14:paraId="21FC98C7">
      <w:pPr>
        <w:jc w:val="center"/>
        <w:rPr>
          <w:rFonts w:hint="eastAsia" w:ascii="宋体" w:hAnsi="宋体" w:eastAsia="宋体" w:cs="宋体"/>
          <w:b/>
          <w:sz w:val="24"/>
          <w:szCs w:val="24"/>
          <w:highlight w:val="none"/>
        </w:rPr>
      </w:pPr>
    </w:p>
    <w:p w14:paraId="7018C6C0">
      <w:pPr>
        <w:jc w:val="center"/>
        <w:rPr>
          <w:rFonts w:hint="eastAsia" w:ascii="宋体" w:hAnsi="宋体" w:eastAsia="宋体" w:cs="宋体"/>
          <w:b/>
          <w:sz w:val="24"/>
          <w:szCs w:val="24"/>
          <w:highlight w:val="none"/>
        </w:rPr>
      </w:pPr>
    </w:p>
    <w:p w14:paraId="456D629A">
      <w:pPr>
        <w:jc w:val="center"/>
        <w:rPr>
          <w:rFonts w:hint="eastAsia" w:ascii="宋体" w:hAnsi="宋体" w:eastAsia="宋体" w:cs="宋体"/>
          <w:b/>
          <w:sz w:val="24"/>
          <w:szCs w:val="24"/>
          <w:highlight w:val="none"/>
        </w:rPr>
      </w:pPr>
    </w:p>
    <w:p w14:paraId="75FEB4D8">
      <w:pPr>
        <w:jc w:val="center"/>
        <w:rPr>
          <w:rFonts w:hint="eastAsia" w:ascii="宋体" w:hAnsi="宋体" w:eastAsia="宋体" w:cs="宋体"/>
          <w:b/>
          <w:sz w:val="24"/>
          <w:szCs w:val="24"/>
          <w:highlight w:val="none"/>
        </w:rPr>
      </w:pPr>
    </w:p>
    <w:p w14:paraId="5B272F48">
      <w:pPr>
        <w:jc w:val="center"/>
        <w:rPr>
          <w:rFonts w:hint="eastAsia" w:ascii="宋体" w:hAnsi="宋体" w:eastAsia="宋体" w:cs="宋体"/>
          <w:b/>
          <w:sz w:val="24"/>
          <w:szCs w:val="24"/>
          <w:highlight w:val="none"/>
        </w:rPr>
      </w:pPr>
    </w:p>
    <w:p w14:paraId="231F506A">
      <w:pPr>
        <w:jc w:val="center"/>
        <w:rPr>
          <w:rFonts w:hint="eastAsia" w:ascii="宋体" w:hAnsi="宋体" w:eastAsia="宋体" w:cs="宋体"/>
          <w:b/>
          <w:sz w:val="24"/>
          <w:szCs w:val="24"/>
          <w:highlight w:val="none"/>
        </w:rPr>
      </w:pPr>
    </w:p>
    <w:p w14:paraId="070AF32D">
      <w:pPr>
        <w:jc w:val="center"/>
        <w:rPr>
          <w:rFonts w:hint="eastAsia" w:ascii="宋体" w:hAnsi="宋体" w:eastAsia="宋体" w:cs="宋体"/>
          <w:b/>
          <w:sz w:val="24"/>
          <w:szCs w:val="24"/>
          <w:highlight w:val="none"/>
        </w:rPr>
      </w:pPr>
    </w:p>
    <w:p w14:paraId="38BF5ED9">
      <w:pPr>
        <w:jc w:val="center"/>
        <w:rPr>
          <w:rFonts w:hint="eastAsia" w:ascii="宋体" w:hAnsi="宋体" w:eastAsia="宋体" w:cs="宋体"/>
          <w:b/>
          <w:sz w:val="24"/>
          <w:szCs w:val="24"/>
          <w:highlight w:val="none"/>
        </w:rPr>
      </w:pPr>
    </w:p>
    <w:tbl>
      <w:tblPr>
        <w:tblStyle w:val="25"/>
        <w:tblW w:w="0" w:type="auto"/>
        <w:jc w:val="center"/>
        <w:tblLayout w:type="fixed"/>
        <w:tblCellMar>
          <w:top w:w="0" w:type="dxa"/>
          <w:left w:w="108" w:type="dxa"/>
          <w:bottom w:w="0" w:type="dxa"/>
          <w:right w:w="108" w:type="dxa"/>
        </w:tblCellMar>
      </w:tblPr>
      <w:tblGrid>
        <w:gridCol w:w="2199"/>
        <w:gridCol w:w="360"/>
        <w:gridCol w:w="3581"/>
      </w:tblGrid>
      <w:tr w14:paraId="579B2EA9">
        <w:tblPrEx>
          <w:tblCellMar>
            <w:top w:w="0" w:type="dxa"/>
            <w:left w:w="108" w:type="dxa"/>
            <w:bottom w:w="0" w:type="dxa"/>
            <w:right w:w="108" w:type="dxa"/>
          </w:tblCellMar>
        </w:tblPrEx>
        <w:trPr>
          <w:trHeight w:val="614" w:hRule="atLeast"/>
          <w:jc w:val="center"/>
        </w:trPr>
        <w:tc>
          <w:tcPr>
            <w:tcW w:w="2199" w:type="dxa"/>
            <w:vAlign w:val="center"/>
          </w:tcPr>
          <w:p w14:paraId="262F6339">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14:paraId="0EB4545D">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581" w:type="dxa"/>
            <w:vAlign w:val="center"/>
          </w:tcPr>
          <w:p w14:paraId="33554C6F">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温州菜篮子集团有限公司</w:t>
            </w:r>
          </w:p>
        </w:tc>
      </w:tr>
      <w:tr w14:paraId="0975FEF5">
        <w:tblPrEx>
          <w:tblCellMar>
            <w:top w:w="0" w:type="dxa"/>
            <w:left w:w="108" w:type="dxa"/>
            <w:bottom w:w="0" w:type="dxa"/>
            <w:right w:w="108" w:type="dxa"/>
          </w:tblCellMar>
        </w:tblPrEx>
        <w:trPr>
          <w:trHeight w:val="614" w:hRule="atLeast"/>
          <w:jc w:val="center"/>
        </w:trPr>
        <w:tc>
          <w:tcPr>
            <w:tcW w:w="2199" w:type="dxa"/>
            <w:vAlign w:val="center"/>
          </w:tcPr>
          <w:p w14:paraId="292FE57C">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14:paraId="7031300C">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581" w:type="dxa"/>
            <w:vAlign w:val="center"/>
          </w:tcPr>
          <w:p w14:paraId="1CB03BA1">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14:paraId="3D7A3828">
      <w:pPr>
        <w:spacing w:before="156" w:beforeLines="50" w:line="360" w:lineRule="auto"/>
        <w:jc w:val="center"/>
        <w:rPr>
          <w:rFonts w:hint="eastAsia" w:ascii="宋体" w:hAnsi="宋体" w:eastAsia="宋体" w:cs="宋体"/>
          <w:spacing w:val="40"/>
          <w:sz w:val="30"/>
          <w:szCs w:val="30"/>
          <w:highlight w:val="none"/>
          <w:lang w:val="en-US" w:eastAsia="zh-CN"/>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四</w:t>
      </w:r>
      <w:r>
        <w:rPr>
          <w:rFonts w:hint="eastAsia" w:ascii="宋体" w:hAnsi="宋体" w:eastAsia="宋体" w:cs="宋体"/>
          <w:spacing w:val="40"/>
          <w:sz w:val="30"/>
          <w:szCs w:val="30"/>
          <w:highlight w:val="none"/>
        </w:rPr>
        <w:t>年</w:t>
      </w:r>
      <w:r>
        <w:rPr>
          <w:rFonts w:hint="eastAsia" w:ascii="宋体" w:hAnsi="宋体" w:eastAsia="宋体" w:cs="宋体"/>
          <w:spacing w:val="40"/>
          <w:sz w:val="30"/>
          <w:szCs w:val="30"/>
          <w:highlight w:val="none"/>
          <w:lang w:val="en-US" w:eastAsia="zh-CN"/>
        </w:rPr>
        <w:t>六月</w:t>
      </w:r>
    </w:p>
    <w:p w14:paraId="576FCA7C">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07E8327">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24F101CF">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14:paraId="2EBB3410">
      <w:pPr>
        <w:tabs>
          <w:tab w:val="right" w:leader="dot" w:pos="9660"/>
        </w:tabs>
        <w:spacing w:line="480" w:lineRule="auto"/>
        <w:rPr>
          <w:rFonts w:hint="eastAsia" w:ascii="宋体" w:hAnsi="宋体" w:eastAsia="宋体" w:cs="宋体"/>
          <w:szCs w:val="24"/>
          <w:highlight w:val="none"/>
          <w:u w:val="single"/>
        </w:rPr>
      </w:pPr>
      <w:r>
        <w:rPr>
          <w:rFonts w:hint="eastAsia" w:ascii="宋体" w:hAnsi="宋体" w:eastAsia="宋体" w:cs="宋体"/>
          <w:szCs w:val="24"/>
          <w:highlight w:val="none"/>
          <w:u w:val="single"/>
          <w:lang w:eastAsia="zh-CN"/>
        </w:rPr>
        <w:t>温州市现代集团所属温州菜篮子集团有限公司关于</w:t>
      </w:r>
      <w:r>
        <w:rPr>
          <w:rFonts w:hint="eastAsia" w:ascii="宋体" w:hAnsi="宋体" w:eastAsia="宋体" w:cs="宋体"/>
          <w:szCs w:val="24"/>
          <w:highlight w:val="none"/>
          <w:u w:val="single"/>
        </w:rPr>
        <w:fldChar w:fldCharType="begin"/>
      </w:r>
      <w:r>
        <w:rPr>
          <w:rFonts w:hint="eastAsia" w:ascii="宋体" w:hAnsi="宋体" w:eastAsia="宋体" w:cs="宋体"/>
          <w:szCs w:val="24"/>
          <w:highlight w:val="none"/>
          <w:u w:val="single"/>
        </w:rPr>
        <w:instrText xml:space="preserve"> HYPERLINK \l "_Toc491780521" </w:instrText>
      </w:r>
      <w:r>
        <w:rPr>
          <w:rFonts w:hint="eastAsia" w:ascii="宋体" w:hAnsi="宋体" w:eastAsia="宋体" w:cs="宋体"/>
          <w:szCs w:val="24"/>
          <w:highlight w:val="none"/>
          <w:u w:val="single"/>
        </w:rPr>
        <w:fldChar w:fldCharType="separate"/>
      </w:r>
      <w:r>
        <w:rPr>
          <w:rFonts w:hint="eastAsia" w:ascii="宋体" w:hAnsi="宋体" w:eastAsia="宋体" w:cs="宋体"/>
          <w:szCs w:val="24"/>
          <w:highlight w:val="none"/>
          <w:u w:val="single"/>
          <w:lang w:eastAsia="zh-CN"/>
        </w:rPr>
        <w:t>预制菜产业科技园办公设备及多媒体设备</w:t>
      </w:r>
      <w:r>
        <w:rPr>
          <w:rFonts w:hint="eastAsia" w:ascii="宋体" w:hAnsi="宋体" w:eastAsia="宋体" w:cs="宋体"/>
          <w:szCs w:val="24"/>
          <w:highlight w:val="none"/>
          <w:u w:val="single"/>
          <w:lang w:val="en-US" w:eastAsia="zh-CN"/>
        </w:rPr>
        <w:t>项目（自主）</w:t>
      </w:r>
      <w:r>
        <w:rPr>
          <w:rFonts w:hint="eastAsia" w:ascii="宋体" w:hAnsi="宋体" w:eastAsia="宋体" w:cs="宋体"/>
          <w:szCs w:val="24"/>
          <w:highlight w:val="none"/>
          <w:u w:val="single"/>
        </w:rPr>
        <w:t>的采购公告</w:t>
      </w:r>
      <w:r>
        <w:rPr>
          <w:rFonts w:hint="eastAsia" w:ascii="宋体" w:hAnsi="宋体" w:eastAsia="宋体" w:cs="宋体"/>
          <w:szCs w:val="24"/>
          <w:highlight w:val="none"/>
          <w:u w:val="single"/>
        </w:rPr>
        <w:tab/>
      </w:r>
      <w:r>
        <w:rPr>
          <w:rFonts w:hint="eastAsia" w:ascii="宋体" w:hAnsi="宋体" w:eastAsia="宋体" w:cs="宋体"/>
          <w:szCs w:val="24"/>
          <w:highlight w:val="none"/>
          <w:u w:val="single"/>
        </w:rPr>
        <w:t>3</w:t>
      </w:r>
      <w:r>
        <w:rPr>
          <w:rFonts w:hint="eastAsia" w:ascii="宋体" w:hAnsi="宋体" w:eastAsia="宋体" w:cs="宋体"/>
          <w:szCs w:val="24"/>
          <w:highlight w:val="none"/>
          <w:u w:val="single"/>
        </w:rPr>
        <w:fldChar w:fldCharType="end"/>
      </w:r>
    </w:p>
    <w:p w14:paraId="43DC3E59">
      <w:pPr>
        <w:tabs>
          <w:tab w:val="right" w:leader="dot" w:pos="9660"/>
        </w:tabs>
        <w:spacing w:line="480" w:lineRule="auto"/>
        <w:rPr>
          <w:rFonts w:hint="eastAsia" w:ascii="宋体" w:hAnsi="宋体" w:eastAsia="宋体" w:cs="宋体"/>
          <w:szCs w:val="24"/>
          <w:highlight w:val="none"/>
          <w:u w:val="single"/>
        </w:rPr>
      </w:pPr>
      <w:r>
        <w:rPr>
          <w:rFonts w:hint="eastAsia" w:ascii="宋体" w:hAnsi="宋体" w:eastAsia="宋体" w:cs="宋体"/>
          <w:szCs w:val="24"/>
          <w:highlight w:val="none"/>
          <w:u w:val="single"/>
          <w:lang w:eastAsia="zh-CN"/>
        </w:rPr>
        <w:t>温州市现代集团所属温州菜篮子集团有限公司关于</w:t>
      </w:r>
      <w:r>
        <w:rPr>
          <w:rFonts w:hint="eastAsia" w:ascii="宋体" w:hAnsi="宋体" w:eastAsia="宋体" w:cs="宋体"/>
          <w:szCs w:val="24"/>
          <w:highlight w:val="none"/>
          <w:u w:val="single"/>
        </w:rPr>
        <w:fldChar w:fldCharType="begin"/>
      </w:r>
      <w:r>
        <w:rPr>
          <w:rFonts w:hint="eastAsia" w:ascii="宋体" w:hAnsi="宋体" w:eastAsia="宋体" w:cs="宋体"/>
          <w:szCs w:val="24"/>
          <w:highlight w:val="none"/>
          <w:u w:val="single"/>
        </w:rPr>
        <w:instrText xml:space="preserve"> HYPERLINK \l "_Toc491780522" </w:instrText>
      </w:r>
      <w:r>
        <w:rPr>
          <w:rFonts w:hint="eastAsia" w:ascii="宋体" w:hAnsi="宋体" w:eastAsia="宋体" w:cs="宋体"/>
          <w:szCs w:val="24"/>
          <w:highlight w:val="none"/>
          <w:u w:val="single"/>
        </w:rPr>
        <w:fldChar w:fldCharType="separate"/>
      </w:r>
      <w:r>
        <w:rPr>
          <w:rFonts w:hint="eastAsia" w:ascii="宋体" w:hAnsi="宋体" w:eastAsia="宋体" w:cs="宋体"/>
          <w:szCs w:val="24"/>
          <w:highlight w:val="none"/>
          <w:u w:val="single"/>
          <w:lang w:eastAsia="zh-CN"/>
        </w:rPr>
        <w:t>预制菜产业科技园办公设备及多媒体设备</w:t>
      </w:r>
      <w:r>
        <w:rPr>
          <w:rFonts w:hint="eastAsia" w:ascii="宋体" w:hAnsi="宋体" w:eastAsia="宋体" w:cs="宋体"/>
          <w:szCs w:val="24"/>
          <w:highlight w:val="none"/>
          <w:u w:val="single"/>
          <w:lang w:val="en-US" w:eastAsia="zh-CN"/>
        </w:rPr>
        <w:t>项目（自主）</w:t>
      </w:r>
      <w:r>
        <w:rPr>
          <w:rFonts w:hint="eastAsia" w:ascii="宋体" w:hAnsi="宋体" w:eastAsia="宋体" w:cs="宋体"/>
          <w:szCs w:val="24"/>
          <w:highlight w:val="none"/>
          <w:u w:val="single"/>
        </w:rPr>
        <w:t>征求意见公示</w:t>
      </w:r>
      <w:r>
        <w:rPr>
          <w:rFonts w:hint="eastAsia" w:ascii="宋体" w:hAnsi="宋体" w:eastAsia="宋体" w:cs="宋体"/>
          <w:szCs w:val="24"/>
          <w:highlight w:val="none"/>
          <w:u w:val="single"/>
        </w:rPr>
        <w:tab/>
      </w:r>
      <w:r>
        <w:rPr>
          <w:rFonts w:hint="eastAsia" w:ascii="宋体" w:hAnsi="宋体" w:eastAsia="宋体" w:cs="宋体"/>
          <w:szCs w:val="24"/>
          <w:highlight w:val="none"/>
          <w:u w:val="single"/>
          <w:lang w:val="en-US" w:eastAsia="zh-CN"/>
        </w:rPr>
        <w:t>4</w:t>
      </w:r>
      <w:r>
        <w:rPr>
          <w:rFonts w:hint="eastAsia" w:ascii="宋体" w:hAnsi="宋体" w:eastAsia="宋体" w:cs="宋体"/>
          <w:szCs w:val="24"/>
          <w:highlight w:val="none"/>
          <w:u w:val="single"/>
        </w:rPr>
        <w:fldChar w:fldCharType="end"/>
      </w:r>
    </w:p>
    <w:p w14:paraId="1EE58DA0">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14:paraId="56645961">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17</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14:paraId="615E5C4F">
      <w:pPr>
        <w:tabs>
          <w:tab w:val="right" w:leader="dot" w:pos="9660"/>
        </w:tabs>
        <w:spacing w:line="480" w:lineRule="auto"/>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22</w:t>
      </w:r>
    </w:p>
    <w:p w14:paraId="4187BF07">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66</w:t>
      </w:r>
    </w:p>
    <w:p w14:paraId="7197CEFD">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93</w:t>
      </w:r>
    </w:p>
    <w:p w14:paraId="473858E1">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14:paraId="1F33A370">
      <w:pPr>
        <w:jc w:val="center"/>
        <w:rPr>
          <w:rFonts w:hint="eastAsia" w:ascii="宋体" w:hAnsi="宋体" w:eastAsia="宋体" w:cs="宋体"/>
          <w:b/>
          <w:bCs/>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b/>
          <w:bCs/>
          <w:sz w:val="24"/>
          <w:highlight w:val="none"/>
          <w:lang w:eastAsia="zh-CN"/>
        </w:rPr>
        <w:t>温州市现代集团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温州菜篮子集团有限公司关于预制菜产业科技园办公设备及多媒体设备</w:t>
      </w:r>
      <w:r>
        <w:rPr>
          <w:rFonts w:hint="eastAsia" w:ascii="宋体" w:hAnsi="宋体" w:eastAsia="宋体" w:cs="宋体"/>
          <w:b/>
          <w:bCs/>
          <w:sz w:val="24"/>
          <w:highlight w:val="none"/>
          <w:lang w:val="en-US" w:eastAsia="zh-CN"/>
        </w:rPr>
        <w:t>项目（自主）</w:t>
      </w:r>
      <w:r>
        <w:rPr>
          <w:rFonts w:hint="eastAsia" w:ascii="宋体" w:hAnsi="宋体" w:eastAsia="宋体" w:cs="宋体"/>
          <w:b/>
          <w:bCs/>
          <w:sz w:val="24"/>
          <w:highlight w:val="none"/>
        </w:rPr>
        <w:t>的采购公告</w:t>
      </w:r>
    </w:p>
    <w:p w14:paraId="4B07F798">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温州菜篮子集团有限公司</w:t>
      </w:r>
      <w:r>
        <w:rPr>
          <w:rFonts w:hint="eastAsia" w:ascii="宋体" w:hAnsi="宋体" w:eastAsia="宋体" w:cs="宋体"/>
          <w:highlight w:val="none"/>
        </w:rPr>
        <w:t>的委托，就</w:t>
      </w:r>
      <w:r>
        <w:rPr>
          <w:rFonts w:hint="eastAsia" w:ascii="宋体" w:hAnsi="宋体" w:eastAsia="宋体" w:cs="宋体"/>
          <w:highlight w:val="none"/>
          <w:lang w:eastAsia="zh-CN"/>
        </w:rPr>
        <w:t>预制菜产业科技园办公设备及多媒体设备</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以公开招标方式进行国企采购，欢迎国内合格的投标供应商前来投标。</w:t>
      </w:r>
    </w:p>
    <w:p w14:paraId="36080D72">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WGSS-XDJT-Z-2024060</w:t>
      </w:r>
    </w:p>
    <w:p w14:paraId="3B3B69AB">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预制菜产业科技园办公设备及多媒体设备</w:t>
      </w:r>
    </w:p>
    <w:p w14:paraId="4F544676">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性质：国企采购（非政府采购）</w:t>
      </w:r>
    </w:p>
    <w:p w14:paraId="2B338FE6">
      <w:pPr>
        <w:widowControl/>
        <w:spacing w:before="60" w:after="60"/>
        <w:ind w:right="60"/>
        <w:jc w:val="left"/>
        <w:rPr>
          <w:rFonts w:hint="eastAsia" w:ascii="宋体" w:hAnsi="宋体" w:eastAsia="宋体" w:cs="宋体"/>
          <w:bCs/>
          <w:kern w:val="0"/>
          <w:szCs w:val="21"/>
          <w:highlight w:val="none"/>
          <w:lang w:val="en-US"/>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、预算金额：人民币</w:t>
      </w:r>
      <w:r>
        <w:rPr>
          <w:rFonts w:hint="eastAsia" w:ascii="宋体" w:hAnsi="宋体" w:eastAsia="宋体" w:cs="宋体"/>
          <w:bCs/>
          <w:kern w:val="0"/>
          <w:szCs w:val="21"/>
          <w:highlight w:val="none"/>
          <w:lang w:val="en-US" w:eastAsia="zh-CN"/>
        </w:rPr>
        <w:t>134万元整</w:t>
      </w:r>
    </w:p>
    <w:p w14:paraId="632EACB9">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、采购内容（内容、用途、数量、简要技术要求等）：</w:t>
      </w:r>
    </w:p>
    <w:tbl>
      <w:tblPr>
        <w:tblStyle w:val="25"/>
        <w:tblW w:w="0" w:type="auto"/>
        <w:jc w:val="center"/>
        <w:tblLayout w:type="fixed"/>
        <w:tblCellMar>
          <w:top w:w="0" w:type="dxa"/>
          <w:left w:w="108" w:type="dxa"/>
          <w:bottom w:w="0" w:type="dxa"/>
          <w:right w:w="108" w:type="dxa"/>
        </w:tblCellMar>
      </w:tblPr>
      <w:tblGrid>
        <w:gridCol w:w="453"/>
        <w:gridCol w:w="1308"/>
        <w:gridCol w:w="618"/>
        <w:gridCol w:w="600"/>
        <w:gridCol w:w="1126"/>
        <w:gridCol w:w="4765"/>
      </w:tblGrid>
      <w:tr w14:paraId="1BE53642">
        <w:tblPrEx>
          <w:tblCellMar>
            <w:top w:w="0" w:type="dxa"/>
            <w:left w:w="108" w:type="dxa"/>
            <w:bottom w:w="0" w:type="dxa"/>
            <w:right w:w="108" w:type="dxa"/>
          </w:tblCellMar>
        </w:tblPrEx>
        <w:trPr>
          <w:jc w:val="center"/>
        </w:trPr>
        <w:tc>
          <w:tcPr>
            <w:tcW w:w="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20672A">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13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AAC36">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标项内容</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1D9CD4">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992FA4">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ADB6DA">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预算金额(万元)</w:t>
            </w:r>
          </w:p>
        </w:tc>
        <w:tc>
          <w:tcPr>
            <w:tcW w:w="4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0E0F6F">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14:paraId="3217C674">
        <w:tblPrEx>
          <w:tblCellMar>
            <w:top w:w="0" w:type="dxa"/>
            <w:left w:w="108" w:type="dxa"/>
            <w:bottom w:w="0" w:type="dxa"/>
            <w:right w:w="108" w:type="dxa"/>
          </w:tblCellMar>
        </w:tblPrEx>
        <w:trPr>
          <w:jc w:val="center"/>
        </w:trPr>
        <w:tc>
          <w:tcPr>
            <w:tcW w:w="4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59C3F">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13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07A35">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预制菜产业科技园办公设备及多媒体设备</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0FDF0">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E858A8">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项</w:t>
            </w:r>
          </w:p>
        </w:tc>
        <w:tc>
          <w:tcPr>
            <w:tcW w:w="1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C6D5DE">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134</w:t>
            </w:r>
          </w:p>
        </w:tc>
        <w:tc>
          <w:tcPr>
            <w:tcW w:w="4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98A1F">
            <w:pPr>
              <w:keepNext w:val="0"/>
              <w:keepLines w:val="0"/>
              <w:pageBreakBefore w:val="0"/>
              <w:widowControl/>
              <w:kinsoku/>
              <w:wordWrap/>
              <w:overflowPunct/>
              <w:topLinePunct w:val="0"/>
              <w:autoSpaceDE/>
              <w:autoSpaceDN/>
              <w:bidi w:val="0"/>
              <w:adjustRightInd/>
              <w:snapToGrid/>
              <w:spacing w:before="60" w:after="60"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lang w:eastAsia="zh-CN"/>
              </w:rPr>
              <w:t>温州菜篮子集团有限公司</w:t>
            </w:r>
            <w:r>
              <w:rPr>
                <w:rFonts w:hint="eastAsia" w:ascii="宋体" w:hAnsi="宋体" w:eastAsia="宋体" w:cs="宋体"/>
                <w:sz w:val="18"/>
                <w:szCs w:val="18"/>
                <w:highlight w:val="none"/>
              </w:rPr>
              <w:t>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预制菜产业科技园办公设备及多媒体设备</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bl>
    <w:p w14:paraId="22E30BDD">
      <w:pPr>
        <w:widowControl/>
        <w:spacing w:before="60" w:after="60"/>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、投标供应商资格要求：</w:t>
      </w:r>
    </w:p>
    <w:p w14:paraId="476E98CE">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1、符合《温州市市属国有企业采购管理办法（试行）》第十五条对投标供应商参加温州市国有企业采购活动应当具备的基本资格条件；</w:t>
      </w:r>
    </w:p>
    <w:p w14:paraId="3E184A71">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color w:val="auto"/>
          <w:szCs w:val="21"/>
          <w:highlight w:val="none"/>
        </w:rPr>
        <w:t>；</w:t>
      </w:r>
    </w:p>
    <w:p w14:paraId="5B2B7423">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、单位负责人为同一人或者存在直接控股、管理关系的不同供应商，不得同时参加本项目投标活动，违反该款规定的，相关投标均无效；</w:t>
      </w:r>
    </w:p>
    <w:p w14:paraId="769057AF">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本项目不接受联合体投标。</w:t>
      </w:r>
      <w:r>
        <w:rPr>
          <w:rFonts w:hint="eastAsia" w:ascii="宋体" w:hAnsi="宋体" w:eastAsia="宋体" w:cs="宋体"/>
          <w:color w:val="auto"/>
          <w:kern w:val="0"/>
          <w:szCs w:val="21"/>
          <w:highlight w:val="none"/>
        </w:rPr>
        <w:tab/>
      </w:r>
    </w:p>
    <w:p w14:paraId="405271CF">
      <w:pPr>
        <w:widowControl/>
        <w:spacing w:before="60" w:after="60"/>
        <w:ind w:right="6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en-US" w:eastAsia="zh-CN"/>
        </w:rPr>
        <w:t>七</w:t>
      </w:r>
      <w:r>
        <w:rPr>
          <w:rFonts w:hint="eastAsia" w:ascii="宋体" w:hAnsi="宋体" w:eastAsia="宋体" w:cs="宋体"/>
          <w:bCs/>
          <w:color w:val="auto"/>
          <w:kern w:val="0"/>
          <w:szCs w:val="21"/>
          <w:highlight w:val="none"/>
        </w:rPr>
        <w:t>、发售</w:t>
      </w:r>
      <w:r>
        <w:rPr>
          <w:rFonts w:hint="eastAsia" w:ascii="宋体" w:hAnsi="宋体" w:eastAsia="宋体" w:cs="宋体"/>
          <w:color w:val="auto"/>
          <w:kern w:val="0"/>
          <w:szCs w:val="21"/>
          <w:highlight w:val="none"/>
        </w:rPr>
        <w:t>采购文件时间及地点：</w:t>
      </w:r>
    </w:p>
    <w:p w14:paraId="667BE725">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color w:val="auto"/>
          <w:kern w:val="0"/>
          <w:szCs w:val="21"/>
          <w:highlight w:val="none"/>
        </w:rPr>
        <w:t>1、报名时间及采购文件发售时间：公告发布之日起至投标截止时间止（上午08：30-11：30，下午14：30-17：00，节假日除外，未购买采购文件的潜</w:t>
      </w:r>
      <w:r>
        <w:rPr>
          <w:rFonts w:hint="eastAsia" w:ascii="宋体" w:hAnsi="宋体" w:eastAsia="宋体" w:cs="宋体"/>
          <w:kern w:val="0"/>
          <w:szCs w:val="21"/>
          <w:highlight w:val="none"/>
        </w:rPr>
        <w:t>在投标人拒绝参加投标。）；</w:t>
      </w:r>
    </w:p>
    <w:p w14:paraId="6E7B8C0E">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采购文件地址：本项目不接受现场获取采购文件；</w:t>
      </w:r>
    </w:p>
    <w:p w14:paraId="70D5960D">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14:paraId="63EEEF79">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14:paraId="169A16FA">
      <w:pPr>
        <w:keepNext w:val="0"/>
        <w:keepLines w:val="0"/>
        <w:pageBreakBefore w:val="0"/>
        <w:widowControl/>
        <w:kinsoku/>
        <w:wordWrap/>
        <w:overflowPunct/>
        <w:topLinePunct w:val="0"/>
        <w:autoSpaceDE/>
        <w:autoSpaceDN/>
        <w:bidi w:val="0"/>
        <w:adjustRightInd/>
        <w:snapToGrid/>
        <w:spacing w:before="60" w:after="60"/>
        <w:ind w:right="62"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供应商登录浙江政府采购网（http://zfcg.czt.zj.gov.cn），进入“政采云”平台进行注册并报名（未注册的供应商请尽早注册，客服电话：95763），（操作路径：浙江政府采购网：供应商注册-项目采购-获取采购文件-申请获取采购文件）。网上报名后，请将标书购买费汇入代理公司账户（将缴纳报名费凭证、开票信息）等资料发代理机构电子邮箱1826066763@qq.com）并联系采购代理公司审核。标书款汇入账户信息：</w:t>
      </w:r>
    </w:p>
    <w:p w14:paraId="7BC62AB0">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  位 名 称：浙江国际招投标有限公司</w:t>
      </w:r>
    </w:p>
    <w:p w14:paraId="37643B36">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14:paraId="193D0FA1">
      <w:pPr>
        <w:widowControl/>
        <w:spacing w:before="60" w:after="60"/>
        <w:ind w:left="60" w:right="6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14:paraId="3F924BFC">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、投标截止时间：</w:t>
      </w:r>
      <w:bookmarkStart w:id="4" w:name="B23_谈判响应文件提交截止日期"/>
      <w:bookmarkEnd w:id="4"/>
      <w:r>
        <w:rPr>
          <w:rFonts w:hint="eastAsia" w:ascii="宋体" w:hAnsi="宋体" w:eastAsia="宋体" w:cs="宋体"/>
          <w:bCs/>
          <w:kern w:val="0"/>
          <w:szCs w:val="21"/>
          <w:highlight w:val="none"/>
        </w:rPr>
        <w:t>投标截止时间：</w:t>
      </w:r>
      <w:r>
        <w:rPr>
          <w:rFonts w:hint="eastAsia" w:ascii="宋体" w:hAnsi="宋体" w:eastAsia="宋体" w:cs="宋体"/>
          <w:bCs/>
          <w:color w:val="auto"/>
          <w:kern w:val="0"/>
          <w:szCs w:val="21"/>
          <w:highlight w:val="none"/>
          <w:lang w:eastAsia="zh-CN"/>
        </w:rPr>
        <w:t>2024</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w:t>
      </w:r>
      <w:r>
        <w:rPr>
          <w:rFonts w:hint="eastAsia" w:ascii="宋体" w:hAnsi="宋体" w:eastAsia="宋体" w:cs="宋体"/>
          <w:bCs/>
          <w:color w:val="0000FF"/>
          <w:kern w:val="0"/>
          <w:szCs w:val="21"/>
          <w:highlight w:val="none"/>
          <w:lang w:val="en-US" w:eastAsia="zh-CN"/>
        </w:rPr>
        <w:t>28</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14:paraId="77A946FC">
      <w:pPr>
        <w:widowControl/>
        <w:spacing w:before="60" w:after="60"/>
        <w:ind w:left="575" w:leftChars="29" w:right="60" w:hanging="514" w:hangingChars="245"/>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、投标文件提交地点</w:t>
      </w:r>
      <w:r>
        <w:rPr>
          <w:rFonts w:hint="eastAsia" w:ascii="宋体" w:hAnsi="宋体" w:eastAsia="宋体" w:cs="宋体"/>
          <w:bCs/>
          <w:color w:val="auto"/>
          <w:kern w:val="0"/>
          <w:szCs w:val="21"/>
          <w:highlight w:val="none"/>
        </w:rPr>
        <w:t>：温州市鹿城区瓯江路展银大厦1楼1号会议室</w:t>
      </w:r>
    </w:p>
    <w:p w14:paraId="6C6C9E8C">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十、开标时间：</w:t>
      </w:r>
      <w:bookmarkStart w:id="5" w:name="B26_谈判时间日期"/>
      <w:bookmarkEnd w:id="5"/>
      <w:r>
        <w:rPr>
          <w:rFonts w:hint="eastAsia" w:ascii="宋体" w:hAnsi="宋体" w:eastAsia="宋体" w:cs="宋体"/>
          <w:bCs/>
          <w:color w:val="auto"/>
          <w:kern w:val="0"/>
          <w:szCs w:val="21"/>
          <w:highlight w:val="none"/>
        </w:rPr>
        <w:t>同投标截止时间。</w:t>
      </w:r>
    </w:p>
    <w:p w14:paraId="57A27E26">
      <w:pPr>
        <w:widowControl/>
        <w:spacing w:before="60" w:after="60"/>
        <w:ind w:left="575" w:leftChars="29" w:right="60" w:hanging="514" w:hangingChars="245"/>
        <w:jc w:val="left"/>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kern w:val="0"/>
          <w:szCs w:val="21"/>
          <w:highlight w:val="none"/>
        </w:rPr>
        <w:t>十</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、开标地点：温州市鹿城区瓯江路展银大厦1楼1号会议室</w:t>
      </w:r>
    </w:p>
    <w:p w14:paraId="0AF9618C">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、投标保证金及交付方式：</w:t>
      </w:r>
    </w:p>
    <w:p w14:paraId="1A5E6193">
      <w:pPr>
        <w:widowControl/>
        <w:spacing w:before="60" w:after="60" w:line="280" w:lineRule="exact"/>
        <w:ind w:right="62" w:firstLine="420" w:firstLineChars="200"/>
        <w:jc w:val="left"/>
        <w:rPr>
          <w:rFonts w:hint="eastAsia" w:ascii="宋体" w:hAnsi="宋体" w:eastAsia="宋体" w:cs="宋体"/>
          <w:b/>
          <w:bCs/>
          <w:color w:val="auto"/>
          <w:kern w:val="0"/>
          <w:szCs w:val="21"/>
          <w:highlight w:val="none"/>
          <w:lang w:val="en-US" w:eastAsia="zh-CN"/>
        </w:rPr>
      </w:pPr>
      <w:bookmarkStart w:id="6" w:name="B29_谈判保证金"/>
      <w:bookmarkEnd w:id="6"/>
      <w:bookmarkStart w:id="7" w:name="_Hlk516555339"/>
      <w:bookmarkStart w:id="8" w:name="_Hlk3381632"/>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13</w:t>
      </w:r>
      <w:r>
        <w:rPr>
          <w:rFonts w:hint="eastAsia" w:ascii="宋体" w:hAnsi="宋体" w:eastAsia="宋体" w:cs="宋体"/>
          <w:kern w:val="0"/>
          <w:szCs w:val="21"/>
          <w:highlight w:val="none"/>
        </w:rPr>
        <w:t>000元整，</w:t>
      </w:r>
      <w:bookmarkEnd w:id="7"/>
      <w:bookmarkEnd w:id="8"/>
      <w:r>
        <w:rPr>
          <w:rFonts w:hint="eastAsia" w:ascii="宋体" w:hAnsi="宋体" w:eastAsia="宋体" w:cs="宋体"/>
          <w:color w:val="auto"/>
          <w:kern w:val="0"/>
          <w:szCs w:val="21"/>
          <w:highlight w:val="none"/>
        </w:rPr>
        <w:t>采用银行转账形式</w:t>
      </w:r>
      <w:r>
        <w:rPr>
          <w:rFonts w:hint="eastAsia" w:ascii="宋体" w:hAnsi="宋体" w:eastAsia="宋体" w:cs="宋体"/>
          <w:color w:val="auto"/>
          <w:highlight w:val="none"/>
        </w:rPr>
        <w:t>，</w:t>
      </w:r>
      <w:r>
        <w:rPr>
          <w:rFonts w:hint="eastAsia" w:ascii="宋体" w:hAnsi="宋体" w:eastAsia="宋体" w:cs="宋体"/>
          <w:b w:val="0"/>
          <w:bCs w:val="0"/>
          <w:color w:val="auto"/>
          <w:kern w:val="0"/>
          <w:szCs w:val="21"/>
          <w:highlight w:val="none"/>
          <w:u w:val="none"/>
        </w:rPr>
        <w:t>投标保证金要求从</w:t>
      </w:r>
      <w:r>
        <w:rPr>
          <w:rFonts w:hint="eastAsia" w:ascii="宋体" w:hAnsi="宋体" w:eastAsia="宋体" w:cs="宋体"/>
          <w:b w:val="0"/>
          <w:bCs w:val="0"/>
          <w:color w:val="auto"/>
          <w:kern w:val="0"/>
          <w:szCs w:val="21"/>
          <w:highlight w:val="none"/>
          <w:u w:val="none"/>
          <w:lang w:eastAsia="zh-CN"/>
        </w:rPr>
        <w:t>投标供应商</w:t>
      </w:r>
      <w:r>
        <w:rPr>
          <w:rFonts w:hint="eastAsia" w:ascii="宋体" w:hAnsi="宋体" w:eastAsia="宋体" w:cs="宋体"/>
          <w:b w:val="0"/>
          <w:bCs w:val="0"/>
          <w:color w:val="auto"/>
          <w:kern w:val="0"/>
          <w:szCs w:val="21"/>
          <w:highlight w:val="none"/>
          <w:u w:val="none"/>
        </w:rPr>
        <w:t>的银行账号汇出，保证金缴纳时间以到账时间为准。</w:t>
      </w:r>
      <w:r>
        <w:rPr>
          <w:rFonts w:hint="eastAsia" w:ascii="宋体" w:hAnsi="宋体" w:eastAsia="宋体" w:cs="宋体"/>
          <w:color w:val="auto"/>
          <w:kern w:val="0"/>
          <w:szCs w:val="21"/>
          <w:highlight w:val="none"/>
        </w:rPr>
        <w:t>保证金缴纳截止时间：与投标截止时间相同。</w:t>
      </w:r>
      <w:r>
        <w:rPr>
          <w:rFonts w:hint="eastAsia" w:ascii="宋体" w:hAnsi="宋体" w:eastAsia="宋体" w:cs="宋体"/>
          <w:b/>
          <w:bCs/>
          <w:color w:val="auto"/>
          <w:kern w:val="0"/>
          <w:szCs w:val="21"/>
          <w:highlight w:val="none"/>
          <w:lang w:val="en-US" w:eastAsia="zh-CN"/>
        </w:rPr>
        <w:t>保证金缴纳账户信息：</w:t>
      </w:r>
    </w:p>
    <w:p w14:paraId="46F4E365">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  位 名 称：浙江国际招投标有限公司</w:t>
      </w:r>
    </w:p>
    <w:p w14:paraId="3FE8BC3F">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  户 银 行：工商银行杭州市武林支行</w:t>
      </w:r>
    </w:p>
    <w:p w14:paraId="4BC7BDEF">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账        号：1202021209906782015</w:t>
      </w:r>
    </w:p>
    <w:p w14:paraId="029BF1FE">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、其他事项：</w:t>
      </w:r>
    </w:p>
    <w:p w14:paraId="3312233D">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14:paraId="7A261DAB">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2、投标人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14:paraId="7EDD9E7E">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采购公告附件的采购文件仅供阅览使用，未按照本公告规定的方式获取采购文件的潜在投标人提起的质疑，采购人及采购代理机构将不予受理、答复。</w:t>
      </w:r>
    </w:p>
    <w:p w14:paraId="03799AE6">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3、质疑投标人对采购人、采购代理机构的答复不满意或者采购人、采购代理机构未在规定的时间内作出答复的，可以在答复期满后15个工作日内向采购人（集团）的内设监管职能部门投诉。</w:t>
      </w:r>
    </w:p>
    <w:p w14:paraId="6CBEC2BE">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u w:val="single"/>
        </w:rPr>
        <w:t>4、</w:t>
      </w:r>
      <w:r>
        <w:rPr>
          <w:rFonts w:hint="eastAsia" w:ascii="宋体" w:hAnsi="宋体" w:eastAsia="宋体" w:cs="宋体"/>
          <w:bCs/>
          <w:kern w:val="0"/>
          <w:szCs w:val="21"/>
          <w:highlight w:val="none"/>
          <w:u w:val="single"/>
          <w:lang w:eastAsia="zh-CN"/>
        </w:rPr>
        <w:t>温州市现代服务业发展集团有限公司</w:t>
      </w:r>
      <w:r>
        <w:rPr>
          <w:rFonts w:hint="eastAsia" w:ascii="宋体" w:hAnsi="宋体" w:eastAsia="宋体" w:cs="宋体"/>
          <w:bCs/>
          <w:kern w:val="0"/>
          <w:szCs w:val="21"/>
          <w:highlight w:val="none"/>
          <w:u w:val="single"/>
        </w:rPr>
        <w:t>负责对投标人反映的企业本部及所属企业在采购活动中出现的违法违规问题进行答疑回复。投标人认为</w:t>
      </w:r>
      <w:r>
        <w:rPr>
          <w:rFonts w:hint="eastAsia" w:ascii="宋体" w:hAnsi="宋体" w:eastAsia="宋体" w:cs="宋体"/>
          <w:bCs/>
          <w:kern w:val="0"/>
          <w:szCs w:val="21"/>
          <w:highlight w:val="none"/>
          <w:u w:val="single"/>
          <w:lang w:eastAsia="zh-CN"/>
        </w:rPr>
        <w:t>温州市现代服务业发展集团有限公司</w:t>
      </w:r>
      <w:r>
        <w:rPr>
          <w:rFonts w:hint="eastAsia" w:ascii="宋体" w:hAnsi="宋体" w:eastAsia="宋体" w:cs="宋体"/>
          <w:bCs/>
          <w:kern w:val="0"/>
          <w:szCs w:val="21"/>
          <w:highlight w:val="none"/>
          <w:u w:val="single"/>
        </w:rPr>
        <w:t>答疑回复处理结果不合法的，可以采购人或采购代理机构为对象依法向人民法院提起诉讼。</w:t>
      </w:r>
    </w:p>
    <w:p w14:paraId="189096E1">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14:paraId="18173E1E">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、联系方式</w:t>
      </w:r>
    </w:p>
    <w:p w14:paraId="6B627A3F">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温州菜篮子集团有限公司</w:t>
      </w:r>
    </w:p>
    <w:p w14:paraId="0453FEA0">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浙江省温州市鹿城区十八家路31号</w:t>
      </w:r>
    </w:p>
    <w:p w14:paraId="4423AD77">
      <w:pPr>
        <w:widowControl/>
        <w:spacing w:before="60" w:after="60"/>
        <w:ind w:left="62" w:right="62"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林先生</w:t>
      </w:r>
      <w:r>
        <w:rPr>
          <w:rFonts w:hint="eastAsia" w:ascii="宋体" w:hAnsi="宋体" w:eastAsia="宋体" w:cs="宋体"/>
          <w:highlight w:val="none"/>
        </w:rPr>
        <w:t>，联系电话：057788771279</w:t>
      </w:r>
    </w:p>
    <w:p w14:paraId="4DBEDAAA">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14:paraId="54E9FD52">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14:paraId="49CFE7CA">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14:paraId="7CFD0419">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14:paraId="16600EFF">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14:paraId="1CFB1A28">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温州市现代服务业发展集团有限公司纪检监察室</w:t>
      </w:r>
    </w:p>
    <w:p w14:paraId="3BF0FF2B">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联系电话：0577-88160019</w:t>
      </w:r>
    </w:p>
    <w:p w14:paraId="6075A116">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温州菜篮子集团有限公司</w:t>
      </w:r>
      <w:r>
        <w:rPr>
          <w:rFonts w:hint="eastAsia" w:ascii="宋体" w:hAnsi="宋体" w:eastAsia="宋体" w:cs="宋体"/>
          <w:bCs/>
          <w:kern w:val="0"/>
          <w:szCs w:val="21"/>
          <w:highlight w:val="none"/>
        </w:rPr>
        <w:t xml:space="preserve"> </w:t>
      </w:r>
    </w:p>
    <w:p w14:paraId="6AF841CB">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50AFCD08">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lang w:eastAsia="zh-CN"/>
        </w:rPr>
        <w:t>2024</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 xml:space="preserve">6 </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7</w:t>
      </w:r>
      <w:r>
        <w:rPr>
          <w:rFonts w:hint="eastAsia" w:ascii="宋体" w:hAnsi="宋体" w:eastAsia="宋体" w:cs="宋体"/>
          <w:color w:val="0000FF"/>
          <w:kern w:val="0"/>
          <w:szCs w:val="21"/>
          <w:highlight w:val="none"/>
        </w:rPr>
        <w:t>日</w:t>
      </w:r>
    </w:p>
    <w:p w14:paraId="27B0BF96">
      <w:pPr>
        <w:jc w:val="center"/>
        <w:rPr>
          <w:rFonts w:hint="eastAsia" w:ascii="宋体" w:hAnsi="宋体" w:eastAsia="宋体" w:cs="宋体"/>
          <w:sz w:val="24"/>
          <w:highlight w:val="none"/>
        </w:rPr>
      </w:pPr>
      <w:bookmarkStart w:id="9" w:name="_Toc491780522"/>
    </w:p>
    <w:p w14:paraId="41C16A53">
      <w:pPr>
        <w:jc w:val="center"/>
        <w:rPr>
          <w:rFonts w:hint="eastAsia" w:ascii="宋体" w:hAnsi="宋体" w:eastAsia="宋体" w:cs="宋体"/>
          <w:b/>
          <w:bCs/>
          <w:highlight w:val="none"/>
        </w:rPr>
      </w:pPr>
      <w:r>
        <w:rPr>
          <w:rFonts w:hint="eastAsia" w:ascii="宋体" w:hAnsi="宋体" w:eastAsia="宋体" w:cs="宋体"/>
          <w:b/>
          <w:bCs/>
          <w:sz w:val="24"/>
          <w:highlight w:val="none"/>
          <w:lang w:eastAsia="zh-CN"/>
        </w:rPr>
        <w:t>温州市现代集团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温州菜篮子集团有限公司关于预制菜产业科技园办公设备及多媒体设备</w:t>
      </w:r>
      <w:r>
        <w:rPr>
          <w:rFonts w:hint="eastAsia" w:ascii="宋体" w:hAnsi="宋体" w:eastAsia="宋体" w:cs="宋体"/>
          <w:b/>
          <w:bCs/>
          <w:sz w:val="24"/>
          <w:highlight w:val="none"/>
          <w:lang w:val="en-US" w:eastAsia="zh-CN"/>
        </w:rPr>
        <w:t>项目（自主）</w:t>
      </w:r>
      <w:r>
        <w:rPr>
          <w:rFonts w:hint="eastAsia" w:ascii="宋体" w:hAnsi="宋体" w:eastAsia="宋体" w:cs="宋体"/>
          <w:b/>
          <w:bCs/>
          <w:sz w:val="24"/>
          <w:highlight w:val="none"/>
        </w:rPr>
        <w:t>的征求意见公示</w:t>
      </w:r>
      <w:bookmarkEnd w:id="9"/>
    </w:p>
    <w:p w14:paraId="1F394286">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温州菜篮子集团有限公司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预制菜产业科技园办公设备及多媒体设备</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14:paraId="5697D1BD">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14:paraId="4D8FBC40">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14:paraId="6DD69B7A">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14:paraId="67162B0A">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14:paraId="2CA3171F">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14:paraId="70E07D78">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w:t>
      </w:r>
      <w:r>
        <w:rPr>
          <w:rFonts w:hint="eastAsia" w:ascii="宋体" w:hAnsi="宋体" w:eastAsia="宋体" w:cs="宋体"/>
          <w:bCs/>
          <w:color w:val="auto"/>
          <w:kern w:val="0"/>
          <w:szCs w:val="21"/>
          <w:highlight w:val="none"/>
        </w:rPr>
        <w:t>请于</w:t>
      </w:r>
      <w:r>
        <w:rPr>
          <w:rFonts w:hint="eastAsia" w:ascii="宋体" w:hAnsi="宋体" w:eastAsia="宋体" w:cs="宋体"/>
          <w:bCs/>
          <w:color w:val="auto"/>
          <w:kern w:val="0"/>
          <w:szCs w:val="21"/>
          <w:highlight w:val="none"/>
          <w:lang w:eastAsia="zh-CN"/>
        </w:rPr>
        <w:t>2024</w:t>
      </w:r>
      <w:r>
        <w:rPr>
          <w:rFonts w:hint="eastAsia" w:ascii="宋体" w:hAnsi="宋体" w:eastAsia="宋体" w:cs="宋体"/>
          <w:bCs/>
          <w:color w:val="auto"/>
          <w:kern w:val="0"/>
          <w:szCs w:val="21"/>
          <w:highlight w:val="none"/>
        </w:rPr>
        <w:t>年</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下</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14:paraId="54A3EE47">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14:paraId="01851332">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14:paraId="0C121D8E">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14:paraId="237E8205">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温州菜篮子集团有限公司</w:t>
      </w:r>
    </w:p>
    <w:p w14:paraId="4FE2F4E0">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495644D5">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lang w:eastAsia="zh-CN"/>
        </w:rPr>
        <w:t>2024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日</w:t>
      </w:r>
      <w:bookmarkEnd w:id="2"/>
    </w:p>
    <w:p w14:paraId="100D380E">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27057032"/>
      <w:bookmarkStart w:id="11" w:name="_Toc223717603"/>
      <w:bookmarkStart w:id="12" w:name="_Toc491780523"/>
      <w:bookmarkStart w:id="13" w:name="_Toc215415529"/>
      <w:bookmarkStart w:id="14" w:name="_Toc218041725"/>
      <w:bookmarkStart w:id="15" w:name="_Toc216667819"/>
      <w:bookmarkStart w:id="16" w:name="_Toc227056845"/>
      <w:bookmarkStart w:id="17" w:name="_Toc227489886"/>
      <w:bookmarkStart w:id="18" w:name="_Toc223933220"/>
      <w:bookmarkStart w:id="19" w:name="_Toc219538612"/>
      <w:bookmarkStart w:id="20" w:name="_Toc217460684"/>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14:paraId="07FEB1FB">
      <w:pPr>
        <w:spacing w:before="156" w:beforeLines="50" w:after="156" w:afterLines="50"/>
        <w:jc w:val="center"/>
        <w:rPr>
          <w:rFonts w:hint="eastAsia" w:ascii="宋体" w:hAnsi="宋体" w:eastAsia="宋体" w:cs="宋体"/>
          <w:b/>
          <w:sz w:val="28"/>
          <w:szCs w:val="28"/>
          <w:highlight w:val="none"/>
        </w:rPr>
      </w:pPr>
      <w:bookmarkStart w:id="21" w:name="_Toc433729304"/>
      <w:bookmarkStart w:id="22" w:name="_Toc401243876"/>
      <w:bookmarkStart w:id="23" w:name="_Toc227056846"/>
      <w:bookmarkStart w:id="24" w:name="_Toc215415530"/>
      <w:bookmarkStart w:id="25" w:name="_Toc227489887"/>
      <w:bookmarkStart w:id="26" w:name="_Toc216667820"/>
      <w:bookmarkStart w:id="27" w:name="_Toc219538613"/>
      <w:bookmarkStart w:id="28" w:name="_Toc218041726"/>
      <w:bookmarkStart w:id="29" w:name="_Toc223933221"/>
      <w:bookmarkStart w:id="30" w:name="_Toc223717604"/>
      <w:bookmarkStart w:id="31" w:name="_Toc217460685"/>
      <w:bookmarkStart w:id="32" w:name="_Toc227057033"/>
      <w:r>
        <w:rPr>
          <w:rFonts w:hint="eastAsia" w:ascii="宋体" w:hAnsi="宋体" w:eastAsia="宋体" w:cs="宋体"/>
          <w:b/>
          <w:sz w:val="28"/>
          <w:szCs w:val="28"/>
          <w:highlight w:val="none"/>
        </w:rPr>
        <w:t>投标人须知前附表</w:t>
      </w:r>
      <w:bookmarkEnd w:id="21"/>
      <w:bookmarkEnd w:id="22"/>
    </w:p>
    <w:tbl>
      <w:tblPr>
        <w:tblStyle w:val="25"/>
        <w:tblW w:w="0" w:type="auto"/>
        <w:jc w:val="center"/>
        <w:tblLayout w:type="fixed"/>
        <w:tblCellMar>
          <w:top w:w="0" w:type="dxa"/>
          <w:left w:w="108" w:type="dxa"/>
          <w:bottom w:w="0" w:type="dxa"/>
          <w:right w:w="108" w:type="dxa"/>
        </w:tblCellMar>
      </w:tblPr>
      <w:tblGrid>
        <w:gridCol w:w="836"/>
        <w:gridCol w:w="1624"/>
        <w:gridCol w:w="6528"/>
      </w:tblGrid>
      <w:tr w14:paraId="424D9DB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D8ED898">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61A1878E">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611E564D">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14:paraId="1018690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A24DCD8">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F5DA2B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538DCBE4">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预制菜产业科技园办公设备及多媒体设备</w:t>
            </w:r>
          </w:p>
        </w:tc>
      </w:tr>
      <w:tr w14:paraId="00C10D3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30E0D27">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AC200C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14:paraId="5F341AFC">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WGSS-XDJT-Z-2024060</w:t>
            </w:r>
          </w:p>
        </w:tc>
      </w:tr>
      <w:tr w14:paraId="0D6704C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76ACF3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85D3C3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5CA2F6D2">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温州菜篮子集团有限公司</w:t>
            </w:r>
          </w:p>
          <w:p w14:paraId="115303D8">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浙江省温州市鹿城区十八家路31号</w:t>
            </w:r>
          </w:p>
          <w:p w14:paraId="706B1447">
            <w:pPr>
              <w:spacing w:line="240" w:lineRule="exact"/>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林先生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val="en-US" w:eastAsia="zh-CN"/>
              </w:rPr>
              <w:t>0577</w:t>
            </w:r>
          </w:p>
        </w:tc>
      </w:tr>
      <w:tr w14:paraId="3158A63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EE90CCE">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554AF3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43FFBB5F">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14:paraId="6978004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代理机构地址：温州市黎明西路342号人保财险鹿城支公司办公大楼401室</w:t>
            </w:r>
          </w:p>
          <w:p w14:paraId="77B5582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14:paraId="1193580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14:paraId="75B7F7C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7E04AF7">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75E21E9">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67A9B9CB">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lang w:eastAsia="zh-CN"/>
              </w:rPr>
              <w:t>预制菜产业科技园办公设备及多媒体设备</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r>
              <w:rPr>
                <w:rFonts w:hint="eastAsia" w:ascii="宋体" w:hAnsi="宋体" w:eastAsia="宋体" w:cs="宋体"/>
                <w:kern w:val="0"/>
                <w:sz w:val="18"/>
                <w:szCs w:val="18"/>
                <w:highlight w:val="none"/>
              </w:rPr>
              <w:t>。</w:t>
            </w:r>
          </w:p>
        </w:tc>
      </w:tr>
      <w:tr w14:paraId="6DE539E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EE2D47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CC3126E">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14:paraId="590882E8">
            <w:pPr>
              <w:spacing w:line="240" w:lineRule="exact"/>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u w:val="single"/>
              </w:rPr>
              <w:t>▲本项目采购预算为人民币</w:t>
            </w:r>
            <w:r>
              <w:rPr>
                <w:rFonts w:hint="eastAsia" w:ascii="宋体" w:hAnsi="宋体" w:eastAsia="宋体" w:cs="宋体"/>
                <w:b/>
                <w:kern w:val="0"/>
                <w:sz w:val="18"/>
                <w:szCs w:val="18"/>
                <w:highlight w:val="none"/>
                <w:u w:val="single"/>
                <w:lang w:val="en-US" w:eastAsia="zh-CN"/>
              </w:rPr>
              <w:t>134万元</w:t>
            </w:r>
            <w:r>
              <w:rPr>
                <w:rFonts w:hint="eastAsia" w:ascii="宋体" w:hAnsi="宋体" w:eastAsia="宋体" w:cs="宋体"/>
                <w:b/>
                <w:kern w:val="0"/>
                <w:sz w:val="18"/>
                <w:szCs w:val="18"/>
                <w:highlight w:val="none"/>
                <w:u w:val="single"/>
              </w:rPr>
              <w:t>，投标供应商的投标报价超出</w:t>
            </w:r>
            <w:r>
              <w:rPr>
                <w:rFonts w:hint="eastAsia" w:ascii="宋体" w:hAnsi="宋体" w:eastAsia="宋体" w:cs="宋体"/>
                <w:b/>
                <w:kern w:val="0"/>
                <w:sz w:val="18"/>
                <w:szCs w:val="18"/>
                <w:highlight w:val="none"/>
                <w:u w:val="single"/>
                <w:lang w:val="en-US" w:eastAsia="zh-CN"/>
              </w:rPr>
              <w:t>采购预算</w:t>
            </w:r>
            <w:r>
              <w:rPr>
                <w:rFonts w:hint="eastAsia" w:ascii="宋体" w:hAnsi="宋体" w:eastAsia="宋体" w:cs="宋体"/>
                <w:b/>
                <w:kern w:val="0"/>
                <w:sz w:val="18"/>
                <w:szCs w:val="18"/>
                <w:highlight w:val="none"/>
                <w:u w:val="single"/>
              </w:rPr>
              <w:t>（大于</w:t>
            </w:r>
            <w:r>
              <w:rPr>
                <w:rFonts w:hint="eastAsia" w:ascii="宋体" w:hAnsi="宋体" w:eastAsia="宋体" w:cs="宋体"/>
                <w:b/>
                <w:kern w:val="0"/>
                <w:sz w:val="18"/>
                <w:szCs w:val="18"/>
                <w:highlight w:val="none"/>
                <w:u w:val="single"/>
                <w:lang w:val="en-US" w:eastAsia="zh-CN"/>
              </w:rPr>
              <w:t>134万元</w:t>
            </w:r>
            <w:r>
              <w:rPr>
                <w:rFonts w:hint="eastAsia" w:ascii="宋体" w:hAnsi="宋体" w:eastAsia="宋体" w:cs="宋体"/>
                <w:b/>
                <w:kern w:val="0"/>
                <w:sz w:val="18"/>
                <w:szCs w:val="18"/>
                <w:highlight w:val="none"/>
                <w:u w:val="single"/>
              </w:rPr>
              <w:t>）的作无效标处理</w:t>
            </w:r>
            <w:r>
              <w:rPr>
                <w:rFonts w:hint="eastAsia" w:ascii="宋体" w:hAnsi="宋体" w:eastAsia="宋体" w:cs="宋体"/>
                <w:b/>
                <w:kern w:val="0"/>
                <w:sz w:val="18"/>
                <w:szCs w:val="18"/>
                <w:highlight w:val="none"/>
              </w:rPr>
              <w:t>。</w:t>
            </w:r>
          </w:p>
        </w:tc>
      </w:tr>
      <w:tr w14:paraId="1DD9F94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5447E7E">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F76440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完成</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14:paraId="511FBFCB">
            <w:pPr>
              <w:spacing w:line="240" w:lineRule="exact"/>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lang w:val="en-US" w:eastAsia="zh-CN"/>
              </w:rPr>
              <w:t>合同签订生效之日起20日历天内</w:t>
            </w:r>
            <w:r>
              <w:rPr>
                <w:rFonts w:hint="eastAsia" w:ascii="宋体" w:hAnsi="宋体" w:eastAsia="宋体" w:cs="宋体"/>
                <w:sz w:val="18"/>
                <w:szCs w:val="18"/>
                <w:highlight w:val="none"/>
              </w:rPr>
              <w:t>完成项目产品供货、安装调试、系统集成，并进入为期三个月试运行阶段</w:t>
            </w:r>
            <w:r>
              <w:rPr>
                <w:rFonts w:hint="eastAsia" w:ascii="宋体" w:hAnsi="宋体" w:eastAsia="宋体" w:cs="宋体"/>
                <w:sz w:val="18"/>
                <w:szCs w:val="18"/>
                <w:highlight w:val="none"/>
                <w:lang w:eastAsia="zh-CN"/>
              </w:rPr>
              <w:t>。</w:t>
            </w:r>
          </w:p>
        </w:tc>
      </w:tr>
      <w:tr w14:paraId="569C0DE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07029AB">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541E41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1D84A32C">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14:paraId="59426D0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EB0099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191A3BD">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76B23C29">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14:paraId="4A556CF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739466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0E1C8FE">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47129F35">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14:paraId="55EE171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B032B0B">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B28017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172EE14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14:paraId="7F09FA6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2E92AC7">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5B2613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2952444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lang w:eastAsia="zh-CN"/>
              </w:rPr>
              <w:t>2024</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6</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12</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下</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7</w:t>
            </w:r>
            <w:r>
              <w:rPr>
                <w:rFonts w:hint="eastAsia" w:ascii="宋体" w:hAnsi="宋体" w:eastAsia="宋体" w:cs="宋体"/>
                <w:color w:val="0000FF"/>
                <w:kern w:val="0"/>
                <w:sz w:val="18"/>
                <w:szCs w:val="18"/>
                <w:highlight w:val="none"/>
              </w:rPr>
              <w:t>时00分前</w:t>
            </w:r>
          </w:p>
          <w:p w14:paraId="6ED24C0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1"/>
                <w:rFonts w:hint="eastAsia" w:ascii="宋体" w:hAnsi="宋体" w:eastAsia="宋体" w:cs="宋体"/>
                <w:color w:val="auto"/>
                <w:kern w:val="0"/>
                <w:sz w:val="18"/>
                <w:szCs w:val="18"/>
                <w:highlight w:val="none"/>
              </w:rPr>
              <w:t>澄清文件加盖公章后以扫描件发送至邮箱</w:t>
            </w:r>
            <w:r>
              <w:rPr>
                <w:rStyle w:val="31"/>
                <w:rFonts w:hint="eastAsia" w:ascii="宋体" w:hAnsi="宋体" w:eastAsia="宋体" w:cs="宋体"/>
                <w:color w:val="auto"/>
                <w:kern w:val="0"/>
                <w:sz w:val="18"/>
                <w:szCs w:val="18"/>
                <w:highlight w:val="none"/>
                <w:lang w:eastAsia="zh-CN"/>
              </w:rPr>
              <w:t>1826066763</w:t>
            </w:r>
            <w:r>
              <w:rPr>
                <w:rStyle w:val="31"/>
                <w:rFonts w:hint="eastAsia" w:ascii="宋体" w:hAnsi="宋体" w:eastAsia="宋体" w:cs="宋体"/>
                <w:color w:val="auto"/>
                <w:kern w:val="0"/>
                <w:sz w:val="18"/>
                <w:szCs w:val="18"/>
                <w:highlight w:val="none"/>
              </w:rPr>
              <w:t>@qq.com</w:t>
            </w:r>
            <w:r>
              <w:rPr>
                <w:rStyle w:val="31"/>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14:paraId="6DDB688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59B08B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A36C94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06B9EA93">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14:paraId="71B15E5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E0FEE8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04D3180">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7F996AD4">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14:paraId="66E11A8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8E3E1E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456B236">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014EE5F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14:paraId="5ED8C4B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59219D4">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AA0BAB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57EF3AB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14:paraId="2E4CABE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ABA28A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94AA45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1F07FB2B">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14:paraId="0AF06AF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0C75E76">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76C9A8A">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240B1C82">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14:paraId="3B5140EF">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14:paraId="7B51CB49">
            <w:pPr>
              <w:spacing w:line="240" w:lineRule="exact"/>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3）投标文件电子版投标文件U盘一份：包含商务（报价）部分、技术资信部分内容电子稿，投标文件商务（报价）部分、技术资信部分电子版采用扫描方式，内容跟纸质投标文件保持一致并带有公章，不得带有密码，单独密封，随投标文件一同提交。</w:t>
            </w:r>
          </w:p>
        </w:tc>
      </w:tr>
      <w:tr w14:paraId="6C0B2F7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41DE6E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F6962EE">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062FAF3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lang w:eastAsia="zh-CN"/>
              </w:rPr>
              <w:t>2024</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6</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28</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14</w:t>
            </w:r>
            <w:r>
              <w:rPr>
                <w:rFonts w:hint="eastAsia" w:ascii="宋体" w:hAnsi="宋体" w:eastAsia="宋体" w:cs="宋体"/>
                <w:b/>
                <w:bCs/>
                <w:color w:val="0000FF"/>
                <w:kern w:val="0"/>
                <w:sz w:val="18"/>
                <w:szCs w:val="18"/>
                <w:highlight w:val="none"/>
              </w:rPr>
              <w:t>时30分</w:t>
            </w:r>
          </w:p>
          <w:p w14:paraId="0D0AD42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递交地点：温州市鹿城区瓯江路展银大厦1楼1号会议室</w:t>
            </w:r>
          </w:p>
        </w:tc>
      </w:tr>
      <w:tr w14:paraId="4D234F8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DE6058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2059DE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14:paraId="7AC9E65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36A8E95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14:paraId="1428701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开标地点：温州市鹿城区瓯江路展银大厦1楼1号会议室</w:t>
            </w:r>
          </w:p>
        </w:tc>
      </w:tr>
      <w:tr w14:paraId="0E6DE02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162C3B9">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A12550D">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3E9E2586">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14:paraId="6A085EB7">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14:paraId="411F0912">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14:paraId="0AAF4558">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14:paraId="38572DE3">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14:paraId="3D815F6D">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14:paraId="55E00642">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14:paraId="06466E8A">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14:paraId="489A56A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28E616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6954BA3">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14:paraId="695DB8A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2A2E9291">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14:paraId="18F6E481">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F08B84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419869C">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598C2298">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14:paraId="6A916509">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14:paraId="7C56F7EA">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14:paraId="4DB64A8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65B2AC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423C934">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4897A75C">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14:paraId="402ED687">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14:paraId="4774A76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DAC106F">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937E44D">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17AFD0D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14:paraId="17A17E8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14:paraId="7F649A6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14:paraId="0FC8A9BC">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4、采购监督管理部门：温州市现代服务业发展集团有限公司纪检监察室</w:t>
            </w:r>
          </w:p>
          <w:p w14:paraId="0E131224">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联系电话：0577-88160019</w:t>
            </w:r>
          </w:p>
        </w:tc>
      </w:tr>
      <w:tr w14:paraId="09E8E8A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C33383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CD9F105">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565CC24D">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14:paraId="6FC37C89">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7CE9395B">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14:paraId="3EC06FAE">
      <w:pPr>
        <w:rPr>
          <w:rFonts w:hint="eastAsia" w:ascii="宋体" w:hAnsi="宋体" w:eastAsia="宋体" w:cs="宋体"/>
          <w:szCs w:val="24"/>
          <w:highlight w:val="none"/>
        </w:rPr>
      </w:pPr>
    </w:p>
    <w:p w14:paraId="7E6FCAEB">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14:paraId="092E8AB0">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14:paraId="25A35284">
      <w:pPr>
        <w:keepNext w:val="0"/>
        <w:keepLines w:val="0"/>
        <w:pageBreakBefore w:val="0"/>
        <w:widowControl w:val="0"/>
        <w:numPr>
          <w:ilvl w:val="0"/>
          <w:numId w:val="3"/>
        </w:numPr>
        <w:tabs>
          <w:tab w:val="left" w:pos="525"/>
          <w:tab w:val="left" w:pos="900"/>
        </w:tabs>
        <w:kinsoku/>
        <w:wordWrap w:val="0"/>
        <w:overflowPunct/>
        <w:topLinePunct w:val="0"/>
        <w:autoSpaceDE/>
        <w:autoSpaceDN/>
        <w:bidi w:val="0"/>
        <w:adjustRightInd/>
        <w:snapToGrid/>
        <w:ind w:left="527" w:hanging="527"/>
        <w:textAlignment w:val="auto"/>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本项目采购公告在浙江政府采购网（https://zfcg.czt.zj.gov.cn/）、温州国企采购平台（https://wzgzw-cg.zhengcaiyun.cn/home.html）和温州市现代服务业发展集团有限公司网https://www.wzmodern.com.cn/）（以下简称“项目采购公告发布的网站”）同时发布。</w:t>
      </w:r>
    </w:p>
    <w:p w14:paraId="5C05C150">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14:paraId="270062E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14:paraId="5ABBB19B">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14:paraId="00CF181F">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14:paraId="64CDCDD5">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14:paraId="6D173045">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14:paraId="7C7806ED">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14:paraId="47577F65">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14:paraId="2E21542C">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14:paraId="718C1BD9">
      <w:pPr>
        <w:spacing w:before="156" w:beforeLines="50" w:after="156" w:afterLines="50"/>
        <w:jc w:val="center"/>
        <w:rPr>
          <w:rFonts w:hint="eastAsia" w:ascii="宋体" w:hAnsi="宋体" w:eastAsia="宋体" w:cs="宋体"/>
          <w:b/>
          <w:sz w:val="28"/>
          <w:szCs w:val="28"/>
          <w:highlight w:val="none"/>
        </w:rPr>
      </w:pPr>
      <w:bookmarkStart w:id="33" w:name="_Toc209251128"/>
      <w:bookmarkStart w:id="34" w:name="_Toc209250720"/>
      <w:bookmarkStart w:id="35" w:name="_Toc205004969"/>
      <w:bookmarkStart w:id="36" w:name="_Toc214365791"/>
      <w:bookmarkStart w:id="37" w:name="_Toc209261366"/>
      <w:bookmarkStart w:id="38" w:name="_Toc209261433"/>
      <w:bookmarkStart w:id="39" w:name="_Toc218041727"/>
      <w:bookmarkStart w:id="40" w:name="_Toc223717605"/>
      <w:bookmarkStart w:id="41" w:name="_Toc227489888"/>
      <w:bookmarkStart w:id="42" w:name="_Toc205005287"/>
      <w:bookmarkStart w:id="43" w:name="_Toc204491318"/>
      <w:bookmarkStart w:id="44" w:name="_Toc209332634"/>
      <w:bookmarkStart w:id="45" w:name="_Toc227057034"/>
      <w:bookmarkStart w:id="46" w:name="_Toc219538614"/>
      <w:bookmarkStart w:id="47" w:name="_Toc217460686"/>
      <w:bookmarkStart w:id="48" w:name="_Toc204578576"/>
      <w:bookmarkStart w:id="49" w:name="_Toc210879709"/>
      <w:bookmarkStart w:id="50" w:name="_Toc207609182"/>
      <w:bookmarkStart w:id="51" w:name="_Toc215415531"/>
      <w:bookmarkStart w:id="52" w:name="_Toc227056847"/>
      <w:bookmarkStart w:id="53" w:name="_Toc216667821"/>
      <w:bookmarkStart w:id="54" w:name="_Toc205877453"/>
      <w:bookmarkStart w:id="55" w:name="_Toc205877558"/>
      <w:bookmarkStart w:id="56" w:name="_Toc205703103"/>
      <w:bookmarkStart w:id="57" w:name="_Toc223933222"/>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2280B1E">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14:paraId="1526BEE7">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14:paraId="61CCC19E">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7.1  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14:paraId="71F35E32">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14:paraId="27A134DD">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52460008">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w:t>
      </w:r>
      <w:r>
        <w:rPr>
          <w:rFonts w:hint="eastAsia" w:ascii="宋体" w:hAnsi="宋体" w:eastAsia="宋体" w:cs="宋体"/>
          <w:sz w:val="22"/>
          <w:highlight w:val="none"/>
          <w:lang w:eastAsia="zh-CN"/>
        </w:rPr>
        <w:t>项目采购公告发布的网站</w:t>
      </w:r>
      <w:r>
        <w:rPr>
          <w:rFonts w:hint="eastAsia" w:ascii="宋体" w:hAnsi="宋体" w:eastAsia="宋体" w:cs="宋体"/>
          <w:sz w:val="22"/>
          <w:highlight w:val="none"/>
        </w:rPr>
        <w:t>上予以公示，以通知所有获取采购文件的潜在投标人。</w:t>
      </w:r>
    </w:p>
    <w:p w14:paraId="7CE4E11E">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5399B104">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14:paraId="28016F5D">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14:paraId="2FF9E5D5">
      <w:pPr>
        <w:spacing w:before="156" w:beforeLines="50" w:after="156" w:afterLines="50"/>
        <w:jc w:val="center"/>
        <w:rPr>
          <w:rFonts w:hint="eastAsia" w:ascii="宋体" w:hAnsi="宋体" w:eastAsia="宋体" w:cs="宋体"/>
          <w:b/>
          <w:sz w:val="28"/>
          <w:szCs w:val="28"/>
          <w:highlight w:val="none"/>
        </w:rPr>
      </w:pPr>
      <w:bookmarkStart w:id="58" w:name="_Toc205877454"/>
      <w:bookmarkStart w:id="59" w:name="_Toc204578577"/>
      <w:bookmarkStart w:id="60" w:name="_Toc205703104"/>
      <w:bookmarkStart w:id="61" w:name="_Toc205004970"/>
      <w:bookmarkStart w:id="62" w:name="_Toc209250721"/>
      <w:bookmarkStart w:id="63" w:name="_Toc227057035"/>
      <w:bookmarkStart w:id="64" w:name="_Toc204491319"/>
      <w:bookmarkStart w:id="65" w:name="_Toc207609183"/>
      <w:bookmarkStart w:id="66" w:name="_Toc219538615"/>
      <w:bookmarkStart w:id="67" w:name="_Toc214365792"/>
      <w:bookmarkStart w:id="68" w:name="_Toc227056848"/>
      <w:bookmarkStart w:id="69" w:name="_Toc209332635"/>
      <w:bookmarkStart w:id="70" w:name="_Toc227489889"/>
      <w:bookmarkStart w:id="71" w:name="_Toc217460687"/>
      <w:bookmarkStart w:id="72" w:name="_Toc205005288"/>
      <w:bookmarkStart w:id="73" w:name="_Toc218041728"/>
      <w:bookmarkStart w:id="74" w:name="_Toc209251129"/>
      <w:bookmarkStart w:id="75" w:name="_Toc209261367"/>
      <w:bookmarkStart w:id="76" w:name="_Toc223933223"/>
      <w:bookmarkStart w:id="77" w:name="_Toc209261434"/>
      <w:bookmarkStart w:id="78" w:name="_Toc215415532"/>
      <w:bookmarkStart w:id="79" w:name="_Toc210879710"/>
      <w:bookmarkStart w:id="80" w:name="_Toc216667822"/>
      <w:bookmarkStart w:id="81" w:name="_Toc205877559"/>
      <w:bookmarkStart w:id="82" w:name="_Toc223717606"/>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1755BC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6A4C59E1">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14:paraId="2C71B171">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14:paraId="5EBADB6E">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14:paraId="6C087010">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2BF2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5A28B8E">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7426DC40">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0D00E24B">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102D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3EB975A">
            <w:pPr>
              <w:jc w:val="center"/>
              <w:rPr>
                <w:rFonts w:hint="eastAsia" w:ascii="宋体" w:hAnsi="宋体" w:eastAsia="宋体" w:cs="宋体"/>
                <w:b/>
                <w:sz w:val="18"/>
                <w:szCs w:val="18"/>
                <w:highlight w:val="none"/>
              </w:rPr>
            </w:pPr>
          </w:p>
        </w:tc>
        <w:tc>
          <w:tcPr>
            <w:tcW w:w="7122" w:type="dxa"/>
            <w:vAlign w:val="center"/>
          </w:tcPr>
          <w:p w14:paraId="39006B80">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14:paraId="401D4752">
            <w:pPr>
              <w:jc w:val="center"/>
              <w:rPr>
                <w:rFonts w:hint="eastAsia" w:ascii="宋体" w:hAnsi="宋体" w:eastAsia="宋体" w:cs="宋体"/>
                <w:b/>
                <w:sz w:val="18"/>
                <w:szCs w:val="18"/>
                <w:highlight w:val="none"/>
              </w:rPr>
            </w:pPr>
          </w:p>
        </w:tc>
      </w:tr>
      <w:tr w14:paraId="2CC2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DDAC71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489BE8CA">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7751E4F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4E72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138D28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FAC6736">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3C8822B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4278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B23F6B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1FF9CDE0">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7CD661A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2EAE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2C920F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5792F38E">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4BB92630">
            <w:pPr>
              <w:jc w:val="center"/>
              <w:rPr>
                <w:rFonts w:hint="eastAsia" w:ascii="宋体" w:hAnsi="宋体" w:eastAsia="宋体" w:cs="宋体"/>
                <w:sz w:val="18"/>
                <w:szCs w:val="18"/>
                <w:highlight w:val="none"/>
              </w:rPr>
            </w:pPr>
          </w:p>
        </w:tc>
      </w:tr>
      <w:tr w14:paraId="0E30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1315D16">
            <w:pPr>
              <w:jc w:val="center"/>
              <w:rPr>
                <w:rFonts w:hint="eastAsia" w:ascii="宋体" w:hAnsi="宋体" w:eastAsia="宋体" w:cs="宋体"/>
                <w:sz w:val="18"/>
                <w:szCs w:val="18"/>
                <w:highlight w:val="none"/>
              </w:rPr>
            </w:pPr>
          </w:p>
        </w:tc>
        <w:tc>
          <w:tcPr>
            <w:tcW w:w="7122" w:type="dxa"/>
            <w:vAlign w:val="center"/>
          </w:tcPr>
          <w:p w14:paraId="290EF6E4">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3A1390EE">
            <w:pPr>
              <w:jc w:val="center"/>
              <w:rPr>
                <w:rFonts w:hint="eastAsia" w:ascii="宋体" w:hAnsi="宋体" w:eastAsia="宋体" w:cs="宋体"/>
                <w:sz w:val="18"/>
                <w:szCs w:val="18"/>
                <w:highlight w:val="none"/>
              </w:rPr>
            </w:pPr>
          </w:p>
        </w:tc>
      </w:tr>
      <w:tr w14:paraId="5D1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69D36B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5B2CD4E">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1F88D55D">
            <w:pPr>
              <w:jc w:val="center"/>
              <w:rPr>
                <w:rFonts w:hint="eastAsia" w:ascii="宋体" w:hAnsi="宋体" w:eastAsia="宋体" w:cs="宋体"/>
                <w:sz w:val="18"/>
                <w:szCs w:val="18"/>
                <w:highlight w:val="none"/>
              </w:rPr>
            </w:pPr>
          </w:p>
        </w:tc>
      </w:tr>
      <w:tr w14:paraId="5C94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1CB2BA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0E801A4A">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14:paraId="3D3305A6">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70E6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1448FF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79F4AD0B">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14:paraId="710B4603">
            <w:pPr>
              <w:jc w:val="center"/>
              <w:rPr>
                <w:rFonts w:hint="eastAsia" w:ascii="宋体" w:hAnsi="宋体" w:eastAsia="宋体" w:cs="宋体"/>
                <w:sz w:val="18"/>
                <w:szCs w:val="18"/>
                <w:highlight w:val="none"/>
              </w:rPr>
            </w:pPr>
          </w:p>
        </w:tc>
      </w:tr>
      <w:tr w14:paraId="1D02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5A9519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39F56F59">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27C1D0C2">
            <w:pPr>
              <w:jc w:val="center"/>
              <w:rPr>
                <w:rFonts w:hint="eastAsia" w:ascii="宋体" w:hAnsi="宋体" w:eastAsia="宋体" w:cs="宋体"/>
                <w:sz w:val="18"/>
                <w:szCs w:val="18"/>
                <w:highlight w:val="none"/>
              </w:rPr>
            </w:pPr>
          </w:p>
        </w:tc>
      </w:tr>
      <w:tr w14:paraId="07A0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361B0B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14:paraId="27730C6B">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根据采购文件中的采购内容及要求以及技术资信评分项目逐项编制，本采购文件《第三部分投标文件的编制格式》未提供格式的，可自行拟定格式，并加盖单位公章，并由法定代表人或其授权代表签署（签字或盖章），否则视为未提供。</w:t>
            </w:r>
          </w:p>
        </w:tc>
        <w:tc>
          <w:tcPr>
            <w:tcW w:w="1105" w:type="dxa"/>
            <w:vAlign w:val="center"/>
          </w:tcPr>
          <w:p w14:paraId="09F84C29">
            <w:pPr>
              <w:jc w:val="center"/>
              <w:rPr>
                <w:rFonts w:hint="eastAsia" w:ascii="宋体" w:hAnsi="宋体" w:eastAsia="宋体" w:cs="宋体"/>
                <w:sz w:val="18"/>
                <w:szCs w:val="18"/>
                <w:highlight w:val="none"/>
                <w:lang w:val="en-US" w:eastAsia="zh-CN"/>
              </w:rPr>
            </w:pPr>
          </w:p>
        </w:tc>
      </w:tr>
      <w:tr w14:paraId="4635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10A9B6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w:t>
            </w:r>
          </w:p>
        </w:tc>
        <w:tc>
          <w:tcPr>
            <w:tcW w:w="7122" w:type="dxa"/>
            <w:vAlign w:val="center"/>
          </w:tcPr>
          <w:p w14:paraId="212361A7">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项目服务人员汇总表</w:t>
            </w:r>
          </w:p>
        </w:tc>
        <w:tc>
          <w:tcPr>
            <w:tcW w:w="1105" w:type="dxa"/>
            <w:vAlign w:val="center"/>
          </w:tcPr>
          <w:p w14:paraId="30730F87">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五</w:t>
            </w:r>
          </w:p>
        </w:tc>
      </w:tr>
      <w:tr w14:paraId="3599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A383425">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6</w:t>
            </w:r>
          </w:p>
        </w:tc>
        <w:tc>
          <w:tcPr>
            <w:tcW w:w="7122" w:type="dxa"/>
            <w:vAlign w:val="center"/>
          </w:tcPr>
          <w:p w14:paraId="5CE10039">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投标人2021年1月1日以来同类项目业绩一览表</w:t>
            </w:r>
          </w:p>
        </w:tc>
        <w:tc>
          <w:tcPr>
            <w:tcW w:w="1105" w:type="dxa"/>
            <w:vAlign w:val="center"/>
          </w:tcPr>
          <w:p w14:paraId="1AA74AA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附件六</w:t>
            </w:r>
          </w:p>
        </w:tc>
      </w:tr>
      <w:tr w14:paraId="55FF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2B9D13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7</w:t>
            </w:r>
          </w:p>
        </w:tc>
        <w:tc>
          <w:tcPr>
            <w:tcW w:w="7122" w:type="dxa"/>
            <w:vAlign w:val="center"/>
          </w:tcPr>
          <w:p w14:paraId="420A7892">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技术响应表</w:t>
            </w:r>
          </w:p>
        </w:tc>
        <w:tc>
          <w:tcPr>
            <w:tcW w:w="1105" w:type="dxa"/>
            <w:vAlign w:val="center"/>
          </w:tcPr>
          <w:p w14:paraId="0CEEBD6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七</w:t>
            </w:r>
          </w:p>
        </w:tc>
      </w:tr>
      <w:tr w14:paraId="637E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AD4C0B0">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w:t>
            </w:r>
          </w:p>
        </w:tc>
        <w:tc>
          <w:tcPr>
            <w:tcW w:w="7122" w:type="dxa"/>
            <w:vAlign w:val="center"/>
          </w:tcPr>
          <w:p w14:paraId="6E175B37">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技术响应表</w:t>
            </w:r>
            <w:r>
              <w:rPr>
                <w:rFonts w:hint="eastAsia" w:ascii="宋体" w:hAnsi="宋体" w:eastAsia="宋体" w:cs="宋体"/>
                <w:sz w:val="18"/>
                <w:szCs w:val="18"/>
                <w:highlight w:val="none"/>
                <w:lang w:val="en-US" w:eastAsia="zh-CN"/>
              </w:rPr>
              <w:t>-设备供货清单响应表</w:t>
            </w:r>
          </w:p>
        </w:tc>
        <w:tc>
          <w:tcPr>
            <w:tcW w:w="1105" w:type="dxa"/>
            <w:vAlign w:val="center"/>
          </w:tcPr>
          <w:p w14:paraId="07B193AE">
            <w:pPr>
              <w:jc w:val="center"/>
              <w:rPr>
                <w:rFonts w:hint="eastAsia" w:ascii="宋体" w:hAnsi="宋体" w:eastAsia="宋体" w:cs="宋体"/>
                <w:sz w:val="18"/>
                <w:szCs w:val="18"/>
                <w:highlight w:val="none"/>
              </w:rPr>
            </w:pPr>
          </w:p>
        </w:tc>
      </w:tr>
      <w:tr w14:paraId="61C8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B03643D">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w:t>
            </w:r>
          </w:p>
        </w:tc>
        <w:tc>
          <w:tcPr>
            <w:tcW w:w="7122" w:type="dxa"/>
            <w:vAlign w:val="center"/>
          </w:tcPr>
          <w:p w14:paraId="2B86813D">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技术响应表</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主要技术参数响应情况表</w:t>
            </w:r>
          </w:p>
        </w:tc>
        <w:tc>
          <w:tcPr>
            <w:tcW w:w="1105" w:type="dxa"/>
            <w:vAlign w:val="center"/>
          </w:tcPr>
          <w:p w14:paraId="20EC3F9B">
            <w:pPr>
              <w:jc w:val="center"/>
              <w:rPr>
                <w:rFonts w:hint="eastAsia" w:ascii="宋体" w:hAnsi="宋体" w:eastAsia="宋体" w:cs="宋体"/>
                <w:sz w:val="18"/>
                <w:szCs w:val="18"/>
                <w:highlight w:val="none"/>
              </w:rPr>
            </w:pPr>
          </w:p>
        </w:tc>
      </w:tr>
      <w:tr w14:paraId="3CD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29F9E02">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8</w:t>
            </w:r>
          </w:p>
        </w:tc>
        <w:tc>
          <w:tcPr>
            <w:tcW w:w="7122" w:type="dxa"/>
            <w:vAlign w:val="center"/>
          </w:tcPr>
          <w:p w14:paraId="14CEED77">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投标供应商需要说明的其他文件和说明</w:t>
            </w:r>
          </w:p>
        </w:tc>
        <w:tc>
          <w:tcPr>
            <w:tcW w:w="1105" w:type="dxa"/>
            <w:vAlign w:val="center"/>
          </w:tcPr>
          <w:p w14:paraId="3D454C9B">
            <w:pPr>
              <w:jc w:val="center"/>
              <w:rPr>
                <w:rFonts w:hint="eastAsia" w:ascii="宋体" w:hAnsi="宋体" w:eastAsia="宋体" w:cs="宋体"/>
                <w:sz w:val="18"/>
                <w:szCs w:val="18"/>
                <w:highlight w:val="none"/>
              </w:rPr>
            </w:pPr>
          </w:p>
        </w:tc>
      </w:tr>
      <w:tr w14:paraId="489D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188B270">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9</w:t>
            </w:r>
          </w:p>
        </w:tc>
        <w:tc>
          <w:tcPr>
            <w:tcW w:w="7122" w:type="dxa"/>
            <w:vAlign w:val="center"/>
          </w:tcPr>
          <w:p w14:paraId="27A34332">
            <w:pPr>
              <w:numPr>
                <w:ilvl w:val="0"/>
                <w:numId w:val="0"/>
              </w:numPr>
              <w:snapToGrid w:val="0"/>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供应商投标时须随投标文件一起提供基于真实软件系统演示的视频录像，该视频录像要求用U盘储存，与技术资信标一起密封，并在投标截止时间前提交给代理公司（逾期的递交的，视为无演示）；</w:t>
            </w:r>
          </w:p>
          <w:p w14:paraId="19AD74CA">
            <w:pPr>
              <w:numPr>
                <w:ilvl w:val="0"/>
                <w:numId w:val="0"/>
              </w:numPr>
              <w:snapToGrid w:val="0"/>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2、视频录像</w:t>
            </w:r>
            <w:r>
              <w:rPr>
                <w:rFonts w:hint="eastAsia" w:ascii="宋体" w:hAnsi="宋体" w:eastAsia="宋体" w:cs="宋体"/>
                <w:sz w:val="18"/>
                <w:szCs w:val="18"/>
                <w:highlight w:val="none"/>
              </w:rPr>
              <w:t>演示时间：不超过1</w:t>
            </w: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分钟</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不接受现场陈述</w:t>
            </w:r>
            <w:r>
              <w:rPr>
                <w:rFonts w:hint="eastAsia" w:ascii="宋体" w:hAnsi="宋体" w:eastAsia="宋体" w:cs="宋体"/>
                <w:sz w:val="18"/>
                <w:szCs w:val="18"/>
                <w:highlight w:val="none"/>
              </w:rPr>
              <w:t>。</w:t>
            </w:r>
          </w:p>
          <w:p w14:paraId="48606B56">
            <w:pPr>
              <w:numPr>
                <w:ilvl w:val="0"/>
                <w:numId w:val="0"/>
              </w:numPr>
              <w:snapToGrid w:val="0"/>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3、视频播放演示内容须与投标方案保持一致、与评分内容保持一致，演示顺序按投标文件递交的逆序进行，未做演示的不作无效标处理，但演示评分得0分，</w:t>
            </w:r>
            <w:r>
              <w:rPr>
                <w:rFonts w:hint="eastAsia" w:ascii="宋体" w:hAnsi="宋体" w:eastAsia="宋体" w:cs="宋体"/>
                <w:sz w:val="18"/>
                <w:szCs w:val="18"/>
                <w:highlight w:val="none"/>
              </w:rPr>
              <w:t>仅PPT与图片演示不得分。</w:t>
            </w:r>
          </w:p>
        </w:tc>
        <w:tc>
          <w:tcPr>
            <w:tcW w:w="1105" w:type="dxa"/>
            <w:vAlign w:val="center"/>
          </w:tcPr>
          <w:p w14:paraId="29717018">
            <w:pPr>
              <w:jc w:val="center"/>
              <w:rPr>
                <w:rFonts w:hint="eastAsia" w:ascii="宋体" w:hAnsi="宋体" w:eastAsia="宋体" w:cs="宋体"/>
                <w:sz w:val="18"/>
                <w:szCs w:val="18"/>
                <w:highlight w:val="none"/>
              </w:rPr>
            </w:pPr>
          </w:p>
        </w:tc>
      </w:tr>
    </w:tbl>
    <w:p w14:paraId="5318DB48">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14:paraId="40401B35">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14:paraId="645C0237">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14:paraId="45D57E18">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14:paraId="27568983">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w:t>
      </w:r>
      <w:r>
        <w:rPr>
          <w:rFonts w:hint="eastAsia" w:ascii="宋体" w:hAnsi="宋体" w:eastAsia="宋体" w:cs="宋体"/>
          <w:sz w:val="22"/>
          <w:highlight w:val="none"/>
          <w:lang w:eastAsia="zh-CN"/>
        </w:rPr>
        <w:t>技术响应表</w:t>
      </w:r>
      <w:r>
        <w:rPr>
          <w:rFonts w:hint="eastAsia" w:ascii="宋体" w:hAnsi="宋体" w:eastAsia="宋体" w:cs="宋体"/>
          <w:sz w:val="22"/>
          <w:highlight w:val="none"/>
        </w:rPr>
        <w:t>中作出详细说明。</w:t>
      </w:r>
    </w:p>
    <w:p w14:paraId="19600B6C">
      <w:pPr>
        <w:tabs>
          <w:tab w:val="left" w:pos="5355"/>
        </w:tabs>
        <w:rPr>
          <w:rFonts w:hint="eastAsia" w:ascii="宋体" w:hAnsi="宋体" w:eastAsia="宋体" w:cs="宋体"/>
          <w:b/>
          <w:sz w:val="22"/>
          <w:highlight w:val="none"/>
        </w:rPr>
      </w:pPr>
    </w:p>
    <w:p w14:paraId="7979637E">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5BAB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C8C56A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14:paraId="1D1FCD0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14:paraId="15E8A71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14:paraId="3B6A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BDB0CF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14:paraId="1FC0667B">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14:paraId="2F44974C">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八</w:t>
            </w:r>
          </w:p>
        </w:tc>
      </w:tr>
      <w:tr w14:paraId="2522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B3BC03E">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6323" w:type="dxa"/>
            <w:vAlign w:val="center"/>
          </w:tcPr>
          <w:p w14:paraId="18B27AC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14:paraId="321A66F6">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bl>
    <w:p w14:paraId="1C87A6E6">
      <w:pPr>
        <w:rPr>
          <w:rFonts w:hint="eastAsia" w:ascii="宋体" w:hAnsi="宋体" w:eastAsia="宋体" w:cs="宋体"/>
          <w:b/>
          <w:sz w:val="22"/>
          <w:highlight w:val="none"/>
        </w:rPr>
      </w:pPr>
    </w:p>
    <w:p w14:paraId="6EBE8B14">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14:paraId="5138BE07">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14:paraId="413A8D0D">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14:paraId="4DE6FF6B">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14:paraId="36F8CDE8">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14:paraId="7FCF1EE9">
      <w:pPr>
        <w:ind w:left="526" w:hanging="526" w:hangingChars="238"/>
        <w:rPr>
          <w:rFonts w:hint="eastAsia" w:ascii="宋体" w:hAnsi="宋体" w:eastAsia="宋体" w:cs="宋体"/>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w:t>
      </w:r>
      <w:r>
        <w:rPr>
          <w:rFonts w:hint="eastAsia" w:ascii="宋体" w:hAnsi="宋体" w:eastAsia="宋体" w:cs="宋体"/>
          <w:b/>
          <w:bCs/>
          <w:sz w:val="22"/>
          <w:highlight w:val="none"/>
          <w:u w:val="single"/>
        </w:rPr>
        <w:t>投标报价为含税总价，是指供应商在正确地完全履行合同义务后采购人应支付给供应商的所有价款，包含相关设备</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lang w:val="en-US" w:eastAsia="zh-CN"/>
        </w:rPr>
        <w:t>含相关</w:t>
      </w:r>
      <w:r>
        <w:rPr>
          <w:rFonts w:hint="eastAsia" w:ascii="宋体" w:hAnsi="宋体" w:eastAsia="宋体" w:cs="宋体"/>
          <w:b/>
          <w:bCs/>
          <w:sz w:val="22"/>
          <w:highlight w:val="none"/>
          <w:u w:val="single"/>
        </w:rPr>
        <w:t>配套软件</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rPr>
        <w:t>、材料的采购供货费、安装调试费、系统集成费、培训费、质保期内的运行维护护费、备品备件费、特殊工具费，所有与供货及安装调试相关的技术服务人员的工勤费用（包括不仅限于工资、福利、津贴、交通、食宿、通讯等费用），以及税金、利润、政策性文件规定及合同包含的所有风险、责任等各项全部费用并承担相关风险责任，本项目为交钥匙项目，实行固定费用总包干，投标人应根据上述因素自行考虑含入投标报价</w:t>
      </w:r>
      <w:r>
        <w:rPr>
          <w:rFonts w:hint="eastAsia" w:ascii="宋体" w:hAnsi="宋体" w:eastAsia="宋体" w:cs="宋体"/>
          <w:b/>
          <w:bCs/>
          <w:sz w:val="22"/>
          <w:highlight w:val="none"/>
        </w:rPr>
        <w:t>。</w:t>
      </w:r>
      <w:r>
        <w:rPr>
          <w:rFonts w:hint="eastAsia" w:ascii="宋体" w:hAnsi="宋体" w:eastAsia="宋体" w:cs="宋体"/>
          <w:b/>
          <w:bCs/>
          <w:sz w:val="22"/>
          <w:highlight w:val="none"/>
          <w:u w:val="single"/>
        </w:rPr>
        <w:t>采购代理服务费包含在投标报价中。</w:t>
      </w:r>
    </w:p>
    <w:p w14:paraId="16CE1337">
      <w:pPr>
        <w:ind w:left="502" w:leftChars="200" w:hanging="82" w:hangingChars="37"/>
        <w:rPr>
          <w:rFonts w:hint="eastAsia" w:ascii="宋体" w:hAnsi="宋体" w:eastAsia="宋体" w:cs="宋体"/>
          <w:b/>
          <w:bCs/>
          <w:color w:val="auto"/>
          <w:szCs w:val="21"/>
          <w:highlight w:val="none"/>
          <w:u w:val="single"/>
          <w:lang w:val="en-US" w:eastAsia="zh-CN"/>
        </w:rPr>
      </w:pPr>
      <w:r>
        <w:rPr>
          <w:rFonts w:hint="eastAsia" w:ascii="宋体" w:hAnsi="宋体" w:eastAsia="宋体" w:cs="宋体"/>
          <w:b/>
          <w:sz w:val="22"/>
          <w:szCs w:val="22"/>
          <w:highlight w:val="none"/>
          <w:u w:val="single"/>
        </w:rPr>
        <w:t>▲</w:t>
      </w:r>
      <w:r>
        <w:rPr>
          <w:rFonts w:hint="eastAsia" w:ascii="宋体" w:hAnsi="宋体" w:eastAsia="宋体" w:cs="宋体"/>
          <w:b/>
          <w:bCs/>
          <w:color w:val="auto"/>
          <w:szCs w:val="21"/>
          <w:highlight w:val="none"/>
          <w:u w:val="single"/>
          <w:lang w:val="en-US" w:eastAsia="zh-CN"/>
        </w:rPr>
        <w:t>相关设备接入温州市现代集团监控平台正式交付采购人正常使用，由此进行改造产生的成本和费用也包含在投标总价中。</w:t>
      </w:r>
    </w:p>
    <w:p w14:paraId="29CD1F9F">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2557A98A">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14:paraId="15403406">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14:paraId="73C6A9D5">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14:paraId="2A267489">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14:paraId="096CB45A">
      <w:pPr>
        <w:ind w:left="526" w:hanging="523" w:hangingChars="238"/>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14:paraId="2F8CF082">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14:paraId="61BC97D2">
      <w:pPr>
        <w:numPr>
          <w:ilvl w:val="0"/>
          <w:numId w:val="3"/>
        </w:numPr>
        <w:tabs>
          <w:tab w:val="left" w:pos="525"/>
          <w:tab w:val="left" w:pos="900"/>
        </w:tabs>
        <w:ind w:left="525" w:hanging="52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▲投标保证金</w:t>
      </w:r>
    </w:p>
    <w:p w14:paraId="47A1A945">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13.1 </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须按</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须知前附表规定交纳投标保证金，否则</w:t>
      </w:r>
      <w:r>
        <w:rPr>
          <w:rFonts w:hint="eastAsia" w:ascii="宋体" w:hAnsi="宋体" w:eastAsia="宋体" w:cs="宋体"/>
          <w:b/>
          <w:bCs/>
          <w:color w:val="auto"/>
          <w:sz w:val="22"/>
          <w:szCs w:val="22"/>
          <w:highlight w:val="none"/>
          <w:u w:val="single"/>
          <w:lang w:val="en-US" w:eastAsia="zh-CN"/>
        </w:rPr>
        <w:t>将作无效标处理</w:t>
      </w:r>
      <w:r>
        <w:rPr>
          <w:rFonts w:hint="eastAsia" w:ascii="宋体" w:hAnsi="宋体" w:eastAsia="宋体" w:cs="宋体"/>
          <w:color w:val="auto"/>
          <w:sz w:val="22"/>
          <w:szCs w:val="22"/>
          <w:highlight w:val="none"/>
        </w:rPr>
        <w:t>。</w:t>
      </w:r>
    </w:p>
    <w:p w14:paraId="7E4F3BCF">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r>
        <w:rPr>
          <w:rFonts w:hint="eastAsia" w:ascii="宋体" w:hAnsi="宋体" w:eastAsia="宋体" w:cs="宋体"/>
          <w:b/>
          <w:bCs/>
          <w:color w:val="auto"/>
          <w:sz w:val="22"/>
          <w:szCs w:val="22"/>
          <w:highlight w:val="none"/>
          <w:u w:val="single"/>
        </w:rPr>
        <w:t>投标保证金金额及形式详见采购公告及投标须知前附表规定。</w:t>
      </w:r>
    </w:p>
    <w:p w14:paraId="5357A42A">
      <w:pPr>
        <w:tabs>
          <w:tab w:val="left" w:pos="851"/>
          <w:tab w:val="left" w:pos="1080"/>
        </w:tabs>
        <w:ind w:left="524" w:hanging="523" w:hangingChars="238"/>
        <w:rPr>
          <w:rFonts w:hint="eastAsia" w:ascii="宋体" w:hAnsi="宋体" w:eastAsia="宋体" w:cs="宋体"/>
          <w:highlight w:val="none"/>
        </w:rPr>
      </w:pPr>
      <w:r>
        <w:rPr>
          <w:rFonts w:hint="eastAsia" w:ascii="宋体" w:hAnsi="宋体" w:eastAsia="宋体" w:cs="宋体"/>
          <w:color w:val="auto"/>
          <w:sz w:val="22"/>
          <w:szCs w:val="22"/>
          <w:highlight w:val="none"/>
        </w:rPr>
        <w:t xml:space="preserve">13.3 </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的投标保证金在中标人提交履约保证金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与</w:t>
      </w:r>
      <w:r>
        <w:rPr>
          <w:rFonts w:hint="eastAsia" w:ascii="宋体" w:hAnsi="宋体" w:eastAsia="宋体" w:cs="宋体"/>
          <w:color w:val="auto"/>
          <w:sz w:val="22"/>
          <w:szCs w:val="22"/>
          <w:highlight w:val="none"/>
        </w:rPr>
        <w:t>采购人签订了合同且合同经备案后无息退还，未</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的投标保证金将在确定中标人后无息退还。</w:t>
      </w:r>
    </w:p>
    <w:p w14:paraId="5AC8A12F">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sz w:val="22"/>
          <w:highlight w:val="none"/>
          <w:u w:val="single"/>
        </w:rPr>
        <w:t>▲</w:t>
      </w:r>
      <w:r>
        <w:rPr>
          <w:rFonts w:hint="eastAsia" w:ascii="宋体" w:hAnsi="宋体" w:eastAsia="宋体" w:cs="宋体"/>
          <w:b/>
          <w:sz w:val="22"/>
          <w:highlight w:val="none"/>
          <w:u w:val="single"/>
        </w:rPr>
        <w:t>如发生下列情况之一，投标保证金将不予退还：</w:t>
      </w:r>
    </w:p>
    <w:p w14:paraId="78CD4C8A">
      <w:pPr>
        <w:numPr>
          <w:ilvl w:val="0"/>
          <w:numId w:val="5"/>
        </w:numPr>
        <w:tabs>
          <w:tab w:val="left" w:pos="525"/>
        </w:tabs>
        <w:ind w:left="525"/>
        <w:rPr>
          <w:rFonts w:hint="eastAsia" w:ascii="宋体" w:hAnsi="宋体" w:eastAsia="宋体" w:cs="宋体"/>
          <w:sz w:val="22"/>
          <w:highlight w:val="none"/>
          <w:u w:val="single"/>
        </w:rPr>
      </w:pPr>
      <w:r>
        <w:rPr>
          <w:rFonts w:hint="eastAsia" w:ascii="宋体" w:hAnsi="宋体" w:eastAsia="宋体" w:cs="宋体"/>
          <w:sz w:val="22"/>
          <w:highlight w:val="none"/>
          <w:u w:val="single"/>
        </w:rPr>
        <w:t>投标人在采购文件规定的投标有效期内撤回投标；</w:t>
      </w:r>
    </w:p>
    <w:p w14:paraId="2A8273A0">
      <w:pPr>
        <w:numPr>
          <w:ilvl w:val="0"/>
          <w:numId w:val="5"/>
        </w:numPr>
        <w:tabs>
          <w:tab w:val="left" w:pos="525"/>
        </w:tabs>
        <w:ind w:left="525"/>
        <w:rPr>
          <w:rFonts w:hint="eastAsia" w:ascii="宋体" w:hAnsi="宋体" w:eastAsia="宋体" w:cs="宋体"/>
          <w:sz w:val="22"/>
          <w:highlight w:val="none"/>
          <w:u w:val="single"/>
        </w:rPr>
      </w:pPr>
      <w:r>
        <w:rPr>
          <w:rFonts w:hint="eastAsia" w:ascii="宋体" w:hAnsi="宋体" w:eastAsia="宋体" w:cs="宋体"/>
          <w:sz w:val="22"/>
          <w:highlight w:val="none"/>
          <w:u w:val="single"/>
        </w:rPr>
        <w:t>中标人未按中标通知书中规定的时间与采购人签订合同；</w:t>
      </w:r>
    </w:p>
    <w:p w14:paraId="3E4B813B">
      <w:pPr>
        <w:numPr>
          <w:ilvl w:val="0"/>
          <w:numId w:val="5"/>
        </w:numPr>
        <w:tabs>
          <w:tab w:val="left" w:pos="525"/>
        </w:tabs>
        <w:ind w:left="525"/>
        <w:rPr>
          <w:rFonts w:hint="eastAsia" w:ascii="宋体" w:hAnsi="宋体" w:eastAsia="宋体" w:cs="宋体"/>
          <w:sz w:val="22"/>
          <w:highlight w:val="none"/>
          <w:u w:val="single"/>
        </w:rPr>
      </w:pPr>
      <w:r>
        <w:rPr>
          <w:rFonts w:hint="eastAsia" w:ascii="宋体" w:hAnsi="宋体" w:eastAsia="宋体" w:cs="宋体"/>
          <w:sz w:val="22"/>
          <w:highlight w:val="none"/>
          <w:u w:val="single"/>
        </w:rPr>
        <w:t>中标人在规定期限内未能根据采购文件要求提供履约担保；</w:t>
      </w:r>
    </w:p>
    <w:p w14:paraId="418C6CF4">
      <w:pPr>
        <w:numPr>
          <w:ilvl w:val="0"/>
          <w:numId w:val="5"/>
        </w:numPr>
        <w:tabs>
          <w:tab w:val="left" w:pos="525"/>
        </w:tabs>
        <w:ind w:left="525"/>
        <w:rPr>
          <w:rFonts w:hint="eastAsia" w:ascii="宋体" w:hAnsi="宋体" w:eastAsia="宋体" w:cs="宋体"/>
          <w:sz w:val="22"/>
          <w:highlight w:val="none"/>
          <w:u w:val="single"/>
        </w:rPr>
      </w:pPr>
      <w:r>
        <w:rPr>
          <w:rFonts w:hint="eastAsia" w:ascii="宋体" w:hAnsi="宋体" w:eastAsia="宋体" w:cs="宋体"/>
          <w:sz w:val="22"/>
          <w:highlight w:val="none"/>
          <w:u w:val="single"/>
        </w:rPr>
        <w:t>投标人在投标文件中提供虚假技术</w:t>
      </w:r>
      <w:r>
        <w:rPr>
          <w:rFonts w:hint="eastAsia" w:ascii="宋体" w:hAnsi="宋体" w:eastAsia="宋体" w:cs="宋体"/>
          <w:sz w:val="22"/>
          <w:highlight w:val="none"/>
          <w:u w:val="single"/>
          <w:lang w:val="en-US" w:eastAsia="zh-CN"/>
        </w:rPr>
        <w:t>服务</w:t>
      </w:r>
      <w:r>
        <w:rPr>
          <w:rFonts w:hint="eastAsia" w:ascii="宋体" w:hAnsi="宋体" w:eastAsia="宋体" w:cs="宋体"/>
          <w:sz w:val="22"/>
          <w:highlight w:val="none"/>
          <w:u w:val="single"/>
        </w:rPr>
        <w:t>指标及参数，经评标委员会确认属实的；</w:t>
      </w:r>
    </w:p>
    <w:p w14:paraId="54064AE1">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u w:val="single"/>
        </w:rPr>
        <w:t>经采购监督管理部门审查认定投标供应商有违反《温州市市属国有企业采购管理办法（试行）》等有关法律法规的行为</w:t>
      </w:r>
      <w:r>
        <w:rPr>
          <w:rFonts w:hint="eastAsia" w:ascii="宋体" w:hAnsi="宋体" w:eastAsia="宋体" w:cs="宋体"/>
          <w:sz w:val="22"/>
          <w:highlight w:val="none"/>
        </w:rPr>
        <w:t>。</w:t>
      </w:r>
    </w:p>
    <w:p w14:paraId="48D0AD44">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14:paraId="5B8229C6">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14:paraId="0F6BCF9C">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14:paraId="6F16E03C">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591DD58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14:paraId="471D9E8F">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r>
        <w:rPr>
          <w:rFonts w:hint="eastAsia" w:ascii="宋体" w:hAnsi="宋体" w:eastAsia="宋体" w:cs="宋体"/>
          <w:b/>
          <w:color w:val="auto"/>
          <w:sz w:val="22"/>
          <w:highlight w:val="none"/>
          <w:lang w:val="en-US" w:eastAsia="zh-CN"/>
        </w:rPr>
        <w:t>投标人还需提供</w:t>
      </w:r>
      <w:r>
        <w:rPr>
          <w:rFonts w:hint="eastAsia" w:ascii="宋体" w:hAnsi="宋体" w:eastAsia="宋体" w:cs="宋体"/>
          <w:b/>
          <w:color w:val="auto"/>
          <w:sz w:val="22"/>
          <w:highlight w:val="none"/>
        </w:rPr>
        <w:t>投标文件电子版投标文件U盘一份</w:t>
      </w:r>
      <w:r>
        <w:rPr>
          <w:rFonts w:hint="eastAsia" w:ascii="宋体" w:hAnsi="宋体" w:eastAsia="宋体" w:cs="宋体"/>
          <w:b/>
          <w:color w:val="auto"/>
          <w:sz w:val="22"/>
          <w:highlight w:val="none"/>
          <w:lang w:eastAsia="zh-CN"/>
        </w:rPr>
        <w:t>。</w:t>
      </w:r>
    </w:p>
    <w:p w14:paraId="51D482A2">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14:paraId="5E69A60C">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14:paraId="20DACAB5">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14:paraId="5D5DAF9F">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14:paraId="2D57504B">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14:paraId="39B3A75C">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14:paraId="12B08162">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b/>
          <w:bCs/>
          <w:sz w:val="22"/>
          <w:highlight w:val="none"/>
        </w:rPr>
        <w:t>为了落实节约能源，保护环境</w:t>
      </w:r>
      <w:bookmarkStart w:id="83" w:name="_Hlk20129971"/>
      <w:r>
        <w:rPr>
          <w:rFonts w:hint="eastAsia" w:ascii="宋体" w:hAnsi="宋体" w:eastAsia="宋体" w:cs="宋体"/>
          <w:b/>
          <w:bCs/>
          <w:sz w:val="22"/>
          <w:highlight w:val="none"/>
        </w:rPr>
        <w:t>的政策</w:t>
      </w:r>
      <w:bookmarkEnd w:id="83"/>
      <w:r>
        <w:rPr>
          <w:rFonts w:hint="eastAsia" w:ascii="宋体" w:hAnsi="宋体" w:eastAsia="宋体" w:cs="宋体"/>
          <w:b/>
          <w:bCs/>
          <w:sz w:val="22"/>
          <w:highlight w:val="none"/>
        </w:rPr>
        <w:t>，建议投标文件双面打印，并根据采购文件的要求进行制作，内容简洁明了，编排合理有序，与采购文件内容无关或不符合采购文件要求的资料不要编入投标文件。</w:t>
      </w:r>
    </w:p>
    <w:p w14:paraId="55235146">
      <w:pPr>
        <w:spacing w:before="156" w:beforeLines="50" w:after="156" w:afterLines="50"/>
        <w:jc w:val="center"/>
        <w:rPr>
          <w:rFonts w:hint="eastAsia" w:ascii="宋体" w:hAnsi="宋体" w:eastAsia="宋体" w:cs="宋体"/>
          <w:b/>
          <w:sz w:val="28"/>
          <w:szCs w:val="28"/>
          <w:highlight w:val="none"/>
        </w:rPr>
      </w:pPr>
      <w:bookmarkStart w:id="84" w:name="_Toc217460688"/>
      <w:bookmarkStart w:id="85" w:name="_Toc204578578"/>
      <w:bookmarkStart w:id="86" w:name="_Toc210879711"/>
      <w:bookmarkStart w:id="87" w:name="_Toc209250722"/>
      <w:bookmarkStart w:id="88" w:name="_Toc204491320"/>
      <w:bookmarkStart w:id="89" w:name="_Toc209261435"/>
      <w:bookmarkStart w:id="90" w:name="_Toc214365793"/>
      <w:bookmarkStart w:id="91" w:name="_Toc216667823"/>
      <w:bookmarkStart w:id="92" w:name="_Toc205004971"/>
      <w:bookmarkStart w:id="93" w:name="_Toc209251130"/>
      <w:bookmarkStart w:id="94" w:name="_Toc223717607"/>
      <w:bookmarkStart w:id="95" w:name="_Toc205877455"/>
      <w:bookmarkStart w:id="96" w:name="_Toc218041729"/>
      <w:bookmarkStart w:id="97" w:name="_Toc205005289"/>
      <w:bookmarkStart w:id="98" w:name="_Toc227056849"/>
      <w:bookmarkStart w:id="99" w:name="_Toc215415533"/>
      <w:bookmarkStart w:id="100" w:name="_Toc209332636"/>
      <w:bookmarkStart w:id="101" w:name="_Toc209261368"/>
      <w:bookmarkStart w:id="102" w:name="_Toc207609184"/>
      <w:bookmarkStart w:id="103" w:name="_Toc223933224"/>
      <w:bookmarkStart w:id="104" w:name="_Toc205703105"/>
      <w:bookmarkStart w:id="105" w:name="_Toc219538616"/>
      <w:bookmarkStart w:id="106" w:name="_Toc227489890"/>
      <w:bookmarkStart w:id="107" w:name="_Toc205877560"/>
      <w:bookmarkStart w:id="108" w:name="_Toc227057036"/>
      <w:r>
        <w:rPr>
          <w:rFonts w:hint="eastAsia" w:ascii="宋体" w:hAnsi="宋体" w:eastAsia="宋体" w:cs="宋体"/>
          <w:b/>
          <w:sz w:val="28"/>
          <w:szCs w:val="28"/>
          <w:highlight w:val="none"/>
        </w:rPr>
        <w:t>四、 投标文件的递交</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B294459">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14:paraId="5BD0B68F">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14:paraId="5DD2BD62">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14:paraId="1A36D4D9">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w:t>
      </w:r>
    </w:p>
    <w:p w14:paraId="504607DB">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14:paraId="2A909BCC">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14:paraId="34E1128A">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在投标文件递交截止时间前，投标人可以用书面形式提出修改或撤回其投标并送达到采购人，但不得影响开标活动的正常进行。</w:t>
      </w:r>
    </w:p>
    <w:p w14:paraId="30F76A98">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补充、修改的内容作为投标文件的组成部分。补充、修改的内容与投标文件不一致的，以补充、修改的内容为准。投标供应商在提交投标文件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14:paraId="70D10E61">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“投标文件修改”或“投标文件撤回通知”都应密封并在密封袋上写明投标项目名称、编号、投标单位名称，并注明“投标文件修改”或“投标文件撤回通知”字样。</w:t>
      </w:r>
    </w:p>
    <w:p w14:paraId="2F0C9512">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从投标文件递交截止时间起至投标有效期满这段时间内，投标人不得撤回其投标，否则投标保证金将被不予退还。</w:t>
      </w:r>
    </w:p>
    <w:p w14:paraId="13CC8B86">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14:paraId="70128CD1">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14:paraId="25807DAB">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14:paraId="4F722389">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w:t>
      </w:r>
      <w:r>
        <w:rPr>
          <w:rFonts w:hint="eastAsia" w:ascii="宋体" w:hAnsi="宋体" w:eastAsia="宋体" w:cs="宋体"/>
          <w:bCs/>
          <w:sz w:val="22"/>
          <w:highlight w:val="none"/>
          <w:u w:val="single"/>
          <w:lang w:val="en-US" w:eastAsia="zh-CN"/>
        </w:rPr>
        <w:t>及</w:t>
      </w:r>
      <w:r>
        <w:rPr>
          <w:rFonts w:hint="eastAsia" w:ascii="宋体" w:hAnsi="宋体" w:eastAsia="宋体" w:cs="宋体"/>
          <w:bCs/>
          <w:sz w:val="22"/>
          <w:highlight w:val="none"/>
          <w:u w:val="single"/>
        </w:rPr>
        <w:t>由于包装不妥在送达</w:t>
      </w:r>
      <w:r>
        <w:rPr>
          <w:rFonts w:hint="eastAsia" w:ascii="宋体" w:hAnsi="宋体" w:eastAsia="宋体" w:cs="宋体"/>
          <w:bCs/>
          <w:sz w:val="22"/>
          <w:highlight w:val="none"/>
          <w:u w:val="single"/>
          <w:lang w:val="en-US" w:eastAsia="zh-CN"/>
        </w:rPr>
        <w:t>时</w:t>
      </w:r>
      <w:r>
        <w:rPr>
          <w:rFonts w:hint="eastAsia" w:ascii="宋体" w:hAnsi="宋体" w:eastAsia="宋体" w:cs="宋体"/>
          <w:bCs/>
          <w:sz w:val="22"/>
          <w:highlight w:val="none"/>
          <w:u w:val="single"/>
        </w:rPr>
        <w:t>严重破损或失散的投标文件；</w:t>
      </w:r>
    </w:p>
    <w:p w14:paraId="2B5CD92E">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14:paraId="3FA9D90D">
      <w:pPr>
        <w:spacing w:before="156" w:beforeLines="50" w:after="156" w:afterLines="50"/>
        <w:jc w:val="center"/>
        <w:rPr>
          <w:rFonts w:hint="eastAsia" w:ascii="宋体" w:hAnsi="宋体" w:eastAsia="宋体" w:cs="宋体"/>
          <w:b/>
          <w:sz w:val="28"/>
          <w:szCs w:val="28"/>
          <w:highlight w:val="none"/>
        </w:rPr>
      </w:pPr>
      <w:bookmarkStart w:id="109" w:name="_Toc204578579"/>
      <w:bookmarkStart w:id="110" w:name="_Toc209251131"/>
      <w:bookmarkStart w:id="111" w:name="_Toc210879712"/>
      <w:bookmarkStart w:id="112" w:name="_Toc217460689"/>
      <w:bookmarkStart w:id="113" w:name="_Toc227489891"/>
      <w:bookmarkStart w:id="114" w:name="_Toc205005290"/>
      <w:bookmarkStart w:id="115" w:name="_Toc227056850"/>
      <w:bookmarkStart w:id="116" w:name="_Toc205877561"/>
      <w:bookmarkStart w:id="117" w:name="_Toc214365794"/>
      <w:bookmarkStart w:id="118" w:name="_Toc205877456"/>
      <w:bookmarkStart w:id="119" w:name="_Toc219538617"/>
      <w:bookmarkStart w:id="120" w:name="_Toc216667824"/>
      <w:bookmarkStart w:id="121" w:name="_Toc223933225"/>
      <w:bookmarkStart w:id="122" w:name="_Toc209332637"/>
      <w:bookmarkStart w:id="123" w:name="_Toc209250723"/>
      <w:bookmarkStart w:id="124" w:name="_Toc209261436"/>
      <w:bookmarkStart w:id="125" w:name="_Toc207609185"/>
      <w:bookmarkStart w:id="126" w:name="_Toc215415534"/>
      <w:bookmarkStart w:id="127" w:name="_Toc205703106"/>
      <w:bookmarkStart w:id="128" w:name="_Toc218041730"/>
      <w:bookmarkStart w:id="129" w:name="_Toc223717608"/>
      <w:bookmarkStart w:id="130" w:name="_Toc209261369"/>
      <w:bookmarkStart w:id="131" w:name="_Toc205004972"/>
      <w:bookmarkStart w:id="132" w:name="_Toc227057037"/>
      <w:bookmarkStart w:id="133" w:name="_Toc204491321"/>
      <w:r>
        <w:rPr>
          <w:rFonts w:hint="eastAsia" w:ascii="宋体" w:hAnsi="宋体" w:eastAsia="宋体" w:cs="宋体"/>
          <w:b/>
          <w:sz w:val="28"/>
          <w:szCs w:val="28"/>
          <w:highlight w:val="none"/>
        </w:rPr>
        <w:t>五、 开标和评审</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F42419C">
      <w:pPr>
        <w:numPr>
          <w:ilvl w:val="0"/>
          <w:numId w:val="3"/>
        </w:numPr>
        <w:tabs>
          <w:tab w:val="left" w:pos="525"/>
          <w:tab w:val="left" w:pos="900"/>
        </w:tabs>
        <w:ind w:left="525" w:hanging="525"/>
        <w:rPr>
          <w:rFonts w:hint="eastAsia" w:ascii="宋体" w:hAnsi="宋体" w:eastAsia="宋体" w:cs="宋体"/>
          <w:sz w:val="22"/>
          <w:highlight w:val="none"/>
        </w:rPr>
      </w:pPr>
      <w:bookmarkStart w:id="134" w:name="_Toc205005291"/>
      <w:bookmarkStart w:id="135" w:name="_Toc209250724"/>
      <w:bookmarkStart w:id="136" w:name="_Toc209261370"/>
      <w:bookmarkStart w:id="137" w:name="_Toc205004973"/>
      <w:bookmarkStart w:id="138" w:name="_Toc217460690"/>
      <w:bookmarkStart w:id="139" w:name="_Toc205877457"/>
      <w:bookmarkStart w:id="140" w:name="_Toc218041731"/>
      <w:bookmarkStart w:id="141" w:name="_Toc210879713"/>
      <w:bookmarkStart w:id="142" w:name="_Toc227489892"/>
      <w:bookmarkStart w:id="143" w:name="_Toc223717609"/>
      <w:bookmarkStart w:id="144" w:name="_Toc209261437"/>
      <w:bookmarkStart w:id="145" w:name="_Toc204578580"/>
      <w:bookmarkStart w:id="146" w:name="_Toc216667825"/>
      <w:bookmarkStart w:id="147" w:name="_Toc205877562"/>
      <w:bookmarkStart w:id="148" w:name="_Toc205703107"/>
      <w:bookmarkStart w:id="149" w:name="_Toc209251132"/>
      <w:bookmarkStart w:id="150" w:name="_Toc223933226"/>
      <w:bookmarkStart w:id="151" w:name="_Toc219538618"/>
      <w:bookmarkStart w:id="152" w:name="_Toc227057038"/>
      <w:bookmarkStart w:id="153" w:name="_Toc214365795"/>
      <w:bookmarkStart w:id="154" w:name="_Toc207609186"/>
      <w:bookmarkStart w:id="155" w:name="_Toc215415535"/>
      <w:bookmarkStart w:id="156" w:name="_Toc204491322"/>
      <w:bookmarkStart w:id="157" w:name="_Toc227056851"/>
      <w:bookmarkStart w:id="158" w:name="_Toc209332638"/>
      <w:r>
        <w:rPr>
          <w:rFonts w:hint="eastAsia" w:ascii="宋体" w:hAnsi="宋体" w:eastAsia="宋体" w:cs="宋体"/>
          <w:sz w:val="22"/>
          <w:highlight w:val="none"/>
        </w:rPr>
        <w:t>评标委员会</w:t>
      </w:r>
    </w:p>
    <w:p w14:paraId="51B7868C">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14:paraId="7CB748E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14:paraId="69ADA691">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14:paraId="556D55B7">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14:paraId="144D073B">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14:paraId="54191CE4">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14:paraId="1542D0D9">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14:paraId="42B5D84C">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14:paraId="3BA33DF2">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14:paraId="6992B044">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14:paraId="13D90250">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14:paraId="648ADBE8">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14:paraId="3DA8DC38">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14:paraId="53B86E8D">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14:paraId="34670022">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14:paraId="148D56E0">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14:paraId="37A34285">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14:paraId="264AE2FE">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14:paraId="6E40BB87">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14:paraId="3108624A">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14:paraId="7A35BBD8">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14:paraId="61D3D58F">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14:paraId="28846F40">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14:paraId="49B6FE24">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14:paraId="3B8A94CD">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14:paraId="219FD1B5">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eastAsia="zh-CN"/>
        </w:rPr>
        <w:t>采购预算</w:t>
      </w:r>
      <w:r>
        <w:rPr>
          <w:rFonts w:hint="eastAsia" w:ascii="宋体" w:hAnsi="宋体" w:eastAsia="宋体" w:cs="宋体"/>
          <w:bCs/>
          <w:sz w:val="22"/>
          <w:highlight w:val="none"/>
          <w:u w:val="single"/>
        </w:rPr>
        <w:t>的；</w:t>
      </w:r>
    </w:p>
    <w:p w14:paraId="3D86F174">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14:paraId="5318BD5D">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14:paraId="1855D765">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14:paraId="2C789364">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w:t>
      </w:r>
      <w:r>
        <w:rPr>
          <w:rFonts w:hint="eastAsia" w:ascii="宋体" w:hAnsi="宋体" w:eastAsia="宋体" w:cs="宋体"/>
          <w:kern w:val="0"/>
          <w:sz w:val="22"/>
          <w:highlight w:val="none"/>
          <w:u w:val="single"/>
          <w:lang w:val="en-US" w:eastAsia="zh-CN"/>
        </w:rPr>
        <w:t>主要内容</w:t>
      </w:r>
      <w:r>
        <w:rPr>
          <w:rFonts w:hint="eastAsia" w:ascii="宋体" w:hAnsi="宋体" w:eastAsia="宋体" w:cs="宋体"/>
          <w:kern w:val="0"/>
          <w:sz w:val="22"/>
          <w:highlight w:val="none"/>
          <w:u w:val="single"/>
        </w:rPr>
        <w:t>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14:paraId="2678E3F1">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2）除22.4条款以外，出现其它明显不符合技术规格、技术标准要求或不满足采购文件技术规格书中的主要参数，对设备货物质量档次和使用性能产生重大影响的投标文件；</w:t>
      </w:r>
    </w:p>
    <w:p w14:paraId="2F8C5F13">
      <w:pPr>
        <w:ind w:firstLine="440" w:firstLineChars="20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3）除22.4条款以外，出现投标项目数量与采购文件对比出现较大偏差，或商务报价明细表计算错误，出现较大差错；</w:t>
      </w:r>
    </w:p>
    <w:p w14:paraId="1A4539DB">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14:paraId="0513A449">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14:paraId="407557DA">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1)不同投标供应商的投标文件由同一单位或者个人编制；</w:t>
      </w:r>
    </w:p>
    <w:p w14:paraId="5960ADA8">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2)不同投标供应商委托同一单位或者个人办理投标事宜；</w:t>
      </w:r>
    </w:p>
    <w:p w14:paraId="64A72487">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3)不同投标供应商的投标文件载明的项目管理成员或者联系人员为同一人；</w:t>
      </w:r>
    </w:p>
    <w:p w14:paraId="59F9A281">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4）不同投标供应商的投标文件异常一致或者投标报价呈规律性差异；</w:t>
      </w:r>
    </w:p>
    <w:p w14:paraId="17CB7A64">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5）不同投标供应商的投标文件相互混装；</w:t>
      </w:r>
    </w:p>
    <w:p w14:paraId="27B5671E">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6）不同投标供应商的投标保证金从同一单位或者个人的账户转出。</w:t>
      </w:r>
    </w:p>
    <w:p w14:paraId="3AEAF6E1">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14:paraId="276302CF">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14:paraId="2641550A">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14:paraId="5E13C489">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14:paraId="75AAC5B1">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14:paraId="741EFFDB">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14:paraId="15E9B5D7">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14:paraId="14B56AE2">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14:paraId="3A626543">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w:t>
      </w:r>
      <w:r>
        <w:rPr>
          <w:rFonts w:hint="eastAsia" w:ascii="宋体" w:hAnsi="宋体" w:eastAsia="宋体" w:cs="宋体"/>
          <w:bCs/>
          <w:color w:val="auto"/>
          <w:sz w:val="22"/>
          <w:highlight w:val="none"/>
        </w:rPr>
        <w:t>实质上响应的投标。</w:t>
      </w:r>
    </w:p>
    <w:p w14:paraId="4C73CEBE">
      <w:pPr>
        <w:numPr>
          <w:ilvl w:val="1"/>
          <w:numId w:val="12"/>
        </w:numPr>
        <w:tabs>
          <w:tab w:val="left" w:pos="525"/>
        </w:tabs>
        <w:ind w:left="525" w:hanging="525"/>
        <w:rPr>
          <w:rFonts w:hint="eastAsia" w:ascii="宋体" w:hAnsi="宋体" w:eastAsia="宋体" w:cs="宋体"/>
          <w:b/>
          <w:bCs/>
          <w:color w:val="auto"/>
          <w:kern w:val="0"/>
          <w:sz w:val="22"/>
          <w:highlight w:val="none"/>
          <w:u w:val="single"/>
        </w:rPr>
      </w:pPr>
      <w:r>
        <w:rPr>
          <w:rFonts w:hint="eastAsia" w:ascii="宋体" w:hAnsi="宋体" w:eastAsia="宋体" w:cs="宋体"/>
          <w:color w:val="auto"/>
          <w:kern w:val="0"/>
          <w:sz w:val="22"/>
          <w:highlight w:val="none"/>
        </w:rPr>
        <w:t>▲</w:t>
      </w:r>
      <w:r>
        <w:rPr>
          <w:rFonts w:hint="eastAsia" w:ascii="宋体" w:hAnsi="宋体" w:eastAsia="宋体" w:cs="宋体"/>
          <w:b/>
          <w:bCs/>
          <w:color w:val="auto"/>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w:t>
      </w:r>
      <w:r>
        <w:rPr>
          <w:rFonts w:hint="eastAsia" w:ascii="宋体" w:hAnsi="宋体" w:eastAsia="宋体" w:cs="宋体"/>
          <w:b/>
          <w:bCs/>
          <w:color w:val="auto"/>
          <w:kern w:val="0"/>
          <w:sz w:val="22"/>
          <w:highlight w:val="none"/>
          <w:u w:val="single"/>
          <w:lang w:val="en-US" w:eastAsia="zh-CN"/>
        </w:rPr>
        <w:t>人</w:t>
      </w:r>
      <w:r>
        <w:rPr>
          <w:rFonts w:hint="eastAsia" w:ascii="宋体" w:hAnsi="宋体" w:eastAsia="宋体" w:cs="宋体"/>
          <w:b/>
          <w:bCs/>
          <w:color w:val="auto"/>
          <w:kern w:val="0"/>
          <w:sz w:val="22"/>
          <w:highlight w:val="none"/>
          <w:u w:val="single"/>
        </w:rPr>
        <w:t>代表不能在评标现场规定的合理时间内（一般在半个小时左右，具体要求将根据实际情况约定）书面证明其报价合理性的，评标委员会将其作为投标无效处理。</w:t>
      </w:r>
    </w:p>
    <w:p w14:paraId="336B5FFE">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评标委员会对审查合格的投标文件按照采购文件中制订的评标方法进行综合评定打分。</w:t>
      </w:r>
    </w:p>
    <w:p w14:paraId="1F5EBD42">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14:paraId="220A08CF">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color w:val="auto"/>
          <w:sz w:val="22"/>
          <w:highlight w:val="none"/>
          <w:u w:val="single"/>
        </w:rPr>
        <w:t>▲如果供应商的报价超出</w:t>
      </w:r>
      <w:r>
        <w:rPr>
          <w:rFonts w:hint="eastAsia" w:ascii="宋体" w:hAnsi="宋体" w:eastAsia="宋体" w:cs="宋体"/>
          <w:b/>
          <w:bCs/>
          <w:color w:val="auto"/>
          <w:sz w:val="22"/>
          <w:highlight w:val="none"/>
          <w:u w:val="single"/>
          <w:lang w:eastAsia="zh-CN"/>
        </w:rPr>
        <w:t>采购预算</w:t>
      </w:r>
      <w:r>
        <w:rPr>
          <w:rFonts w:hint="eastAsia" w:ascii="宋体" w:hAnsi="宋体" w:eastAsia="宋体" w:cs="宋体"/>
          <w:b/>
          <w:bCs/>
          <w:color w:val="auto"/>
          <w:sz w:val="22"/>
          <w:highlight w:val="none"/>
          <w:u w:val="single"/>
        </w:rPr>
        <w:t>，则该</w:t>
      </w:r>
      <w:r>
        <w:rPr>
          <w:rFonts w:hint="eastAsia" w:ascii="宋体" w:hAnsi="宋体" w:eastAsia="宋体" w:cs="宋体"/>
          <w:b/>
          <w:bCs/>
          <w:sz w:val="22"/>
          <w:highlight w:val="none"/>
          <w:u w:val="single"/>
        </w:rPr>
        <w:t>供应商的报价作无效标处理。本次采购如果所有供应商的报价均超出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，则本采购项目做废标处理。</w:t>
      </w:r>
    </w:p>
    <w:p w14:paraId="58057CB0">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14:paraId="49A86FB0">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14:paraId="319832DF">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14:paraId="0FE0A4EC">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14:paraId="2FE21DE4">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14:paraId="36C220B3">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评标</w:t>
      </w:r>
      <w:r>
        <w:rPr>
          <w:rFonts w:hint="eastAsia" w:ascii="宋体" w:hAnsi="宋体" w:eastAsia="宋体" w:cs="宋体"/>
          <w:sz w:val="22"/>
          <w:highlight w:val="none"/>
        </w:rPr>
        <w:t>委员会依据法律、法规及采购文件有关规定在有效标中按投标人的综合得分（即技术资信分与商务（报价）分之和）高低进行排序，综合得分第一名的投标人推荐为中标候选人（综合得分相同的，按投标报价由低到高顺序</w:t>
      </w:r>
      <w:r>
        <w:rPr>
          <w:rFonts w:hint="eastAsia" w:ascii="宋体" w:hAnsi="宋体" w:eastAsia="宋体" w:cs="宋体"/>
          <w:sz w:val="22"/>
          <w:highlight w:val="none"/>
          <w:lang w:val="en-US" w:eastAsia="zh-CN"/>
        </w:rPr>
        <w:t>推荐；综合</w:t>
      </w:r>
      <w:r>
        <w:rPr>
          <w:rFonts w:hint="eastAsia" w:ascii="宋体" w:hAnsi="宋体" w:eastAsia="宋体" w:cs="宋体"/>
          <w:sz w:val="22"/>
          <w:highlight w:val="none"/>
        </w:rPr>
        <w:t>得分且投标报价相同的</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按照</w:t>
      </w:r>
      <w:r>
        <w:rPr>
          <w:rFonts w:hint="eastAsia" w:ascii="宋体" w:hAnsi="宋体" w:eastAsia="宋体" w:cs="宋体"/>
          <w:sz w:val="22"/>
          <w:highlight w:val="none"/>
        </w:rPr>
        <w:t>投标文件满足</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文件全部实质性要求，且</w:t>
      </w:r>
      <w:r>
        <w:rPr>
          <w:rFonts w:hint="eastAsia" w:ascii="宋体" w:hAnsi="宋体" w:eastAsia="宋体" w:cs="宋体"/>
          <w:sz w:val="22"/>
          <w:highlight w:val="none"/>
          <w:lang w:val="en-US" w:eastAsia="zh-CN"/>
        </w:rPr>
        <w:t>技术资信</w:t>
      </w:r>
      <w:r>
        <w:rPr>
          <w:rFonts w:hint="eastAsia" w:ascii="宋体" w:hAnsi="宋体" w:eastAsia="宋体" w:cs="宋体"/>
          <w:sz w:val="22"/>
          <w:highlight w:val="none"/>
        </w:rPr>
        <w:t>评审得分由</w:t>
      </w:r>
      <w:r>
        <w:rPr>
          <w:rFonts w:hint="eastAsia" w:ascii="宋体" w:hAnsi="宋体" w:eastAsia="宋体" w:cs="宋体"/>
          <w:sz w:val="22"/>
          <w:highlight w:val="none"/>
          <w:lang w:val="en-US" w:eastAsia="zh-CN"/>
        </w:rPr>
        <w:t>高</w:t>
      </w:r>
      <w:r>
        <w:rPr>
          <w:rFonts w:hint="eastAsia" w:ascii="宋体" w:hAnsi="宋体" w:eastAsia="宋体" w:cs="宋体"/>
          <w:sz w:val="22"/>
          <w:highlight w:val="none"/>
        </w:rPr>
        <w:t>到</w:t>
      </w:r>
      <w:r>
        <w:rPr>
          <w:rFonts w:hint="eastAsia" w:ascii="宋体" w:hAnsi="宋体" w:eastAsia="宋体" w:cs="宋体"/>
          <w:sz w:val="22"/>
          <w:highlight w:val="none"/>
          <w:lang w:val="en-US" w:eastAsia="zh-CN"/>
        </w:rPr>
        <w:t>低</w:t>
      </w:r>
      <w:r>
        <w:rPr>
          <w:rFonts w:hint="eastAsia" w:ascii="宋体" w:hAnsi="宋体" w:eastAsia="宋体" w:cs="宋体"/>
          <w:sz w:val="22"/>
          <w:highlight w:val="none"/>
        </w:rPr>
        <w:t>的顺序推荐。）。</w:t>
      </w:r>
    </w:p>
    <w:p w14:paraId="16A824CB">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1D534D1C">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14:paraId="722917AB">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14:paraId="786B6741">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14:paraId="51B6E841">
      <w:pPr>
        <w:snapToGrid w:val="0"/>
        <w:ind w:left="420" w:leftChars="200"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14:paraId="40919CF8">
      <w:pPr>
        <w:snapToGrid w:val="0"/>
        <w:ind w:left="420" w:leftChars="200"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14:paraId="6B2F1CE4">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14:paraId="7F5E20BF">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14:paraId="28A12FFA">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F6173F6">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14:paraId="16F0EC37">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14:paraId="16A82BE9">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w:t>
      </w:r>
      <w:r>
        <w:rPr>
          <w:rFonts w:hint="eastAsia" w:ascii="宋体" w:hAnsi="宋体" w:eastAsia="宋体" w:cs="宋体"/>
          <w:sz w:val="22"/>
          <w:highlight w:val="none"/>
        </w:rPr>
        <w:t>项目采购公告发布的网站上</w:t>
      </w:r>
      <w:r>
        <w:rPr>
          <w:rFonts w:hint="eastAsia" w:ascii="宋体" w:hAnsi="宋体" w:eastAsia="宋体" w:cs="宋体"/>
          <w:bCs/>
          <w:sz w:val="22"/>
          <w:highlight w:val="none"/>
        </w:rPr>
        <w:t>公告中标结果，中标公告期限为1个工作日。</w:t>
      </w:r>
    </w:p>
    <w:p w14:paraId="53506488">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2"/>
          <w:highlight w:val="none"/>
          <w:u w:val="single"/>
          <w:lang w:eastAsia="zh-CN"/>
        </w:rPr>
        <w:t>温州市现代服务业发展集团有限公司</w:t>
      </w:r>
      <w:r>
        <w:rPr>
          <w:rFonts w:hint="eastAsia" w:ascii="宋体" w:hAnsi="宋体" w:eastAsia="宋体" w:cs="宋体"/>
          <w:b/>
          <w:bCs/>
          <w:sz w:val="22"/>
          <w:highlight w:val="none"/>
          <w:u w:val="single"/>
        </w:rPr>
        <w:t>纪检监察室投诉。</w:t>
      </w:r>
    </w:p>
    <w:p w14:paraId="5365EC8B">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14:paraId="6AE14F21">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14:paraId="39F6AF77">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14:paraId="628B8DB2">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14:paraId="4150DF99">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14:paraId="5B36549E">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14:paraId="3AAD221C">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14:paraId="1657EA31">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14:paraId="5031FDA6">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14:paraId="07D8A720">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14:paraId="6BB33D97">
      <w:pPr>
        <w:numPr>
          <w:ilvl w:val="0"/>
          <w:numId w:val="3"/>
        </w:numPr>
        <w:tabs>
          <w:tab w:val="left" w:pos="540"/>
          <w:tab w:val="left" w:pos="900"/>
        </w:tabs>
        <w:ind w:left="525" w:hanging="525"/>
        <w:rPr>
          <w:rFonts w:hint="eastAsia" w:ascii="宋体" w:hAnsi="宋体" w:eastAsia="宋体" w:cs="宋体"/>
          <w:b/>
          <w:color w:val="auto"/>
          <w:sz w:val="22"/>
          <w:highlight w:val="none"/>
          <w:shd w:val="clear" w:color="auto" w:fill="FFFF00"/>
        </w:rPr>
      </w:pPr>
      <w:bookmarkStart w:id="159" w:name="_Toc223717610"/>
      <w:bookmarkStart w:id="160" w:name="_Toc227056852"/>
      <w:bookmarkStart w:id="161" w:name="_Toc215415536"/>
      <w:bookmarkStart w:id="162" w:name="_Toc227057039"/>
      <w:bookmarkStart w:id="163" w:name="_Toc219538619"/>
      <w:bookmarkStart w:id="164" w:name="_Toc216667826"/>
      <w:bookmarkStart w:id="165" w:name="_Toc227489893"/>
      <w:bookmarkStart w:id="166" w:name="_Toc218041732"/>
      <w:bookmarkStart w:id="167" w:name="_Toc223933227"/>
      <w:bookmarkStart w:id="168" w:name="_Toc217460691"/>
      <w:r>
        <w:rPr>
          <w:rFonts w:hint="eastAsia" w:ascii="宋体" w:hAnsi="宋体" w:eastAsia="宋体" w:cs="宋体"/>
          <w:b/>
          <w:color w:val="auto"/>
          <w:sz w:val="22"/>
          <w:highlight w:val="none"/>
        </w:rPr>
        <w:t>采购代理服务费</w:t>
      </w:r>
    </w:p>
    <w:p w14:paraId="72B833BA">
      <w:pPr>
        <w:ind w:left="437" w:leftChars="208"/>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本次采购，采购代理服务费为人民币</w:t>
      </w:r>
      <w:r>
        <w:rPr>
          <w:rFonts w:hint="eastAsia" w:ascii="宋体" w:hAnsi="宋体" w:eastAsia="宋体" w:cs="宋体"/>
          <w:b/>
          <w:color w:val="auto"/>
          <w:sz w:val="22"/>
          <w:highlight w:val="none"/>
          <w:lang w:val="en-US" w:eastAsia="zh-CN"/>
        </w:rPr>
        <w:t>壹万陆仟</w:t>
      </w:r>
      <w:r>
        <w:rPr>
          <w:rFonts w:hint="eastAsia" w:ascii="宋体" w:hAnsi="宋体" w:eastAsia="宋体" w:cs="宋体"/>
          <w:b/>
          <w:color w:val="auto"/>
          <w:sz w:val="22"/>
          <w:highlight w:val="none"/>
        </w:rPr>
        <w:t>元整（¥</w:t>
      </w:r>
      <w:r>
        <w:rPr>
          <w:rFonts w:hint="eastAsia" w:ascii="宋体" w:hAnsi="宋体" w:eastAsia="宋体" w:cs="宋体"/>
          <w:b/>
          <w:color w:val="auto"/>
          <w:sz w:val="22"/>
          <w:highlight w:val="none"/>
          <w:lang w:val="en-US" w:eastAsia="zh-CN"/>
        </w:rPr>
        <w:t>160</w:t>
      </w:r>
      <w:r>
        <w:rPr>
          <w:rFonts w:hint="eastAsia" w:ascii="宋体" w:hAnsi="宋体" w:eastAsia="宋体" w:cs="宋体"/>
          <w:b/>
          <w:color w:val="auto"/>
          <w:sz w:val="22"/>
          <w:highlight w:val="none"/>
        </w:rPr>
        <w:t>00元），由中标单位在领取中标通知书前支付给采购代理机构，采购代理服务费包含在投标总价中（报价不需要单列）。由中标人支付给代理机构。代理服务费汇入以下账号：</w:t>
      </w:r>
    </w:p>
    <w:p w14:paraId="0A190B0E">
      <w:pPr>
        <w:ind w:left="538" w:leftChars="256"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开户名称：</w:t>
      </w:r>
      <w:r>
        <w:rPr>
          <w:rFonts w:hint="eastAsia" w:ascii="宋体" w:hAnsi="宋体" w:eastAsia="宋体" w:cs="宋体"/>
          <w:b/>
          <w:color w:val="auto"/>
          <w:sz w:val="22"/>
          <w:highlight w:val="none"/>
          <w:lang w:val="en-US" w:eastAsia="zh-CN"/>
        </w:rPr>
        <w:t>浙江国际招投标有限公司</w:t>
      </w:r>
    </w:p>
    <w:p w14:paraId="017AAE60">
      <w:pPr>
        <w:ind w:left="538" w:leftChars="256"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开户银行：工商银行杭州市武林支行</w:t>
      </w:r>
    </w:p>
    <w:p w14:paraId="5D1B350A">
      <w:pPr>
        <w:ind w:left="538" w:leftChars="256" w:firstLine="442" w:firstLineChars="200"/>
        <w:rPr>
          <w:rFonts w:hint="eastAsia" w:ascii="宋体" w:hAnsi="宋体" w:eastAsia="宋体" w:cs="宋体"/>
          <w:color w:val="auto"/>
          <w:highlight w:val="none"/>
        </w:rPr>
      </w:pPr>
      <w:r>
        <w:rPr>
          <w:rFonts w:hint="eastAsia" w:ascii="宋体" w:hAnsi="宋体" w:eastAsia="宋体" w:cs="宋体"/>
          <w:b/>
          <w:color w:val="auto"/>
          <w:sz w:val="22"/>
          <w:highlight w:val="none"/>
        </w:rPr>
        <w:t>开户账号：1202021209906782015</w:t>
      </w:r>
    </w:p>
    <w:p w14:paraId="0F2452F6">
      <w:pPr>
        <w:ind w:left="538" w:leftChars="256"/>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采购代理服务费可以是现金、支票或汇票。</w:t>
      </w:r>
    </w:p>
    <w:p w14:paraId="016D326A">
      <w:pPr>
        <w:numPr>
          <w:ilvl w:val="0"/>
          <w:numId w:val="3"/>
        </w:numPr>
        <w:tabs>
          <w:tab w:val="left" w:pos="540"/>
          <w:tab w:val="left" w:pos="900"/>
        </w:tabs>
        <w:spacing w:line="240" w:lineRule="auto"/>
        <w:ind w:left="525" w:hanging="525"/>
        <w:rPr>
          <w:rFonts w:hint="eastAsia" w:ascii="宋体" w:hAnsi="宋体" w:eastAsia="宋体" w:cs="宋体"/>
          <w:b/>
          <w:color w:val="000000"/>
          <w:sz w:val="22"/>
          <w:highlight w:val="none"/>
        </w:rPr>
      </w:pPr>
      <w:r>
        <w:rPr>
          <w:rFonts w:hint="eastAsia" w:ascii="宋体" w:hAnsi="宋体" w:eastAsia="宋体" w:cs="宋体"/>
          <w:b/>
          <w:color w:val="000000"/>
          <w:sz w:val="22"/>
          <w:highlight w:val="none"/>
        </w:rPr>
        <w:t>乐采云技术服务费：</w:t>
      </w:r>
    </w:p>
    <w:p w14:paraId="5B83477C">
      <w:pPr>
        <w:keepNext w:val="0"/>
        <w:keepLines w:val="0"/>
        <w:pageBreakBefore w:val="0"/>
        <w:widowControl w:val="0"/>
        <w:numPr>
          <w:ilvl w:val="0"/>
          <w:numId w:val="0"/>
        </w:numPr>
        <w:tabs>
          <w:tab w:val="left" w:pos="540"/>
          <w:tab w:val="left" w:pos="900"/>
        </w:tabs>
        <w:kinsoku/>
        <w:wordWrap w:val="0"/>
        <w:overflowPunct/>
        <w:topLinePunct w:val="0"/>
        <w:autoSpaceDE/>
        <w:autoSpaceDN/>
        <w:bidi w:val="0"/>
        <w:adjustRightInd/>
        <w:snapToGrid/>
        <w:ind w:left="0" w:firstLine="442" w:firstLineChars="200"/>
        <w:textAlignment w:val="auto"/>
        <w:rPr>
          <w:rFonts w:hint="eastAsia" w:ascii="宋体" w:hAnsi="宋体" w:eastAsia="宋体" w:cs="宋体"/>
          <w:sz w:val="22"/>
          <w:szCs w:val="22"/>
          <w:highlight w:val="none"/>
        </w:rPr>
      </w:pPr>
      <w:r>
        <w:rPr>
          <w:rFonts w:hint="eastAsia" w:ascii="宋体" w:hAnsi="宋体" w:eastAsia="宋体" w:cs="宋体"/>
          <w:b/>
          <w:color w:val="auto"/>
          <w:sz w:val="22"/>
          <w:highlight w:val="none"/>
        </w:rPr>
        <w:t>根据乐采云（https://www.lecaiyun.com/helpcenter/document#/document/detail?siteCode=lecaiyun&amp;manualId=2061&amp;topicId=8625）2023年9月6日发布的乐采云国企采购平台项目采购收费标准（温州市市属国企区）规定</w:t>
      </w:r>
      <w:r>
        <w:rPr>
          <w:rFonts w:hint="eastAsia" w:ascii="宋体" w:hAnsi="宋体" w:eastAsia="宋体" w:cs="宋体"/>
          <w:b/>
          <w:color w:val="auto"/>
          <w:sz w:val="22"/>
          <w:highlight w:val="none"/>
          <w:lang w:eastAsia="zh-CN"/>
        </w:rPr>
        <w:t>，乐采云技术服务费</w:t>
      </w:r>
      <w:r>
        <w:rPr>
          <w:rFonts w:hint="eastAsia" w:ascii="宋体" w:hAnsi="宋体" w:eastAsia="宋体" w:cs="宋体"/>
          <w:b/>
          <w:color w:val="auto"/>
          <w:sz w:val="22"/>
          <w:highlight w:val="none"/>
          <w:lang w:val="en-US" w:eastAsia="zh-CN"/>
        </w:rPr>
        <w:t>收费标准为</w:t>
      </w:r>
      <w:r>
        <w:rPr>
          <w:rFonts w:hint="eastAsia" w:ascii="宋体" w:hAnsi="宋体" w:eastAsia="宋体" w:cs="宋体"/>
          <w:b/>
          <w:color w:val="auto"/>
          <w:sz w:val="22"/>
          <w:highlight w:val="none"/>
          <w:lang w:eastAsia="zh-CN"/>
        </w:rPr>
        <w:t>：</w:t>
      </w:r>
    </w:p>
    <w:p w14:paraId="725762DF">
      <w:pPr>
        <w:keepNext w:val="0"/>
        <w:keepLines w:val="0"/>
        <w:pageBreakBefore w:val="0"/>
        <w:widowControl w:val="0"/>
        <w:numPr>
          <w:ilvl w:val="0"/>
          <w:numId w:val="22"/>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lang w:val="en-US" w:eastAsia="zh-CN"/>
        </w:rPr>
      </w:pPr>
      <w:r>
        <w:rPr>
          <w:rFonts w:hint="eastAsia" w:ascii="宋体" w:hAnsi="宋体" w:eastAsia="宋体" w:cs="宋体"/>
          <w:b/>
          <w:sz w:val="22"/>
          <w:highlight w:val="none"/>
        </w:rPr>
        <w:t>不涉及具体金额的采购项目，技术服务费800元/件</w:t>
      </w:r>
      <w:r>
        <w:rPr>
          <w:rFonts w:hint="eastAsia" w:ascii="宋体" w:hAnsi="宋体" w:eastAsia="宋体" w:cs="宋体"/>
          <w:b/>
          <w:sz w:val="22"/>
          <w:highlight w:val="none"/>
          <w:lang w:val="en-US" w:eastAsia="zh-CN"/>
        </w:rPr>
        <w:t>；</w:t>
      </w:r>
    </w:p>
    <w:p w14:paraId="089A7D52">
      <w:pPr>
        <w:keepNext w:val="0"/>
        <w:keepLines w:val="0"/>
        <w:pageBreakBefore w:val="0"/>
        <w:widowControl w:val="0"/>
        <w:numPr>
          <w:ilvl w:val="0"/>
          <w:numId w:val="22"/>
        </w:numPr>
        <w:tabs>
          <w:tab w:val="left" w:pos="540"/>
          <w:tab w:val="left" w:pos="900"/>
        </w:tabs>
        <w:kinsoku/>
        <w:wordWrap w:val="0"/>
        <w:overflowPunct/>
        <w:topLinePunct w:val="0"/>
        <w:autoSpaceDE/>
        <w:autoSpaceDN/>
        <w:bidi w:val="0"/>
        <w:adjustRightInd/>
        <w:snapToGrid/>
        <w:ind w:leftChars="200"/>
        <w:textAlignment w:val="auto"/>
        <w:rPr>
          <w:rFonts w:hint="eastAsia" w:ascii="宋体" w:hAnsi="宋体" w:eastAsia="宋体" w:cs="宋体"/>
          <w:b/>
          <w:sz w:val="22"/>
          <w:highlight w:val="none"/>
        </w:rPr>
      </w:pPr>
      <w:r>
        <w:rPr>
          <w:rFonts w:hint="eastAsia" w:ascii="宋体" w:hAnsi="宋体" w:eastAsia="宋体" w:cs="宋体"/>
          <w:b/>
          <w:sz w:val="22"/>
          <w:highlight w:val="none"/>
        </w:rPr>
        <w:t>涉及具体金额的采购项目，根据标的额，按照以下比例收取技术服务费</w:t>
      </w:r>
      <w:r>
        <w:rPr>
          <w:rFonts w:hint="eastAsia" w:ascii="宋体" w:hAnsi="宋体" w:eastAsia="宋体" w:cs="宋体"/>
          <w:b/>
          <w:sz w:val="22"/>
          <w:highlight w:val="none"/>
          <w:lang w:eastAsia="zh-CN"/>
        </w:rPr>
        <w:t>：</w:t>
      </w:r>
    </w:p>
    <w:p w14:paraId="3981D38F">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中标价80万元以下（含80万元的）：按800元收取；</w:t>
      </w:r>
    </w:p>
    <w:p w14:paraId="57D9CC15">
      <w:pPr>
        <w:keepNext w:val="0"/>
        <w:keepLines w:val="0"/>
        <w:pageBreakBefore w:val="0"/>
        <w:widowControl w:val="0"/>
        <w:numPr>
          <w:ilvl w:val="0"/>
          <w:numId w:val="23"/>
        </w:numPr>
        <w:tabs>
          <w:tab w:val="left" w:pos="540"/>
          <w:tab w:val="left" w:pos="900"/>
        </w:tabs>
        <w:kinsoku/>
        <w:wordWrap w:val="0"/>
        <w:overflowPunct/>
        <w:topLinePunct w:val="0"/>
        <w:autoSpaceDE/>
        <w:autoSpaceDN/>
        <w:bidi w:val="0"/>
        <w:adjustRightInd/>
        <w:snapToGrid/>
        <w:ind w:leftChars="0" w:firstLine="442" w:firstLineChars="200"/>
        <w:textAlignment w:val="auto"/>
        <w:rPr>
          <w:rFonts w:hint="eastAsia" w:ascii="宋体" w:hAnsi="宋体" w:eastAsia="宋体" w:cs="宋体"/>
          <w:b/>
          <w:sz w:val="22"/>
          <w:highlight w:val="none"/>
        </w:rPr>
      </w:pPr>
      <w:r>
        <w:rPr>
          <w:rFonts w:hint="eastAsia" w:ascii="宋体" w:hAnsi="宋体" w:eastAsia="宋体" w:cs="宋体"/>
          <w:b/>
          <w:sz w:val="22"/>
          <w:highlight w:val="none"/>
        </w:rPr>
        <w:t>中标价超过80万元的：</w:t>
      </w:r>
      <w:r>
        <w:rPr>
          <w:rFonts w:hint="eastAsia" w:ascii="宋体" w:hAnsi="宋体" w:eastAsia="宋体" w:cs="宋体"/>
          <w:b/>
          <w:sz w:val="22"/>
          <w:highlight w:val="none"/>
          <w:lang w:val="en-US" w:eastAsia="zh-CN"/>
        </w:rPr>
        <w:t>按</w:t>
      </w:r>
      <w:r>
        <w:rPr>
          <w:rFonts w:hint="eastAsia" w:ascii="宋体" w:hAnsi="宋体" w:eastAsia="宋体" w:cs="宋体"/>
          <w:b/>
          <w:sz w:val="22"/>
          <w:highlight w:val="none"/>
        </w:rPr>
        <w:t>中标价的千分之一（0.1%）</w:t>
      </w:r>
      <w:r>
        <w:rPr>
          <w:rFonts w:hint="eastAsia" w:ascii="宋体" w:hAnsi="宋体" w:eastAsia="宋体" w:cs="宋体"/>
          <w:b/>
          <w:sz w:val="22"/>
          <w:highlight w:val="none"/>
          <w:lang w:val="en-US" w:eastAsia="zh-CN"/>
        </w:rPr>
        <w:t>收取</w:t>
      </w:r>
      <w:r>
        <w:rPr>
          <w:rFonts w:hint="eastAsia" w:ascii="宋体" w:hAnsi="宋体" w:eastAsia="宋体" w:cs="宋体"/>
          <w:b/>
          <w:sz w:val="22"/>
          <w:highlight w:val="none"/>
        </w:rPr>
        <w:t>，以30000元封顶。</w:t>
      </w:r>
    </w:p>
    <w:p w14:paraId="6E9C9BEB">
      <w:pPr>
        <w:numPr>
          <w:ilvl w:val="0"/>
          <w:numId w:val="0"/>
        </w:numPr>
        <w:tabs>
          <w:tab w:val="left" w:pos="540"/>
          <w:tab w:val="left" w:pos="900"/>
        </w:tabs>
        <w:ind w:left="0" w:firstLine="442" w:firstLineChars="200"/>
        <w:rPr>
          <w:rFonts w:hint="eastAsia" w:ascii="宋体" w:hAnsi="宋体" w:eastAsia="宋体" w:cs="宋体"/>
          <w:sz w:val="21"/>
          <w:szCs w:val="21"/>
          <w:highlight w:val="none"/>
        </w:rPr>
      </w:pPr>
      <w:r>
        <w:rPr>
          <w:rFonts w:hint="eastAsia" w:ascii="宋体" w:hAnsi="宋体" w:eastAsia="宋体" w:cs="宋体"/>
          <w:b/>
          <w:color w:val="auto"/>
          <w:sz w:val="22"/>
          <w:highlight w:val="none"/>
        </w:rPr>
        <w:t>由</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rPr>
        <w:t>供应商于中标</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lang w:val="en-US" w:eastAsia="zh-CN"/>
        </w:rPr>
        <w:t>成交</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结果公示后支付该项目的技术服务费。各供应商投标总报价须包含该乐采云技术服务费。</w:t>
      </w:r>
    </w:p>
    <w:p w14:paraId="5CBCBC71">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14:paraId="7F268DDC">
      <w:pPr>
        <w:autoSpaceDE w:val="0"/>
        <w:autoSpaceDN w:val="0"/>
        <w:adjustRightInd w:val="0"/>
        <w:spacing w:after="120"/>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14:paraId="3736E259">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七、 质疑与投诉</w:t>
      </w:r>
    </w:p>
    <w:p w14:paraId="564E495D">
      <w:pPr>
        <w:numPr>
          <w:ilvl w:val="0"/>
          <w:numId w:val="0"/>
        </w:numPr>
        <w:tabs>
          <w:tab w:val="left" w:pos="210"/>
        </w:tabs>
        <w:snapToGrid w:val="0"/>
        <w:spacing w:line="240" w:lineRule="auto"/>
        <w:ind w:left="400" w:leftChars="0"/>
        <w:jc w:val="left"/>
        <w:outlineLvl w:val="2"/>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lang w:val="zh-CN"/>
        </w:rPr>
        <w:t>供应商质疑</w:t>
      </w:r>
    </w:p>
    <w:p w14:paraId="2709538D">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5483BB07">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zh-CN"/>
        </w:rPr>
        <w:t>）供应商认为采购文件、采购过程</w:t>
      </w:r>
      <w:r>
        <w:rPr>
          <w:rFonts w:hint="eastAsia" w:ascii="宋体" w:hAnsi="宋体" w:eastAsia="宋体" w:cs="宋体"/>
          <w:b w:val="0"/>
          <w:bCs/>
          <w:strike w:val="0"/>
          <w:dstrike w:val="0"/>
          <w:color w:val="auto"/>
          <w:sz w:val="22"/>
          <w:szCs w:val="22"/>
          <w:highlight w:val="none"/>
          <w:lang w:val="zh-CN"/>
        </w:rPr>
        <w:t>、中标</w:t>
      </w:r>
      <w:r>
        <w:rPr>
          <w:rFonts w:hint="eastAsia" w:ascii="宋体" w:hAnsi="宋体" w:eastAsia="宋体" w:cs="宋体"/>
          <w:b w:val="0"/>
          <w:bCs/>
          <w:strike w:val="0"/>
          <w:dstrike w:val="0"/>
          <w:color w:val="auto"/>
          <w:sz w:val="22"/>
          <w:szCs w:val="22"/>
          <w:highlight w:val="none"/>
          <w:lang w:val="en-US" w:eastAsia="zh-CN"/>
        </w:rPr>
        <w:t>或者成交</w:t>
      </w:r>
      <w:r>
        <w:rPr>
          <w:rFonts w:hint="eastAsia" w:ascii="宋体" w:hAnsi="宋体" w:eastAsia="宋体" w:cs="宋体"/>
          <w:b w:val="0"/>
          <w:bCs/>
          <w:strike w:val="0"/>
          <w:dstrike w:val="0"/>
          <w:color w:val="auto"/>
          <w:sz w:val="22"/>
          <w:szCs w:val="22"/>
          <w:highlight w:val="none"/>
          <w:lang w:val="zh-CN"/>
        </w:rPr>
        <w:t>结果</w:t>
      </w:r>
      <w:r>
        <w:rPr>
          <w:rFonts w:hint="eastAsia" w:ascii="宋体" w:hAnsi="宋体" w:eastAsia="宋体" w:cs="宋体"/>
          <w:b w:val="0"/>
          <w:bCs/>
          <w:color w:val="auto"/>
          <w:sz w:val="22"/>
          <w:szCs w:val="22"/>
          <w:highlight w:val="none"/>
          <w:lang w:val="zh-CN"/>
        </w:rPr>
        <w:t>使自己的权益受到损害的，可以在知道或者应知其权益受到损害之日起</w:t>
      </w:r>
      <w:r>
        <w:rPr>
          <w:rFonts w:hint="eastAsia" w:ascii="宋体" w:hAnsi="宋体" w:eastAsia="宋体" w:cs="宋体"/>
          <w:b w:val="0"/>
          <w:bCs/>
          <w:color w:val="auto"/>
          <w:sz w:val="22"/>
          <w:szCs w:val="22"/>
          <w:highlight w:val="none"/>
          <w:lang w:val="en-US" w:eastAsia="zh-CN"/>
        </w:rPr>
        <w:t>规定的时间</w:t>
      </w:r>
      <w:r>
        <w:rPr>
          <w:rFonts w:hint="eastAsia" w:ascii="宋体" w:hAnsi="宋体" w:eastAsia="宋体" w:cs="宋体"/>
          <w:b w:val="0"/>
          <w:bCs/>
          <w:color w:val="auto"/>
          <w:sz w:val="22"/>
          <w:szCs w:val="22"/>
          <w:highlight w:val="none"/>
          <w:lang w:val="zh-CN"/>
        </w:rPr>
        <w:t>内，以书面形式向采购人或者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提出质疑，否则，采购人或者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不予受理：</w:t>
      </w:r>
    </w:p>
    <w:p w14:paraId="50904AEA">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对采购文件提出质疑的，质疑期限为供应商获得采购文件之日</w:t>
      </w:r>
      <w:r>
        <w:rPr>
          <w:rFonts w:hint="eastAsia" w:ascii="宋体" w:hAnsi="宋体" w:eastAsia="宋体" w:cs="宋体"/>
          <w:strike w:val="0"/>
          <w:dstrike w:val="0"/>
          <w:highlight w:val="none"/>
          <w:lang w:val="zh-CN"/>
        </w:rPr>
        <w:t>（采购文件公告期限届满之前收到采购文件的，以完成获取采购文件申请后下载采购文件的时间为准）</w:t>
      </w:r>
      <w:r>
        <w:rPr>
          <w:rFonts w:hint="eastAsia" w:ascii="宋体" w:hAnsi="宋体" w:eastAsia="宋体" w:cs="宋体"/>
          <w:b w:val="0"/>
          <w:bCs/>
          <w:color w:val="auto"/>
          <w:sz w:val="22"/>
          <w:szCs w:val="22"/>
          <w:highlight w:val="none"/>
          <w:lang w:val="zh-CN"/>
        </w:rPr>
        <w:t>或者采购文件公告期限届满之日（公告发布后的第6个工作日）起7个工作日内</w:t>
      </w:r>
      <w:r>
        <w:rPr>
          <w:rFonts w:hint="eastAsia" w:ascii="宋体" w:hAnsi="宋体" w:eastAsia="宋体" w:cs="宋体"/>
          <w:b w:val="0"/>
          <w:bCs/>
          <w:color w:val="auto"/>
          <w:sz w:val="22"/>
          <w:szCs w:val="22"/>
          <w:highlight w:val="none"/>
          <w:lang w:val="en-US" w:eastAsia="zh-CN"/>
        </w:rPr>
        <w:t>提出</w:t>
      </w:r>
      <w:r>
        <w:rPr>
          <w:rFonts w:hint="eastAsia" w:ascii="宋体" w:hAnsi="宋体" w:eastAsia="宋体" w:cs="宋体"/>
          <w:b w:val="0"/>
          <w:bCs/>
          <w:color w:val="auto"/>
          <w:sz w:val="22"/>
          <w:szCs w:val="22"/>
          <w:highlight w:val="none"/>
          <w:lang w:val="zh-CN"/>
        </w:rPr>
        <w:t>。</w:t>
      </w:r>
    </w:p>
    <w:p w14:paraId="7E96A3A8">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对采购过程提出质疑的，质疑期限为各采购程序环节结束之日起7个工作日内提出。</w:t>
      </w:r>
    </w:p>
    <w:p w14:paraId="3624084B">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对采购结果提出质疑的，质疑期限为</w:t>
      </w:r>
      <w:r>
        <w:rPr>
          <w:rFonts w:hint="eastAsia" w:ascii="宋体" w:hAnsi="宋体" w:eastAsia="宋体" w:cs="宋体"/>
          <w:b w:val="0"/>
          <w:bCs/>
          <w:color w:val="auto"/>
          <w:sz w:val="22"/>
          <w:szCs w:val="22"/>
          <w:highlight w:val="none"/>
          <w:lang w:val="en-US" w:eastAsia="zh-CN"/>
        </w:rPr>
        <w:t>采购结果公示期</w:t>
      </w:r>
      <w:r>
        <w:rPr>
          <w:rFonts w:hint="eastAsia" w:ascii="宋体" w:hAnsi="宋体" w:eastAsia="宋体" w:cs="宋体"/>
          <w:b w:val="0"/>
          <w:bCs/>
          <w:color w:val="auto"/>
          <w:sz w:val="22"/>
          <w:szCs w:val="22"/>
          <w:highlight w:val="none"/>
          <w:lang w:val="zh-CN"/>
        </w:rPr>
        <w:t>结束之日起7个工作日内提出。</w:t>
      </w:r>
    </w:p>
    <w:p w14:paraId="4ADCB29F">
      <w:pPr>
        <w:numPr>
          <w:ilvl w:val="0"/>
          <w:numId w:val="0"/>
        </w:numPr>
        <w:tabs>
          <w:tab w:val="left" w:pos="210"/>
        </w:tabs>
        <w:snapToGrid w:val="0"/>
        <w:spacing w:line="240" w:lineRule="auto"/>
        <w:ind w:left="402" w:left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zh-CN"/>
        </w:rPr>
        <w:t>）供应商提出质疑应当提交质疑函和必要的证明材料。质疑函应当包括下列内容：</w:t>
      </w:r>
    </w:p>
    <w:p w14:paraId="1CF13723">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供应商的姓名或者名称、地址、邮编、联系人及联系电话；</w:t>
      </w:r>
    </w:p>
    <w:p w14:paraId="005CB6DC">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质疑项目的名称、编号；</w:t>
      </w:r>
    </w:p>
    <w:p w14:paraId="197020DC">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具体、明确的质疑事项和与质疑事项相关的请求；</w:t>
      </w:r>
    </w:p>
    <w:p w14:paraId="1E339F6D">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事实依据；</w:t>
      </w:r>
    </w:p>
    <w:p w14:paraId="4DE192F6">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必要的法律依据；</w:t>
      </w:r>
    </w:p>
    <w:p w14:paraId="784F11B6">
      <w:pPr>
        <w:numPr>
          <w:ilvl w:val="3"/>
          <w:numId w:val="24"/>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提出质疑的日期。</w:t>
      </w:r>
    </w:p>
    <w:p w14:paraId="60012963">
      <w:pPr>
        <w:numPr>
          <w:ilvl w:val="0"/>
          <w:numId w:val="0"/>
        </w:numPr>
        <w:tabs>
          <w:tab w:val="left" w:pos="210"/>
        </w:tabs>
        <w:snapToGrid w:val="0"/>
        <w:spacing w:line="240" w:lineRule="auto"/>
        <w:ind w:leftChars="0"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5A4D051">
      <w:pPr>
        <w:numPr>
          <w:ilvl w:val="0"/>
          <w:numId w:val="0"/>
        </w:numPr>
        <w:tabs>
          <w:tab w:val="left" w:pos="210"/>
          <w:tab w:val="left" w:pos="840"/>
        </w:tabs>
        <w:snapToGrid w:val="0"/>
        <w:spacing w:line="240" w:lineRule="auto"/>
        <w:ind w:firstLine="442" w:firstLineChars="200"/>
        <w:jc w:val="left"/>
        <w:outlineLvl w:val="2"/>
        <w:rPr>
          <w:rFonts w:hint="eastAsia" w:ascii="宋体" w:hAnsi="宋体" w:eastAsia="宋体" w:cs="宋体"/>
          <w:b/>
          <w:bCs w:val="0"/>
          <w:strike w:val="0"/>
          <w:dstrike w:val="0"/>
          <w:color w:val="auto"/>
          <w:sz w:val="22"/>
          <w:szCs w:val="22"/>
          <w:highlight w:val="none"/>
          <w:u w:val="single"/>
          <w:lang w:val="zh-CN"/>
        </w:rPr>
      </w:pPr>
      <w:r>
        <w:rPr>
          <w:rFonts w:hint="eastAsia" w:ascii="宋体" w:hAnsi="宋体" w:eastAsia="宋体" w:cs="宋体"/>
          <w:b/>
          <w:bCs w:val="0"/>
          <w:strike w:val="0"/>
          <w:dstrike w:val="0"/>
          <w:color w:val="auto"/>
          <w:sz w:val="22"/>
          <w:szCs w:val="22"/>
          <w:highlight w:val="none"/>
          <w:u w:val="single"/>
          <w:lang w:val="zh-CN"/>
        </w:rPr>
        <w:t>（</w:t>
      </w:r>
      <w:r>
        <w:rPr>
          <w:rFonts w:hint="eastAsia" w:ascii="宋体" w:hAnsi="宋体" w:eastAsia="宋体" w:cs="宋体"/>
          <w:b/>
          <w:bCs w:val="0"/>
          <w:strike w:val="0"/>
          <w:dstrike w:val="0"/>
          <w:color w:val="auto"/>
          <w:sz w:val="22"/>
          <w:szCs w:val="22"/>
          <w:highlight w:val="none"/>
          <w:u w:val="single"/>
          <w:lang w:val="en-US" w:eastAsia="zh-CN"/>
        </w:rPr>
        <w:t>4</w:t>
      </w:r>
      <w:r>
        <w:rPr>
          <w:rFonts w:hint="eastAsia" w:ascii="宋体" w:hAnsi="宋体" w:eastAsia="宋体" w:cs="宋体"/>
          <w:b/>
          <w:bCs w:val="0"/>
          <w:strike w:val="0"/>
          <w:dstrike w:val="0"/>
          <w:color w:val="auto"/>
          <w:sz w:val="22"/>
          <w:szCs w:val="22"/>
          <w:highlight w:val="none"/>
          <w:u w:val="single"/>
          <w:lang w:val="zh-CN"/>
        </w:rPr>
        <w:t>）对同一采购程序环节的质疑</w:t>
      </w:r>
      <w:r>
        <w:rPr>
          <w:rFonts w:hint="eastAsia" w:ascii="宋体" w:hAnsi="宋体" w:eastAsia="宋体" w:cs="宋体"/>
          <w:b/>
          <w:bCs w:val="0"/>
          <w:strike w:val="0"/>
          <w:dstrike w:val="0"/>
          <w:color w:val="auto"/>
          <w:sz w:val="22"/>
          <w:szCs w:val="22"/>
          <w:highlight w:val="none"/>
          <w:u w:val="single"/>
          <w:lang w:val="en-US" w:eastAsia="zh-CN"/>
        </w:rPr>
        <w:t>时</w:t>
      </w:r>
      <w:r>
        <w:rPr>
          <w:rFonts w:hint="eastAsia" w:ascii="宋体" w:hAnsi="宋体" w:eastAsia="宋体" w:cs="宋体"/>
          <w:b/>
          <w:bCs w:val="0"/>
          <w:strike w:val="0"/>
          <w:dstrike w:val="0"/>
          <w:color w:val="auto"/>
          <w:sz w:val="22"/>
          <w:szCs w:val="22"/>
          <w:highlight w:val="none"/>
          <w:u w:val="single"/>
          <w:lang w:val="zh-CN"/>
        </w:rPr>
        <w:t>，供应商须在法定质疑期内一次性提出，已经提出过质疑的投标供应商对同一采购程序环节不能提出新的质疑。</w:t>
      </w:r>
    </w:p>
    <w:p w14:paraId="37267819">
      <w:pPr>
        <w:numPr>
          <w:ilvl w:val="0"/>
          <w:numId w:val="0"/>
        </w:numPr>
        <w:tabs>
          <w:tab w:val="left" w:pos="210"/>
          <w:tab w:val="left" w:pos="84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5181853E">
      <w:pPr>
        <w:numPr>
          <w:ilvl w:val="0"/>
          <w:numId w:val="0"/>
        </w:numPr>
        <w:tabs>
          <w:tab w:val="left" w:pos="210"/>
          <w:tab w:val="left" w:pos="84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zh-CN"/>
        </w:rPr>
        <w:t>）采购人或者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应当在收到供应商的书面质疑后七个工作日内作出答复</w:t>
      </w:r>
      <w:r>
        <w:rPr>
          <w:rFonts w:hint="eastAsia" w:ascii="宋体" w:hAnsi="宋体" w:eastAsia="宋体" w:cs="宋体"/>
          <w:b w:val="0"/>
          <w:bCs/>
          <w:strike w:val="0"/>
          <w:dstrike w:val="0"/>
          <w:color w:val="auto"/>
          <w:sz w:val="22"/>
          <w:szCs w:val="22"/>
          <w:highlight w:val="none"/>
          <w:lang w:val="zh-CN"/>
        </w:rPr>
        <w:t>，但答复的内容不得涉及商业秘密</w:t>
      </w:r>
      <w:r>
        <w:rPr>
          <w:rFonts w:hint="eastAsia" w:ascii="宋体" w:hAnsi="宋体" w:eastAsia="宋体" w:cs="宋体"/>
          <w:b w:val="0"/>
          <w:bCs/>
          <w:color w:val="auto"/>
          <w:sz w:val="22"/>
          <w:szCs w:val="22"/>
          <w:highlight w:val="none"/>
          <w:lang w:val="zh-CN"/>
        </w:rPr>
        <w:t>。</w:t>
      </w:r>
    </w:p>
    <w:p w14:paraId="55472156">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7</w:t>
      </w:r>
      <w:r>
        <w:rPr>
          <w:rFonts w:hint="eastAsia" w:ascii="宋体" w:hAnsi="宋体" w:eastAsia="宋体" w:cs="宋体"/>
          <w:highlight w:val="none"/>
          <w:lang w:val="zh-CN"/>
        </w:rPr>
        <w:t>）采购人、采购代理机构认为供应商质疑不成立，或者成立但未对中标、成交结果构成影响的，继续开展采购活动；认为供应商质疑成立且影响或者可能影响中标、成交结果的，按照下列情况处理：</w:t>
      </w:r>
    </w:p>
    <w:p w14:paraId="31C48A9E">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①对采购文件提出的质疑，依法通过澄清或者修改可以继续开展采购活动的，澄清或者修改采购文件后继续开展采购活动；否则应当修改采购文件后重新开展采购活动。</w:t>
      </w:r>
    </w:p>
    <w:p w14:paraId="085EE0CF">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②对采购过程、中标或者成交结果提出的质疑，合格供应商符合法定数量时，可以从合格的中标或者成交候选人中另行确定中标、成交供应商的，应当依法另行确定中标、成交供应商；否则应当重新开展采购活动。</w:t>
      </w:r>
    </w:p>
    <w:p w14:paraId="33C0E321">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③质疑答复导致中标、成交结果改变的，采购人或者采购代理机构应当将有关情况书面报告向采购人（集团）的内设监管职能部门。</w:t>
      </w:r>
    </w:p>
    <w:p w14:paraId="5E931C2E">
      <w:pPr>
        <w:numPr>
          <w:ilvl w:val="0"/>
          <w:numId w:val="0"/>
        </w:numPr>
        <w:tabs>
          <w:tab w:val="left" w:pos="210"/>
        </w:tabs>
        <w:snapToGrid w:val="0"/>
        <w:spacing w:line="240" w:lineRule="auto"/>
        <w:ind w:left="400" w:leftChars="0"/>
        <w:jc w:val="left"/>
        <w:outlineLvl w:val="2"/>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val="zh-CN"/>
        </w:rPr>
        <w:t>供应商投诉</w:t>
      </w:r>
    </w:p>
    <w:p w14:paraId="38886309">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zh-CN"/>
        </w:rPr>
        <w:t>）质疑供应商对采购人、</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的答复不满意或者采购人、</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未在规定的时间内作出答复的，可以在答复期满后</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lang w:val="zh-CN"/>
        </w:rPr>
        <w:t>个工作日内向采购人（集团）的内设监管职能部门投诉。</w:t>
      </w:r>
    </w:p>
    <w:p w14:paraId="583BFFC3">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zh-CN"/>
        </w:rPr>
        <w:t>）采购人（集团）的内设监管职能部门负责对</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供应商反映的企业本部及所属企业在采购活动中出现的违法违规问题进行</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回复。</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供应商认为采购人（集团）的内设监管职能部门</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回复处理结果不合法的，可以采购人或采购代理机构为对象依法向人民法院提起诉讼。</w:t>
      </w:r>
    </w:p>
    <w:p w14:paraId="6F6C0F54">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zh-CN"/>
        </w:rPr>
        <w:t>）供应商投诉的事项不得超出已质疑事项的范围，基于质疑答复内容提出的投诉事项除外。</w:t>
      </w:r>
    </w:p>
    <w:p w14:paraId="319CFD9F">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zh-CN"/>
        </w:rPr>
        <w:t>）供应商投诉应当有明确的请求和必要的证明材料。</w:t>
      </w:r>
    </w:p>
    <w:p w14:paraId="5ED565BF">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zh-CN"/>
        </w:rPr>
        <w:t>）以联合体形式参加采购活动的，其投诉应当由组成联合体的所有供应商共同提出</w:t>
      </w:r>
      <w:r>
        <w:rPr>
          <w:rFonts w:hint="eastAsia" w:ascii="宋体" w:hAnsi="宋体" w:eastAsia="宋体" w:cs="宋体"/>
          <w:b w:val="0"/>
          <w:bCs/>
          <w:sz w:val="22"/>
          <w:szCs w:val="22"/>
          <w:highlight w:val="none"/>
          <w:lang w:val="zh-CN"/>
        </w:rPr>
        <w:t>。</w:t>
      </w:r>
    </w:p>
    <w:p w14:paraId="666C72F2">
      <w:pPr>
        <w:numPr>
          <w:ilvl w:val="-1"/>
          <w:numId w:val="0"/>
        </w:numPr>
        <w:tabs>
          <w:tab w:val="left" w:pos="210"/>
        </w:tabs>
        <w:snapToGrid w:val="0"/>
        <w:ind w:left="0" w:firstLine="440" w:firstLineChars="200"/>
        <w:outlineLvl w:val="2"/>
        <w:rPr>
          <w:rFonts w:hint="eastAsia" w:ascii="宋体" w:hAnsi="宋体" w:eastAsia="宋体" w:cs="宋体"/>
          <w:bCs/>
          <w:sz w:val="22"/>
          <w:highlight w:val="none"/>
          <w:lang w:val="zh-CN"/>
        </w:rPr>
      </w:pPr>
      <w:r>
        <w:rPr>
          <w:rFonts w:hint="eastAsia" w:ascii="宋体" w:hAnsi="宋体" w:eastAsia="宋体" w:cs="宋体"/>
          <w:b w:val="0"/>
          <w:bCs/>
          <w:sz w:val="22"/>
          <w:szCs w:val="22"/>
          <w:highlight w:val="none"/>
          <w:lang w:val="zh-CN"/>
        </w:rPr>
        <w:t>（</w:t>
      </w:r>
      <w:r>
        <w:rPr>
          <w:rFonts w:hint="eastAsia" w:ascii="宋体" w:hAnsi="宋体" w:eastAsia="宋体" w:cs="宋体"/>
          <w:b w:val="0"/>
          <w:bCs/>
          <w:sz w:val="22"/>
          <w:szCs w:val="22"/>
          <w:highlight w:val="none"/>
          <w:lang w:val="en-US" w:eastAsia="zh-CN"/>
        </w:rPr>
        <w:t>6</w:t>
      </w:r>
      <w:r>
        <w:rPr>
          <w:rFonts w:hint="eastAsia" w:ascii="宋体" w:hAnsi="宋体" w:eastAsia="宋体" w:cs="宋体"/>
          <w:b w:val="0"/>
          <w:bCs/>
          <w:sz w:val="22"/>
          <w:szCs w:val="22"/>
          <w:highlight w:val="none"/>
          <w:lang w:val="zh-CN"/>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0AD1BB21">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69" w:name="_Toc491780524"/>
      <w:r>
        <w:rPr>
          <w:rFonts w:hint="eastAsia" w:ascii="宋体" w:hAnsi="宋体" w:eastAsia="宋体" w:cs="宋体"/>
          <w:b/>
          <w:bCs/>
          <w:sz w:val="36"/>
          <w:szCs w:val="36"/>
          <w:highlight w:val="none"/>
        </w:rPr>
        <w:t>第二部分 合同条款</w:t>
      </w:r>
      <w:bookmarkEnd w:id="169"/>
    </w:p>
    <w:bookmarkEnd w:id="159"/>
    <w:bookmarkEnd w:id="160"/>
    <w:bookmarkEnd w:id="161"/>
    <w:bookmarkEnd w:id="162"/>
    <w:bookmarkEnd w:id="163"/>
    <w:bookmarkEnd w:id="164"/>
    <w:bookmarkEnd w:id="165"/>
    <w:bookmarkEnd w:id="166"/>
    <w:bookmarkEnd w:id="167"/>
    <w:bookmarkEnd w:id="168"/>
    <w:p w14:paraId="58F4DA42">
      <w:pPr>
        <w:rPr>
          <w:rFonts w:hint="eastAsia" w:ascii="宋体" w:hAnsi="宋体" w:eastAsia="宋体" w:cs="宋体"/>
          <w:szCs w:val="21"/>
          <w:highlight w:val="none"/>
        </w:rPr>
      </w:pPr>
      <w:bookmarkStart w:id="170" w:name="_Toc223717611"/>
      <w:bookmarkStart w:id="171" w:name="_Toc215415537"/>
      <w:bookmarkStart w:id="172" w:name="_Toc217460692"/>
      <w:bookmarkStart w:id="173" w:name="_Toc227489894"/>
      <w:bookmarkStart w:id="174" w:name="_Toc223933228"/>
      <w:bookmarkStart w:id="175" w:name="_Toc227056853"/>
      <w:bookmarkStart w:id="176" w:name="_Toc227057040"/>
      <w:bookmarkStart w:id="177" w:name="_Toc216667827"/>
      <w:bookmarkStart w:id="178" w:name="_Toc218041733"/>
      <w:bookmarkStart w:id="179" w:name="_Toc219538620"/>
      <w:bookmarkStart w:id="180" w:name="_Toc219538621"/>
      <w:bookmarkStart w:id="181" w:name="_Toc215415538"/>
      <w:bookmarkStart w:id="182" w:name="_Toc223933229"/>
      <w:bookmarkStart w:id="183" w:name="_Toc227056854"/>
      <w:bookmarkStart w:id="184" w:name="_Toc217460693"/>
      <w:bookmarkStart w:id="185" w:name="_Toc223717612"/>
      <w:bookmarkStart w:id="186" w:name="_Toc216667828"/>
      <w:bookmarkStart w:id="187" w:name="_Toc227489895"/>
      <w:bookmarkStart w:id="188" w:name="_Toc227057041"/>
      <w:bookmarkStart w:id="189" w:name="_Toc218041734"/>
    </w:p>
    <w:bookmarkEnd w:id="170"/>
    <w:bookmarkEnd w:id="171"/>
    <w:bookmarkEnd w:id="172"/>
    <w:bookmarkEnd w:id="173"/>
    <w:bookmarkEnd w:id="174"/>
    <w:bookmarkEnd w:id="175"/>
    <w:bookmarkEnd w:id="176"/>
    <w:bookmarkEnd w:id="177"/>
    <w:bookmarkEnd w:id="178"/>
    <w:bookmarkEnd w:id="179"/>
    <w:p w14:paraId="1B3B1DAB">
      <w:pPr>
        <w:spacing w:line="240" w:lineRule="auto"/>
        <w:ind w:firstLine="422" w:firstLineChars="200"/>
        <w:rPr>
          <w:rFonts w:hint="eastAsia" w:ascii="宋体" w:hAnsi="宋体" w:eastAsia="宋体" w:cs="宋体"/>
          <w:b/>
          <w:bCs/>
          <w:sz w:val="21"/>
          <w:szCs w:val="21"/>
          <w:highlight w:val="none"/>
        </w:rPr>
      </w:pPr>
      <w:bookmarkStart w:id="190" w:name="_Toc491780525"/>
      <w:r>
        <w:rPr>
          <w:rFonts w:hint="eastAsia" w:ascii="宋体" w:hAnsi="宋体" w:eastAsia="宋体" w:cs="宋体"/>
          <w:b/>
          <w:bCs/>
          <w:sz w:val="21"/>
          <w:szCs w:val="21"/>
          <w:highlight w:val="none"/>
        </w:rPr>
        <w:t>注：如甲、乙双方同意</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合同格式也可以按照其他形式</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具体条款以甲方为主协商确定。但合同条款的基本内容应与以下要求的内容相一致。</w:t>
      </w:r>
    </w:p>
    <w:p w14:paraId="4F3D4021">
      <w:pPr>
        <w:spacing w:line="240" w:lineRule="auto"/>
        <w:rPr>
          <w:rFonts w:hint="eastAsia" w:ascii="宋体" w:hAnsi="宋体" w:eastAsia="宋体" w:cs="宋体"/>
          <w:sz w:val="21"/>
          <w:szCs w:val="21"/>
          <w:highlight w:val="none"/>
        </w:rPr>
      </w:pPr>
    </w:p>
    <w:p w14:paraId="581196D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（采购人）</w:t>
      </w:r>
    </w:p>
    <w:p w14:paraId="2AFEBC2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乙方: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（中标人）</w:t>
      </w:r>
    </w:p>
    <w:p w14:paraId="05E1DAF2">
      <w:pPr>
        <w:spacing w:line="240" w:lineRule="auto"/>
        <w:ind w:firstLine="514" w:firstLineChars="245"/>
        <w:rPr>
          <w:rFonts w:hint="eastAsia" w:ascii="宋体" w:hAnsi="宋体" w:eastAsia="宋体" w:cs="宋体"/>
          <w:bCs/>
          <w:sz w:val="21"/>
          <w:szCs w:val="21"/>
          <w:highlight w:val="none"/>
        </w:rPr>
      </w:pPr>
    </w:p>
    <w:p w14:paraId="2CF155F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温州菜篮子集团有限公司</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（项目名称、编号）在国内以公开招标方式进行采购，经评标委员会评定</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（中标人名称）为中标人。双方本着诚信及互利互惠的原则，同意按照下面条款和条件，签署本合同。</w:t>
      </w:r>
    </w:p>
    <w:p w14:paraId="2926FDD3">
      <w:pPr>
        <w:spacing w:line="24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一、本合同签订依据</w:t>
      </w:r>
    </w:p>
    <w:p w14:paraId="3B04282A">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val="en-US" w:eastAsia="zh-CN"/>
        </w:rPr>
        <w:t>民法典</w:t>
      </w:r>
      <w:r>
        <w:rPr>
          <w:rFonts w:hint="eastAsia" w:ascii="宋体" w:hAnsi="宋体" w:eastAsia="宋体" w:cs="宋体"/>
          <w:bCs/>
          <w:color w:val="auto"/>
          <w:sz w:val="21"/>
          <w:szCs w:val="21"/>
          <w:highlight w:val="none"/>
        </w:rPr>
        <w:t>》</w:t>
      </w:r>
    </w:p>
    <w:p w14:paraId="5D7B2F67">
      <w:pPr>
        <w:spacing w:line="24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二、合同文件的优先次序</w:t>
      </w:r>
    </w:p>
    <w:p w14:paraId="1CD4B974">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合同文件如存在歧义或不一致则根据以下优先次序来判断：</w:t>
      </w:r>
    </w:p>
    <w:p w14:paraId="34EDDABB">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1.合同书及合同补充条款或说明 </w:t>
      </w:r>
    </w:p>
    <w:p w14:paraId="08546D0D">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2.中标通知书</w:t>
      </w:r>
    </w:p>
    <w:p w14:paraId="6292E77C">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3.承诺书（含询标记录和优惠条款）</w:t>
      </w:r>
    </w:p>
    <w:p w14:paraId="23EF543E">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w:t>
      </w:r>
    </w:p>
    <w:p w14:paraId="62006BAD">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5.采购文件</w:t>
      </w:r>
    </w:p>
    <w:p w14:paraId="25040A96">
      <w:pPr>
        <w:spacing w:line="240" w:lineRule="auto"/>
        <w:ind w:firstLine="422" w:firstLineChars="200"/>
        <w:outlineLvl w:val="1"/>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三、采购内容</w:t>
      </w:r>
    </w:p>
    <w:p w14:paraId="22280A97">
      <w:pPr>
        <w:spacing w:line="240" w:lineRule="auto"/>
        <w:ind w:firstLine="420" w:firstLineChars="200"/>
        <w:outlineLvl w:val="2"/>
        <w:rPr>
          <w:rFonts w:hint="eastAsia" w:ascii="宋体" w:hAnsi="宋体" w:eastAsia="宋体" w:cs="宋体"/>
          <w:b w:val="0"/>
          <w:bCs/>
          <w:color w:val="auto"/>
          <w:sz w:val="21"/>
          <w:szCs w:val="21"/>
          <w:highlight w:val="none"/>
          <w:shd w:val="clear" w:color="FFFFFF" w:fill="D9D9D9"/>
        </w:rPr>
      </w:pPr>
      <w:r>
        <w:rPr>
          <w:rFonts w:hint="eastAsia" w:ascii="宋体" w:hAnsi="宋体" w:eastAsia="宋体" w:cs="宋体"/>
          <w:b w:val="0"/>
          <w:bCs/>
          <w:sz w:val="21"/>
          <w:szCs w:val="21"/>
          <w:highlight w:val="none"/>
        </w:rPr>
        <w:t>1.规格及数量</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4"/>
        <w:gridCol w:w="2088"/>
        <w:gridCol w:w="924"/>
        <w:gridCol w:w="1320"/>
        <w:gridCol w:w="1757"/>
        <w:gridCol w:w="1758"/>
      </w:tblGrid>
      <w:tr w14:paraId="206B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84" w:type="dxa"/>
            <w:shd w:val="clear" w:color="auto" w:fill="auto"/>
            <w:noWrap w:val="0"/>
            <w:vAlign w:val="top"/>
          </w:tcPr>
          <w:p w14:paraId="3B0F4DC2">
            <w:pPr>
              <w:spacing w:line="240" w:lineRule="auto"/>
              <w:jc w:val="center"/>
              <w:rPr>
                <w:rFonts w:hint="eastAsia" w:ascii="宋体" w:hAnsi="宋体" w:eastAsia="宋体" w:cs="宋体"/>
                <w:b/>
                <w:color w:val="auto"/>
                <w:sz w:val="18"/>
                <w:szCs w:val="18"/>
                <w:highlight w:val="none"/>
                <w:shd w:val="clear" w:color="FFFFFF" w:fill="D9D9D9"/>
              </w:rPr>
            </w:pPr>
            <w:r>
              <w:rPr>
                <w:rFonts w:hint="eastAsia" w:ascii="宋体" w:hAnsi="宋体" w:eastAsia="宋体" w:cs="宋体"/>
                <w:b/>
                <w:color w:val="auto"/>
                <w:sz w:val="18"/>
                <w:szCs w:val="18"/>
                <w:highlight w:val="none"/>
                <w:shd w:val="clear" w:color="FFFFFF" w:fill="D9D9D9"/>
              </w:rPr>
              <w:t>序号</w:t>
            </w:r>
          </w:p>
        </w:tc>
        <w:tc>
          <w:tcPr>
            <w:tcW w:w="2088" w:type="dxa"/>
            <w:shd w:val="clear" w:color="auto" w:fill="auto"/>
            <w:noWrap w:val="0"/>
            <w:vAlign w:val="top"/>
          </w:tcPr>
          <w:p w14:paraId="4CDB92EB">
            <w:pPr>
              <w:spacing w:line="240" w:lineRule="auto"/>
              <w:jc w:val="center"/>
              <w:rPr>
                <w:rFonts w:hint="eastAsia" w:ascii="宋体" w:hAnsi="宋体" w:eastAsia="宋体" w:cs="宋体"/>
                <w:b/>
                <w:color w:val="auto"/>
                <w:sz w:val="18"/>
                <w:szCs w:val="18"/>
                <w:highlight w:val="none"/>
                <w:shd w:val="clear" w:color="FFFFFF" w:fill="D9D9D9"/>
              </w:rPr>
            </w:pPr>
            <w:r>
              <w:rPr>
                <w:rFonts w:hint="eastAsia" w:ascii="宋体" w:hAnsi="宋体" w:eastAsia="宋体" w:cs="宋体"/>
                <w:b/>
                <w:color w:val="auto"/>
                <w:sz w:val="18"/>
                <w:szCs w:val="18"/>
                <w:highlight w:val="none"/>
                <w:shd w:val="clear" w:color="FFFFFF" w:fill="D9D9D9"/>
              </w:rPr>
              <w:t>设备名称</w:t>
            </w:r>
          </w:p>
        </w:tc>
        <w:tc>
          <w:tcPr>
            <w:tcW w:w="924" w:type="dxa"/>
            <w:shd w:val="clear" w:color="auto" w:fill="auto"/>
            <w:noWrap w:val="0"/>
            <w:vAlign w:val="top"/>
          </w:tcPr>
          <w:p w14:paraId="543838C9">
            <w:pPr>
              <w:spacing w:line="240" w:lineRule="auto"/>
              <w:jc w:val="center"/>
              <w:rPr>
                <w:rFonts w:hint="eastAsia" w:ascii="宋体" w:hAnsi="宋体" w:eastAsia="宋体" w:cs="宋体"/>
                <w:b/>
                <w:color w:val="auto"/>
                <w:sz w:val="18"/>
                <w:szCs w:val="18"/>
                <w:highlight w:val="none"/>
                <w:shd w:val="clear" w:color="FFFFFF" w:fill="D9D9D9"/>
              </w:rPr>
            </w:pPr>
            <w:r>
              <w:rPr>
                <w:rFonts w:hint="eastAsia" w:ascii="宋体" w:hAnsi="宋体" w:eastAsia="宋体" w:cs="宋体"/>
                <w:b/>
                <w:color w:val="auto"/>
                <w:sz w:val="18"/>
                <w:szCs w:val="18"/>
                <w:highlight w:val="none"/>
                <w:shd w:val="clear" w:color="FFFFFF" w:fill="D9D9D9"/>
              </w:rPr>
              <w:t>单价</w:t>
            </w:r>
          </w:p>
        </w:tc>
        <w:tc>
          <w:tcPr>
            <w:tcW w:w="1320" w:type="dxa"/>
            <w:shd w:val="clear" w:color="auto" w:fill="auto"/>
            <w:noWrap w:val="0"/>
            <w:vAlign w:val="top"/>
          </w:tcPr>
          <w:p w14:paraId="33073C94">
            <w:pPr>
              <w:spacing w:line="240" w:lineRule="auto"/>
              <w:jc w:val="center"/>
              <w:rPr>
                <w:rFonts w:hint="eastAsia" w:ascii="宋体" w:hAnsi="宋体" w:eastAsia="宋体" w:cs="宋体"/>
                <w:b/>
                <w:color w:val="auto"/>
                <w:sz w:val="18"/>
                <w:szCs w:val="18"/>
                <w:highlight w:val="none"/>
                <w:shd w:val="clear" w:color="FFFFFF" w:fill="D9D9D9"/>
              </w:rPr>
            </w:pPr>
            <w:r>
              <w:rPr>
                <w:rFonts w:hint="eastAsia" w:ascii="宋体" w:hAnsi="宋体" w:eastAsia="宋体" w:cs="宋体"/>
                <w:b/>
                <w:color w:val="auto"/>
                <w:sz w:val="18"/>
                <w:szCs w:val="18"/>
                <w:highlight w:val="none"/>
                <w:shd w:val="clear" w:color="FFFFFF" w:fill="D9D9D9"/>
                <w:lang w:val="en-US" w:eastAsia="zh-CN"/>
              </w:rPr>
              <w:t>采购</w:t>
            </w:r>
            <w:r>
              <w:rPr>
                <w:rFonts w:hint="eastAsia" w:ascii="宋体" w:hAnsi="宋体" w:eastAsia="宋体" w:cs="宋体"/>
                <w:b/>
                <w:color w:val="auto"/>
                <w:sz w:val="18"/>
                <w:szCs w:val="18"/>
                <w:highlight w:val="none"/>
                <w:shd w:val="clear" w:color="FFFFFF" w:fill="D9D9D9"/>
              </w:rPr>
              <w:t>数量</w:t>
            </w:r>
          </w:p>
        </w:tc>
        <w:tc>
          <w:tcPr>
            <w:tcW w:w="1757" w:type="dxa"/>
            <w:shd w:val="clear" w:color="auto" w:fill="auto"/>
            <w:noWrap w:val="0"/>
            <w:vAlign w:val="top"/>
          </w:tcPr>
          <w:p w14:paraId="0E790346">
            <w:pPr>
              <w:spacing w:line="240" w:lineRule="auto"/>
              <w:jc w:val="center"/>
              <w:rPr>
                <w:rFonts w:hint="eastAsia" w:ascii="宋体" w:hAnsi="宋体" w:eastAsia="宋体" w:cs="宋体"/>
                <w:b/>
                <w:color w:val="auto"/>
                <w:sz w:val="18"/>
                <w:szCs w:val="18"/>
                <w:highlight w:val="none"/>
                <w:shd w:val="clear" w:color="FFFFFF" w:fill="D9D9D9"/>
                <w:lang w:val="en-US" w:eastAsia="zh-CN"/>
              </w:rPr>
            </w:pPr>
            <w:r>
              <w:rPr>
                <w:rFonts w:hint="eastAsia" w:ascii="宋体" w:hAnsi="宋体" w:eastAsia="宋体" w:cs="宋体"/>
                <w:b/>
                <w:color w:val="auto"/>
                <w:sz w:val="18"/>
                <w:szCs w:val="18"/>
                <w:highlight w:val="none"/>
                <w:shd w:val="clear" w:color="FFFFFF" w:fill="D9D9D9"/>
                <w:lang w:val="en-US" w:eastAsia="zh-CN"/>
              </w:rPr>
              <w:t>合价</w:t>
            </w:r>
          </w:p>
        </w:tc>
        <w:tc>
          <w:tcPr>
            <w:tcW w:w="1758" w:type="dxa"/>
            <w:shd w:val="clear" w:color="auto" w:fill="auto"/>
            <w:noWrap w:val="0"/>
            <w:vAlign w:val="top"/>
          </w:tcPr>
          <w:p w14:paraId="0EDA7349">
            <w:pPr>
              <w:spacing w:line="240" w:lineRule="auto"/>
              <w:jc w:val="center"/>
              <w:rPr>
                <w:rFonts w:hint="eastAsia" w:ascii="宋体" w:hAnsi="宋体" w:eastAsia="宋体" w:cs="宋体"/>
                <w:b/>
                <w:color w:val="auto"/>
                <w:sz w:val="18"/>
                <w:szCs w:val="18"/>
                <w:highlight w:val="none"/>
                <w:shd w:val="clear" w:color="FFFFFF" w:fill="D9D9D9"/>
                <w:lang w:val="en-US" w:eastAsia="zh-CN"/>
              </w:rPr>
            </w:pPr>
            <w:r>
              <w:rPr>
                <w:rFonts w:hint="eastAsia" w:ascii="宋体" w:hAnsi="宋体" w:eastAsia="宋体" w:cs="宋体"/>
                <w:b/>
                <w:color w:val="auto"/>
                <w:sz w:val="18"/>
                <w:szCs w:val="18"/>
                <w:highlight w:val="none"/>
                <w:shd w:val="clear" w:color="FFFFFF" w:fill="D9D9D9"/>
                <w:lang w:val="en-US" w:eastAsia="zh-CN"/>
              </w:rPr>
              <w:t>备注</w:t>
            </w:r>
          </w:p>
        </w:tc>
      </w:tr>
      <w:tr w14:paraId="6C62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84" w:type="dxa"/>
            <w:shd w:val="clear" w:color="auto" w:fill="auto"/>
            <w:noWrap w:val="0"/>
            <w:vAlign w:val="center"/>
          </w:tcPr>
          <w:p w14:paraId="434DE686">
            <w:pPr>
              <w:spacing w:line="240" w:lineRule="auto"/>
              <w:jc w:val="center"/>
              <w:rPr>
                <w:rFonts w:hint="eastAsia" w:ascii="宋体" w:hAnsi="宋体" w:eastAsia="宋体" w:cs="宋体"/>
                <w:color w:val="auto"/>
                <w:sz w:val="18"/>
                <w:szCs w:val="18"/>
                <w:highlight w:val="none"/>
                <w:shd w:val="clear" w:color="FFFFFF" w:fill="D9D9D9"/>
                <w:lang w:val="en-US" w:eastAsia="zh-CN"/>
              </w:rPr>
            </w:pPr>
            <w:r>
              <w:rPr>
                <w:rFonts w:hint="eastAsia" w:ascii="宋体" w:hAnsi="宋体" w:eastAsia="宋体" w:cs="宋体"/>
                <w:color w:val="auto"/>
                <w:sz w:val="18"/>
                <w:szCs w:val="18"/>
                <w:highlight w:val="none"/>
                <w:shd w:val="clear" w:color="FFFFFF" w:fill="D9D9D9"/>
                <w:lang w:val="en-US" w:eastAsia="zh-CN"/>
              </w:rPr>
              <w:t>1</w:t>
            </w:r>
          </w:p>
        </w:tc>
        <w:tc>
          <w:tcPr>
            <w:tcW w:w="2088" w:type="dxa"/>
            <w:shd w:val="clear" w:color="auto" w:fill="auto"/>
            <w:noWrap w:val="0"/>
            <w:vAlign w:val="center"/>
          </w:tcPr>
          <w:p w14:paraId="72D2A684">
            <w:pPr>
              <w:spacing w:line="240" w:lineRule="auto"/>
              <w:jc w:val="center"/>
              <w:rPr>
                <w:rFonts w:hint="eastAsia" w:ascii="宋体" w:hAnsi="宋体" w:eastAsia="宋体" w:cs="宋体"/>
                <w:color w:val="auto"/>
                <w:sz w:val="18"/>
                <w:szCs w:val="18"/>
                <w:highlight w:val="none"/>
                <w:shd w:val="clear" w:color="FFFFFF" w:fill="D9D9D9"/>
              </w:rPr>
            </w:pPr>
          </w:p>
        </w:tc>
        <w:tc>
          <w:tcPr>
            <w:tcW w:w="924" w:type="dxa"/>
            <w:shd w:val="clear" w:color="auto" w:fill="auto"/>
            <w:noWrap w:val="0"/>
            <w:vAlign w:val="center"/>
          </w:tcPr>
          <w:p w14:paraId="3D5B83C6">
            <w:pPr>
              <w:spacing w:line="240" w:lineRule="auto"/>
              <w:jc w:val="center"/>
              <w:rPr>
                <w:rFonts w:hint="eastAsia" w:ascii="宋体" w:hAnsi="宋体" w:eastAsia="宋体" w:cs="宋体"/>
                <w:color w:val="auto"/>
                <w:sz w:val="18"/>
                <w:szCs w:val="18"/>
                <w:highlight w:val="none"/>
                <w:shd w:val="clear" w:color="FFFFFF" w:fill="D9D9D9"/>
              </w:rPr>
            </w:pPr>
          </w:p>
        </w:tc>
        <w:tc>
          <w:tcPr>
            <w:tcW w:w="1320" w:type="dxa"/>
            <w:shd w:val="clear" w:color="auto" w:fill="auto"/>
            <w:noWrap w:val="0"/>
            <w:vAlign w:val="center"/>
          </w:tcPr>
          <w:p w14:paraId="1ED716D2">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1757" w:type="dxa"/>
            <w:shd w:val="clear" w:color="auto" w:fill="auto"/>
            <w:noWrap w:val="0"/>
            <w:vAlign w:val="center"/>
          </w:tcPr>
          <w:p w14:paraId="56FDF046">
            <w:pPr>
              <w:spacing w:line="240" w:lineRule="auto"/>
              <w:jc w:val="center"/>
              <w:rPr>
                <w:rFonts w:hint="eastAsia" w:ascii="宋体" w:hAnsi="宋体" w:eastAsia="宋体" w:cs="宋体"/>
                <w:color w:val="auto"/>
                <w:sz w:val="18"/>
                <w:szCs w:val="18"/>
                <w:highlight w:val="none"/>
                <w:shd w:val="clear" w:color="FFFFFF" w:fill="D9D9D9"/>
              </w:rPr>
            </w:pPr>
          </w:p>
        </w:tc>
        <w:tc>
          <w:tcPr>
            <w:tcW w:w="1758" w:type="dxa"/>
            <w:shd w:val="clear" w:color="auto" w:fill="auto"/>
            <w:noWrap w:val="0"/>
            <w:vAlign w:val="center"/>
          </w:tcPr>
          <w:p w14:paraId="1742F5F3">
            <w:pPr>
              <w:spacing w:line="240" w:lineRule="auto"/>
              <w:jc w:val="center"/>
              <w:rPr>
                <w:rFonts w:hint="eastAsia" w:ascii="宋体" w:hAnsi="宋体" w:eastAsia="宋体" w:cs="宋体"/>
                <w:color w:val="auto"/>
                <w:sz w:val="18"/>
                <w:szCs w:val="18"/>
                <w:highlight w:val="none"/>
                <w:shd w:val="clear" w:color="FFFFFF" w:fill="D9D9D9"/>
              </w:rPr>
            </w:pPr>
          </w:p>
        </w:tc>
      </w:tr>
      <w:tr w14:paraId="254C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84" w:type="dxa"/>
            <w:shd w:val="clear" w:color="auto" w:fill="auto"/>
            <w:noWrap w:val="0"/>
            <w:vAlign w:val="center"/>
          </w:tcPr>
          <w:p w14:paraId="03069EF9">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2088" w:type="dxa"/>
            <w:shd w:val="clear" w:color="auto" w:fill="auto"/>
            <w:noWrap w:val="0"/>
            <w:vAlign w:val="center"/>
          </w:tcPr>
          <w:p w14:paraId="0CD765B5">
            <w:pPr>
              <w:spacing w:line="240" w:lineRule="auto"/>
              <w:jc w:val="center"/>
              <w:rPr>
                <w:rFonts w:hint="eastAsia" w:ascii="宋体" w:hAnsi="宋体" w:eastAsia="宋体" w:cs="宋体"/>
                <w:color w:val="auto"/>
                <w:sz w:val="18"/>
                <w:szCs w:val="18"/>
                <w:highlight w:val="none"/>
                <w:shd w:val="clear" w:color="FFFFFF" w:fill="D9D9D9"/>
              </w:rPr>
            </w:pPr>
          </w:p>
        </w:tc>
        <w:tc>
          <w:tcPr>
            <w:tcW w:w="924" w:type="dxa"/>
            <w:shd w:val="clear" w:color="auto" w:fill="auto"/>
            <w:noWrap w:val="0"/>
            <w:vAlign w:val="center"/>
          </w:tcPr>
          <w:p w14:paraId="6D604E7A">
            <w:pPr>
              <w:spacing w:line="240" w:lineRule="auto"/>
              <w:jc w:val="center"/>
              <w:rPr>
                <w:rFonts w:hint="eastAsia" w:ascii="宋体" w:hAnsi="宋体" w:eastAsia="宋体" w:cs="宋体"/>
                <w:color w:val="auto"/>
                <w:sz w:val="18"/>
                <w:szCs w:val="18"/>
                <w:highlight w:val="none"/>
                <w:shd w:val="clear" w:color="FFFFFF" w:fill="D9D9D9"/>
              </w:rPr>
            </w:pPr>
          </w:p>
        </w:tc>
        <w:tc>
          <w:tcPr>
            <w:tcW w:w="1320" w:type="dxa"/>
            <w:shd w:val="clear" w:color="auto" w:fill="auto"/>
            <w:noWrap w:val="0"/>
            <w:vAlign w:val="center"/>
          </w:tcPr>
          <w:p w14:paraId="5A54E661">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1757" w:type="dxa"/>
            <w:shd w:val="clear" w:color="auto" w:fill="auto"/>
            <w:noWrap w:val="0"/>
            <w:vAlign w:val="center"/>
          </w:tcPr>
          <w:p w14:paraId="44E88D26">
            <w:pPr>
              <w:spacing w:line="240" w:lineRule="auto"/>
              <w:jc w:val="center"/>
              <w:rPr>
                <w:rFonts w:hint="eastAsia" w:ascii="宋体" w:hAnsi="宋体" w:eastAsia="宋体" w:cs="宋体"/>
                <w:color w:val="auto"/>
                <w:sz w:val="18"/>
                <w:szCs w:val="18"/>
                <w:highlight w:val="none"/>
                <w:shd w:val="clear" w:color="FFFFFF" w:fill="D9D9D9"/>
              </w:rPr>
            </w:pPr>
          </w:p>
        </w:tc>
        <w:tc>
          <w:tcPr>
            <w:tcW w:w="1758" w:type="dxa"/>
            <w:shd w:val="clear" w:color="auto" w:fill="auto"/>
            <w:noWrap w:val="0"/>
            <w:vAlign w:val="center"/>
          </w:tcPr>
          <w:p w14:paraId="6DAC9A52">
            <w:pPr>
              <w:spacing w:line="240" w:lineRule="auto"/>
              <w:jc w:val="center"/>
              <w:rPr>
                <w:rFonts w:hint="eastAsia" w:ascii="宋体" w:hAnsi="宋体" w:eastAsia="宋体" w:cs="宋体"/>
                <w:color w:val="auto"/>
                <w:sz w:val="18"/>
                <w:szCs w:val="18"/>
                <w:highlight w:val="none"/>
                <w:shd w:val="clear" w:color="FFFFFF" w:fill="D9D9D9"/>
              </w:rPr>
            </w:pPr>
          </w:p>
        </w:tc>
      </w:tr>
      <w:tr w14:paraId="5602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84" w:type="dxa"/>
            <w:shd w:val="clear" w:color="auto" w:fill="auto"/>
            <w:noWrap w:val="0"/>
            <w:vAlign w:val="center"/>
          </w:tcPr>
          <w:p w14:paraId="05C4D6E3">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2088" w:type="dxa"/>
            <w:shd w:val="clear" w:color="auto" w:fill="auto"/>
            <w:noWrap w:val="0"/>
            <w:vAlign w:val="center"/>
          </w:tcPr>
          <w:p w14:paraId="26F4BADF">
            <w:pPr>
              <w:spacing w:line="240" w:lineRule="auto"/>
              <w:jc w:val="center"/>
              <w:rPr>
                <w:rFonts w:hint="eastAsia" w:ascii="宋体" w:hAnsi="宋体" w:eastAsia="宋体" w:cs="宋体"/>
                <w:color w:val="auto"/>
                <w:sz w:val="18"/>
                <w:szCs w:val="18"/>
                <w:highlight w:val="none"/>
                <w:shd w:val="clear" w:color="FFFFFF" w:fill="D9D9D9"/>
              </w:rPr>
            </w:pPr>
          </w:p>
        </w:tc>
        <w:tc>
          <w:tcPr>
            <w:tcW w:w="924" w:type="dxa"/>
            <w:shd w:val="clear" w:color="auto" w:fill="auto"/>
            <w:noWrap w:val="0"/>
            <w:vAlign w:val="center"/>
          </w:tcPr>
          <w:p w14:paraId="43B64274">
            <w:pPr>
              <w:spacing w:line="240" w:lineRule="auto"/>
              <w:jc w:val="center"/>
              <w:rPr>
                <w:rFonts w:hint="eastAsia" w:ascii="宋体" w:hAnsi="宋体" w:eastAsia="宋体" w:cs="宋体"/>
                <w:color w:val="auto"/>
                <w:sz w:val="18"/>
                <w:szCs w:val="18"/>
                <w:highlight w:val="none"/>
                <w:shd w:val="clear" w:color="FFFFFF" w:fill="D9D9D9"/>
              </w:rPr>
            </w:pPr>
          </w:p>
        </w:tc>
        <w:tc>
          <w:tcPr>
            <w:tcW w:w="1320" w:type="dxa"/>
            <w:shd w:val="clear" w:color="auto" w:fill="auto"/>
            <w:noWrap w:val="0"/>
            <w:vAlign w:val="center"/>
          </w:tcPr>
          <w:p w14:paraId="472D8730">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1757" w:type="dxa"/>
            <w:shd w:val="clear" w:color="auto" w:fill="auto"/>
            <w:noWrap w:val="0"/>
            <w:vAlign w:val="center"/>
          </w:tcPr>
          <w:p w14:paraId="42312A57">
            <w:pPr>
              <w:spacing w:line="240" w:lineRule="auto"/>
              <w:jc w:val="center"/>
              <w:rPr>
                <w:rFonts w:hint="eastAsia" w:ascii="宋体" w:hAnsi="宋体" w:eastAsia="宋体" w:cs="宋体"/>
                <w:color w:val="auto"/>
                <w:sz w:val="18"/>
                <w:szCs w:val="18"/>
                <w:highlight w:val="none"/>
                <w:shd w:val="clear" w:color="FFFFFF" w:fill="D9D9D9"/>
              </w:rPr>
            </w:pPr>
          </w:p>
        </w:tc>
        <w:tc>
          <w:tcPr>
            <w:tcW w:w="1758" w:type="dxa"/>
            <w:shd w:val="clear" w:color="auto" w:fill="auto"/>
            <w:noWrap w:val="0"/>
            <w:vAlign w:val="center"/>
          </w:tcPr>
          <w:p w14:paraId="358FA178">
            <w:pPr>
              <w:spacing w:line="240" w:lineRule="auto"/>
              <w:jc w:val="center"/>
              <w:rPr>
                <w:rFonts w:hint="eastAsia" w:ascii="宋体" w:hAnsi="宋体" w:eastAsia="宋体" w:cs="宋体"/>
                <w:color w:val="auto"/>
                <w:sz w:val="18"/>
                <w:szCs w:val="18"/>
                <w:highlight w:val="none"/>
                <w:shd w:val="clear" w:color="FFFFFF" w:fill="D9D9D9"/>
              </w:rPr>
            </w:pPr>
          </w:p>
        </w:tc>
      </w:tr>
      <w:tr w14:paraId="7D40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84" w:type="dxa"/>
            <w:shd w:val="clear" w:color="auto" w:fill="auto"/>
            <w:noWrap w:val="0"/>
            <w:vAlign w:val="center"/>
          </w:tcPr>
          <w:p w14:paraId="73DA8976">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2088" w:type="dxa"/>
            <w:shd w:val="clear" w:color="auto" w:fill="auto"/>
            <w:noWrap w:val="0"/>
            <w:vAlign w:val="center"/>
          </w:tcPr>
          <w:p w14:paraId="39CBB086">
            <w:pPr>
              <w:spacing w:line="240" w:lineRule="auto"/>
              <w:jc w:val="center"/>
              <w:rPr>
                <w:rFonts w:hint="eastAsia" w:ascii="宋体" w:hAnsi="宋体" w:eastAsia="宋体" w:cs="宋体"/>
                <w:color w:val="auto"/>
                <w:sz w:val="18"/>
                <w:szCs w:val="18"/>
                <w:highlight w:val="none"/>
                <w:shd w:val="clear" w:color="FFFFFF" w:fill="D9D9D9"/>
              </w:rPr>
            </w:pPr>
          </w:p>
        </w:tc>
        <w:tc>
          <w:tcPr>
            <w:tcW w:w="924" w:type="dxa"/>
            <w:shd w:val="clear" w:color="auto" w:fill="auto"/>
            <w:noWrap w:val="0"/>
            <w:vAlign w:val="center"/>
          </w:tcPr>
          <w:p w14:paraId="1358ABA6">
            <w:pPr>
              <w:spacing w:line="240" w:lineRule="auto"/>
              <w:jc w:val="center"/>
              <w:rPr>
                <w:rFonts w:hint="eastAsia" w:ascii="宋体" w:hAnsi="宋体" w:eastAsia="宋体" w:cs="宋体"/>
                <w:color w:val="auto"/>
                <w:sz w:val="18"/>
                <w:szCs w:val="18"/>
                <w:highlight w:val="none"/>
                <w:shd w:val="clear" w:color="FFFFFF" w:fill="D9D9D9"/>
              </w:rPr>
            </w:pPr>
          </w:p>
        </w:tc>
        <w:tc>
          <w:tcPr>
            <w:tcW w:w="1320" w:type="dxa"/>
            <w:shd w:val="clear" w:color="auto" w:fill="auto"/>
            <w:noWrap w:val="0"/>
            <w:vAlign w:val="center"/>
          </w:tcPr>
          <w:p w14:paraId="12FFE5DA">
            <w:pPr>
              <w:spacing w:line="240" w:lineRule="auto"/>
              <w:jc w:val="center"/>
              <w:rPr>
                <w:rFonts w:hint="eastAsia" w:ascii="宋体" w:hAnsi="宋体" w:eastAsia="宋体" w:cs="宋体"/>
                <w:color w:val="auto"/>
                <w:sz w:val="18"/>
                <w:szCs w:val="18"/>
                <w:highlight w:val="none"/>
                <w:shd w:val="clear" w:color="FFFFFF" w:fill="D9D9D9"/>
                <w:lang w:val="en-US" w:eastAsia="zh-CN"/>
              </w:rPr>
            </w:pPr>
          </w:p>
        </w:tc>
        <w:tc>
          <w:tcPr>
            <w:tcW w:w="1757" w:type="dxa"/>
            <w:shd w:val="clear" w:color="auto" w:fill="auto"/>
            <w:noWrap w:val="0"/>
            <w:vAlign w:val="center"/>
          </w:tcPr>
          <w:p w14:paraId="6CBD98BD">
            <w:pPr>
              <w:spacing w:line="240" w:lineRule="auto"/>
              <w:jc w:val="center"/>
              <w:rPr>
                <w:rFonts w:hint="eastAsia" w:ascii="宋体" w:hAnsi="宋体" w:eastAsia="宋体" w:cs="宋体"/>
                <w:color w:val="auto"/>
                <w:sz w:val="18"/>
                <w:szCs w:val="18"/>
                <w:highlight w:val="none"/>
                <w:shd w:val="clear" w:color="FFFFFF" w:fill="D9D9D9"/>
              </w:rPr>
            </w:pPr>
          </w:p>
        </w:tc>
        <w:tc>
          <w:tcPr>
            <w:tcW w:w="1758" w:type="dxa"/>
            <w:shd w:val="clear" w:color="auto" w:fill="auto"/>
            <w:noWrap w:val="0"/>
            <w:vAlign w:val="center"/>
          </w:tcPr>
          <w:p w14:paraId="12B23F04">
            <w:pPr>
              <w:spacing w:line="240" w:lineRule="auto"/>
              <w:jc w:val="center"/>
              <w:rPr>
                <w:rFonts w:hint="eastAsia" w:ascii="宋体" w:hAnsi="宋体" w:eastAsia="宋体" w:cs="宋体"/>
                <w:color w:val="auto"/>
                <w:sz w:val="18"/>
                <w:szCs w:val="18"/>
                <w:highlight w:val="none"/>
                <w:shd w:val="clear" w:color="FFFFFF" w:fill="D9D9D9"/>
              </w:rPr>
            </w:pPr>
          </w:p>
        </w:tc>
      </w:tr>
      <w:tr w14:paraId="047F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31" w:type="dxa"/>
            <w:gridSpan w:val="6"/>
            <w:shd w:val="clear" w:color="auto" w:fill="auto"/>
            <w:noWrap w:val="0"/>
            <w:vAlign w:val="top"/>
          </w:tcPr>
          <w:p w14:paraId="179E413C">
            <w:pPr>
              <w:spacing w:line="240" w:lineRule="auto"/>
              <w:ind w:firstLine="360" w:firstLineChars="200"/>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注：</w:t>
            </w:r>
          </w:p>
          <w:p w14:paraId="0928AC00">
            <w:pPr>
              <w:spacing w:line="240" w:lineRule="auto"/>
              <w:ind w:firstLine="360" w:firstLineChars="200"/>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1、设备在质保期内，如出现任何质量缺陷问题，乙方须无条件更换。</w:t>
            </w:r>
          </w:p>
          <w:p w14:paraId="3E9C88FB">
            <w:pPr>
              <w:spacing w:line="240" w:lineRule="auto"/>
              <w:ind w:firstLine="360" w:firstLineChars="200"/>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2、以上设备单价在合同实施期间不因市场变化和政策因素而变动，结算时根据实际供货量和中标单价进行计算。</w:t>
            </w:r>
          </w:p>
          <w:p w14:paraId="1BBA0448">
            <w:pPr>
              <w:spacing w:line="240" w:lineRule="auto"/>
              <w:ind w:firstLine="360" w:firstLineChars="200"/>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3、其他项目按实际发生量及中标单价结算。</w:t>
            </w:r>
          </w:p>
          <w:p w14:paraId="6D0EF961">
            <w:pPr>
              <w:spacing w:line="240" w:lineRule="auto"/>
              <w:ind w:firstLine="360" w:firstLineChars="200"/>
              <w:rPr>
                <w:rFonts w:hint="default"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4、没有明确工程量的项目（包括不仅限于UPS辅料、网络线、施工辅材、支架、屏体内部线材、综合布线等等），为配套包干使用，满足本交钥匙项目需要。</w:t>
            </w:r>
          </w:p>
        </w:tc>
      </w:tr>
    </w:tbl>
    <w:p w14:paraId="56DA3B06">
      <w:pPr>
        <w:spacing w:line="24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注：以上合同总价</w:t>
      </w:r>
      <w:r>
        <w:rPr>
          <w:rFonts w:hint="eastAsia" w:ascii="宋体" w:hAnsi="宋体" w:eastAsia="宋体" w:cs="宋体"/>
          <w:b w:val="0"/>
          <w:bCs/>
          <w:sz w:val="21"/>
          <w:szCs w:val="21"/>
          <w:highlight w:val="none"/>
          <w:lang w:val="en-US" w:eastAsia="zh-CN"/>
        </w:rPr>
        <w:t>包含的内容详见项目采购文件投标须知12.1条、12.2规定</w:t>
      </w:r>
      <w:r>
        <w:rPr>
          <w:rFonts w:hint="eastAsia" w:ascii="宋体" w:hAnsi="宋体" w:eastAsia="宋体" w:cs="宋体"/>
          <w:b w:val="0"/>
          <w:bCs/>
          <w:sz w:val="21"/>
          <w:szCs w:val="21"/>
          <w:highlight w:val="none"/>
        </w:rPr>
        <w:t>。</w:t>
      </w:r>
    </w:p>
    <w:p w14:paraId="1955526B">
      <w:pPr>
        <w:spacing w:line="24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2.标准和计量单位</w:t>
      </w:r>
    </w:p>
    <w:p w14:paraId="4FBA9A90">
      <w:pPr>
        <w:spacing w:line="24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（1）本合同项下交付的货物应符合技术规格所述的标准。如在采购文件中无相应说明，则以国家颁布的最新版本标准或行业（部）标准或相应的国际标准执行，没有国家或行业（部）标准的则按企业标准执行。</w:t>
      </w:r>
    </w:p>
    <w:p w14:paraId="75F57FE8">
      <w:pPr>
        <w:spacing w:line="24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 除非技术规格中另有规定，计量单位均采用中华人民共和国法定计量单位。</w:t>
      </w:r>
    </w:p>
    <w:p w14:paraId="3992AC4B">
      <w:pPr>
        <w:spacing w:line="240" w:lineRule="auto"/>
        <w:ind w:firstLine="420" w:firstLineChars="200"/>
        <w:outlineLvl w:val="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3.专利权</w:t>
      </w:r>
    </w:p>
    <w:p w14:paraId="79A21876">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乙方应保证，甲方在使用该货物或货物的任何一部分时，免受第三方提出的侵犯其专利权、商标权、著作权或其它知识产权的起诉</w:t>
      </w:r>
      <w:r>
        <w:rPr>
          <w:rFonts w:hint="eastAsia" w:ascii="宋体" w:hAnsi="宋体" w:eastAsia="宋体" w:cs="宋体"/>
          <w:bCs/>
          <w:sz w:val="21"/>
          <w:szCs w:val="21"/>
          <w:highlight w:val="none"/>
          <w:lang w:val="en-US" w:eastAsia="zh-CN"/>
        </w:rPr>
        <w:t>等权利主张</w:t>
      </w:r>
      <w:r>
        <w:rPr>
          <w:rFonts w:hint="eastAsia" w:ascii="宋体" w:hAnsi="宋体" w:eastAsia="宋体" w:cs="宋体"/>
          <w:bCs/>
          <w:sz w:val="21"/>
          <w:szCs w:val="21"/>
          <w:highlight w:val="none"/>
        </w:rPr>
        <w:t>。乙方应承担由此可能产生的一切法律责任和费用。</w:t>
      </w:r>
    </w:p>
    <w:p w14:paraId="58BCADBD">
      <w:pPr>
        <w:spacing w:line="240" w:lineRule="auto"/>
        <w:ind w:firstLine="422" w:firstLineChars="200"/>
        <w:outlineLvl w:val="1"/>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四、交货</w:t>
      </w:r>
    </w:p>
    <w:p w14:paraId="0EE3ED78">
      <w:pPr>
        <w:spacing w:line="24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1.包装要求</w:t>
      </w:r>
    </w:p>
    <w:p w14:paraId="1E17A599">
      <w:pPr>
        <w:spacing w:line="240" w:lineRule="auto"/>
        <w:ind w:firstLine="420" w:firstLineChars="200"/>
        <w:rPr>
          <w:rFonts w:hint="eastAsia" w:ascii="宋体" w:hAnsi="宋体" w:eastAsia="宋体" w:cs="宋体"/>
          <w:bCs/>
          <w:sz w:val="21"/>
          <w:szCs w:val="21"/>
          <w:highlight w:val="none"/>
        </w:rPr>
      </w:pPr>
      <w:bookmarkStart w:id="191" w:name="OLE_LINK4"/>
      <w:r>
        <w:rPr>
          <w:rFonts w:hint="eastAsia" w:ascii="宋体" w:hAnsi="宋体" w:eastAsia="宋体" w:cs="宋体"/>
          <w:bCs/>
          <w:sz w:val="21"/>
          <w:szCs w:val="21"/>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02C6EE0D">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（2）每一包装箱内必须附有装箱清单、合格证和齐全的技术资料等。</w:t>
      </w:r>
      <w:bookmarkEnd w:id="191"/>
    </w:p>
    <w:p w14:paraId="58CC33F2">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（3）乙方应在每一包装箱的四侧用不褪色的油漆以醒目的中文字样标注“收货人”“货物名称”“小心轻放”、“防潮”、“此端朝上，请勿倒置”等字样和其他国际贸易中使用的适当标志。</w:t>
      </w:r>
    </w:p>
    <w:p w14:paraId="70536F5B">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2.交货方式</w:t>
      </w:r>
    </w:p>
    <w:p w14:paraId="3E16A469">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（1）现场交货：乙方负责办理运输和保险，将货物运抵甲方指定的现场并落地就位。有关运输和保险的一切费用由乙方承担。所有货物运抵现场的日期为交货日期。</w:t>
      </w:r>
    </w:p>
    <w:p w14:paraId="27B6D527">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（2）在现场交货条件下，乙方在货物发运前</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天，将要发运货物的合同号、货物名称、规格、数量、包装箱件数、重量、包装箱尺寸（长×宽×高）和货物的卸车，贮存的特殊要求以及运输工具名称以及启运日期，以传真</w:t>
      </w:r>
      <w:r>
        <w:rPr>
          <w:rFonts w:hint="eastAsia" w:ascii="宋体" w:hAnsi="宋体" w:eastAsia="宋体" w:cs="宋体"/>
          <w:bCs/>
          <w:color w:val="auto"/>
          <w:sz w:val="21"/>
          <w:szCs w:val="21"/>
          <w:highlight w:val="none"/>
          <w:lang w:val="en-US" w:eastAsia="zh-CN"/>
        </w:rPr>
        <w:t>或电子邮件</w:t>
      </w:r>
      <w:r>
        <w:rPr>
          <w:rFonts w:hint="eastAsia" w:ascii="宋体" w:hAnsi="宋体" w:eastAsia="宋体" w:cs="宋体"/>
          <w:bCs/>
          <w:color w:val="auto"/>
          <w:sz w:val="21"/>
          <w:szCs w:val="21"/>
          <w:highlight w:val="none"/>
        </w:rPr>
        <w:t>形式通知甲方。</w:t>
      </w:r>
    </w:p>
    <w:p w14:paraId="0DEA26A2">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（3）如因乙方延误将上述内容用传真形式通知甲方，由此引起的一切损失应由乙方承担。</w:t>
      </w:r>
    </w:p>
    <w:p w14:paraId="00B6BF48">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3.工期：</w:t>
      </w:r>
      <w:r>
        <w:rPr>
          <w:rFonts w:hint="eastAsia" w:ascii="宋体" w:hAnsi="宋体" w:eastAsia="宋体" w:cs="宋体"/>
          <w:bCs/>
          <w:color w:val="auto"/>
          <w:sz w:val="21"/>
          <w:szCs w:val="21"/>
          <w:highlight w:val="none"/>
          <w:lang w:val="en-US" w:eastAsia="zh-CN"/>
        </w:rPr>
        <w:t>合同签订生效</w:t>
      </w:r>
      <w:r>
        <w:rPr>
          <w:rFonts w:hint="eastAsia" w:ascii="宋体" w:hAnsi="宋体" w:eastAsia="宋体" w:cs="宋体"/>
          <w:bCs/>
          <w:color w:val="auto"/>
          <w:sz w:val="21"/>
          <w:szCs w:val="21"/>
          <w:highlight w:val="none"/>
        </w:rPr>
        <w:t>之日起</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日历天内完成项目产品供货、安装调试、系统集成，并进入为期三个月试运行阶段，</w:t>
      </w:r>
      <w:r>
        <w:rPr>
          <w:rFonts w:hint="eastAsia" w:ascii="宋体" w:hAnsi="宋体" w:eastAsia="宋体" w:cs="宋体"/>
          <w:bCs/>
          <w:color w:val="auto"/>
          <w:sz w:val="21"/>
          <w:szCs w:val="21"/>
          <w:highlight w:val="none"/>
          <w:lang w:val="en-US" w:eastAsia="zh-CN"/>
        </w:rPr>
        <w:t>要求</w:t>
      </w:r>
      <w:r>
        <w:rPr>
          <w:rFonts w:hint="eastAsia" w:ascii="宋体" w:hAnsi="宋体" w:eastAsia="宋体" w:cs="宋体"/>
          <w:b w:val="0"/>
          <w:bCs/>
          <w:color w:val="auto"/>
          <w:sz w:val="21"/>
          <w:szCs w:val="21"/>
          <w:highlight w:val="none"/>
          <w:lang w:val="en-US" w:eastAsia="zh-CN"/>
        </w:rPr>
        <w:t>设备接入温州市现代集团监控平台，</w:t>
      </w:r>
      <w:r>
        <w:rPr>
          <w:rFonts w:hint="eastAsia" w:ascii="宋体" w:hAnsi="宋体" w:eastAsia="宋体" w:cs="宋体"/>
          <w:bCs/>
          <w:color w:val="auto"/>
          <w:sz w:val="21"/>
          <w:szCs w:val="21"/>
          <w:highlight w:val="none"/>
        </w:rPr>
        <w:t>正式交付采购人正常使用。</w:t>
      </w:r>
    </w:p>
    <w:p w14:paraId="42FACBD3">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4.供货方式：现场交货，乙方负责办理运输，将货物运抵甲方指定的现场并</w:t>
      </w:r>
      <w:r>
        <w:rPr>
          <w:rFonts w:hint="eastAsia" w:ascii="宋体" w:hAnsi="宋体" w:eastAsia="宋体" w:cs="宋体"/>
          <w:bCs/>
          <w:color w:val="auto"/>
          <w:sz w:val="21"/>
          <w:szCs w:val="21"/>
          <w:highlight w:val="none"/>
          <w:lang w:val="en-US" w:eastAsia="zh-CN"/>
        </w:rPr>
        <w:t>卸货</w:t>
      </w:r>
      <w:r>
        <w:rPr>
          <w:rFonts w:hint="eastAsia" w:ascii="宋体" w:hAnsi="宋体" w:eastAsia="宋体" w:cs="宋体"/>
          <w:bCs/>
          <w:color w:val="auto"/>
          <w:sz w:val="21"/>
          <w:szCs w:val="21"/>
          <w:highlight w:val="none"/>
        </w:rPr>
        <w:t>就位。有关运输的一切费用由乙方承担。</w:t>
      </w:r>
    </w:p>
    <w:p w14:paraId="6D5A7CA9">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5.供货地点：甲方指定地点。</w:t>
      </w:r>
    </w:p>
    <w:p w14:paraId="79F29156">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6.技术文件和资料</w:t>
      </w:r>
    </w:p>
    <w:p w14:paraId="162B564B">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（1）提供技术文件和资料的种类和数量在本采购文件《采购内容及要求》中规定，甲乙双方可根据采购要求和需要订立具体的技术文件和资料交付时间和数量。</w:t>
      </w:r>
    </w:p>
    <w:p w14:paraId="3576BABA">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（2）如果甲方确认乙方提供的技术文件和资料不完整，或在运输途中丢失，乙方应在收到甲方通知后3天内将这些文件、资料补齐。</w:t>
      </w:r>
    </w:p>
    <w:p w14:paraId="55BBFCF9">
      <w:pPr>
        <w:spacing w:line="240" w:lineRule="auto"/>
        <w:ind w:firstLine="422" w:firstLineChars="200"/>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五、质量要求</w:t>
      </w:r>
    </w:p>
    <w:p w14:paraId="59EB1726">
      <w:pPr>
        <w:spacing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1、质量保证</w:t>
      </w:r>
    </w:p>
    <w:p w14:paraId="69857E8E">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乙方所提供的货物应保证是企业原厂生产的货物</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而不是其他地方生产的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、全新的、未使用过的，是用一流的工艺和最佳材料制造而成的，并完全符合合同规定的质量、规格和性能要求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符合国家技术规范和质量标准的合格产品</w:t>
      </w:r>
      <w:r>
        <w:rPr>
          <w:rFonts w:hint="eastAsia" w:ascii="宋体" w:hAnsi="宋体" w:eastAsia="宋体" w:cs="宋体"/>
          <w:bCs/>
          <w:color w:val="auto"/>
          <w:sz w:val="21"/>
          <w:szCs w:val="21"/>
          <w:highlight w:val="none"/>
          <w:lang w:eastAsia="zh-CN"/>
        </w:rPr>
        <w:t>，满足</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的使用需求，并具有可靠的售后服务体系，质量可靠、使用安全。</w:t>
      </w:r>
      <w:r>
        <w:rPr>
          <w:rFonts w:hint="eastAsia" w:ascii="宋体" w:hAnsi="宋体" w:eastAsia="宋体" w:cs="宋体"/>
          <w:bCs/>
          <w:color w:val="auto"/>
          <w:sz w:val="21"/>
          <w:szCs w:val="21"/>
          <w:highlight w:val="none"/>
        </w:rPr>
        <w:t>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6AA3E8B4">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乙方保证其提供的货物中所有预装和为本项目安装的软件均为具有合法版权或使用权的正版软件且无质量瑕疵；在质保期内，如遇软件产品升级、改版，</w:t>
      </w:r>
      <w:r>
        <w:rPr>
          <w:rFonts w:hint="eastAsia" w:ascii="宋体" w:hAnsi="宋体" w:eastAsia="宋体" w:cs="宋体"/>
          <w:bCs/>
          <w:color w:val="auto"/>
          <w:sz w:val="21"/>
          <w:szCs w:val="21"/>
          <w:highlight w:val="none"/>
          <w:lang w:val="en-US" w:eastAsia="zh-CN"/>
        </w:rPr>
        <w:t>乙方承诺</w:t>
      </w:r>
      <w:r>
        <w:rPr>
          <w:rFonts w:hint="eastAsia" w:ascii="宋体" w:hAnsi="宋体" w:eastAsia="宋体" w:cs="宋体"/>
          <w:bCs/>
          <w:color w:val="auto"/>
          <w:sz w:val="21"/>
          <w:szCs w:val="21"/>
          <w:highlight w:val="none"/>
        </w:rPr>
        <w:t>免费提供更新、升级服务。</w:t>
      </w:r>
    </w:p>
    <w:p w14:paraId="58C405A3">
      <w:pPr>
        <w:spacing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
          <w:color w:val="auto"/>
          <w:sz w:val="21"/>
          <w:szCs w:val="21"/>
          <w:highlight w:val="none"/>
          <w:u w:val="single"/>
          <w:lang w:val="en-US" w:eastAsia="zh-CN"/>
        </w:rPr>
        <w:t>▲乙方承诺项目中涉及的LED设备符合公安部门对LED设备的安全标准，并且硬盘录像机需接入现代集团监控平台，如出现不兼容情况，乙方无条件更换不低于原技术指标的设备为兼容设备。</w:t>
      </w:r>
    </w:p>
    <w:p w14:paraId="136CD6D6">
      <w:pPr>
        <w:spacing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2、质量保证期为自货物通过最终验收，向甲方移交之日起</w:t>
      </w:r>
      <w:r>
        <w:rPr>
          <w:rFonts w:hint="eastAsia" w:ascii="宋体" w:hAnsi="宋体" w:eastAsia="宋体" w:cs="宋体"/>
          <w:bCs/>
          <w:color w:val="auto"/>
          <w:sz w:val="21"/>
          <w:szCs w:val="21"/>
          <w:highlight w:val="none"/>
          <w:u w:val="single"/>
          <w:lang w:val="en-US" w:eastAsia="zh-CN"/>
        </w:rPr>
        <w:t xml:space="preserve"> 1 </w:t>
      </w:r>
      <w:r>
        <w:rPr>
          <w:rFonts w:hint="eastAsia" w:ascii="宋体" w:hAnsi="宋体" w:eastAsia="宋体" w:cs="宋体"/>
          <w:bCs/>
          <w:color w:val="auto"/>
          <w:sz w:val="21"/>
          <w:szCs w:val="21"/>
          <w:highlight w:val="none"/>
          <w:lang w:val="en-US" w:eastAsia="zh-CN"/>
        </w:rPr>
        <w:t>年（设备另有超过质保期规定或采购文件另有规定的按就高原则执行）。</w:t>
      </w:r>
    </w:p>
    <w:p w14:paraId="5EE10BC4">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w:t>
      </w:r>
      <w:bookmarkStart w:id="245" w:name="_GoBack"/>
      <w:bookmarkEnd w:id="245"/>
      <w:r>
        <w:rPr>
          <w:rFonts w:hint="eastAsia" w:ascii="宋体" w:hAnsi="宋体" w:eastAsia="宋体" w:cs="宋体"/>
          <w:bCs/>
          <w:color w:val="auto"/>
          <w:sz w:val="21"/>
          <w:szCs w:val="21"/>
          <w:highlight w:val="none"/>
        </w:rPr>
        <w:t>材料免费更换有缺陷的或不符合要求的零件、部件或材料，同时相应延长质量保证期。</w:t>
      </w:r>
    </w:p>
    <w:p w14:paraId="5AE54F09">
      <w:pPr>
        <w:spacing w:line="240" w:lineRule="auto"/>
        <w:ind w:firstLine="422" w:firstLineChars="200"/>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六、验收</w:t>
      </w:r>
    </w:p>
    <w:p w14:paraId="5A8CA3C4">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1.本项目所有内容完成后，由甲方组织验收工作，验收标准按</w:t>
      </w:r>
      <w:r>
        <w:rPr>
          <w:rFonts w:hint="eastAsia" w:ascii="宋体" w:hAnsi="宋体" w:eastAsia="宋体" w:cs="宋体"/>
          <w:bCs/>
          <w:color w:val="auto"/>
          <w:sz w:val="21"/>
          <w:szCs w:val="21"/>
          <w:highlight w:val="none"/>
          <w:lang w:val="en-US" w:eastAsia="zh-CN"/>
        </w:rPr>
        <w:t>最新国家标准、规范及</w:t>
      </w:r>
      <w:r>
        <w:rPr>
          <w:rFonts w:hint="eastAsia" w:ascii="宋体" w:hAnsi="宋体" w:eastAsia="宋体" w:cs="宋体"/>
          <w:bCs/>
          <w:color w:val="auto"/>
          <w:sz w:val="21"/>
          <w:szCs w:val="21"/>
          <w:highlight w:val="none"/>
        </w:rPr>
        <w:t>乙方投标文件、乙方承诺、合同条款以及合同补充条款（如有）中的相关要求执行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如有差异的按最高要求执行</w:t>
      </w:r>
      <w:r>
        <w:rPr>
          <w:rFonts w:hint="eastAsia" w:ascii="宋体" w:hAnsi="宋体" w:eastAsia="宋体" w:cs="宋体"/>
          <w:bCs/>
          <w:color w:val="auto"/>
          <w:sz w:val="21"/>
          <w:szCs w:val="21"/>
          <w:highlight w:val="none"/>
        </w:rPr>
        <w:t>，甲方可委托第三方检测机构进行产品检验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验收产生的全部费用均由乙方承担</w:t>
      </w:r>
      <w:r>
        <w:rPr>
          <w:rFonts w:hint="eastAsia" w:ascii="宋体" w:hAnsi="宋体" w:eastAsia="宋体" w:cs="宋体"/>
          <w:bCs/>
          <w:color w:val="auto"/>
          <w:sz w:val="21"/>
          <w:szCs w:val="21"/>
          <w:highlight w:val="none"/>
        </w:rPr>
        <w:t>。</w:t>
      </w:r>
    </w:p>
    <w:p w14:paraId="47F6566E">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rPr>
        <w:t>2.验收时如发现所交付</w:t>
      </w:r>
      <w:r>
        <w:rPr>
          <w:rFonts w:hint="eastAsia" w:ascii="宋体" w:hAnsi="宋体" w:eastAsia="宋体" w:cs="宋体"/>
          <w:bCs/>
          <w:sz w:val="21"/>
          <w:szCs w:val="21"/>
          <w:highlight w:val="none"/>
        </w:rPr>
        <w:t>的货物不符合要求，乙方须立即进行整改，整改完成后再组织验收。</w:t>
      </w:r>
    </w:p>
    <w:p w14:paraId="7A66FBD0">
      <w:pPr>
        <w:spacing w:line="240" w:lineRule="auto"/>
        <w:ind w:firstLine="422" w:firstLineChars="200"/>
        <w:outlineLvl w:val="1"/>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七、售后服务</w:t>
      </w:r>
    </w:p>
    <w:p w14:paraId="141F8C0B">
      <w:pPr>
        <w:spacing w:line="240" w:lineRule="auto"/>
        <w:ind w:firstLine="420" w:firstLineChars="200"/>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z w:val="21"/>
          <w:szCs w:val="21"/>
          <w:highlight w:val="none"/>
        </w:rPr>
        <w:t>1.</w:t>
      </w:r>
      <w:r>
        <w:rPr>
          <w:rFonts w:hint="eastAsia" w:ascii="宋体" w:hAnsi="宋体" w:eastAsia="宋体" w:cs="宋体"/>
          <w:b w:val="0"/>
          <w:sz w:val="22"/>
          <w:highlight w:val="none"/>
        </w:rPr>
        <w:t>质量保证期为自货物通过最终验收，向</w:t>
      </w:r>
      <w:r>
        <w:rPr>
          <w:rFonts w:hint="eastAsia" w:ascii="宋体" w:hAnsi="宋体" w:eastAsia="宋体" w:cs="宋体"/>
          <w:b w:val="0"/>
          <w:sz w:val="22"/>
          <w:highlight w:val="none"/>
          <w:lang w:val="en-US" w:eastAsia="zh-CN"/>
        </w:rPr>
        <w:t>甲方</w:t>
      </w:r>
      <w:r>
        <w:rPr>
          <w:rFonts w:hint="eastAsia" w:ascii="宋体" w:hAnsi="宋体" w:eastAsia="宋体" w:cs="宋体"/>
          <w:b w:val="0"/>
          <w:sz w:val="22"/>
          <w:highlight w:val="none"/>
        </w:rPr>
        <w:t>移交之日起</w:t>
      </w:r>
      <w:r>
        <w:rPr>
          <w:rFonts w:hint="eastAsia" w:ascii="宋体" w:hAnsi="宋体" w:eastAsia="宋体" w:cs="宋体"/>
          <w:b w:val="0"/>
          <w:sz w:val="22"/>
          <w:highlight w:val="none"/>
          <w:u w:val="single"/>
        </w:rPr>
        <w:t xml:space="preserve"> </w:t>
      </w:r>
      <w:r>
        <w:rPr>
          <w:rFonts w:hint="eastAsia" w:ascii="宋体" w:hAnsi="宋体" w:eastAsia="宋体" w:cs="宋体"/>
          <w:b w:val="0"/>
          <w:sz w:val="22"/>
          <w:highlight w:val="none"/>
          <w:u w:val="single"/>
          <w:lang w:val="en-US" w:eastAsia="zh-CN"/>
        </w:rPr>
        <w:t>1</w:t>
      </w:r>
      <w:r>
        <w:rPr>
          <w:rFonts w:hint="eastAsia" w:ascii="宋体" w:hAnsi="宋体" w:eastAsia="宋体" w:cs="宋体"/>
          <w:b w:val="0"/>
          <w:sz w:val="22"/>
          <w:highlight w:val="none"/>
          <w:u w:val="single"/>
        </w:rPr>
        <w:t xml:space="preserve"> </w:t>
      </w:r>
      <w:r>
        <w:rPr>
          <w:rFonts w:hint="eastAsia" w:ascii="宋体" w:hAnsi="宋体" w:eastAsia="宋体" w:cs="宋体"/>
          <w:b w:val="0"/>
          <w:sz w:val="22"/>
          <w:highlight w:val="none"/>
        </w:rPr>
        <w:t>年（设备另有超过质保期规定或</w:t>
      </w:r>
      <w:r>
        <w:rPr>
          <w:rFonts w:hint="eastAsia" w:ascii="宋体" w:hAnsi="宋体" w:eastAsia="宋体" w:cs="宋体"/>
          <w:b w:val="0"/>
          <w:sz w:val="22"/>
          <w:highlight w:val="none"/>
          <w:lang w:eastAsia="zh-CN"/>
        </w:rPr>
        <w:t>采购</w:t>
      </w:r>
      <w:r>
        <w:rPr>
          <w:rFonts w:hint="eastAsia" w:ascii="宋体" w:hAnsi="宋体" w:eastAsia="宋体" w:cs="宋体"/>
          <w:b w:val="0"/>
          <w:sz w:val="22"/>
          <w:highlight w:val="none"/>
        </w:rPr>
        <w:t>文件另有规定的按就高原则执行），在保修期内所产生的相关费用由</w:t>
      </w:r>
      <w:r>
        <w:rPr>
          <w:rFonts w:hint="eastAsia" w:ascii="宋体" w:hAnsi="宋体" w:eastAsia="宋体" w:cs="宋体"/>
          <w:b w:val="0"/>
          <w:sz w:val="22"/>
          <w:highlight w:val="none"/>
          <w:lang w:val="en-US" w:eastAsia="zh-CN"/>
        </w:rPr>
        <w:t>乙方</w:t>
      </w:r>
      <w:r>
        <w:rPr>
          <w:rFonts w:hint="eastAsia" w:ascii="宋体" w:hAnsi="宋体" w:eastAsia="宋体" w:cs="宋体"/>
          <w:b w:val="0"/>
          <w:sz w:val="22"/>
          <w:highlight w:val="none"/>
        </w:rPr>
        <w:t>承担，合同内的所有产品要求</w:t>
      </w:r>
      <w:r>
        <w:rPr>
          <w:rFonts w:hint="eastAsia" w:ascii="宋体" w:hAnsi="宋体" w:eastAsia="宋体" w:cs="宋体"/>
          <w:b w:val="0"/>
          <w:sz w:val="22"/>
          <w:highlight w:val="none"/>
          <w:lang w:val="en-US" w:eastAsia="zh-CN"/>
        </w:rPr>
        <w:t>乙方</w:t>
      </w:r>
      <w:r>
        <w:rPr>
          <w:rFonts w:hint="eastAsia" w:ascii="宋体" w:hAnsi="宋体" w:eastAsia="宋体" w:cs="宋体"/>
          <w:b w:val="0"/>
          <w:sz w:val="22"/>
          <w:highlight w:val="none"/>
        </w:rPr>
        <w:t>提供上门服务</w:t>
      </w:r>
      <w:r>
        <w:rPr>
          <w:rFonts w:hint="eastAsia" w:ascii="宋体" w:hAnsi="宋体" w:eastAsia="宋体" w:cs="宋体"/>
          <w:b w:val="0"/>
          <w:sz w:val="22"/>
          <w:szCs w:val="22"/>
          <w:highlight w:val="none"/>
        </w:rPr>
        <w:t>。在</w:t>
      </w:r>
      <w:r>
        <w:rPr>
          <w:rFonts w:hint="eastAsia" w:ascii="宋体" w:hAnsi="宋体" w:eastAsia="宋体" w:cs="宋体"/>
          <w:b w:val="0"/>
          <w:sz w:val="22"/>
          <w:szCs w:val="22"/>
          <w:highlight w:val="none"/>
          <w:lang w:val="en-US" w:eastAsia="zh-CN"/>
        </w:rPr>
        <w:t>提供</w:t>
      </w:r>
      <w:r>
        <w:rPr>
          <w:rFonts w:hint="eastAsia" w:ascii="宋体" w:hAnsi="宋体" w:eastAsia="宋体" w:cs="宋体"/>
          <w:b w:val="0"/>
          <w:sz w:val="22"/>
          <w:szCs w:val="22"/>
          <w:highlight w:val="none"/>
        </w:rPr>
        <w:t>货物的质保期内，</w:t>
      </w:r>
      <w:r>
        <w:rPr>
          <w:rFonts w:hint="eastAsia" w:ascii="宋体" w:hAnsi="宋体" w:eastAsia="宋体" w:cs="宋体"/>
          <w:b w:val="0"/>
          <w:sz w:val="22"/>
          <w:szCs w:val="22"/>
          <w:highlight w:val="none"/>
          <w:lang w:val="en-US" w:eastAsia="zh-CN"/>
        </w:rPr>
        <w:t>乙方</w:t>
      </w:r>
      <w:r>
        <w:rPr>
          <w:rFonts w:hint="eastAsia" w:ascii="宋体" w:hAnsi="宋体" w:eastAsia="宋体" w:cs="宋体"/>
          <w:b w:val="0"/>
          <w:sz w:val="22"/>
          <w:szCs w:val="22"/>
          <w:highlight w:val="none"/>
        </w:rPr>
        <w:t>应提供不低于7*24小时的技术支持服务，负责解答</w:t>
      </w:r>
      <w:r>
        <w:rPr>
          <w:rFonts w:hint="eastAsia" w:ascii="宋体" w:hAnsi="宋体" w:eastAsia="宋体" w:cs="宋体"/>
          <w:b w:val="0"/>
          <w:sz w:val="22"/>
          <w:szCs w:val="22"/>
          <w:highlight w:val="none"/>
          <w:lang w:val="en-US" w:eastAsia="zh-CN"/>
        </w:rPr>
        <w:t>甲方</w:t>
      </w:r>
      <w:r>
        <w:rPr>
          <w:rFonts w:hint="eastAsia" w:ascii="宋体" w:hAnsi="宋体" w:eastAsia="宋体" w:cs="宋体"/>
          <w:b w:val="0"/>
          <w:sz w:val="22"/>
          <w:szCs w:val="22"/>
          <w:highlight w:val="none"/>
        </w:rPr>
        <w:t>在设备使用中遇到的问题；提供免费上门服务，针对</w:t>
      </w:r>
      <w:r>
        <w:rPr>
          <w:rFonts w:hint="eastAsia" w:ascii="宋体" w:hAnsi="宋体" w:eastAsia="宋体" w:cs="宋体"/>
          <w:b w:val="0"/>
          <w:sz w:val="22"/>
          <w:szCs w:val="22"/>
          <w:highlight w:val="none"/>
          <w:lang w:val="en-US" w:eastAsia="zh-CN"/>
        </w:rPr>
        <w:t>甲方</w:t>
      </w:r>
      <w:r>
        <w:rPr>
          <w:rFonts w:hint="eastAsia" w:ascii="宋体" w:hAnsi="宋体" w:eastAsia="宋体" w:cs="宋体"/>
          <w:b w:val="0"/>
          <w:sz w:val="22"/>
          <w:szCs w:val="22"/>
          <w:highlight w:val="none"/>
        </w:rPr>
        <w:t>的</w:t>
      </w:r>
      <w:r>
        <w:rPr>
          <w:rFonts w:hint="eastAsia" w:ascii="宋体" w:hAnsi="宋体" w:eastAsia="宋体" w:cs="宋体"/>
          <w:b w:val="0"/>
          <w:color w:val="auto"/>
          <w:sz w:val="22"/>
          <w:szCs w:val="22"/>
          <w:highlight w:val="none"/>
        </w:rPr>
        <w:t>现场质保或故障请求，</w:t>
      </w:r>
      <w:r>
        <w:rPr>
          <w:rFonts w:hint="eastAsia" w:ascii="宋体" w:hAnsi="宋体" w:eastAsia="宋体" w:cs="宋体"/>
          <w:b w:val="0"/>
          <w:color w:val="auto"/>
          <w:sz w:val="22"/>
          <w:szCs w:val="22"/>
          <w:highlight w:val="none"/>
          <w:lang w:val="en-US" w:eastAsia="zh-CN"/>
        </w:rPr>
        <w:t>乙方</w:t>
      </w:r>
      <w:r>
        <w:rPr>
          <w:rFonts w:hint="eastAsia" w:ascii="宋体" w:hAnsi="宋体" w:eastAsia="宋体" w:cs="宋体"/>
          <w:b w:val="0"/>
          <w:color w:val="auto"/>
          <w:sz w:val="22"/>
          <w:szCs w:val="22"/>
          <w:highlight w:val="none"/>
        </w:rPr>
        <w:t>必须在规定的时间内响应，并按照</w:t>
      </w:r>
      <w:r>
        <w:rPr>
          <w:rFonts w:hint="eastAsia" w:ascii="宋体" w:hAnsi="宋体" w:eastAsia="宋体" w:cs="宋体"/>
          <w:b w:val="0"/>
          <w:color w:val="auto"/>
          <w:sz w:val="22"/>
          <w:szCs w:val="22"/>
          <w:highlight w:val="none"/>
          <w:lang w:val="en-US" w:eastAsia="zh-CN"/>
        </w:rPr>
        <w:t>甲方</w:t>
      </w:r>
      <w:r>
        <w:rPr>
          <w:rFonts w:hint="eastAsia" w:ascii="宋体" w:hAnsi="宋体" w:eastAsia="宋体" w:cs="宋体"/>
          <w:b w:val="0"/>
          <w:color w:val="auto"/>
          <w:sz w:val="22"/>
          <w:szCs w:val="22"/>
          <w:highlight w:val="none"/>
        </w:rPr>
        <w:t>要求的时间内到达现场处理，如果故障不能当场修复的，必须采取提供备品、备件或备机等措施，以保证</w:t>
      </w:r>
      <w:r>
        <w:rPr>
          <w:rFonts w:hint="eastAsia" w:ascii="宋体" w:hAnsi="宋体" w:eastAsia="宋体" w:cs="宋体"/>
          <w:b w:val="0"/>
          <w:color w:val="auto"/>
          <w:sz w:val="22"/>
          <w:szCs w:val="22"/>
          <w:highlight w:val="none"/>
          <w:lang w:val="en-US" w:eastAsia="zh-CN"/>
        </w:rPr>
        <w:t>甲方</w:t>
      </w:r>
      <w:r>
        <w:rPr>
          <w:rFonts w:hint="eastAsia" w:ascii="宋体" w:hAnsi="宋体" w:eastAsia="宋体" w:cs="宋体"/>
          <w:b w:val="0"/>
          <w:color w:val="auto"/>
          <w:sz w:val="22"/>
          <w:szCs w:val="22"/>
          <w:highlight w:val="none"/>
        </w:rPr>
        <w:t>的正常使用，并负责免费维修或更换存在故障的设备或零部件，如果</w:t>
      </w:r>
      <w:r>
        <w:rPr>
          <w:rFonts w:hint="eastAsia" w:ascii="宋体" w:hAnsi="宋体" w:eastAsia="宋体" w:cs="宋体"/>
          <w:b w:val="0"/>
          <w:color w:val="auto"/>
          <w:sz w:val="22"/>
          <w:szCs w:val="22"/>
          <w:highlight w:val="none"/>
          <w:lang w:val="en-US" w:eastAsia="zh-CN"/>
        </w:rPr>
        <w:t>乙方</w:t>
      </w:r>
      <w:r>
        <w:rPr>
          <w:rFonts w:hint="eastAsia" w:ascii="宋体" w:hAnsi="宋体" w:eastAsia="宋体" w:cs="宋体"/>
          <w:b w:val="0"/>
          <w:color w:val="auto"/>
          <w:sz w:val="22"/>
          <w:szCs w:val="22"/>
          <w:highlight w:val="none"/>
        </w:rPr>
        <w:t>逾期未作出响应，</w:t>
      </w:r>
      <w:r>
        <w:rPr>
          <w:rFonts w:hint="eastAsia" w:ascii="宋体" w:hAnsi="宋体" w:eastAsia="宋体" w:cs="宋体"/>
          <w:b w:val="0"/>
          <w:color w:val="auto"/>
          <w:sz w:val="22"/>
          <w:szCs w:val="22"/>
          <w:highlight w:val="none"/>
          <w:lang w:val="en-US" w:eastAsia="zh-CN"/>
        </w:rPr>
        <w:t>乙方</w:t>
      </w:r>
      <w:r>
        <w:rPr>
          <w:rFonts w:hint="eastAsia" w:ascii="宋体" w:hAnsi="宋体" w:eastAsia="宋体" w:cs="宋体"/>
          <w:b w:val="0"/>
          <w:color w:val="auto"/>
          <w:sz w:val="22"/>
          <w:szCs w:val="22"/>
          <w:highlight w:val="none"/>
        </w:rPr>
        <w:t>应承担因故障所造成的全部损失。</w:t>
      </w:r>
    </w:p>
    <w:p w14:paraId="169F5BB7">
      <w:pPr>
        <w:spacing w:line="240" w:lineRule="auto"/>
        <w:ind w:firstLine="420" w:firstLineChars="200"/>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质保期和合同内运维服务期限：1年。</w:t>
      </w:r>
    </w:p>
    <w:p w14:paraId="7E916D90">
      <w:pPr>
        <w:spacing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2、</w:t>
      </w:r>
      <w:r>
        <w:rPr>
          <w:rFonts w:hint="eastAsia" w:ascii="宋体" w:hAnsi="宋体" w:eastAsia="宋体" w:cs="宋体"/>
          <w:color w:val="auto"/>
          <w:sz w:val="21"/>
          <w:szCs w:val="21"/>
          <w:highlight w:val="none"/>
        </w:rPr>
        <w:t>在质保期内，</w:t>
      </w:r>
      <w:r>
        <w:rPr>
          <w:rFonts w:hint="eastAsia" w:ascii="宋体" w:hAnsi="宋体" w:eastAsia="宋体" w:cs="宋体"/>
          <w:bCs/>
          <w:strike w:val="0"/>
          <w:dstrike w:val="0"/>
          <w:color w:val="auto"/>
          <w:sz w:val="21"/>
          <w:szCs w:val="21"/>
          <w:highlight w:val="none"/>
          <w:lang w:val="en-US" w:eastAsia="zh-CN"/>
        </w:rPr>
        <w:t>提供7×24小时售后服务，</w:t>
      </w:r>
      <w:r>
        <w:rPr>
          <w:rFonts w:hint="eastAsia" w:ascii="宋体" w:hAnsi="宋体" w:eastAsia="宋体" w:cs="宋体"/>
          <w:color w:val="auto"/>
          <w:sz w:val="21"/>
          <w:szCs w:val="21"/>
          <w:highlight w:val="none"/>
        </w:rPr>
        <w:t>系统或设备发生故障时，接到电话后即时响应，免费提供咨询、维修服务，确认需要派人到现场时，</w:t>
      </w:r>
      <w:r>
        <w:rPr>
          <w:rFonts w:hint="eastAsia" w:ascii="宋体" w:hAnsi="宋体" w:eastAsia="宋体" w:cs="宋体"/>
          <w:color w:val="auto"/>
          <w:sz w:val="21"/>
          <w:szCs w:val="21"/>
          <w:highlight w:val="none"/>
          <w:lang w:val="en-US" w:eastAsia="zh-CN"/>
        </w:rPr>
        <w:t>3小时内</w:t>
      </w:r>
      <w:r>
        <w:rPr>
          <w:rFonts w:hint="eastAsia" w:ascii="宋体" w:hAnsi="宋体" w:eastAsia="宋体" w:cs="宋体"/>
          <w:color w:val="auto"/>
          <w:sz w:val="21"/>
          <w:szCs w:val="21"/>
          <w:highlight w:val="none"/>
        </w:rPr>
        <w:t>到达现场，且一般故障排除时间不超过48个小时，如超过48小时无法解决问题，投标供应商</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及时提供替代设备，保证系统正常运行。</w:t>
      </w:r>
    </w:p>
    <w:p w14:paraId="5A766115">
      <w:pPr>
        <w:spacing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3、维保服务要求</w:t>
      </w:r>
    </w:p>
    <w:p w14:paraId="41D09DE1">
      <w:pPr>
        <w:spacing w:line="24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w:t>
      </w:r>
      <w:r>
        <w:rPr>
          <w:rFonts w:hint="eastAsia" w:ascii="宋体" w:hAnsi="宋体" w:eastAsia="宋体" w:cs="宋体"/>
          <w:bCs/>
          <w:color w:val="auto"/>
          <w:sz w:val="21"/>
          <w:szCs w:val="21"/>
          <w:highlight w:val="none"/>
        </w:rPr>
        <w:t>人员条件要求和服务</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时间要求</w:t>
      </w:r>
    </w:p>
    <w:p w14:paraId="1621CEBE">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）乙方须</w:t>
      </w:r>
      <w:r>
        <w:rPr>
          <w:rFonts w:hint="eastAsia" w:ascii="宋体" w:hAnsi="宋体" w:eastAsia="宋体" w:cs="宋体"/>
          <w:bCs/>
          <w:color w:val="auto"/>
          <w:sz w:val="21"/>
          <w:szCs w:val="21"/>
          <w:highlight w:val="none"/>
        </w:rPr>
        <w:t>组建一支</w:t>
      </w:r>
      <w:r>
        <w:rPr>
          <w:rFonts w:hint="eastAsia" w:ascii="宋体" w:hAnsi="宋体" w:eastAsia="宋体" w:cs="宋体"/>
          <w:bCs/>
          <w:color w:val="auto"/>
          <w:sz w:val="21"/>
          <w:szCs w:val="21"/>
          <w:highlight w:val="none"/>
          <w:lang w:eastAsia="zh-CN"/>
        </w:rPr>
        <w:t>有设备安装、维护经验</w:t>
      </w:r>
      <w:r>
        <w:rPr>
          <w:rFonts w:hint="eastAsia" w:ascii="宋体" w:hAnsi="宋体" w:eastAsia="宋体" w:cs="宋体"/>
          <w:bCs/>
          <w:color w:val="auto"/>
          <w:sz w:val="21"/>
          <w:szCs w:val="21"/>
          <w:highlight w:val="none"/>
        </w:rPr>
        <w:t>人员组成的队伍</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人员</w:t>
      </w:r>
      <w:r>
        <w:rPr>
          <w:rFonts w:hint="eastAsia" w:ascii="宋体" w:hAnsi="宋体" w:eastAsia="宋体" w:cs="宋体"/>
          <w:bCs/>
          <w:color w:val="auto"/>
          <w:sz w:val="21"/>
          <w:szCs w:val="21"/>
          <w:highlight w:val="none"/>
          <w:lang w:eastAsia="zh-CN"/>
        </w:rPr>
        <w:t>构成和</w:t>
      </w:r>
      <w:r>
        <w:rPr>
          <w:rFonts w:hint="eastAsia" w:ascii="宋体" w:hAnsi="宋体" w:eastAsia="宋体" w:cs="宋体"/>
          <w:bCs/>
          <w:color w:val="auto"/>
          <w:sz w:val="21"/>
          <w:szCs w:val="21"/>
          <w:highlight w:val="none"/>
        </w:rPr>
        <w:t>要求如下：</w:t>
      </w:r>
    </w:p>
    <w:p w14:paraId="520F7CCF">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项目经理</w:t>
      </w:r>
      <w:r>
        <w:rPr>
          <w:rFonts w:hint="eastAsia" w:ascii="宋体" w:hAnsi="宋体" w:eastAsia="宋体" w:cs="宋体"/>
          <w:bCs/>
          <w:color w:val="auto"/>
          <w:sz w:val="21"/>
          <w:szCs w:val="21"/>
          <w:highlight w:val="none"/>
          <w:lang w:val="en-US" w:eastAsia="zh-CN"/>
        </w:rPr>
        <w:t>1名</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负责本项目合同执行期间与甲方的联络沟通、服务响应和反馈、故障抢修安排和维保事项的统计和反馈</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乙方需提供项目经理的身份证、联系方式、学历证明、执业资格或</w:t>
      </w:r>
      <w:r>
        <w:rPr>
          <w:rFonts w:hint="eastAsia" w:ascii="宋体" w:hAnsi="宋体" w:eastAsia="宋体" w:cs="宋体"/>
          <w:bCs/>
          <w:sz w:val="21"/>
          <w:szCs w:val="21"/>
          <w:highlight w:val="none"/>
          <w:lang w:eastAsia="zh-CN"/>
        </w:rPr>
        <w:t>相关专业等级证书、过往负责项目或业绩证明等</w:t>
      </w:r>
      <w:r>
        <w:rPr>
          <w:rFonts w:hint="eastAsia" w:ascii="宋体" w:hAnsi="宋体" w:eastAsia="宋体" w:cs="宋体"/>
          <w:bCs/>
          <w:sz w:val="21"/>
          <w:szCs w:val="21"/>
          <w:highlight w:val="none"/>
          <w:lang w:val="en-US" w:eastAsia="zh-CN"/>
        </w:rPr>
        <w:t>给甲方核实</w:t>
      </w:r>
      <w:r>
        <w:rPr>
          <w:rFonts w:hint="eastAsia" w:ascii="宋体" w:hAnsi="宋体" w:eastAsia="宋体" w:cs="宋体"/>
          <w:bCs/>
          <w:sz w:val="21"/>
          <w:szCs w:val="21"/>
          <w:highlight w:val="none"/>
          <w:lang w:eastAsia="zh-CN"/>
        </w:rPr>
        <w:t>。</w:t>
      </w:r>
    </w:p>
    <w:p w14:paraId="4D81B372">
      <w:pPr>
        <w:spacing w:line="240" w:lineRule="auto"/>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维保实施队伍技术服务人员</w:t>
      </w:r>
      <w:r>
        <w:rPr>
          <w:rFonts w:hint="eastAsia" w:ascii="宋体" w:hAnsi="宋体" w:eastAsia="宋体" w:cs="宋体"/>
          <w:bCs/>
          <w:sz w:val="21"/>
          <w:szCs w:val="21"/>
          <w:highlight w:val="none"/>
          <w:lang w:val="en-US" w:eastAsia="zh-CN"/>
        </w:rPr>
        <w:t>2名</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负责本项目的日常维保工作，包括设备维修、备件替换等</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乙方须保证队伍人员至少</w:t>
      </w:r>
      <w:r>
        <w:rPr>
          <w:rFonts w:hint="eastAsia" w:ascii="宋体" w:hAnsi="宋体" w:eastAsia="宋体" w:cs="宋体"/>
          <w:bCs/>
          <w:sz w:val="21"/>
          <w:szCs w:val="21"/>
          <w:highlight w:val="none"/>
          <w:lang w:val="en-US" w:eastAsia="zh-CN"/>
        </w:rPr>
        <w:t>2人以上长期在温州市区范围内待命，如有人员变动或其他情况进行其他人员调整的，由项目经理实时向甲方进行报备。</w:t>
      </w:r>
      <w:r>
        <w:rPr>
          <w:rFonts w:hint="eastAsia" w:ascii="宋体" w:hAnsi="宋体" w:eastAsia="宋体" w:cs="宋体"/>
          <w:bCs/>
          <w:sz w:val="21"/>
          <w:szCs w:val="21"/>
          <w:highlight w:val="none"/>
          <w:lang w:eastAsia="zh-CN"/>
        </w:rPr>
        <w:t>乙方需提供技术服务人员的身份证、联系方式、学历证明、执业资格或相关专业等级证书、过往参与项目证明等</w:t>
      </w:r>
      <w:r>
        <w:rPr>
          <w:rFonts w:hint="eastAsia" w:ascii="宋体" w:hAnsi="宋体" w:eastAsia="宋体" w:cs="宋体"/>
          <w:bCs/>
          <w:sz w:val="21"/>
          <w:szCs w:val="21"/>
          <w:highlight w:val="none"/>
          <w:lang w:val="en-US" w:eastAsia="zh-CN"/>
        </w:rPr>
        <w:t>给甲方核实</w:t>
      </w:r>
      <w:r>
        <w:rPr>
          <w:rFonts w:hint="eastAsia" w:ascii="宋体" w:hAnsi="宋体" w:eastAsia="宋体" w:cs="宋体"/>
          <w:bCs/>
          <w:sz w:val="21"/>
          <w:szCs w:val="21"/>
          <w:highlight w:val="none"/>
          <w:lang w:eastAsia="zh-CN"/>
        </w:rPr>
        <w:t>。</w:t>
      </w:r>
    </w:p>
    <w:p w14:paraId="04AAA70C">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人员其他</w:t>
      </w:r>
      <w:r>
        <w:rPr>
          <w:rFonts w:hint="eastAsia" w:ascii="宋体" w:hAnsi="宋体" w:eastAsia="宋体" w:cs="宋体"/>
          <w:bCs/>
          <w:sz w:val="21"/>
          <w:szCs w:val="21"/>
          <w:highlight w:val="none"/>
        </w:rPr>
        <w:t>要求：有较强的责任心，有良好的沟通能力和协调能力</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具有吃苦精神、服务意识、质量意识、保密意识。</w:t>
      </w:r>
    </w:p>
    <w:p w14:paraId="7816CE7F">
      <w:pPr>
        <w:spacing w:line="240" w:lineRule="auto"/>
        <w:ind w:firstLine="422" w:firstLineChars="20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八、付款方式与结算</w:t>
      </w:r>
    </w:p>
    <w:p w14:paraId="2B4D5211">
      <w:pPr>
        <w:tabs>
          <w:tab w:val="left" w:pos="360"/>
        </w:tabs>
        <w:spacing w:line="240" w:lineRule="auto"/>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（1）合同签订前，</w:t>
      </w:r>
      <w:r>
        <w:rPr>
          <w:rFonts w:hint="eastAsia" w:ascii="宋体" w:hAnsi="宋体" w:eastAsia="宋体" w:cs="宋体"/>
          <w:bCs/>
          <w:sz w:val="21"/>
          <w:szCs w:val="21"/>
          <w:highlight w:val="none"/>
        </w:rPr>
        <w:t>乙方应提供</w:t>
      </w:r>
      <w:r>
        <w:rPr>
          <w:rFonts w:hint="eastAsia" w:ascii="宋体" w:hAnsi="宋体" w:eastAsia="宋体" w:cs="宋体"/>
          <w:bCs/>
          <w:sz w:val="21"/>
          <w:szCs w:val="21"/>
          <w:highlight w:val="none"/>
          <w:lang w:val="en-US" w:eastAsia="zh-CN"/>
        </w:rPr>
        <w:t>合同</w:t>
      </w:r>
      <w:r>
        <w:rPr>
          <w:rFonts w:hint="eastAsia" w:ascii="宋体" w:hAnsi="宋体" w:eastAsia="宋体" w:cs="宋体"/>
          <w:bCs/>
          <w:sz w:val="21"/>
          <w:szCs w:val="21"/>
          <w:highlight w:val="none"/>
        </w:rPr>
        <w:t>总价5%的履约保证金，</w:t>
      </w:r>
      <w:r>
        <w:rPr>
          <w:rFonts w:hint="eastAsia" w:ascii="宋体" w:hAnsi="宋体" w:eastAsia="宋体" w:cs="宋体"/>
          <w:color w:val="auto"/>
          <w:sz w:val="22"/>
          <w:szCs w:val="22"/>
          <w:highlight w:val="none"/>
          <w:lang w:eastAsia="zh-CN"/>
        </w:rPr>
        <w:t>即人民币</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元，否则甲方有权取消合同。</w:t>
      </w:r>
    </w:p>
    <w:p w14:paraId="0A03431E">
      <w:pPr>
        <w:tabs>
          <w:tab w:val="left" w:pos="360"/>
        </w:tabs>
        <w:spacing w:line="240" w:lineRule="auto"/>
        <w:ind w:firstLine="420" w:firstLineChars="200"/>
        <w:rPr>
          <w:rFonts w:hint="eastAsia" w:ascii="宋体" w:hAnsi="宋体" w:eastAsia="宋体" w:cs="宋体"/>
          <w:color w:val="auto"/>
          <w:sz w:val="22"/>
          <w:szCs w:val="22"/>
          <w:highlight w:val="none"/>
          <w:lang w:eastAsia="zh-CN"/>
        </w:rPr>
      </w:pPr>
      <w:r>
        <w:rPr>
          <w:rFonts w:hint="eastAsia" w:ascii="宋体" w:hAnsi="宋体" w:eastAsia="宋体" w:cs="宋体"/>
          <w:bCs/>
          <w:sz w:val="21"/>
          <w:szCs w:val="21"/>
          <w:highlight w:val="none"/>
          <w:lang w:val="en-US" w:eastAsia="zh-CN"/>
        </w:rPr>
        <w:t>（2）合同付款：在合同签订后，支付合同价款的30%作为预付款，在设备完成供货、安装、调试，接入</w:t>
      </w:r>
      <w:r>
        <w:rPr>
          <w:rFonts w:hint="eastAsia" w:ascii="宋体" w:hAnsi="宋体" w:eastAsia="宋体" w:cs="宋体"/>
          <w:b/>
          <w:bCs/>
          <w:color w:val="auto"/>
          <w:szCs w:val="21"/>
          <w:highlight w:val="none"/>
          <w:u w:val="single"/>
          <w:lang w:val="en-US" w:eastAsia="zh-CN"/>
        </w:rPr>
        <w:t>温州市现代集团监控平台</w:t>
      </w:r>
      <w:r>
        <w:rPr>
          <w:rFonts w:hint="eastAsia" w:ascii="宋体" w:hAnsi="宋体" w:eastAsia="宋体" w:cs="宋体"/>
          <w:bCs/>
          <w:sz w:val="21"/>
          <w:szCs w:val="21"/>
          <w:highlight w:val="none"/>
          <w:lang w:val="en-US" w:eastAsia="zh-CN"/>
        </w:rPr>
        <w:t>稳定试运行3个月并通过验收后，乙方向甲方开具合同价款100%的增值税专用发票，甲方在收到发票后的15个工作日内支付合同总价的70%，同时履约保证金转为质量保证金，在验收合格1年后无售后服务问题，或者所有售后问题得到解决</w:t>
      </w:r>
      <w:r>
        <w:rPr>
          <w:rFonts w:hint="eastAsia" w:ascii="宋体" w:hAnsi="宋体" w:eastAsia="宋体" w:cs="宋体"/>
          <w:color w:val="auto"/>
          <w:sz w:val="22"/>
          <w:szCs w:val="22"/>
          <w:highlight w:val="none"/>
          <w:lang w:eastAsia="zh-CN"/>
        </w:rPr>
        <w:t>后无息退还。</w:t>
      </w:r>
    </w:p>
    <w:p w14:paraId="1948A897">
      <w:pPr>
        <w:tabs>
          <w:tab w:val="left" w:pos="360"/>
        </w:tabs>
        <w:spacing w:line="240" w:lineRule="auto"/>
        <w:ind w:firstLine="440" w:firstLineChars="200"/>
        <w:rPr>
          <w:rFonts w:hint="default" w:ascii="宋体" w:hAnsi="宋体" w:eastAsia="宋体" w:cs="宋体"/>
          <w:color w:val="auto"/>
          <w:sz w:val="22"/>
          <w:szCs w:val="22"/>
          <w:highlight w:val="none"/>
          <w:lang w:val="en-US" w:eastAsia="zh-CN"/>
        </w:rPr>
      </w:pPr>
    </w:p>
    <w:p w14:paraId="6AB5AFB5">
      <w:pPr>
        <w:spacing w:line="240" w:lineRule="auto"/>
        <w:ind w:firstLine="422" w:firstLineChars="200"/>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九、双方责任</w:t>
      </w:r>
    </w:p>
    <w:p w14:paraId="4B9B7CEA">
      <w:pPr>
        <w:spacing w:line="240" w:lineRule="auto"/>
        <w:ind w:firstLine="420" w:firstLineChars="200"/>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1.甲方</w:t>
      </w:r>
    </w:p>
    <w:p w14:paraId="1F127AB2">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（1）按合同规定向乙方支付货款。</w:t>
      </w:r>
    </w:p>
    <w:p w14:paraId="05429EA5">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（2）组织对货物的验收。</w:t>
      </w:r>
    </w:p>
    <w:p w14:paraId="3731B041">
      <w:pPr>
        <w:spacing w:line="240" w:lineRule="auto"/>
        <w:ind w:firstLine="420" w:firstLineChars="200"/>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2.乙方</w:t>
      </w:r>
    </w:p>
    <w:p w14:paraId="07B3B6EF">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（1）按合同要求提供货物和服务。</w:t>
      </w:r>
    </w:p>
    <w:p w14:paraId="2A492FF3">
      <w:pPr>
        <w:spacing w:line="240" w:lineRule="auto"/>
        <w:ind w:firstLine="514" w:firstLineChars="245"/>
        <w:rPr>
          <w:rFonts w:hint="eastAsia" w:ascii="宋体" w:hAnsi="宋体" w:eastAsia="宋体" w:cs="宋体"/>
          <w:b/>
          <w:sz w:val="21"/>
          <w:szCs w:val="21"/>
          <w:highlight w:val="none"/>
        </w:rPr>
      </w:pPr>
      <w:r>
        <w:rPr>
          <w:rFonts w:hint="eastAsia" w:ascii="宋体" w:hAnsi="宋体" w:eastAsia="宋体" w:cs="宋体"/>
          <w:sz w:val="21"/>
          <w:szCs w:val="21"/>
          <w:highlight w:val="none"/>
        </w:rPr>
        <w:t>（2）对所提供的货物和服务质量问题无条件负责处理。</w:t>
      </w:r>
    </w:p>
    <w:p w14:paraId="51922E9E">
      <w:pPr>
        <w:spacing w:line="240" w:lineRule="auto"/>
        <w:ind w:firstLine="422" w:firstLineChars="20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十、乙方履约延误</w:t>
      </w:r>
    </w:p>
    <w:p w14:paraId="5BF265D3">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1.乙方应按照合同规定的时间交货和提供服务。</w:t>
      </w:r>
    </w:p>
    <w:p w14:paraId="37BC6E8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198C662D">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3.除了合同条款中不可抗力的情况外，除非延误是取得同意而不收取赔偿费，乙方延误交货或提供服务将按合同条款</w:t>
      </w:r>
      <w:r>
        <w:rPr>
          <w:rFonts w:hint="eastAsia" w:ascii="宋体" w:hAnsi="宋体" w:eastAsia="宋体" w:cs="宋体"/>
          <w:color w:val="auto"/>
          <w:sz w:val="21"/>
          <w:szCs w:val="21"/>
          <w:highlight w:val="none"/>
          <w:lang w:val="en-US" w:eastAsia="zh-CN"/>
        </w:rPr>
        <w:t>第十一</w:t>
      </w:r>
      <w:r>
        <w:rPr>
          <w:rFonts w:hint="eastAsia" w:ascii="宋体" w:hAnsi="宋体" w:eastAsia="宋体" w:cs="宋体"/>
          <w:color w:val="auto"/>
          <w:sz w:val="21"/>
          <w:szCs w:val="21"/>
          <w:highlight w:val="none"/>
        </w:rPr>
        <w:t>条规定被收取误期赔偿费。</w:t>
      </w:r>
    </w:p>
    <w:p w14:paraId="25C9366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4.所有提供的货物及验收都应服从甲方的统一安排。</w:t>
      </w:r>
    </w:p>
    <w:p w14:paraId="16F7106D">
      <w:pPr>
        <w:spacing w:line="240" w:lineRule="auto"/>
        <w:ind w:firstLine="422" w:firstLineChars="200"/>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十一、误期</w:t>
      </w:r>
      <w:r>
        <w:rPr>
          <w:rFonts w:hint="eastAsia" w:ascii="宋体" w:hAnsi="宋体" w:eastAsia="宋体" w:cs="宋体"/>
          <w:b/>
          <w:color w:val="auto"/>
          <w:sz w:val="21"/>
          <w:szCs w:val="21"/>
          <w:highlight w:val="none"/>
          <w:lang w:val="en-US" w:eastAsia="zh-CN"/>
        </w:rPr>
        <w:t>违约金</w:t>
      </w:r>
    </w:p>
    <w:p w14:paraId="7219E04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除不可抗力外，如果乙方没有按照合同规定的时间投入试运行和提供服务，甲方应在不影响合同项下的其他补救措施的情况下，从合同价款中扣除误期</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w:t>
      </w:r>
    </w:p>
    <w:p w14:paraId="7D24EF5D">
      <w:pPr>
        <w:spacing w:line="24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每延误一天的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按货物交货价或未提供服务的服务费用的百分之零点二（0.2%）计收，直至投入试运行或提供服务为止。误期赔偿费最高限额为合同价的百分之十（10%）。一旦延到误期</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的最高限额，甲方</w:t>
      </w:r>
      <w:r>
        <w:rPr>
          <w:rFonts w:hint="eastAsia" w:ascii="宋体" w:hAnsi="宋体" w:eastAsia="宋体" w:cs="宋体"/>
          <w:color w:val="auto"/>
          <w:sz w:val="21"/>
          <w:szCs w:val="21"/>
          <w:highlight w:val="none"/>
          <w:lang w:val="en-US" w:eastAsia="zh-CN"/>
        </w:rPr>
        <w:t>有权单方解除</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甲方因此解除合同的，乙方除应支付违约金外，履约保证金不予退还</w:t>
      </w:r>
      <w:r>
        <w:rPr>
          <w:rFonts w:hint="eastAsia" w:ascii="宋体" w:hAnsi="宋体" w:eastAsia="宋体" w:cs="宋体"/>
          <w:color w:val="auto"/>
          <w:sz w:val="21"/>
          <w:szCs w:val="21"/>
          <w:highlight w:val="none"/>
        </w:rPr>
        <w:t>。</w:t>
      </w:r>
    </w:p>
    <w:p w14:paraId="5FA1FDA2">
      <w:pPr>
        <w:spacing w:line="240" w:lineRule="auto"/>
        <w:ind w:firstLine="517" w:firstLineChars="245"/>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十二、不可抗力</w:t>
      </w:r>
    </w:p>
    <w:p w14:paraId="67CD5CA1">
      <w:pPr>
        <w:spacing w:line="24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141CDC59">
      <w:pPr>
        <w:spacing w:line="240" w:lineRule="auto"/>
        <w:ind w:firstLine="517" w:firstLineChars="245"/>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十三、违约终止合同</w:t>
      </w:r>
    </w:p>
    <w:p w14:paraId="3BF30C3C">
      <w:pPr>
        <w:spacing w:line="24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1.甲方在乙方违约的情况下，如果发生下列情况之一，</w:t>
      </w:r>
      <w:r>
        <w:rPr>
          <w:rFonts w:hint="eastAsia" w:ascii="宋体" w:hAnsi="宋体" w:eastAsia="宋体" w:cs="宋体"/>
          <w:color w:val="auto"/>
          <w:sz w:val="21"/>
          <w:szCs w:val="21"/>
          <w:highlight w:val="none"/>
          <w:lang w:val="en-US" w:eastAsia="zh-CN"/>
        </w:rPr>
        <w:t>有权单方解除</w:t>
      </w:r>
      <w:r>
        <w:rPr>
          <w:rFonts w:hint="eastAsia" w:ascii="宋体" w:hAnsi="宋体" w:eastAsia="宋体" w:cs="宋体"/>
          <w:color w:val="auto"/>
          <w:sz w:val="21"/>
          <w:szCs w:val="21"/>
          <w:highlight w:val="none"/>
        </w:rPr>
        <w:t>部分或全部合同：</w:t>
      </w:r>
    </w:p>
    <w:p w14:paraId="401F37E1">
      <w:pPr>
        <w:spacing w:line="24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（1）乙方未能在合同规定的期限内或甲方同意延长的期限内提供全部或部分货物；</w:t>
      </w:r>
    </w:p>
    <w:p w14:paraId="6B49817F">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（2）乙方未能履行合同规定的其他任何义务。乙方在收到甲方发出的违约通知后30天内，</w:t>
      </w:r>
      <w:r>
        <w:rPr>
          <w:rFonts w:hint="eastAsia" w:ascii="宋体" w:hAnsi="宋体" w:eastAsia="宋体" w:cs="宋体"/>
          <w:sz w:val="21"/>
          <w:szCs w:val="21"/>
          <w:highlight w:val="none"/>
        </w:rPr>
        <w:t>或经甲方书面认可延长的时间内未能纠正其过失。甲方可向乙方发出书面通知，</w:t>
      </w:r>
      <w:r>
        <w:rPr>
          <w:rFonts w:hint="eastAsia" w:ascii="宋体" w:hAnsi="宋体" w:eastAsia="宋体" w:cs="宋体"/>
          <w:sz w:val="21"/>
          <w:szCs w:val="21"/>
          <w:highlight w:val="none"/>
          <w:lang w:val="en-US" w:eastAsia="zh-CN"/>
        </w:rPr>
        <w:t>解除</w:t>
      </w:r>
      <w:r>
        <w:rPr>
          <w:rFonts w:hint="eastAsia" w:ascii="宋体" w:hAnsi="宋体" w:eastAsia="宋体" w:cs="宋体"/>
          <w:sz w:val="21"/>
          <w:szCs w:val="21"/>
          <w:highlight w:val="none"/>
        </w:rPr>
        <w:t>部分或全部合同，在这种情况下，并不影响甲方向乙方提出索赔。</w:t>
      </w:r>
    </w:p>
    <w:p w14:paraId="706A3A57">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2.如果甲方根据上述的规定，</w:t>
      </w:r>
      <w:r>
        <w:rPr>
          <w:rFonts w:hint="eastAsia" w:ascii="宋体" w:hAnsi="宋体" w:eastAsia="宋体" w:cs="宋体"/>
          <w:sz w:val="21"/>
          <w:szCs w:val="21"/>
          <w:highlight w:val="none"/>
          <w:lang w:val="en-US" w:eastAsia="zh-CN"/>
        </w:rPr>
        <w:t>解除</w:t>
      </w:r>
      <w:r>
        <w:rPr>
          <w:rFonts w:hint="eastAsia" w:ascii="宋体" w:hAnsi="宋体" w:eastAsia="宋体" w:cs="宋体"/>
          <w:sz w:val="21"/>
          <w:szCs w:val="21"/>
          <w:highlight w:val="none"/>
        </w:rPr>
        <w:t>了全部或部分合同，甲方可以依其认为适当的条件和方法购买与未交货物类似的货物或服务，乙方应承担甲方因购买类似货物或服务而产生的额外支出。但是，乙方应继续执行合同中未</w:t>
      </w:r>
      <w:r>
        <w:rPr>
          <w:rFonts w:hint="eastAsia" w:ascii="宋体" w:hAnsi="宋体" w:eastAsia="宋体" w:cs="宋体"/>
          <w:sz w:val="21"/>
          <w:szCs w:val="21"/>
          <w:highlight w:val="none"/>
          <w:lang w:val="en-US" w:eastAsia="zh-CN"/>
        </w:rPr>
        <w:t>解除</w:t>
      </w:r>
      <w:r>
        <w:rPr>
          <w:rFonts w:hint="eastAsia" w:ascii="宋体" w:hAnsi="宋体" w:eastAsia="宋体" w:cs="宋体"/>
          <w:sz w:val="21"/>
          <w:szCs w:val="21"/>
          <w:highlight w:val="none"/>
        </w:rPr>
        <w:t>的部分。</w:t>
      </w:r>
    </w:p>
    <w:p w14:paraId="037465D4">
      <w:pPr>
        <w:spacing w:line="240" w:lineRule="auto"/>
        <w:ind w:firstLine="517" w:firstLineChars="245"/>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十四、履约保证金的罚没</w:t>
      </w:r>
    </w:p>
    <w:p w14:paraId="3FDAC1B8">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1.如乙方未能履行合同规定的任何义务，甲方有权从履约保证金中得到补偿。</w:t>
      </w:r>
    </w:p>
    <w:p w14:paraId="5E68E50F">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2.如果乙方毫无理由地拖延交货或拒绝履行合同规定的任何义务，履约保证金将</w:t>
      </w:r>
      <w:r>
        <w:rPr>
          <w:rFonts w:hint="eastAsia" w:ascii="宋体" w:hAnsi="宋体" w:eastAsia="宋体" w:cs="宋体"/>
          <w:sz w:val="21"/>
          <w:szCs w:val="21"/>
          <w:highlight w:val="none"/>
          <w:lang w:val="en-US" w:eastAsia="zh-CN"/>
        </w:rPr>
        <w:t>不予退还</w:t>
      </w:r>
      <w:r>
        <w:rPr>
          <w:rFonts w:hint="eastAsia" w:ascii="宋体" w:hAnsi="宋体" w:eastAsia="宋体" w:cs="宋体"/>
          <w:sz w:val="21"/>
          <w:szCs w:val="21"/>
          <w:highlight w:val="none"/>
        </w:rPr>
        <w:t>，并加收违约赔偿金。</w:t>
      </w:r>
    </w:p>
    <w:p w14:paraId="59AD95EF">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3.乙方提供的货物须和报价文件中所承诺的货物规格、数量、型号等相符（合同中另有规定除外）如不符，除追究乙方责任外，其履约保证金将</w:t>
      </w:r>
      <w:r>
        <w:rPr>
          <w:rFonts w:hint="eastAsia" w:ascii="宋体" w:hAnsi="宋体" w:eastAsia="宋体" w:cs="宋体"/>
          <w:sz w:val="21"/>
          <w:szCs w:val="21"/>
          <w:highlight w:val="none"/>
          <w:lang w:val="en-US" w:eastAsia="zh-CN"/>
        </w:rPr>
        <w:t>不予退还</w:t>
      </w:r>
      <w:r>
        <w:rPr>
          <w:rFonts w:hint="eastAsia" w:ascii="宋体" w:hAnsi="宋体" w:eastAsia="宋体" w:cs="宋体"/>
          <w:sz w:val="21"/>
          <w:szCs w:val="21"/>
          <w:highlight w:val="none"/>
        </w:rPr>
        <w:t>。</w:t>
      </w:r>
    </w:p>
    <w:p w14:paraId="60D661A0">
      <w:pPr>
        <w:spacing w:line="240" w:lineRule="auto"/>
        <w:ind w:firstLine="517" w:firstLineChars="245"/>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廉洁条款</w:t>
      </w:r>
    </w:p>
    <w:p w14:paraId="20808B05">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为规范双方工程、货物和服务采购往来活动，建立诚实守信的合作关系，推进廉政建设，维护双方合法权益，经双方共同协商，共同遵守以下廉洁事宜：</w:t>
      </w:r>
    </w:p>
    <w:p w14:paraId="15FC7F7C">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的义务</w:t>
      </w:r>
    </w:p>
    <w:p w14:paraId="45824DCA">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应当严格规范从业人员，不得以任何形式索要或者接受</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礼金、礼品、有价证券和支付凭证等，难以拒收的，必须按有关规定登记上交。</w:t>
      </w:r>
    </w:p>
    <w:p w14:paraId="418771CC">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及其工作人员不得参加</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安排的高消费宴请和娱乐活动。</w:t>
      </w:r>
    </w:p>
    <w:p w14:paraId="4CDA3D13">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工作人员的配偶、子女及其亲属不得从事与合同有关的设备材料供应、工程分包、劳务等经济活动。</w:t>
      </w:r>
    </w:p>
    <w:p w14:paraId="4C7ECB63">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的义务</w:t>
      </w:r>
    </w:p>
    <w:p w14:paraId="2926B1D8">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不得以任何理由向</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及其工作人员馈赠礼金、礼品、有价证券和支付凭证等。</w:t>
      </w:r>
    </w:p>
    <w:p w14:paraId="1B1F67F5">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不得以任何理由安排</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工作人员参加高消费宴请和娱乐活动。</w:t>
      </w:r>
    </w:p>
    <w:p w14:paraId="2F619634">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与</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发生业务、工程、采购往来过程中，不得有弄虚作假、以次充好、虚假结算等违反诚信原则的行为。</w:t>
      </w:r>
    </w:p>
    <w:p w14:paraId="6AC1AE07">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.3违约责任</w:t>
      </w:r>
    </w:p>
    <w:p w14:paraId="13918B7B">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及其工作人员有违反本规定的，将严格按照公用集团《党风廉政建设责任制实施办法》处理；情节严重的，按照规定承担赔偿责任；涉及犯罪的，将移交司法机关追究法律责任。</w:t>
      </w:r>
    </w:p>
    <w:p w14:paraId="73E64B4E">
      <w:pPr>
        <w:spacing w:line="240" w:lineRule="auto"/>
        <w:ind w:firstLine="514" w:firstLineChars="245"/>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及其工作人员违反本规定的，</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可以依据本合同违约条款规定，视为</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放弃</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应付但未付的后续款项（包含但是不限于现金、物资）；涉及犯罪的，将移交司法机关追究法律责任。</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有权根据违约情况解除</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该项目的业务合同，因取消合同给</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造成经济损失的，</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应当予以赔偿。</w:t>
      </w:r>
    </w:p>
    <w:p w14:paraId="094CA8C6">
      <w:pPr>
        <w:spacing w:line="240" w:lineRule="auto"/>
        <w:ind w:firstLine="517" w:firstLineChars="245"/>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、争端的解决</w:t>
      </w:r>
    </w:p>
    <w:p w14:paraId="416267E4">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1.有关本合同和签署本合同的争议应通过友好协商解决。如果协商不成，该争议应按照以下第 </w:t>
      </w:r>
      <w:r>
        <w:rPr>
          <w:rFonts w:hint="eastAsia" w:ascii="宋体" w:hAnsi="宋体" w:eastAsia="宋体" w:cs="宋体"/>
          <w:sz w:val="21"/>
          <w:szCs w:val="21"/>
          <w:highlight w:val="none"/>
          <w:u w:val="single"/>
        </w:rPr>
        <w:t>（二）</w:t>
      </w:r>
      <w:r>
        <w:rPr>
          <w:rFonts w:hint="eastAsia" w:ascii="宋体" w:hAnsi="宋体" w:eastAsia="宋体" w:cs="宋体"/>
          <w:sz w:val="21"/>
          <w:szCs w:val="21"/>
          <w:highlight w:val="none"/>
        </w:rPr>
        <w:t xml:space="preserve"> 方式解决：</w:t>
      </w:r>
    </w:p>
    <w:p w14:paraId="51465254">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（一）提交温州仲裁委员会仲裁，仲裁结果具有终结效力，双方应严格遵守；</w:t>
      </w:r>
    </w:p>
    <w:p w14:paraId="482E3AA9">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（二）提交甲方</w:t>
      </w:r>
      <w:r>
        <w:rPr>
          <w:rFonts w:hint="eastAsia" w:ascii="宋体" w:hAnsi="宋体" w:eastAsia="宋体" w:cs="宋体"/>
          <w:sz w:val="21"/>
          <w:szCs w:val="21"/>
          <w:highlight w:val="none"/>
          <w:lang w:val="en-US" w:eastAsia="zh-CN"/>
        </w:rPr>
        <w:t>所在</w:t>
      </w:r>
      <w:r>
        <w:rPr>
          <w:rFonts w:hint="eastAsia" w:ascii="宋体" w:hAnsi="宋体" w:eastAsia="宋体" w:cs="宋体"/>
          <w:sz w:val="21"/>
          <w:szCs w:val="21"/>
          <w:highlight w:val="none"/>
        </w:rPr>
        <w:t>地人民法院通过诉讼解决。</w:t>
      </w:r>
    </w:p>
    <w:p w14:paraId="30711016">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2.本协议未尽事宜或与国家有关法律、法规相悖的，均按国家有关法律、规定执行。</w:t>
      </w:r>
    </w:p>
    <w:p w14:paraId="676F016C">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3.任何一方就对方针对本合同项下任何条款的违约行为的自动弃权或重复性弃权不应被视为是对下一次针对同一条款的违约行为、或针对其他条款的违约行为的弃权。</w:t>
      </w:r>
    </w:p>
    <w:p w14:paraId="5258B3CE">
      <w:pPr>
        <w:spacing w:line="240" w:lineRule="auto"/>
        <w:ind w:firstLine="517" w:firstLineChars="245"/>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、转让和分包及货物不可替代</w:t>
      </w:r>
    </w:p>
    <w:p w14:paraId="70888609">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1.未经甲方事先书面同意，乙方不得部分转让或全部转让和分包其履行合同的义务。</w:t>
      </w:r>
    </w:p>
    <w:p w14:paraId="6DF72951">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2.货物不可替代，乙方在没有取得甲方的书面授权的情况下，不得将合同货物的生产制造转交其他生产厂商或以其他厂商的货物替代。</w:t>
      </w:r>
    </w:p>
    <w:p w14:paraId="351FD347">
      <w:pPr>
        <w:spacing w:line="240" w:lineRule="auto"/>
        <w:ind w:firstLine="517" w:firstLineChars="245"/>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、适用法律</w:t>
      </w:r>
    </w:p>
    <w:p w14:paraId="7EEBC615">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本合同按照中华人民共和国的法律进行解释。</w:t>
      </w:r>
    </w:p>
    <w:p w14:paraId="360CA399">
      <w:pPr>
        <w:spacing w:line="240" w:lineRule="auto"/>
        <w:ind w:firstLine="517" w:firstLineChars="245"/>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九</w:t>
      </w:r>
      <w:r>
        <w:rPr>
          <w:rFonts w:hint="eastAsia" w:ascii="宋体" w:hAnsi="宋体" w:eastAsia="宋体" w:cs="宋体"/>
          <w:b/>
          <w:sz w:val="21"/>
          <w:szCs w:val="21"/>
          <w:highlight w:val="none"/>
        </w:rPr>
        <w:t>、合同生效及其他</w:t>
      </w:r>
    </w:p>
    <w:p w14:paraId="1478A106">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1.合同应在双方签字盖章并在甲方收到乙方提供的履约保证金后开始生效。</w:t>
      </w:r>
    </w:p>
    <w:p w14:paraId="5D4560AD">
      <w:pPr>
        <w:spacing w:line="240" w:lineRule="auto"/>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2.如需修改或补充合同内容，经协商，双方应签署书面修改或补充协议，该协议将作为本合同的一个组成部分。</w:t>
      </w:r>
    </w:p>
    <w:p w14:paraId="4C274533">
      <w:pPr>
        <w:spacing w:line="240" w:lineRule="auto"/>
        <w:ind w:firstLine="517" w:firstLineChars="245"/>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本</w:t>
      </w:r>
      <w:r>
        <w:rPr>
          <w:rFonts w:hint="eastAsia" w:ascii="宋体" w:hAnsi="宋体" w:eastAsia="宋体" w:cs="宋体"/>
          <w:b/>
          <w:bCs/>
          <w:color w:val="auto"/>
          <w:sz w:val="22"/>
          <w:szCs w:val="22"/>
          <w:highlight w:val="none"/>
        </w:rPr>
        <w:t>合同壹式</w:t>
      </w:r>
      <w:r>
        <w:rPr>
          <w:rFonts w:hint="eastAsia" w:ascii="宋体" w:hAnsi="宋体" w:eastAsia="宋体" w:cs="宋体"/>
          <w:b/>
          <w:bCs/>
          <w:color w:val="auto"/>
          <w:sz w:val="22"/>
          <w:szCs w:val="22"/>
          <w:highlight w:val="none"/>
          <w:lang w:val="en-US" w:eastAsia="zh-CN"/>
        </w:rPr>
        <w:t>柒</w:t>
      </w:r>
      <w:r>
        <w:rPr>
          <w:rFonts w:hint="eastAsia" w:ascii="宋体" w:hAnsi="宋体" w:eastAsia="宋体" w:cs="宋体"/>
          <w:b/>
          <w:bCs/>
          <w:color w:val="auto"/>
          <w:sz w:val="22"/>
          <w:szCs w:val="22"/>
          <w:highlight w:val="none"/>
        </w:rPr>
        <w:t>份，</w:t>
      </w:r>
      <w:r>
        <w:rPr>
          <w:rFonts w:hint="eastAsia" w:ascii="宋体" w:hAnsi="宋体" w:eastAsia="宋体" w:cs="宋体"/>
          <w:b/>
          <w:bCs/>
          <w:color w:val="auto"/>
          <w:sz w:val="22"/>
          <w:szCs w:val="22"/>
          <w:highlight w:val="none"/>
          <w:lang w:val="en-US" w:eastAsia="zh-CN"/>
        </w:rPr>
        <w:t>甲方执肆份，乙方执贰份</w:t>
      </w:r>
      <w:r>
        <w:rPr>
          <w:rFonts w:hint="eastAsia" w:ascii="宋体" w:hAnsi="宋体" w:eastAsia="宋体" w:cs="宋体"/>
          <w:b/>
          <w:bCs/>
          <w:color w:val="auto"/>
          <w:sz w:val="22"/>
          <w:szCs w:val="22"/>
          <w:highlight w:val="none"/>
        </w:rPr>
        <w:t>，壹份送采购代理机构备案</w:t>
      </w:r>
      <w:r>
        <w:rPr>
          <w:rFonts w:hint="eastAsia" w:ascii="宋体" w:hAnsi="宋体" w:eastAsia="宋体" w:cs="宋体"/>
          <w:b/>
          <w:bCs/>
          <w:color w:val="auto"/>
          <w:sz w:val="22"/>
          <w:szCs w:val="22"/>
          <w:highlight w:val="none"/>
          <w:lang w:eastAsia="zh-CN"/>
        </w:rPr>
        <w:t>。</w:t>
      </w:r>
    </w:p>
    <w:p w14:paraId="6C3CFDF4">
      <w:pPr>
        <w:snapToGrid w:val="0"/>
        <w:spacing w:line="480" w:lineRule="auto"/>
        <w:rPr>
          <w:rFonts w:hint="eastAsia" w:ascii="宋体" w:hAnsi="宋体" w:eastAsia="宋体" w:cs="宋体"/>
          <w:szCs w:val="21"/>
          <w:highlight w:val="none"/>
        </w:rPr>
      </w:pPr>
    </w:p>
    <w:p w14:paraId="6473F9E0">
      <w:pPr>
        <w:snapToGrid w:val="0"/>
        <w:spacing w:line="480" w:lineRule="auto"/>
        <w:rPr>
          <w:rFonts w:hint="eastAsia" w:ascii="宋体" w:hAnsi="宋体" w:eastAsia="宋体" w:cs="宋体"/>
          <w:szCs w:val="21"/>
          <w:highlight w:val="none"/>
        </w:rPr>
      </w:pPr>
      <w:r>
        <w:rPr>
          <w:rFonts w:hint="eastAsia" w:ascii="宋体" w:hAnsi="宋体" w:eastAsia="宋体" w:cs="宋体"/>
          <w:szCs w:val="21"/>
          <w:highlight w:val="none"/>
        </w:rPr>
        <w:t>甲方(公章)：                               乙方（公章）：</w:t>
      </w:r>
    </w:p>
    <w:p w14:paraId="3F4737D0">
      <w:pPr>
        <w:snapToGrid w:val="0"/>
        <w:spacing w:line="480" w:lineRule="auto"/>
        <w:rPr>
          <w:rFonts w:hint="eastAsia" w:ascii="宋体" w:hAnsi="宋体" w:eastAsia="宋体" w:cs="宋体"/>
          <w:szCs w:val="21"/>
          <w:highlight w:val="none"/>
        </w:rPr>
      </w:pPr>
      <w:r>
        <w:rPr>
          <w:rFonts w:hint="eastAsia" w:ascii="宋体" w:hAnsi="宋体" w:eastAsia="宋体" w:cs="宋体"/>
          <w:szCs w:val="21"/>
          <w:highlight w:val="none"/>
        </w:rPr>
        <w:t>法定代表人或委托代理人：                   法定代表人或委托代理人：</w:t>
      </w:r>
    </w:p>
    <w:p w14:paraId="769A7EE2">
      <w:pPr>
        <w:snapToGrid w:val="0"/>
        <w:spacing w:line="480" w:lineRule="auto"/>
        <w:rPr>
          <w:rFonts w:hint="eastAsia" w:ascii="宋体" w:hAnsi="宋体" w:eastAsia="宋体" w:cs="宋体"/>
          <w:szCs w:val="21"/>
          <w:highlight w:val="none"/>
        </w:rPr>
      </w:pPr>
      <w:r>
        <w:rPr>
          <w:rFonts w:hint="eastAsia" w:ascii="宋体" w:hAnsi="宋体" w:eastAsia="宋体" w:cs="宋体"/>
          <w:szCs w:val="21"/>
          <w:highlight w:val="none"/>
        </w:rPr>
        <w:t>签约日期：                                 签约日期：</w:t>
      </w:r>
    </w:p>
    <w:p w14:paraId="66591123">
      <w:pPr>
        <w:spacing w:line="480" w:lineRule="auto"/>
        <w:rPr>
          <w:rFonts w:hint="eastAsia" w:ascii="宋体" w:hAnsi="宋体" w:eastAsia="宋体" w:cs="宋体"/>
          <w:highlight w:val="none"/>
        </w:rPr>
      </w:pPr>
    </w:p>
    <w:p w14:paraId="7774AD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rPr>
      </w:pPr>
    </w:p>
    <w:p w14:paraId="622FCF98">
      <w:pPr>
        <w:rPr>
          <w:rFonts w:hint="eastAsia" w:ascii="宋体" w:hAnsi="宋体" w:eastAsia="宋体" w:cs="宋体"/>
          <w:highlight w:val="none"/>
        </w:rPr>
      </w:pPr>
      <w:r>
        <w:rPr>
          <w:rFonts w:hint="eastAsia" w:ascii="宋体" w:hAnsi="宋体" w:eastAsia="宋体" w:cs="宋体"/>
          <w:highlight w:val="none"/>
        </w:rPr>
        <w:br w:type="page"/>
      </w:r>
    </w:p>
    <w:p w14:paraId="36955D5C">
      <w:pPr>
        <w:pStyle w:val="13"/>
        <w:rPr>
          <w:rFonts w:hint="eastAsia" w:ascii="宋体" w:hAnsi="宋体" w:eastAsia="宋体" w:cs="宋体"/>
          <w:highlight w:val="none"/>
        </w:rPr>
      </w:pPr>
    </w:p>
    <w:p w14:paraId="60ACBA4C">
      <w:pPr>
        <w:pStyle w:val="10"/>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80"/>
      <w:bookmarkEnd w:id="181"/>
      <w:bookmarkEnd w:id="182"/>
      <w:bookmarkEnd w:id="183"/>
      <w:bookmarkEnd w:id="184"/>
      <w:bookmarkEnd w:id="185"/>
      <w:bookmarkEnd w:id="186"/>
      <w:bookmarkEnd w:id="187"/>
      <w:bookmarkEnd w:id="188"/>
      <w:bookmarkEnd w:id="189"/>
      <w:r>
        <w:rPr>
          <w:rFonts w:hint="eastAsia" w:ascii="宋体" w:hAnsi="宋体" w:eastAsia="宋体" w:cs="宋体"/>
          <w:sz w:val="44"/>
          <w:szCs w:val="44"/>
          <w:highlight w:val="none"/>
        </w:rPr>
        <w:t xml:space="preserve"> 投标文件的编制格式</w:t>
      </w:r>
      <w:bookmarkEnd w:id="190"/>
    </w:p>
    <w:p w14:paraId="681071DE">
      <w:pPr>
        <w:spacing w:before="120" w:beforeLines="50" w:after="120" w:afterLines="50"/>
        <w:rPr>
          <w:rFonts w:hint="eastAsia" w:ascii="宋体" w:hAnsi="宋体" w:eastAsia="宋体" w:cs="宋体"/>
          <w:sz w:val="22"/>
          <w:highlight w:val="none"/>
        </w:rPr>
      </w:pPr>
    </w:p>
    <w:p w14:paraId="0C8F0991">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14:paraId="3A4C5130">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11034716">
      <w:pPr>
        <w:jc w:val="right"/>
        <w:rPr>
          <w:rFonts w:hint="eastAsia" w:ascii="宋体" w:hAnsi="宋体" w:eastAsia="宋体" w:cs="宋体"/>
          <w:szCs w:val="24"/>
          <w:highlight w:val="none"/>
        </w:rPr>
      </w:pPr>
    </w:p>
    <w:p w14:paraId="0851D630">
      <w:pPr>
        <w:rPr>
          <w:rFonts w:hint="eastAsia" w:ascii="宋体" w:hAnsi="宋体" w:eastAsia="宋体" w:cs="宋体"/>
          <w:szCs w:val="24"/>
          <w:highlight w:val="none"/>
        </w:rPr>
      </w:pPr>
    </w:p>
    <w:p w14:paraId="6646B988">
      <w:pPr>
        <w:ind w:left="480" w:hanging="480" w:hangingChars="200"/>
        <w:rPr>
          <w:rFonts w:hint="eastAsia" w:ascii="宋体" w:hAnsi="宋体" w:eastAsia="宋体" w:cs="宋体"/>
          <w:sz w:val="24"/>
          <w:szCs w:val="24"/>
          <w:highlight w:val="none"/>
        </w:rPr>
      </w:pPr>
    </w:p>
    <w:p w14:paraId="4435D3C7">
      <w:pPr>
        <w:rPr>
          <w:rFonts w:hint="eastAsia" w:ascii="宋体" w:hAnsi="宋体" w:eastAsia="宋体" w:cs="宋体"/>
          <w:szCs w:val="24"/>
          <w:highlight w:val="none"/>
        </w:rPr>
      </w:pPr>
    </w:p>
    <w:p w14:paraId="29B935C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14:paraId="68943194">
      <w:pPr>
        <w:rPr>
          <w:rFonts w:hint="eastAsia" w:ascii="宋体" w:hAnsi="宋体" w:eastAsia="宋体" w:cs="宋体"/>
          <w:sz w:val="28"/>
          <w:szCs w:val="28"/>
          <w:highlight w:val="none"/>
        </w:rPr>
      </w:pPr>
    </w:p>
    <w:p w14:paraId="3F35B026">
      <w:pPr>
        <w:rPr>
          <w:rFonts w:hint="eastAsia" w:ascii="宋体" w:hAnsi="宋体" w:eastAsia="宋体" w:cs="宋体"/>
          <w:sz w:val="28"/>
          <w:szCs w:val="28"/>
          <w:highlight w:val="none"/>
        </w:rPr>
      </w:pPr>
    </w:p>
    <w:p w14:paraId="50EE7D9C">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18093EC9">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67CF3D2F">
      <w:pPr>
        <w:rPr>
          <w:rFonts w:hint="eastAsia" w:ascii="宋体" w:hAnsi="宋体" w:eastAsia="宋体" w:cs="宋体"/>
          <w:sz w:val="28"/>
          <w:szCs w:val="28"/>
          <w:highlight w:val="none"/>
        </w:rPr>
      </w:pPr>
    </w:p>
    <w:p w14:paraId="560BF8EB">
      <w:pPr>
        <w:rPr>
          <w:rFonts w:hint="eastAsia" w:ascii="宋体" w:hAnsi="宋体" w:eastAsia="宋体" w:cs="宋体"/>
          <w:sz w:val="28"/>
          <w:szCs w:val="28"/>
          <w:highlight w:val="none"/>
        </w:rPr>
      </w:pPr>
    </w:p>
    <w:p w14:paraId="278732DF">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14:paraId="6E7C2DA3">
      <w:pPr>
        <w:spacing w:line="480" w:lineRule="auto"/>
        <w:jc w:val="center"/>
        <w:rPr>
          <w:rFonts w:hint="eastAsia" w:ascii="宋体" w:hAnsi="宋体" w:eastAsia="宋体" w:cs="宋体"/>
          <w:sz w:val="44"/>
          <w:szCs w:val="44"/>
          <w:highlight w:val="none"/>
        </w:rPr>
      </w:pPr>
    </w:p>
    <w:p w14:paraId="18DD1C80">
      <w:pPr>
        <w:spacing w:line="360" w:lineRule="auto"/>
        <w:rPr>
          <w:rFonts w:hint="eastAsia" w:ascii="宋体" w:hAnsi="宋体" w:eastAsia="宋体" w:cs="宋体"/>
          <w:szCs w:val="21"/>
          <w:highlight w:val="none"/>
        </w:rPr>
      </w:pPr>
    </w:p>
    <w:p w14:paraId="7F7AAD9E">
      <w:pPr>
        <w:spacing w:line="360" w:lineRule="auto"/>
        <w:rPr>
          <w:rFonts w:hint="eastAsia" w:ascii="宋体" w:hAnsi="宋体" w:eastAsia="宋体" w:cs="宋体"/>
          <w:szCs w:val="21"/>
          <w:highlight w:val="none"/>
        </w:rPr>
      </w:pPr>
    </w:p>
    <w:p w14:paraId="582F0DDC">
      <w:pPr>
        <w:autoSpaceDE w:val="0"/>
        <w:autoSpaceDN w:val="0"/>
        <w:adjustRightInd w:val="0"/>
        <w:spacing w:after="120"/>
        <w:ind w:firstLine="210" w:firstLineChars="100"/>
        <w:jc w:val="left"/>
        <w:rPr>
          <w:rFonts w:hint="eastAsia" w:ascii="宋体" w:hAnsi="宋体" w:eastAsia="宋体" w:cs="宋体"/>
          <w:szCs w:val="24"/>
          <w:highlight w:val="none"/>
        </w:rPr>
      </w:pPr>
    </w:p>
    <w:p w14:paraId="4AEDD6A6">
      <w:pPr>
        <w:spacing w:line="360" w:lineRule="auto"/>
        <w:rPr>
          <w:rFonts w:hint="eastAsia" w:ascii="宋体" w:hAnsi="宋体" w:eastAsia="宋体" w:cs="宋体"/>
          <w:szCs w:val="21"/>
          <w:highlight w:val="none"/>
        </w:rPr>
      </w:pPr>
    </w:p>
    <w:p w14:paraId="37B5082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14:paraId="0E47B055">
      <w:pPr>
        <w:rPr>
          <w:rFonts w:hint="eastAsia" w:ascii="宋体" w:hAnsi="宋体" w:eastAsia="宋体" w:cs="宋体"/>
          <w:sz w:val="28"/>
          <w:szCs w:val="28"/>
          <w:highlight w:val="none"/>
          <w:u w:val="single"/>
        </w:rPr>
      </w:pPr>
    </w:p>
    <w:p w14:paraId="6847732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6D103D19">
      <w:pPr>
        <w:rPr>
          <w:rFonts w:hint="eastAsia" w:ascii="宋体" w:hAnsi="宋体" w:eastAsia="宋体" w:cs="宋体"/>
          <w:sz w:val="28"/>
          <w:szCs w:val="28"/>
          <w:highlight w:val="none"/>
        </w:rPr>
      </w:pPr>
    </w:p>
    <w:p w14:paraId="018F54F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2FED025">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14:paraId="321D7D9A">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7A28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935B837">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0DF0B03E">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109DC810">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5B4F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A279D41">
            <w:pPr>
              <w:jc w:val="center"/>
              <w:rPr>
                <w:rFonts w:hint="eastAsia" w:ascii="宋体" w:hAnsi="宋体" w:eastAsia="宋体" w:cs="宋体"/>
                <w:b/>
                <w:sz w:val="18"/>
                <w:szCs w:val="18"/>
                <w:highlight w:val="none"/>
              </w:rPr>
            </w:pPr>
          </w:p>
        </w:tc>
        <w:tc>
          <w:tcPr>
            <w:tcW w:w="7122" w:type="dxa"/>
            <w:vAlign w:val="center"/>
          </w:tcPr>
          <w:p w14:paraId="30FEACE3">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14:paraId="01FB15F6">
            <w:pPr>
              <w:jc w:val="center"/>
              <w:rPr>
                <w:rFonts w:hint="eastAsia" w:ascii="宋体" w:hAnsi="宋体" w:eastAsia="宋体" w:cs="宋体"/>
                <w:b/>
                <w:sz w:val="18"/>
                <w:szCs w:val="18"/>
                <w:highlight w:val="none"/>
              </w:rPr>
            </w:pPr>
          </w:p>
        </w:tc>
      </w:tr>
      <w:tr w14:paraId="13DB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5FEF94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0268362E">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267AAB8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7B02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8DF701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7C4FB0C">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4B4261F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03F0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E5846C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168840ED">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64DEB1C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54E1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368AD2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01CE6898">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7E2BA92E">
            <w:pPr>
              <w:jc w:val="center"/>
              <w:rPr>
                <w:rFonts w:hint="eastAsia" w:ascii="宋体" w:hAnsi="宋体" w:eastAsia="宋体" w:cs="宋体"/>
                <w:sz w:val="18"/>
                <w:szCs w:val="18"/>
                <w:highlight w:val="none"/>
              </w:rPr>
            </w:pPr>
          </w:p>
        </w:tc>
      </w:tr>
      <w:tr w14:paraId="5799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F811312">
            <w:pPr>
              <w:jc w:val="center"/>
              <w:rPr>
                <w:rFonts w:hint="eastAsia" w:ascii="宋体" w:hAnsi="宋体" w:eastAsia="宋体" w:cs="宋体"/>
                <w:sz w:val="18"/>
                <w:szCs w:val="18"/>
                <w:highlight w:val="none"/>
              </w:rPr>
            </w:pPr>
          </w:p>
        </w:tc>
        <w:tc>
          <w:tcPr>
            <w:tcW w:w="7122" w:type="dxa"/>
            <w:vAlign w:val="center"/>
          </w:tcPr>
          <w:p w14:paraId="7E510A17">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0724932F">
            <w:pPr>
              <w:jc w:val="center"/>
              <w:rPr>
                <w:rFonts w:hint="eastAsia" w:ascii="宋体" w:hAnsi="宋体" w:eastAsia="宋体" w:cs="宋体"/>
                <w:sz w:val="18"/>
                <w:szCs w:val="18"/>
                <w:highlight w:val="none"/>
              </w:rPr>
            </w:pPr>
          </w:p>
        </w:tc>
      </w:tr>
      <w:tr w14:paraId="0079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D94D4F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7C3FC3AB">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2F22B624">
            <w:pPr>
              <w:jc w:val="center"/>
              <w:rPr>
                <w:rFonts w:hint="eastAsia" w:ascii="宋体" w:hAnsi="宋体" w:eastAsia="宋体" w:cs="宋体"/>
                <w:sz w:val="18"/>
                <w:szCs w:val="18"/>
                <w:highlight w:val="none"/>
              </w:rPr>
            </w:pPr>
          </w:p>
        </w:tc>
      </w:tr>
      <w:tr w14:paraId="367C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3D8252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3DDC8466">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14:paraId="1424B25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16A4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125C61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5A8D42F2">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w:t>
            </w:r>
          </w:p>
        </w:tc>
        <w:tc>
          <w:tcPr>
            <w:tcW w:w="1105" w:type="dxa"/>
            <w:vAlign w:val="center"/>
          </w:tcPr>
          <w:p w14:paraId="7A366F76">
            <w:pPr>
              <w:jc w:val="center"/>
              <w:rPr>
                <w:rFonts w:hint="eastAsia" w:ascii="宋体" w:hAnsi="宋体" w:eastAsia="宋体" w:cs="宋体"/>
                <w:sz w:val="18"/>
                <w:szCs w:val="18"/>
                <w:highlight w:val="none"/>
              </w:rPr>
            </w:pPr>
          </w:p>
        </w:tc>
      </w:tr>
      <w:tr w14:paraId="125D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C23B9B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465D4DD8">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0EE0E465">
            <w:pPr>
              <w:jc w:val="center"/>
              <w:rPr>
                <w:rFonts w:hint="eastAsia" w:ascii="宋体" w:hAnsi="宋体" w:eastAsia="宋体" w:cs="宋体"/>
                <w:sz w:val="18"/>
                <w:szCs w:val="18"/>
                <w:highlight w:val="none"/>
              </w:rPr>
            </w:pPr>
          </w:p>
        </w:tc>
      </w:tr>
      <w:tr w14:paraId="6538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BDB6C0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14:paraId="01279286">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根据采购文件中的采购内容及要求以及技术资信评分项目逐项编制，本采购文件《第三部分投标文件的编制格式》未提供格式的，可自行拟定格式，并加盖单位公章，并由法定代表人或其授权代表签署（签字或盖章），否则视为未提供。</w:t>
            </w:r>
          </w:p>
        </w:tc>
        <w:tc>
          <w:tcPr>
            <w:tcW w:w="1105" w:type="dxa"/>
            <w:vAlign w:val="center"/>
          </w:tcPr>
          <w:p w14:paraId="61562911">
            <w:pPr>
              <w:jc w:val="center"/>
              <w:rPr>
                <w:rFonts w:hint="eastAsia" w:ascii="宋体" w:hAnsi="宋体" w:eastAsia="宋体" w:cs="宋体"/>
                <w:sz w:val="18"/>
                <w:szCs w:val="18"/>
                <w:highlight w:val="none"/>
                <w:lang w:val="en-US" w:eastAsia="zh-CN"/>
              </w:rPr>
            </w:pPr>
          </w:p>
        </w:tc>
      </w:tr>
      <w:tr w14:paraId="0E5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98A8336">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w:t>
            </w:r>
          </w:p>
        </w:tc>
        <w:tc>
          <w:tcPr>
            <w:tcW w:w="7122" w:type="dxa"/>
            <w:vAlign w:val="center"/>
          </w:tcPr>
          <w:p w14:paraId="185D3714">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投标供应商需要说明的其他文件和说明</w:t>
            </w:r>
          </w:p>
        </w:tc>
        <w:tc>
          <w:tcPr>
            <w:tcW w:w="1105" w:type="dxa"/>
            <w:vAlign w:val="center"/>
          </w:tcPr>
          <w:p w14:paraId="79AF99F6">
            <w:pPr>
              <w:jc w:val="center"/>
              <w:rPr>
                <w:rFonts w:hint="eastAsia" w:ascii="宋体" w:hAnsi="宋体" w:eastAsia="宋体" w:cs="宋体"/>
                <w:sz w:val="18"/>
                <w:szCs w:val="18"/>
                <w:highlight w:val="none"/>
              </w:rPr>
            </w:pPr>
          </w:p>
        </w:tc>
      </w:tr>
      <w:tr w14:paraId="0F65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513224B">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6</w:t>
            </w:r>
          </w:p>
        </w:tc>
        <w:tc>
          <w:tcPr>
            <w:tcW w:w="7122" w:type="dxa"/>
            <w:vAlign w:val="center"/>
          </w:tcPr>
          <w:p w14:paraId="06085E35">
            <w:pPr>
              <w:numPr>
                <w:ilvl w:val="0"/>
                <w:numId w:val="0"/>
              </w:numPr>
              <w:snapToGrid w:val="0"/>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供应商投标时须随投标文件一起提供基于真实软件系统演示的视频录像，该视频录像要求用U盘储存，与技术资信标一起密封，并在投标截止时间前提交给代理公司（逾期的递交的，视为无演示）；</w:t>
            </w:r>
          </w:p>
          <w:p w14:paraId="0F7DF02E">
            <w:pPr>
              <w:numPr>
                <w:ilvl w:val="0"/>
                <w:numId w:val="0"/>
              </w:numPr>
              <w:snapToGrid w:val="0"/>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2、视频录像</w:t>
            </w:r>
            <w:r>
              <w:rPr>
                <w:rFonts w:hint="eastAsia" w:ascii="宋体" w:hAnsi="宋体" w:eastAsia="宋体" w:cs="宋体"/>
                <w:sz w:val="18"/>
                <w:szCs w:val="18"/>
                <w:highlight w:val="none"/>
              </w:rPr>
              <w:t>演示时间：不超过1</w:t>
            </w:r>
            <w:r>
              <w:rPr>
                <w:rFonts w:hint="eastAsia" w:ascii="宋体" w:hAnsi="宋体" w:eastAsia="宋体" w:cs="宋体"/>
                <w:sz w:val="18"/>
                <w:szCs w:val="18"/>
                <w:highlight w:val="none"/>
                <w:lang w:val="en-US" w:eastAsia="zh-CN"/>
              </w:rPr>
              <w:t>0</w:t>
            </w:r>
            <w:r>
              <w:rPr>
                <w:rFonts w:hint="eastAsia" w:ascii="宋体" w:hAnsi="宋体" w:eastAsia="宋体" w:cs="宋体"/>
                <w:sz w:val="18"/>
                <w:szCs w:val="18"/>
                <w:highlight w:val="none"/>
              </w:rPr>
              <w:t>分钟</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不接受现场陈述</w:t>
            </w:r>
            <w:r>
              <w:rPr>
                <w:rFonts w:hint="eastAsia" w:ascii="宋体" w:hAnsi="宋体" w:eastAsia="宋体" w:cs="宋体"/>
                <w:sz w:val="18"/>
                <w:szCs w:val="18"/>
                <w:highlight w:val="none"/>
              </w:rPr>
              <w:t>。</w:t>
            </w:r>
          </w:p>
          <w:p w14:paraId="116C1A05">
            <w:pPr>
              <w:numPr>
                <w:ilvl w:val="0"/>
                <w:numId w:val="0"/>
              </w:numPr>
              <w:snapToGrid w:val="0"/>
              <w:ind w:left="0" w:leftChars="0" w:firstLine="360" w:firstLineChars="200"/>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3、视频播放演示内容须与投标方案保持一致、与评分内容保持一致，演示顺序按投标文件递交的逆序进行，未做演示的不作无效标处理，但演示评分得0分，</w:t>
            </w:r>
            <w:r>
              <w:rPr>
                <w:rFonts w:hint="eastAsia" w:ascii="宋体" w:hAnsi="宋体" w:eastAsia="宋体" w:cs="宋体"/>
                <w:sz w:val="18"/>
                <w:szCs w:val="18"/>
                <w:highlight w:val="none"/>
              </w:rPr>
              <w:t>仅PPT与图片演示不得分。</w:t>
            </w:r>
          </w:p>
        </w:tc>
        <w:tc>
          <w:tcPr>
            <w:tcW w:w="1105" w:type="dxa"/>
            <w:vAlign w:val="center"/>
          </w:tcPr>
          <w:p w14:paraId="64A6B5C8">
            <w:pPr>
              <w:jc w:val="center"/>
              <w:rPr>
                <w:rFonts w:hint="eastAsia" w:ascii="宋体" w:hAnsi="宋体" w:eastAsia="宋体" w:cs="宋体"/>
                <w:sz w:val="18"/>
                <w:szCs w:val="18"/>
                <w:highlight w:val="none"/>
              </w:rPr>
            </w:pPr>
          </w:p>
        </w:tc>
      </w:tr>
    </w:tbl>
    <w:p w14:paraId="612D81BA">
      <w:pPr>
        <w:pStyle w:val="13"/>
        <w:rPr>
          <w:rFonts w:hint="eastAsia" w:ascii="宋体" w:hAnsi="宋体" w:eastAsia="宋体" w:cs="宋体"/>
          <w:snapToGrid w:val="0"/>
          <w:sz w:val="32"/>
          <w:szCs w:val="20"/>
          <w:highlight w:val="none"/>
        </w:rPr>
      </w:pPr>
    </w:p>
    <w:p w14:paraId="248F5F79">
      <w:pPr>
        <w:pStyle w:val="13"/>
        <w:rPr>
          <w:rFonts w:hint="eastAsia" w:ascii="宋体" w:hAnsi="宋体" w:eastAsia="宋体" w:cs="宋体"/>
          <w:snapToGrid w:val="0"/>
          <w:sz w:val="32"/>
          <w:szCs w:val="20"/>
          <w:highlight w:val="none"/>
        </w:rPr>
      </w:pPr>
    </w:p>
    <w:p w14:paraId="68EFD33C">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14:paraId="642093DE">
      <w:pPr>
        <w:pStyle w:val="10"/>
        <w:ind w:firstLine="210"/>
        <w:rPr>
          <w:rFonts w:hint="eastAsia" w:ascii="宋体" w:hAnsi="宋体" w:eastAsia="宋体" w:cs="宋体"/>
          <w:highlight w:val="none"/>
        </w:rPr>
      </w:pPr>
    </w:p>
    <w:p w14:paraId="05609AC5">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14:paraId="062B44F6">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6D77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25AAEC51">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14:paraId="2C238A08">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14:paraId="698DD32F">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14:paraId="2B00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BD54D39">
            <w:pPr>
              <w:spacing w:line="420" w:lineRule="exact"/>
              <w:jc w:val="center"/>
              <w:rPr>
                <w:rFonts w:hint="eastAsia" w:ascii="宋体" w:hAnsi="宋体" w:eastAsia="宋体" w:cs="宋体"/>
                <w:sz w:val="18"/>
                <w:szCs w:val="18"/>
                <w:highlight w:val="none"/>
              </w:rPr>
            </w:pPr>
          </w:p>
        </w:tc>
        <w:tc>
          <w:tcPr>
            <w:tcW w:w="5144" w:type="dxa"/>
            <w:vAlign w:val="center"/>
          </w:tcPr>
          <w:p w14:paraId="0807A3BB">
            <w:pPr>
              <w:spacing w:line="420" w:lineRule="exact"/>
              <w:jc w:val="center"/>
              <w:rPr>
                <w:rFonts w:hint="eastAsia" w:ascii="宋体" w:hAnsi="宋体" w:eastAsia="宋体" w:cs="宋体"/>
                <w:sz w:val="18"/>
                <w:szCs w:val="18"/>
                <w:highlight w:val="none"/>
              </w:rPr>
            </w:pPr>
          </w:p>
        </w:tc>
        <w:tc>
          <w:tcPr>
            <w:tcW w:w="2690" w:type="dxa"/>
            <w:vAlign w:val="center"/>
          </w:tcPr>
          <w:p w14:paraId="35968B7B">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70E2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340787E2">
            <w:pPr>
              <w:spacing w:line="420" w:lineRule="exact"/>
              <w:jc w:val="center"/>
              <w:rPr>
                <w:rFonts w:hint="eastAsia" w:ascii="宋体" w:hAnsi="宋体" w:eastAsia="宋体" w:cs="宋体"/>
                <w:sz w:val="18"/>
                <w:szCs w:val="18"/>
                <w:highlight w:val="none"/>
              </w:rPr>
            </w:pPr>
          </w:p>
        </w:tc>
        <w:tc>
          <w:tcPr>
            <w:tcW w:w="5144" w:type="dxa"/>
            <w:vAlign w:val="center"/>
          </w:tcPr>
          <w:p w14:paraId="205A9A0E">
            <w:pPr>
              <w:spacing w:line="420" w:lineRule="exact"/>
              <w:jc w:val="center"/>
              <w:rPr>
                <w:rFonts w:hint="eastAsia" w:ascii="宋体" w:hAnsi="宋体" w:eastAsia="宋体" w:cs="宋体"/>
                <w:sz w:val="18"/>
                <w:szCs w:val="18"/>
                <w:highlight w:val="none"/>
              </w:rPr>
            </w:pPr>
          </w:p>
        </w:tc>
        <w:tc>
          <w:tcPr>
            <w:tcW w:w="2690" w:type="dxa"/>
            <w:vAlign w:val="center"/>
          </w:tcPr>
          <w:p w14:paraId="7244FCB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0914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C58BCC2">
            <w:pPr>
              <w:spacing w:line="420" w:lineRule="exact"/>
              <w:jc w:val="center"/>
              <w:rPr>
                <w:rFonts w:hint="eastAsia" w:ascii="宋体" w:hAnsi="宋体" w:eastAsia="宋体" w:cs="宋体"/>
                <w:sz w:val="18"/>
                <w:szCs w:val="18"/>
                <w:highlight w:val="none"/>
              </w:rPr>
            </w:pPr>
          </w:p>
        </w:tc>
        <w:tc>
          <w:tcPr>
            <w:tcW w:w="5144" w:type="dxa"/>
            <w:vAlign w:val="center"/>
          </w:tcPr>
          <w:p w14:paraId="22959FC4">
            <w:pPr>
              <w:spacing w:line="420" w:lineRule="exact"/>
              <w:jc w:val="center"/>
              <w:rPr>
                <w:rFonts w:hint="eastAsia" w:ascii="宋体" w:hAnsi="宋体" w:eastAsia="宋体" w:cs="宋体"/>
                <w:sz w:val="18"/>
                <w:szCs w:val="18"/>
                <w:highlight w:val="none"/>
              </w:rPr>
            </w:pPr>
          </w:p>
        </w:tc>
        <w:tc>
          <w:tcPr>
            <w:tcW w:w="2690" w:type="dxa"/>
            <w:vAlign w:val="center"/>
          </w:tcPr>
          <w:p w14:paraId="59F2046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5030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3FBA178">
            <w:pPr>
              <w:spacing w:line="420" w:lineRule="exact"/>
              <w:jc w:val="center"/>
              <w:rPr>
                <w:rFonts w:hint="eastAsia" w:ascii="宋体" w:hAnsi="宋体" w:eastAsia="宋体" w:cs="宋体"/>
                <w:sz w:val="18"/>
                <w:szCs w:val="18"/>
                <w:highlight w:val="none"/>
              </w:rPr>
            </w:pPr>
          </w:p>
        </w:tc>
        <w:tc>
          <w:tcPr>
            <w:tcW w:w="5144" w:type="dxa"/>
            <w:vAlign w:val="center"/>
          </w:tcPr>
          <w:p w14:paraId="284689CD">
            <w:pPr>
              <w:spacing w:line="420" w:lineRule="exact"/>
              <w:jc w:val="center"/>
              <w:rPr>
                <w:rFonts w:hint="eastAsia" w:ascii="宋体" w:hAnsi="宋体" w:eastAsia="宋体" w:cs="宋体"/>
                <w:sz w:val="18"/>
                <w:szCs w:val="18"/>
                <w:highlight w:val="none"/>
              </w:rPr>
            </w:pPr>
          </w:p>
        </w:tc>
        <w:tc>
          <w:tcPr>
            <w:tcW w:w="2690" w:type="dxa"/>
            <w:vAlign w:val="center"/>
          </w:tcPr>
          <w:p w14:paraId="6A4376E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33A3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B7AE8CA">
            <w:pPr>
              <w:spacing w:line="420" w:lineRule="exact"/>
              <w:jc w:val="center"/>
              <w:rPr>
                <w:rFonts w:hint="eastAsia" w:ascii="宋体" w:hAnsi="宋体" w:eastAsia="宋体" w:cs="宋体"/>
                <w:sz w:val="18"/>
                <w:szCs w:val="18"/>
                <w:highlight w:val="none"/>
              </w:rPr>
            </w:pPr>
          </w:p>
        </w:tc>
        <w:tc>
          <w:tcPr>
            <w:tcW w:w="5144" w:type="dxa"/>
            <w:vAlign w:val="center"/>
          </w:tcPr>
          <w:p w14:paraId="0C04BD38">
            <w:pPr>
              <w:spacing w:line="420" w:lineRule="exact"/>
              <w:jc w:val="center"/>
              <w:rPr>
                <w:rFonts w:hint="eastAsia" w:ascii="宋体" w:hAnsi="宋体" w:eastAsia="宋体" w:cs="宋体"/>
                <w:sz w:val="18"/>
                <w:szCs w:val="18"/>
                <w:highlight w:val="none"/>
              </w:rPr>
            </w:pPr>
          </w:p>
        </w:tc>
        <w:tc>
          <w:tcPr>
            <w:tcW w:w="2690" w:type="dxa"/>
            <w:vAlign w:val="center"/>
          </w:tcPr>
          <w:p w14:paraId="758AD9D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6A27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C19477B">
            <w:pPr>
              <w:spacing w:line="420" w:lineRule="exact"/>
              <w:jc w:val="center"/>
              <w:rPr>
                <w:rFonts w:hint="eastAsia" w:ascii="宋体" w:hAnsi="宋体" w:eastAsia="宋体" w:cs="宋体"/>
                <w:sz w:val="18"/>
                <w:szCs w:val="18"/>
                <w:highlight w:val="none"/>
              </w:rPr>
            </w:pPr>
          </w:p>
        </w:tc>
        <w:tc>
          <w:tcPr>
            <w:tcW w:w="5144" w:type="dxa"/>
            <w:vAlign w:val="center"/>
          </w:tcPr>
          <w:p w14:paraId="63B0AEF2">
            <w:pPr>
              <w:spacing w:line="420" w:lineRule="exact"/>
              <w:jc w:val="center"/>
              <w:rPr>
                <w:rFonts w:hint="eastAsia" w:ascii="宋体" w:hAnsi="宋体" w:eastAsia="宋体" w:cs="宋体"/>
                <w:sz w:val="18"/>
                <w:szCs w:val="18"/>
                <w:highlight w:val="none"/>
              </w:rPr>
            </w:pPr>
          </w:p>
        </w:tc>
        <w:tc>
          <w:tcPr>
            <w:tcW w:w="2690" w:type="dxa"/>
            <w:vAlign w:val="center"/>
          </w:tcPr>
          <w:p w14:paraId="38A7BE9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7C0F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961E450">
            <w:pPr>
              <w:spacing w:line="420" w:lineRule="exact"/>
              <w:jc w:val="center"/>
              <w:rPr>
                <w:rFonts w:hint="eastAsia" w:ascii="宋体" w:hAnsi="宋体" w:eastAsia="宋体" w:cs="宋体"/>
                <w:sz w:val="18"/>
                <w:szCs w:val="18"/>
                <w:highlight w:val="none"/>
              </w:rPr>
            </w:pPr>
          </w:p>
        </w:tc>
        <w:tc>
          <w:tcPr>
            <w:tcW w:w="5144" w:type="dxa"/>
            <w:vAlign w:val="center"/>
          </w:tcPr>
          <w:p w14:paraId="2C4822B6">
            <w:pPr>
              <w:spacing w:line="420" w:lineRule="exact"/>
              <w:jc w:val="center"/>
              <w:rPr>
                <w:rFonts w:hint="eastAsia" w:ascii="宋体" w:hAnsi="宋体" w:eastAsia="宋体" w:cs="宋体"/>
                <w:sz w:val="18"/>
                <w:szCs w:val="18"/>
                <w:highlight w:val="none"/>
              </w:rPr>
            </w:pPr>
          </w:p>
        </w:tc>
        <w:tc>
          <w:tcPr>
            <w:tcW w:w="2690" w:type="dxa"/>
            <w:vAlign w:val="center"/>
          </w:tcPr>
          <w:p w14:paraId="50A08D1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14:paraId="29B05A3D">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14:paraId="7B9D21CC">
      <w:pPr>
        <w:pStyle w:val="57"/>
        <w:numPr>
          <w:ilvl w:val="0"/>
          <w:numId w:val="25"/>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建议此表放在技术资信标封面后第一页，方便评委打分时可以快速查阅到与评分项有关的内容。</w:t>
      </w:r>
    </w:p>
    <w:p w14:paraId="5545DD4A">
      <w:pPr>
        <w:pStyle w:val="57"/>
        <w:numPr>
          <w:ilvl w:val="0"/>
          <w:numId w:val="25"/>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14:paraId="587B4579">
      <w:pPr>
        <w:pStyle w:val="10"/>
        <w:ind w:firstLine="210"/>
        <w:rPr>
          <w:rFonts w:hint="eastAsia" w:ascii="宋体" w:hAnsi="宋体" w:eastAsia="宋体" w:cs="宋体"/>
          <w:highlight w:val="none"/>
        </w:rPr>
      </w:pPr>
    </w:p>
    <w:p w14:paraId="5C202D5C">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14:paraId="27B71CE9">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14:paraId="4FF9254A">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温州菜篮子集团有限公司</w:t>
      </w:r>
      <w:r>
        <w:rPr>
          <w:rFonts w:hint="eastAsia" w:ascii="宋体" w:hAnsi="宋体" w:eastAsia="宋体" w:cs="宋体"/>
          <w:sz w:val="22"/>
          <w:highlight w:val="none"/>
        </w:rPr>
        <w:t>：</w:t>
      </w:r>
    </w:p>
    <w:p w14:paraId="36A4FD32">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14:paraId="76652024">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14:paraId="415BFD1F">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14:paraId="4CFB3BA4">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14:paraId="025BF153">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14:paraId="3682AD53">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14:paraId="3910D411">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14:paraId="0E54A4E6">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w:t>
      </w:r>
      <w:r>
        <w:rPr>
          <w:rFonts w:hint="eastAsia" w:ascii="宋体" w:hAnsi="宋体" w:eastAsia="宋体" w:cs="宋体"/>
          <w:sz w:val="22"/>
          <w:szCs w:val="24"/>
          <w:highlight w:val="none"/>
          <w:lang w:val="en-US" w:eastAsia="zh-CN"/>
        </w:rPr>
        <w:t>不予退还</w:t>
      </w:r>
      <w:r>
        <w:rPr>
          <w:rFonts w:hint="eastAsia" w:ascii="宋体" w:hAnsi="宋体" w:eastAsia="宋体" w:cs="宋体"/>
          <w:sz w:val="22"/>
          <w:szCs w:val="24"/>
          <w:highlight w:val="none"/>
        </w:rPr>
        <w:t>；</w:t>
      </w:r>
    </w:p>
    <w:p w14:paraId="70348C1D">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14:paraId="79B923FC">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14:paraId="460038DC">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14:paraId="65A6394E">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14:paraId="29ED242B">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14:paraId="3592D3F3">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14:paraId="0723FC1B">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14:paraId="0FD392B2">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14:paraId="0DE3CB14">
      <w:pPr>
        <w:spacing w:line="360" w:lineRule="auto"/>
        <w:rPr>
          <w:rFonts w:hint="eastAsia" w:ascii="宋体" w:hAnsi="宋体" w:eastAsia="宋体" w:cs="宋体"/>
          <w:bCs/>
          <w:sz w:val="22"/>
          <w:highlight w:val="none"/>
        </w:rPr>
      </w:pPr>
    </w:p>
    <w:p w14:paraId="52836787">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14:paraId="0986DC84">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14:paraId="11A2646B">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14:paraId="3BEDBB24">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14:paraId="654E2A97">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64C79BF5">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14:paraId="3E706FD8">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14:paraId="266DEC93">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1B827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505BCB20">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4B0874AC">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0F6DB371">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14:paraId="0C38F83D">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14:paraId="61854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3F381830">
            <w:pPr>
              <w:jc w:val="center"/>
              <w:rPr>
                <w:rFonts w:hint="eastAsia" w:ascii="宋体" w:hAnsi="宋体" w:eastAsia="宋体" w:cs="宋体"/>
                <w:sz w:val="22"/>
                <w:highlight w:val="none"/>
              </w:rPr>
            </w:pPr>
          </w:p>
        </w:tc>
        <w:tc>
          <w:tcPr>
            <w:tcW w:w="1115" w:type="dxa"/>
            <w:vAlign w:val="center"/>
          </w:tcPr>
          <w:p w14:paraId="17EDB278">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29F883A7">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14:paraId="4EE2B977">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14:paraId="75ED92FC">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14:paraId="1919FF42">
            <w:pPr>
              <w:autoSpaceDE w:val="0"/>
              <w:autoSpaceDN w:val="0"/>
              <w:adjustRightInd w:val="0"/>
              <w:jc w:val="center"/>
              <w:rPr>
                <w:rFonts w:hint="eastAsia" w:ascii="宋体" w:hAnsi="宋体" w:eastAsia="宋体" w:cs="宋体"/>
                <w:sz w:val="22"/>
                <w:highlight w:val="none"/>
              </w:rPr>
            </w:pPr>
          </w:p>
        </w:tc>
      </w:tr>
      <w:tr w14:paraId="471E8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78A16870">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14:paraId="570E759F">
            <w:pPr>
              <w:jc w:val="center"/>
              <w:rPr>
                <w:rFonts w:hint="eastAsia" w:ascii="宋体" w:hAnsi="宋体" w:eastAsia="宋体" w:cs="宋体"/>
                <w:sz w:val="22"/>
                <w:highlight w:val="none"/>
              </w:rPr>
            </w:pPr>
          </w:p>
        </w:tc>
        <w:tc>
          <w:tcPr>
            <w:tcW w:w="2634" w:type="dxa"/>
            <w:vAlign w:val="center"/>
          </w:tcPr>
          <w:p w14:paraId="4EB57513">
            <w:pPr>
              <w:jc w:val="center"/>
              <w:rPr>
                <w:rFonts w:hint="eastAsia" w:ascii="宋体" w:hAnsi="宋体" w:eastAsia="宋体" w:cs="宋体"/>
                <w:sz w:val="22"/>
                <w:highlight w:val="none"/>
              </w:rPr>
            </w:pPr>
          </w:p>
        </w:tc>
        <w:tc>
          <w:tcPr>
            <w:tcW w:w="1210" w:type="dxa"/>
            <w:gridSpan w:val="2"/>
            <w:vAlign w:val="center"/>
          </w:tcPr>
          <w:p w14:paraId="5A803D49">
            <w:pPr>
              <w:jc w:val="center"/>
              <w:rPr>
                <w:rFonts w:hint="eastAsia" w:ascii="宋体" w:hAnsi="宋体" w:eastAsia="宋体" w:cs="宋体"/>
                <w:sz w:val="22"/>
                <w:highlight w:val="none"/>
              </w:rPr>
            </w:pPr>
          </w:p>
        </w:tc>
        <w:tc>
          <w:tcPr>
            <w:tcW w:w="2323" w:type="dxa"/>
            <w:vAlign w:val="center"/>
          </w:tcPr>
          <w:p w14:paraId="4B868C4D">
            <w:pPr>
              <w:jc w:val="center"/>
              <w:rPr>
                <w:rFonts w:hint="eastAsia" w:ascii="宋体" w:hAnsi="宋体" w:eastAsia="宋体" w:cs="宋体"/>
                <w:sz w:val="22"/>
                <w:highlight w:val="none"/>
              </w:rPr>
            </w:pPr>
          </w:p>
        </w:tc>
        <w:tc>
          <w:tcPr>
            <w:tcW w:w="1147" w:type="dxa"/>
            <w:vAlign w:val="center"/>
          </w:tcPr>
          <w:p w14:paraId="66B5EBDC">
            <w:pPr>
              <w:jc w:val="center"/>
              <w:rPr>
                <w:rFonts w:hint="eastAsia" w:ascii="宋体" w:hAnsi="宋体" w:eastAsia="宋体" w:cs="宋体"/>
                <w:sz w:val="22"/>
                <w:highlight w:val="none"/>
              </w:rPr>
            </w:pPr>
          </w:p>
        </w:tc>
      </w:tr>
      <w:tr w14:paraId="673A7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6398740">
            <w:pPr>
              <w:jc w:val="center"/>
              <w:rPr>
                <w:rFonts w:hint="eastAsia" w:ascii="宋体" w:hAnsi="宋体" w:eastAsia="宋体" w:cs="宋体"/>
                <w:sz w:val="22"/>
                <w:highlight w:val="none"/>
              </w:rPr>
            </w:pPr>
          </w:p>
        </w:tc>
        <w:tc>
          <w:tcPr>
            <w:tcW w:w="1115" w:type="dxa"/>
            <w:vAlign w:val="center"/>
          </w:tcPr>
          <w:p w14:paraId="0A8D338F">
            <w:pPr>
              <w:jc w:val="center"/>
              <w:rPr>
                <w:rFonts w:hint="eastAsia" w:ascii="宋体" w:hAnsi="宋体" w:eastAsia="宋体" w:cs="宋体"/>
                <w:sz w:val="22"/>
                <w:highlight w:val="none"/>
              </w:rPr>
            </w:pPr>
          </w:p>
        </w:tc>
        <w:tc>
          <w:tcPr>
            <w:tcW w:w="2634" w:type="dxa"/>
            <w:vAlign w:val="center"/>
          </w:tcPr>
          <w:p w14:paraId="5BD63F76">
            <w:pPr>
              <w:jc w:val="center"/>
              <w:rPr>
                <w:rFonts w:hint="eastAsia" w:ascii="宋体" w:hAnsi="宋体" w:eastAsia="宋体" w:cs="宋体"/>
                <w:sz w:val="22"/>
                <w:highlight w:val="none"/>
              </w:rPr>
            </w:pPr>
          </w:p>
        </w:tc>
        <w:tc>
          <w:tcPr>
            <w:tcW w:w="1210" w:type="dxa"/>
            <w:gridSpan w:val="2"/>
            <w:vAlign w:val="center"/>
          </w:tcPr>
          <w:p w14:paraId="54434EDF">
            <w:pPr>
              <w:jc w:val="center"/>
              <w:rPr>
                <w:rFonts w:hint="eastAsia" w:ascii="宋体" w:hAnsi="宋体" w:eastAsia="宋体" w:cs="宋体"/>
                <w:sz w:val="22"/>
                <w:highlight w:val="none"/>
              </w:rPr>
            </w:pPr>
          </w:p>
        </w:tc>
        <w:tc>
          <w:tcPr>
            <w:tcW w:w="2323" w:type="dxa"/>
            <w:vAlign w:val="center"/>
          </w:tcPr>
          <w:p w14:paraId="0DDD5D8D">
            <w:pPr>
              <w:jc w:val="center"/>
              <w:rPr>
                <w:rFonts w:hint="eastAsia" w:ascii="宋体" w:hAnsi="宋体" w:eastAsia="宋体" w:cs="宋体"/>
                <w:sz w:val="22"/>
                <w:highlight w:val="none"/>
              </w:rPr>
            </w:pPr>
          </w:p>
        </w:tc>
        <w:tc>
          <w:tcPr>
            <w:tcW w:w="1147" w:type="dxa"/>
            <w:vAlign w:val="center"/>
          </w:tcPr>
          <w:p w14:paraId="1D8BCA48">
            <w:pPr>
              <w:jc w:val="center"/>
              <w:rPr>
                <w:rFonts w:hint="eastAsia" w:ascii="宋体" w:hAnsi="宋体" w:eastAsia="宋体" w:cs="宋体"/>
                <w:sz w:val="22"/>
                <w:highlight w:val="none"/>
              </w:rPr>
            </w:pPr>
          </w:p>
        </w:tc>
      </w:tr>
      <w:tr w14:paraId="7D90A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94FE712">
            <w:pPr>
              <w:jc w:val="center"/>
              <w:rPr>
                <w:rFonts w:hint="eastAsia" w:ascii="宋体" w:hAnsi="宋体" w:eastAsia="宋体" w:cs="宋体"/>
                <w:sz w:val="22"/>
                <w:highlight w:val="none"/>
              </w:rPr>
            </w:pPr>
          </w:p>
        </w:tc>
        <w:tc>
          <w:tcPr>
            <w:tcW w:w="1115" w:type="dxa"/>
            <w:vAlign w:val="center"/>
          </w:tcPr>
          <w:p w14:paraId="3528F955">
            <w:pPr>
              <w:jc w:val="center"/>
              <w:rPr>
                <w:rFonts w:hint="eastAsia" w:ascii="宋体" w:hAnsi="宋体" w:eastAsia="宋体" w:cs="宋体"/>
                <w:sz w:val="22"/>
                <w:highlight w:val="none"/>
              </w:rPr>
            </w:pPr>
          </w:p>
        </w:tc>
        <w:tc>
          <w:tcPr>
            <w:tcW w:w="2634" w:type="dxa"/>
            <w:vAlign w:val="center"/>
          </w:tcPr>
          <w:p w14:paraId="5A39EA91">
            <w:pPr>
              <w:jc w:val="center"/>
              <w:rPr>
                <w:rFonts w:hint="eastAsia" w:ascii="宋体" w:hAnsi="宋体" w:eastAsia="宋体" w:cs="宋体"/>
                <w:sz w:val="22"/>
                <w:highlight w:val="none"/>
              </w:rPr>
            </w:pPr>
          </w:p>
        </w:tc>
        <w:tc>
          <w:tcPr>
            <w:tcW w:w="1210" w:type="dxa"/>
            <w:gridSpan w:val="2"/>
            <w:vAlign w:val="center"/>
          </w:tcPr>
          <w:p w14:paraId="6AE14C66">
            <w:pPr>
              <w:jc w:val="center"/>
              <w:rPr>
                <w:rFonts w:hint="eastAsia" w:ascii="宋体" w:hAnsi="宋体" w:eastAsia="宋体" w:cs="宋体"/>
                <w:sz w:val="22"/>
                <w:highlight w:val="none"/>
              </w:rPr>
            </w:pPr>
          </w:p>
        </w:tc>
        <w:tc>
          <w:tcPr>
            <w:tcW w:w="2323" w:type="dxa"/>
            <w:vAlign w:val="center"/>
          </w:tcPr>
          <w:p w14:paraId="625A9A32">
            <w:pPr>
              <w:jc w:val="center"/>
              <w:rPr>
                <w:rFonts w:hint="eastAsia" w:ascii="宋体" w:hAnsi="宋体" w:eastAsia="宋体" w:cs="宋体"/>
                <w:sz w:val="22"/>
                <w:highlight w:val="none"/>
              </w:rPr>
            </w:pPr>
          </w:p>
        </w:tc>
        <w:tc>
          <w:tcPr>
            <w:tcW w:w="1147" w:type="dxa"/>
            <w:vAlign w:val="center"/>
          </w:tcPr>
          <w:p w14:paraId="76C06934">
            <w:pPr>
              <w:jc w:val="center"/>
              <w:rPr>
                <w:rFonts w:hint="eastAsia" w:ascii="宋体" w:hAnsi="宋体" w:eastAsia="宋体" w:cs="宋体"/>
                <w:sz w:val="22"/>
                <w:highlight w:val="none"/>
              </w:rPr>
            </w:pPr>
          </w:p>
        </w:tc>
      </w:tr>
      <w:tr w14:paraId="652F5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E0442D4">
            <w:pPr>
              <w:jc w:val="center"/>
              <w:rPr>
                <w:rFonts w:hint="eastAsia" w:ascii="宋体" w:hAnsi="宋体" w:eastAsia="宋体" w:cs="宋体"/>
                <w:sz w:val="22"/>
                <w:highlight w:val="none"/>
              </w:rPr>
            </w:pPr>
          </w:p>
        </w:tc>
        <w:tc>
          <w:tcPr>
            <w:tcW w:w="1115" w:type="dxa"/>
            <w:vAlign w:val="center"/>
          </w:tcPr>
          <w:p w14:paraId="4C6B9F07">
            <w:pPr>
              <w:jc w:val="center"/>
              <w:rPr>
                <w:rFonts w:hint="eastAsia" w:ascii="宋体" w:hAnsi="宋体" w:eastAsia="宋体" w:cs="宋体"/>
                <w:sz w:val="22"/>
                <w:highlight w:val="none"/>
              </w:rPr>
            </w:pPr>
          </w:p>
        </w:tc>
        <w:tc>
          <w:tcPr>
            <w:tcW w:w="2634" w:type="dxa"/>
            <w:vAlign w:val="center"/>
          </w:tcPr>
          <w:p w14:paraId="1DA8391A">
            <w:pPr>
              <w:jc w:val="center"/>
              <w:rPr>
                <w:rFonts w:hint="eastAsia" w:ascii="宋体" w:hAnsi="宋体" w:eastAsia="宋体" w:cs="宋体"/>
                <w:sz w:val="22"/>
                <w:highlight w:val="none"/>
              </w:rPr>
            </w:pPr>
          </w:p>
        </w:tc>
        <w:tc>
          <w:tcPr>
            <w:tcW w:w="1210" w:type="dxa"/>
            <w:gridSpan w:val="2"/>
            <w:vAlign w:val="center"/>
          </w:tcPr>
          <w:p w14:paraId="2CE29352">
            <w:pPr>
              <w:jc w:val="center"/>
              <w:rPr>
                <w:rFonts w:hint="eastAsia" w:ascii="宋体" w:hAnsi="宋体" w:eastAsia="宋体" w:cs="宋体"/>
                <w:sz w:val="22"/>
                <w:highlight w:val="none"/>
              </w:rPr>
            </w:pPr>
          </w:p>
        </w:tc>
        <w:tc>
          <w:tcPr>
            <w:tcW w:w="2323" w:type="dxa"/>
            <w:vAlign w:val="center"/>
          </w:tcPr>
          <w:p w14:paraId="2B1178E7">
            <w:pPr>
              <w:jc w:val="center"/>
              <w:rPr>
                <w:rFonts w:hint="eastAsia" w:ascii="宋体" w:hAnsi="宋体" w:eastAsia="宋体" w:cs="宋体"/>
                <w:sz w:val="22"/>
                <w:highlight w:val="none"/>
              </w:rPr>
            </w:pPr>
          </w:p>
        </w:tc>
        <w:tc>
          <w:tcPr>
            <w:tcW w:w="1147" w:type="dxa"/>
            <w:vAlign w:val="center"/>
          </w:tcPr>
          <w:p w14:paraId="52B2F11E">
            <w:pPr>
              <w:jc w:val="center"/>
              <w:rPr>
                <w:rFonts w:hint="eastAsia" w:ascii="宋体" w:hAnsi="宋体" w:eastAsia="宋体" w:cs="宋体"/>
                <w:sz w:val="22"/>
                <w:highlight w:val="none"/>
              </w:rPr>
            </w:pPr>
          </w:p>
        </w:tc>
      </w:tr>
      <w:tr w14:paraId="0A4B4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03D2F10">
            <w:pPr>
              <w:jc w:val="center"/>
              <w:rPr>
                <w:rFonts w:hint="eastAsia" w:ascii="宋体" w:hAnsi="宋体" w:eastAsia="宋体" w:cs="宋体"/>
                <w:sz w:val="22"/>
                <w:highlight w:val="none"/>
              </w:rPr>
            </w:pPr>
          </w:p>
        </w:tc>
        <w:tc>
          <w:tcPr>
            <w:tcW w:w="1115" w:type="dxa"/>
            <w:vAlign w:val="center"/>
          </w:tcPr>
          <w:p w14:paraId="61F7C9A9">
            <w:pPr>
              <w:jc w:val="center"/>
              <w:rPr>
                <w:rFonts w:hint="eastAsia" w:ascii="宋体" w:hAnsi="宋体" w:eastAsia="宋体" w:cs="宋体"/>
                <w:sz w:val="22"/>
                <w:highlight w:val="none"/>
              </w:rPr>
            </w:pPr>
          </w:p>
        </w:tc>
        <w:tc>
          <w:tcPr>
            <w:tcW w:w="2634" w:type="dxa"/>
            <w:vAlign w:val="center"/>
          </w:tcPr>
          <w:p w14:paraId="56E3B750">
            <w:pPr>
              <w:jc w:val="center"/>
              <w:rPr>
                <w:rFonts w:hint="eastAsia" w:ascii="宋体" w:hAnsi="宋体" w:eastAsia="宋体" w:cs="宋体"/>
                <w:sz w:val="22"/>
                <w:highlight w:val="none"/>
              </w:rPr>
            </w:pPr>
          </w:p>
        </w:tc>
        <w:tc>
          <w:tcPr>
            <w:tcW w:w="1210" w:type="dxa"/>
            <w:gridSpan w:val="2"/>
            <w:vAlign w:val="center"/>
          </w:tcPr>
          <w:p w14:paraId="2AC70B70">
            <w:pPr>
              <w:jc w:val="center"/>
              <w:rPr>
                <w:rFonts w:hint="eastAsia" w:ascii="宋体" w:hAnsi="宋体" w:eastAsia="宋体" w:cs="宋体"/>
                <w:sz w:val="22"/>
                <w:highlight w:val="none"/>
              </w:rPr>
            </w:pPr>
          </w:p>
        </w:tc>
        <w:tc>
          <w:tcPr>
            <w:tcW w:w="2323" w:type="dxa"/>
            <w:vAlign w:val="center"/>
          </w:tcPr>
          <w:p w14:paraId="42B4C50C">
            <w:pPr>
              <w:jc w:val="center"/>
              <w:rPr>
                <w:rFonts w:hint="eastAsia" w:ascii="宋体" w:hAnsi="宋体" w:eastAsia="宋体" w:cs="宋体"/>
                <w:sz w:val="22"/>
                <w:highlight w:val="none"/>
              </w:rPr>
            </w:pPr>
          </w:p>
        </w:tc>
        <w:tc>
          <w:tcPr>
            <w:tcW w:w="1147" w:type="dxa"/>
            <w:vAlign w:val="center"/>
          </w:tcPr>
          <w:p w14:paraId="3985B960">
            <w:pPr>
              <w:jc w:val="center"/>
              <w:rPr>
                <w:rFonts w:hint="eastAsia" w:ascii="宋体" w:hAnsi="宋体" w:eastAsia="宋体" w:cs="宋体"/>
                <w:sz w:val="22"/>
                <w:highlight w:val="none"/>
              </w:rPr>
            </w:pPr>
          </w:p>
        </w:tc>
      </w:tr>
      <w:tr w14:paraId="46167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1FA92DC">
            <w:pPr>
              <w:jc w:val="center"/>
              <w:rPr>
                <w:rFonts w:hint="eastAsia" w:ascii="宋体" w:hAnsi="宋体" w:eastAsia="宋体" w:cs="宋体"/>
                <w:sz w:val="22"/>
                <w:highlight w:val="none"/>
              </w:rPr>
            </w:pPr>
          </w:p>
        </w:tc>
        <w:tc>
          <w:tcPr>
            <w:tcW w:w="1115" w:type="dxa"/>
            <w:vAlign w:val="center"/>
          </w:tcPr>
          <w:p w14:paraId="6BE1302C">
            <w:pPr>
              <w:jc w:val="center"/>
              <w:rPr>
                <w:rFonts w:hint="eastAsia" w:ascii="宋体" w:hAnsi="宋体" w:eastAsia="宋体" w:cs="宋体"/>
                <w:sz w:val="22"/>
                <w:highlight w:val="none"/>
              </w:rPr>
            </w:pPr>
          </w:p>
        </w:tc>
        <w:tc>
          <w:tcPr>
            <w:tcW w:w="2634" w:type="dxa"/>
            <w:vAlign w:val="center"/>
          </w:tcPr>
          <w:p w14:paraId="5E4ECA58">
            <w:pPr>
              <w:jc w:val="center"/>
              <w:rPr>
                <w:rFonts w:hint="eastAsia" w:ascii="宋体" w:hAnsi="宋体" w:eastAsia="宋体" w:cs="宋体"/>
                <w:sz w:val="22"/>
                <w:highlight w:val="none"/>
              </w:rPr>
            </w:pPr>
          </w:p>
        </w:tc>
        <w:tc>
          <w:tcPr>
            <w:tcW w:w="1210" w:type="dxa"/>
            <w:gridSpan w:val="2"/>
            <w:vAlign w:val="center"/>
          </w:tcPr>
          <w:p w14:paraId="526BB67F">
            <w:pPr>
              <w:jc w:val="center"/>
              <w:rPr>
                <w:rFonts w:hint="eastAsia" w:ascii="宋体" w:hAnsi="宋体" w:eastAsia="宋体" w:cs="宋体"/>
                <w:sz w:val="22"/>
                <w:highlight w:val="none"/>
              </w:rPr>
            </w:pPr>
          </w:p>
        </w:tc>
        <w:tc>
          <w:tcPr>
            <w:tcW w:w="2323" w:type="dxa"/>
            <w:vAlign w:val="center"/>
          </w:tcPr>
          <w:p w14:paraId="29BF76FD">
            <w:pPr>
              <w:jc w:val="center"/>
              <w:rPr>
                <w:rFonts w:hint="eastAsia" w:ascii="宋体" w:hAnsi="宋体" w:eastAsia="宋体" w:cs="宋体"/>
                <w:sz w:val="22"/>
                <w:highlight w:val="none"/>
              </w:rPr>
            </w:pPr>
          </w:p>
        </w:tc>
        <w:tc>
          <w:tcPr>
            <w:tcW w:w="1147" w:type="dxa"/>
            <w:vAlign w:val="center"/>
          </w:tcPr>
          <w:p w14:paraId="25DF86F2">
            <w:pPr>
              <w:jc w:val="center"/>
              <w:rPr>
                <w:rFonts w:hint="eastAsia" w:ascii="宋体" w:hAnsi="宋体" w:eastAsia="宋体" w:cs="宋体"/>
                <w:sz w:val="22"/>
                <w:highlight w:val="none"/>
              </w:rPr>
            </w:pPr>
          </w:p>
        </w:tc>
      </w:tr>
      <w:tr w14:paraId="37CC3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0896BF82">
            <w:pPr>
              <w:jc w:val="center"/>
              <w:rPr>
                <w:rFonts w:hint="eastAsia" w:ascii="宋体" w:hAnsi="宋体" w:eastAsia="宋体" w:cs="宋体"/>
                <w:sz w:val="22"/>
                <w:highlight w:val="none"/>
              </w:rPr>
            </w:pPr>
          </w:p>
        </w:tc>
        <w:tc>
          <w:tcPr>
            <w:tcW w:w="1115" w:type="dxa"/>
            <w:vAlign w:val="center"/>
          </w:tcPr>
          <w:p w14:paraId="5AEFC084">
            <w:pPr>
              <w:jc w:val="center"/>
              <w:rPr>
                <w:rFonts w:hint="eastAsia" w:ascii="宋体" w:hAnsi="宋体" w:eastAsia="宋体" w:cs="宋体"/>
                <w:sz w:val="22"/>
                <w:highlight w:val="none"/>
              </w:rPr>
            </w:pPr>
          </w:p>
        </w:tc>
        <w:tc>
          <w:tcPr>
            <w:tcW w:w="2634" w:type="dxa"/>
            <w:vAlign w:val="center"/>
          </w:tcPr>
          <w:p w14:paraId="6BC43418">
            <w:pPr>
              <w:jc w:val="center"/>
              <w:rPr>
                <w:rFonts w:hint="eastAsia" w:ascii="宋体" w:hAnsi="宋体" w:eastAsia="宋体" w:cs="宋体"/>
                <w:sz w:val="22"/>
                <w:highlight w:val="none"/>
              </w:rPr>
            </w:pPr>
          </w:p>
        </w:tc>
        <w:tc>
          <w:tcPr>
            <w:tcW w:w="1210" w:type="dxa"/>
            <w:gridSpan w:val="2"/>
            <w:vAlign w:val="center"/>
          </w:tcPr>
          <w:p w14:paraId="09C6C8C8">
            <w:pPr>
              <w:jc w:val="center"/>
              <w:rPr>
                <w:rFonts w:hint="eastAsia" w:ascii="宋体" w:hAnsi="宋体" w:eastAsia="宋体" w:cs="宋体"/>
                <w:sz w:val="22"/>
                <w:highlight w:val="none"/>
              </w:rPr>
            </w:pPr>
          </w:p>
        </w:tc>
        <w:tc>
          <w:tcPr>
            <w:tcW w:w="2323" w:type="dxa"/>
            <w:vAlign w:val="center"/>
          </w:tcPr>
          <w:p w14:paraId="219D4527">
            <w:pPr>
              <w:jc w:val="center"/>
              <w:rPr>
                <w:rFonts w:hint="eastAsia" w:ascii="宋体" w:hAnsi="宋体" w:eastAsia="宋体" w:cs="宋体"/>
                <w:sz w:val="22"/>
                <w:highlight w:val="none"/>
              </w:rPr>
            </w:pPr>
          </w:p>
        </w:tc>
        <w:tc>
          <w:tcPr>
            <w:tcW w:w="1147" w:type="dxa"/>
            <w:vAlign w:val="center"/>
          </w:tcPr>
          <w:p w14:paraId="1C0729FA">
            <w:pPr>
              <w:jc w:val="center"/>
              <w:rPr>
                <w:rFonts w:hint="eastAsia" w:ascii="宋体" w:hAnsi="宋体" w:eastAsia="宋体" w:cs="宋体"/>
                <w:sz w:val="22"/>
                <w:highlight w:val="none"/>
              </w:rPr>
            </w:pPr>
          </w:p>
        </w:tc>
      </w:tr>
      <w:tr w14:paraId="19DCC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11633EE7">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2EBD95B3">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05AF86FD">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14:paraId="6CBB89B5">
            <w:pPr>
              <w:jc w:val="center"/>
              <w:rPr>
                <w:rFonts w:hint="eastAsia" w:ascii="宋体" w:hAnsi="宋体" w:eastAsia="宋体" w:cs="宋体"/>
                <w:sz w:val="22"/>
                <w:highlight w:val="none"/>
              </w:rPr>
            </w:pPr>
          </w:p>
        </w:tc>
      </w:tr>
      <w:tr w14:paraId="55076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3F086D4A">
            <w:pPr>
              <w:jc w:val="center"/>
              <w:rPr>
                <w:rFonts w:hint="eastAsia" w:ascii="宋体" w:hAnsi="宋体" w:eastAsia="宋体" w:cs="宋体"/>
                <w:sz w:val="22"/>
                <w:highlight w:val="none"/>
              </w:rPr>
            </w:pPr>
          </w:p>
        </w:tc>
        <w:tc>
          <w:tcPr>
            <w:tcW w:w="1115" w:type="dxa"/>
            <w:vAlign w:val="center"/>
          </w:tcPr>
          <w:p w14:paraId="4D31DD4C">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08214B31">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14:paraId="7EEADB46">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14:paraId="1E18271C">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14:paraId="2BBD151F">
            <w:pPr>
              <w:autoSpaceDE w:val="0"/>
              <w:autoSpaceDN w:val="0"/>
              <w:adjustRightInd w:val="0"/>
              <w:jc w:val="center"/>
              <w:rPr>
                <w:rFonts w:hint="eastAsia" w:ascii="宋体" w:hAnsi="宋体" w:eastAsia="宋体" w:cs="宋体"/>
                <w:sz w:val="22"/>
                <w:highlight w:val="none"/>
              </w:rPr>
            </w:pPr>
          </w:p>
        </w:tc>
      </w:tr>
      <w:tr w14:paraId="111F6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7E9E5DA6">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14:paraId="2603AF6E">
            <w:pPr>
              <w:jc w:val="center"/>
              <w:rPr>
                <w:rFonts w:hint="eastAsia" w:ascii="宋体" w:hAnsi="宋体" w:eastAsia="宋体" w:cs="宋体"/>
                <w:sz w:val="22"/>
                <w:highlight w:val="none"/>
              </w:rPr>
            </w:pPr>
          </w:p>
        </w:tc>
        <w:tc>
          <w:tcPr>
            <w:tcW w:w="2634" w:type="dxa"/>
            <w:vAlign w:val="center"/>
          </w:tcPr>
          <w:p w14:paraId="0263E4BF">
            <w:pPr>
              <w:jc w:val="center"/>
              <w:rPr>
                <w:rFonts w:hint="eastAsia" w:ascii="宋体" w:hAnsi="宋体" w:eastAsia="宋体" w:cs="宋体"/>
                <w:sz w:val="22"/>
                <w:highlight w:val="none"/>
              </w:rPr>
            </w:pPr>
          </w:p>
        </w:tc>
        <w:tc>
          <w:tcPr>
            <w:tcW w:w="1196" w:type="dxa"/>
            <w:vAlign w:val="center"/>
          </w:tcPr>
          <w:p w14:paraId="2B384B99">
            <w:pPr>
              <w:jc w:val="center"/>
              <w:rPr>
                <w:rFonts w:hint="eastAsia" w:ascii="宋体" w:hAnsi="宋体" w:eastAsia="宋体" w:cs="宋体"/>
                <w:sz w:val="22"/>
                <w:highlight w:val="none"/>
              </w:rPr>
            </w:pPr>
          </w:p>
        </w:tc>
        <w:tc>
          <w:tcPr>
            <w:tcW w:w="2337" w:type="dxa"/>
            <w:gridSpan w:val="2"/>
            <w:vAlign w:val="center"/>
          </w:tcPr>
          <w:p w14:paraId="38BC7685">
            <w:pPr>
              <w:jc w:val="center"/>
              <w:rPr>
                <w:rFonts w:hint="eastAsia" w:ascii="宋体" w:hAnsi="宋体" w:eastAsia="宋体" w:cs="宋体"/>
                <w:sz w:val="22"/>
                <w:highlight w:val="none"/>
              </w:rPr>
            </w:pPr>
          </w:p>
        </w:tc>
        <w:tc>
          <w:tcPr>
            <w:tcW w:w="1147" w:type="dxa"/>
            <w:vAlign w:val="center"/>
          </w:tcPr>
          <w:p w14:paraId="5F20749E">
            <w:pPr>
              <w:jc w:val="center"/>
              <w:rPr>
                <w:rFonts w:hint="eastAsia" w:ascii="宋体" w:hAnsi="宋体" w:eastAsia="宋体" w:cs="宋体"/>
                <w:sz w:val="22"/>
                <w:highlight w:val="none"/>
              </w:rPr>
            </w:pPr>
          </w:p>
        </w:tc>
      </w:tr>
      <w:tr w14:paraId="7A2E3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6AAB92A">
            <w:pPr>
              <w:jc w:val="center"/>
              <w:rPr>
                <w:rFonts w:hint="eastAsia" w:ascii="宋体" w:hAnsi="宋体" w:eastAsia="宋体" w:cs="宋体"/>
                <w:sz w:val="22"/>
                <w:highlight w:val="none"/>
              </w:rPr>
            </w:pPr>
          </w:p>
        </w:tc>
        <w:tc>
          <w:tcPr>
            <w:tcW w:w="1115" w:type="dxa"/>
            <w:vAlign w:val="center"/>
          </w:tcPr>
          <w:p w14:paraId="65246F58">
            <w:pPr>
              <w:jc w:val="center"/>
              <w:rPr>
                <w:rFonts w:hint="eastAsia" w:ascii="宋体" w:hAnsi="宋体" w:eastAsia="宋体" w:cs="宋体"/>
                <w:sz w:val="22"/>
                <w:highlight w:val="none"/>
              </w:rPr>
            </w:pPr>
          </w:p>
        </w:tc>
        <w:tc>
          <w:tcPr>
            <w:tcW w:w="2634" w:type="dxa"/>
            <w:vAlign w:val="center"/>
          </w:tcPr>
          <w:p w14:paraId="22ADA56E">
            <w:pPr>
              <w:jc w:val="center"/>
              <w:rPr>
                <w:rFonts w:hint="eastAsia" w:ascii="宋体" w:hAnsi="宋体" w:eastAsia="宋体" w:cs="宋体"/>
                <w:sz w:val="22"/>
                <w:highlight w:val="none"/>
              </w:rPr>
            </w:pPr>
          </w:p>
        </w:tc>
        <w:tc>
          <w:tcPr>
            <w:tcW w:w="1196" w:type="dxa"/>
            <w:vAlign w:val="center"/>
          </w:tcPr>
          <w:p w14:paraId="6A057BF3">
            <w:pPr>
              <w:jc w:val="center"/>
              <w:rPr>
                <w:rFonts w:hint="eastAsia" w:ascii="宋体" w:hAnsi="宋体" w:eastAsia="宋体" w:cs="宋体"/>
                <w:sz w:val="22"/>
                <w:highlight w:val="none"/>
              </w:rPr>
            </w:pPr>
          </w:p>
        </w:tc>
        <w:tc>
          <w:tcPr>
            <w:tcW w:w="2337" w:type="dxa"/>
            <w:gridSpan w:val="2"/>
            <w:vAlign w:val="center"/>
          </w:tcPr>
          <w:p w14:paraId="2D62E376">
            <w:pPr>
              <w:jc w:val="center"/>
              <w:rPr>
                <w:rFonts w:hint="eastAsia" w:ascii="宋体" w:hAnsi="宋体" w:eastAsia="宋体" w:cs="宋体"/>
                <w:sz w:val="22"/>
                <w:highlight w:val="none"/>
              </w:rPr>
            </w:pPr>
          </w:p>
        </w:tc>
        <w:tc>
          <w:tcPr>
            <w:tcW w:w="1147" w:type="dxa"/>
            <w:vAlign w:val="center"/>
          </w:tcPr>
          <w:p w14:paraId="7CC61E4A">
            <w:pPr>
              <w:jc w:val="center"/>
              <w:rPr>
                <w:rFonts w:hint="eastAsia" w:ascii="宋体" w:hAnsi="宋体" w:eastAsia="宋体" w:cs="宋体"/>
                <w:sz w:val="22"/>
                <w:highlight w:val="none"/>
              </w:rPr>
            </w:pPr>
          </w:p>
        </w:tc>
      </w:tr>
      <w:tr w14:paraId="3F3FA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F1320C5">
            <w:pPr>
              <w:jc w:val="center"/>
              <w:rPr>
                <w:rFonts w:hint="eastAsia" w:ascii="宋体" w:hAnsi="宋体" w:eastAsia="宋体" w:cs="宋体"/>
                <w:sz w:val="22"/>
                <w:highlight w:val="none"/>
              </w:rPr>
            </w:pPr>
          </w:p>
        </w:tc>
        <w:tc>
          <w:tcPr>
            <w:tcW w:w="1115" w:type="dxa"/>
            <w:vAlign w:val="center"/>
          </w:tcPr>
          <w:p w14:paraId="15FCD565">
            <w:pPr>
              <w:jc w:val="center"/>
              <w:rPr>
                <w:rFonts w:hint="eastAsia" w:ascii="宋体" w:hAnsi="宋体" w:eastAsia="宋体" w:cs="宋体"/>
                <w:sz w:val="22"/>
                <w:highlight w:val="none"/>
              </w:rPr>
            </w:pPr>
          </w:p>
        </w:tc>
        <w:tc>
          <w:tcPr>
            <w:tcW w:w="2634" w:type="dxa"/>
            <w:vAlign w:val="center"/>
          </w:tcPr>
          <w:p w14:paraId="31594C1B">
            <w:pPr>
              <w:jc w:val="center"/>
              <w:rPr>
                <w:rFonts w:hint="eastAsia" w:ascii="宋体" w:hAnsi="宋体" w:eastAsia="宋体" w:cs="宋体"/>
                <w:sz w:val="22"/>
                <w:highlight w:val="none"/>
              </w:rPr>
            </w:pPr>
          </w:p>
        </w:tc>
        <w:tc>
          <w:tcPr>
            <w:tcW w:w="1196" w:type="dxa"/>
            <w:vAlign w:val="center"/>
          </w:tcPr>
          <w:p w14:paraId="5CEE6038">
            <w:pPr>
              <w:jc w:val="center"/>
              <w:rPr>
                <w:rFonts w:hint="eastAsia" w:ascii="宋体" w:hAnsi="宋体" w:eastAsia="宋体" w:cs="宋体"/>
                <w:sz w:val="22"/>
                <w:highlight w:val="none"/>
              </w:rPr>
            </w:pPr>
          </w:p>
        </w:tc>
        <w:tc>
          <w:tcPr>
            <w:tcW w:w="2337" w:type="dxa"/>
            <w:gridSpan w:val="2"/>
            <w:vAlign w:val="center"/>
          </w:tcPr>
          <w:p w14:paraId="07DE8871">
            <w:pPr>
              <w:jc w:val="center"/>
              <w:rPr>
                <w:rFonts w:hint="eastAsia" w:ascii="宋体" w:hAnsi="宋体" w:eastAsia="宋体" w:cs="宋体"/>
                <w:sz w:val="22"/>
                <w:highlight w:val="none"/>
              </w:rPr>
            </w:pPr>
          </w:p>
        </w:tc>
        <w:tc>
          <w:tcPr>
            <w:tcW w:w="1147" w:type="dxa"/>
            <w:vAlign w:val="center"/>
          </w:tcPr>
          <w:p w14:paraId="70D83C00">
            <w:pPr>
              <w:jc w:val="center"/>
              <w:rPr>
                <w:rFonts w:hint="eastAsia" w:ascii="宋体" w:hAnsi="宋体" w:eastAsia="宋体" w:cs="宋体"/>
                <w:sz w:val="22"/>
                <w:highlight w:val="none"/>
              </w:rPr>
            </w:pPr>
          </w:p>
        </w:tc>
      </w:tr>
      <w:tr w14:paraId="30F5D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995B499">
            <w:pPr>
              <w:jc w:val="center"/>
              <w:rPr>
                <w:rFonts w:hint="eastAsia" w:ascii="宋体" w:hAnsi="宋体" w:eastAsia="宋体" w:cs="宋体"/>
                <w:sz w:val="22"/>
                <w:highlight w:val="none"/>
              </w:rPr>
            </w:pPr>
          </w:p>
        </w:tc>
        <w:tc>
          <w:tcPr>
            <w:tcW w:w="1115" w:type="dxa"/>
            <w:vAlign w:val="center"/>
          </w:tcPr>
          <w:p w14:paraId="0497BA26">
            <w:pPr>
              <w:jc w:val="center"/>
              <w:rPr>
                <w:rFonts w:hint="eastAsia" w:ascii="宋体" w:hAnsi="宋体" w:eastAsia="宋体" w:cs="宋体"/>
                <w:sz w:val="22"/>
                <w:highlight w:val="none"/>
              </w:rPr>
            </w:pPr>
          </w:p>
        </w:tc>
        <w:tc>
          <w:tcPr>
            <w:tcW w:w="2634" w:type="dxa"/>
            <w:vAlign w:val="center"/>
          </w:tcPr>
          <w:p w14:paraId="5D365E0D">
            <w:pPr>
              <w:jc w:val="center"/>
              <w:rPr>
                <w:rFonts w:hint="eastAsia" w:ascii="宋体" w:hAnsi="宋体" w:eastAsia="宋体" w:cs="宋体"/>
                <w:sz w:val="22"/>
                <w:highlight w:val="none"/>
              </w:rPr>
            </w:pPr>
          </w:p>
        </w:tc>
        <w:tc>
          <w:tcPr>
            <w:tcW w:w="1196" w:type="dxa"/>
            <w:vAlign w:val="center"/>
          </w:tcPr>
          <w:p w14:paraId="527661C9">
            <w:pPr>
              <w:jc w:val="center"/>
              <w:rPr>
                <w:rFonts w:hint="eastAsia" w:ascii="宋体" w:hAnsi="宋体" w:eastAsia="宋体" w:cs="宋体"/>
                <w:sz w:val="22"/>
                <w:highlight w:val="none"/>
              </w:rPr>
            </w:pPr>
          </w:p>
        </w:tc>
        <w:tc>
          <w:tcPr>
            <w:tcW w:w="2337" w:type="dxa"/>
            <w:gridSpan w:val="2"/>
            <w:vAlign w:val="center"/>
          </w:tcPr>
          <w:p w14:paraId="6DD8B3E3">
            <w:pPr>
              <w:jc w:val="center"/>
              <w:rPr>
                <w:rFonts w:hint="eastAsia" w:ascii="宋体" w:hAnsi="宋体" w:eastAsia="宋体" w:cs="宋体"/>
                <w:sz w:val="22"/>
                <w:highlight w:val="none"/>
              </w:rPr>
            </w:pPr>
          </w:p>
        </w:tc>
        <w:tc>
          <w:tcPr>
            <w:tcW w:w="1147" w:type="dxa"/>
            <w:vAlign w:val="center"/>
          </w:tcPr>
          <w:p w14:paraId="1C5DF712">
            <w:pPr>
              <w:jc w:val="center"/>
              <w:rPr>
                <w:rFonts w:hint="eastAsia" w:ascii="宋体" w:hAnsi="宋体" w:eastAsia="宋体" w:cs="宋体"/>
                <w:sz w:val="22"/>
                <w:highlight w:val="none"/>
              </w:rPr>
            </w:pPr>
          </w:p>
        </w:tc>
      </w:tr>
      <w:tr w14:paraId="3C405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9845441">
            <w:pPr>
              <w:jc w:val="center"/>
              <w:rPr>
                <w:rFonts w:hint="eastAsia" w:ascii="宋体" w:hAnsi="宋体" w:eastAsia="宋体" w:cs="宋体"/>
                <w:sz w:val="22"/>
                <w:highlight w:val="none"/>
              </w:rPr>
            </w:pPr>
          </w:p>
        </w:tc>
        <w:tc>
          <w:tcPr>
            <w:tcW w:w="1115" w:type="dxa"/>
            <w:vAlign w:val="center"/>
          </w:tcPr>
          <w:p w14:paraId="13A68300">
            <w:pPr>
              <w:jc w:val="center"/>
              <w:rPr>
                <w:rFonts w:hint="eastAsia" w:ascii="宋体" w:hAnsi="宋体" w:eastAsia="宋体" w:cs="宋体"/>
                <w:sz w:val="22"/>
                <w:highlight w:val="none"/>
              </w:rPr>
            </w:pPr>
          </w:p>
        </w:tc>
        <w:tc>
          <w:tcPr>
            <w:tcW w:w="2634" w:type="dxa"/>
            <w:vAlign w:val="center"/>
          </w:tcPr>
          <w:p w14:paraId="10AEA301">
            <w:pPr>
              <w:jc w:val="center"/>
              <w:rPr>
                <w:rFonts w:hint="eastAsia" w:ascii="宋体" w:hAnsi="宋体" w:eastAsia="宋体" w:cs="宋体"/>
                <w:sz w:val="22"/>
                <w:highlight w:val="none"/>
              </w:rPr>
            </w:pPr>
          </w:p>
        </w:tc>
        <w:tc>
          <w:tcPr>
            <w:tcW w:w="1196" w:type="dxa"/>
            <w:vAlign w:val="center"/>
          </w:tcPr>
          <w:p w14:paraId="6F20EFD8">
            <w:pPr>
              <w:jc w:val="center"/>
              <w:rPr>
                <w:rFonts w:hint="eastAsia" w:ascii="宋体" w:hAnsi="宋体" w:eastAsia="宋体" w:cs="宋体"/>
                <w:sz w:val="22"/>
                <w:highlight w:val="none"/>
              </w:rPr>
            </w:pPr>
          </w:p>
        </w:tc>
        <w:tc>
          <w:tcPr>
            <w:tcW w:w="2337" w:type="dxa"/>
            <w:gridSpan w:val="2"/>
            <w:vAlign w:val="center"/>
          </w:tcPr>
          <w:p w14:paraId="083F7B05">
            <w:pPr>
              <w:jc w:val="center"/>
              <w:rPr>
                <w:rFonts w:hint="eastAsia" w:ascii="宋体" w:hAnsi="宋体" w:eastAsia="宋体" w:cs="宋体"/>
                <w:sz w:val="22"/>
                <w:highlight w:val="none"/>
              </w:rPr>
            </w:pPr>
          </w:p>
        </w:tc>
        <w:tc>
          <w:tcPr>
            <w:tcW w:w="1147" w:type="dxa"/>
            <w:vAlign w:val="center"/>
          </w:tcPr>
          <w:p w14:paraId="7EE64520">
            <w:pPr>
              <w:jc w:val="center"/>
              <w:rPr>
                <w:rFonts w:hint="eastAsia" w:ascii="宋体" w:hAnsi="宋体" w:eastAsia="宋体" w:cs="宋体"/>
                <w:sz w:val="22"/>
                <w:highlight w:val="none"/>
              </w:rPr>
            </w:pPr>
          </w:p>
        </w:tc>
      </w:tr>
      <w:tr w14:paraId="59952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7FFC7DE">
            <w:pPr>
              <w:jc w:val="center"/>
              <w:rPr>
                <w:rFonts w:hint="eastAsia" w:ascii="宋体" w:hAnsi="宋体" w:eastAsia="宋体" w:cs="宋体"/>
                <w:sz w:val="22"/>
                <w:highlight w:val="none"/>
              </w:rPr>
            </w:pPr>
          </w:p>
        </w:tc>
        <w:tc>
          <w:tcPr>
            <w:tcW w:w="1115" w:type="dxa"/>
            <w:vAlign w:val="center"/>
          </w:tcPr>
          <w:p w14:paraId="7AE81DD9">
            <w:pPr>
              <w:jc w:val="center"/>
              <w:rPr>
                <w:rFonts w:hint="eastAsia" w:ascii="宋体" w:hAnsi="宋体" w:eastAsia="宋体" w:cs="宋体"/>
                <w:sz w:val="22"/>
                <w:highlight w:val="none"/>
              </w:rPr>
            </w:pPr>
          </w:p>
        </w:tc>
        <w:tc>
          <w:tcPr>
            <w:tcW w:w="2634" w:type="dxa"/>
            <w:vAlign w:val="center"/>
          </w:tcPr>
          <w:p w14:paraId="6968D3BE">
            <w:pPr>
              <w:jc w:val="center"/>
              <w:rPr>
                <w:rFonts w:hint="eastAsia" w:ascii="宋体" w:hAnsi="宋体" w:eastAsia="宋体" w:cs="宋体"/>
                <w:sz w:val="22"/>
                <w:highlight w:val="none"/>
              </w:rPr>
            </w:pPr>
          </w:p>
        </w:tc>
        <w:tc>
          <w:tcPr>
            <w:tcW w:w="1196" w:type="dxa"/>
            <w:vAlign w:val="center"/>
          </w:tcPr>
          <w:p w14:paraId="2302368E">
            <w:pPr>
              <w:jc w:val="center"/>
              <w:rPr>
                <w:rFonts w:hint="eastAsia" w:ascii="宋体" w:hAnsi="宋体" w:eastAsia="宋体" w:cs="宋体"/>
                <w:sz w:val="22"/>
                <w:highlight w:val="none"/>
              </w:rPr>
            </w:pPr>
          </w:p>
        </w:tc>
        <w:tc>
          <w:tcPr>
            <w:tcW w:w="2337" w:type="dxa"/>
            <w:gridSpan w:val="2"/>
            <w:vAlign w:val="center"/>
          </w:tcPr>
          <w:p w14:paraId="3E9160CF">
            <w:pPr>
              <w:jc w:val="center"/>
              <w:rPr>
                <w:rFonts w:hint="eastAsia" w:ascii="宋体" w:hAnsi="宋体" w:eastAsia="宋体" w:cs="宋体"/>
                <w:sz w:val="22"/>
                <w:highlight w:val="none"/>
              </w:rPr>
            </w:pPr>
          </w:p>
        </w:tc>
        <w:tc>
          <w:tcPr>
            <w:tcW w:w="1147" w:type="dxa"/>
            <w:vAlign w:val="center"/>
          </w:tcPr>
          <w:p w14:paraId="5A26B8FB">
            <w:pPr>
              <w:jc w:val="center"/>
              <w:rPr>
                <w:rFonts w:hint="eastAsia" w:ascii="宋体" w:hAnsi="宋体" w:eastAsia="宋体" w:cs="宋体"/>
                <w:sz w:val="22"/>
                <w:highlight w:val="none"/>
              </w:rPr>
            </w:pPr>
          </w:p>
        </w:tc>
      </w:tr>
      <w:tr w14:paraId="53256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66B94BA9">
            <w:pPr>
              <w:jc w:val="center"/>
              <w:rPr>
                <w:rFonts w:hint="eastAsia" w:ascii="宋体" w:hAnsi="宋体" w:eastAsia="宋体" w:cs="宋体"/>
                <w:sz w:val="22"/>
                <w:highlight w:val="none"/>
              </w:rPr>
            </w:pPr>
          </w:p>
        </w:tc>
        <w:tc>
          <w:tcPr>
            <w:tcW w:w="1115" w:type="dxa"/>
            <w:vAlign w:val="center"/>
          </w:tcPr>
          <w:p w14:paraId="2D74E3C3">
            <w:pPr>
              <w:jc w:val="center"/>
              <w:rPr>
                <w:rFonts w:hint="eastAsia" w:ascii="宋体" w:hAnsi="宋体" w:eastAsia="宋体" w:cs="宋体"/>
                <w:sz w:val="22"/>
                <w:highlight w:val="none"/>
              </w:rPr>
            </w:pPr>
          </w:p>
        </w:tc>
        <w:tc>
          <w:tcPr>
            <w:tcW w:w="2634" w:type="dxa"/>
            <w:vAlign w:val="center"/>
          </w:tcPr>
          <w:p w14:paraId="650B7E3B">
            <w:pPr>
              <w:jc w:val="center"/>
              <w:rPr>
                <w:rFonts w:hint="eastAsia" w:ascii="宋体" w:hAnsi="宋体" w:eastAsia="宋体" w:cs="宋体"/>
                <w:sz w:val="22"/>
                <w:highlight w:val="none"/>
              </w:rPr>
            </w:pPr>
          </w:p>
        </w:tc>
        <w:tc>
          <w:tcPr>
            <w:tcW w:w="1196" w:type="dxa"/>
            <w:vAlign w:val="center"/>
          </w:tcPr>
          <w:p w14:paraId="7596EDB2">
            <w:pPr>
              <w:jc w:val="center"/>
              <w:rPr>
                <w:rFonts w:hint="eastAsia" w:ascii="宋体" w:hAnsi="宋体" w:eastAsia="宋体" w:cs="宋体"/>
                <w:sz w:val="22"/>
                <w:highlight w:val="none"/>
              </w:rPr>
            </w:pPr>
          </w:p>
        </w:tc>
        <w:tc>
          <w:tcPr>
            <w:tcW w:w="2337" w:type="dxa"/>
            <w:gridSpan w:val="2"/>
            <w:vAlign w:val="center"/>
          </w:tcPr>
          <w:p w14:paraId="6FC173F2">
            <w:pPr>
              <w:jc w:val="center"/>
              <w:rPr>
                <w:rFonts w:hint="eastAsia" w:ascii="宋体" w:hAnsi="宋体" w:eastAsia="宋体" w:cs="宋体"/>
                <w:sz w:val="22"/>
                <w:highlight w:val="none"/>
              </w:rPr>
            </w:pPr>
          </w:p>
        </w:tc>
        <w:tc>
          <w:tcPr>
            <w:tcW w:w="1147" w:type="dxa"/>
            <w:vAlign w:val="center"/>
          </w:tcPr>
          <w:p w14:paraId="49244937">
            <w:pPr>
              <w:jc w:val="center"/>
              <w:rPr>
                <w:rFonts w:hint="eastAsia" w:ascii="宋体" w:hAnsi="宋体" w:eastAsia="宋体" w:cs="宋体"/>
                <w:sz w:val="22"/>
                <w:highlight w:val="none"/>
              </w:rPr>
            </w:pPr>
          </w:p>
        </w:tc>
      </w:tr>
    </w:tbl>
    <w:p w14:paraId="2AC79585">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14:paraId="476522C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14:paraId="7A9A2BF2">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3、▲如果投标文件其他地方描述与本表不一致，评标委员会评标时没有发现</w:t>
      </w:r>
      <w:r>
        <w:rPr>
          <w:rFonts w:hint="eastAsia" w:ascii="宋体" w:hAnsi="宋体" w:eastAsia="宋体" w:cs="宋体"/>
          <w:b/>
          <w:szCs w:val="21"/>
          <w:highlight w:val="none"/>
          <w:u w:val="single"/>
          <w:lang w:val="en-US" w:eastAsia="zh-CN"/>
        </w:rPr>
        <w:t>并进行询标澄清</w:t>
      </w:r>
      <w:r>
        <w:rPr>
          <w:rFonts w:hint="eastAsia" w:ascii="宋体" w:hAnsi="宋体" w:eastAsia="宋体" w:cs="宋体"/>
          <w:b/>
          <w:szCs w:val="21"/>
          <w:highlight w:val="none"/>
          <w:u w:val="single"/>
        </w:rPr>
        <w:t>的，签订合同时原则上以有利于采购人的解释为准。</w:t>
      </w:r>
    </w:p>
    <w:p w14:paraId="4F17354F">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lang w:val="en-US" w:eastAsia="zh-CN"/>
        </w:rPr>
        <w:t>4、</w:t>
      </w:r>
      <w:r>
        <w:rPr>
          <w:rFonts w:hint="eastAsia" w:ascii="宋体" w:hAnsi="宋体" w:eastAsia="宋体" w:cs="宋体"/>
          <w:b/>
          <w:szCs w:val="21"/>
          <w:highlight w:val="none"/>
          <w:u w:val="single"/>
        </w:rPr>
        <w:t>▲不提供“技术规格、商务条款偏离表”的投标文件将被视为未实质性响应采购文件。</w:t>
      </w:r>
    </w:p>
    <w:p w14:paraId="6987F3B3">
      <w:pPr>
        <w:spacing w:line="380" w:lineRule="exact"/>
        <w:ind w:firstLine="4417" w:firstLineChars="2000"/>
        <w:rPr>
          <w:rFonts w:hint="eastAsia" w:ascii="宋体" w:hAnsi="宋体" w:eastAsia="宋体" w:cs="宋体"/>
          <w:b/>
          <w:sz w:val="22"/>
          <w:highlight w:val="none"/>
        </w:rPr>
      </w:pPr>
    </w:p>
    <w:p w14:paraId="41209667">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508EDEC8">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03660EA5">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64EF7BD6">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14:paraId="76CCCB2C">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14:paraId="6D67FB60">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14:paraId="633C2546">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14:paraId="4F8E07E7">
      <w:pPr>
        <w:spacing w:line="420" w:lineRule="exact"/>
        <w:rPr>
          <w:rFonts w:hint="eastAsia" w:ascii="宋体" w:hAnsi="宋体" w:eastAsia="宋体" w:cs="宋体"/>
          <w:sz w:val="22"/>
          <w:highlight w:val="none"/>
          <w:lang w:eastAsia="zh-CN"/>
        </w:rPr>
      </w:pPr>
    </w:p>
    <w:p w14:paraId="24713105">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温州菜篮子集团有限公司</w:t>
      </w:r>
      <w:r>
        <w:rPr>
          <w:rFonts w:hint="eastAsia" w:ascii="宋体" w:hAnsi="宋体" w:eastAsia="宋体" w:cs="宋体"/>
          <w:sz w:val="22"/>
          <w:highlight w:val="none"/>
        </w:rPr>
        <w:t>：</w:t>
      </w:r>
    </w:p>
    <w:p w14:paraId="37118450">
      <w:pPr>
        <w:spacing w:line="460" w:lineRule="exact"/>
        <w:rPr>
          <w:rFonts w:hint="eastAsia" w:ascii="宋体" w:hAnsi="宋体" w:eastAsia="宋体" w:cs="宋体"/>
          <w:sz w:val="22"/>
          <w:highlight w:val="none"/>
        </w:rPr>
      </w:pPr>
    </w:p>
    <w:p w14:paraId="24DB7198">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14:paraId="6A822D47">
      <w:pPr>
        <w:spacing w:line="460" w:lineRule="exact"/>
        <w:ind w:firstLine="2955"/>
        <w:rPr>
          <w:rFonts w:hint="eastAsia" w:ascii="宋体" w:hAnsi="宋体" w:eastAsia="宋体" w:cs="宋体"/>
          <w:sz w:val="22"/>
          <w:highlight w:val="none"/>
        </w:rPr>
      </w:pPr>
    </w:p>
    <w:p w14:paraId="07DFF851">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14:paraId="503835C6">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14:paraId="553741CE">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14:paraId="7633508B">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14:paraId="466F62C4">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14:paraId="2044C2D0">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14:paraId="35CCACA9">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14:paraId="6274AFC1">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14:paraId="65DB8C79">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14:paraId="20F827B1">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14:paraId="1FEA1FE6">
      <w:pPr>
        <w:spacing w:line="460" w:lineRule="exact"/>
        <w:rPr>
          <w:rFonts w:hint="eastAsia" w:ascii="宋体" w:hAnsi="宋体" w:eastAsia="宋体" w:cs="宋体"/>
          <w:bCs/>
          <w:sz w:val="22"/>
          <w:highlight w:val="none"/>
        </w:rPr>
      </w:pPr>
    </w:p>
    <w:tbl>
      <w:tblPr>
        <w:tblStyle w:val="2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3006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13B7A5FB">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14:paraId="7A98690E">
            <w:pPr>
              <w:spacing w:line="380" w:lineRule="exact"/>
              <w:jc w:val="center"/>
              <w:rPr>
                <w:rFonts w:hint="eastAsia" w:ascii="宋体" w:hAnsi="宋体" w:eastAsia="宋体" w:cs="宋体"/>
                <w:bCs/>
                <w:sz w:val="28"/>
                <w:szCs w:val="24"/>
                <w:highlight w:val="none"/>
              </w:rPr>
            </w:pPr>
          </w:p>
        </w:tc>
      </w:tr>
    </w:tbl>
    <w:p w14:paraId="29324490">
      <w:pPr>
        <w:spacing w:line="400" w:lineRule="exact"/>
        <w:ind w:firstLine="140" w:firstLineChars="64"/>
        <w:rPr>
          <w:rFonts w:hint="eastAsia" w:ascii="宋体" w:hAnsi="宋体" w:eastAsia="宋体" w:cs="宋体"/>
          <w:sz w:val="22"/>
          <w:szCs w:val="24"/>
          <w:highlight w:val="none"/>
        </w:rPr>
      </w:pPr>
    </w:p>
    <w:p w14:paraId="6EB656D8">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14:paraId="5448ABC8">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14:paraId="0ECBAF3E">
      <w:pPr>
        <w:widowControl/>
        <w:spacing w:line="360" w:lineRule="auto"/>
        <w:rPr>
          <w:rFonts w:hint="eastAsia" w:ascii="宋体" w:hAnsi="宋体" w:eastAsia="宋体" w:cs="宋体"/>
          <w:sz w:val="24"/>
          <w:szCs w:val="24"/>
          <w:highlight w:val="none"/>
          <w:u w:val="single"/>
        </w:rPr>
      </w:pPr>
    </w:p>
    <w:p w14:paraId="3F8E35AF">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温州菜篮子集团有限公司</w:t>
      </w:r>
      <w:r>
        <w:rPr>
          <w:rFonts w:hint="eastAsia" w:ascii="宋体" w:hAnsi="宋体" w:eastAsia="宋体" w:cs="宋体"/>
          <w:sz w:val="22"/>
          <w:highlight w:val="none"/>
        </w:rPr>
        <w:t>：</w:t>
      </w:r>
    </w:p>
    <w:p w14:paraId="3BCF67E8">
      <w:pPr>
        <w:widowControl/>
        <w:spacing w:line="360" w:lineRule="auto"/>
        <w:ind w:left="420" w:firstLine="473"/>
        <w:jc w:val="left"/>
        <w:rPr>
          <w:rFonts w:hint="eastAsia" w:ascii="宋体" w:hAnsi="宋体" w:eastAsia="宋体" w:cs="宋体"/>
          <w:kern w:val="0"/>
          <w:sz w:val="24"/>
          <w:szCs w:val="24"/>
          <w:highlight w:val="none"/>
        </w:rPr>
      </w:pPr>
    </w:p>
    <w:p w14:paraId="4F19C65C">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14:paraId="297BA95A">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3A0D06D2">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14:paraId="38C71EDB">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14:paraId="4BB9464D">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14:paraId="02792915">
      <w:pPr>
        <w:widowControl/>
        <w:spacing w:line="360" w:lineRule="auto"/>
        <w:ind w:left="-540" w:firstLine="540"/>
        <w:jc w:val="center"/>
        <w:rPr>
          <w:rFonts w:hint="eastAsia" w:ascii="宋体" w:hAnsi="宋体" w:eastAsia="宋体" w:cs="宋体"/>
          <w:b/>
          <w:bCs/>
          <w:kern w:val="0"/>
          <w:sz w:val="24"/>
          <w:szCs w:val="24"/>
          <w:highlight w:val="none"/>
        </w:rPr>
      </w:pPr>
    </w:p>
    <w:p w14:paraId="4BD48D83">
      <w:pPr>
        <w:widowControl/>
        <w:spacing w:line="360" w:lineRule="auto"/>
        <w:ind w:left="-540" w:firstLine="540"/>
        <w:jc w:val="center"/>
        <w:rPr>
          <w:rFonts w:hint="eastAsia" w:ascii="宋体" w:hAnsi="宋体" w:eastAsia="宋体" w:cs="宋体"/>
          <w:b/>
          <w:bCs/>
          <w:kern w:val="0"/>
          <w:sz w:val="24"/>
          <w:szCs w:val="24"/>
          <w:highlight w:val="none"/>
        </w:rPr>
      </w:pPr>
    </w:p>
    <w:p w14:paraId="187BD6AC">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14:paraId="253156B9">
      <w:pPr>
        <w:widowControl/>
        <w:spacing w:line="480" w:lineRule="auto"/>
        <w:ind w:left="420" w:firstLine="473"/>
        <w:jc w:val="left"/>
        <w:rPr>
          <w:rFonts w:hint="eastAsia" w:ascii="宋体" w:hAnsi="宋体" w:eastAsia="宋体" w:cs="宋体"/>
          <w:kern w:val="0"/>
          <w:sz w:val="24"/>
          <w:szCs w:val="24"/>
          <w:highlight w:val="none"/>
        </w:rPr>
      </w:pPr>
    </w:p>
    <w:p w14:paraId="347D6E0A">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3BD686C6">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14:paraId="5B65EDD1">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14:paraId="611A4792">
      <w:pPr>
        <w:widowControl/>
        <w:rPr>
          <w:rFonts w:hint="eastAsia" w:ascii="宋体" w:hAnsi="宋体" w:eastAsia="宋体" w:cs="宋体"/>
          <w:kern w:val="0"/>
          <w:szCs w:val="21"/>
          <w:highlight w:val="none"/>
        </w:rPr>
      </w:pPr>
    </w:p>
    <w:p w14:paraId="3AA3466B">
      <w:pPr>
        <w:widowControl/>
        <w:rPr>
          <w:rFonts w:hint="eastAsia" w:ascii="宋体" w:hAnsi="宋体" w:eastAsia="宋体" w:cs="宋体"/>
          <w:kern w:val="0"/>
          <w:szCs w:val="21"/>
          <w:highlight w:val="none"/>
        </w:rPr>
      </w:pPr>
    </w:p>
    <w:p w14:paraId="7735C7E1">
      <w:pPr>
        <w:widowControl/>
        <w:spacing w:line="480" w:lineRule="atLeast"/>
        <w:jc w:val="center"/>
        <w:rPr>
          <w:rFonts w:hint="eastAsia" w:ascii="宋体" w:hAnsi="宋体" w:eastAsia="宋体" w:cs="宋体"/>
          <w:b/>
          <w:bCs/>
          <w:kern w:val="0"/>
          <w:sz w:val="24"/>
          <w:szCs w:val="24"/>
          <w:highlight w:val="none"/>
        </w:rPr>
      </w:pPr>
    </w:p>
    <w:p w14:paraId="11A33C3D">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14:paraId="2548467B">
      <w:pPr>
        <w:spacing w:line="460" w:lineRule="exact"/>
        <w:jc w:val="center"/>
        <w:rPr>
          <w:rFonts w:hint="eastAsia" w:ascii="宋体" w:hAnsi="宋体" w:eastAsia="宋体" w:cs="宋体"/>
          <w:b/>
          <w:bCs/>
          <w:kern w:val="0"/>
          <w:sz w:val="24"/>
          <w:szCs w:val="24"/>
          <w:highlight w:val="none"/>
        </w:rPr>
      </w:pPr>
    </w:p>
    <w:p w14:paraId="49B4BD1C">
      <w:pPr>
        <w:spacing w:line="460" w:lineRule="exact"/>
        <w:jc w:val="center"/>
        <w:rPr>
          <w:rFonts w:hint="eastAsia" w:ascii="宋体" w:hAnsi="宋体" w:eastAsia="宋体" w:cs="宋体"/>
          <w:b/>
          <w:bCs/>
          <w:kern w:val="0"/>
          <w:sz w:val="24"/>
          <w:szCs w:val="24"/>
          <w:highlight w:val="none"/>
        </w:rPr>
      </w:pPr>
    </w:p>
    <w:p w14:paraId="529B8A0D">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B3283E0">
      <w:pPr>
        <w:rPr>
          <w:rFonts w:hint="eastAsia" w:ascii="宋体" w:hAnsi="宋体" w:eastAsia="宋体" w:cs="宋体"/>
          <w:b/>
          <w:bCs/>
          <w:sz w:val="28"/>
          <w:szCs w:val="28"/>
          <w:highlight w:val="none"/>
        </w:rPr>
      </w:pPr>
    </w:p>
    <w:p w14:paraId="7B4DBE3A">
      <w:pPr>
        <w:rPr>
          <w:rFonts w:hint="eastAsia" w:ascii="宋体" w:hAnsi="宋体" w:eastAsia="宋体" w:cs="宋体"/>
          <w:b/>
          <w:bCs/>
          <w:sz w:val="28"/>
          <w:szCs w:val="28"/>
          <w:highlight w:val="none"/>
        </w:rPr>
      </w:pPr>
    </w:p>
    <w:p w14:paraId="646DA48D">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（2）投标供应商企业法人有效营业执照（或法人登记证书）复印件加盖单位公章</w:t>
      </w:r>
    </w:p>
    <w:p w14:paraId="76F94353">
      <w:pPr>
        <w:rPr>
          <w:rFonts w:hint="eastAsia" w:ascii="宋体" w:hAnsi="宋体" w:eastAsia="宋体" w:cs="宋体"/>
          <w:b/>
          <w:bCs/>
          <w:sz w:val="24"/>
          <w:szCs w:val="24"/>
          <w:highlight w:val="none"/>
        </w:rPr>
      </w:pPr>
    </w:p>
    <w:p w14:paraId="500C18EB">
      <w:pPr>
        <w:snapToGrid w:val="0"/>
        <w:spacing w:before="50" w:after="120" w:afterLines="50"/>
        <w:jc w:val="left"/>
        <w:rPr>
          <w:rFonts w:hint="eastAsia" w:ascii="宋体" w:hAnsi="宋体" w:eastAsia="宋体" w:cs="宋体"/>
          <w:b/>
          <w:sz w:val="24"/>
          <w:szCs w:val="24"/>
          <w:highlight w:val="none"/>
        </w:rPr>
      </w:pPr>
    </w:p>
    <w:p w14:paraId="2C611596">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14:paraId="098DABFE">
      <w:pPr>
        <w:snapToGrid w:val="0"/>
        <w:spacing w:before="120" w:beforeLines="50" w:after="50"/>
        <w:jc w:val="center"/>
        <w:rPr>
          <w:rFonts w:hint="eastAsia" w:ascii="宋体" w:hAnsi="宋体" w:eastAsia="宋体" w:cs="宋体"/>
          <w:b/>
          <w:sz w:val="30"/>
          <w:szCs w:val="24"/>
          <w:highlight w:val="none"/>
        </w:rPr>
      </w:pPr>
    </w:p>
    <w:p w14:paraId="2DE16D9B">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14:paraId="7024D403">
      <w:pPr>
        <w:snapToGrid w:val="0"/>
        <w:spacing w:before="120" w:beforeLines="50" w:after="50"/>
        <w:rPr>
          <w:rFonts w:hint="eastAsia" w:ascii="宋体" w:hAnsi="宋体" w:eastAsia="宋体" w:cs="宋体"/>
          <w:sz w:val="22"/>
          <w:highlight w:val="none"/>
        </w:rPr>
      </w:pPr>
    </w:p>
    <w:p w14:paraId="477F8C98">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w:t>
      </w:r>
      <w:r>
        <w:rPr>
          <w:rFonts w:hint="eastAsia" w:ascii="宋体" w:hAnsi="宋体" w:eastAsia="宋体" w:cs="宋体"/>
          <w:sz w:val="22"/>
          <w:highlight w:val="none"/>
          <w:lang w:eastAsia="zh-CN"/>
        </w:rPr>
        <w:t>温州菜篮子集团有限公司</w:t>
      </w:r>
      <w:r>
        <w:rPr>
          <w:rFonts w:hint="eastAsia" w:ascii="宋体" w:hAnsi="宋体" w:eastAsia="宋体" w:cs="宋体"/>
          <w:sz w:val="22"/>
          <w:highlight w:val="none"/>
        </w:rPr>
        <w:t>：</w:t>
      </w:r>
    </w:p>
    <w:p w14:paraId="521A8114">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24EAD7F5">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14:paraId="5C6A20B0">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14:paraId="10898721">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14:paraId="46F76917">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14:paraId="30793F76">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14:paraId="3C203AD1">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14:paraId="1579D5DF">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78DF6B0F">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07CC0D7B">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14:paraId="3C7971DD">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14:paraId="7D843447">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014BA788">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14:paraId="0BA39D4D">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39A8D70D">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14:paraId="53C12EC2">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68344D66">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w:t>
      </w:r>
      <w:r>
        <w:rPr>
          <w:rFonts w:hint="eastAsia" w:ascii="宋体" w:hAnsi="宋体" w:eastAsia="宋体" w:cs="宋体"/>
          <w:sz w:val="22"/>
          <w:szCs w:val="22"/>
          <w:highlight w:val="none"/>
        </w:rPr>
        <w:t>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4676E37A">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14:paraId="104C612C">
      <w:pPr>
        <w:snapToGrid w:val="0"/>
        <w:spacing w:before="120" w:beforeLines="50"/>
        <w:ind w:firstLine="200"/>
        <w:rPr>
          <w:rFonts w:hint="eastAsia" w:ascii="宋体" w:hAnsi="宋体" w:eastAsia="宋体" w:cs="宋体"/>
          <w:sz w:val="18"/>
          <w:szCs w:val="18"/>
          <w:highlight w:val="none"/>
        </w:rPr>
      </w:pPr>
    </w:p>
    <w:p w14:paraId="722030EA">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14:paraId="77830860">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14:paraId="1BFFDCF1">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14:paraId="69EE153F">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42D46CB7">
      <w:pPr>
        <w:spacing w:before="240" w:beforeLines="100" w:after="120" w:afterLines="50" w:line="400" w:lineRule="exact"/>
        <w:jc w:val="left"/>
        <w:rPr>
          <w:rFonts w:hint="eastAsia" w:ascii="宋体" w:hAnsi="宋体" w:eastAsia="宋体" w:cs="宋体"/>
          <w:b/>
          <w:snapToGrid w:val="0"/>
          <w:color w:val="auto"/>
          <w:kern w:val="0"/>
          <w:sz w:val="22"/>
          <w:szCs w:val="22"/>
          <w:highlight w:val="none"/>
          <w:lang w:eastAsia="zh-CN"/>
        </w:rPr>
      </w:pPr>
      <w:r>
        <w:rPr>
          <w:rFonts w:hint="eastAsia" w:ascii="宋体" w:hAnsi="宋体" w:eastAsia="宋体" w:cs="宋体"/>
          <w:b/>
          <w:snapToGrid w:val="0"/>
          <w:color w:val="auto"/>
          <w:kern w:val="0"/>
          <w:sz w:val="22"/>
          <w:szCs w:val="22"/>
          <w:highlight w:val="none"/>
        </w:rPr>
        <w:t>附件</w:t>
      </w:r>
      <w:r>
        <w:rPr>
          <w:rFonts w:hint="eastAsia" w:ascii="宋体" w:hAnsi="宋体" w:eastAsia="宋体" w:cs="宋体"/>
          <w:b/>
          <w:snapToGrid w:val="0"/>
          <w:color w:val="auto"/>
          <w:kern w:val="0"/>
          <w:sz w:val="22"/>
          <w:szCs w:val="22"/>
          <w:highlight w:val="none"/>
          <w:lang w:val="en-US" w:eastAsia="zh-CN"/>
        </w:rPr>
        <w:t>五</w:t>
      </w:r>
    </w:p>
    <w:p w14:paraId="62BBD64A">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14:paraId="72A7A62F">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46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51"/>
        <w:gridCol w:w="1552"/>
        <w:gridCol w:w="1552"/>
        <w:gridCol w:w="1552"/>
        <w:gridCol w:w="1553"/>
      </w:tblGrid>
      <w:tr w14:paraId="05C90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06" w:type="dxa"/>
            <w:shd w:val="clear" w:color="auto" w:fill="D9D9D9"/>
            <w:noWrap w:val="0"/>
            <w:vAlign w:val="center"/>
          </w:tcPr>
          <w:p w14:paraId="4AFE1D73">
            <w:pPr>
              <w:spacing w:line="380" w:lineRule="exact"/>
              <w:jc w:val="center"/>
              <w:rPr>
                <w:rFonts w:hint="eastAsia" w:ascii="宋体" w:hAnsi="宋体" w:eastAsia="宋体" w:cs="宋体"/>
                <w:b/>
                <w:bCs/>
                <w:color w:val="auto"/>
                <w:sz w:val="18"/>
                <w:szCs w:val="18"/>
                <w:highlight w:val="none"/>
                <w:lang w:bidi="ar-SA"/>
              </w:rPr>
            </w:pPr>
            <w:r>
              <w:rPr>
                <w:rFonts w:hint="eastAsia" w:ascii="宋体" w:hAnsi="宋体" w:eastAsia="宋体" w:cs="宋体"/>
                <w:b/>
                <w:bCs/>
                <w:color w:val="auto"/>
                <w:sz w:val="18"/>
                <w:szCs w:val="18"/>
                <w:highlight w:val="none"/>
                <w:lang w:bidi="ar-SA"/>
              </w:rPr>
              <w:t>序号</w:t>
            </w:r>
          </w:p>
        </w:tc>
        <w:tc>
          <w:tcPr>
            <w:tcW w:w="1670" w:type="dxa"/>
            <w:shd w:val="clear" w:color="auto" w:fill="D9D9D9"/>
            <w:noWrap w:val="0"/>
            <w:vAlign w:val="center"/>
          </w:tcPr>
          <w:p w14:paraId="705C4ADE">
            <w:pPr>
              <w:spacing w:line="380" w:lineRule="exact"/>
              <w:jc w:val="center"/>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lang w:val="en-US" w:eastAsia="zh-CN" w:bidi="ar-SA"/>
              </w:rPr>
              <w:t>姓名</w:t>
            </w:r>
          </w:p>
        </w:tc>
        <w:tc>
          <w:tcPr>
            <w:tcW w:w="1670" w:type="dxa"/>
            <w:shd w:val="clear" w:color="auto" w:fill="D9D9D9"/>
            <w:noWrap w:val="0"/>
            <w:vAlign w:val="center"/>
          </w:tcPr>
          <w:p w14:paraId="22984EC9">
            <w:pPr>
              <w:spacing w:line="380" w:lineRule="exact"/>
              <w:jc w:val="center"/>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lang w:val="en-US" w:eastAsia="zh-CN" w:bidi="ar-SA"/>
              </w:rPr>
              <w:t>年龄</w:t>
            </w:r>
          </w:p>
        </w:tc>
        <w:tc>
          <w:tcPr>
            <w:tcW w:w="1670" w:type="dxa"/>
            <w:shd w:val="clear" w:color="auto" w:fill="D9D9D9"/>
            <w:noWrap w:val="0"/>
            <w:vAlign w:val="center"/>
          </w:tcPr>
          <w:p w14:paraId="79F9C066">
            <w:pPr>
              <w:spacing w:line="380" w:lineRule="exact"/>
              <w:jc w:val="center"/>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lang w:val="en-US" w:eastAsia="zh-CN" w:bidi="ar-SA"/>
              </w:rPr>
              <w:t>性别</w:t>
            </w:r>
          </w:p>
        </w:tc>
        <w:tc>
          <w:tcPr>
            <w:tcW w:w="1670" w:type="dxa"/>
            <w:shd w:val="clear" w:color="auto" w:fill="D9D9D9"/>
            <w:noWrap w:val="0"/>
            <w:vAlign w:val="center"/>
          </w:tcPr>
          <w:p w14:paraId="6EE720F2">
            <w:pPr>
              <w:spacing w:line="380" w:lineRule="exact"/>
              <w:jc w:val="center"/>
              <w:rPr>
                <w:rFonts w:hint="eastAsia" w:ascii="宋体" w:hAnsi="宋体" w:eastAsia="宋体" w:cs="宋体"/>
                <w:b/>
                <w:bCs/>
                <w:color w:val="auto"/>
                <w:sz w:val="18"/>
                <w:szCs w:val="18"/>
                <w:highlight w:val="none"/>
                <w:lang w:bidi="ar-SA"/>
              </w:rPr>
            </w:pPr>
            <w:r>
              <w:rPr>
                <w:rFonts w:hint="eastAsia" w:ascii="宋体" w:hAnsi="宋体" w:eastAsia="宋体" w:cs="宋体"/>
                <w:b/>
                <w:bCs/>
                <w:color w:val="auto"/>
                <w:sz w:val="18"/>
                <w:szCs w:val="18"/>
                <w:highlight w:val="none"/>
                <w:lang w:val="en-US" w:eastAsia="zh-CN" w:bidi="ar-SA"/>
              </w:rPr>
              <w:t>职务</w:t>
            </w:r>
          </w:p>
        </w:tc>
        <w:tc>
          <w:tcPr>
            <w:tcW w:w="1671" w:type="dxa"/>
            <w:shd w:val="clear" w:color="auto" w:fill="D9D9D9"/>
            <w:noWrap w:val="0"/>
            <w:vAlign w:val="center"/>
          </w:tcPr>
          <w:p w14:paraId="24C853E5">
            <w:pPr>
              <w:spacing w:line="380" w:lineRule="exact"/>
              <w:jc w:val="center"/>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lang w:val="en-US" w:eastAsia="zh-CN" w:bidi="ar-SA"/>
              </w:rPr>
              <w:t>学历</w:t>
            </w:r>
          </w:p>
        </w:tc>
      </w:tr>
      <w:tr w14:paraId="5BE47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41BB4A21">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386B33F6">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74D6EE1D">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EF75690">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081CF39">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0D7982E5">
            <w:pPr>
              <w:spacing w:line="380" w:lineRule="exact"/>
              <w:jc w:val="center"/>
              <w:rPr>
                <w:rFonts w:hint="eastAsia" w:ascii="宋体" w:hAnsi="宋体" w:eastAsia="宋体" w:cs="宋体"/>
                <w:b/>
                <w:bCs/>
                <w:color w:val="auto"/>
                <w:sz w:val="18"/>
                <w:szCs w:val="18"/>
                <w:highlight w:val="none"/>
                <w:lang w:bidi="ar-SA"/>
              </w:rPr>
            </w:pPr>
          </w:p>
        </w:tc>
      </w:tr>
      <w:tr w14:paraId="4FAF0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27DDDF2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CBEF6A9">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31CDE097">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0BE0E72">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1A499A29">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73A48600">
            <w:pPr>
              <w:spacing w:line="380" w:lineRule="exact"/>
              <w:jc w:val="center"/>
              <w:rPr>
                <w:rFonts w:hint="eastAsia" w:ascii="宋体" w:hAnsi="宋体" w:eastAsia="宋体" w:cs="宋体"/>
                <w:b/>
                <w:bCs/>
                <w:color w:val="auto"/>
                <w:sz w:val="18"/>
                <w:szCs w:val="18"/>
                <w:highlight w:val="none"/>
                <w:lang w:bidi="ar-SA"/>
              </w:rPr>
            </w:pPr>
          </w:p>
        </w:tc>
      </w:tr>
      <w:tr w14:paraId="7961C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0521EFE7">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42668627">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D8F19D2">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7635194F">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C828FCF">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4AEDD2FF">
            <w:pPr>
              <w:spacing w:line="380" w:lineRule="exact"/>
              <w:jc w:val="center"/>
              <w:rPr>
                <w:rFonts w:hint="eastAsia" w:ascii="宋体" w:hAnsi="宋体" w:eastAsia="宋体" w:cs="宋体"/>
                <w:b/>
                <w:bCs/>
                <w:color w:val="auto"/>
                <w:sz w:val="18"/>
                <w:szCs w:val="18"/>
                <w:highlight w:val="none"/>
                <w:lang w:bidi="ar-SA"/>
              </w:rPr>
            </w:pPr>
          </w:p>
        </w:tc>
      </w:tr>
      <w:tr w14:paraId="12BE2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3D0480EE">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39272B8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4F9693F8">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56DE0E9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238F995F">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5828B7A9">
            <w:pPr>
              <w:spacing w:line="380" w:lineRule="exact"/>
              <w:jc w:val="center"/>
              <w:rPr>
                <w:rFonts w:hint="eastAsia" w:ascii="宋体" w:hAnsi="宋体" w:eastAsia="宋体" w:cs="宋体"/>
                <w:b/>
                <w:bCs/>
                <w:color w:val="auto"/>
                <w:sz w:val="18"/>
                <w:szCs w:val="18"/>
                <w:highlight w:val="none"/>
                <w:lang w:bidi="ar-SA"/>
              </w:rPr>
            </w:pPr>
          </w:p>
        </w:tc>
      </w:tr>
      <w:tr w14:paraId="6A43A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0B88D32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774ADC84">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7D8EF3CE">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4F29D58">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3CCD28E">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7B057467">
            <w:pPr>
              <w:spacing w:line="380" w:lineRule="exact"/>
              <w:jc w:val="center"/>
              <w:rPr>
                <w:rFonts w:hint="eastAsia" w:ascii="宋体" w:hAnsi="宋体" w:eastAsia="宋体" w:cs="宋体"/>
                <w:b/>
                <w:bCs/>
                <w:color w:val="auto"/>
                <w:sz w:val="18"/>
                <w:szCs w:val="18"/>
                <w:highlight w:val="none"/>
                <w:lang w:bidi="ar-SA"/>
              </w:rPr>
            </w:pPr>
          </w:p>
        </w:tc>
      </w:tr>
      <w:tr w14:paraId="0C26F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2AD5AD7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1CE7E72">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483A416E">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B825D68">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545126A">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56C4DBE3">
            <w:pPr>
              <w:spacing w:line="380" w:lineRule="exact"/>
              <w:jc w:val="center"/>
              <w:rPr>
                <w:rFonts w:hint="eastAsia" w:ascii="宋体" w:hAnsi="宋体" w:eastAsia="宋体" w:cs="宋体"/>
                <w:b/>
                <w:bCs/>
                <w:color w:val="auto"/>
                <w:sz w:val="18"/>
                <w:szCs w:val="18"/>
                <w:highlight w:val="none"/>
                <w:lang w:bidi="ar-SA"/>
              </w:rPr>
            </w:pPr>
          </w:p>
        </w:tc>
      </w:tr>
      <w:tr w14:paraId="00B05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2D37B0A7">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48B03934">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72022E8E">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1E10B75B">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462DE853">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479C5C98">
            <w:pPr>
              <w:spacing w:line="380" w:lineRule="exact"/>
              <w:jc w:val="center"/>
              <w:rPr>
                <w:rFonts w:hint="eastAsia" w:ascii="宋体" w:hAnsi="宋体" w:eastAsia="宋体" w:cs="宋体"/>
                <w:b/>
                <w:bCs/>
                <w:color w:val="auto"/>
                <w:sz w:val="18"/>
                <w:szCs w:val="18"/>
                <w:highlight w:val="none"/>
                <w:lang w:bidi="ar-SA"/>
              </w:rPr>
            </w:pPr>
          </w:p>
        </w:tc>
      </w:tr>
      <w:tr w14:paraId="1324C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3AFB2A17">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8BED219">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130015D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296B9A8">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1CADE704">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5C45438F">
            <w:pPr>
              <w:spacing w:line="380" w:lineRule="exact"/>
              <w:jc w:val="center"/>
              <w:rPr>
                <w:rFonts w:hint="eastAsia" w:ascii="宋体" w:hAnsi="宋体" w:eastAsia="宋体" w:cs="宋体"/>
                <w:b/>
                <w:bCs/>
                <w:color w:val="auto"/>
                <w:sz w:val="18"/>
                <w:szCs w:val="18"/>
                <w:highlight w:val="none"/>
                <w:lang w:bidi="ar-SA"/>
              </w:rPr>
            </w:pPr>
          </w:p>
        </w:tc>
      </w:tr>
      <w:tr w14:paraId="4CABB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53B084BD">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3C9280E2">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9D9BAA2">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52D3E9C1">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47385FE7">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12E6A220">
            <w:pPr>
              <w:spacing w:line="380" w:lineRule="exact"/>
              <w:jc w:val="center"/>
              <w:rPr>
                <w:rFonts w:hint="eastAsia" w:ascii="宋体" w:hAnsi="宋体" w:eastAsia="宋体" w:cs="宋体"/>
                <w:b/>
                <w:bCs/>
                <w:color w:val="auto"/>
                <w:sz w:val="18"/>
                <w:szCs w:val="18"/>
                <w:highlight w:val="none"/>
                <w:lang w:bidi="ar-SA"/>
              </w:rPr>
            </w:pPr>
          </w:p>
        </w:tc>
      </w:tr>
      <w:tr w14:paraId="61770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4B5162B8">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ABAD1E3">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7592674F">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14CCFA56">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323F1A55">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3DC08C72">
            <w:pPr>
              <w:spacing w:line="380" w:lineRule="exact"/>
              <w:jc w:val="center"/>
              <w:rPr>
                <w:rFonts w:hint="eastAsia" w:ascii="宋体" w:hAnsi="宋体" w:eastAsia="宋体" w:cs="宋体"/>
                <w:b/>
                <w:bCs/>
                <w:color w:val="auto"/>
                <w:sz w:val="18"/>
                <w:szCs w:val="18"/>
                <w:highlight w:val="none"/>
                <w:lang w:bidi="ar-SA"/>
              </w:rPr>
            </w:pPr>
          </w:p>
        </w:tc>
      </w:tr>
      <w:tr w14:paraId="7DAFB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6" w:type="dxa"/>
            <w:noWrap w:val="0"/>
            <w:vAlign w:val="center"/>
          </w:tcPr>
          <w:p w14:paraId="537E9B2F">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874063E">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5370070B">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17A44301">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50CF2B94">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6B6EDC92">
            <w:pPr>
              <w:spacing w:line="380" w:lineRule="exact"/>
              <w:jc w:val="center"/>
              <w:rPr>
                <w:rFonts w:hint="eastAsia" w:ascii="宋体" w:hAnsi="宋体" w:eastAsia="宋体" w:cs="宋体"/>
                <w:b/>
                <w:bCs/>
                <w:color w:val="auto"/>
                <w:sz w:val="18"/>
                <w:szCs w:val="18"/>
                <w:highlight w:val="none"/>
                <w:lang w:bidi="ar-SA"/>
              </w:rPr>
            </w:pPr>
          </w:p>
        </w:tc>
      </w:tr>
      <w:tr w14:paraId="5124E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dxa"/>
            <w:noWrap w:val="0"/>
            <w:vAlign w:val="center"/>
          </w:tcPr>
          <w:p w14:paraId="238B059A">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C207075">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66ADDE3D">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284AE6AE">
            <w:pPr>
              <w:spacing w:line="380" w:lineRule="exact"/>
              <w:jc w:val="center"/>
              <w:rPr>
                <w:rFonts w:hint="eastAsia" w:ascii="宋体" w:hAnsi="宋体" w:eastAsia="宋体" w:cs="宋体"/>
                <w:b/>
                <w:bCs/>
                <w:color w:val="auto"/>
                <w:sz w:val="18"/>
                <w:szCs w:val="18"/>
                <w:highlight w:val="none"/>
                <w:lang w:bidi="ar-SA"/>
              </w:rPr>
            </w:pPr>
          </w:p>
        </w:tc>
        <w:tc>
          <w:tcPr>
            <w:tcW w:w="1670" w:type="dxa"/>
            <w:noWrap w:val="0"/>
            <w:vAlign w:val="center"/>
          </w:tcPr>
          <w:p w14:paraId="072E9B76">
            <w:pPr>
              <w:spacing w:line="380" w:lineRule="exact"/>
              <w:jc w:val="center"/>
              <w:rPr>
                <w:rFonts w:hint="eastAsia" w:ascii="宋体" w:hAnsi="宋体" w:eastAsia="宋体" w:cs="宋体"/>
                <w:b/>
                <w:bCs/>
                <w:color w:val="auto"/>
                <w:sz w:val="18"/>
                <w:szCs w:val="18"/>
                <w:highlight w:val="none"/>
                <w:lang w:bidi="ar-SA"/>
              </w:rPr>
            </w:pPr>
          </w:p>
        </w:tc>
        <w:tc>
          <w:tcPr>
            <w:tcW w:w="1671" w:type="dxa"/>
            <w:noWrap w:val="0"/>
            <w:vAlign w:val="center"/>
          </w:tcPr>
          <w:p w14:paraId="356239D5">
            <w:pPr>
              <w:spacing w:line="380" w:lineRule="exact"/>
              <w:jc w:val="center"/>
              <w:rPr>
                <w:rFonts w:hint="eastAsia" w:ascii="宋体" w:hAnsi="宋体" w:eastAsia="宋体" w:cs="宋体"/>
                <w:b/>
                <w:bCs/>
                <w:color w:val="auto"/>
                <w:sz w:val="18"/>
                <w:szCs w:val="18"/>
                <w:highlight w:val="none"/>
                <w:lang w:bidi="ar-SA"/>
              </w:rPr>
            </w:pPr>
          </w:p>
        </w:tc>
      </w:tr>
    </w:tbl>
    <w:p w14:paraId="22CB35D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58A6CFE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、本表人员有资格证书的应随表提交职称、资格证书复印件（加盖公章）。</w:t>
      </w:r>
    </w:p>
    <w:p w14:paraId="575A7EC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14:paraId="5002E923">
      <w:pPr>
        <w:spacing w:line="360" w:lineRule="auto"/>
        <w:rPr>
          <w:rFonts w:hint="eastAsia" w:ascii="宋体" w:hAnsi="宋体" w:eastAsia="宋体" w:cs="宋体"/>
          <w:sz w:val="21"/>
          <w:szCs w:val="21"/>
          <w:highlight w:val="none"/>
        </w:rPr>
      </w:pPr>
    </w:p>
    <w:p w14:paraId="21E643C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555F163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748A5447">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14:paraId="49E8445C">
      <w:pPr>
        <w:jc w:val="center"/>
        <w:rPr>
          <w:rFonts w:hint="eastAsia" w:ascii="宋体" w:hAnsi="宋体" w:eastAsia="宋体" w:cs="宋体"/>
          <w:b/>
          <w:color w:val="auto"/>
          <w:sz w:val="48"/>
          <w:szCs w:val="48"/>
          <w:highlight w:val="none"/>
        </w:rPr>
      </w:pPr>
    </w:p>
    <w:p w14:paraId="39C4791C">
      <w:pPr>
        <w:spacing w:before="120" w:after="120" w:line="38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六</w:t>
      </w:r>
    </w:p>
    <w:p w14:paraId="7D59C0A6">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lang w:eastAsia="zh-CN"/>
        </w:rPr>
        <w:t>年1月1日以来</w:t>
      </w:r>
      <w:r>
        <w:rPr>
          <w:rFonts w:hint="eastAsia" w:ascii="宋体" w:hAnsi="宋体" w:eastAsia="宋体" w:cs="宋体"/>
          <w:b/>
          <w:bCs/>
          <w:color w:val="auto"/>
          <w:szCs w:val="21"/>
          <w:highlight w:val="none"/>
        </w:rPr>
        <w:t>同类项目业绩一览表</w:t>
      </w:r>
    </w:p>
    <w:p w14:paraId="601AB2A3">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021"/>
        <w:gridCol w:w="1834"/>
        <w:gridCol w:w="691"/>
        <w:gridCol w:w="1056"/>
        <w:gridCol w:w="1067"/>
        <w:gridCol w:w="1754"/>
      </w:tblGrid>
      <w:tr w14:paraId="08E94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89" w:hRule="atLeast"/>
          <w:jc w:val="center"/>
        </w:trPr>
        <w:tc>
          <w:tcPr>
            <w:tcW w:w="745" w:type="dxa"/>
            <w:shd w:val="clear" w:color="auto" w:fill="D9D9D9"/>
            <w:noWrap w:val="0"/>
            <w:vAlign w:val="center"/>
          </w:tcPr>
          <w:p w14:paraId="3EFB06FF">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序号</w:t>
            </w:r>
          </w:p>
        </w:tc>
        <w:tc>
          <w:tcPr>
            <w:tcW w:w="2021" w:type="dxa"/>
            <w:shd w:val="clear" w:color="auto" w:fill="D9D9D9"/>
            <w:noWrap w:val="0"/>
            <w:vAlign w:val="center"/>
          </w:tcPr>
          <w:p w14:paraId="78F49848">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项目名称</w:t>
            </w:r>
          </w:p>
        </w:tc>
        <w:tc>
          <w:tcPr>
            <w:tcW w:w="1834" w:type="dxa"/>
            <w:shd w:val="clear" w:color="auto" w:fill="D9D9D9"/>
            <w:noWrap w:val="0"/>
            <w:vAlign w:val="center"/>
          </w:tcPr>
          <w:p w14:paraId="5E3FA3FD">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用户单位</w:t>
            </w:r>
          </w:p>
        </w:tc>
        <w:tc>
          <w:tcPr>
            <w:tcW w:w="691" w:type="dxa"/>
            <w:shd w:val="clear" w:color="auto" w:fill="D9D9D9"/>
            <w:noWrap w:val="0"/>
            <w:vAlign w:val="center"/>
          </w:tcPr>
          <w:p w14:paraId="011E7EB3">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数量</w:t>
            </w:r>
          </w:p>
        </w:tc>
        <w:tc>
          <w:tcPr>
            <w:tcW w:w="1056" w:type="dxa"/>
            <w:shd w:val="clear" w:color="auto" w:fill="D9D9D9"/>
            <w:noWrap w:val="0"/>
            <w:vAlign w:val="center"/>
          </w:tcPr>
          <w:p w14:paraId="508B9DD6">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合同金额</w:t>
            </w:r>
          </w:p>
        </w:tc>
        <w:tc>
          <w:tcPr>
            <w:tcW w:w="1067" w:type="dxa"/>
            <w:shd w:val="clear" w:color="auto" w:fill="D9D9D9"/>
            <w:noWrap w:val="0"/>
            <w:vAlign w:val="center"/>
          </w:tcPr>
          <w:p w14:paraId="1EB1BA7A">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合同签订时间</w:t>
            </w:r>
          </w:p>
        </w:tc>
        <w:tc>
          <w:tcPr>
            <w:tcW w:w="1754" w:type="dxa"/>
            <w:shd w:val="clear" w:color="auto" w:fill="D9D9D9"/>
            <w:noWrap w:val="0"/>
            <w:vAlign w:val="center"/>
          </w:tcPr>
          <w:p w14:paraId="37ADA585">
            <w:pPr>
              <w:spacing w:line="38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sz w:val="22"/>
                <w:szCs w:val="22"/>
                <w:highlight w:val="none"/>
                <w:lang w:bidi="ar-SA"/>
              </w:rPr>
              <w:t>用户联系人/联系方式</w:t>
            </w:r>
          </w:p>
        </w:tc>
      </w:tr>
      <w:tr w14:paraId="14D40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2B616F21">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50132B24">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002DA4E7">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505EFCB1">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49AFF9F8">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20A7B2E2">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226CD875">
            <w:pPr>
              <w:spacing w:line="380" w:lineRule="exact"/>
              <w:jc w:val="center"/>
              <w:rPr>
                <w:rFonts w:hint="eastAsia" w:ascii="宋体" w:hAnsi="宋体" w:eastAsia="宋体" w:cs="宋体"/>
                <w:b/>
                <w:bCs/>
                <w:color w:val="auto"/>
                <w:sz w:val="22"/>
                <w:szCs w:val="22"/>
                <w:highlight w:val="none"/>
                <w:lang w:bidi="ar-SA"/>
              </w:rPr>
            </w:pPr>
          </w:p>
        </w:tc>
      </w:tr>
      <w:tr w14:paraId="3D9AD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3689A78D">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0AEC9E25">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5FA1404F">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50288FE4">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6912292F">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2A5B7E31">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40F637CF">
            <w:pPr>
              <w:spacing w:line="380" w:lineRule="exact"/>
              <w:jc w:val="center"/>
              <w:rPr>
                <w:rFonts w:hint="eastAsia" w:ascii="宋体" w:hAnsi="宋体" w:eastAsia="宋体" w:cs="宋体"/>
                <w:b/>
                <w:bCs/>
                <w:color w:val="auto"/>
                <w:sz w:val="22"/>
                <w:szCs w:val="22"/>
                <w:highlight w:val="none"/>
                <w:lang w:bidi="ar-SA"/>
              </w:rPr>
            </w:pPr>
          </w:p>
        </w:tc>
      </w:tr>
      <w:tr w14:paraId="0BC0A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5628F75D">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4A1B4731">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32A0B34A">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0C2F1410">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479ECE92">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3C83F284">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38A30C57">
            <w:pPr>
              <w:spacing w:line="380" w:lineRule="exact"/>
              <w:jc w:val="center"/>
              <w:rPr>
                <w:rFonts w:hint="eastAsia" w:ascii="宋体" w:hAnsi="宋体" w:eastAsia="宋体" w:cs="宋体"/>
                <w:b/>
                <w:bCs/>
                <w:color w:val="auto"/>
                <w:sz w:val="22"/>
                <w:szCs w:val="22"/>
                <w:highlight w:val="none"/>
                <w:lang w:bidi="ar-SA"/>
              </w:rPr>
            </w:pPr>
          </w:p>
        </w:tc>
      </w:tr>
      <w:tr w14:paraId="55340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0F40242C">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5C22B164">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00452A7E">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4C9B6D24">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55F501FD">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62BAA963">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7C361319">
            <w:pPr>
              <w:spacing w:line="380" w:lineRule="exact"/>
              <w:jc w:val="center"/>
              <w:rPr>
                <w:rFonts w:hint="eastAsia" w:ascii="宋体" w:hAnsi="宋体" w:eastAsia="宋体" w:cs="宋体"/>
                <w:b/>
                <w:bCs/>
                <w:color w:val="auto"/>
                <w:sz w:val="22"/>
                <w:szCs w:val="22"/>
                <w:highlight w:val="none"/>
                <w:lang w:bidi="ar-SA"/>
              </w:rPr>
            </w:pPr>
          </w:p>
        </w:tc>
      </w:tr>
      <w:tr w14:paraId="744F9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7D10B89C">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4C3FEF28">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3A666584">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2472CAA6">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4D4A97F3">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00A90314">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779EDE71">
            <w:pPr>
              <w:spacing w:line="380" w:lineRule="exact"/>
              <w:jc w:val="center"/>
              <w:rPr>
                <w:rFonts w:hint="eastAsia" w:ascii="宋体" w:hAnsi="宋体" w:eastAsia="宋体" w:cs="宋体"/>
                <w:b/>
                <w:bCs/>
                <w:color w:val="auto"/>
                <w:sz w:val="22"/>
                <w:szCs w:val="22"/>
                <w:highlight w:val="none"/>
                <w:lang w:bidi="ar-SA"/>
              </w:rPr>
            </w:pPr>
          </w:p>
        </w:tc>
      </w:tr>
      <w:tr w14:paraId="42A61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2880893C">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10140C36">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6DED76C1">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4299239C">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13D9CC6E">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210F884A">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6A0C5FF1">
            <w:pPr>
              <w:spacing w:line="380" w:lineRule="exact"/>
              <w:jc w:val="center"/>
              <w:rPr>
                <w:rFonts w:hint="eastAsia" w:ascii="宋体" w:hAnsi="宋体" w:eastAsia="宋体" w:cs="宋体"/>
                <w:b/>
                <w:bCs/>
                <w:color w:val="auto"/>
                <w:sz w:val="22"/>
                <w:szCs w:val="22"/>
                <w:highlight w:val="none"/>
                <w:lang w:bidi="ar-SA"/>
              </w:rPr>
            </w:pPr>
          </w:p>
        </w:tc>
      </w:tr>
      <w:tr w14:paraId="519CD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2B935366">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0BE23862">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513DB67F">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71F9E4DF">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7E44B547">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312C9372">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489E7E7E">
            <w:pPr>
              <w:spacing w:line="380" w:lineRule="exact"/>
              <w:jc w:val="center"/>
              <w:rPr>
                <w:rFonts w:hint="eastAsia" w:ascii="宋体" w:hAnsi="宋体" w:eastAsia="宋体" w:cs="宋体"/>
                <w:b/>
                <w:bCs/>
                <w:color w:val="auto"/>
                <w:sz w:val="22"/>
                <w:szCs w:val="22"/>
                <w:highlight w:val="none"/>
                <w:lang w:bidi="ar-SA"/>
              </w:rPr>
            </w:pPr>
          </w:p>
        </w:tc>
      </w:tr>
      <w:tr w14:paraId="6D69C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68162DE1">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693677CB">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02DE1755">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6F652DED">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35421615">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09F8563F">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1324E7A7">
            <w:pPr>
              <w:spacing w:line="380" w:lineRule="exact"/>
              <w:jc w:val="center"/>
              <w:rPr>
                <w:rFonts w:hint="eastAsia" w:ascii="宋体" w:hAnsi="宋体" w:eastAsia="宋体" w:cs="宋体"/>
                <w:b/>
                <w:bCs/>
                <w:color w:val="auto"/>
                <w:sz w:val="22"/>
                <w:szCs w:val="22"/>
                <w:highlight w:val="none"/>
                <w:lang w:bidi="ar-SA"/>
              </w:rPr>
            </w:pPr>
          </w:p>
        </w:tc>
      </w:tr>
      <w:tr w14:paraId="4BE9B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07F15131">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0A04FCA0">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7F2EB683">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313A2837">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273E7DCC">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2ED9B8CC">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56B028A9">
            <w:pPr>
              <w:spacing w:line="380" w:lineRule="exact"/>
              <w:jc w:val="center"/>
              <w:rPr>
                <w:rFonts w:hint="eastAsia" w:ascii="宋体" w:hAnsi="宋体" w:eastAsia="宋体" w:cs="宋体"/>
                <w:b/>
                <w:bCs/>
                <w:color w:val="auto"/>
                <w:sz w:val="22"/>
                <w:szCs w:val="22"/>
                <w:highlight w:val="none"/>
                <w:lang w:bidi="ar-SA"/>
              </w:rPr>
            </w:pPr>
          </w:p>
        </w:tc>
      </w:tr>
      <w:tr w14:paraId="0CB00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0FD6AAF1">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54203822">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44E613DB">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4493C474">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37E46377">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1C2BADB9">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2BC0F058">
            <w:pPr>
              <w:spacing w:line="380" w:lineRule="exact"/>
              <w:jc w:val="center"/>
              <w:rPr>
                <w:rFonts w:hint="eastAsia" w:ascii="宋体" w:hAnsi="宋体" w:eastAsia="宋体" w:cs="宋体"/>
                <w:b/>
                <w:bCs/>
                <w:color w:val="auto"/>
                <w:sz w:val="22"/>
                <w:szCs w:val="22"/>
                <w:highlight w:val="none"/>
                <w:lang w:bidi="ar-SA"/>
              </w:rPr>
            </w:pPr>
          </w:p>
        </w:tc>
      </w:tr>
      <w:tr w14:paraId="3FF31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5" w:type="dxa"/>
            <w:noWrap w:val="0"/>
            <w:vAlign w:val="center"/>
          </w:tcPr>
          <w:p w14:paraId="6094586C">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418EFA75">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04F5B7DB">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6FB89A81">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1544FCE0">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2858120D">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74773C8C">
            <w:pPr>
              <w:spacing w:line="380" w:lineRule="exact"/>
              <w:jc w:val="center"/>
              <w:rPr>
                <w:rFonts w:hint="eastAsia" w:ascii="宋体" w:hAnsi="宋体" w:eastAsia="宋体" w:cs="宋体"/>
                <w:b/>
                <w:bCs/>
                <w:color w:val="auto"/>
                <w:sz w:val="22"/>
                <w:szCs w:val="22"/>
                <w:highlight w:val="none"/>
                <w:lang w:bidi="ar-SA"/>
              </w:rPr>
            </w:pPr>
          </w:p>
        </w:tc>
      </w:tr>
      <w:tr w14:paraId="46D3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5" w:type="dxa"/>
            <w:noWrap w:val="0"/>
            <w:vAlign w:val="center"/>
          </w:tcPr>
          <w:p w14:paraId="32B2C88F">
            <w:pPr>
              <w:spacing w:line="380" w:lineRule="exact"/>
              <w:jc w:val="center"/>
              <w:rPr>
                <w:rFonts w:hint="eastAsia" w:ascii="宋体" w:hAnsi="宋体" w:eastAsia="宋体" w:cs="宋体"/>
                <w:b/>
                <w:bCs/>
                <w:color w:val="auto"/>
                <w:sz w:val="22"/>
                <w:szCs w:val="22"/>
                <w:highlight w:val="none"/>
                <w:lang w:bidi="ar-SA"/>
              </w:rPr>
            </w:pPr>
          </w:p>
        </w:tc>
        <w:tc>
          <w:tcPr>
            <w:tcW w:w="2021" w:type="dxa"/>
            <w:noWrap w:val="0"/>
            <w:vAlign w:val="center"/>
          </w:tcPr>
          <w:p w14:paraId="7FD5346C">
            <w:pPr>
              <w:spacing w:line="380" w:lineRule="exact"/>
              <w:jc w:val="center"/>
              <w:rPr>
                <w:rFonts w:hint="eastAsia" w:ascii="宋体" w:hAnsi="宋体" w:eastAsia="宋体" w:cs="宋体"/>
                <w:b/>
                <w:bCs/>
                <w:color w:val="auto"/>
                <w:sz w:val="22"/>
                <w:szCs w:val="22"/>
                <w:highlight w:val="none"/>
                <w:lang w:bidi="ar-SA"/>
              </w:rPr>
            </w:pPr>
          </w:p>
        </w:tc>
        <w:tc>
          <w:tcPr>
            <w:tcW w:w="1834" w:type="dxa"/>
            <w:noWrap w:val="0"/>
            <w:vAlign w:val="center"/>
          </w:tcPr>
          <w:p w14:paraId="2CFE90B0">
            <w:pPr>
              <w:spacing w:line="380" w:lineRule="exact"/>
              <w:jc w:val="center"/>
              <w:rPr>
                <w:rFonts w:hint="eastAsia" w:ascii="宋体" w:hAnsi="宋体" w:eastAsia="宋体" w:cs="宋体"/>
                <w:b/>
                <w:bCs/>
                <w:color w:val="auto"/>
                <w:sz w:val="22"/>
                <w:szCs w:val="22"/>
                <w:highlight w:val="none"/>
                <w:lang w:bidi="ar-SA"/>
              </w:rPr>
            </w:pPr>
          </w:p>
        </w:tc>
        <w:tc>
          <w:tcPr>
            <w:tcW w:w="691" w:type="dxa"/>
            <w:noWrap w:val="0"/>
            <w:vAlign w:val="center"/>
          </w:tcPr>
          <w:p w14:paraId="62F3AB27">
            <w:pPr>
              <w:spacing w:line="380" w:lineRule="exact"/>
              <w:jc w:val="center"/>
              <w:rPr>
                <w:rFonts w:hint="eastAsia" w:ascii="宋体" w:hAnsi="宋体" w:eastAsia="宋体" w:cs="宋体"/>
                <w:b/>
                <w:bCs/>
                <w:color w:val="auto"/>
                <w:sz w:val="22"/>
                <w:szCs w:val="22"/>
                <w:highlight w:val="none"/>
                <w:lang w:bidi="ar-SA"/>
              </w:rPr>
            </w:pPr>
          </w:p>
        </w:tc>
        <w:tc>
          <w:tcPr>
            <w:tcW w:w="1056" w:type="dxa"/>
            <w:noWrap w:val="0"/>
            <w:vAlign w:val="center"/>
          </w:tcPr>
          <w:p w14:paraId="6F1E57D0">
            <w:pPr>
              <w:spacing w:line="380" w:lineRule="exact"/>
              <w:jc w:val="center"/>
              <w:rPr>
                <w:rFonts w:hint="eastAsia" w:ascii="宋体" w:hAnsi="宋体" w:eastAsia="宋体" w:cs="宋体"/>
                <w:b/>
                <w:bCs/>
                <w:color w:val="auto"/>
                <w:sz w:val="22"/>
                <w:szCs w:val="22"/>
                <w:highlight w:val="none"/>
                <w:lang w:bidi="ar-SA"/>
              </w:rPr>
            </w:pPr>
          </w:p>
        </w:tc>
        <w:tc>
          <w:tcPr>
            <w:tcW w:w="1067" w:type="dxa"/>
            <w:noWrap w:val="0"/>
            <w:vAlign w:val="center"/>
          </w:tcPr>
          <w:p w14:paraId="60CAB977">
            <w:pPr>
              <w:spacing w:line="380" w:lineRule="exact"/>
              <w:jc w:val="center"/>
              <w:rPr>
                <w:rFonts w:hint="eastAsia" w:ascii="宋体" w:hAnsi="宋体" w:eastAsia="宋体" w:cs="宋体"/>
                <w:b/>
                <w:bCs/>
                <w:color w:val="auto"/>
                <w:sz w:val="22"/>
                <w:szCs w:val="22"/>
                <w:highlight w:val="none"/>
                <w:lang w:bidi="ar-SA"/>
              </w:rPr>
            </w:pPr>
          </w:p>
        </w:tc>
        <w:tc>
          <w:tcPr>
            <w:tcW w:w="1754" w:type="dxa"/>
            <w:noWrap w:val="0"/>
            <w:vAlign w:val="center"/>
          </w:tcPr>
          <w:p w14:paraId="77A37EDA">
            <w:pPr>
              <w:spacing w:line="380" w:lineRule="exact"/>
              <w:jc w:val="center"/>
              <w:rPr>
                <w:rFonts w:hint="eastAsia" w:ascii="宋体" w:hAnsi="宋体" w:eastAsia="宋体" w:cs="宋体"/>
                <w:b/>
                <w:bCs/>
                <w:color w:val="auto"/>
                <w:sz w:val="22"/>
                <w:szCs w:val="22"/>
                <w:highlight w:val="none"/>
                <w:lang w:bidi="ar-SA"/>
              </w:rPr>
            </w:pPr>
          </w:p>
        </w:tc>
      </w:tr>
    </w:tbl>
    <w:p w14:paraId="2A9E6983">
      <w:pPr>
        <w:spacing w:before="120" w:beforeLines="50" w:line="360" w:lineRule="exact"/>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注：1. 此表仅提供了表格形式，投标人应根据需要准备足够数量的表格来填写。</w:t>
      </w:r>
    </w:p>
    <w:p w14:paraId="51C80804">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后附类似业绩证明材料（详见评分细则）。</w:t>
      </w:r>
    </w:p>
    <w:p w14:paraId="05BAF3E6">
      <w:pPr>
        <w:spacing w:before="120" w:beforeLines="50" w:line="360" w:lineRule="exact"/>
        <w:ind w:right="-21" w:rightChars="-10"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3. </w:t>
      </w:r>
      <w:r>
        <w:rPr>
          <w:rFonts w:hint="eastAsia" w:ascii="宋体" w:hAnsi="宋体" w:eastAsia="宋体" w:cs="宋体"/>
          <w:b/>
          <w:bCs/>
          <w:color w:val="auto"/>
          <w:highlight w:val="none"/>
          <w:u w:val="single"/>
        </w:rPr>
        <w:t>投标人不按此要求填写此项内容或案例无证明文件将视为无业绩，不纳入技术资信评分范围。</w:t>
      </w:r>
    </w:p>
    <w:p w14:paraId="16A0EDB2">
      <w:pPr>
        <w:spacing w:line="400" w:lineRule="exact"/>
        <w:ind w:firstLine="433" w:firstLineChars="196"/>
        <w:rPr>
          <w:rFonts w:hint="eastAsia" w:ascii="宋体" w:hAnsi="宋体" w:eastAsia="宋体" w:cs="宋体"/>
          <w:b/>
          <w:color w:val="auto"/>
          <w:sz w:val="22"/>
          <w:szCs w:val="22"/>
          <w:highlight w:val="none"/>
        </w:rPr>
      </w:pPr>
    </w:p>
    <w:p w14:paraId="08CF521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124A794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1E6A6A0D">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14:paraId="49E04D96">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0C50211">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附件七</w:t>
      </w:r>
    </w:p>
    <w:p w14:paraId="47E78DF9">
      <w:pPr>
        <w:pStyle w:val="4"/>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技术响应表</w:t>
      </w:r>
    </w:p>
    <w:p w14:paraId="0894CDF2">
      <w:pPr>
        <w:pStyle w:val="4"/>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（1）技术响应表</w:t>
      </w:r>
    </w:p>
    <w:p w14:paraId="0182D441">
      <w:pPr>
        <w:rPr>
          <w:rFonts w:hint="eastAsia" w:ascii="宋体" w:hAnsi="宋体" w:eastAsia="宋体" w:cs="宋体"/>
          <w:b/>
          <w:bCs/>
          <w:highlight w:val="none"/>
        </w:rPr>
      </w:pPr>
      <w:r>
        <w:rPr>
          <w:rFonts w:hint="eastAsia" w:ascii="宋体" w:hAnsi="宋体" w:eastAsia="宋体" w:cs="宋体"/>
          <w:b/>
          <w:bCs/>
          <w:highlight w:val="none"/>
        </w:rPr>
        <w:t>一、设备供货清单响应表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925"/>
        <w:gridCol w:w="1375"/>
        <w:gridCol w:w="2892"/>
        <w:gridCol w:w="1066"/>
        <w:gridCol w:w="1094"/>
      </w:tblGrid>
      <w:tr w14:paraId="438D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4DCD97B9">
            <w:pPr>
              <w:spacing w:before="240" w:beforeLines="100" w:line="360" w:lineRule="auto"/>
              <w:ind w:right="-21" w:rightChars="-10"/>
              <w:jc w:val="center"/>
              <w:rPr>
                <w:rFonts w:hint="eastAsia" w:ascii="宋体" w:hAnsi="宋体" w:eastAsia="宋体" w:cs="宋体"/>
                <w:highlight w:val="none"/>
              </w:rPr>
            </w:pPr>
            <w:r>
              <w:rPr>
                <w:rFonts w:hint="eastAsia" w:ascii="宋体" w:hAnsi="宋体" w:eastAsia="宋体" w:cs="宋体"/>
                <w:highlight w:val="none"/>
              </w:rPr>
              <w:t>序号</w:t>
            </w:r>
          </w:p>
        </w:tc>
        <w:tc>
          <w:tcPr>
            <w:tcW w:w="1925" w:type="dxa"/>
            <w:noWrap w:val="0"/>
            <w:vAlign w:val="top"/>
          </w:tcPr>
          <w:p w14:paraId="6FD335A6">
            <w:pPr>
              <w:spacing w:before="240" w:beforeLines="100" w:line="360" w:lineRule="auto"/>
              <w:ind w:right="-21" w:rightChars="-10"/>
              <w:jc w:val="center"/>
              <w:rPr>
                <w:rFonts w:hint="eastAsia" w:ascii="宋体" w:hAnsi="宋体" w:eastAsia="宋体" w:cs="宋体"/>
                <w:highlight w:val="none"/>
              </w:rPr>
            </w:pPr>
            <w:r>
              <w:rPr>
                <w:rFonts w:hint="eastAsia" w:ascii="宋体" w:hAnsi="宋体" w:eastAsia="宋体" w:cs="宋体"/>
                <w:highlight w:val="none"/>
              </w:rPr>
              <w:t>设备名称</w:t>
            </w:r>
          </w:p>
        </w:tc>
        <w:tc>
          <w:tcPr>
            <w:tcW w:w="1375" w:type="dxa"/>
            <w:noWrap w:val="0"/>
            <w:vAlign w:val="top"/>
          </w:tcPr>
          <w:p w14:paraId="1D40D02F">
            <w:pPr>
              <w:spacing w:before="240" w:beforeLines="100" w:line="360" w:lineRule="auto"/>
              <w:ind w:right="-21" w:rightChars="-10"/>
              <w:jc w:val="center"/>
              <w:rPr>
                <w:rFonts w:hint="eastAsia" w:ascii="宋体" w:hAnsi="宋体" w:eastAsia="宋体" w:cs="宋体"/>
                <w:highlight w:val="none"/>
              </w:rPr>
            </w:pPr>
            <w:r>
              <w:rPr>
                <w:rFonts w:hint="eastAsia" w:ascii="宋体" w:hAnsi="宋体" w:eastAsia="宋体" w:cs="宋体"/>
                <w:highlight w:val="none"/>
              </w:rPr>
              <w:t>品牌型号</w:t>
            </w:r>
          </w:p>
        </w:tc>
        <w:tc>
          <w:tcPr>
            <w:tcW w:w="2892" w:type="dxa"/>
            <w:noWrap w:val="0"/>
            <w:vAlign w:val="top"/>
          </w:tcPr>
          <w:p w14:paraId="3CB1D74A">
            <w:pPr>
              <w:spacing w:before="240" w:beforeLines="100" w:line="360" w:lineRule="auto"/>
              <w:ind w:right="-21" w:rightChars="-10"/>
              <w:jc w:val="center"/>
              <w:rPr>
                <w:rFonts w:hint="eastAsia" w:ascii="宋体" w:hAnsi="宋体" w:eastAsia="宋体" w:cs="宋体"/>
                <w:highlight w:val="none"/>
              </w:rPr>
            </w:pPr>
            <w:r>
              <w:rPr>
                <w:rFonts w:hint="eastAsia" w:ascii="宋体" w:hAnsi="宋体" w:eastAsia="宋体" w:cs="宋体"/>
                <w:highlight w:val="none"/>
              </w:rPr>
              <w:t>技术参数</w:t>
            </w:r>
          </w:p>
        </w:tc>
        <w:tc>
          <w:tcPr>
            <w:tcW w:w="1066" w:type="dxa"/>
            <w:noWrap w:val="0"/>
            <w:vAlign w:val="top"/>
          </w:tcPr>
          <w:p w14:paraId="2E26C501">
            <w:pPr>
              <w:spacing w:before="240" w:beforeLines="100" w:line="360" w:lineRule="auto"/>
              <w:ind w:right="-21" w:rightChars="-10"/>
              <w:jc w:val="center"/>
              <w:rPr>
                <w:rFonts w:hint="eastAsia" w:ascii="宋体" w:hAnsi="宋体" w:eastAsia="宋体" w:cs="宋体"/>
                <w:highlight w:val="none"/>
              </w:rPr>
            </w:pPr>
            <w:r>
              <w:rPr>
                <w:rFonts w:hint="eastAsia" w:ascii="宋体" w:hAnsi="宋体" w:eastAsia="宋体" w:cs="宋体"/>
                <w:highlight w:val="none"/>
              </w:rPr>
              <w:t>数量</w:t>
            </w:r>
          </w:p>
        </w:tc>
        <w:tc>
          <w:tcPr>
            <w:tcW w:w="1094" w:type="dxa"/>
            <w:noWrap w:val="0"/>
            <w:vAlign w:val="top"/>
          </w:tcPr>
          <w:p w14:paraId="35D924C1">
            <w:pPr>
              <w:spacing w:before="240" w:beforeLines="100" w:line="360" w:lineRule="auto"/>
              <w:ind w:right="-21" w:rightChars="-10"/>
              <w:jc w:val="center"/>
              <w:rPr>
                <w:rFonts w:hint="eastAsia" w:ascii="宋体" w:hAnsi="宋体" w:eastAsia="宋体" w:cs="宋体"/>
                <w:highlight w:val="none"/>
              </w:rPr>
            </w:pPr>
            <w:r>
              <w:rPr>
                <w:rFonts w:hint="eastAsia" w:ascii="宋体" w:hAnsi="宋体" w:eastAsia="宋体" w:cs="宋体"/>
                <w:highlight w:val="none"/>
              </w:rPr>
              <w:t>备注</w:t>
            </w:r>
          </w:p>
        </w:tc>
      </w:tr>
      <w:tr w14:paraId="278A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70CC2B9E">
            <w:pPr>
              <w:spacing w:before="240" w:beforeLines="100" w:line="360" w:lineRule="auto"/>
              <w:ind w:right="-21" w:rightChars="-10"/>
              <w:rPr>
                <w:rFonts w:hint="eastAsia" w:ascii="宋体" w:hAnsi="宋体" w:eastAsia="宋体" w:cs="宋体"/>
                <w:highlight w:val="none"/>
              </w:rPr>
            </w:pPr>
          </w:p>
        </w:tc>
        <w:tc>
          <w:tcPr>
            <w:tcW w:w="1925" w:type="dxa"/>
            <w:noWrap w:val="0"/>
            <w:vAlign w:val="top"/>
          </w:tcPr>
          <w:p w14:paraId="0ADFB7AA">
            <w:pPr>
              <w:spacing w:before="240" w:beforeLines="100" w:line="360" w:lineRule="auto"/>
              <w:ind w:right="-21" w:rightChars="-10"/>
              <w:rPr>
                <w:rFonts w:hint="eastAsia" w:ascii="宋体" w:hAnsi="宋体" w:eastAsia="宋体" w:cs="宋体"/>
                <w:highlight w:val="none"/>
              </w:rPr>
            </w:pPr>
          </w:p>
        </w:tc>
        <w:tc>
          <w:tcPr>
            <w:tcW w:w="1375" w:type="dxa"/>
            <w:noWrap w:val="0"/>
            <w:vAlign w:val="top"/>
          </w:tcPr>
          <w:p w14:paraId="1514A8A3">
            <w:pPr>
              <w:spacing w:before="240" w:beforeLines="100" w:line="360" w:lineRule="auto"/>
              <w:ind w:right="-21" w:rightChars="-10"/>
              <w:rPr>
                <w:rFonts w:hint="eastAsia" w:ascii="宋体" w:hAnsi="宋体" w:eastAsia="宋体" w:cs="宋体"/>
                <w:highlight w:val="none"/>
              </w:rPr>
            </w:pPr>
          </w:p>
        </w:tc>
        <w:tc>
          <w:tcPr>
            <w:tcW w:w="2892" w:type="dxa"/>
            <w:noWrap w:val="0"/>
            <w:vAlign w:val="top"/>
          </w:tcPr>
          <w:p w14:paraId="48261401">
            <w:pPr>
              <w:spacing w:before="240" w:beforeLines="100" w:line="360" w:lineRule="auto"/>
              <w:ind w:right="-21" w:rightChars="-10"/>
              <w:jc w:val="center"/>
              <w:rPr>
                <w:rFonts w:hint="eastAsia" w:ascii="宋体" w:hAnsi="宋体" w:eastAsia="宋体" w:cs="宋体"/>
                <w:highlight w:val="none"/>
              </w:rPr>
            </w:pPr>
          </w:p>
        </w:tc>
        <w:tc>
          <w:tcPr>
            <w:tcW w:w="1066" w:type="dxa"/>
            <w:noWrap w:val="0"/>
            <w:vAlign w:val="top"/>
          </w:tcPr>
          <w:p w14:paraId="3145AD5B">
            <w:pPr>
              <w:spacing w:before="240" w:beforeLines="100" w:line="360" w:lineRule="auto"/>
              <w:ind w:right="-21" w:rightChars="-10"/>
              <w:rPr>
                <w:rFonts w:hint="eastAsia" w:ascii="宋体" w:hAnsi="宋体" w:eastAsia="宋体" w:cs="宋体"/>
                <w:highlight w:val="none"/>
              </w:rPr>
            </w:pPr>
          </w:p>
        </w:tc>
        <w:tc>
          <w:tcPr>
            <w:tcW w:w="1094" w:type="dxa"/>
            <w:noWrap w:val="0"/>
            <w:vAlign w:val="top"/>
          </w:tcPr>
          <w:p w14:paraId="47069945">
            <w:pPr>
              <w:spacing w:before="240" w:beforeLines="100" w:line="360" w:lineRule="auto"/>
              <w:ind w:right="-21" w:rightChars="-10"/>
              <w:rPr>
                <w:rFonts w:hint="eastAsia" w:ascii="宋体" w:hAnsi="宋体" w:eastAsia="宋体" w:cs="宋体"/>
                <w:highlight w:val="none"/>
              </w:rPr>
            </w:pPr>
          </w:p>
        </w:tc>
      </w:tr>
      <w:tr w14:paraId="5C73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730DE9AB">
            <w:pPr>
              <w:spacing w:before="240" w:beforeLines="100" w:line="360" w:lineRule="auto"/>
              <w:ind w:right="-21" w:rightChars="-10"/>
              <w:rPr>
                <w:rFonts w:hint="eastAsia" w:ascii="宋体" w:hAnsi="宋体" w:eastAsia="宋体" w:cs="宋体"/>
                <w:highlight w:val="none"/>
              </w:rPr>
            </w:pPr>
          </w:p>
        </w:tc>
        <w:tc>
          <w:tcPr>
            <w:tcW w:w="1925" w:type="dxa"/>
            <w:noWrap w:val="0"/>
            <w:vAlign w:val="top"/>
          </w:tcPr>
          <w:p w14:paraId="3C93C30D">
            <w:pPr>
              <w:spacing w:before="240" w:beforeLines="100" w:line="360" w:lineRule="auto"/>
              <w:ind w:right="-21" w:rightChars="-10"/>
              <w:rPr>
                <w:rFonts w:hint="eastAsia" w:ascii="宋体" w:hAnsi="宋体" w:eastAsia="宋体" w:cs="宋体"/>
                <w:highlight w:val="none"/>
              </w:rPr>
            </w:pPr>
          </w:p>
        </w:tc>
        <w:tc>
          <w:tcPr>
            <w:tcW w:w="1375" w:type="dxa"/>
            <w:noWrap w:val="0"/>
            <w:vAlign w:val="top"/>
          </w:tcPr>
          <w:p w14:paraId="0A5921B8">
            <w:pPr>
              <w:spacing w:before="240" w:beforeLines="100" w:line="360" w:lineRule="auto"/>
              <w:ind w:right="-21" w:rightChars="-10"/>
              <w:rPr>
                <w:rFonts w:hint="eastAsia" w:ascii="宋体" w:hAnsi="宋体" w:eastAsia="宋体" w:cs="宋体"/>
                <w:highlight w:val="none"/>
              </w:rPr>
            </w:pPr>
          </w:p>
        </w:tc>
        <w:tc>
          <w:tcPr>
            <w:tcW w:w="2892" w:type="dxa"/>
            <w:noWrap w:val="0"/>
            <w:vAlign w:val="top"/>
          </w:tcPr>
          <w:p w14:paraId="27FDA90A">
            <w:pPr>
              <w:spacing w:before="240" w:beforeLines="100" w:line="360" w:lineRule="auto"/>
              <w:ind w:right="-21" w:rightChars="-10"/>
              <w:jc w:val="center"/>
              <w:rPr>
                <w:rFonts w:hint="eastAsia" w:ascii="宋体" w:hAnsi="宋体" w:eastAsia="宋体" w:cs="宋体"/>
                <w:highlight w:val="none"/>
              </w:rPr>
            </w:pPr>
          </w:p>
        </w:tc>
        <w:tc>
          <w:tcPr>
            <w:tcW w:w="1066" w:type="dxa"/>
            <w:noWrap w:val="0"/>
            <w:vAlign w:val="top"/>
          </w:tcPr>
          <w:p w14:paraId="423FB74F">
            <w:pPr>
              <w:spacing w:before="240" w:beforeLines="100" w:line="360" w:lineRule="auto"/>
              <w:ind w:right="-21" w:rightChars="-10"/>
              <w:rPr>
                <w:rFonts w:hint="eastAsia" w:ascii="宋体" w:hAnsi="宋体" w:eastAsia="宋体" w:cs="宋体"/>
                <w:highlight w:val="none"/>
              </w:rPr>
            </w:pPr>
          </w:p>
        </w:tc>
        <w:tc>
          <w:tcPr>
            <w:tcW w:w="1094" w:type="dxa"/>
            <w:noWrap w:val="0"/>
            <w:vAlign w:val="top"/>
          </w:tcPr>
          <w:p w14:paraId="573ED3E9">
            <w:pPr>
              <w:spacing w:before="240" w:beforeLines="100" w:line="360" w:lineRule="auto"/>
              <w:ind w:right="-21" w:rightChars="-10"/>
              <w:rPr>
                <w:rFonts w:hint="eastAsia" w:ascii="宋体" w:hAnsi="宋体" w:eastAsia="宋体" w:cs="宋体"/>
                <w:highlight w:val="none"/>
              </w:rPr>
            </w:pPr>
          </w:p>
        </w:tc>
      </w:tr>
      <w:tr w14:paraId="1279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2F1C2249">
            <w:pPr>
              <w:spacing w:before="240" w:beforeLines="100" w:line="360" w:lineRule="auto"/>
              <w:ind w:right="-21" w:rightChars="-10"/>
              <w:rPr>
                <w:rFonts w:hint="eastAsia" w:ascii="宋体" w:hAnsi="宋体" w:eastAsia="宋体" w:cs="宋体"/>
                <w:highlight w:val="none"/>
              </w:rPr>
            </w:pPr>
          </w:p>
        </w:tc>
        <w:tc>
          <w:tcPr>
            <w:tcW w:w="1925" w:type="dxa"/>
            <w:noWrap w:val="0"/>
            <w:vAlign w:val="top"/>
          </w:tcPr>
          <w:p w14:paraId="4EE1D632">
            <w:pPr>
              <w:spacing w:before="240" w:beforeLines="100" w:line="360" w:lineRule="auto"/>
              <w:ind w:right="-21" w:rightChars="-10"/>
              <w:rPr>
                <w:rFonts w:hint="eastAsia" w:ascii="宋体" w:hAnsi="宋体" w:eastAsia="宋体" w:cs="宋体"/>
                <w:highlight w:val="none"/>
              </w:rPr>
            </w:pPr>
          </w:p>
        </w:tc>
        <w:tc>
          <w:tcPr>
            <w:tcW w:w="1375" w:type="dxa"/>
            <w:noWrap w:val="0"/>
            <w:vAlign w:val="top"/>
          </w:tcPr>
          <w:p w14:paraId="6A49B021">
            <w:pPr>
              <w:spacing w:before="240" w:beforeLines="100" w:line="360" w:lineRule="auto"/>
              <w:ind w:right="-21" w:rightChars="-10"/>
              <w:rPr>
                <w:rFonts w:hint="eastAsia" w:ascii="宋体" w:hAnsi="宋体" w:eastAsia="宋体" w:cs="宋体"/>
                <w:highlight w:val="none"/>
              </w:rPr>
            </w:pPr>
          </w:p>
        </w:tc>
        <w:tc>
          <w:tcPr>
            <w:tcW w:w="2892" w:type="dxa"/>
            <w:noWrap w:val="0"/>
            <w:vAlign w:val="top"/>
          </w:tcPr>
          <w:p w14:paraId="5E4EF1D5">
            <w:pPr>
              <w:spacing w:before="240" w:beforeLines="100" w:line="360" w:lineRule="auto"/>
              <w:ind w:right="-21" w:rightChars="-10"/>
              <w:jc w:val="center"/>
              <w:rPr>
                <w:rFonts w:hint="eastAsia" w:ascii="宋体" w:hAnsi="宋体" w:eastAsia="宋体" w:cs="宋体"/>
                <w:highlight w:val="none"/>
              </w:rPr>
            </w:pPr>
          </w:p>
        </w:tc>
        <w:tc>
          <w:tcPr>
            <w:tcW w:w="1066" w:type="dxa"/>
            <w:noWrap w:val="0"/>
            <w:vAlign w:val="top"/>
          </w:tcPr>
          <w:p w14:paraId="28CCF2B7">
            <w:pPr>
              <w:spacing w:before="240" w:beforeLines="100" w:line="360" w:lineRule="auto"/>
              <w:ind w:right="-21" w:rightChars="-10"/>
              <w:rPr>
                <w:rFonts w:hint="eastAsia" w:ascii="宋体" w:hAnsi="宋体" w:eastAsia="宋体" w:cs="宋体"/>
                <w:highlight w:val="none"/>
              </w:rPr>
            </w:pPr>
          </w:p>
        </w:tc>
        <w:tc>
          <w:tcPr>
            <w:tcW w:w="1094" w:type="dxa"/>
            <w:noWrap w:val="0"/>
            <w:vAlign w:val="top"/>
          </w:tcPr>
          <w:p w14:paraId="177F72C7">
            <w:pPr>
              <w:spacing w:before="240" w:beforeLines="100" w:line="360" w:lineRule="auto"/>
              <w:ind w:right="-21" w:rightChars="-10"/>
              <w:rPr>
                <w:rFonts w:hint="eastAsia" w:ascii="宋体" w:hAnsi="宋体" w:eastAsia="宋体" w:cs="宋体"/>
                <w:highlight w:val="none"/>
              </w:rPr>
            </w:pPr>
          </w:p>
        </w:tc>
      </w:tr>
      <w:tr w14:paraId="00FB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283629E3">
            <w:pPr>
              <w:spacing w:before="240" w:beforeLines="100" w:line="360" w:lineRule="auto"/>
              <w:ind w:right="-21" w:rightChars="-10"/>
              <w:rPr>
                <w:rFonts w:hint="eastAsia" w:ascii="宋体" w:hAnsi="宋体" w:eastAsia="宋体" w:cs="宋体"/>
                <w:highlight w:val="none"/>
              </w:rPr>
            </w:pPr>
          </w:p>
        </w:tc>
        <w:tc>
          <w:tcPr>
            <w:tcW w:w="1925" w:type="dxa"/>
            <w:noWrap w:val="0"/>
            <w:vAlign w:val="top"/>
          </w:tcPr>
          <w:p w14:paraId="2A49CE78">
            <w:pPr>
              <w:spacing w:before="240" w:beforeLines="100" w:line="360" w:lineRule="auto"/>
              <w:ind w:right="-21" w:rightChars="-10"/>
              <w:rPr>
                <w:rFonts w:hint="eastAsia" w:ascii="宋体" w:hAnsi="宋体" w:eastAsia="宋体" w:cs="宋体"/>
                <w:highlight w:val="none"/>
              </w:rPr>
            </w:pPr>
          </w:p>
        </w:tc>
        <w:tc>
          <w:tcPr>
            <w:tcW w:w="1375" w:type="dxa"/>
            <w:noWrap w:val="0"/>
            <w:vAlign w:val="top"/>
          </w:tcPr>
          <w:p w14:paraId="6C045CC5">
            <w:pPr>
              <w:spacing w:before="240" w:beforeLines="100" w:line="360" w:lineRule="auto"/>
              <w:ind w:right="-21" w:rightChars="-10"/>
              <w:rPr>
                <w:rFonts w:hint="eastAsia" w:ascii="宋体" w:hAnsi="宋体" w:eastAsia="宋体" w:cs="宋体"/>
                <w:highlight w:val="none"/>
              </w:rPr>
            </w:pPr>
          </w:p>
        </w:tc>
        <w:tc>
          <w:tcPr>
            <w:tcW w:w="2892" w:type="dxa"/>
            <w:noWrap w:val="0"/>
            <w:vAlign w:val="top"/>
          </w:tcPr>
          <w:p w14:paraId="123EFE74">
            <w:pPr>
              <w:spacing w:before="240" w:beforeLines="100" w:line="360" w:lineRule="auto"/>
              <w:ind w:right="-21" w:rightChars="-10"/>
              <w:jc w:val="center"/>
              <w:rPr>
                <w:rFonts w:hint="eastAsia" w:ascii="宋体" w:hAnsi="宋体" w:eastAsia="宋体" w:cs="宋体"/>
                <w:highlight w:val="none"/>
              </w:rPr>
            </w:pPr>
          </w:p>
        </w:tc>
        <w:tc>
          <w:tcPr>
            <w:tcW w:w="1066" w:type="dxa"/>
            <w:noWrap w:val="0"/>
            <w:vAlign w:val="top"/>
          </w:tcPr>
          <w:p w14:paraId="1E3C3DA4">
            <w:pPr>
              <w:spacing w:before="240" w:beforeLines="100" w:line="360" w:lineRule="auto"/>
              <w:ind w:right="-21" w:rightChars="-10"/>
              <w:rPr>
                <w:rFonts w:hint="eastAsia" w:ascii="宋体" w:hAnsi="宋体" w:eastAsia="宋体" w:cs="宋体"/>
                <w:highlight w:val="none"/>
              </w:rPr>
            </w:pPr>
          </w:p>
        </w:tc>
        <w:tc>
          <w:tcPr>
            <w:tcW w:w="1094" w:type="dxa"/>
            <w:noWrap w:val="0"/>
            <w:vAlign w:val="top"/>
          </w:tcPr>
          <w:p w14:paraId="2263A029">
            <w:pPr>
              <w:spacing w:before="240" w:beforeLines="100" w:line="360" w:lineRule="auto"/>
              <w:ind w:right="-21" w:rightChars="-10"/>
              <w:rPr>
                <w:rFonts w:hint="eastAsia" w:ascii="宋体" w:hAnsi="宋体" w:eastAsia="宋体" w:cs="宋体"/>
                <w:highlight w:val="none"/>
              </w:rPr>
            </w:pPr>
          </w:p>
        </w:tc>
      </w:tr>
      <w:tr w14:paraId="439F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6B8A1FE8">
            <w:pPr>
              <w:spacing w:before="240" w:beforeLines="100" w:line="360" w:lineRule="auto"/>
              <w:ind w:right="-21" w:rightChars="-10"/>
              <w:rPr>
                <w:rFonts w:hint="eastAsia" w:ascii="宋体" w:hAnsi="宋体" w:eastAsia="宋体" w:cs="宋体"/>
                <w:highlight w:val="none"/>
              </w:rPr>
            </w:pPr>
          </w:p>
        </w:tc>
        <w:tc>
          <w:tcPr>
            <w:tcW w:w="1925" w:type="dxa"/>
            <w:noWrap w:val="0"/>
            <w:vAlign w:val="top"/>
          </w:tcPr>
          <w:p w14:paraId="24DAF3E5">
            <w:pPr>
              <w:spacing w:before="240" w:beforeLines="100" w:line="360" w:lineRule="auto"/>
              <w:ind w:right="-21" w:rightChars="-10"/>
              <w:rPr>
                <w:rFonts w:hint="eastAsia" w:ascii="宋体" w:hAnsi="宋体" w:eastAsia="宋体" w:cs="宋体"/>
                <w:highlight w:val="none"/>
              </w:rPr>
            </w:pPr>
          </w:p>
        </w:tc>
        <w:tc>
          <w:tcPr>
            <w:tcW w:w="1375" w:type="dxa"/>
            <w:noWrap w:val="0"/>
            <w:vAlign w:val="top"/>
          </w:tcPr>
          <w:p w14:paraId="34FDD149">
            <w:pPr>
              <w:spacing w:before="240" w:beforeLines="100" w:line="360" w:lineRule="auto"/>
              <w:ind w:right="-21" w:rightChars="-10"/>
              <w:rPr>
                <w:rFonts w:hint="eastAsia" w:ascii="宋体" w:hAnsi="宋体" w:eastAsia="宋体" w:cs="宋体"/>
                <w:highlight w:val="none"/>
              </w:rPr>
            </w:pPr>
          </w:p>
        </w:tc>
        <w:tc>
          <w:tcPr>
            <w:tcW w:w="2892" w:type="dxa"/>
            <w:noWrap w:val="0"/>
            <w:vAlign w:val="top"/>
          </w:tcPr>
          <w:p w14:paraId="06C7F1F9">
            <w:pPr>
              <w:spacing w:before="240" w:beforeLines="100" w:line="360" w:lineRule="auto"/>
              <w:ind w:right="-21" w:rightChars="-10"/>
              <w:jc w:val="center"/>
              <w:rPr>
                <w:rFonts w:hint="eastAsia" w:ascii="宋体" w:hAnsi="宋体" w:eastAsia="宋体" w:cs="宋体"/>
                <w:highlight w:val="none"/>
              </w:rPr>
            </w:pPr>
          </w:p>
        </w:tc>
        <w:tc>
          <w:tcPr>
            <w:tcW w:w="1066" w:type="dxa"/>
            <w:noWrap w:val="0"/>
            <w:vAlign w:val="top"/>
          </w:tcPr>
          <w:p w14:paraId="760B5BE4">
            <w:pPr>
              <w:spacing w:before="240" w:beforeLines="100" w:line="360" w:lineRule="auto"/>
              <w:ind w:right="-21" w:rightChars="-10"/>
              <w:rPr>
                <w:rFonts w:hint="eastAsia" w:ascii="宋体" w:hAnsi="宋体" w:eastAsia="宋体" w:cs="宋体"/>
                <w:highlight w:val="none"/>
              </w:rPr>
            </w:pPr>
          </w:p>
        </w:tc>
        <w:tc>
          <w:tcPr>
            <w:tcW w:w="1094" w:type="dxa"/>
            <w:noWrap w:val="0"/>
            <w:vAlign w:val="top"/>
          </w:tcPr>
          <w:p w14:paraId="7E2E73EC">
            <w:pPr>
              <w:spacing w:before="240" w:beforeLines="100" w:line="360" w:lineRule="auto"/>
              <w:ind w:right="-21" w:rightChars="-10"/>
              <w:rPr>
                <w:rFonts w:hint="eastAsia" w:ascii="宋体" w:hAnsi="宋体" w:eastAsia="宋体" w:cs="宋体"/>
                <w:highlight w:val="none"/>
              </w:rPr>
            </w:pPr>
          </w:p>
        </w:tc>
      </w:tr>
      <w:tr w14:paraId="4D74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5E74D7A4">
            <w:pPr>
              <w:spacing w:before="240" w:beforeLines="100" w:line="360" w:lineRule="auto"/>
              <w:ind w:right="-21" w:rightChars="-10"/>
              <w:rPr>
                <w:rFonts w:hint="eastAsia" w:ascii="宋体" w:hAnsi="宋体" w:eastAsia="宋体" w:cs="宋体"/>
                <w:highlight w:val="none"/>
              </w:rPr>
            </w:pPr>
          </w:p>
        </w:tc>
        <w:tc>
          <w:tcPr>
            <w:tcW w:w="1925" w:type="dxa"/>
            <w:noWrap w:val="0"/>
            <w:vAlign w:val="top"/>
          </w:tcPr>
          <w:p w14:paraId="0359FD16">
            <w:pPr>
              <w:spacing w:before="240" w:beforeLines="100" w:line="360" w:lineRule="auto"/>
              <w:ind w:right="-21" w:rightChars="-10"/>
              <w:rPr>
                <w:rFonts w:hint="eastAsia" w:ascii="宋体" w:hAnsi="宋体" w:eastAsia="宋体" w:cs="宋体"/>
                <w:highlight w:val="none"/>
              </w:rPr>
            </w:pPr>
          </w:p>
        </w:tc>
        <w:tc>
          <w:tcPr>
            <w:tcW w:w="1375" w:type="dxa"/>
            <w:noWrap w:val="0"/>
            <w:vAlign w:val="top"/>
          </w:tcPr>
          <w:p w14:paraId="3C742C45">
            <w:pPr>
              <w:spacing w:before="240" w:beforeLines="100" w:line="360" w:lineRule="auto"/>
              <w:ind w:right="-21" w:rightChars="-10"/>
              <w:rPr>
                <w:rFonts w:hint="eastAsia" w:ascii="宋体" w:hAnsi="宋体" w:eastAsia="宋体" w:cs="宋体"/>
                <w:highlight w:val="none"/>
              </w:rPr>
            </w:pPr>
          </w:p>
        </w:tc>
        <w:tc>
          <w:tcPr>
            <w:tcW w:w="2892" w:type="dxa"/>
            <w:noWrap w:val="0"/>
            <w:vAlign w:val="top"/>
          </w:tcPr>
          <w:p w14:paraId="63DCBE64">
            <w:pPr>
              <w:spacing w:before="240" w:beforeLines="100" w:line="360" w:lineRule="auto"/>
              <w:ind w:right="-21" w:rightChars="-10"/>
              <w:jc w:val="center"/>
              <w:rPr>
                <w:rFonts w:hint="eastAsia" w:ascii="宋体" w:hAnsi="宋体" w:eastAsia="宋体" w:cs="宋体"/>
                <w:highlight w:val="none"/>
              </w:rPr>
            </w:pPr>
          </w:p>
        </w:tc>
        <w:tc>
          <w:tcPr>
            <w:tcW w:w="1066" w:type="dxa"/>
            <w:noWrap w:val="0"/>
            <w:vAlign w:val="top"/>
          </w:tcPr>
          <w:p w14:paraId="4740E9EE">
            <w:pPr>
              <w:spacing w:before="240" w:beforeLines="100" w:line="360" w:lineRule="auto"/>
              <w:ind w:right="-21" w:rightChars="-10"/>
              <w:rPr>
                <w:rFonts w:hint="eastAsia" w:ascii="宋体" w:hAnsi="宋体" w:eastAsia="宋体" w:cs="宋体"/>
                <w:highlight w:val="none"/>
              </w:rPr>
            </w:pPr>
          </w:p>
        </w:tc>
        <w:tc>
          <w:tcPr>
            <w:tcW w:w="1094" w:type="dxa"/>
            <w:noWrap w:val="0"/>
            <w:vAlign w:val="top"/>
          </w:tcPr>
          <w:p w14:paraId="0856E538">
            <w:pPr>
              <w:spacing w:before="240" w:beforeLines="100" w:line="360" w:lineRule="auto"/>
              <w:ind w:right="-21" w:rightChars="-10"/>
              <w:rPr>
                <w:rFonts w:hint="eastAsia" w:ascii="宋体" w:hAnsi="宋体" w:eastAsia="宋体" w:cs="宋体"/>
                <w:highlight w:val="none"/>
              </w:rPr>
            </w:pPr>
          </w:p>
        </w:tc>
      </w:tr>
    </w:tbl>
    <w:p w14:paraId="5C7B71B0">
      <w:pPr>
        <w:spacing w:before="240" w:beforeLines="100" w:line="360" w:lineRule="auto"/>
        <w:ind w:right="-21" w:rightChars="-10"/>
        <w:rPr>
          <w:rFonts w:hint="eastAsia" w:ascii="宋体" w:hAnsi="宋体" w:eastAsia="宋体" w:cs="宋体"/>
          <w:highlight w:val="none"/>
        </w:rPr>
      </w:pPr>
      <w:r>
        <w:rPr>
          <w:rFonts w:hint="eastAsia" w:ascii="宋体" w:hAnsi="宋体" w:eastAsia="宋体" w:cs="宋体"/>
          <w:highlight w:val="none"/>
        </w:rPr>
        <w:t>注：</w:t>
      </w:r>
    </w:p>
    <w:p w14:paraId="02CD57D5">
      <w:pPr>
        <w:pStyle w:val="10"/>
        <w:ind w:firstLine="0" w:firstLineChars="0"/>
        <w:rPr>
          <w:rFonts w:hint="eastAsia" w:ascii="宋体" w:hAnsi="宋体" w:eastAsia="宋体" w:cs="宋体"/>
          <w:highlight w:val="none"/>
        </w:rPr>
      </w:pPr>
      <w:r>
        <w:rPr>
          <w:rFonts w:hint="eastAsia" w:ascii="宋体" w:hAnsi="宋体" w:eastAsia="宋体" w:cs="宋体"/>
          <w:highlight w:val="none"/>
        </w:rPr>
        <w:t xml:space="preserve">1、请按照“第四部分   采购内容及要求”的顺序内容进行编写. </w:t>
      </w:r>
    </w:p>
    <w:p w14:paraId="32023C27">
      <w:pPr>
        <w:pStyle w:val="1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bCs/>
          <w:highlight w:val="none"/>
          <w:u w:val="single"/>
        </w:rPr>
        <w:t>▲如发现投标人“技术响应表”中存在作假行为的，将取消其中标资格，没收其投标保证金，并专门向有关上级主管部门汇报其违法行为；合同实行过程中还发现存在造假行为的，扣除履约保证金，给采购人造成损失的，采购人保留进一步追究其违法责任的权力</w:t>
      </w:r>
      <w:r>
        <w:rPr>
          <w:rFonts w:hint="eastAsia" w:ascii="宋体" w:hAnsi="宋体" w:eastAsia="宋体" w:cs="宋体"/>
          <w:highlight w:val="none"/>
        </w:rPr>
        <w:t>。</w:t>
      </w:r>
    </w:p>
    <w:p w14:paraId="2CE57B72">
      <w:pPr>
        <w:spacing w:before="240" w:beforeLines="100" w:line="360" w:lineRule="auto"/>
        <w:ind w:right="-21" w:rightChars="-10"/>
        <w:rPr>
          <w:rFonts w:hint="eastAsia" w:ascii="宋体" w:hAnsi="宋体" w:eastAsia="宋体" w:cs="宋体"/>
          <w:sz w:val="24"/>
          <w:highlight w:val="none"/>
        </w:rPr>
      </w:pPr>
    </w:p>
    <w:p w14:paraId="5A9304C4">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5CA83230">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法定代表人或授权代表（签字或盖章）：</w:t>
      </w:r>
    </w:p>
    <w:p w14:paraId="444275BE">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45B66C33">
      <w:pPr>
        <w:spacing w:before="240" w:beforeLines="100" w:line="360" w:lineRule="auto"/>
        <w:ind w:right="-21" w:rightChars="-10"/>
        <w:rPr>
          <w:rFonts w:hint="eastAsia" w:ascii="宋体" w:hAnsi="宋体" w:eastAsia="宋体" w:cs="宋体"/>
          <w:sz w:val="24"/>
          <w:highlight w:val="none"/>
        </w:rPr>
      </w:pPr>
    </w:p>
    <w:p w14:paraId="0275E4EE">
      <w:pPr>
        <w:spacing w:line="380" w:lineRule="exact"/>
        <w:rPr>
          <w:rFonts w:hint="eastAsia" w:ascii="宋体" w:hAnsi="宋体" w:eastAsia="宋体" w:cs="宋体"/>
          <w:sz w:val="22"/>
          <w:szCs w:val="22"/>
          <w:highlight w:val="none"/>
        </w:rPr>
      </w:pPr>
    </w:p>
    <w:p w14:paraId="062F3693">
      <w:pPr>
        <w:spacing w:before="120" w:beforeLines="50" w:after="120" w:afterLines="5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2"/>
          <w:szCs w:val="22"/>
          <w:highlight w:val="none"/>
        </w:rPr>
        <w:br w:type="page"/>
      </w:r>
      <w:r>
        <w:rPr>
          <w:rFonts w:hint="eastAsia" w:ascii="宋体" w:hAnsi="宋体" w:eastAsia="宋体" w:cs="宋体"/>
          <w:b/>
          <w:bCs/>
          <w:kern w:val="2"/>
          <w:sz w:val="21"/>
          <w:szCs w:val="21"/>
          <w:highlight w:val="none"/>
          <w:lang w:val="en-US" w:eastAsia="zh-CN" w:bidi="ar-SA"/>
        </w:rPr>
        <w:t>技术响应表</w:t>
      </w:r>
    </w:p>
    <w:p w14:paraId="75B71DC2">
      <w:pPr>
        <w:pStyle w:val="3"/>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trike w:val="0"/>
          <w:dstrike w:val="0"/>
          <w:sz w:val="21"/>
          <w:szCs w:val="21"/>
          <w:highlight w:val="none"/>
          <w:lang w:val="en-US" w:eastAsia="zh-CN"/>
        </w:rPr>
        <w:t>主要</w:t>
      </w:r>
      <w:r>
        <w:rPr>
          <w:rFonts w:hint="eastAsia" w:ascii="宋体" w:hAnsi="宋体" w:eastAsia="宋体" w:cs="宋体"/>
          <w:sz w:val="21"/>
          <w:szCs w:val="21"/>
          <w:highlight w:val="none"/>
        </w:rPr>
        <w:t>技术参数响应情况表</w:t>
      </w:r>
    </w:p>
    <w:tbl>
      <w:tblPr>
        <w:tblStyle w:val="2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20"/>
        <w:gridCol w:w="5421"/>
        <w:gridCol w:w="810"/>
        <w:gridCol w:w="660"/>
        <w:gridCol w:w="756"/>
      </w:tblGrid>
      <w:tr w14:paraId="5BA8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shd w:val="clear" w:color="000000" w:fill="BDD7EE"/>
            <w:noWrap w:val="0"/>
            <w:vAlign w:val="center"/>
          </w:tcPr>
          <w:p w14:paraId="62A057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u w:val="none"/>
              </w:rPr>
            </w:pPr>
            <w:r>
              <w:rPr>
                <w:rFonts w:hint="eastAsia" w:ascii="宋体" w:hAnsi="宋体" w:eastAsia="宋体" w:cs="宋体"/>
                <w:b/>
                <w:bCs/>
                <w:color w:val="auto"/>
                <w:sz w:val="18"/>
                <w:szCs w:val="18"/>
                <w:highlight w:val="none"/>
                <w:u w:val="none"/>
              </w:rPr>
              <w:t>序号</w:t>
            </w:r>
          </w:p>
        </w:tc>
        <w:tc>
          <w:tcPr>
            <w:tcW w:w="820" w:type="dxa"/>
            <w:shd w:val="clear" w:color="000000" w:fill="BDD7EE"/>
            <w:noWrap w:val="0"/>
            <w:vAlign w:val="center"/>
          </w:tcPr>
          <w:p w14:paraId="18697F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u w:val="none"/>
              </w:rPr>
            </w:pPr>
            <w:r>
              <w:rPr>
                <w:rFonts w:hint="eastAsia" w:ascii="宋体" w:hAnsi="宋体" w:eastAsia="宋体" w:cs="宋体"/>
                <w:b/>
                <w:bCs/>
                <w:color w:val="auto"/>
                <w:sz w:val="18"/>
                <w:szCs w:val="18"/>
                <w:highlight w:val="none"/>
                <w:u w:val="none"/>
              </w:rPr>
              <w:t>名称</w:t>
            </w:r>
          </w:p>
        </w:tc>
        <w:tc>
          <w:tcPr>
            <w:tcW w:w="5421" w:type="dxa"/>
            <w:shd w:val="clear" w:color="000000" w:fill="BDD7EE"/>
            <w:noWrap w:val="0"/>
            <w:vAlign w:val="center"/>
          </w:tcPr>
          <w:p w14:paraId="305A88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u w:val="none"/>
              </w:rPr>
            </w:pPr>
            <w:r>
              <w:rPr>
                <w:rFonts w:hint="eastAsia" w:ascii="宋体" w:hAnsi="宋体" w:eastAsia="宋体" w:cs="宋体"/>
                <w:b/>
                <w:bCs/>
                <w:color w:val="auto"/>
                <w:sz w:val="18"/>
                <w:szCs w:val="18"/>
                <w:highlight w:val="none"/>
                <w:u w:val="none"/>
              </w:rPr>
              <w:t>技术参数及要求</w:t>
            </w:r>
          </w:p>
        </w:tc>
        <w:tc>
          <w:tcPr>
            <w:tcW w:w="810" w:type="dxa"/>
            <w:shd w:val="clear" w:color="000000" w:fill="BDD7EE"/>
            <w:noWrap w:val="0"/>
            <w:vAlign w:val="center"/>
          </w:tcPr>
          <w:p w14:paraId="2D7AF0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u w:val="none"/>
              </w:rPr>
            </w:pPr>
            <w:r>
              <w:rPr>
                <w:rFonts w:hint="eastAsia" w:ascii="宋体" w:hAnsi="宋体" w:eastAsia="宋体" w:cs="宋体"/>
                <w:color w:val="auto"/>
                <w:sz w:val="18"/>
                <w:szCs w:val="18"/>
                <w:highlight w:val="none"/>
                <w:u w:val="none"/>
              </w:rPr>
              <w:t>投标人响应的核心技术参数</w:t>
            </w:r>
          </w:p>
        </w:tc>
        <w:tc>
          <w:tcPr>
            <w:tcW w:w="660" w:type="dxa"/>
            <w:shd w:val="clear" w:color="000000" w:fill="BDD7EE"/>
            <w:noWrap w:val="0"/>
            <w:vAlign w:val="center"/>
          </w:tcPr>
          <w:p w14:paraId="185291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u w:val="none"/>
              </w:rPr>
            </w:pPr>
            <w:r>
              <w:rPr>
                <w:rFonts w:hint="eastAsia" w:ascii="宋体" w:hAnsi="宋体" w:eastAsia="宋体" w:cs="宋体"/>
                <w:color w:val="auto"/>
                <w:sz w:val="18"/>
                <w:szCs w:val="18"/>
                <w:highlight w:val="none"/>
                <w:u w:val="none"/>
              </w:rPr>
              <w:t>偏离说明</w:t>
            </w:r>
          </w:p>
        </w:tc>
        <w:tc>
          <w:tcPr>
            <w:tcW w:w="756" w:type="dxa"/>
            <w:shd w:val="clear" w:color="000000" w:fill="BDD7EE"/>
            <w:noWrap w:val="0"/>
            <w:vAlign w:val="center"/>
          </w:tcPr>
          <w:p w14:paraId="72A58A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color w:val="auto"/>
                <w:sz w:val="18"/>
                <w:szCs w:val="18"/>
                <w:highlight w:val="none"/>
                <w:u w:val="none"/>
              </w:rPr>
              <w:t>要求提供的证明材料页码</w:t>
            </w:r>
          </w:p>
        </w:tc>
      </w:tr>
      <w:tr w14:paraId="009C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000000" w:fill="DDEBF7"/>
            <w:noWrap w:val="0"/>
            <w:vAlign w:val="center"/>
          </w:tcPr>
          <w:p w14:paraId="704A59B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rPr>
              <w:t>一、</w:t>
            </w:r>
            <w:r>
              <w:rPr>
                <w:rFonts w:hint="eastAsia" w:ascii="宋体" w:hAnsi="宋体" w:eastAsia="宋体" w:cs="宋体"/>
                <w:b/>
                <w:bCs/>
                <w:color w:val="auto"/>
                <w:sz w:val="18"/>
                <w:szCs w:val="18"/>
                <w:highlight w:val="none"/>
                <w:u w:val="none"/>
                <w:lang w:val="en-US" w:eastAsia="zh-CN"/>
              </w:rPr>
              <w:t>办公区综合布线部分</w:t>
            </w:r>
          </w:p>
        </w:tc>
        <w:tc>
          <w:tcPr>
            <w:tcW w:w="756" w:type="dxa"/>
            <w:shd w:val="clear" w:color="000000" w:fill="DDEBF7"/>
            <w:noWrap w:val="0"/>
            <w:vAlign w:val="center"/>
          </w:tcPr>
          <w:p w14:paraId="16022F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p>
        </w:tc>
      </w:tr>
      <w:tr w14:paraId="7DDB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504F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36075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600万柔光全彩半球网络摄像机</w:t>
            </w:r>
          </w:p>
        </w:tc>
        <w:tc>
          <w:tcPr>
            <w:tcW w:w="5421" w:type="dxa"/>
            <w:noWrap w:val="0"/>
            <w:vAlign w:val="center"/>
          </w:tcPr>
          <w:p w14:paraId="56875960">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传感器类型：1/2.7英寸CMOS；</w:t>
            </w:r>
          </w:p>
          <w:p w14:paraId="252F866D">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像素：600万；</w:t>
            </w:r>
          </w:p>
          <w:p w14:paraId="667AEAF1">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最大分辨率：3200×1800；</w:t>
            </w:r>
          </w:p>
          <w:p w14:paraId="3EC7B1F7">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最低照度：0.002lux（彩色模式）；0.0002lux（黑白模式）；0lux（补光灯开启）；</w:t>
            </w:r>
          </w:p>
          <w:p w14:paraId="2E3788F6">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最大补光距离：80m（红外）50m（暖光）；</w:t>
            </w:r>
          </w:p>
          <w:p w14:paraId="31C0A670">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镜头类型：定焦；</w:t>
            </w:r>
          </w:p>
          <w:p w14:paraId="7D513473">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镜头焦距：3.6mm；</w:t>
            </w:r>
          </w:p>
          <w:p w14:paraId="72140FEF">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镜头光圈：F1.6；</w:t>
            </w:r>
          </w:p>
          <w:p w14:paraId="69EDBDCC">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视场角：水平：92°；垂直：45°；对角：110°；</w:t>
            </w:r>
          </w:p>
          <w:p w14:paraId="0B525A6B">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宽动态：120dB；</w:t>
            </w:r>
          </w:p>
          <w:p w14:paraId="0F60ED71">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内置MIC：支持；</w:t>
            </w:r>
          </w:p>
          <w:p w14:paraId="228472F0">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接入标准：ONVIF（Profile S &amp; Profile T）；CGI；GB/T28181-2022（双国标）；大华云联；</w:t>
            </w:r>
          </w:p>
          <w:p w14:paraId="5021FE7B">
            <w:pPr>
              <w:keepNext w:val="0"/>
              <w:keepLines w:val="0"/>
              <w:pageBreakBefore w:val="0"/>
              <w:widowControl/>
              <w:numPr>
                <w:ilvl w:val="0"/>
                <w:numId w:val="26"/>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供电方式：DC12V/PoE；</w:t>
            </w:r>
          </w:p>
        </w:tc>
        <w:tc>
          <w:tcPr>
            <w:tcW w:w="810" w:type="dxa"/>
            <w:noWrap w:val="0"/>
            <w:vAlign w:val="center"/>
          </w:tcPr>
          <w:p w14:paraId="06060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6BE40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4E35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191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2E81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07655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4K轻智能网络录像机</w:t>
            </w:r>
          </w:p>
        </w:tc>
        <w:tc>
          <w:tcPr>
            <w:tcW w:w="5421" w:type="dxa"/>
            <w:noWrap w:val="0"/>
            <w:vAlign w:val="center"/>
          </w:tcPr>
          <w:p w14:paraId="5144C0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1、存储接口：＞8个SATA接口，可满配8TB硬盘</w:t>
            </w:r>
          </w:p>
          <w:p w14:paraId="029AB2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2、视频接口：1×HDMI，1×VGA</w:t>
            </w:r>
          </w:p>
          <w:p w14:paraId="0DB2147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3、网络接口：2×RJ45 10/100/1000Mbps自适应以太网口</w:t>
            </w:r>
          </w:p>
          <w:p w14:paraId="36228B7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4、报警接口：16路报警输入，9路报警输出（其中第9路支持CTRL 12V）</w:t>
            </w:r>
          </w:p>
          <w:p w14:paraId="20E2245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5、输入带宽：256Mbps，输出带宽：160Mbps</w:t>
            </w:r>
          </w:p>
          <w:p w14:paraId="32346F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6、接入能力：32路H.264、H.265格式高清码流接入</w:t>
            </w:r>
          </w:p>
          <w:p w14:paraId="677C92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7、解码能力：最大支持16×1080P</w:t>
            </w:r>
          </w:p>
        </w:tc>
        <w:tc>
          <w:tcPr>
            <w:tcW w:w="810" w:type="dxa"/>
            <w:noWrap/>
            <w:vAlign w:val="center"/>
          </w:tcPr>
          <w:p w14:paraId="2F45F7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80B5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F5E8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D7D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879F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30F1A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监控级硬盘8T</w:t>
            </w:r>
          </w:p>
        </w:tc>
        <w:tc>
          <w:tcPr>
            <w:tcW w:w="5421" w:type="dxa"/>
            <w:noWrap w:val="0"/>
            <w:vAlign w:val="center"/>
          </w:tcPr>
          <w:p w14:paraId="7C6D2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1、8TB容量，3.5英寸 SATA 3.0接口，7200RPM</w:t>
            </w:r>
          </w:p>
          <w:p w14:paraId="0743C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2、高达256MB缓冲区，流畅存储视频有效防止丢帧</w:t>
            </w:r>
          </w:p>
          <w:p w14:paraId="686C1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3、24×7全天候高效稳定运行</w:t>
            </w:r>
          </w:p>
        </w:tc>
        <w:tc>
          <w:tcPr>
            <w:tcW w:w="810" w:type="dxa"/>
            <w:noWrap/>
            <w:vAlign w:val="center"/>
          </w:tcPr>
          <w:p w14:paraId="1C3CC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8AC8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7402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5BB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D876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34B1A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55寸4K安防专业监视器</w:t>
            </w:r>
          </w:p>
        </w:tc>
        <w:tc>
          <w:tcPr>
            <w:tcW w:w="5421" w:type="dxa"/>
            <w:noWrap w:val="0"/>
            <w:vAlign w:val="center"/>
          </w:tcPr>
          <w:p w14:paraId="2CC8B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1、支持3840*2160@60Hz超高清显示</w:t>
            </w:r>
          </w:p>
          <w:p w14:paraId="0AEFA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2、采用超宽视角屏幕（上下左右）178°</w:t>
            </w:r>
          </w:p>
          <w:p w14:paraId="3A62B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3、3D数字图象降噪处理技术，画质更真实更清晰</w:t>
            </w:r>
          </w:p>
          <w:p w14:paraId="63FB7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4、支持HDR显示标准，画面更细腻</w:t>
            </w:r>
          </w:p>
          <w:p w14:paraId="22770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5、内置喇叭及功放，支持3.5 mm音频输入</w:t>
            </w:r>
          </w:p>
          <w:p w14:paraId="03B51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6、支持U盘点播，含文本、图片、音频、视频等多种格式多媒体播放</w:t>
            </w:r>
          </w:p>
          <w:p w14:paraId="60B3F3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7、实时监控设备温度，高温报警</w:t>
            </w:r>
          </w:p>
          <w:p w14:paraId="07502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8、具备智能光感护眼功能，显示单元可自动识别环境光强弱，根据环境光变化调节屏幕亮度。</w:t>
            </w:r>
          </w:p>
        </w:tc>
        <w:tc>
          <w:tcPr>
            <w:tcW w:w="810" w:type="dxa"/>
            <w:noWrap/>
            <w:vAlign w:val="center"/>
          </w:tcPr>
          <w:p w14:paraId="35314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ECBC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1A9A0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217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301E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6F7B2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HDMI线</w:t>
            </w:r>
          </w:p>
        </w:tc>
        <w:tc>
          <w:tcPr>
            <w:tcW w:w="5421" w:type="dxa"/>
            <w:noWrap w:val="0"/>
            <w:vAlign w:val="center"/>
          </w:tcPr>
          <w:p w14:paraId="436A0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国际高清线</w:t>
            </w:r>
          </w:p>
        </w:tc>
        <w:tc>
          <w:tcPr>
            <w:tcW w:w="810" w:type="dxa"/>
            <w:noWrap/>
            <w:vAlign w:val="center"/>
          </w:tcPr>
          <w:p w14:paraId="26662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2858A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7F17C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0F5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33C4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5C625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人脸考勤机</w:t>
            </w:r>
          </w:p>
        </w:tc>
        <w:tc>
          <w:tcPr>
            <w:tcW w:w="5421" w:type="dxa"/>
            <w:noWrap w:val="0"/>
            <w:vAlign w:val="center"/>
          </w:tcPr>
          <w:p w14:paraId="0EC59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记录容量:≥80000条</w:t>
            </w:r>
          </w:p>
          <w:p w14:paraId="129C1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使用温度:0°C～45°C</w:t>
            </w:r>
          </w:p>
          <w:p w14:paraId="2E00E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电源规格:12V 1.5A</w:t>
            </w:r>
          </w:p>
          <w:p w14:paraId="47F84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键盘和显示器</w:t>
            </w:r>
          </w:p>
          <w:p w14:paraId="62C560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专业门禁功能:50个时间段、</w:t>
            </w:r>
            <w:r>
              <w:rPr>
                <w:rFonts w:hint="eastAsia" w:ascii="宋体" w:hAnsi="宋体" w:eastAsia="宋体" w:cs="宋体"/>
                <w:i w:val="0"/>
                <w:iCs w:val="0"/>
                <w:color w:val="000000"/>
                <w:kern w:val="0"/>
                <w:sz w:val="18"/>
                <w:szCs w:val="18"/>
                <w:highlight w:val="none"/>
                <w:u w:val="none"/>
                <w:lang w:val="en-US" w:eastAsia="zh-CN" w:bidi="ar"/>
              </w:rPr>
              <w:t>≥5个分组、≥10种开门组合，支持脱机工作</w:t>
            </w:r>
          </w:p>
          <w:p w14:paraId="3A5F4F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指纹容量≥1500枚</w:t>
            </w:r>
          </w:p>
          <w:p w14:paraId="2BE49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识别方式:指纹+密码</w:t>
            </w:r>
          </w:p>
          <w:p w14:paraId="096DC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通讯方式:通讯</w:t>
            </w:r>
          </w:p>
          <w:p w14:paraId="49CF8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使用湿度:20%～80%</w:t>
            </w:r>
          </w:p>
          <w:p w14:paraId="77C6F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 集 器:集成80个字符的LCD显示屏和数字键盘</w:t>
            </w:r>
          </w:p>
          <w:p w14:paraId="2D120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电锁控制:3A/12VDC继电器输出</w:t>
            </w:r>
          </w:p>
        </w:tc>
        <w:tc>
          <w:tcPr>
            <w:tcW w:w="810" w:type="dxa"/>
            <w:noWrap/>
            <w:vAlign w:val="center"/>
          </w:tcPr>
          <w:p w14:paraId="72436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5F4EB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1621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739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C4B1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7</w:t>
            </w:r>
          </w:p>
        </w:tc>
        <w:tc>
          <w:tcPr>
            <w:tcW w:w="820" w:type="dxa"/>
            <w:noWrap w:val="0"/>
            <w:vAlign w:val="center"/>
          </w:tcPr>
          <w:p w14:paraId="36E16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w:t>
            </w:r>
          </w:p>
        </w:tc>
        <w:tc>
          <w:tcPr>
            <w:tcW w:w="5421" w:type="dxa"/>
            <w:noWrap w:val="0"/>
            <w:vAlign w:val="center"/>
          </w:tcPr>
          <w:p w14:paraId="614FF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1、材料：优质冷轧钢板，粉喷前钢板厚度：框架1.2mm,方孔条2.0mm，侧门1.2mm，前后门1.2mm。可关闭的上部、下部多处走线通道，底部大走线孔尺寸可按需调制。最大静载800kg。</w:t>
            </w:r>
          </w:p>
          <w:p w14:paraId="5E87D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2、规格：6</w:t>
            </w:r>
          </w:p>
          <w:p w14:paraId="750FF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00*600*2000mm(宽*深*高)，前玻璃后钢板门机柜。</w:t>
            </w:r>
          </w:p>
          <w:p w14:paraId="73F54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2、表面处理：板材通过严格的脱脂、酸洗、防锈磷化、纯水清洗后，再进行静电喷塑。喷塑厚度为80um-100um。</w:t>
            </w:r>
          </w:p>
          <w:p w14:paraId="678E98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3、颜色：RAL9004(黑色)； </w:t>
            </w:r>
          </w:p>
        </w:tc>
        <w:tc>
          <w:tcPr>
            <w:tcW w:w="810" w:type="dxa"/>
            <w:noWrap/>
            <w:vAlign w:val="center"/>
          </w:tcPr>
          <w:p w14:paraId="063DB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0CE7F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7448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0DE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9D4B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8</w:t>
            </w:r>
          </w:p>
        </w:tc>
        <w:tc>
          <w:tcPr>
            <w:tcW w:w="820" w:type="dxa"/>
            <w:noWrap w:val="0"/>
            <w:vAlign w:val="center"/>
          </w:tcPr>
          <w:p w14:paraId="7FA55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AC</w:t>
            </w:r>
          </w:p>
        </w:tc>
        <w:tc>
          <w:tcPr>
            <w:tcW w:w="5421" w:type="dxa"/>
            <w:noWrap w:val="0"/>
            <w:vAlign w:val="center"/>
          </w:tcPr>
          <w:p w14:paraId="69F84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1、整机固化千兆以太网口≥6个，千兆光口≥1个，USB口≥1个；</w:t>
            </w:r>
          </w:p>
          <w:p w14:paraId="222D59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2、为保证业务不中断，支持出口链路支持冗余备份功能WAN口≥2个。</w:t>
            </w:r>
          </w:p>
          <w:p w14:paraId="25C57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3、为满足业务上网需求，网络设备出口带宽≥1600Mbps</w:t>
            </w:r>
          </w:p>
          <w:p w14:paraId="76B35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4、为满足全员网络办公需求，网络设备承载在线终端数≥2000个</w:t>
            </w:r>
          </w:p>
          <w:p w14:paraId="5CD84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5、支持管理AP数量≥450个</w:t>
            </w:r>
          </w:p>
          <w:p w14:paraId="64C65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6、功能模块开通：配置有线和无线管理功能授权；配置Ipsec VPN模块；配置行为管理模块功能授权.</w:t>
            </w:r>
          </w:p>
          <w:p w14:paraId="391FE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7、支持查看实时流量收发状态、在线状态、认证类型、在线时长、VLAN信息、终端信息、接入位置等信息。</w:t>
            </w:r>
          </w:p>
          <w:p w14:paraId="09D34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8、支持Portal认证页面自定义，包括页面展示信息、页面标题、文字描述、免责声明等信息；</w:t>
            </w:r>
          </w:p>
          <w:p w14:paraId="634DA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9、支持OPEN、802.1X账号认证、WPA-PSK/WPA2-PSK混合加密。</w:t>
            </w:r>
          </w:p>
          <w:p w14:paraId="02B62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10、支持批量创建不少于1000个终端认证授权，支持批量导入账号及描述信息，支持首次登录后强制修改密码等方便账号管理运维的功能。</w:t>
            </w:r>
          </w:p>
          <w:p w14:paraId="3BECE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11、支持应用识别，能识别不低于300种常见的网络应用，能识别邮件、游戏、P2P流媒体、WEB流媒体、金融交易、办公OA、移动终端应用等主流应用；</w:t>
            </w:r>
          </w:p>
          <w:p w14:paraId="6A11D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12、支持针对不通流量内容设定保证通道，针对上/下行、IP地址端、时间、线路等维度进行进行通道带宽的保证，以便具有良好的使用体验。</w:t>
            </w:r>
          </w:p>
          <w:p w14:paraId="2E30E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13、禁止mdns请求发往无线终端、禁止nbns发往无线终端(提供相关证明材料)。</w:t>
            </w:r>
          </w:p>
          <w:p w14:paraId="045929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14、支持根据时间公平算法，防止低速终端拉低网络整体速度</w:t>
            </w:r>
          </w:p>
          <w:p w14:paraId="32D9B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15、支持静态路由、策略路由、地址转换；支持NAT、DHCP、DNS代理、DDNS动态域名；支持路由网关功能，支持静态IP、DHCP、PPPoE拨号三种上网方式；</w:t>
            </w:r>
          </w:p>
        </w:tc>
        <w:tc>
          <w:tcPr>
            <w:tcW w:w="810" w:type="dxa"/>
            <w:noWrap/>
            <w:vAlign w:val="center"/>
          </w:tcPr>
          <w:p w14:paraId="0906C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3F5F8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754F0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C77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DDC8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9</w:t>
            </w:r>
          </w:p>
        </w:tc>
        <w:tc>
          <w:tcPr>
            <w:tcW w:w="820" w:type="dxa"/>
            <w:noWrap w:val="0"/>
            <w:vAlign w:val="center"/>
          </w:tcPr>
          <w:p w14:paraId="49465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AP</w:t>
            </w:r>
          </w:p>
        </w:tc>
        <w:tc>
          <w:tcPr>
            <w:tcW w:w="5421" w:type="dxa"/>
            <w:noWrap w:val="0"/>
            <w:vAlign w:val="center"/>
          </w:tcPr>
          <w:p w14:paraId="1602F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1、支持2.4G 2*2条流及 5G 2*2条流；2.4G最大传输速率≥574Mbps，5G最大传输速率≥1201Mbps，整机最大传输速率≥1.775Gbps；</w:t>
            </w:r>
          </w:p>
          <w:p w14:paraId="35A86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2、802.11ax 协议，兼容802.11a/b/g/n/ac协议，支持2.4G和5G同时工作；</w:t>
            </w:r>
          </w:p>
          <w:p w14:paraId="38DDA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3、千兆以太网口≥2个；</w:t>
            </w:r>
          </w:p>
          <w:p w14:paraId="5222F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4、支持802.3at标准的PoE供电和本地电源适配器供电两种方式；</w:t>
            </w:r>
          </w:p>
          <w:p w14:paraId="18023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5、AP发射功率≤20dBm（最大不超过100mw），且功率可调节（调节粒度为1dBm，调节范围为1dBm～20dBm）；</w:t>
            </w:r>
          </w:p>
          <w:p w14:paraId="0AA50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6、Fit模式系列AP可将数据报文在无线接入设备上直接转化为不经过控制器的报文，而是在本地进行转发，提升转发效率，降低网络资源开销；</w:t>
            </w:r>
          </w:p>
          <w:p w14:paraId="59664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7、支持802.1x认证、MAC地址认证、PSK认证、Portal认证等；</w:t>
            </w:r>
          </w:p>
          <w:p w14:paraId="3D83D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8、支持802.11h 动态频率选择(DFS)、信道自动扫描功能，自动规避干扰；</w:t>
            </w:r>
          </w:p>
        </w:tc>
        <w:tc>
          <w:tcPr>
            <w:tcW w:w="810" w:type="dxa"/>
            <w:noWrap/>
            <w:vAlign w:val="center"/>
          </w:tcPr>
          <w:p w14:paraId="11E4D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584DD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1A7FC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FD5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0F4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73159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高密AP</w:t>
            </w:r>
          </w:p>
        </w:tc>
        <w:tc>
          <w:tcPr>
            <w:tcW w:w="5421" w:type="dxa"/>
            <w:noWrap w:val="0"/>
            <w:vAlign w:val="center"/>
          </w:tcPr>
          <w:p w14:paraId="4B693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1、支持2.4G 2*2条流及 5G 2*2条流；2.4G最大传输速率≥574Mbps，5G最大传输速率≥2402Mbps，整机最大传输速率≥2.976Gbps；</w:t>
            </w:r>
          </w:p>
          <w:p w14:paraId="484B37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2、802.11ax 协议，兼容802.11a/b/g/n/ac协议，支持2.4G和5G同时工作；</w:t>
            </w:r>
          </w:p>
          <w:p w14:paraId="4B200A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3、千兆以太网口≥1个；</w:t>
            </w:r>
          </w:p>
          <w:p w14:paraId="7BB9B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4、支持802.3at标准的PoE供电和本地电源适配器供电两种方式；</w:t>
            </w:r>
          </w:p>
          <w:p w14:paraId="2A6C1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5、单射频接入人数≥128，整机最大接入人数≥256；</w:t>
            </w:r>
          </w:p>
          <w:p w14:paraId="36C80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6、支持虚拟AP技术，单射频SSID数量≥16，整机≥32；</w:t>
            </w:r>
          </w:p>
          <w:p w14:paraId="17906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7、AP发射功率≤20dBm（最大不超过100mw），且功率可调节（调节粒度为1dBm，调节范围为1dBm～20dBm）；</w:t>
            </w:r>
          </w:p>
          <w:p w14:paraId="6FC3E4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8、Fit模式系列AP可将数据报文在无线接入设备上直接转化为不经过控制器的报文，而是在本地进行转发，提升转发效率，降低网络资源开销；</w:t>
            </w:r>
          </w:p>
          <w:p w14:paraId="03981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9、支持802.1x认证、MAC地址认证、PSK认证、Portal认证等；</w:t>
            </w:r>
          </w:p>
          <w:p w14:paraId="4E036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10、支持802.11h 动态频率选择(DFS)、信道自动扫描功能，自动规避干扰；</w:t>
            </w:r>
          </w:p>
        </w:tc>
        <w:tc>
          <w:tcPr>
            <w:tcW w:w="810" w:type="dxa"/>
            <w:noWrap/>
            <w:vAlign w:val="center"/>
          </w:tcPr>
          <w:p w14:paraId="2BE13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3CE6F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7CC0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349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675C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3884D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核心交换机</w:t>
            </w:r>
          </w:p>
        </w:tc>
        <w:tc>
          <w:tcPr>
            <w:tcW w:w="5421" w:type="dxa"/>
            <w:noWrap w:val="0"/>
            <w:vAlign w:val="center"/>
          </w:tcPr>
          <w:p w14:paraId="4E820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1、千兆光口≥24个，千兆电口≥8，万兆SFP+光口≥4个，扩展插槽≥1个；提供官网截图证明及链接</w:t>
            </w:r>
          </w:p>
          <w:p w14:paraId="1EA11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2、交换容量≥2Tbps，包转发率≥750Mpps，(如官网有多个参数，以最小值为准)；提供官网截图证明及链接</w:t>
            </w:r>
          </w:p>
          <w:p w14:paraId="7B786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3、支持MAC地址自动学习；支持源MAC地址过滤；支持接口MAC地址学习个数限制；</w:t>
            </w:r>
          </w:p>
          <w:p w14:paraId="0A1D3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4、支持防网关ARP欺骗，支持端口保护、隔离，支持防止DOS、ARP攻击功能，支持CPU保护功能；</w:t>
            </w:r>
          </w:p>
          <w:p w14:paraId="56198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5、支持M-LAG技术，跨设备链路聚合（非堆叠技术实现），要求配对的设备有独立的控制平面</w:t>
            </w:r>
          </w:p>
          <w:p w14:paraId="7F1E2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6、支持IEEE 802.3az 标准的 EEE节能技术：当EEE使能时，从而大幅度的减小端口在该阶段的功耗，达到了节能的目的。</w:t>
            </w:r>
          </w:p>
          <w:p w14:paraId="5FFB0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7、支持智能交换机和普通交换机两种工作模式，可以根据不同的组网需要，随时在控制器平台灵活的进行切换；提供第三方权威检测报告；</w:t>
            </w:r>
          </w:p>
          <w:p w14:paraId="501EB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8、上线到管理平台的方式：支持二层广播自动发现平台；支持配置静态IP地址三层发现平台；支持DHCP Option43方式发现平台；支持DNS域名发现平台；</w:t>
            </w:r>
          </w:p>
          <w:p w14:paraId="41F93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9、支持通过平台查看交换机处于工作端口的最近5分钟、1小时、最近1天、最近1周发送与接收的流量趋势；提供功能截图证明；</w:t>
            </w:r>
          </w:p>
          <w:p w14:paraId="0E46D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10、支持终端类型库，可在平台上自动识别所接入的PC、路由器、摄像头设备等；</w:t>
            </w:r>
          </w:p>
          <w:p w14:paraId="3D7A7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查看终端在交换机端口离线次数、闲置时间、离线趋势；支持查看安全事件记录、终端类型异常记录、终端在端口迁移次数、终端地址异常记录等安全事件的记录统计；支持查看终端的的历史接入交换机端口，终端的活跃状态；</w:t>
            </w:r>
          </w:p>
          <w:p w14:paraId="089077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12、★为防止PC进行WiFi共享，交换机须支持禁止通过内网PC端进行私接随身WiFi共享；提供第三方权威检测报告加盖投标供应商公章；</w:t>
            </w:r>
          </w:p>
          <w:p w14:paraId="70168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13、支持在交换机上创建东西向安全策略，实现全网安全风险拦截；提供第三方权威检测报告加盖投标供应商公章；</w:t>
            </w:r>
          </w:p>
          <w:p w14:paraId="60B624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14、★为满足网络安全建设需求，交换机需满足《信息安全技术 交换机安全技术要求 GA/T 684-2007》,符合安全交换机标准，提供与之对应的权威机构出具的检测报告加盖投标供应商公章</w:t>
            </w:r>
          </w:p>
        </w:tc>
        <w:tc>
          <w:tcPr>
            <w:tcW w:w="810" w:type="dxa"/>
            <w:noWrap/>
            <w:vAlign w:val="center"/>
          </w:tcPr>
          <w:p w14:paraId="111E1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648A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0F74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1F0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2F2E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3E401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防火墙</w:t>
            </w:r>
          </w:p>
        </w:tc>
        <w:tc>
          <w:tcPr>
            <w:tcW w:w="5421" w:type="dxa"/>
            <w:noWrap w:val="0"/>
            <w:vAlign w:val="center"/>
          </w:tcPr>
          <w:p w14:paraId="2C106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1、性能参数: 网络层吞吐量≥2G，应用层吞叶量 ≥800M，防病毒吞吐≥300M，IPS吞叶量≥300M全威胁吞吐量≥ 250M，并发连接数≥ 80万，HTTP新建连接数≥ 2万,接口：支持不低于8千兆电口+2千兆光口；</w:t>
            </w:r>
          </w:p>
          <w:p w14:paraId="268D6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14:paraId="14273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3、支持路由、透明、虚拟网线、旁路镜像、混合等多种部署方式，适应复杂使用环境的接入要求；</w:t>
            </w:r>
          </w:p>
          <w:p w14:paraId="4E7E2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4、具备链路聚合功能，将2个或者更多物理链路组合成一个更高带宽的逻辑链路接口，提高链路带宽和链路可靠性；</w:t>
            </w:r>
          </w:p>
          <w:p w14:paraId="5DE72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5、具备ARP代理功能，对指定地址的ARP请求使用指定接口的MAC地址应答，实现保护内网主机；</w:t>
            </w:r>
          </w:p>
          <w:p w14:paraId="643C0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6、支持基于对象、区域和地域维度设置安全访问控制策略，允许或拒绝特定国家或者地区的对象访问内部网络，保障业务重大时期安全可靠性；</w:t>
            </w:r>
          </w:p>
          <w:p w14:paraId="5947A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7、产品内置应用特征识别库，支持不少于9000种应用规则，支持对游戏、P2P下载工具、聊天工具、网上银行、视频软件、股票软件、木马控制软件等类型应用进行检测与控制。</w:t>
            </w:r>
          </w:p>
          <w:p w14:paraId="2C79E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8、具备基于国家/地区的流量管理功能，提供具有CNAS、CMA等同级别任一官方认证的第三方测试机构关于“国家/地区的流量管理”产品功能检测报告，或提供现场演示环境以证明此项功能满足业务需求；</w:t>
            </w:r>
          </w:p>
          <w:p w14:paraId="317D5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9、支持产品支持对ICMP、UDP、DNS、SYN等协议进行DDOS防护，支持IP地址扫描和端口扫描攻击防护；</w:t>
            </w:r>
          </w:p>
          <w:p w14:paraId="36BDF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支持勒索病毒检测与防御功能，为保障勒索病毒的防御效果，所投产品需提供具备CMA（中国国家认证认可监督管理委员会）、CNAS（中国合格评定国家认可委员会）认证的第三方权威机构关于“勒索软件通信防护”功能项的产品检测报告；或提供证明此项功能满足业务需求；</w:t>
            </w:r>
          </w:p>
          <w:p w14:paraId="19F84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11、产品内置IPS检测引擎，支持口令暴力破解、僵尸网络、恶意软件、服务器与终端漏洞攻击等检测和防护，支持超过10000种特征规则。（需提供产品功能截图证明）</w:t>
            </w:r>
          </w:p>
          <w:p w14:paraId="36FBD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12、支持应用控制策略生命周期管理，包含安全策略的变更时间、变更类型和策略变更用户，并对变更内容记录日志，方便策略的管理和运维；</w:t>
            </w:r>
          </w:p>
          <w:p w14:paraId="2A97E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13、要求所投产品具备国家信息安全漏洞库兼容性资质证书，提供有效证书复印件。</w:t>
            </w:r>
          </w:p>
        </w:tc>
        <w:tc>
          <w:tcPr>
            <w:tcW w:w="810" w:type="dxa"/>
            <w:noWrap/>
            <w:vAlign w:val="center"/>
          </w:tcPr>
          <w:p w14:paraId="065C8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A4C1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620C6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175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9A45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2F27B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24口千兆POE交换机</w:t>
            </w:r>
          </w:p>
        </w:tc>
        <w:tc>
          <w:tcPr>
            <w:tcW w:w="5421" w:type="dxa"/>
            <w:noWrap w:val="0"/>
            <w:vAlign w:val="center"/>
          </w:tcPr>
          <w:p w14:paraId="63335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1、千兆POE电口≥24个， 千兆 SFP光口≥4个，Console口≥1个；提供官网截图及链接证明</w:t>
            </w:r>
          </w:p>
          <w:p w14:paraId="4CAEB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2、交换机性能：交换性能≥330Gbps；包转发率≥96Mpps，(如官网有多个参数，以最小值为准)；</w:t>
            </w:r>
          </w:p>
          <w:p w14:paraId="6BBF4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3、支持IEEE 802.3af/at供电标准，单端口最大输出功率≥30W，整机最大输出功率≥370W；</w:t>
            </w:r>
          </w:p>
          <w:p w14:paraId="63E5B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4、支持IEEE 802.3az 标准的 EEE节能技术：当EEE使能时，从而大幅度的减小端口在该阶段的功耗，达到了节能的目的。</w:t>
            </w:r>
          </w:p>
          <w:p w14:paraId="7AAA8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5、网络管理：支持SNMPv1/v2c/v3；支持WEB网管特性</w:t>
            </w:r>
          </w:p>
          <w:p w14:paraId="65C1B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6、支持MAC地址自动学习、支持源MAC地址过滤、支持接口MAC地址学习个数限制</w:t>
            </w:r>
          </w:p>
          <w:p w14:paraId="181C96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7、VLAN≥4K，组播条目≥500，MAC≥8K，ARP表≥2000</w:t>
            </w:r>
          </w:p>
          <w:p w14:paraId="23BFA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8、支持防网关ARP欺骗、支持端口保护、隔离，支持防止ARP攻击功能；支持CPU保护功能</w:t>
            </w:r>
          </w:p>
        </w:tc>
        <w:tc>
          <w:tcPr>
            <w:tcW w:w="810" w:type="dxa"/>
            <w:noWrap/>
            <w:vAlign w:val="center"/>
          </w:tcPr>
          <w:p w14:paraId="6F3B8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542C3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4C0FA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625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37C5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6825D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16口千兆POE交换机</w:t>
            </w:r>
          </w:p>
        </w:tc>
        <w:tc>
          <w:tcPr>
            <w:tcW w:w="5421" w:type="dxa"/>
            <w:noWrap w:val="0"/>
            <w:vAlign w:val="center"/>
          </w:tcPr>
          <w:p w14:paraId="3283D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1、千兆POE电口≥16个， 千兆 SFP光口≥4个，Console口≥1个；提供官网截图及链接证明</w:t>
            </w:r>
          </w:p>
          <w:p w14:paraId="22EE4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2、交换机性能：交换性能≥330Gbps；包转发率≥96Mpps，(如官网有多个参数，以最小值为准)；</w:t>
            </w:r>
          </w:p>
          <w:p w14:paraId="2A662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3、支持IEEE 802.3af/at供电标准，单端口最大输出功率≥30W，整机最大输出功率≥370W；</w:t>
            </w:r>
          </w:p>
          <w:p w14:paraId="781E3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4、支持IEEE 802.3az 标准的 EEE节能技术：当EEE使能时，从而大幅度的减小端口在该阶段的功耗，达到了节能的目的。</w:t>
            </w:r>
          </w:p>
          <w:p w14:paraId="08B7E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5、网络管理：支持SNMPv1/v2c/v3；支持WEB网管特性</w:t>
            </w:r>
          </w:p>
          <w:p w14:paraId="56A40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6、支持交换机端口设置为信任端口或非信任端口，非信任端口也可设置白名单响应DHCP报文</w:t>
            </w:r>
          </w:p>
        </w:tc>
        <w:tc>
          <w:tcPr>
            <w:tcW w:w="810" w:type="dxa"/>
            <w:noWrap/>
            <w:vAlign w:val="center"/>
          </w:tcPr>
          <w:p w14:paraId="24264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u w:val="none"/>
                <w:lang w:val="en-US" w:eastAsia="zh-CN" w:bidi="ar-SA"/>
              </w:rPr>
            </w:pPr>
          </w:p>
        </w:tc>
        <w:tc>
          <w:tcPr>
            <w:tcW w:w="660" w:type="dxa"/>
            <w:noWrap/>
            <w:vAlign w:val="center"/>
          </w:tcPr>
          <w:p w14:paraId="14171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u w:val="none"/>
                <w:lang w:val="en-US" w:eastAsia="zh-CN" w:bidi="ar-SA"/>
              </w:rPr>
            </w:pPr>
          </w:p>
        </w:tc>
        <w:tc>
          <w:tcPr>
            <w:tcW w:w="756" w:type="dxa"/>
            <w:noWrap/>
            <w:vAlign w:val="center"/>
          </w:tcPr>
          <w:p w14:paraId="5EEFD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562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F2CD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00E5A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8口交换机</w:t>
            </w:r>
          </w:p>
        </w:tc>
        <w:tc>
          <w:tcPr>
            <w:tcW w:w="5421" w:type="dxa"/>
            <w:noWrap w:val="0"/>
            <w:vAlign w:val="center"/>
          </w:tcPr>
          <w:p w14:paraId="2A845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8口千兆 千兆 SFP光口≥1个</w:t>
            </w:r>
          </w:p>
        </w:tc>
        <w:tc>
          <w:tcPr>
            <w:tcW w:w="810" w:type="dxa"/>
            <w:noWrap/>
            <w:vAlign w:val="center"/>
          </w:tcPr>
          <w:p w14:paraId="29732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60" w:type="dxa"/>
            <w:noWrap/>
            <w:vAlign w:val="center"/>
          </w:tcPr>
          <w:p w14:paraId="5370D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56" w:type="dxa"/>
            <w:noWrap/>
            <w:vAlign w:val="center"/>
          </w:tcPr>
          <w:p w14:paraId="2CBF6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D11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D3CC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3C3E6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48口千兆交换机</w:t>
            </w:r>
          </w:p>
        </w:tc>
        <w:tc>
          <w:tcPr>
            <w:tcW w:w="5421" w:type="dxa"/>
            <w:noWrap w:val="0"/>
            <w:vAlign w:val="center"/>
          </w:tcPr>
          <w:p w14:paraId="50544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1、千兆电口≥48个，固化万兆光口≥4个，Console口≥1个，Manage口≥1个；提供官网截图及链接证明</w:t>
            </w:r>
          </w:p>
          <w:p w14:paraId="66402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2、交换机性能：交换性能≥330Gbps；包转发率≥90Mpps，(如官网有多个参数，以最小值为准)；提供官网截图及链接证明</w:t>
            </w:r>
          </w:p>
          <w:p w14:paraId="75D6E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3、支持IEEE 802.3az 标准的 EEE节能技术：当EEE使能时，从而大幅度的减小端口在该阶段的功耗，达到了节能的目的。</w:t>
            </w:r>
          </w:p>
          <w:p w14:paraId="68EB2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4、网络管理：支持SNMPv1/v2c/v3；支持WEB网管特性</w:t>
            </w:r>
          </w:p>
          <w:p w14:paraId="239E3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5、支持交换机端口设置为信任端口或非信任端口，非信任端口也可设置白名单响应DHCP报文</w:t>
            </w:r>
          </w:p>
          <w:p w14:paraId="1D3ED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6、支持STP、RSTP、MSTP协议</w:t>
            </w:r>
          </w:p>
          <w:p w14:paraId="168BA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7、支持MAC地址自动学习、支持源MAC地址过滤、支持接口MAC地址学习个数限制</w:t>
            </w:r>
          </w:p>
        </w:tc>
        <w:tc>
          <w:tcPr>
            <w:tcW w:w="810" w:type="dxa"/>
            <w:noWrap/>
            <w:vAlign w:val="center"/>
          </w:tcPr>
          <w:p w14:paraId="665FE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23E9D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04591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41A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jc w:val="center"/>
        </w:trPr>
        <w:tc>
          <w:tcPr>
            <w:tcW w:w="530" w:type="dxa"/>
            <w:noWrap w:val="0"/>
            <w:vAlign w:val="center"/>
          </w:tcPr>
          <w:p w14:paraId="7A511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4141E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UPS电源</w:t>
            </w:r>
          </w:p>
        </w:tc>
        <w:tc>
          <w:tcPr>
            <w:tcW w:w="5421" w:type="dxa"/>
            <w:noWrap w:val="0"/>
            <w:vAlign w:val="center"/>
          </w:tcPr>
          <w:p w14:paraId="7B300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10KVA  UPS主机参数：</w:t>
            </w:r>
          </w:p>
          <w:p w14:paraId="686A3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1.单进单出纯在线式高频机，容量为10KVA/9KW;</w:t>
            </w:r>
          </w:p>
          <w:p w14:paraId="67EB1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2.UPS具有RS232、Intelligent Slot （智能卡插槽）、USB等接口;</w:t>
            </w:r>
          </w:p>
          <w:p w14:paraId="169DF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3.LCD+LED的显示方式,LCD 液晶显示面板不小于2英寸;</w:t>
            </w:r>
          </w:p>
          <w:p w14:paraId="52006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4.UPS的输入端、输出端对地施加500V直流电压时，绝缘电阻应&gt;2MΩ;</w:t>
            </w:r>
          </w:p>
          <w:p w14:paraId="269DF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5.整流输入电压范围：120-270V。输入功率因数：满载时≥0.99;</w:t>
            </w:r>
          </w:p>
          <w:p w14:paraId="19BD16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6.输出电压：220VAC;</w:t>
            </w:r>
          </w:p>
          <w:p w14:paraId="5C68C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 110%&lt;Load≤130%维持1 分钟后输出转为旁路并报警；130%&lt;Load≤150%维持30S后输出转为旁路并过载报警；Load&gt;150%时立即转为旁路模式并报警;</w:t>
            </w:r>
          </w:p>
          <w:p w14:paraId="3956B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8.UPS充电部分需具备过温保护功能,提供国家权威机构相应的证明，并对充电过温保护的技术做出详细技术说明。</w:t>
            </w:r>
          </w:p>
          <w:p w14:paraId="3439DD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 冷启动功能：UPS系统在没有交流电源输入但蓄电池组一直并联在直流母线的情况下，可直接启动UPS。</w:t>
            </w:r>
          </w:p>
          <w:p w14:paraId="57167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10.★为保障UPS安全运行，所投产品需采用MOS管推挽式电路，投标时需提供具有检测资质机构出具检测报告或者提供国家权威检测机构所颁发的相关技术证明文件加盖投标供应商公章，内容涵盖技术要求。</w:t>
            </w:r>
          </w:p>
          <w:p w14:paraId="0FADB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11.外壳保护要求：UPS保护接地装置与金属外壳的接地螺钉间应具有可靠的电气连接，其连接电阻应不大于0.1Ω;</w:t>
            </w:r>
          </w:p>
          <w:p w14:paraId="62C96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12.产品通过：TLC认证、节能认证、CE认证、RoHS认证，投标时提供对应证书;</w:t>
            </w:r>
          </w:p>
        </w:tc>
        <w:tc>
          <w:tcPr>
            <w:tcW w:w="810" w:type="dxa"/>
            <w:noWrap/>
            <w:vAlign w:val="center"/>
          </w:tcPr>
          <w:p w14:paraId="00FCC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2EC5D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2A896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820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D6F5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5B4F7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后备电池</w:t>
            </w:r>
          </w:p>
        </w:tc>
        <w:tc>
          <w:tcPr>
            <w:tcW w:w="5421" w:type="dxa"/>
            <w:noWrap w:val="0"/>
            <w:vAlign w:val="center"/>
          </w:tcPr>
          <w:p w14:paraId="54D5F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1.12V100AH免维护铅酸蓄电池，与UPS主机同品牌。单个电池净重≥28KG。</w:t>
            </w:r>
          </w:p>
          <w:p w14:paraId="08798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2.正常浮充状态下，电池寿命可达10年以上。</w:t>
            </w:r>
          </w:p>
          <w:p w14:paraId="78D2F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3.正常使用下无电解液漏出，无电池膨胀及破裂；</w:t>
            </w:r>
          </w:p>
          <w:p w14:paraId="73819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4.蓄电池需通过7、8、9烈度抗震性能测试，投标时提供7、8、9烈度抗震性能合格证书以及抗震检测报告。</w:t>
            </w:r>
          </w:p>
        </w:tc>
        <w:tc>
          <w:tcPr>
            <w:tcW w:w="810" w:type="dxa"/>
            <w:noWrap/>
            <w:vAlign w:val="center"/>
          </w:tcPr>
          <w:p w14:paraId="7521E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07945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E723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AE7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000000" w:fill="DDEBF7"/>
            <w:noWrap w:val="0"/>
            <w:vAlign w:val="center"/>
          </w:tcPr>
          <w:p w14:paraId="3713F2F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二、6楼大会议室605部分</w:t>
            </w:r>
          </w:p>
        </w:tc>
        <w:tc>
          <w:tcPr>
            <w:tcW w:w="756" w:type="dxa"/>
            <w:shd w:val="clear" w:color="000000" w:fill="DDEBF7"/>
            <w:noWrap w:val="0"/>
            <w:vAlign w:val="center"/>
          </w:tcPr>
          <w:p w14:paraId="7E83BB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p>
        </w:tc>
      </w:tr>
      <w:tr w14:paraId="4239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426DD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714A6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主音箱</w:t>
            </w:r>
          </w:p>
        </w:tc>
        <w:tc>
          <w:tcPr>
            <w:tcW w:w="5421" w:type="dxa"/>
            <w:noWrap w:val="0"/>
            <w:vAlign w:val="center"/>
          </w:tcPr>
          <w:p w14:paraId="15199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1、不小于1×5"两分频同轴驱动单元；</w:t>
            </w:r>
          </w:p>
          <w:p w14:paraId="0114A2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2、额定功率不小于150W/8Ω； </w:t>
            </w:r>
          </w:p>
          <w:p w14:paraId="7D110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3、特性灵敏度不小于92dB/1w/1m（有效频响范围平均）</w:t>
            </w:r>
          </w:p>
          <w:p w14:paraId="25503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4、最大声压级不小于120dB</w:t>
            </w:r>
          </w:p>
          <w:p w14:paraId="2CA8C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5、额定频率范围（-10dB）100Hz-18KHz；</w:t>
            </w:r>
          </w:p>
          <w:p w14:paraId="6D7D4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6、覆盖角度(H×V)：70°×70°</w:t>
            </w:r>
          </w:p>
          <w:p w14:paraId="494EC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7、考虑嵌入式隐藏安装空间，箱体尺寸不大于195(高)×175(宽)×175(深)</w:t>
            </w:r>
          </w:p>
          <w:p w14:paraId="015D4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8、扬声器系统采用波阵面修正号角（提供国家权威检测机构所颁发的相关技术证明文件并加盖投标供应商公章）</w:t>
            </w:r>
          </w:p>
          <w:p w14:paraId="2BBB7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9、为保证项目质量、技术性能真实性，技术参数第3项应出具内容相符合的KLIPPEL、CLIO、LMS、B&amp;K或同类型声学开发测量软件在全消声室或半自由声场内的特性灵敏度测试响应曲线图（加盖供应商公章）</w:t>
            </w:r>
          </w:p>
        </w:tc>
        <w:tc>
          <w:tcPr>
            <w:tcW w:w="810" w:type="dxa"/>
            <w:noWrap/>
            <w:vAlign w:val="center"/>
          </w:tcPr>
          <w:p w14:paraId="26616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AF88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315D0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7322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C2CD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6F395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5421" w:type="dxa"/>
            <w:noWrap w:val="0"/>
            <w:vAlign w:val="center"/>
          </w:tcPr>
          <w:p w14:paraId="580BE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1、适应不同场合所需，可选立体声或桥接工作模式。</w:t>
            </w:r>
          </w:p>
          <w:p w14:paraId="46B52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2、具有高通、低通和直通选择功能，通过高、低通设置，可方便的构成电子分频系统，可不需要再使用电子分频器。</w:t>
            </w:r>
          </w:p>
          <w:p w14:paraId="01AEA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3、开机软启动，有效防止浪涌冲击。</w:t>
            </w:r>
          </w:p>
          <w:p w14:paraId="2FB45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4、标准XLR+TRS1/4” 输入接口。</w:t>
            </w:r>
          </w:p>
          <w:p w14:paraId="2F4E8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5、智能控制强制散热设计。</w:t>
            </w:r>
          </w:p>
          <w:p w14:paraId="499D7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6、安全性保护功能：具备宽电压自动适应压缩保护功能（提供国家权威机构所颁发的相关技术证明文件并加盖投标供应商公章）</w:t>
            </w:r>
          </w:p>
          <w:p w14:paraId="3314E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7、额定功率：≥4×150W/8Ω≥4×220W/4Ω≥ 2×440W/8Ω桥接 ；</w:t>
            </w:r>
          </w:p>
          <w:p w14:paraId="57221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8、频率响应: 20Hz～20KHz±1dB ；</w:t>
            </w:r>
          </w:p>
          <w:p w14:paraId="3AAE0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9、总谐波失真：≤0.5% ；</w:t>
            </w:r>
          </w:p>
          <w:p w14:paraId="1DF5A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10、输入灵敏度：0dB(775mv) ；</w:t>
            </w:r>
          </w:p>
          <w:p w14:paraId="17938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11、输入阻抗：平衡20KΩ，不平衡10KΩ； </w:t>
            </w:r>
          </w:p>
          <w:p w14:paraId="22E63A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12、信噪比（a计权）：≥93dB ；</w:t>
            </w:r>
          </w:p>
          <w:p w14:paraId="272E53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13、净尺寸（宽×高×深）：≤480×450×115mm； </w:t>
            </w:r>
          </w:p>
          <w:p w14:paraId="0DE3D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810" w:type="dxa"/>
            <w:noWrap/>
            <w:vAlign w:val="center"/>
          </w:tcPr>
          <w:p w14:paraId="6682A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7CD6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22C43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412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4C54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3A475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调音台</w:t>
            </w:r>
          </w:p>
        </w:tc>
        <w:tc>
          <w:tcPr>
            <w:tcW w:w="5421" w:type="dxa"/>
            <w:noWrap w:val="0"/>
            <w:vAlign w:val="center"/>
          </w:tcPr>
          <w:p w14:paraId="1BC03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1、不少于8路MIC/LINE（COMBO XLR接口），不少于2组立体声输入（XLR接口），不少于1组立体声RCA输入，不少于1组返回输入（2路 6.35接口）不少于1路USB输入；</w:t>
            </w:r>
          </w:p>
          <w:p w14:paraId="19738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2、不少于8路插入点（6.35接口）</w:t>
            </w:r>
          </w:p>
          <w:p w14:paraId="54F47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3、不少于两组立体声输出，不少于2路编组输出，不少于2路辅助输出，不少于1路立体声监听输出，不少于1路立体声耳机输出，不少于1组立体声录音输出；</w:t>
            </w:r>
          </w:p>
          <w:p w14:paraId="28ED1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4、效果可以发送至辅助输出，编组输出与立体声输出；</w:t>
            </w:r>
          </w:p>
          <w:p w14:paraId="33FAD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5、多媒体输入可以发送至辅助输出、编组输出与立体声输出；</w:t>
            </w:r>
          </w:p>
          <w:p w14:paraId="7E02F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6、每路话放带低切功能；</w:t>
            </w:r>
          </w:p>
          <w:p w14:paraId="79EA2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7、不少于两路输入内置反馈抑制功能；</w:t>
            </w:r>
          </w:p>
          <w:p w14:paraId="6F1ED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8、支持蓝牙接收功能；</w:t>
            </w:r>
          </w:p>
          <w:p w14:paraId="4FC8A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9、内置99种DSP效果器；</w:t>
            </w:r>
          </w:p>
          <w:p w14:paraId="2F155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10、每路单通道三段均衡，中频带参量EQ；</w:t>
            </w:r>
          </w:p>
          <w:p w14:paraId="36684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11、主输出7段图示均衡器；</w:t>
            </w:r>
          </w:p>
          <w:p w14:paraId="5BD30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12、≥14个60mm行程推子；</w:t>
            </w:r>
          </w:p>
        </w:tc>
        <w:tc>
          <w:tcPr>
            <w:tcW w:w="810" w:type="dxa"/>
            <w:noWrap/>
            <w:vAlign w:val="center"/>
          </w:tcPr>
          <w:p w14:paraId="005BE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4761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3BA7FC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778D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1C8B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75A9B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5421" w:type="dxa"/>
            <w:noWrap w:val="0"/>
            <w:vAlign w:val="center"/>
          </w:tcPr>
          <w:p w14:paraId="40623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1、它采用回音抵消和消除混响的算法，有效滤除房间混响，从而实现消除声学反馈的目的。</w:t>
            </w:r>
          </w:p>
          <w:p w14:paraId="22CF6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2、任何使用情况下都可获得6dB的增益最高达12dB</w:t>
            </w:r>
          </w:p>
          <w:p w14:paraId="3618C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3、不少于十路卡侬口输入,每路麦克风独立幻像48V开关（提供产品实物功能接口图并加盖投标供应商公章）</w:t>
            </w:r>
          </w:p>
          <w:p w14:paraId="7E5E7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4、MUSIC输入RCA口</w:t>
            </w:r>
          </w:p>
          <w:p w14:paraId="3C0DA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6、AUX输入RCA口</w:t>
            </w:r>
          </w:p>
          <w:p w14:paraId="48630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6、AUX输出RCA口</w:t>
            </w:r>
          </w:p>
          <w:p w14:paraId="314E2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7、独具录播音频RCA输出口</w:t>
            </w:r>
          </w:p>
          <w:p w14:paraId="33E33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8、两路OUTPUT音频输出</w:t>
            </w:r>
          </w:p>
          <w:p w14:paraId="6FBB2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9、OUTPUT输出音调前置调节</w:t>
            </w:r>
          </w:p>
        </w:tc>
        <w:tc>
          <w:tcPr>
            <w:tcW w:w="810" w:type="dxa"/>
            <w:noWrap/>
            <w:vAlign w:val="center"/>
          </w:tcPr>
          <w:p w14:paraId="0A962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0C0CD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010E6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6D8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196A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36C19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会议主机</w:t>
            </w:r>
          </w:p>
        </w:tc>
        <w:tc>
          <w:tcPr>
            <w:tcW w:w="5421" w:type="dxa"/>
            <w:noWrap w:val="0"/>
            <w:vAlign w:val="center"/>
          </w:tcPr>
          <w:p w14:paraId="6CA2B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1、会议主机支持无线传输与有线传输2种方式，无线会议单元与有线会议单元可以共用一个系统；</w:t>
            </w:r>
          </w:p>
          <w:p w14:paraId="3DF6D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2、会议主机具有LCD显示屏，分级菜单显示，且有电量显示、欠压警告、频率信道和信号指示等显示功能；</w:t>
            </w:r>
          </w:p>
          <w:p w14:paraId="591A2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3、会议系统具有轮替模式、限制模式、主席专有多种会议发言模式；</w:t>
            </w:r>
          </w:p>
          <w:p w14:paraId="2BE1D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4、会议主机自带视像跟踪模块，实现会议单元的视像跟踪功能；</w:t>
            </w:r>
          </w:p>
          <w:p w14:paraId="1F56F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5、单台会议主机可挂载≦255席表决单元或≦1000席发言单元同时进行会议；</w:t>
            </w:r>
          </w:p>
          <w:p w14:paraId="42FAD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6、会议主机可外接8芯转换盒，实现有线列席单元供电及音频通讯8芯电缆方式传送；</w:t>
            </w:r>
          </w:p>
          <w:p w14:paraId="6EEC6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7、会议主机支持无线方式单元采用FM调频方式实现声音信号传输，音频信道和控制信道皆采用无线方式传送，高保真，信噪比高，无声音延时；</w:t>
            </w:r>
          </w:p>
          <w:p w14:paraId="23157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会议主机具有≥4路ANT信号接口、≥1路RS232接口、≥1路无线单元音频输出接口、≥1路有线单元音频输出接口、≥1路移频功能开关，≥1路音频混合输出接口、≥1路音频混合平衡输出接口、≥3个网络接口，≥1路USB音频接口（提供产品实物功能接口图并加盖投标供应商公章）</w:t>
            </w:r>
          </w:p>
          <w:p w14:paraId="1AE5EE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会议主机支持在有线无线单元混合使用情况下，将有线单元与无线单元音频信号分开输出，分别具有独立的音频输出接口；（提供国家权威机构出具的检测报告扫描件并加盖投标供应商公章，报告含“CMA”、“CNAS”、“ilac-MRA”认证）</w:t>
            </w:r>
          </w:p>
          <w:p w14:paraId="14563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10、电源输入： DC12V-15V，1A-2A；</w:t>
            </w:r>
          </w:p>
          <w:p w14:paraId="31B9D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11、消耗功率： &lt; 7W</w:t>
            </w:r>
          </w:p>
        </w:tc>
        <w:tc>
          <w:tcPr>
            <w:tcW w:w="810" w:type="dxa"/>
            <w:noWrap/>
            <w:vAlign w:val="center"/>
          </w:tcPr>
          <w:p w14:paraId="17222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F27B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0EBD0D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103F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68CE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16258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主席单元(无线)</w:t>
            </w:r>
          </w:p>
        </w:tc>
        <w:tc>
          <w:tcPr>
            <w:tcW w:w="5421" w:type="dxa"/>
            <w:noWrap w:val="0"/>
            <w:vAlign w:val="center"/>
          </w:tcPr>
          <w:p w14:paraId="3C2A2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3A048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2、主席话筒具有主席优先功能键，可一键关闭所有代表话筒</w:t>
            </w:r>
          </w:p>
          <w:p w14:paraId="7AB616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3、单元具有抗手机、电磁、高频干扰能力；</w:t>
            </w:r>
          </w:p>
          <w:p w14:paraId="43056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4、LCD显示屏，可显示话筒状态及系统菜单；</w:t>
            </w:r>
          </w:p>
          <w:p w14:paraId="58797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5、会议单元具有独立电源开关键，智能电路管理电池电量、具有实时电量显示；</w:t>
            </w:r>
          </w:p>
          <w:p w14:paraId="6B62C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6、具有话筒开关按键，按下开关键咪管指示灯环亮，话筒为开启状态；</w:t>
            </w:r>
          </w:p>
          <w:p w14:paraId="241D1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7、★单元具有至少5个表决操作功能按键，配合会议系统专用管理软件具有投票、表决类功能；（提供产品实物功能接口图）</w:t>
            </w:r>
          </w:p>
          <w:p w14:paraId="5E8BD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8、单元采用专用充电锂电池供电方式，超低功耗，列席单元大于8小时的连续发言时间和大于20小时的待机时间；</w:t>
            </w:r>
          </w:p>
          <w:p w14:paraId="0EDFF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9、音频通信方式：超高频无线电波</w:t>
            </w:r>
          </w:p>
          <w:p w14:paraId="6E219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10、咪管长度：240mm</w:t>
            </w:r>
          </w:p>
        </w:tc>
        <w:tc>
          <w:tcPr>
            <w:tcW w:w="810" w:type="dxa"/>
            <w:noWrap/>
            <w:vAlign w:val="center"/>
          </w:tcPr>
          <w:p w14:paraId="060A6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2D7A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25446D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0D01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C38F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05944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客席单元(无线)</w:t>
            </w:r>
          </w:p>
        </w:tc>
        <w:tc>
          <w:tcPr>
            <w:tcW w:w="5421" w:type="dxa"/>
            <w:noWrap w:val="0"/>
            <w:vAlign w:val="center"/>
          </w:tcPr>
          <w:p w14:paraId="49F39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4D0CE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2、单元具有抗手机、电磁、高频干扰能力；</w:t>
            </w:r>
          </w:p>
          <w:p w14:paraId="5BC9D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3、LCD显示屏，可显示话筒状态及系统菜单；</w:t>
            </w:r>
          </w:p>
          <w:p w14:paraId="10D6D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4、会议单元具有独立电源开关键，智能电路管理电池电量、具有实时电量显示；</w:t>
            </w:r>
          </w:p>
          <w:p w14:paraId="79AB3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5、具有话筒开关按键，按下开关键咪管指示灯环亮，话筒为开启状态；</w:t>
            </w:r>
          </w:p>
          <w:p w14:paraId="2B41C5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6、单元具有至少5个表决操作功能按键，配合会议系统专用管理软件具有投票、表决类功能；</w:t>
            </w:r>
          </w:p>
          <w:p w14:paraId="70B3A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7、单元采用专用充电锂电池供电方式，超低功耗，列席单元大于8小时的连续发言时间和大于20小时的待机时间；</w:t>
            </w:r>
          </w:p>
          <w:p w14:paraId="0B639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8、咪管长度：240mm</w:t>
            </w:r>
          </w:p>
        </w:tc>
        <w:tc>
          <w:tcPr>
            <w:tcW w:w="810" w:type="dxa"/>
            <w:noWrap/>
            <w:vAlign w:val="center"/>
          </w:tcPr>
          <w:p w14:paraId="16C1A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4588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073618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8CC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30B4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2D75B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5421" w:type="dxa"/>
            <w:noWrap w:val="0"/>
            <w:vAlign w:val="center"/>
          </w:tcPr>
          <w:p w14:paraId="06543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1、具有HDMI输出接口≥1路、USB3.0接口≥1路，支持同时输出1080P60视频；</w:t>
            </w:r>
          </w:p>
          <w:p w14:paraId="771F1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2、有效像素≥207万，视频分辨率支持1920*1080P60;支持广角镜头≥72.5°、光学变焦≥12倍，数字变焦≥16倍，水平视场角72.5°-6.9°；</w:t>
            </w:r>
          </w:p>
          <w:p w14:paraId="18D61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3、支持图像冻结功能和图像翻转功能；</w:t>
            </w:r>
          </w:p>
          <w:p w14:paraId="285309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4、支持UVC协议控制PTZ（云台、变焦）操作；内置麦克风，拾音距离长达6米，高灵敏度，低底噪；支持RS232控制协议，对摄像机进行控制；</w:t>
            </w:r>
          </w:p>
          <w:p w14:paraId="35B9B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5、输入电压DC12V、输入电流12V 1.5A，最大功耗12W。</w:t>
            </w:r>
          </w:p>
        </w:tc>
        <w:tc>
          <w:tcPr>
            <w:tcW w:w="810" w:type="dxa"/>
            <w:noWrap/>
            <w:vAlign w:val="center"/>
          </w:tcPr>
          <w:p w14:paraId="7B803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7109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7F1CB7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5289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F412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5D125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充电箱</w:t>
            </w:r>
          </w:p>
        </w:tc>
        <w:tc>
          <w:tcPr>
            <w:tcW w:w="5421" w:type="dxa"/>
            <w:noWrap w:val="0"/>
            <w:vAlign w:val="center"/>
          </w:tcPr>
          <w:p w14:paraId="64FF1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专用充电箱，可同时为不少于16只单元电池充电</w:t>
            </w:r>
          </w:p>
        </w:tc>
        <w:tc>
          <w:tcPr>
            <w:tcW w:w="810" w:type="dxa"/>
            <w:noWrap/>
            <w:vAlign w:val="center"/>
          </w:tcPr>
          <w:p w14:paraId="3F236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74C2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0C83F8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4640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2D65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7DA8E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5421" w:type="dxa"/>
            <w:noWrap w:val="0"/>
            <w:vAlign w:val="center"/>
          </w:tcPr>
          <w:p w14:paraId="02544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63603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67E43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02660F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737C5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6DD63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810" w:type="dxa"/>
            <w:noWrap/>
            <w:vAlign w:val="center"/>
          </w:tcPr>
          <w:p w14:paraId="6D048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30E3D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8C77C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2DC9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D7B4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1AFC9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421" w:type="dxa"/>
            <w:noWrap w:val="0"/>
            <w:vAlign w:val="center"/>
          </w:tcPr>
          <w:p w14:paraId="4D200B97">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1、不少于8路可控电源（国标五孔插座）</w:t>
            </w:r>
          </w:p>
          <w:p w14:paraId="08470C6F">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2、单通道最大输出电流不小于10A；</w:t>
            </w:r>
          </w:p>
          <w:p w14:paraId="528A2CF4">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3、额定总输出电源不小于25A；内置25A电源滤波器；总电源带空气开关；</w:t>
            </w:r>
          </w:p>
          <w:p w14:paraId="550AF14E">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4、针对不同设备启动时间，每路电源开关时间支持不小于60秒设定</w:t>
            </w:r>
          </w:p>
          <w:p w14:paraId="74E84936">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5、前面板带市电电压显示</w:t>
            </w:r>
          </w:p>
          <w:p w14:paraId="4356E0B8">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6、不少于24组用户存储模式</w:t>
            </w:r>
          </w:p>
          <w:p w14:paraId="288029D5">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7、设备支持手动、PC、安卓移动端控制，</w:t>
            </w:r>
          </w:p>
          <w:p w14:paraId="7704ACD6">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8、控制接口不少于1路RS232、1路RJ45。</w:t>
            </w:r>
          </w:p>
          <w:p w14:paraId="7AC5A0EA">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9、设备支持物联网远程控制。</w:t>
            </w:r>
          </w:p>
        </w:tc>
        <w:tc>
          <w:tcPr>
            <w:tcW w:w="810" w:type="dxa"/>
            <w:noWrap/>
            <w:vAlign w:val="center"/>
          </w:tcPr>
          <w:p w14:paraId="798AA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8B46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251EDE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4942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6422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3722B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户内全彩LED屏</w:t>
            </w:r>
          </w:p>
        </w:tc>
        <w:tc>
          <w:tcPr>
            <w:tcW w:w="5421" w:type="dxa"/>
            <w:noWrap w:val="0"/>
            <w:vAlign w:val="center"/>
          </w:tcPr>
          <w:p w14:paraId="3B1FD91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1、像数间距：≤1.86mm；单元板尺寸：320mm* 160mm；显示屏尺寸：长4.48m*高1.92m</w:t>
            </w:r>
          </w:p>
          <w:p w14:paraId="6DD37EE7">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2、投标产品具有整屏平整度≤0.05mm,单元平整度≤0.05mm；模组间拼缝≤0.2mm；刷新率≥3840Hz。</w:t>
            </w:r>
          </w:p>
          <w:p w14:paraId="25F3B290">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3、PCB 采用 FR-4材质，灯驱合一，电路采用多层设计，符合多层电路板沉金工艺设计，具有消隐，节能处理，EMC处理保证单模块的稳定性和抗氧化性</w:t>
            </w:r>
          </w:p>
          <w:p w14:paraId="6B18BEA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4、表面处理:可支持灯板表面进行AOB处理，有致密性纳米涂层，有效隔绝水汽，对灯珠形成有效防护，可支持喷墨工艺，且低反射率的 LED 灯板</w:t>
            </w:r>
          </w:p>
          <w:p w14:paraId="28C6E537">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5、色彩:16Bit,281万亿色，色域覆盖率100%,NTSC色域覆盖率≥120%上，YLV（PAL)色域覆盖率≥170%，支持BT.2020,DCI.P3,BT.709,sRGB等多种色域转换</w:t>
            </w:r>
          </w:p>
          <w:p w14:paraId="2FF6742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6、亮度与视角关系：中央亮度为100cd/㎡白场时，水平视角80°时亮度衰减率≤10%,垂直视角60°时亮度衰减率≤10%</w:t>
            </w:r>
          </w:p>
          <w:p w14:paraId="762349E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7、噪声：前、后、左、右噪声均不超过2.0dB</w:t>
            </w:r>
          </w:p>
          <w:p w14:paraId="3B233A61">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8、峰值功耗：≤610w/㎡；典型功耗：≤310w/㎡；供电电压≤DC4.2～5V；电流增益调节级别≥7位</w:t>
            </w:r>
          </w:p>
        </w:tc>
        <w:tc>
          <w:tcPr>
            <w:tcW w:w="810" w:type="dxa"/>
            <w:noWrap/>
            <w:vAlign w:val="center"/>
          </w:tcPr>
          <w:p w14:paraId="0E668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73F7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634AC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77C0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65E0E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3AA75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全彩电源</w:t>
            </w:r>
          </w:p>
        </w:tc>
        <w:tc>
          <w:tcPr>
            <w:tcW w:w="5421" w:type="dxa"/>
            <w:noWrap w:val="0"/>
            <w:vAlign w:val="center"/>
          </w:tcPr>
          <w:p w14:paraId="1BD78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810" w:type="dxa"/>
            <w:noWrap/>
            <w:vAlign w:val="center"/>
          </w:tcPr>
          <w:p w14:paraId="059AC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5620A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33AE32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487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80B1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79B36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接收卡</w:t>
            </w:r>
          </w:p>
        </w:tc>
        <w:tc>
          <w:tcPr>
            <w:tcW w:w="5421" w:type="dxa"/>
            <w:noWrap w:val="0"/>
            <w:vAlign w:val="center"/>
          </w:tcPr>
          <w:p w14:paraId="76FC289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1.支持逐点亮色度校正，可以对每个灯点的亮度和色度进项校正，有效消除色差，使整屏的亮度和速度达到高度均匀一致，提高显示屏的画质。</w:t>
            </w:r>
          </w:p>
          <w:p w14:paraId="741DCD50">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2.投标时提供一种接收卡的实用新型证书</w:t>
            </w:r>
          </w:p>
          <w:p w14:paraId="7A90CAE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3.快速亮暗线调节在调试软件上进行快速亮暗线调节，快速解决因箱体及模组拼接造成的显示屏亮暗线，调节过程中即时生效，简单易用。</w:t>
            </w:r>
          </w:p>
          <w:p w14:paraId="2E5EDC7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4.可以将指定图片设置为显示屏的开机、网线断开或无视频源信号时的画面或者最后一帧画面。</w:t>
            </w:r>
          </w:p>
          <w:p w14:paraId="18B2E20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5.可以监测自身的温度和电压，无需其他外设，在软件上可以查看接收卡的温度和电压。</w:t>
            </w:r>
          </w:p>
          <w:p w14:paraId="3CA45C9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6.检测发送设备与接收卡间或接收卡与接收卡间的网络通讯质量，记录错误包数，协助排除网络通讯隐患。</w:t>
            </w:r>
          </w:p>
          <w:p w14:paraId="23A9C15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7.支持5pin液晶模块，用于显示接收卡的温度、电压、单次运行时间和总运行时间。</w:t>
            </w:r>
          </w:p>
          <w:p w14:paraId="45441C6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8.支持千兆网，可通过网线直接连接到PC端进行调试和显示，无需发送卡。</w:t>
            </w:r>
          </w:p>
          <w:p w14:paraId="08F6CB8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9.为保证系统的兼容性及稳定性控制系统需与LED显示屏为同一品牌，投标时提供证明文件</w:t>
            </w:r>
          </w:p>
        </w:tc>
        <w:tc>
          <w:tcPr>
            <w:tcW w:w="810" w:type="dxa"/>
            <w:noWrap/>
            <w:vAlign w:val="center"/>
          </w:tcPr>
          <w:p w14:paraId="4B58C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3DB82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7BF6D0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461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F17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3DDBB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421" w:type="dxa"/>
            <w:noWrap w:val="0"/>
            <w:vAlign w:val="center"/>
          </w:tcPr>
          <w:p w14:paraId="7F34279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1、输入接口：支持2路HDMI，1路DVI</w:t>
            </w:r>
          </w:p>
          <w:p w14:paraId="3686FD30">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2、带载能力：视频输出支持6个千兆网口输出，最大带载高达390万像素</w:t>
            </w:r>
          </w:p>
          <w:p w14:paraId="428E51E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3.无需电脑，支持通过设备旋转按钮快捷配屏和高级配屏功能点亮屏体，简单操作即可完成屏体配置。</w:t>
            </w:r>
          </w:p>
          <w:p w14:paraId="7455CC4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4.为保证系统的兼容性和稳定性，发送卡和视频处理器为二合一产品。</w:t>
            </w:r>
          </w:p>
          <w:p w14:paraId="4DD5DB7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5.设备前面板配备液晶面板，可实时显示设备型号，ip地址，窗口和信号源的分辨率及状态信息，输出网口的状态，屏幕大小，帧屏信息，设备同步模式展示，USB连接或网线连接状态，屏体亮度。</w:t>
            </w:r>
          </w:p>
          <w:p w14:paraId="3F495F3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主界面下，按下旋钮进入菜单操作界面。菜单操作界面下，旋转旋钮旋转菜单，按下旋钮选定当前菜单或者进入子菜单。选定带有参数的菜单后可以通过旋转旋钮调节参数，调节完成后需要再次按下旋钮进行确认。</w:t>
            </w:r>
          </w:p>
          <w:p w14:paraId="2AE7213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7.无需电脑，FREEZE画面冻结按键可以快捷冻结画面。</w:t>
            </w:r>
          </w:p>
        </w:tc>
        <w:tc>
          <w:tcPr>
            <w:tcW w:w="810" w:type="dxa"/>
            <w:noWrap/>
            <w:vAlign w:val="center"/>
          </w:tcPr>
          <w:p w14:paraId="0C792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5FC6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0C0AC7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737A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9997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022F0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421" w:type="dxa"/>
            <w:noWrap w:val="0"/>
            <w:vAlign w:val="center"/>
          </w:tcPr>
          <w:p w14:paraId="75353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810" w:type="dxa"/>
            <w:noWrap/>
            <w:vAlign w:val="center"/>
          </w:tcPr>
          <w:p w14:paraId="3E42E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0D25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3C1847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9E4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000000" w:fill="DDEBF7"/>
            <w:noWrap w:val="0"/>
            <w:vAlign w:val="center"/>
          </w:tcPr>
          <w:p w14:paraId="00FF4E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shd w:val="clear" w:color="auto" w:fill="auto"/>
                <w:lang w:val="en-US" w:eastAsia="zh-CN"/>
              </w:rPr>
              <w:t>三、6楼中会议室607部分</w:t>
            </w:r>
          </w:p>
        </w:tc>
        <w:tc>
          <w:tcPr>
            <w:tcW w:w="756" w:type="dxa"/>
            <w:shd w:val="clear" w:color="000000" w:fill="DDEBF7"/>
            <w:noWrap w:val="0"/>
            <w:vAlign w:val="center"/>
          </w:tcPr>
          <w:p w14:paraId="5A72E9E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shd w:val="clear" w:color="auto" w:fill="auto"/>
                <w:lang w:val="en-US" w:eastAsia="zh-CN"/>
              </w:rPr>
            </w:pPr>
          </w:p>
        </w:tc>
      </w:tr>
      <w:tr w14:paraId="12BC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BD8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13E03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主音箱</w:t>
            </w:r>
          </w:p>
        </w:tc>
        <w:tc>
          <w:tcPr>
            <w:tcW w:w="5421" w:type="dxa"/>
            <w:noWrap w:val="0"/>
            <w:vAlign w:val="center"/>
          </w:tcPr>
          <w:p w14:paraId="0FAA1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两分频系统</w:t>
            </w:r>
          </w:p>
          <w:p w14:paraId="65D39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1、不小于1×6.5"两分频同轴驱动单元；</w:t>
            </w:r>
          </w:p>
          <w:p w14:paraId="36DF4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2、额定功率不小于60W/16Ω； </w:t>
            </w:r>
          </w:p>
          <w:p w14:paraId="4B67A6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3、特性灵敏度不小于90dB/1w/1m（有效频响范围平均）</w:t>
            </w:r>
          </w:p>
          <w:p w14:paraId="377E5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4、最大声压级不小于114dB</w:t>
            </w:r>
          </w:p>
          <w:p w14:paraId="12BBF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5、额定频率范围（-10dB）100Hz-18KHz；</w:t>
            </w:r>
          </w:p>
          <w:p w14:paraId="6536D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6、覆盖角度(H×V)：90°×90°</w:t>
            </w:r>
          </w:p>
        </w:tc>
        <w:tc>
          <w:tcPr>
            <w:tcW w:w="810" w:type="dxa"/>
            <w:noWrap/>
            <w:vAlign w:val="center"/>
          </w:tcPr>
          <w:p w14:paraId="79AC8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5CB2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32A5FD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3A8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7FC3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677CB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5421" w:type="dxa"/>
            <w:noWrap w:val="0"/>
            <w:vAlign w:val="center"/>
          </w:tcPr>
          <w:p w14:paraId="68D28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1、经典D类电路，具备超高的开环增益，双重负反馈，保证功放稳定可靠的同时，还具有超低失真度。  </w:t>
            </w:r>
          </w:p>
          <w:p w14:paraId="14C7F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2、完善的保护功能，电源软启动功能，保证开机瞬间不对电网形成冲击。采用双重无失真压缩电路，确保功放不过激失真和超功率工作，电压、电流跟踪技术，确保功放长期工作在安全区域。</w:t>
            </w:r>
          </w:p>
          <w:p w14:paraId="1ED6F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多点温度监控，确保功放不过热，模具成型的绝缘和风道设计，保证了安规的要求和功放不过热，进口导热材料，保证MOS管高效有效的散热。</w:t>
            </w:r>
          </w:p>
          <w:p w14:paraId="2DFD4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3、为有效保障设备使用安全，功放需具备动态限幅保护装置（提供具有检测资质机构出具检测报告加盖供应商公章，内容涵盖技术要求）</w:t>
            </w:r>
          </w:p>
          <w:p w14:paraId="6970EB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4、具有低通功能选择，方便系统连接低音音箱，无需额外增加电子分频器。</w:t>
            </w:r>
          </w:p>
          <w:p w14:paraId="6850A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5、具有桥接功能选择，方便系统桥接应用模式的功率扩展。</w:t>
            </w:r>
          </w:p>
          <w:p w14:paraId="7EA80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6、额定功率：≥2×200W/8Ω≥，2×300W/4Ω，≥1×600W/8Ω；</w:t>
            </w:r>
          </w:p>
          <w:p w14:paraId="07EF5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7、频率响应：20Hz～20kHz (±1dB)dB；</w:t>
            </w:r>
          </w:p>
          <w:p w14:paraId="7E91D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8、输入灵敏度：0dBu（0.775V）；</w:t>
            </w:r>
          </w:p>
          <w:p w14:paraId="345E9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9、输入阻抗：平衡20kΩ，非平衡10kΩ；</w:t>
            </w:r>
          </w:p>
          <w:p w14:paraId="0295B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10、总谐波失真(1/10额定功率，1kHz)：≤0.1%；</w:t>
            </w:r>
          </w:p>
          <w:p w14:paraId="78106C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11、信噪比(A计权)：≥100dB；</w:t>
            </w:r>
          </w:p>
          <w:p w14:paraId="1C9BF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12、最大功率消耗：≤850W；</w:t>
            </w:r>
          </w:p>
          <w:p w14:paraId="55DCF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13、电压适应范围：AC110-242V，50Hz/60Hz</w:t>
            </w:r>
          </w:p>
        </w:tc>
        <w:tc>
          <w:tcPr>
            <w:tcW w:w="810" w:type="dxa"/>
            <w:noWrap/>
            <w:vAlign w:val="center"/>
          </w:tcPr>
          <w:p w14:paraId="74867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C725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2BDD97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1434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0832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5641E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调音台</w:t>
            </w:r>
          </w:p>
        </w:tc>
        <w:tc>
          <w:tcPr>
            <w:tcW w:w="5421" w:type="dxa"/>
            <w:noWrap w:val="0"/>
            <w:vAlign w:val="center"/>
          </w:tcPr>
          <w:p w14:paraId="24325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1、不小于8路输入(不小于4路MIC/LINE+不小于2路立体声)；</w:t>
            </w:r>
          </w:p>
          <w:p w14:paraId="19837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2、不小于1组立体声输出，不小于2路编组输出，不小于1路效果输出，不小于2路辅助输出，不小于1组录音输出；</w:t>
            </w:r>
          </w:p>
          <w:p w14:paraId="0E887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3、支持蓝牙接收功能，支持MP3，WAV双解码播放功能，支持USB播放，多媒体播放器配备遥控器；</w:t>
            </w:r>
          </w:p>
          <w:p w14:paraId="372AA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4、内置效果器；</w:t>
            </w:r>
          </w:p>
          <w:p w14:paraId="40D64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5、支持48V幻象电源；</w:t>
            </w:r>
          </w:p>
          <w:p w14:paraId="7EC40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6、耳机监听功能。</w:t>
            </w:r>
          </w:p>
        </w:tc>
        <w:tc>
          <w:tcPr>
            <w:tcW w:w="810" w:type="dxa"/>
            <w:noWrap/>
            <w:vAlign w:val="center"/>
          </w:tcPr>
          <w:p w14:paraId="14D3C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u w:val="none"/>
              </w:rPr>
            </w:pPr>
          </w:p>
        </w:tc>
        <w:tc>
          <w:tcPr>
            <w:tcW w:w="660" w:type="dxa"/>
            <w:noWrap/>
            <w:vAlign w:val="center"/>
          </w:tcPr>
          <w:p w14:paraId="67A45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u w:val="none"/>
              </w:rPr>
            </w:pPr>
          </w:p>
        </w:tc>
        <w:tc>
          <w:tcPr>
            <w:tcW w:w="756" w:type="dxa"/>
            <w:noWrap/>
            <w:vAlign w:val="center"/>
          </w:tcPr>
          <w:p w14:paraId="40FDBFD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p>
        </w:tc>
      </w:tr>
      <w:tr w14:paraId="133E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2DD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74F13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5421" w:type="dxa"/>
            <w:noWrap w:val="0"/>
            <w:vAlign w:val="center"/>
          </w:tcPr>
          <w:p w14:paraId="27514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1、可根据应用场合定制合适音频频谱，从而大幅度提升系统增益。</w:t>
            </w:r>
          </w:p>
          <w:p w14:paraId="0C8CA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2、带液晶显示屏可直观显示当时音频的频谱与工作状态</w:t>
            </w:r>
          </w:p>
          <w:p w14:paraId="6D737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3、不少于十路卡侬口输入,每路麦克风独立幻像48V开关（提供产品实物功能接口图并加盖投标供应商公章）</w:t>
            </w:r>
          </w:p>
          <w:p w14:paraId="0850A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4、前置麦克风输出总音量调节</w:t>
            </w:r>
          </w:p>
          <w:p w14:paraId="539FF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5、每路麦克风独立增益调节</w:t>
            </w:r>
          </w:p>
          <w:p w14:paraId="11FA85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6、MUSIC输入RCA口;AUX输入RCA口;AUX输出RCA口;独具录播音频RCA输出口;输入灵敏度-32dB ～ -56dB;两路OUTPUT音频输出;OUTPUT输出音调前置调节</w:t>
            </w:r>
          </w:p>
        </w:tc>
        <w:tc>
          <w:tcPr>
            <w:tcW w:w="810" w:type="dxa"/>
            <w:noWrap/>
            <w:vAlign w:val="center"/>
          </w:tcPr>
          <w:p w14:paraId="1EBFE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54FD6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56404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0464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8041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1D101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一拖二无线麦克风</w:t>
            </w:r>
          </w:p>
        </w:tc>
        <w:tc>
          <w:tcPr>
            <w:tcW w:w="5421" w:type="dxa"/>
            <w:noWrap w:val="0"/>
            <w:vAlign w:val="center"/>
          </w:tcPr>
          <w:p w14:paraId="1A843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1、接收频道:双通道接收</w:t>
            </w:r>
          </w:p>
          <w:p w14:paraId="7B89D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2、面板显示:LED段码显示器，可同时显示群组、频率、电池电量、静音位准、电子音量等相关信息；LED灯柱显示RF/AF强度；</w:t>
            </w:r>
          </w:p>
          <w:p w14:paraId="1BD45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3、接收方式:天线分集式接收</w:t>
            </w:r>
          </w:p>
          <w:p w14:paraId="0A8F2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4、载波频段:UHF530-690.000MHZ（单机固定频段范围）</w:t>
            </w:r>
          </w:p>
          <w:p w14:paraId="56193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5、单机频带宽度:50MHz</w:t>
            </w:r>
          </w:p>
          <w:p w14:paraId="1ED641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6、单机频道数量：≥2000个（提供国家权威机构出具的检测报告扫描件并加盖投标供应商公章，报告含“CMA”、“CNAS”、“ilac-MRA”认证）</w:t>
            </w:r>
          </w:p>
          <w:p w14:paraId="21CA6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7、★支持≥4个50欧姆TNC天线接口，其中≥2路支持环路输出，具备MIC/LINE信号切换输出开关，内置电源环出输出接口（提供产品实物接口图截图并加盖投标供应商公章）</w:t>
            </w:r>
          </w:p>
          <w:p w14:paraId="435F4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8、频率间隔：25KHz,音频灵敏度:-48±3dB,综合S/N比:&gt;100dB(A),综合T.H.D.:&lt;0.5%@1kHz,综合频率响应:70Hz-15kHz,最大声压级：109dBA@1KHz，THD1%</w:t>
            </w:r>
          </w:p>
        </w:tc>
        <w:tc>
          <w:tcPr>
            <w:tcW w:w="810" w:type="dxa"/>
            <w:noWrap/>
            <w:vAlign w:val="center"/>
          </w:tcPr>
          <w:p w14:paraId="507B0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6194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B91A4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2400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D400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0C3E7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一拖四无线会议麦克风（方管）</w:t>
            </w:r>
          </w:p>
        </w:tc>
        <w:tc>
          <w:tcPr>
            <w:tcW w:w="5421" w:type="dxa"/>
            <w:noWrap w:val="0"/>
            <w:vAlign w:val="center"/>
          </w:tcPr>
          <w:p w14:paraId="5FE80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载波频段：UHF615.000-694.170MHz</w:t>
            </w:r>
          </w:p>
          <w:p w14:paraId="25DB9A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单机频带宽度：80MHz</w:t>
            </w:r>
          </w:p>
          <w:p w14:paraId="0B807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单机频道数量：200个(B组）、48个（C组）</w:t>
            </w:r>
          </w:p>
          <w:p w14:paraId="20915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综合T.H.D.：&lt;1%@1kHz</w:t>
            </w:r>
          </w:p>
          <w:p w14:paraId="09F99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频率响应：65Hz-15kHz</w:t>
            </w:r>
          </w:p>
          <w:p w14:paraId="09AB13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接收机参数：</w:t>
            </w:r>
          </w:p>
          <w:p w14:paraId="2DF55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频率稳定度：±0.005%(-10°C-50°C)</w:t>
            </w:r>
          </w:p>
          <w:p w14:paraId="41F0C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最大频偏：±45KHz</w:t>
            </w:r>
          </w:p>
          <w:p w14:paraId="4746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射频灵敏度：1.2/uV@S/N=12dB</w:t>
            </w:r>
          </w:p>
          <w:p w14:paraId="6E1A8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接收方式：真分集，CPU控制选讯+导频识别接收</w:t>
            </w:r>
          </w:p>
          <w:p w14:paraId="66A63F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最大频偏：±45KHz</w:t>
            </w:r>
          </w:p>
          <w:p w14:paraId="7E04B9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供电方式：三节AA电池</w:t>
            </w:r>
          </w:p>
        </w:tc>
        <w:tc>
          <w:tcPr>
            <w:tcW w:w="810" w:type="dxa"/>
            <w:noWrap/>
            <w:vAlign w:val="center"/>
          </w:tcPr>
          <w:p w14:paraId="78A26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3F1D0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F1FEA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6DC8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DC90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3B31C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421" w:type="dxa"/>
            <w:noWrap w:val="0"/>
            <w:vAlign w:val="center"/>
          </w:tcPr>
          <w:p w14:paraId="76B9E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1、不少于8路可控电源（国标五孔插座）</w:t>
            </w:r>
          </w:p>
          <w:p w14:paraId="66F2B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2、单通道最大输出电流不小于10A；</w:t>
            </w:r>
          </w:p>
          <w:p w14:paraId="0C69D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3、额定总输出电源不小于25A；内置25A电源滤波器；总电源带空气开关；</w:t>
            </w:r>
          </w:p>
          <w:p w14:paraId="44B23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4、针对不同设备启动时间，每路电源开关时间支持不小于60秒设定</w:t>
            </w:r>
          </w:p>
          <w:p w14:paraId="7C6E0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5、前面板带市电电压显示</w:t>
            </w:r>
          </w:p>
          <w:p w14:paraId="5F092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6、不少于24组用户存储模式</w:t>
            </w:r>
          </w:p>
          <w:p w14:paraId="20C67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7、设备支持手动、PC、安卓移动端控制，</w:t>
            </w:r>
          </w:p>
          <w:p w14:paraId="356E1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8、控制接口不少于1路RS232、1路RJ45。</w:t>
            </w:r>
          </w:p>
          <w:p w14:paraId="09E49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9、设备支持物联网远程控制。</w:t>
            </w:r>
          </w:p>
        </w:tc>
        <w:tc>
          <w:tcPr>
            <w:tcW w:w="810" w:type="dxa"/>
            <w:noWrap/>
            <w:vAlign w:val="center"/>
          </w:tcPr>
          <w:p w14:paraId="17D50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D3AD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A8284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3865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FAA3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76364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5421" w:type="dxa"/>
            <w:noWrap w:val="0"/>
            <w:vAlign w:val="center"/>
          </w:tcPr>
          <w:p w14:paraId="0525F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1、具有HDMI输出接口≥1路、USB3.0接口≥1路，支持同时输出1080P60视频；</w:t>
            </w:r>
          </w:p>
          <w:p w14:paraId="41309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2、有效像素≥207万，视频分辨率支持1920*1080P60;</w:t>
            </w:r>
          </w:p>
          <w:p w14:paraId="327F9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3、支持广角镜头≥72.5°、光学变焦≥12倍，数字变焦≥16倍，水平视场角72.5°-6.9°；</w:t>
            </w:r>
          </w:p>
          <w:p w14:paraId="1B176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4、支持图像冻结功能和图像翻转功能；</w:t>
            </w:r>
          </w:p>
          <w:p w14:paraId="05DE6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5、支持UVC协议控制PTZ（云台、变焦）操作；</w:t>
            </w:r>
          </w:p>
          <w:p w14:paraId="784E5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6、内置麦克风，拾音距离长达6米，高灵敏度，低底噪；</w:t>
            </w:r>
          </w:p>
          <w:p w14:paraId="0F92E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7、支持RS232控制协议，对摄像机进行控制；</w:t>
            </w:r>
          </w:p>
          <w:p w14:paraId="424EB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8、输入电压DC12V、输入电流12V 1.5A，最大功耗12W。</w:t>
            </w:r>
          </w:p>
        </w:tc>
        <w:tc>
          <w:tcPr>
            <w:tcW w:w="810" w:type="dxa"/>
            <w:noWrap/>
            <w:vAlign w:val="center"/>
          </w:tcPr>
          <w:p w14:paraId="7D3CD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2369F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1F489D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4B98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7153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0B7C3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5421" w:type="dxa"/>
            <w:noWrap w:val="0"/>
            <w:vAlign w:val="center"/>
          </w:tcPr>
          <w:p w14:paraId="17A85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724B4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0BA7F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02058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68706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0DA08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810" w:type="dxa"/>
            <w:noWrap/>
            <w:vAlign w:val="center"/>
          </w:tcPr>
          <w:p w14:paraId="4C03A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8F00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382792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45A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6097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3A801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户内全彩LED屏</w:t>
            </w:r>
          </w:p>
        </w:tc>
        <w:tc>
          <w:tcPr>
            <w:tcW w:w="5421" w:type="dxa"/>
            <w:noWrap w:val="0"/>
            <w:vAlign w:val="center"/>
          </w:tcPr>
          <w:p w14:paraId="10CDBBE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1、像数间距：≤1.86mm；单元板尺寸：320mm* 160mm；显示屏尺寸：长3.2m*高1.6m</w:t>
            </w:r>
          </w:p>
          <w:p w14:paraId="3C6B941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2、投标产品具有整屏平整度≤0.05mm,单元平整度≤0.05mm；模组间拼缝≤0.2mm；刷新率≥3840Hz。</w:t>
            </w:r>
          </w:p>
          <w:p w14:paraId="0B57880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3、PCB 采用 FR-4材质，灯驱合一，电路采用多层设计，符合多层电路板沉金工艺设计，具有消隐，节能处理，EMC处理保证单模块的稳定性和抗氧化性</w:t>
            </w:r>
          </w:p>
          <w:p w14:paraId="073745D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4、表面处理:可支持灯板表面进行AOB处理，有致密性纳米涂层，有效隔绝水汽，对灯珠形成有效防护，可支持喷墨工艺，且低反射率的 LED 灯板</w:t>
            </w:r>
          </w:p>
          <w:p w14:paraId="2CCCE3B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5、色彩:16Bit,281万亿色，色域覆盖率100%,NTSC色域覆盖率≥120%上，YLV（PAL)色域覆盖率≥170%，支持BT.2020,DCI.P3,BT.709,sRGB等多种色域转换</w:t>
            </w:r>
          </w:p>
          <w:p w14:paraId="0D28321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6、亮度与视角关系：中央亮度为100cd/㎡白场时，水平视角80°时亮度衰减率≤10%,垂直视角60°时亮度衰减率≤10%</w:t>
            </w:r>
          </w:p>
          <w:p w14:paraId="066C387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7、噪声：前、后、左、右噪声均不超过2.0dB</w:t>
            </w:r>
          </w:p>
          <w:p w14:paraId="77E7CCC1">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8、峰值功耗：≤610w/㎡；典型功耗：≤310w/㎡；供电电压≤DC4.2～5V；电流增益调节级别≥7位</w:t>
            </w:r>
          </w:p>
        </w:tc>
        <w:tc>
          <w:tcPr>
            <w:tcW w:w="810" w:type="dxa"/>
            <w:noWrap/>
            <w:vAlign w:val="center"/>
          </w:tcPr>
          <w:p w14:paraId="568A6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C7E3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51C1F0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7FED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1C95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03EA0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全彩电源</w:t>
            </w:r>
          </w:p>
        </w:tc>
        <w:tc>
          <w:tcPr>
            <w:tcW w:w="5421" w:type="dxa"/>
            <w:noWrap w:val="0"/>
            <w:vAlign w:val="center"/>
          </w:tcPr>
          <w:p w14:paraId="59587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810" w:type="dxa"/>
            <w:noWrap/>
            <w:vAlign w:val="center"/>
          </w:tcPr>
          <w:p w14:paraId="28ABE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18D62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093155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0AE1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E3D8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75EFC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接收卡</w:t>
            </w:r>
          </w:p>
        </w:tc>
        <w:tc>
          <w:tcPr>
            <w:tcW w:w="5421" w:type="dxa"/>
            <w:noWrap w:val="0"/>
            <w:vAlign w:val="center"/>
          </w:tcPr>
          <w:p w14:paraId="32A38FC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1.支持逐点亮色度校正，可以对每个灯点的亮度和色度进项校正，有效消除色差，使整屏的亮度和速度达到高度均匀一致，提高显示屏的画质。</w:t>
            </w:r>
          </w:p>
          <w:p w14:paraId="6B1BBA0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2.投标时提供一种接收卡的实用新型证书</w:t>
            </w:r>
          </w:p>
          <w:p w14:paraId="2971DC1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3.支持5pin液晶模块，用于显示接收卡的温度、电压、单次运行时间和总运行时间。</w:t>
            </w:r>
          </w:p>
          <w:p w14:paraId="5AA4601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4.支持千兆网，可通过网线直接连接到PC端进行调试和显示，无需发送卡。</w:t>
            </w:r>
          </w:p>
          <w:p w14:paraId="3777B3B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5.支持各种PWM芯片、逐点检测芯片及通用芯片；支持任意抽点，实现各种异形屏拼接。</w:t>
            </w:r>
          </w:p>
          <w:p w14:paraId="640982B1">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6.支持色彩变换技术，使人脸肤色更真实；支持任意倍增技术，手机拍摄无扫描线。</w:t>
            </w:r>
          </w:p>
          <w:p w14:paraId="09477D9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7.为保证产品的稳定性及可靠性，需在检验环境温度21℃-26摄氏度，湿度（%RH）:62-71,大气压力（kPa）：100.2-101.8</w:t>
            </w:r>
          </w:p>
          <w:p w14:paraId="30CDA94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8.设备在正常工作条件下，连续工作168h，不应出现电、机械或操作系统的故障。</w:t>
            </w:r>
          </w:p>
          <w:p w14:paraId="522FB06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9.产品放入60℃±2℃，90%RH±3%RH环境中，通电连续工作48小时，试验过程中能正常工作，外观无明显变形，损伤。</w:t>
            </w:r>
          </w:p>
          <w:p w14:paraId="5B8566C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10.为保证系统的兼容性及稳定性控制系统需与LED显示屏为同一品牌，投标时提供证明文件</w:t>
            </w:r>
          </w:p>
        </w:tc>
        <w:tc>
          <w:tcPr>
            <w:tcW w:w="810" w:type="dxa"/>
            <w:noWrap/>
            <w:vAlign w:val="center"/>
          </w:tcPr>
          <w:p w14:paraId="68F45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DE99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4B8137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5F14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6E4A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29371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421" w:type="dxa"/>
            <w:noWrap w:val="0"/>
            <w:vAlign w:val="center"/>
          </w:tcPr>
          <w:p w14:paraId="5191F36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1、输入接口：支持1路DVI、1路HDMI，1路VGA,1路USB播放，1路CVBS</w:t>
            </w:r>
          </w:p>
          <w:p w14:paraId="04AB291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lang w:eastAsia="zh-CN"/>
              </w:rPr>
            </w:pPr>
            <w:r>
              <w:rPr>
                <w:rFonts w:hint="eastAsia" w:ascii="宋体" w:hAnsi="宋体" w:eastAsia="宋体" w:cs="宋体"/>
                <w:color w:val="auto"/>
                <w:sz w:val="18"/>
                <w:szCs w:val="18"/>
                <w:highlight w:val="none"/>
                <w:u w:val="none"/>
              </w:rPr>
              <w:t>2、带载能力：支持4路千兆网口输出，</w:t>
            </w:r>
            <w:r>
              <w:rPr>
                <w:rFonts w:hint="eastAsia" w:ascii="宋体" w:hAnsi="宋体" w:eastAsia="宋体" w:cs="宋体"/>
                <w:color w:val="auto"/>
                <w:sz w:val="18"/>
                <w:szCs w:val="18"/>
                <w:highlight w:val="none"/>
                <w:u w:val="none"/>
                <w:lang w:eastAsia="zh-CN"/>
              </w:rPr>
              <w:t>带载能力 ≥130万像素点</w:t>
            </w:r>
          </w:p>
          <w:p w14:paraId="36C5479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3.无需电脑，支持通过设备旋转按钮快捷配屏和高级配屏功能点亮屏体，简单操作即可完成屏体配置。</w:t>
            </w:r>
          </w:p>
          <w:p w14:paraId="42299D9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4.支持设备默认开启自动信源搜索功能。</w:t>
            </w:r>
          </w:p>
          <w:p w14:paraId="441C922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5.为增强产品实用性，设备需通过面板数字按键，可快速准确定义窗口大小位置等坐标信息。</w:t>
            </w:r>
          </w:p>
          <w:p w14:paraId="57A98A0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6.支持屏体参数调整，例如亮度、Gamma等。</w:t>
            </w:r>
          </w:p>
          <w:p w14:paraId="0F099C2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7.为保证系统的兼容性和稳定性，发送卡和视频处理器为二合一产品。</w:t>
            </w:r>
          </w:p>
          <w:p w14:paraId="6D36C84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8.无需电脑，FREEZE画面冻结按键可以快捷冻结画面。</w:t>
            </w:r>
          </w:p>
        </w:tc>
        <w:tc>
          <w:tcPr>
            <w:tcW w:w="810" w:type="dxa"/>
            <w:noWrap/>
            <w:vAlign w:val="center"/>
          </w:tcPr>
          <w:p w14:paraId="0CF26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253F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3A5A64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645C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auto" w:fill="B8CCE4"/>
            <w:noWrap w:val="0"/>
            <w:vAlign w:val="center"/>
          </w:tcPr>
          <w:p w14:paraId="50C8A9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四、小会议室606部分</w:t>
            </w:r>
          </w:p>
        </w:tc>
        <w:tc>
          <w:tcPr>
            <w:tcW w:w="756" w:type="dxa"/>
            <w:shd w:val="clear" w:color="auto" w:fill="B8CCE4"/>
            <w:noWrap w:val="0"/>
            <w:vAlign w:val="center"/>
          </w:tcPr>
          <w:p w14:paraId="6AEA00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lang w:val="en-US" w:eastAsia="zh-CN"/>
              </w:rPr>
            </w:pPr>
          </w:p>
        </w:tc>
      </w:tr>
      <w:tr w14:paraId="61FE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D912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3A1A4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会议大屏</w:t>
            </w:r>
          </w:p>
        </w:tc>
        <w:tc>
          <w:tcPr>
            <w:tcW w:w="5421" w:type="dxa"/>
            <w:noWrap w:val="0"/>
            <w:vAlign w:val="top"/>
          </w:tcPr>
          <w:p w14:paraId="14EF6F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显示尺寸：86 寸 LED背光源</w:t>
            </w:r>
          </w:p>
          <w:p w14:paraId="5691A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分辨率：3840 × 2160 @60 Hz</w:t>
            </w:r>
          </w:p>
          <w:p w14:paraId="016B5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显示比例：16:9</w:t>
            </w:r>
          </w:p>
          <w:p w14:paraId="2CB59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亮度：400 cd/m²</w:t>
            </w:r>
          </w:p>
          <w:p w14:paraId="09B6E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对比度：1200：1</w:t>
            </w:r>
          </w:p>
          <w:p w14:paraId="62744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响应时间：8 ms</w:t>
            </w:r>
          </w:p>
          <w:p w14:paraId="28691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可视角度：水平178°，垂直178°</w:t>
            </w:r>
          </w:p>
          <w:p w14:paraId="5C8F5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接口：HDMI IN*2路（最大支持4K@30Hz），HDMI OUT*1路（最大支持4K@60Hz），VGA IN*1路（最大支持1080P@60Hz ），AUDIO IN*2路，AUDIO OUT*2路，USB接口*2个前置接口，USB*2个板载接口，RJ45(百兆网口)*2个 </w:t>
            </w:r>
          </w:p>
          <w:p w14:paraId="6D91C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内置系统：CPU 4核Cortex-A53，主频1.5 GHz，2 GB内存，内置百兆网卡，支持路由功能，2个内置16 W音箱，解码能力：支持H.265/H.264， 支持一路4K@60，操作系统：Android5.0</w:t>
            </w:r>
          </w:p>
          <w:p w14:paraId="11E112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电源：AC 100 V～240 V，50/60 Hz</w:t>
            </w:r>
          </w:p>
          <w:p w14:paraId="6B49B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功耗：满载 ＜ 600 W</w:t>
            </w:r>
          </w:p>
        </w:tc>
        <w:tc>
          <w:tcPr>
            <w:tcW w:w="810" w:type="dxa"/>
            <w:noWrap/>
            <w:vAlign w:val="center"/>
          </w:tcPr>
          <w:p w14:paraId="7D5B1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82B0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4DE0B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235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DA2C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6755D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投屏器</w:t>
            </w:r>
          </w:p>
        </w:tc>
        <w:tc>
          <w:tcPr>
            <w:tcW w:w="5421" w:type="dxa"/>
            <w:noWrap w:val="0"/>
            <w:vAlign w:val="center"/>
          </w:tcPr>
          <w:p w14:paraId="6D0AAB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接口：USB接口即插即用</w:t>
            </w:r>
          </w:p>
          <w:p w14:paraId="222F0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支持系统： Windows XP/7/8/10 , IOS 8.0以上</w:t>
            </w:r>
          </w:p>
          <w:p w14:paraId="12BAE9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分辨率：1080P 30fps</w:t>
            </w:r>
          </w:p>
          <w:p w14:paraId="38E11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传输延时：&lt; 200 ms</w:t>
            </w:r>
          </w:p>
        </w:tc>
        <w:tc>
          <w:tcPr>
            <w:tcW w:w="810" w:type="dxa"/>
            <w:noWrap/>
            <w:vAlign w:val="center"/>
          </w:tcPr>
          <w:p w14:paraId="52790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680C2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1A040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0C3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0A60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16C8D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支架</w:t>
            </w:r>
          </w:p>
        </w:tc>
        <w:tc>
          <w:tcPr>
            <w:tcW w:w="5421" w:type="dxa"/>
            <w:noWrap w:val="0"/>
            <w:vAlign w:val="center"/>
          </w:tcPr>
          <w:p w14:paraId="452ED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1、适用于各种类型办公室、会议室、多媒体教室、教育培训、商务会展、展馆展厅、医疗会诊，以及远程视频会议等多重场景需求。</w:t>
            </w:r>
          </w:p>
          <w:p w14:paraId="525E8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2、≥载荷承重：135 kg ;</w:t>
            </w:r>
          </w:p>
          <w:p w14:paraId="01FC1A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3、外壳材料：SPCC优质钢板</w:t>
            </w:r>
          </w:p>
        </w:tc>
        <w:tc>
          <w:tcPr>
            <w:tcW w:w="810" w:type="dxa"/>
            <w:noWrap/>
            <w:vAlign w:val="center"/>
          </w:tcPr>
          <w:p w14:paraId="3EAF5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4A464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1DDD7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11F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529C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603FF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全向麦克风</w:t>
            </w:r>
          </w:p>
        </w:tc>
        <w:tc>
          <w:tcPr>
            <w:tcW w:w="5421" w:type="dxa"/>
            <w:noWrap w:val="0"/>
            <w:vAlign w:val="center"/>
          </w:tcPr>
          <w:p w14:paraId="794F1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7C54D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5052B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0E3E3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6A3CC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06C29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810" w:type="dxa"/>
            <w:noWrap/>
            <w:vAlign w:val="center"/>
          </w:tcPr>
          <w:p w14:paraId="3678A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32F01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6F01D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AF5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000000" w:fill="DDEBF7"/>
            <w:noWrap w:val="0"/>
            <w:vAlign w:val="center"/>
          </w:tcPr>
          <w:p w14:paraId="5D1B5277">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五、</w:t>
            </w:r>
            <w:r>
              <w:rPr>
                <w:rFonts w:hint="eastAsia" w:ascii="宋体" w:hAnsi="宋体" w:eastAsia="宋体" w:cs="宋体"/>
                <w:b/>
                <w:bCs/>
                <w:color w:val="auto"/>
                <w:sz w:val="18"/>
                <w:szCs w:val="18"/>
                <w:highlight w:val="none"/>
                <w:u w:val="none"/>
              </w:rPr>
              <w:t>6楼路演大厅</w:t>
            </w:r>
            <w:r>
              <w:rPr>
                <w:rFonts w:hint="eastAsia" w:ascii="宋体" w:hAnsi="宋体" w:eastAsia="宋体" w:cs="宋体"/>
                <w:b/>
                <w:bCs/>
                <w:color w:val="auto"/>
                <w:sz w:val="18"/>
                <w:szCs w:val="18"/>
                <w:highlight w:val="none"/>
                <w:u w:val="none"/>
                <w:lang w:val="en-US" w:eastAsia="zh-CN"/>
              </w:rPr>
              <w:t>部分</w:t>
            </w:r>
          </w:p>
        </w:tc>
        <w:tc>
          <w:tcPr>
            <w:tcW w:w="756" w:type="dxa"/>
            <w:shd w:val="clear" w:color="000000" w:fill="DDEBF7"/>
            <w:noWrap w:val="0"/>
            <w:vAlign w:val="center"/>
          </w:tcPr>
          <w:p w14:paraId="7BB7F70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p>
        </w:tc>
      </w:tr>
      <w:tr w14:paraId="798E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AE97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7437B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主音箱</w:t>
            </w:r>
          </w:p>
        </w:tc>
        <w:tc>
          <w:tcPr>
            <w:tcW w:w="5421" w:type="dxa"/>
            <w:noWrap w:val="0"/>
            <w:vAlign w:val="center"/>
          </w:tcPr>
          <w:p w14:paraId="605098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1、不小于1×15"低频驱动单元；</w:t>
            </w:r>
          </w:p>
          <w:p w14:paraId="6BAF7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2、不小于1×1.75"高频驱动单元</w:t>
            </w:r>
          </w:p>
          <w:p w14:paraId="6EBEA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3、额定功率不小于400W/8Ω</w:t>
            </w:r>
          </w:p>
          <w:p w14:paraId="21E47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4、特性灵敏度不小于99dB/1w/1m（有效频响范围平均）</w:t>
            </w:r>
          </w:p>
          <w:p w14:paraId="4FED5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5、输出声压级不小于132dB</w:t>
            </w:r>
          </w:p>
          <w:p w14:paraId="191A3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6、额定频率范围（-10dB）:45～20KHz</w:t>
            </w:r>
          </w:p>
          <w:p w14:paraId="16DDC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7、覆盖角度(H×V)：90°×60°</w:t>
            </w:r>
          </w:p>
          <w:p w14:paraId="7AB7B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8、可旋转高音号筒/号角设计。</w:t>
            </w:r>
          </w:p>
          <w:p w14:paraId="0F582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9、★为有效保障扬声器的使用安全，扬声器需具备相关电子保护装置（提供具有检测资质机构出具检测报告或者提供国家权威检测机构所颁发的相关技术证明文件加盖投标供应商公章，内容涵盖技术要求）</w:t>
            </w:r>
          </w:p>
        </w:tc>
        <w:tc>
          <w:tcPr>
            <w:tcW w:w="810" w:type="dxa"/>
            <w:noWrap/>
            <w:vAlign w:val="center"/>
          </w:tcPr>
          <w:p w14:paraId="6334DD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17698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240C0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FBF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1692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26C69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反听音箱</w:t>
            </w:r>
          </w:p>
        </w:tc>
        <w:tc>
          <w:tcPr>
            <w:tcW w:w="5421" w:type="dxa"/>
            <w:noWrap w:val="0"/>
            <w:vAlign w:val="center"/>
          </w:tcPr>
          <w:p w14:paraId="3384B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1、不小于1×12"低频驱动单元；</w:t>
            </w:r>
          </w:p>
          <w:p w14:paraId="20148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2、不小于1×1.75"高频驱动单元</w:t>
            </w:r>
          </w:p>
          <w:p w14:paraId="636AE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3、额定功率不小于250W/8Ω</w:t>
            </w:r>
          </w:p>
          <w:p w14:paraId="5D5AF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4、特性灵敏度不小于98dB/1w/1m（有效频响范围平均）</w:t>
            </w:r>
          </w:p>
          <w:p w14:paraId="28B59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5、输出声压级不小于130dB</w:t>
            </w:r>
          </w:p>
          <w:p w14:paraId="169EC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6、额定频率范围（-10dB）:50～20KHz</w:t>
            </w:r>
          </w:p>
          <w:p w14:paraId="19148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7、覆盖角度(H×V)：90°×60°</w:t>
            </w:r>
          </w:p>
          <w:p w14:paraId="23519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8、可旋转高音号筒/号角设计。</w:t>
            </w:r>
          </w:p>
        </w:tc>
        <w:tc>
          <w:tcPr>
            <w:tcW w:w="810" w:type="dxa"/>
            <w:noWrap/>
            <w:vAlign w:val="center"/>
          </w:tcPr>
          <w:p w14:paraId="14A53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20897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038DF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331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BDF9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04ABA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辅助音箱</w:t>
            </w:r>
          </w:p>
        </w:tc>
        <w:tc>
          <w:tcPr>
            <w:tcW w:w="5421" w:type="dxa"/>
            <w:noWrap w:val="0"/>
            <w:vAlign w:val="center"/>
          </w:tcPr>
          <w:p w14:paraId="6E13E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1、不小于1×10"低频驱动单元；</w:t>
            </w:r>
          </w:p>
          <w:p w14:paraId="68935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2、不小于1×1.35"高频驱动单元</w:t>
            </w:r>
          </w:p>
          <w:p w14:paraId="42817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3、额定功率不小于250W/8Ω</w:t>
            </w:r>
          </w:p>
          <w:p w14:paraId="0781D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4、特性灵敏度不小于97dB/1w/1m（有效频响范围平均）</w:t>
            </w:r>
          </w:p>
          <w:p w14:paraId="0D6F9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5、输出声压级不小于127dB</w:t>
            </w:r>
          </w:p>
          <w:p w14:paraId="4BC49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6、额定频率范围（-10dB）:55～20KHz</w:t>
            </w:r>
          </w:p>
          <w:p w14:paraId="59B71D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7、覆盖角度(H×V)：90°×60°</w:t>
            </w:r>
          </w:p>
          <w:p w14:paraId="52565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8、可旋转高音号筒/号角设计。</w:t>
            </w:r>
          </w:p>
          <w:p w14:paraId="2C90C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9、以上参数第3、4、6、7项应出具内容相符合第三方检测报告，报告出具机构符合CMA/CNAS认可</w:t>
            </w:r>
          </w:p>
          <w:p w14:paraId="6DCFB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10、为保证项目质量、技术性能真实性，参数第4项应出具内容相符合的KLIPPEL、CLIO、LMS、B&amp;K或同类型声学开发测量软件在全消声室或半自由声场内的特性灵敏度频率响应曲线图。</w:t>
            </w:r>
          </w:p>
        </w:tc>
        <w:tc>
          <w:tcPr>
            <w:tcW w:w="810" w:type="dxa"/>
            <w:noWrap/>
            <w:vAlign w:val="center"/>
          </w:tcPr>
          <w:p w14:paraId="2E573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40F64F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72C5C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52E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E4CA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6BE4B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超低音音箱</w:t>
            </w:r>
          </w:p>
        </w:tc>
        <w:tc>
          <w:tcPr>
            <w:tcW w:w="5421" w:type="dxa"/>
            <w:noWrap w:val="0"/>
            <w:vAlign w:val="center"/>
          </w:tcPr>
          <w:p w14:paraId="09A60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1、不小于1×18"低频驱动单元；</w:t>
            </w:r>
          </w:p>
          <w:p w14:paraId="63CF7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2、额定功率不小于600W/8Ω</w:t>
            </w:r>
          </w:p>
          <w:p w14:paraId="6C8B5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3、特性灵敏度不小于98dB/1w/1m（有效频响范围平均）</w:t>
            </w:r>
          </w:p>
          <w:p w14:paraId="30314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4、输出声压级不小于131dB</w:t>
            </w:r>
          </w:p>
          <w:p w14:paraId="170C0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5、额定频率范围（-10dB）:35～500Hz</w:t>
            </w:r>
          </w:p>
        </w:tc>
        <w:tc>
          <w:tcPr>
            <w:tcW w:w="810" w:type="dxa"/>
            <w:noWrap/>
            <w:vAlign w:val="center"/>
          </w:tcPr>
          <w:p w14:paraId="1E002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0AB04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15C47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3E3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9C03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72C59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5421" w:type="dxa"/>
            <w:noWrap w:val="0"/>
            <w:vAlign w:val="center"/>
          </w:tcPr>
          <w:p w14:paraId="2764A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1、功放类型：D类或TD类，电源工作范围：AC 100-240V 50Hz</w:t>
            </w:r>
          </w:p>
          <w:p w14:paraId="789CEB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2、安全性保护功能：具备放大器短路保护装置功能</w:t>
            </w:r>
          </w:p>
          <w:p w14:paraId="1BD01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3、COMBO XLR平衡输入端口（兼容6.35插口）和快装式输出端口。</w:t>
            </w:r>
          </w:p>
          <w:p w14:paraId="3EDED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4、可变风冷散热系统，内置自动压限器</w:t>
            </w:r>
          </w:p>
          <w:p w14:paraId="44E69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5、额定功率：≥2×900W/8Ω，≥2×1350W/4Ω，≥1×2700W/8Ω；</w:t>
            </w:r>
          </w:p>
          <w:p w14:paraId="56FB7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6、频率响应：20Hz～20kHz (±1dB)；</w:t>
            </w:r>
          </w:p>
          <w:p w14:paraId="6507C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7、输入灵敏度：0.775V/1V/1.4V；</w:t>
            </w:r>
          </w:p>
        </w:tc>
        <w:tc>
          <w:tcPr>
            <w:tcW w:w="810" w:type="dxa"/>
            <w:noWrap/>
            <w:vAlign w:val="center"/>
          </w:tcPr>
          <w:p w14:paraId="3514C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21584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34D6D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601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B581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668B1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主功放</w:t>
            </w:r>
          </w:p>
        </w:tc>
        <w:tc>
          <w:tcPr>
            <w:tcW w:w="5421" w:type="dxa"/>
            <w:noWrap w:val="0"/>
            <w:vAlign w:val="center"/>
          </w:tcPr>
          <w:p w14:paraId="62E6F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1、90VAC～260VAC宽电压适应范围；</w:t>
            </w:r>
          </w:p>
          <w:p w14:paraId="403D9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2、具备一块≥2寸TFT液晶显示屏，能够实时监控输出电压、电流、温度、保护状态；</w:t>
            </w:r>
          </w:p>
          <w:p w14:paraId="42991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每通道输入延时10ms，输出延时≥7ms，步进≥0.01ms，支持修改设备号（修改IP地址）；（提供国家权威机构出具的电子检测机构出具的检测报告，检测机构须通过“CMA”、“CNAS”、“ilac-MRA”认证资格并加盖章印；注：检测报告需对应投标产品参数，提供原件扫描件。）</w:t>
            </w:r>
          </w:p>
          <w:p w14:paraId="02A0F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4、支持≥2x2音频路由混音，混音比例-80dB～+18dB；</w:t>
            </w:r>
          </w:p>
          <w:p w14:paraId="6D20A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5、★每通道支持≥15段参量均衡调节，支持增益调节、支持延时调节，支持相位调节，支持压限调节（提供产品实物功能软件截图佐证加盖投标供应商公章）</w:t>
            </w:r>
          </w:p>
          <w:p w14:paraId="6F4B5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6、支持机器间参数保存/调取；</w:t>
            </w:r>
          </w:p>
          <w:p w14:paraId="509D2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7、支持完善的预设管理(DSP内部有16个场景存储组)；</w:t>
            </w:r>
          </w:p>
          <w:p w14:paraId="681AB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8、支持一键恢复出厂设置； </w:t>
            </w:r>
          </w:p>
          <w:p w14:paraId="31083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9、可将数据保存至电脑和从电脑中恢复至设备；</w:t>
            </w:r>
          </w:p>
          <w:p w14:paraId="17EA8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10、额定功率：≥2×400W/8Ω，≥2×600W/4Ω，≥1×1200W/8Ω桥接；</w:t>
            </w:r>
          </w:p>
          <w:p w14:paraId="20934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11、频率响应(±1dB)：≥20Hz～20KHz；</w:t>
            </w:r>
          </w:p>
          <w:p w14:paraId="3DE57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12、RMS输出电压：56.6V(THD=1%，1kHz)；</w:t>
            </w:r>
          </w:p>
          <w:p w14:paraId="443A0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13、信噪比：≥105dB (A计权, 1kHz, 噪声门开)；</w:t>
            </w:r>
          </w:p>
          <w:p w14:paraId="61D12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14、输入灵敏度：0.9Vrms±10%(额定输出功率，1kHz)；</w:t>
            </w:r>
          </w:p>
          <w:p w14:paraId="5E5BA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15、总谐波失真：＜0.1%(10%额定输出功率，典型值) ；</w:t>
            </w:r>
          </w:p>
          <w:p w14:paraId="11DF6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16、声道分离度：≥85dB(低于额定功率，1kHz)；</w:t>
            </w:r>
          </w:p>
          <w:p w14:paraId="0F7DA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17、输入阻抗：≥20kΩ（平衡），≥10kΩ（非平衡）</w:t>
            </w:r>
          </w:p>
          <w:p w14:paraId="4930FC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18、阻尼系数：≥500 (8Ω, 20-200Hz)</w:t>
            </w:r>
          </w:p>
          <w:p w14:paraId="5E5DBC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19、安全性保护功能：为有效保障设备使用安全，功放需具备放大器过载保护装置功能并提供国家权威机构所颁发的证明文件加盖投标供应商公章；</w:t>
            </w:r>
          </w:p>
        </w:tc>
        <w:tc>
          <w:tcPr>
            <w:tcW w:w="810" w:type="dxa"/>
            <w:noWrap/>
            <w:vAlign w:val="center"/>
          </w:tcPr>
          <w:p w14:paraId="68F4E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3FE3C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30416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403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939B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04C60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调音台</w:t>
            </w:r>
          </w:p>
        </w:tc>
        <w:tc>
          <w:tcPr>
            <w:tcW w:w="5421" w:type="dxa"/>
            <w:noWrap w:val="0"/>
            <w:vAlign w:val="center"/>
          </w:tcPr>
          <w:p w14:paraId="35134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1、不少于8路MIC/LINE（COMBO XLR接口），不少于2组立体声输入（XLR接口），不少于1组立体声RCA输入，不少于1组返回输入（2路 6.35接口）不少于1路USB输入；</w:t>
            </w:r>
          </w:p>
          <w:p w14:paraId="453CC8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2、不少于8路插入点（6.35接口）</w:t>
            </w:r>
          </w:p>
          <w:p w14:paraId="0AB1F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3、不少于两组立体声输出，不少于2路编组输出，不少于2路辅助输出，不少于1路立体声监听输出，不少于1路立体声耳机输出，不少于1组立体声录音输出；</w:t>
            </w:r>
          </w:p>
          <w:p w14:paraId="63C3A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4、效果可以发送至辅助输出，编组输出与立体声输出；</w:t>
            </w:r>
          </w:p>
          <w:p w14:paraId="0BEF2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5、多媒体输入可以发送至辅助输出、编组输出与立体声输出；</w:t>
            </w:r>
          </w:p>
          <w:p w14:paraId="4247C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6、每路话放带低切功能；</w:t>
            </w:r>
          </w:p>
          <w:p w14:paraId="439184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7、不少于两路输入内置反馈抑制功能；</w:t>
            </w:r>
          </w:p>
          <w:p w14:paraId="1C90E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8、支持蓝牙接收功能；</w:t>
            </w:r>
          </w:p>
        </w:tc>
        <w:tc>
          <w:tcPr>
            <w:tcW w:w="810" w:type="dxa"/>
            <w:noWrap/>
            <w:vAlign w:val="center"/>
          </w:tcPr>
          <w:p w14:paraId="6904C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1B3D0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03CE6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745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C7FF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593AB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音频处理器</w:t>
            </w:r>
          </w:p>
        </w:tc>
        <w:tc>
          <w:tcPr>
            <w:tcW w:w="5421" w:type="dxa"/>
            <w:noWrap w:val="0"/>
            <w:vAlign w:val="center"/>
          </w:tcPr>
          <w:p w14:paraId="3466C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音频处理器</w:t>
            </w:r>
            <w:r>
              <w:rPr>
                <w:rFonts w:hint="eastAsia" w:ascii="宋体" w:hAnsi="宋体" w:eastAsia="宋体" w:cs="宋体"/>
                <w:i w:val="0"/>
                <w:iCs w:val="0"/>
                <w:color w:val="auto"/>
                <w:kern w:val="0"/>
                <w:sz w:val="18"/>
                <w:szCs w:val="18"/>
                <w:highlight w:val="none"/>
                <w:u w:val="none"/>
                <w:shd w:val="clear" w:color="auto" w:fill="auto"/>
                <w:lang w:val="en-US" w:eastAsia="zh-CN" w:bidi="ar"/>
              </w:rPr>
              <w:tab/>
            </w:r>
            <w:r>
              <w:rPr>
                <w:rFonts w:hint="eastAsia" w:ascii="宋体" w:hAnsi="宋体" w:eastAsia="宋体" w:cs="宋体"/>
                <w:i w:val="0"/>
                <w:iCs w:val="0"/>
                <w:color w:val="auto"/>
                <w:kern w:val="0"/>
                <w:sz w:val="18"/>
                <w:szCs w:val="18"/>
                <w:highlight w:val="none"/>
                <w:u w:val="none"/>
                <w:shd w:val="clear" w:color="auto" w:fill="auto"/>
                <w:lang w:val="en-US" w:eastAsia="zh-CN" w:bidi="ar"/>
              </w:rPr>
              <w:t>1、不少于3进6出自由路由分配</w:t>
            </w:r>
          </w:p>
          <w:p w14:paraId="280D4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2、DSP采样率：48KHz；量化深度：24bit;</w:t>
            </w:r>
          </w:p>
          <w:p w14:paraId="43506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3、静音调节；增益调节：-80dB至+12dB</w:t>
            </w:r>
          </w:p>
          <w:p w14:paraId="1A45E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4、延时调节：0ms-1200ms</w:t>
            </w:r>
          </w:p>
          <w:p w14:paraId="09378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5、支持中控管理。</w:t>
            </w:r>
          </w:p>
          <w:p w14:paraId="01E572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6、设置实时温度（影响声速从而影响延时的距离）</w:t>
            </w:r>
          </w:p>
          <w:p w14:paraId="18DB8F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7、设备具有参数锁且可设置密码</w:t>
            </w:r>
          </w:p>
          <w:p w14:paraId="2708C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8、主界面显示两个通道的实时温度以及静音状态（提供界面显示功能截图）</w:t>
            </w:r>
          </w:p>
        </w:tc>
        <w:tc>
          <w:tcPr>
            <w:tcW w:w="810" w:type="dxa"/>
            <w:noWrap/>
            <w:vAlign w:val="center"/>
          </w:tcPr>
          <w:p w14:paraId="1FB3A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2B35A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7A3FC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D6D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1873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6F39E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5421" w:type="dxa"/>
            <w:noWrap w:val="0"/>
            <w:vAlign w:val="center"/>
          </w:tcPr>
          <w:p w14:paraId="2DC84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1、它采用回音抵消和消除混响的算法，有效滤除房间混响，从而实现消除声学反馈的目的。</w:t>
            </w:r>
          </w:p>
          <w:p w14:paraId="7A50C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2、任何使用情况下都可获得6dB的增益最高达12dB</w:t>
            </w:r>
          </w:p>
          <w:p w14:paraId="2B2DE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3、不少于十路卡侬口输入,每路麦克风独立幻像48V开关（提供产品实物功能接口图并加盖投标供应商公章）</w:t>
            </w:r>
          </w:p>
          <w:p w14:paraId="26AFE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4、前置麦克风输出总音量调节</w:t>
            </w:r>
          </w:p>
          <w:p w14:paraId="622FA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5、每路麦克风独立增益调节</w:t>
            </w:r>
          </w:p>
          <w:p w14:paraId="347F4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6、MUSIC输入RCA口、AUX输入RCA口、AUX输出RCA口、独具录播音频RCA输出口、输入灵敏度-32dB～-56dB、两路OUTPUT音频输出、OUTPUT输出音调前置调节</w:t>
            </w:r>
          </w:p>
        </w:tc>
        <w:tc>
          <w:tcPr>
            <w:tcW w:w="810" w:type="dxa"/>
            <w:noWrap/>
            <w:vAlign w:val="center"/>
          </w:tcPr>
          <w:p w14:paraId="3CDC4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5241B8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2097F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0AC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67E8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52A3D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一拖四无线会议麦克风（方管）</w:t>
            </w:r>
          </w:p>
        </w:tc>
        <w:tc>
          <w:tcPr>
            <w:tcW w:w="5421" w:type="dxa"/>
            <w:noWrap w:val="0"/>
            <w:vAlign w:val="center"/>
          </w:tcPr>
          <w:p w14:paraId="039BA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采用金属机箱结构设计、结构优化、具有很好的散热、隔离谐波干扰等效果；</w:t>
            </w:r>
          </w:p>
          <w:p w14:paraId="21952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综合技术参数：</w:t>
            </w:r>
          </w:p>
          <w:p w14:paraId="0258F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载波频段：UHF615.000-694.170MHz</w:t>
            </w:r>
          </w:p>
          <w:p w14:paraId="2F475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单机频带宽度：80MHz</w:t>
            </w:r>
          </w:p>
          <w:p w14:paraId="589BDF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单机频道数量：200个(B组）、48个（C组）</w:t>
            </w:r>
          </w:p>
          <w:p w14:paraId="341D8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综合T.H.D.：&lt;1%@1kHz</w:t>
            </w:r>
          </w:p>
          <w:p w14:paraId="45948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频率响应：65Hz-15kHz</w:t>
            </w:r>
          </w:p>
          <w:p w14:paraId="6609BD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电源供应：DC 12V</w:t>
            </w:r>
          </w:p>
          <w:p w14:paraId="5B460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供电方式：三节AA电池</w:t>
            </w:r>
          </w:p>
        </w:tc>
        <w:tc>
          <w:tcPr>
            <w:tcW w:w="810" w:type="dxa"/>
            <w:noWrap/>
            <w:vAlign w:val="center"/>
          </w:tcPr>
          <w:p w14:paraId="5B3FA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2ADC6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0E8E5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B62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30AE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105BE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421" w:type="dxa"/>
            <w:noWrap w:val="0"/>
            <w:vAlign w:val="center"/>
          </w:tcPr>
          <w:p w14:paraId="7B265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1、前面板LED电源电压指示；总电源独立空气开关控制，带过流、漏电保护；</w:t>
            </w:r>
          </w:p>
          <w:p w14:paraId="482C51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2、支持RS232串口控制、短路控制、级联控制、远程控制；</w:t>
            </w:r>
          </w:p>
          <w:p w14:paraId="0734C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3、每路交流输出电源带独立控制按键和LED指示灯</w:t>
            </w:r>
          </w:p>
          <w:p w14:paraId="756AA2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4、电源总功率不小于80A；</w:t>
            </w:r>
          </w:p>
          <w:p w14:paraId="04E164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5、电源电压显示精度不低于±2%；</w:t>
            </w:r>
          </w:p>
          <w:p w14:paraId="79FE8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6、不少于14路可控交流电源输出</w:t>
            </w:r>
          </w:p>
          <w:p w14:paraId="0C600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少于6路直流12V/1.2A输出、1路USB接口的DC5V输出；（提供产品实物功能接口图并加盖投标供应商公章，提供国家权威机构出具的检测报告扫描件并加盖投标供应商公章，报告含“CMA”、“CNAS”、“ilac-MRA”认证）</w:t>
            </w:r>
          </w:p>
          <w:p w14:paraId="70985E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8、单通道最大输出电流不小于20A；（国标五孔插座）</w:t>
            </w:r>
          </w:p>
          <w:p w14:paraId="7B6AE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9、时序延迟时间：≥0.5S；</w:t>
            </w:r>
          </w:p>
          <w:p w14:paraId="19445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10、电源工作范围：AC 220V±10% 50Hz/60Hz</w:t>
            </w:r>
          </w:p>
        </w:tc>
        <w:tc>
          <w:tcPr>
            <w:tcW w:w="810" w:type="dxa"/>
            <w:noWrap/>
            <w:vAlign w:val="center"/>
          </w:tcPr>
          <w:p w14:paraId="3F41F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43D12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2A698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ACA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2DF8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23CD8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55寸电视机</w:t>
            </w:r>
          </w:p>
        </w:tc>
        <w:tc>
          <w:tcPr>
            <w:tcW w:w="5421" w:type="dxa"/>
            <w:noWrap w:val="0"/>
            <w:vAlign w:val="center"/>
          </w:tcPr>
          <w:p w14:paraId="0F55E19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显示参数</w:t>
            </w:r>
          </w:p>
          <w:p w14:paraId="35BBF86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屏幕尺寸:55英寸</w:t>
            </w:r>
          </w:p>
          <w:p w14:paraId="2426E8A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屏幕分辨率:超高清（3840×2160）</w:t>
            </w:r>
          </w:p>
          <w:p w14:paraId="25DA8D8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屏幕比例:16:9</w:t>
            </w:r>
          </w:p>
          <w:p w14:paraId="758B618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屏幕等级:A+</w:t>
            </w:r>
          </w:p>
          <w:p w14:paraId="7514AD3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背光源:LED</w:t>
            </w:r>
          </w:p>
          <w:p w14:paraId="3BC17EA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背光方式:直下式</w:t>
            </w:r>
          </w:p>
          <w:p w14:paraId="4F8EFC6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对比度：50000：1</w:t>
            </w:r>
          </w:p>
          <w:p w14:paraId="1C62738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刷新频率:60Hz</w:t>
            </w:r>
          </w:p>
          <w:p w14:paraId="08DDC61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扫描方式:逐行扫描</w:t>
            </w:r>
          </w:p>
          <w:p w14:paraId="3036102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响应时间:8ms</w:t>
            </w:r>
          </w:p>
          <w:p w14:paraId="0048564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支持格式（超高清）:2160p、1080p、1080i、720p</w:t>
            </w:r>
          </w:p>
          <w:p w14:paraId="2D15D0C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支持HDR10解码</w:t>
            </w:r>
          </w:p>
        </w:tc>
        <w:tc>
          <w:tcPr>
            <w:tcW w:w="810" w:type="dxa"/>
            <w:noWrap/>
            <w:vAlign w:val="center"/>
          </w:tcPr>
          <w:p w14:paraId="52233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660" w:type="dxa"/>
            <w:noWrap w:val="0"/>
            <w:vAlign w:val="center"/>
          </w:tcPr>
          <w:p w14:paraId="28EDD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2367A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45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195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479B7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户内全彩LED屏</w:t>
            </w:r>
          </w:p>
        </w:tc>
        <w:tc>
          <w:tcPr>
            <w:tcW w:w="5421" w:type="dxa"/>
            <w:noWrap w:val="0"/>
            <w:vAlign w:val="center"/>
          </w:tcPr>
          <w:p w14:paraId="2D7F8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1、像数点间距≤2.5mm;像素密度：160000点/㎡ ;单元尺寸（W*H）:320mm*160mm；显示屏尺寸; 长5.44m*高2.4m</w:t>
            </w:r>
          </w:p>
          <w:p w14:paraId="78622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2、投标产品具有整屏平整度≤0.1mm；模组间拼缝≤0.1mm；刷新率≥3840Hz</w:t>
            </w:r>
          </w:p>
          <w:p w14:paraId="68D17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3、单元板采用塑钢底壳工艺，底壳材质为塑钢底壳。</w:t>
            </w:r>
          </w:p>
          <w:p w14:paraId="3AF73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4、亮度与视角关系：中央亮度=100cd/㎡白场时，水平视角80°时亮度衰减率≤10%,垂直视角60°时亮度衰减率≤10%（投标时提供具有CNAS标识的检测报告证明并加盖投标供应商公章）</w:t>
            </w:r>
          </w:p>
          <w:p w14:paraId="37731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5、投标产品水平左右视角≥170°、垂直上下视角≥170°； 亮度均匀性≥99%。</w:t>
            </w:r>
          </w:p>
          <w:p w14:paraId="455CE5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6、峰值功耗：≤350w/㎡；典型功耗：≤170w/㎡。供电要求110~220VAC</w:t>
            </w:r>
          </w:p>
          <w:p w14:paraId="5710C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7、具有防蓝光功能，蓝光辐射能量≤20%（投标时提供具有CNAS标识的检测报告证明并加盖投标供应商公章）  </w:t>
            </w:r>
          </w:p>
          <w:p w14:paraId="73EDEF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8、冲击试验：对产品进行150m/s²,11ms,6个面各三次冲击试验，试验后产品无异常</w:t>
            </w:r>
          </w:p>
          <w:p w14:paraId="02F78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9、噪声：符合CB22337-2008《社会生活环境噪声排放标准》前、后、左、右噪声均不超过2.0dB</w:t>
            </w:r>
          </w:p>
          <w:p w14:paraId="7F847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10、温升：按照GB4943.1-2011《信息技术设备安全第1部分：通电要求》进行温升测试，最大亮度白色连续工作2小时，模组表面温升小于20℃</w:t>
            </w:r>
          </w:p>
          <w:p w14:paraId="2C771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11、投标产品具有抗振动测试频率10~55Hz，振幅0.35mm，3个轴向，每一轴向循环50次，每次时间5min，试验后产品无异常</w:t>
            </w:r>
          </w:p>
          <w:p w14:paraId="09ECC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12、★为确保品牌真实性，投标文件中须承诺如中标，在中标通知书发出后7日内提供针对本项目原厂授权书及质保函，否则按提供虚假材料谋求中标处理。</w:t>
            </w:r>
          </w:p>
        </w:tc>
        <w:tc>
          <w:tcPr>
            <w:tcW w:w="810" w:type="dxa"/>
            <w:noWrap/>
            <w:vAlign w:val="center"/>
          </w:tcPr>
          <w:p w14:paraId="533BD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7126E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46C93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86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11C0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3E425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全彩电源</w:t>
            </w:r>
          </w:p>
        </w:tc>
        <w:tc>
          <w:tcPr>
            <w:tcW w:w="5421" w:type="dxa"/>
            <w:noWrap w:val="0"/>
            <w:vAlign w:val="center"/>
          </w:tcPr>
          <w:p w14:paraId="11D10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810" w:type="dxa"/>
            <w:noWrap/>
            <w:vAlign w:val="center"/>
          </w:tcPr>
          <w:p w14:paraId="37C05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7A21F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16DCBA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196A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9D7E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4C2377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接收卡     </w:t>
            </w:r>
          </w:p>
        </w:tc>
        <w:tc>
          <w:tcPr>
            <w:tcW w:w="5421" w:type="dxa"/>
            <w:noWrap w:val="0"/>
            <w:vAlign w:val="center"/>
          </w:tcPr>
          <w:p w14:paraId="7A73BC5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1.支持逐点亮色度校正，可以对每个灯点的亮度和色度进项校正，有效消除色差，使整屏的亮度和速度达到高度均匀一致，提高显示屏的画质。</w:t>
            </w:r>
          </w:p>
          <w:p w14:paraId="5881BC7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2.投标时提供一种接收卡的实用新型证书</w:t>
            </w:r>
          </w:p>
          <w:p w14:paraId="4231CA6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3.快速亮暗线调节在调试软件上进行快速亮暗线调节，快速解决因箱体及模组拼接造成的显示屏亮暗线，调节过程中即时生效，简单易用。</w:t>
            </w:r>
          </w:p>
          <w:p w14:paraId="40CA6770">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4.可以将指定图片设置为显示屏的开机、网线断开或无视频源信号时的画面或者最后一帧画面。</w:t>
            </w:r>
          </w:p>
          <w:p w14:paraId="3C4368E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5.可以监测自身的温度和电压，无需其他外设，在软件上可以查看接收卡的温度和电压。</w:t>
            </w:r>
          </w:p>
          <w:p w14:paraId="7611166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6.检测发送设备与接收卡间或接收卡与接收卡间的网络通讯质量，记录错误包数，协助排除网络通讯隐患。</w:t>
            </w:r>
          </w:p>
          <w:p w14:paraId="552AF27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7.支持5pin液晶模块，用于显示接收卡的温度、电压、单次运行时间和总运行时间。</w:t>
            </w:r>
          </w:p>
          <w:p w14:paraId="21F3C1D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8.支持千兆网，可通过网线直接连接到PC端进行调试和显示，无需发送卡。</w:t>
            </w:r>
          </w:p>
          <w:p w14:paraId="70670857">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9.</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u w:val="none"/>
              </w:rPr>
              <w:t>投标时提供一种实现屏幕拼接的系统及方法证书</w:t>
            </w:r>
          </w:p>
          <w:p w14:paraId="3A313441">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10.投标时提供多屏控制的图像显示系统、方法及多屏控制装置证书</w:t>
            </w:r>
          </w:p>
          <w:p w14:paraId="6469FE9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11.支持各种PWM芯片、逐点检测芯片及通用芯片；支持任意抽点，实现各种异形屏拼接。</w:t>
            </w:r>
          </w:p>
          <w:p w14:paraId="279DB4C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12.支持色彩变换技术，使人脸肤色更真实；支持任意倍增技术，手机拍摄无扫描线。</w:t>
            </w:r>
          </w:p>
          <w:p w14:paraId="21077791">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13.为保证产品的稳定性及可靠性，需在检验环境温度21℃-26摄氏度，湿度（%RH）:62-71,大气压力（kPa）：100.2-101.8</w:t>
            </w:r>
          </w:p>
          <w:p w14:paraId="3764E9D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14.设备在正常工作条件下，连续工作168h，不应出现电、机械或操作系统的故障。</w:t>
            </w:r>
          </w:p>
          <w:p w14:paraId="56A7633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15.产品放入60℃±2℃，90%RH±3%RH环境中，通电连续工作48小时，试验过程中能正常工作，外观无明显变形，损伤。</w:t>
            </w:r>
          </w:p>
          <w:p w14:paraId="43A7CF0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16.为保证系统的兼容性及稳定性控制系统需与LED显示屏为同一品牌，投标时提供证明文件</w:t>
            </w:r>
          </w:p>
        </w:tc>
        <w:tc>
          <w:tcPr>
            <w:tcW w:w="810" w:type="dxa"/>
            <w:noWrap/>
            <w:vAlign w:val="center"/>
          </w:tcPr>
          <w:p w14:paraId="5DF92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7890F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55E0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849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5A97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3CF410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421" w:type="dxa"/>
            <w:noWrap w:val="0"/>
            <w:vAlign w:val="center"/>
          </w:tcPr>
          <w:p w14:paraId="58074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1、输入接口：支持1路DVI、1路HDMI，1路VGA,1路USB播放，1路CVBS</w:t>
            </w:r>
          </w:p>
          <w:p w14:paraId="62CD5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2、带载能力：支持4路千兆网口输出，带载能力 ≥130万像素点</w:t>
            </w:r>
          </w:p>
          <w:p w14:paraId="0E85F8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3.无需电脑，支持通过设备旋转按钮快捷配屏和高级配屏功能点亮屏体，简单操作即可完成屏体配置。</w:t>
            </w:r>
          </w:p>
          <w:p w14:paraId="1F4AE6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4.为保证系统的兼容性和稳定性，发送卡和视频处理器为二合一产品。</w:t>
            </w:r>
          </w:p>
          <w:p w14:paraId="5CB83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5.无需电脑，FREEZE画面冻结按键可以快捷冻结画面。</w:t>
            </w:r>
          </w:p>
        </w:tc>
        <w:tc>
          <w:tcPr>
            <w:tcW w:w="810" w:type="dxa"/>
            <w:noWrap/>
            <w:vAlign w:val="center"/>
          </w:tcPr>
          <w:p w14:paraId="79B7E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7C904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1B2B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26D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A5C9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777816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421" w:type="dxa"/>
            <w:noWrap w:val="0"/>
            <w:vAlign w:val="center"/>
          </w:tcPr>
          <w:p w14:paraId="69C4B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810" w:type="dxa"/>
            <w:noWrap/>
            <w:vAlign w:val="center"/>
          </w:tcPr>
          <w:p w14:paraId="43EEB5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45C38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1AB25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45A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auto" w:fill="DCE6F2"/>
            <w:noWrap w:val="0"/>
            <w:vAlign w:val="center"/>
          </w:tcPr>
          <w:p w14:paraId="5F74C0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六、3楼会议室部分</w:t>
            </w:r>
          </w:p>
        </w:tc>
        <w:tc>
          <w:tcPr>
            <w:tcW w:w="756" w:type="dxa"/>
            <w:shd w:val="clear" w:color="auto" w:fill="DCE6F2"/>
            <w:noWrap w:val="0"/>
            <w:vAlign w:val="center"/>
          </w:tcPr>
          <w:p w14:paraId="4A0A38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p>
        </w:tc>
      </w:tr>
      <w:tr w14:paraId="0F8E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B468F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457F0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主音箱</w:t>
            </w:r>
          </w:p>
        </w:tc>
        <w:tc>
          <w:tcPr>
            <w:tcW w:w="5421" w:type="dxa"/>
            <w:noWrap w:val="0"/>
            <w:vAlign w:val="center"/>
          </w:tcPr>
          <w:p w14:paraId="53CBD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1、不小于1×5"两分频同轴驱动单元；</w:t>
            </w:r>
          </w:p>
          <w:p w14:paraId="2D051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2、额定功率不小于150W/8Ω； </w:t>
            </w:r>
          </w:p>
          <w:p w14:paraId="211C5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3、特性灵敏度不小于92dB/1w/1m（有效频响范围平均）</w:t>
            </w:r>
          </w:p>
          <w:p w14:paraId="0CB68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4、最大声压级不小于120dB</w:t>
            </w:r>
          </w:p>
          <w:p w14:paraId="6D293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5、额定频率范围（-10dB）100Hz-18KHz；</w:t>
            </w:r>
          </w:p>
          <w:p w14:paraId="2014C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6、覆盖角度(H×V)：70°×70°</w:t>
            </w:r>
          </w:p>
          <w:p w14:paraId="08E9F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7、考虑嵌入式隐藏安装空间，箱体尺寸不大于195(高)×175(宽)×175(深)</w:t>
            </w:r>
          </w:p>
          <w:p w14:paraId="1464F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8、以上参数第2、3、5、6项应出具内容相符合第三方检测报告，报告出具机构符合CMA/CNAS认可，并提供复印件并加盖投标人公章（中标公示期原件备查）；</w:t>
            </w:r>
          </w:p>
          <w:p w14:paraId="0C502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9、为保证项目质量、技术性能真实性，技术参数第3项应出具内容相符合的KLIPPEL、CLIO、LMS、B&amp;K或同类型声学开发测量软件在全消声室或半自由声场内的特性灵敏度测试响应曲线图（加盖供应商公章）。 </w:t>
            </w:r>
          </w:p>
        </w:tc>
        <w:tc>
          <w:tcPr>
            <w:tcW w:w="810" w:type="dxa"/>
            <w:noWrap/>
            <w:vAlign w:val="center"/>
          </w:tcPr>
          <w:p w14:paraId="1A595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22413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565FF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21E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76CE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7F4DE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5421" w:type="dxa"/>
            <w:noWrap w:val="0"/>
            <w:vAlign w:val="center"/>
          </w:tcPr>
          <w:p w14:paraId="2DD71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1、适应不同场合所需，可选立体声或桥接工作模式。</w:t>
            </w:r>
          </w:p>
          <w:p w14:paraId="40CE3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2、具有高通、低通和直通选择功能，通过高、低通设置，可方便的构成电子分频系统，可不需要再使用电子分频器。</w:t>
            </w:r>
          </w:p>
          <w:p w14:paraId="302F2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3、开机软启动，有效防止浪涌冲击。</w:t>
            </w:r>
          </w:p>
          <w:p w14:paraId="2ACB3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4、标准XLR+TRS1/4” 输入接口。</w:t>
            </w:r>
          </w:p>
          <w:p w14:paraId="5D57D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5、智能控制强制散热设计。</w:t>
            </w:r>
          </w:p>
          <w:p w14:paraId="61A44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6、安全性保护功能：具备放大器过载保护装置功能（提供国家权威机构所颁发的相关技术证明文件并加盖投标供应商公章）</w:t>
            </w:r>
          </w:p>
          <w:p w14:paraId="2FA9A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7、额定功率：≥4×150W/8Ω ≥ 4×220W/4Ω  ≥2×440W/8Ω桥接 ；</w:t>
            </w:r>
          </w:p>
          <w:p w14:paraId="3DFE7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8、频率响应: 20Hz～20KHz±1dB ；</w:t>
            </w:r>
          </w:p>
          <w:p w14:paraId="7C305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9、总谐波失真：≤0.5% ；</w:t>
            </w:r>
          </w:p>
          <w:p w14:paraId="439B7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10、输入灵敏度：0dB(775mv) ；</w:t>
            </w:r>
          </w:p>
          <w:p w14:paraId="4695A5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11、输入阻抗：平衡20KΩ，不平衡10KΩ； </w:t>
            </w:r>
          </w:p>
          <w:p w14:paraId="73C68F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12、信噪比（a计权）：≥93dB ；</w:t>
            </w:r>
          </w:p>
          <w:p w14:paraId="5B048D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13、净尺寸（宽×高×深）：≤480×450×115mm； </w:t>
            </w:r>
          </w:p>
          <w:p w14:paraId="623BF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810" w:type="dxa"/>
            <w:noWrap/>
            <w:vAlign w:val="center"/>
          </w:tcPr>
          <w:p w14:paraId="7F65D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30F18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362AF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3C0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1CE2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36414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调音台</w:t>
            </w:r>
          </w:p>
        </w:tc>
        <w:tc>
          <w:tcPr>
            <w:tcW w:w="5421" w:type="dxa"/>
            <w:noWrap w:val="0"/>
            <w:vAlign w:val="center"/>
          </w:tcPr>
          <w:p w14:paraId="26274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1、不少于8路MIC/LINE（COMBO XLR接口），不少于2组立体声输入（XLR接口），不少于1组立体声RCA输入，不少于1组返回输入（2路 6.35接口）不少于1路USB输入；</w:t>
            </w:r>
          </w:p>
          <w:p w14:paraId="16681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2、不少于8路插入点（6.35接口）</w:t>
            </w:r>
          </w:p>
          <w:p w14:paraId="56604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3、不少于两组立体声输出，不少于2路编组输出，不少于2路辅助输出，不少于1路立体声监听输出，不少于1路立体声耳机输出，不少于1组立体声录音输出；</w:t>
            </w:r>
          </w:p>
          <w:p w14:paraId="576E5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4、效果可以发送至辅助输出，编组输出与立体声输出；</w:t>
            </w:r>
          </w:p>
          <w:p w14:paraId="5A121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5、多媒体输入可以发送至辅助输出、编组输出与立体声输出；</w:t>
            </w:r>
          </w:p>
          <w:p w14:paraId="6BFE3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6、每路话放带低切功能；</w:t>
            </w:r>
          </w:p>
          <w:p w14:paraId="62A340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7、不少于两路输入内置反馈抑制功能；</w:t>
            </w:r>
          </w:p>
        </w:tc>
        <w:tc>
          <w:tcPr>
            <w:tcW w:w="810" w:type="dxa"/>
            <w:noWrap/>
            <w:vAlign w:val="center"/>
          </w:tcPr>
          <w:p w14:paraId="4B2AD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7113C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7977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9D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4E6F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3731C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会议主机</w:t>
            </w:r>
          </w:p>
        </w:tc>
        <w:tc>
          <w:tcPr>
            <w:tcW w:w="5421" w:type="dxa"/>
            <w:noWrap w:val="0"/>
            <w:vAlign w:val="center"/>
          </w:tcPr>
          <w:p w14:paraId="661FC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1、会议主机支持无线传输与有线传输2种方式，无线会议单元与有线会议单元可以共用一个系统；</w:t>
            </w:r>
          </w:p>
          <w:p w14:paraId="5FEA8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2、会议主机具有LCD显示屏，分级菜单显示，且有电量显示、欠压警告、频率信道和信号指示等显示功能；</w:t>
            </w:r>
          </w:p>
          <w:p w14:paraId="58A4E0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3、会议系统具有轮替模式、限制模式、主席专有多种会议发言模式；</w:t>
            </w:r>
          </w:p>
          <w:p w14:paraId="323D6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4、会议主机自带视像跟踪模块，实现会议单元的视像跟踪功能；</w:t>
            </w:r>
          </w:p>
          <w:p w14:paraId="0DCE8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5、单台会议主机可挂载≦255席表决单元或≦1000席发言单元同时进行会议；</w:t>
            </w:r>
          </w:p>
          <w:p w14:paraId="54C7C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会议主机具有≥4路ANT信号接口、≥1路RS232接口、≥1路无线单元音频输出接口、≥1路有线单元音频输出接口、≥1路移频功能开关，≥1路音频混合输出接口、≥1路音频混合平衡输出接口、≥3个网络接口，≥1路USB音频接口（提供产品实物功能接口图并加盖投标供应商公章）</w:t>
            </w:r>
          </w:p>
        </w:tc>
        <w:tc>
          <w:tcPr>
            <w:tcW w:w="810" w:type="dxa"/>
            <w:noWrap/>
            <w:vAlign w:val="center"/>
          </w:tcPr>
          <w:p w14:paraId="6846F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9048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13A20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0F3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FD59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5ED98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主席单元(无线)</w:t>
            </w:r>
          </w:p>
        </w:tc>
        <w:tc>
          <w:tcPr>
            <w:tcW w:w="5421" w:type="dxa"/>
            <w:noWrap w:val="0"/>
            <w:vAlign w:val="center"/>
          </w:tcPr>
          <w:p w14:paraId="35F2D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0090B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2、主席话筒具有主席优先功能键，可一键关闭所有代表话筒</w:t>
            </w:r>
          </w:p>
          <w:p w14:paraId="66043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3、单元具有抗手机、电磁、高频干扰能力；</w:t>
            </w:r>
          </w:p>
          <w:p w14:paraId="6CB18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4、会议单元具有独立电源开关键，智能电路管理电池电量、具有实时电量显示；</w:t>
            </w:r>
          </w:p>
          <w:p w14:paraId="33BB7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5、具有话筒开关按键，按下开关键咪管指示灯环亮，话筒为开启状态；</w:t>
            </w:r>
          </w:p>
          <w:p w14:paraId="544EDE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6、单元具有至少5个表决操作功能按键，配合会议系统专用管理软件具有投票、表决类功能；（提供产品实物功能接口图）</w:t>
            </w:r>
          </w:p>
        </w:tc>
        <w:tc>
          <w:tcPr>
            <w:tcW w:w="810" w:type="dxa"/>
            <w:noWrap/>
            <w:vAlign w:val="center"/>
          </w:tcPr>
          <w:p w14:paraId="23CFE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0A236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3D9C0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ED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C066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34B02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客席单元(无线)</w:t>
            </w:r>
          </w:p>
        </w:tc>
        <w:tc>
          <w:tcPr>
            <w:tcW w:w="5421" w:type="dxa"/>
            <w:noWrap w:val="0"/>
            <w:vAlign w:val="center"/>
          </w:tcPr>
          <w:p w14:paraId="7CBD4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5C904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2、单元具有抗手机、电磁、高频干扰能力；</w:t>
            </w:r>
          </w:p>
          <w:p w14:paraId="4888E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3、LCD显示屏，可显示话筒状态及系统菜单；</w:t>
            </w:r>
          </w:p>
          <w:p w14:paraId="150E0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4、会议单元具有独立电源开关键，智能电路管理电池电量、具有实时电量显示；</w:t>
            </w:r>
          </w:p>
          <w:p w14:paraId="18469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5、具有话筒开关按键，按下开关键咪管指示灯环亮，话筒为开启状态；</w:t>
            </w:r>
          </w:p>
        </w:tc>
        <w:tc>
          <w:tcPr>
            <w:tcW w:w="810" w:type="dxa"/>
            <w:noWrap/>
            <w:vAlign w:val="center"/>
          </w:tcPr>
          <w:p w14:paraId="78CD0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4D3BE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26BBE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6BE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4D23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77E11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5421" w:type="dxa"/>
            <w:noWrap w:val="0"/>
            <w:vAlign w:val="center"/>
          </w:tcPr>
          <w:p w14:paraId="4A55A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1、具有HDMI输出接口≥1路、USB3.0接口≥1路，支持同时输出1080P60视频；</w:t>
            </w:r>
          </w:p>
          <w:p w14:paraId="58F7B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2、有效像素≥207万，视频分辨率支持1920*1080P60;</w:t>
            </w:r>
          </w:p>
          <w:p w14:paraId="502A3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3、支持广角镜头≥72.5°、光学变焦≥12倍，数字变焦≥16倍，水平视场角72.5°-6.9°；</w:t>
            </w:r>
          </w:p>
          <w:p w14:paraId="54247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4、支持图像冻结功能和图像翻转功能；</w:t>
            </w:r>
          </w:p>
          <w:p w14:paraId="5816D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5、支持UVC协议控制PTZ（云台、变焦）操作；</w:t>
            </w:r>
          </w:p>
          <w:p w14:paraId="6A4145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6、内置麦克风，拾音距离长达6米，高灵敏度，低底噪；</w:t>
            </w:r>
          </w:p>
          <w:p w14:paraId="3CFEA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7、支持RS232控制协议，对摄像机进行控制；</w:t>
            </w:r>
          </w:p>
        </w:tc>
        <w:tc>
          <w:tcPr>
            <w:tcW w:w="810" w:type="dxa"/>
            <w:noWrap/>
            <w:vAlign w:val="center"/>
          </w:tcPr>
          <w:p w14:paraId="2770B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6C7A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592E3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1EE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AA6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3C8F8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421" w:type="dxa"/>
            <w:noWrap w:val="0"/>
            <w:vAlign w:val="center"/>
          </w:tcPr>
          <w:p w14:paraId="6DAAF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1、不少于8路可控电源（国标五孔插座）</w:t>
            </w:r>
          </w:p>
          <w:p w14:paraId="42C86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2、单通道最大输出电流不小于10A；</w:t>
            </w:r>
          </w:p>
          <w:p w14:paraId="4D3CD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3、额定总输出电源不小于25A；内置25A电源滤波器；总电源带空气开关；</w:t>
            </w:r>
          </w:p>
          <w:p w14:paraId="524C5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4、针对不同设备启动时间，每路电源开关时间支持不小于60秒设定</w:t>
            </w:r>
          </w:p>
          <w:p w14:paraId="087116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5、前面板带市电电压显示</w:t>
            </w:r>
          </w:p>
          <w:p w14:paraId="6376C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6、不少于24组用户存储模式</w:t>
            </w:r>
          </w:p>
          <w:p w14:paraId="07627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7、设备支持手动、PC、安卓移动端控制，</w:t>
            </w:r>
          </w:p>
          <w:p w14:paraId="52686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8、控制接口不少于1路RS232、1路RJ45。</w:t>
            </w:r>
          </w:p>
          <w:p w14:paraId="7C058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9、设备支持物联网远程控制。</w:t>
            </w:r>
          </w:p>
        </w:tc>
        <w:tc>
          <w:tcPr>
            <w:tcW w:w="810" w:type="dxa"/>
            <w:noWrap/>
            <w:vAlign w:val="center"/>
          </w:tcPr>
          <w:p w14:paraId="69E02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7ADEC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7AD6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48E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8BE9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21603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5421" w:type="dxa"/>
            <w:noWrap w:val="0"/>
            <w:vAlign w:val="center"/>
          </w:tcPr>
          <w:p w14:paraId="4759E09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76E184B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4D19A43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3EA32F8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40920A4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35CA9FB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810" w:type="dxa"/>
            <w:noWrap/>
            <w:vAlign w:val="center"/>
          </w:tcPr>
          <w:p w14:paraId="1B11F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0BB1F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D9C9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DD0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C861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2EA2D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户内全彩LED屏</w:t>
            </w:r>
          </w:p>
        </w:tc>
        <w:tc>
          <w:tcPr>
            <w:tcW w:w="5421" w:type="dxa"/>
            <w:noWrap w:val="0"/>
            <w:vAlign w:val="center"/>
          </w:tcPr>
          <w:p w14:paraId="72A1A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1、像数间距：≤1.86mm；单元板尺寸：320mm* 160mm；显示屏尺寸：长4.48m*高1.92m</w:t>
            </w:r>
          </w:p>
          <w:p w14:paraId="3C252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2、投标产品具有整屏平整度≤0.05mm,单元平整度≤0.05mm；模组间拼缝≤0.2mm；刷新率≥3840Hz。</w:t>
            </w:r>
          </w:p>
          <w:p w14:paraId="0219A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3、PCB 采用 FR-4材质，灯驱合一，电路采用多层设计，符合多层电路板沉金工艺设计，具有消隐，节能处理，EMC处理保证单模块的稳定性和抗氧化性</w:t>
            </w:r>
          </w:p>
          <w:p w14:paraId="174A42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4、表面处理:可支持灯板表面进行AOB处理，有致密性纳米涂层，有效隔绝水汽，对灯珠形成有效防护，可支持喷墨工艺，且低反射率的 LED 灯板</w:t>
            </w:r>
          </w:p>
          <w:p w14:paraId="638B4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5、色彩:16Bit,281万亿色，色域覆盖率100%,NTSC色域覆盖率≥120%上，YLV（PAL)色域覆盖率≥170%，支持BT.2020,DCI.P3,BT.709,sRGB等多种色域转换</w:t>
            </w:r>
          </w:p>
          <w:p w14:paraId="4C1915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6、亮度与视角关系：中央亮度为100cd/㎡白场时，水平视角80°时亮度衰减率≤10%,垂直视角60°时亮度衰减率≤10%</w:t>
            </w:r>
          </w:p>
          <w:p w14:paraId="48F2C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7、噪声：前、后、左、右噪声均不超过2.0dB</w:t>
            </w:r>
          </w:p>
          <w:p w14:paraId="6B235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8、峰值功耗：≤610w/㎡；典型功耗：≤310w/㎡；供电电压≤DC4.2～5V；电流增益调节级别≥7位</w:t>
            </w:r>
          </w:p>
        </w:tc>
        <w:tc>
          <w:tcPr>
            <w:tcW w:w="810" w:type="dxa"/>
            <w:noWrap/>
            <w:vAlign w:val="center"/>
          </w:tcPr>
          <w:p w14:paraId="3AA7A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01DD1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43773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7E8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9ECC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7C210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全彩电源</w:t>
            </w:r>
          </w:p>
        </w:tc>
        <w:tc>
          <w:tcPr>
            <w:tcW w:w="5421" w:type="dxa"/>
            <w:noWrap w:val="0"/>
            <w:vAlign w:val="center"/>
          </w:tcPr>
          <w:p w14:paraId="5189E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810" w:type="dxa"/>
            <w:noWrap/>
            <w:vAlign w:val="center"/>
          </w:tcPr>
          <w:p w14:paraId="3DA61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ign w:val="center"/>
          </w:tcPr>
          <w:p w14:paraId="26F5F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ign w:val="center"/>
          </w:tcPr>
          <w:p w14:paraId="7076DE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05B4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D0D8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2DA6B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接收卡</w:t>
            </w:r>
          </w:p>
        </w:tc>
        <w:tc>
          <w:tcPr>
            <w:tcW w:w="5421" w:type="dxa"/>
            <w:noWrap w:val="0"/>
            <w:vAlign w:val="center"/>
          </w:tcPr>
          <w:p w14:paraId="083A1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1.支持逐点亮色度校正，可以对每个灯点的亮度和色度进项校正，有效消除色差，使整屏的亮度和速度达到高度均匀一致，提高显示屏的画质。</w:t>
            </w:r>
          </w:p>
          <w:p w14:paraId="02590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2.投标时提供一种接收卡的实用新型证书</w:t>
            </w:r>
          </w:p>
          <w:p w14:paraId="2AEEE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3.快速亮暗线调节在调试软件上进行快速亮暗线调节，快速解决因箱体及模组拼接造成的显示屏亮暗线，调节过程中即时生效，简单易用。</w:t>
            </w:r>
          </w:p>
          <w:p w14:paraId="2563C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4.可以将指定图片设置为显示屏的开机、网线断开或无视频源信号时的画面或者最后一帧画面。</w:t>
            </w:r>
          </w:p>
          <w:p w14:paraId="09FDD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5.可以监测自身的温度和电压，无需其他外设，在软件上可以查看接收卡的温度和电压。</w:t>
            </w:r>
          </w:p>
          <w:p w14:paraId="382AA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6.检测发送设备与接收卡间或接收卡与接收卡间的网络通讯质量，记录错误包数，协助排除网络通讯隐患。</w:t>
            </w:r>
          </w:p>
          <w:p w14:paraId="64ADA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7.支持5pin液晶模块，用于显示接收卡的温度、电压、单次运行时间和总运行时间。</w:t>
            </w:r>
          </w:p>
          <w:p w14:paraId="0DE1F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8.支持千兆网，可通过网线直接连接到PC端进行调试和显示，无需发送卡。</w:t>
            </w:r>
          </w:p>
          <w:p w14:paraId="2DEC3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11.支持各种PWM芯片、逐点检测芯片及通用芯片；支持任意抽点，实现各种异形屏拼接。</w:t>
            </w:r>
          </w:p>
          <w:p w14:paraId="039AA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12.支持色彩变换技术，使人脸肤色更真实；支持任意倍增技术，手机拍摄无扫描线。</w:t>
            </w:r>
          </w:p>
          <w:p w14:paraId="731EC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13.为保证产品的稳定性及可靠性，需在检验环境温度21℃-26摄氏度，湿度（%RH）:62-71,大气压力（kPa）：100.2-101.8</w:t>
            </w:r>
          </w:p>
          <w:p w14:paraId="7D5E1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14.设备在正常工作条件下，连续工作168h，不应出现电、机械或操作系统的故障。</w:t>
            </w:r>
          </w:p>
          <w:p w14:paraId="40606A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15.产品放入60℃±2℃，90%RH±3%RH环境中，通电连续工作48小时，试验过程中能正常工作，外观无明显变形，损伤。</w:t>
            </w:r>
          </w:p>
          <w:p w14:paraId="0A0E7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16.为保证系统的兼容性及稳定性控制系统需与LED显示屏为同一品牌，投标时提供证明文件</w:t>
            </w:r>
          </w:p>
        </w:tc>
        <w:tc>
          <w:tcPr>
            <w:tcW w:w="810" w:type="dxa"/>
            <w:noWrap/>
            <w:vAlign w:val="center"/>
          </w:tcPr>
          <w:p w14:paraId="35760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4EFD4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1BEB5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784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9D1E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343F8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421" w:type="dxa"/>
            <w:noWrap w:val="0"/>
            <w:vAlign w:val="center"/>
          </w:tcPr>
          <w:p w14:paraId="788CB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1、输入接口：支持2路HDMI，1路DVI</w:t>
            </w:r>
          </w:p>
          <w:p w14:paraId="26D8F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2、带载能力：视频输出支持6个千兆网口输出，最大带载高达390万像素</w:t>
            </w:r>
          </w:p>
          <w:p w14:paraId="454918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3.无需电脑，支持通过设备旋转按钮快捷配屏和高级配屏功能点亮屏体，简单操作即可完成屏体配置。</w:t>
            </w:r>
          </w:p>
          <w:p w14:paraId="116625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4.支持设备默认开启自动信源搜索功能。</w:t>
            </w:r>
          </w:p>
          <w:p w14:paraId="11E83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5.为增强产品实用性，设备需通过面板数字按键，可快速准确定义窗口大小位置等坐标信息。</w:t>
            </w:r>
          </w:p>
          <w:p w14:paraId="111B2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6.为保证系统的兼容性和稳定性，发送卡和视频处理器为二合一产品。</w:t>
            </w:r>
          </w:p>
          <w:p w14:paraId="57E6C4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7.无需电脑，FREEZE画面冻结按键可以快捷冻结画面。</w:t>
            </w:r>
          </w:p>
        </w:tc>
        <w:tc>
          <w:tcPr>
            <w:tcW w:w="810" w:type="dxa"/>
            <w:noWrap/>
            <w:vAlign w:val="center"/>
          </w:tcPr>
          <w:p w14:paraId="5DC9F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1A15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EF7A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726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5B2F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2FC7B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421" w:type="dxa"/>
            <w:noWrap w:val="0"/>
            <w:vAlign w:val="center"/>
          </w:tcPr>
          <w:p w14:paraId="78295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810" w:type="dxa"/>
            <w:noWrap/>
            <w:vAlign w:val="center"/>
          </w:tcPr>
          <w:p w14:paraId="0B257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3130F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5FC7D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CEA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shd w:val="clear" w:color="auto" w:fill="B8CCE4"/>
            <w:noWrap w:val="0"/>
            <w:vAlign w:val="center"/>
          </w:tcPr>
          <w:p w14:paraId="718B91F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lang w:val="en-US" w:eastAsia="zh-CN"/>
              </w:rPr>
            </w:pPr>
            <w:r>
              <w:rPr>
                <w:rFonts w:hint="eastAsia" w:ascii="宋体" w:hAnsi="宋体" w:eastAsia="宋体" w:cs="宋体"/>
                <w:b/>
                <w:bCs/>
                <w:color w:val="auto"/>
                <w:sz w:val="18"/>
                <w:szCs w:val="18"/>
                <w:highlight w:val="none"/>
                <w:u w:val="none"/>
                <w:lang w:val="en-US" w:eastAsia="zh-CN"/>
              </w:rPr>
              <w:t>七、展厅部分</w:t>
            </w:r>
          </w:p>
        </w:tc>
        <w:tc>
          <w:tcPr>
            <w:tcW w:w="756" w:type="dxa"/>
            <w:shd w:val="clear" w:color="auto" w:fill="B8CCE4"/>
            <w:noWrap w:val="0"/>
            <w:vAlign w:val="center"/>
          </w:tcPr>
          <w:p w14:paraId="34C6A8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lang w:val="en-US" w:eastAsia="zh-CN"/>
              </w:rPr>
            </w:pPr>
          </w:p>
        </w:tc>
      </w:tr>
      <w:tr w14:paraId="716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1" w:type="dxa"/>
            <w:gridSpan w:val="3"/>
            <w:noWrap w:val="0"/>
            <w:vAlign w:val="center"/>
          </w:tcPr>
          <w:p w14:paraId="544F11E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1、显示系统</w:t>
            </w:r>
          </w:p>
        </w:tc>
        <w:tc>
          <w:tcPr>
            <w:tcW w:w="810" w:type="dxa"/>
            <w:noWrap/>
            <w:vAlign w:val="center"/>
          </w:tcPr>
          <w:p w14:paraId="3C0CFD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660" w:type="dxa"/>
            <w:noWrap w:val="0"/>
            <w:vAlign w:val="center"/>
          </w:tcPr>
          <w:p w14:paraId="46ECE1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756" w:type="dxa"/>
            <w:noWrap w:val="0"/>
            <w:vAlign w:val="center"/>
          </w:tcPr>
          <w:p w14:paraId="63F29B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1B0F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3D35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012C8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视频拼接单元</w:t>
            </w:r>
          </w:p>
        </w:tc>
        <w:tc>
          <w:tcPr>
            <w:tcW w:w="5421" w:type="dxa"/>
            <w:noWrap w:val="0"/>
            <w:vAlign w:val="center"/>
          </w:tcPr>
          <w:p w14:paraId="3BD2B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LCD液晶显示单元；</w:t>
            </w:r>
          </w:p>
          <w:p w14:paraId="60E2B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尺寸：55英寸；</w:t>
            </w:r>
          </w:p>
          <w:p w14:paraId="3132A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分辨率：1920x1080；</w:t>
            </w:r>
          </w:p>
          <w:p w14:paraId="17559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视角：178°(水平)/ 178°(垂直)；</w:t>
            </w:r>
          </w:p>
          <w:p w14:paraId="6FBB0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响应时间：≤12ms(G to G)；</w:t>
            </w:r>
          </w:p>
          <w:p w14:paraId="31AD8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对比度：4000:1；</w:t>
            </w:r>
          </w:p>
          <w:p w14:paraId="50742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亮度：≥500cd/㎡；</w:t>
            </w:r>
          </w:p>
          <w:p w14:paraId="32164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物理拼缝：≤3.5mm；</w:t>
            </w:r>
          </w:p>
          <w:p w14:paraId="10FA5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输入接口：VGA×1，DVI×1，HDMI×1，USB×1</w:t>
            </w:r>
          </w:p>
        </w:tc>
        <w:tc>
          <w:tcPr>
            <w:tcW w:w="810" w:type="dxa"/>
            <w:noWrap/>
            <w:vAlign w:val="center"/>
          </w:tcPr>
          <w:p w14:paraId="7F09A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3C45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84D7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2DC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1" w:type="dxa"/>
            <w:gridSpan w:val="3"/>
            <w:noWrap w:val="0"/>
            <w:vAlign w:val="center"/>
          </w:tcPr>
          <w:p w14:paraId="5D87FF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2、扩声系统</w:t>
            </w:r>
          </w:p>
        </w:tc>
        <w:tc>
          <w:tcPr>
            <w:tcW w:w="810" w:type="dxa"/>
            <w:noWrap/>
            <w:vAlign w:val="center"/>
          </w:tcPr>
          <w:p w14:paraId="7FA61C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660" w:type="dxa"/>
            <w:noWrap w:val="0"/>
            <w:vAlign w:val="center"/>
          </w:tcPr>
          <w:p w14:paraId="14B77B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756" w:type="dxa"/>
            <w:noWrap w:val="0"/>
            <w:vAlign w:val="center"/>
          </w:tcPr>
          <w:p w14:paraId="2768CF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5A6F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605A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0EF08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音响</w:t>
            </w:r>
          </w:p>
        </w:tc>
        <w:tc>
          <w:tcPr>
            <w:tcW w:w="5421" w:type="dxa"/>
            <w:noWrap w:val="0"/>
            <w:vAlign w:val="center"/>
          </w:tcPr>
          <w:p w14:paraId="63BC2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1、不小于1×8"中低频单元；</w:t>
            </w:r>
          </w:p>
          <w:p w14:paraId="2091E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2、不小于1×1"高音单元；</w:t>
            </w:r>
          </w:p>
          <w:p w14:paraId="4D5A5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3、额定功率不小于160W/8Ω； </w:t>
            </w:r>
          </w:p>
          <w:p w14:paraId="2130F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4、特性灵敏度不小于96dB/1w/1m（有效频响范围平均）</w:t>
            </w:r>
          </w:p>
          <w:p w14:paraId="1C8953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5、最大声压级不小于124dB</w:t>
            </w:r>
          </w:p>
          <w:p w14:paraId="30A68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6、额定频率范围（-10dB）65Hz-18KHz；</w:t>
            </w:r>
          </w:p>
          <w:p w14:paraId="73289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7、覆盖角度(H×V)：90°×60°</w:t>
            </w:r>
          </w:p>
        </w:tc>
        <w:tc>
          <w:tcPr>
            <w:tcW w:w="810" w:type="dxa"/>
            <w:noWrap/>
            <w:vAlign w:val="center"/>
          </w:tcPr>
          <w:p w14:paraId="7392F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7A75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584F0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B82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8ED0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2540E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功放</w:t>
            </w:r>
          </w:p>
        </w:tc>
        <w:tc>
          <w:tcPr>
            <w:tcW w:w="5421" w:type="dxa"/>
            <w:noWrap w:val="0"/>
            <w:vAlign w:val="center"/>
          </w:tcPr>
          <w:p w14:paraId="0B913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1、90VAC～260VAC宽电压适应范围；</w:t>
            </w:r>
          </w:p>
          <w:p w14:paraId="2D914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2、具备一块≥2寸TFT液晶显示屏，能够实时监控输出电压、电流、温度、保护状态；</w:t>
            </w:r>
          </w:p>
          <w:p w14:paraId="34B3B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3、每通道输入延时10ms，输出延时≥7ms，步进≥0.01ms，支持修改设备号（修改IP地址）；</w:t>
            </w:r>
          </w:p>
          <w:p w14:paraId="420C1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4、支持≥2x2音频路由混音，混音比例-80dB～+18dB；</w:t>
            </w:r>
          </w:p>
          <w:p w14:paraId="14569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5、每通道支持≥15段参量均衡调节，支持增益调节、支持延时调节，支持相位调节，支持压限调节（提供产品实物功能软件截图佐证）</w:t>
            </w:r>
          </w:p>
          <w:p w14:paraId="0A065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6、支持完善的预设管理(DSP内部有16个场景存储组)；</w:t>
            </w:r>
          </w:p>
          <w:p w14:paraId="2E470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7、支持一键恢复出厂设置； </w:t>
            </w:r>
          </w:p>
          <w:p w14:paraId="574D6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8、可将数据保存至电脑和从电脑中恢复至设备；</w:t>
            </w:r>
          </w:p>
          <w:p w14:paraId="3C29C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9、额定功率：≥2×400W/8Ω，≥2×600W/4Ω，≥1×1200W/8Ω桥接；，频率响应(±1dB)：≥20Hz～20KHz；，RMS输出电压：56.6V(THD=1%，1kHz)；，信噪比：≥105dB (A计权, 1kHz, 噪声门开)；输入灵敏度：0.9Vrms±10%(额定输出功率，1kHz)；总谐波失真：＜0.1%(10%额定输出功率，典型值) ；声道分离度：≥85dB(低于额定功率，1kHz)</w:t>
            </w:r>
          </w:p>
        </w:tc>
        <w:tc>
          <w:tcPr>
            <w:tcW w:w="810" w:type="dxa"/>
            <w:noWrap/>
            <w:vAlign w:val="center"/>
          </w:tcPr>
          <w:p w14:paraId="44A54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0DF01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8B00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525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961B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1CF69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同轴吸顶音箱</w:t>
            </w:r>
          </w:p>
        </w:tc>
        <w:tc>
          <w:tcPr>
            <w:tcW w:w="5421" w:type="dxa"/>
            <w:noWrap w:val="0"/>
            <w:vAlign w:val="center"/>
          </w:tcPr>
          <w:p w14:paraId="107A7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1、高保真喇叭， 音质优美动听，</w:t>
            </w:r>
          </w:p>
          <w:p w14:paraId="38884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2、同轴单元设计，声音极富层次感。 低频丰满，高音清晰。</w:t>
            </w:r>
          </w:p>
          <w:p w14:paraId="746C9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3、额定功率：20W。</w:t>
            </w:r>
          </w:p>
          <w:p w14:paraId="5E5CF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4、输入电压：100V。</w:t>
            </w:r>
          </w:p>
          <w:p w14:paraId="6AC06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5、频率范围：105Hz-19KHz（±15%)。</w:t>
            </w:r>
          </w:p>
          <w:p w14:paraId="5FCC0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6、灵敏度：90dB±2dB。</w:t>
            </w:r>
          </w:p>
          <w:p w14:paraId="237E7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7、喇叭单元：6.5"同轴。</w:t>
            </w:r>
          </w:p>
          <w:p w14:paraId="7CABD9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8、尺寸：Φ240×150mm</w:t>
            </w:r>
          </w:p>
        </w:tc>
        <w:tc>
          <w:tcPr>
            <w:tcW w:w="810" w:type="dxa"/>
            <w:noWrap/>
            <w:vAlign w:val="center"/>
          </w:tcPr>
          <w:p w14:paraId="2B064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C2A9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D6AA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3C4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EFB2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32183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主功放</w:t>
            </w:r>
          </w:p>
        </w:tc>
        <w:tc>
          <w:tcPr>
            <w:tcW w:w="5421" w:type="dxa"/>
            <w:noWrap w:val="0"/>
            <w:vAlign w:val="center"/>
          </w:tcPr>
          <w:p w14:paraId="327DB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1、标准2U高度机柜式设计，安装铝把手后,适合安装在标准的19吋机柜内。</w:t>
            </w:r>
          </w:p>
          <w:p w14:paraId="44865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2、二路话筒/线路(MIC/LINE)输入并带独立音量控制，输入端口为6.35和XLR通用插座；话筒带优先功能选择和幻象电源(+48V）。</w:t>
            </w:r>
          </w:p>
          <w:p w14:paraId="504EF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3、三路AUX输入并带独立音量控制。</w:t>
            </w:r>
          </w:p>
          <w:p w14:paraId="33F6E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4、话筒和线路带独立的高低音音调控制；</w:t>
            </w:r>
          </w:p>
          <w:p w14:paraId="29440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5、AUX带LINK功能、并带功放前置信号输出接口，便于系统拓展应用。</w:t>
            </w:r>
          </w:p>
          <w:p w14:paraId="78D46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6、带分级优先权限控制接口。</w:t>
            </w:r>
          </w:p>
          <w:p w14:paraId="1485A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7、内置智能自动压限电路，有效限制大动态信号削波，确保音色悦耳、保护扬声器系统。</w:t>
            </w:r>
          </w:p>
          <w:p w14:paraId="3274B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8、100V定压、70V定压和4-16ohm定阻三种输出方式。采用接线柱输出端口连接方便牢固。</w:t>
            </w:r>
          </w:p>
          <w:p w14:paraId="289B23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9、电源、信号、过载和保护指示（LED），工作状态一目了然。</w:t>
            </w:r>
          </w:p>
          <w:p w14:paraId="5A5CC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10、直流、过热、过载和短路保护功能。</w:t>
            </w:r>
          </w:p>
          <w:p w14:paraId="6A3D8A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11、隧道式散热器结合风速可变风冷散热系统，有效降低工作温度确保使用稳定。</w:t>
            </w:r>
          </w:p>
          <w:p w14:paraId="0CBDA3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内置高品质的MP3蓝牙播放器，带SD卡槽和USB接口，并带蓝牙和FM收音机功能；并具备断电记忆工作模式和输出音量功能；带遥控功能，附带遥控器。遥控器功能：播放/暂停、上一曲、下一曲、音量增减、静音、模式选择、场景模式、自动搜台等。（提供产品实物功能接口图并加盖投标供应商公章）</w:t>
            </w:r>
          </w:p>
          <w:p w14:paraId="7EC8B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13、内置4分区，每个分区带手动选择按键和音量调节旋钮。</w:t>
            </w:r>
          </w:p>
          <w:p w14:paraId="6A1E2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14、额定功率：250W</w:t>
            </w:r>
          </w:p>
          <w:p w14:paraId="5674B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15、消耗功率：550W</w:t>
            </w:r>
          </w:p>
          <w:p w14:paraId="145B6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16、输入灵敏度：话筒  13mV±3mV（-35.5dB±1.5dB）；线路 250mV±50mV（-10dB±1dB）。</w:t>
            </w:r>
          </w:p>
          <w:p w14:paraId="460BA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17、辅助LINK输出灵敏度：775mV±50mV(0dB±1dB),AUX LINK输出端。</w:t>
            </w:r>
          </w:p>
          <w:p w14:paraId="0559B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18、AUX1/MP3直通信号输出灵敏度：775mV±50mV(0dB±1dB),THROUGH OUT AUX1/MP3-FM输出端。</w:t>
            </w:r>
          </w:p>
          <w:p w14:paraId="2E91A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19、前置放大信号输出灵敏度：775mV±50mV(0dB±1dB),OPERATED OUT AFTER PRE-AMP输出端。</w:t>
            </w:r>
          </w:p>
          <w:p w14:paraId="2AC51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20、高音音调调节：10KHz：提升衰减量10dB±2dB；低音音调调节：100Hz：提升衰减量10dB±2dB。</w:t>
            </w:r>
          </w:p>
          <w:p w14:paraId="74492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21、频率响应：100Hz-18KHz+2dB/-5dB(默认)； 80Hz-8KHz ±2dB(宽频)。</w:t>
            </w:r>
          </w:p>
          <w:p w14:paraId="3B6AF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22、失真度：≤1%（1KHz,1/3额定功率）</w:t>
            </w:r>
          </w:p>
          <w:p w14:paraId="7634B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23、信噪比（A计权）：话筒 620欧平衡封口 ≥70dB；线路：≥70dB。</w:t>
            </w:r>
          </w:p>
          <w:p w14:paraId="29486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24、尺寸：无拉手 430L×400D×88H/mm，含拉手 482L×431D×88H/mm。</w:t>
            </w:r>
          </w:p>
          <w:p w14:paraId="0B6CB2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25、额定工作电源：AC220V,50Hz。</w:t>
            </w:r>
          </w:p>
        </w:tc>
        <w:tc>
          <w:tcPr>
            <w:tcW w:w="810" w:type="dxa"/>
            <w:noWrap/>
            <w:vAlign w:val="center"/>
          </w:tcPr>
          <w:p w14:paraId="338A5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28343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4C457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8B7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1300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12030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调音台</w:t>
            </w:r>
          </w:p>
        </w:tc>
        <w:tc>
          <w:tcPr>
            <w:tcW w:w="5421" w:type="dxa"/>
            <w:noWrap w:val="0"/>
            <w:vAlign w:val="center"/>
          </w:tcPr>
          <w:p w14:paraId="0ABEA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1、不少于8路输入(4路MIC/LINE+2路立体声)；</w:t>
            </w:r>
          </w:p>
          <w:p w14:paraId="74E9C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2、不少于1组立体声输出，不少于2路编组输出，不少于1路效果输出，不少于不少于2路辅助输出，1组录音输出；</w:t>
            </w:r>
          </w:p>
          <w:p w14:paraId="0113A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3、支持蓝牙接收功能，支持MP3，WAV双解码播放功能，支持USB播放，多媒体播放器配备遥控器；</w:t>
            </w:r>
          </w:p>
          <w:p w14:paraId="272EE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4、内置效果器；</w:t>
            </w:r>
          </w:p>
          <w:p w14:paraId="0C8CFD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5、支持48V幻象电源；</w:t>
            </w:r>
          </w:p>
          <w:p w14:paraId="3E753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6、耳机监听功能。</w:t>
            </w:r>
          </w:p>
        </w:tc>
        <w:tc>
          <w:tcPr>
            <w:tcW w:w="810" w:type="dxa"/>
            <w:noWrap/>
            <w:vAlign w:val="center"/>
          </w:tcPr>
          <w:p w14:paraId="6E5D5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2AEF4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2FAA7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9EE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FE81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2BD4B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一拖二无线麦克风（头戴）</w:t>
            </w:r>
          </w:p>
        </w:tc>
        <w:tc>
          <w:tcPr>
            <w:tcW w:w="5421" w:type="dxa"/>
            <w:noWrap w:val="0"/>
            <w:vAlign w:val="center"/>
          </w:tcPr>
          <w:p w14:paraId="4E8FC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1、接收频道:双通道接收</w:t>
            </w:r>
          </w:p>
          <w:p w14:paraId="5A23B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2、面板显示:LED段码显示器，可同时显示群组、频率、电池电量、静音位准、电子音量等相关信息；LED灯柱显示RF/AF强度；</w:t>
            </w:r>
          </w:p>
          <w:p w14:paraId="36CB2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3、接收方式:天线分集式接收</w:t>
            </w:r>
          </w:p>
          <w:p w14:paraId="71348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4、载波频段:UHF530-690.000MHZ（单机固定频段范围）</w:t>
            </w:r>
          </w:p>
          <w:p w14:paraId="1EDD8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5、单机频带宽度:50MHz</w:t>
            </w:r>
          </w:p>
          <w:p w14:paraId="79B50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6、单机频道数量：≥2000个</w:t>
            </w:r>
          </w:p>
          <w:p w14:paraId="1CF36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7、支持4个50欧姆TNC天线接口，其中2路支持环路输出，具备MIC/LINE信号切换输出开关，内置电源环出输出接口（提供产品实物接口图截图并加盖投标供应商公章）</w:t>
            </w:r>
          </w:p>
        </w:tc>
        <w:tc>
          <w:tcPr>
            <w:tcW w:w="810" w:type="dxa"/>
            <w:noWrap/>
            <w:vAlign w:val="center"/>
          </w:tcPr>
          <w:p w14:paraId="19E24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0B056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B536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BE1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2691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63607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一拖二无线麦克风（手持）</w:t>
            </w:r>
          </w:p>
        </w:tc>
        <w:tc>
          <w:tcPr>
            <w:tcW w:w="5421" w:type="dxa"/>
            <w:noWrap w:val="0"/>
            <w:vAlign w:val="center"/>
          </w:tcPr>
          <w:p w14:paraId="568EC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1、接收频道:双通道接收</w:t>
            </w:r>
          </w:p>
          <w:p w14:paraId="3617F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2、面板显示:LED段码显示器，可同时显示群组、频率、电池电量、静音位准、电子音量等相关信息；LED灯柱显示RF/AF强度；</w:t>
            </w:r>
          </w:p>
          <w:p w14:paraId="40FB5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3、接收方式:天线分集式接收</w:t>
            </w:r>
          </w:p>
          <w:p w14:paraId="23043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4、载波频段:UHF530-690.000MHZ（单机固定频段范围）</w:t>
            </w:r>
          </w:p>
          <w:p w14:paraId="04BB3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5、单机频带宽度:50MHz</w:t>
            </w:r>
          </w:p>
          <w:p w14:paraId="480BD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6、单机频道数量：≥2000个</w:t>
            </w:r>
          </w:p>
          <w:p w14:paraId="22A3C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7、支持4个50欧姆TNC天线接口，其中2路支持环路输出，具备MIC/LINE信号切换输出开关，内置电源环出输出接口</w:t>
            </w:r>
          </w:p>
        </w:tc>
        <w:tc>
          <w:tcPr>
            <w:tcW w:w="810" w:type="dxa"/>
            <w:noWrap/>
            <w:vAlign w:val="center"/>
          </w:tcPr>
          <w:p w14:paraId="16FCA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F934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BB4E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E32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DBDC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52536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天线分配器</w:t>
            </w:r>
          </w:p>
        </w:tc>
        <w:tc>
          <w:tcPr>
            <w:tcW w:w="5421" w:type="dxa"/>
            <w:noWrap w:val="0"/>
            <w:vAlign w:val="center"/>
          </w:tcPr>
          <w:p w14:paraId="46155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1.采用最新超高动态低杂讯元件与超宽频微带线路设计，具有超低内调失真及损耗的特性，提供多频道接收系统同时使用时能排除混频干扰。</w:t>
            </w:r>
          </w:p>
          <w:p w14:paraId="12C71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2.天线输入连接座具有供应天线放大器的电源，可直接连接具有天线放大器的延长天线及内建放大器的天线。</w:t>
            </w:r>
          </w:p>
          <w:p w14:paraId="4E5AF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3.能提供四台宽频多频道接收机共用一对天线， 第二台分配器 同时级联或宽频多频道接收机，简化天线装配工程。</w:t>
            </w:r>
          </w:p>
          <w:p w14:paraId="2C419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4.分路器可提供4路以上12V DC电源输出，为4台以上无线接收机提供电源，简化机柜安装。</w:t>
            </w:r>
          </w:p>
          <w:p w14:paraId="524F1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5、适用频宽范围： 500MHz  ─ 850MHz</w:t>
            </w:r>
          </w:p>
        </w:tc>
        <w:tc>
          <w:tcPr>
            <w:tcW w:w="810" w:type="dxa"/>
            <w:noWrap/>
            <w:vAlign w:val="center"/>
          </w:tcPr>
          <w:p w14:paraId="1AC0D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8A97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A3E0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C00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E7A1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357BD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有源宽频天线</w:t>
            </w:r>
          </w:p>
        </w:tc>
        <w:tc>
          <w:tcPr>
            <w:tcW w:w="5421" w:type="dxa"/>
            <w:noWrap w:val="0"/>
            <w:vAlign w:val="center"/>
          </w:tcPr>
          <w:p w14:paraId="6AD07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1、产品采用独特外观设计，支持室内壁挂或吸顶安装方式，抗干扰能力强；</w:t>
            </w:r>
          </w:p>
          <w:p w14:paraId="4E8E9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2、产品为UHF频段接收宽频天线，适用频宽范围为470MHz-698MHz；</w:t>
            </w:r>
          </w:p>
          <w:p w14:paraId="2DABA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3、产品内置可调增益控制放大器，实现0dB、+5dB、+10dB、+15dB多档可调，并具有对应的指示灯提示；</w:t>
            </w:r>
          </w:p>
          <w:p w14:paraId="335CA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4、内置可调增益控制衰减器，实现0dB、-5dB、-10dB、-15dB多档可调，并具有对应的指示灯提示；</w:t>
            </w:r>
          </w:p>
          <w:p w14:paraId="51B26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   型：UHF有源宽频天线</w:t>
            </w:r>
          </w:p>
          <w:p w14:paraId="75417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6、频率范围：470MHz-698MHz</w:t>
            </w:r>
          </w:p>
        </w:tc>
        <w:tc>
          <w:tcPr>
            <w:tcW w:w="810" w:type="dxa"/>
            <w:noWrap/>
            <w:vAlign w:val="center"/>
          </w:tcPr>
          <w:p w14:paraId="14185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8D31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92E8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FE5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90A3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51228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天线合路器</w:t>
            </w:r>
          </w:p>
        </w:tc>
        <w:tc>
          <w:tcPr>
            <w:tcW w:w="5421" w:type="dxa"/>
            <w:noWrap w:val="0"/>
            <w:vAlign w:val="center"/>
          </w:tcPr>
          <w:p w14:paraId="5889B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1、被动式一对二天线分配整合器，主要提供单通道信号分配为双通道信号输出或将双通道信号混合成单通道信号输出，同时将电源传输给后端之放大器，是架设天线系统必备配件之一。</w:t>
            </w:r>
          </w:p>
          <w:p w14:paraId="78DD2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2.采用线路接地设计，以避免多组接收机共用时，因接地问题产生电源杂音。</w:t>
            </w:r>
          </w:p>
          <w:p w14:paraId="54920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3.可将单通道信号分配为双通道信号输出或将双通道信号混合成单通道信号输出，同时将电源传输给后端之天线放大器。</w:t>
            </w:r>
          </w:p>
          <w:p w14:paraId="2E0C1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4、适用频段:500MHZ ─850 MHZ</w:t>
            </w:r>
          </w:p>
        </w:tc>
        <w:tc>
          <w:tcPr>
            <w:tcW w:w="810" w:type="dxa"/>
            <w:noWrap/>
            <w:vAlign w:val="center"/>
          </w:tcPr>
          <w:p w14:paraId="75FA0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44FF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EA93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E8E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BC85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6D82F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421" w:type="dxa"/>
            <w:noWrap w:val="0"/>
            <w:vAlign w:val="center"/>
          </w:tcPr>
          <w:p w14:paraId="25D43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1、不少于8路可控电源（国标五孔插座）、2路长通电源（国标五孔插座）</w:t>
            </w:r>
          </w:p>
          <w:p w14:paraId="310A0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2、单通道最大输出电流不小于10A；</w:t>
            </w:r>
          </w:p>
          <w:p w14:paraId="1A97FF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3、额定总输出电源不小于30A；内置30A电源滤波器；总电源带空气开关；</w:t>
            </w:r>
          </w:p>
          <w:p w14:paraId="5A6BF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4、设备自带编码ID检测和设置，支持系统级联，可级联不少于255台</w:t>
            </w:r>
          </w:p>
          <w:p w14:paraId="254FB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5、控制接口不少于1路RS232、1路线路控制、级联输入输出、1路USB。</w:t>
            </w:r>
          </w:p>
        </w:tc>
        <w:tc>
          <w:tcPr>
            <w:tcW w:w="810" w:type="dxa"/>
            <w:noWrap/>
            <w:vAlign w:val="center"/>
          </w:tcPr>
          <w:p w14:paraId="0CCE9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4831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9B55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BB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A4E8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28271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服务器工控主机</w:t>
            </w:r>
          </w:p>
        </w:tc>
        <w:tc>
          <w:tcPr>
            <w:tcW w:w="5421" w:type="dxa"/>
            <w:noWrap w:val="0"/>
            <w:vAlign w:val="center"/>
          </w:tcPr>
          <w:p w14:paraId="0321782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I3/4G/256+500G/独立显卡1G/带DVI/VGA输出/23寸液晶显示器</w:t>
            </w:r>
          </w:p>
        </w:tc>
        <w:tc>
          <w:tcPr>
            <w:tcW w:w="810" w:type="dxa"/>
            <w:noWrap/>
            <w:vAlign w:val="center"/>
          </w:tcPr>
          <w:p w14:paraId="4750A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D87C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FADC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7D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1" w:type="dxa"/>
            <w:gridSpan w:val="3"/>
            <w:noWrap w:val="0"/>
            <w:vAlign w:val="center"/>
          </w:tcPr>
          <w:p w14:paraId="38EA22B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3、信息发布系统</w:t>
            </w:r>
          </w:p>
        </w:tc>
        <w:tc>
          <w:tcPr>
            <w:tcW w:w="810" w:type="dxa"/>
            <w:noWrap/>
            <w:vAlign w:val="center"/>
          </w:tcPr>
          <w:p w14:paraId="4E0CFD7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660" w:type="dxa"/>
            <w:noWrap w:val="0"/>
            <w:vAlign w:val="center"/>
          </w:tcPr>
          <w:p w14:paraId="64BCA51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756" w:type="dxa"/>
            <w:noWrap w:val="0"/>
            <w:vAlign w:val="center"/>
          </w:tcPr>
          <w:p w14:paraId="7BDC085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156B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3418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1C47F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户内全彩LED屏</w:t>
            </w:r>
          </w:p>
        </w:tc>
        <w:tc>
          <w:tcPr>
            <w:tcW w:w="5421" w:type="dxa"/>
            <w:noWrap w:val="0"/>
            <w:vAlign w:val="center"/>
          </w:tcPr>
          <w:p w14:paraId="19788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1、像素点间距：1.86mm;                                                                                                              2、像素密度287296点/m²；                                                                                                                                                                                          3、灰度等级16bit；                                                                                                                                                                                                         4、模组尺寸：320mm*160mm；单元板分辨率:172*86。</w:t>
            </w:r>
          </w:p>
          <w:p w14:paraId="778B1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5、显示屏面积:  4.8m* 2.4m</w:t>
            </w:r>
          </w:p>
          <w:p w14:paraId="4AD29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6、像素失控率小于0.000001且区域像素失控率小于0.000003。</w:t>
            </w:r>
          </w:p>
          <w:p w14:paraId="14230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7、水平和垂直视角≥170°； 亮度均匀性≥99%，色度均匀性≤±0.001Cx，Cy之内。</w:t>
            </w:r>
          </w:p>
          <w:p w14:paraId="4A4B5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8、整屏平整度≤0.1mm；模组间缝隙≤0.1mm</w:t>
            </w:r>
          </w:p>
          <w:p w14:paraId="4171D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9、发光点中心距偏差＜1%</w:t>
            </w:r>
          </w:p>
          <w:p w14:paraId="6CC62B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10、最大对比度≥6000:1</w:t>
            </w:r>
          </w:p>
          <w:p w14:paraId="6DFBD3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11、刷新率≥3840Hz</w:t>
            </w:r>
          </w:p>
        </w:tc>
        <w:tc>
          <w:tcPr>
            <w:tcW w:w="810" w:type="dxa"/>
            <w:noWrap/>
            <w:vAlign w:val="center"/>
          </w:tcPr>
          <w:p w14:paraId="61EBE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4AC9B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71CB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700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640E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30B51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5421" w:type="dxa"/>
            <w:noWrap w:val="0"/>
            <w:vAlign w:val="center"/>
          </w:tcPr>
          <w:p w14:paraId="34039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810" w:type="dxa"/>
            <w:noWrap/>
            <w:vAlign w:val="center"/>
          </w:tcPr>
          <w:p w14:paraId="40514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70FA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40492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56B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0BB0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39483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接收卡     </w:t>
            </w:r>
          </w:p>
        </w:tc>
        <w:tc>
          <w:tcPr>
            <w:tcW w:w="5421" w:type="dxa"/>
            <w:noWrap w:val="0"/>
            <w:vAlign w:val="center"/>
          </w:tcPr>
          <w:p w14:paraId="79E92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1.支持逐点亮色度校正，可以对每个灯点的亮度和色度进项校正，有效消除色差，使整屏的亮度和速度达到高度均匀一致，提高显示屏的画质。</w:t>
            </w:r>
          </w:p>
          <w:p w14:paraId="248B4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2.投标时提供一种接收卡的实用新型证书</w:t>
            </w:r>
          </w:p>
          <w:p w14:paraId="0FA62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3.快速亮暗线调节在调试软件上进行快速亮暗线调节，快速解决因箱体及模组拼接造成的显示屏亮暗线，调节过程中即时生效，简单易用。</w:t>
            </w:r>
          </w:p>
          <w:p w14:paraId="4AB3B9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4.可以将指定图片设置为显示屏的开机、网线断开或无视频源信号时的画面或者最后一帧画面。</w:t>
            </w:r>
          </w:p>
          <w:p w14:paraId="17F69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5.可以监测自身的温度和电压，无需其他外设，在软件上可以查看接收卡的温度和电压。</w:t>
            </w:r>
          </w:p>
          <w:p w14:paraId="65821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6.检测发送设备与接收卡间或接收卡与接收卡间的网络通讯质量，记录错误包数，协助排除网络通讯隐患。</w:t>
            </w:r>
          </w:p>
          <w:p w14:paraId="4C37C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7.支持5pin液晶模块，用于显示接收卡的温度、电压、单次运行时间和总运行时间。</w:t>
            </w:r>
          </w:p>
          <w:p w14:paraId="37F97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8.支持千兆网，可通过网线直接连接到PC端进行调试和显示，无需发送卡。</w:t>
            </w:r>
          </w:p>
          <w:p w14:paraId="2ECD9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11.支持各种PWM芯片、逐点检测芯片及通用芯片；支持任意抽点，实现各种异形屏拼接。</w:t>
            </w:r>
          </w:p>
          <w:p w14:paraId="03075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12.支持色彩变换技术，使人脸肤色更真实；支持任意倍增技术，手机拍摄无扫描线。</w:t>
            </w:r>
          </w:p>
          <w:p w14:paraId="72FF6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13.为保证产品的稳定性及可靠性，需在检验环境温度21℃-26摄氏度，湿度（%RH）:62-71,大气压力（kPa）：100.2-101.8</w:t>
            </w:r>
          </w:p>
          <w:p w14:paraId="20540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14.设备在正常工作条件下，连续工作168h，不应出现电、机械或操作系统的故障。</w:t>
            </w:r>
          </w:p>
          <w:p w14:paraId="6A8F0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15.产品放入60℃±2℃，90%RH±3%RH环境中，通电连续工作48小时，试验过程中能正常工作，外观无明显变形，损伤。</w:t>
            </w:r>
          </w:p>
          <w:p w14:paraId="28F8C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16.为保证系统的兼容性及稳定性控制系统需与LED显示屏为同一品牌，投标时提供证明文件</w:t>
            </w:r>
          </w:p>
        </w:tc>
        <w:tc>
          <w:tcPr>
            <w:tcW w:w="810" w:type="dxa"/>
            <w:noWrap/>
            <w:vAlign w:val="center"/>
          </w:tcPr>
          <w:p w14:paraId="5080F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68989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53E8D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AF8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AFC0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36B6D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播放盒</w:t>
            </w:r>
          </w:p>
        </w:tc>
        <w:tc>
          <w:tcPr>
            <w:tcW w:w="5421" w:type="dxa"/>
            <w:noWrap w:val="0"/>
            <w:vAlign w:val="center"/>
          </w:tcPr>
          <w:p w14:paraId="07432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支持8核处理器，主频1.5GHz</w:t>
            </w:r>
          </w:p>
          <w:p w14:paraId="1F16B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支持1080P的视频硬解码，支持H.265 4K高清视频硬解码播放</w:t>
            </w:r>
          </w:p>
          <w:p w14:paraId="0A93D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支持2GB运行内存，板载32GB内部存储空间，用户可用28GB</w:t>
            </w:r>
          </w:p>
          <w:p w14:paraId="47A68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支持130万像素点带载能力，最宽4096像素，最高1920像素</w:t>
            </w:r>
          </w:p>
          <w:p w14:paraId="0C8ED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支持PC直连，局域网，移动终端节目发布和显示屏控制</w:t>
            </w:r>
          </w:p>
          <w:p w14:paraId="2ADB2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支持集群远程发布于显示屏控制</w:t>
            </w:r>
          </w:p>
        </w:tc>
        <w:tc>
          <w:tcPr>
            <w:tcW w:w="810" w:type="dxa"/>
            <w:noWrap/>
            <w:vAlign w:val="center"/>
          </w:tcPr>
          <w:p w14:paraId="60616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546B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4BC8C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A78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8FDA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7A152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421" w:type="dxa"/>
            <w:noWrap w:val="0"/>
            <w:vAlign w:val="center"/>
          </w:tcPr>
          <w:p w14:paraId="50BEE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1、输入接口：支持2路HDMI，1路DVI</w:t>
            </w:r>
          </w:p>
          <w:p w14:paraId="32F20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2、带载能力：视频输出支持6个千兆网口输出，最大带载高达390万像素</w:t>
            </w:r>
          </w:p>
          <w:p w14:paraId="5982E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3.无需电脑，支持通过设备旋转按钮快捷配屏和高级配屏功能点亮屏体，简单操作即可完成屏体配置。</w:t>
            </w:r>
          </w:p>
          <w:p w14:paraId="060C5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4.支持设备默认开启自动信源搜索功能。</w:t>
            </w:r>
          </w:p>
          <w:p w14:paraId="4B326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5.为增强产品实用性，设备需通过面板数字按键，可快速准确定义窗口大小位置等坐标信息。</w:t>
            </w:r>
          </w:p>
          <w:p w14:paraId="4B777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主界面下，按下旋钮进入菜单操作界面。菜单操作界面下，旋转旋钮旋转菜单，按下旋钮选定当前菜单或者进入子菜单。选定带有参数的菜单后可以通过旋转旋钮调节参数，调节完成后需要再次按下旋钮进行确认。</w:t>
            </w:r>
          </w:p>
          <w:p w14:paraId="3872B3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7.无需电脑，FREEZE画面冻结按键可以快捷冻结画面。</w:t>
            </w:r>
          </w:p>
        </w:tc>
        <w:tc>
          <w:tcPr>
            <w:tcW w:w="810" w:type="dxa"/>
            <w:noWrap/>
            <w:vAlign w:val="center"/>
          </w:tcPr>
          <w:p w14:paraId="0345A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5BB59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7FB69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CBD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7ADE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1CC6F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55寸电视机</w:t>
            </w:r>
          </w:p>
        </w:tc>
        <w:tc>
          <w:tcPr>
            <w:tcW w:w="5421" w:type="dxa"/>
            <w:noWrap w:val="0"/>
            <w:vAlign w:val="center"/>
          </w:tcPr>
          <w:p w14:paraId="64B5B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显示参数</w:t>
            </w:r>
          </w:p>
          <w:p w14:paraId="4FC5B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屏幕尺寸:55英寸</w:t>
            </w:r>
          </w:p>
          <w:p w14:paraId="72F852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屏幕分辨率:超高清（3840×2160）</w:t>
            </w:r>
          </w:p>
          <w:p w14:paraId="42163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屏幕比例:16:9</w:t>
            </w:r>
          </w:p>
          <w:p w14:paraId="2FE101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屏幕等级:A+</w:t>
            </w:r>
          </w:p>
          <w:p w14:paraId="3554D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背光源:LED</w:t>
            </w:r>
          </w:p>
          <w:p w14:paraId="6B8F2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背光方式:直下式</w:t>
            </w:r>
          </w:p>
          <w:p w14:paraId="3171B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对比度：50000：1</w:t>
            </w:r>
          </w:p>
          <w:p w14:paraId="01871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刷新频率:60Hz</w:t>
            </w:r>
          </w:p>
          <w:p w14:paraId="62704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扫描方式:逐行扫描</w:t>
            </w:r>
          </w:p>
          <w:p w14:paraId="4A6EF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响应时间:8ms</w:t>
            </w:r>
          </w:p>
          <w:p w14:paraId="0CA6E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支持格式（超高清）:2160p、1080p、1080i、720p</w:t>
            </w:r>
          </w:p>
          <w:p w14:paraId="528FC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支持HDR10解码</w:t>
            </w:r>
          </w:p>
        </w:tc>
        <w:tc>
          <w:tcPr>
            <w:tcW w:w="810" w:type="dxa"/>
            <w:noWrap/>
            <w:vAlign w:val="center"/>
          </w:tcPr>
          <w:p w14:paraId="1A13F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45D37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39AB9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5D9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1" w:type="dxa"/>
            <w:gridSpan w:val="3"/>
            <w:noWrap w:val="0"/>
            <w:vAlign w:val="center"/>
          </w:tcPr>
          <w:p w14:paraId="739B710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u w:val="none"/>
              </w:rPr>
            </w:pPr>
            <w:r>
              <w:rPr>
                <w:rFonts w:hint="eastAsia" w:ascii="宋体" w:hAnsi="宋体" w:eastAsia="宋体" w:cs="宋体"/>
                <w:b/>
                <w:bCs/>
                <w:color w:val="auto"/>
                <w:sz w:val="18"/>
                <w:szCs w:val="18"/>
                <w:highlight w:val="none"/>
                <w:u w:val="none"/>
                <w:lang w:val="en-US" w:eastAsia="zh-CN"/>
              </w:rPr>
              <w:t>4、会议集中控制设备系统</w:t>
            </w:r>
          </w:p>
        </w:tc>
        <w:tc>
          <w:tcPr>
            <w:tcW w:w="810" w:type="dxa"/>
            <w:noWrap/>
            <w:vAlign w:val="center"/>
          </w:tcPr>
          <w:p w14:paraId="6F23818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p>
        </w:tc>
        <w:tc>
          <w:tcPr>
            <w:tcW w:w="660" w:type="dxa"/>
            <w:noWrap w:val="0"/>
            <w:vAlign w:val="center"/>
          </w:tcPr>
          <w:p w14:paraId="574AD54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c>
          <w:tcPr>
            <w:tcW w:w="756" w:type="dxa"/>
            <w:noWrap w:val="0"/>
            <w:vAlign w:val="center"/>
          </w:tcPr>
          <w:p w14:paraId="017A597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rPr>
            </w:pPr>
          </w:p>
        </w:tc>
      </w:tr>
      <w:tr w14:paraId="4FF5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485B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7C74DE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8路强电继电器</w:t>
            </w:r>
          </w:p>
        </w:tc>
        <w:tc>
          <w:tcPr>
            <w:tcW w:w="5421" w:type="dxa"/>
            <w:noWrap w:val="0"/>
            <w:vAlign w:val="center"/>
          </w:tcPr>
          <w:p w14:paraId="6D91B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w:t>
            </w:r>
          </w:p>
        </w:tc>
        <w:tc>
          <w:tcPr>
            <w:tcW w:w="810" w:type="dxa"/>
            <w:noWrap/>
            <w:vAlign w:val="center"/>
          </w:tcPr>
          <w:p w14:paraId="1C817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2A55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0C644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9E1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962E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38336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平板</w:t>
            </w:r>
          </w:p>
        </w:tc>
        <w:tc>
          <w:tcPr>
            <w:tcW w:w="5421" w:type="dxa"/>
            <w:noWrap w:val="0"/>
            <w:vAlign w:val="center"/>
          </w:tcPr>
          <w:p w14:paraId="2355C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w:t>
            </w:r>
          </w:p>
        </w:tc>
        <w:tc>
          <w:tcPr>
            <w:tcW w:w="810" w:type="dxa"/>
            <w:noWrap/>
            <w:vAlign w:val="center"/>
          </w:tcPr>
          <w:p w14:paraId="24680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7C79D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686EA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117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E7E6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067C4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多媒体管理平台</w:t>
            </w:r>
          </w:p>
        </w:tc>
        <w:tc>
          <w:tcPr>
            <w:tcW w:w="5421" w:type="dxa"/>
            <w:noWrap w:val="0"/>
            <w:vAlign w:val="center"/>
          </w:tcPr>
          <w:p w14:paraId="4030C0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一、系统描述：</w:t>
            </w:r>
          </w:p>
          <w:p w14:paraId="718E46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★1、一体式设计，提供音频处理、视频处理、音视频混合处理、无线投屏、舞台灯光控制、会议室设备和环境控制、人脸识别、语音控制等功能。（该项功能需带CNAS认证的功能性检测报告中有具体描述）</w:t>
            </w:r>
          </w:p>
          <w:p w14:paraId="2DFD19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自带安卓系统，在10.1寸触控显示屏支持人脸识别激活和AI语音智能控制，并对音频、视频、舞台灯光、环境等设备进行控制和切换。可通过语音对会议室环境设备和音视频进行控制，并可扩展；（该项功能需带CNAS认证的功能性检测报告中有具体描述）</w:t>
            </w:r>
          </w:p>
          <w:p w14:paraId="157C37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二、无线投屏模块：</w:t>
            </w:r>
          </w:p>
          <w:p w14:paraId="40EBD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★1、支持2路30米内无障碍无线投屏；（该项功能需带CNAS认证的功能性检测报告中有具体描述）</w:t>
            </w:r>
          </w:p>
          <w:p w14:paraId="4B1277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2、至少提供1个USB3.0；1个USB2.0扩展接口、1个HDMI输出接口、3.5mm音频输出接口；LAN接口</w:t>
            </w:r>
          </w:p>
          <w:p w14:paraId="219AF6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三、视频模块：</w:t>
            </w:r>
          </w:p>
          <w:p w14:paraId="66E13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1、可视交互方式，信号源可视化（预览），大屏状态可视化，场景预览可视化，环境控制可视化，所有视频信号画面实时预览，大屏画面实时回显。</w:t>
            </w:r>
          </w:p>
          <w:p w14:paraId="11379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★2、单卡支持2路HDMI输入、2路HDMI输出，最多可支持6张板卡（该项功能需带CNAS认证的功能性检测报告中有具体描述）</w:t>
            </w:r>
          </w:p>
          <w:p w14:paraId="3890F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3、支持windows、安卓通过WIFI控制，局域网类全无线操控。</w:t>
            </w:r>
          </w:p>
          <w:p w14:paraId="5440C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4、支持任意屏体上任意位置显示字幕，并调整字体大小、位置，实现数字标牌上屏；</w:t>
            </w:r>
          </w:p>
          <w:p w14:paraId="53114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四、音频模块：</w:t>
            </w:r>
          </w:p>
          <w:p w14:paraId="1909C3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★1、8/16路模拟音频矩阵，可带0/8/16路Dante网络音频矩阵；每路模拟输入带48V幻象电源。（该项功能需带CNAS认证的功能性检测报告中有具体描述）</w:t>
            </w:r>
          </w:p>
          <w:p w14:paraId="13ABC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2、内置一进一出的USB声卡，支持音乐播放、录制和软视频会议。</w:t>
            </w:r>
          </w:p>
          <w:p w14:paraId="075B5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3、总线式AEC、独立通道的AFC（反馈抑制）、噪声抑制（ANS）、噪声增益补偿器(ANC)、增益共享自动混音(AMC)、门限自动混音（Gate Mixer）；</w:t>
            </w:r>
          </w:p>
          <w:p w14:paraId="1375D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4、16段英式参量均衡，5种滤波器选择。</w:t>
            </w:r>
          </w:p>
          <w:p w14:paraId="30B590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五、控制模块：</w:t>
            </w:r>
          </w:p>
          <w:p w14:paraId="3F44D7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1、提供3个网口接口，3个网口可通过内置的交换机进行数据通讯。</w:t>
            </w:r>
          </w:p>
          <w:p w14:paraId="54B9B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2、不少于8个RS232/485端口，≥8个弱电继电器，≥8个红外端口，≥4个IO端口。（该项功能需带CNAS认证的功能性检测报告中有具体描述）</w:t>
            </w:r>
          </w:p>
          <w:p w14:paraId="78A6DD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六、灯控模块：</w:t>
            </w:r>
          </w:p>
          <w:p w14:paraId="03BD80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1、符合DMX-512/1990国际标准协议,拥有512个DMX输出输入回路。</w:t>
            </w:r>
          </w:p>
          <w:p w14:paraId="5F43A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2、内置隔离电源和2个独立的DMX光电隔离口，驱动能力增大1倍，+1个RJ45网口,DMX1口可支持输入输出，DMX2固定输出，组成主备输出。</w:t>
            </w:r>
          </w:p>
          <w:p w14:paraId="32725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3、支持USB联电脑灯光编程控制软件实时播控，支持10多套灯光控制软件，如Freestyler +3D模拟等。</w:t>
            </w:r>
          </w:p>
          <w:p w14:paraId="1492F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★4、支持电脑灯光软件可视化编程、录制、调试，支持SD卡脱机自动播控，红外遥控和键盘播控。（该项功能需带CNAS认证的功能性检测报告中有具体描述）</w:t>
            </w:r>
          </w:p>
          <w:p w14:paraId="6BBE3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七、软件功能：</w:t>
            </w:r>
          </w:p>
          <w:p w14:paraId="5A020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1、在多媒体管理平台10.1寸显示屏上可使用软件同时实现对音频、视频、灯控、人工智能AI、无线投屏的控制及编辑；</w:t>
            </w:r>
          </w:p>
          <w:p w14:paraId="3323E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2、音频软件功能、人工智能AI软件功能；</w:t>
            </w:r>
          </w:p>
          <w:p w14:paraId="1D248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3、视频软件功能：可视化控制平台视频管理核心，采集分发各类视频信号，输出信号支持任意分割、拼接、单屏4-9层开窗、跨屏漫游、缩放、回显、拖拽式切换方式；</w:t>
            </w:r>
          </w:p>
          <w:p w14:paraId="0FF9F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4、系统软件具有简单明确的中文操作界面及编程界面，C语言的代码规则。</w:t>
            </w:r>
          </w:p>
          <w:p w14:paraId="1B4B6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八、软件运维模块：</w:t>
            </w:r>
          </w:p>
          <w:p w14:paraId="58150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可通过软件实现对会场环境（温度、湿度、粉尘浓度（PM2.5/PM10），CO2、甲醛浓度、TVOC）的检测，实现可视化呈现，对会场内其他传感设备进行统一管理及分析；（该项功能需带CNAS认证的功能性检测报告中有具体描述）</w:t>
            </w:r>
          </w:p>
          <w:p w14:paraId="0D01D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2、可通过软件实现对会场资产进行统一管理及调取；</w:t>
            </w:r>
          </w:p>
          <w:p w14:paraId="6D643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3、可对接第三方的运维系统进行数据交互。</w:t>
            </w:r>
          </w:p>
        </w:tc>
        <w:tc>
          <w:tcPr>
            <w:tcW w:w="810" w:type="dxa"/>
            <w:noWrap/>
            <w:vAlign w:val="center"/>
          </w:tcPr>
          <w:p w14:paraId="35355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6C7C4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33812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C86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B186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0AA6A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2路可视化视频输入节点板卡</w:t>
            </w:r>
          </w:p>
        </w:tc>
        <w:tc>
          <w:tcPr>
            <w:tcW w:w="5421" w:type="dxa"/>
            <w:noWrap w:val="0"/>
            <w:vAlign w:val="center"/>
          </w:tcPr>
          <w:p w14:paraId="67956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1、分布式输入节点机采用单根网络线传输高清信号，支持1920*1080分辨率，支持千兆网络交换机，传输带宽小，可以达到零延时；</w:t>
            </w:r>
          </w:p>
          <w:p w14:paraId="543B4C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2、接口采用HDMI信号；采用Stratix10GX处理器，处理速度高达17.4GHz。色彩还原度高达99%。</w:t>
            </w:r>
          </w:p>
          <w:p w14:paraId="10746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3、分布式结构，去中心化设计，无需配置服务器，任一节点出现故障，不影响其它节点的正常运行。</w:t>
            </w:r>
          </w:p>
          <w:p w14:paraId="6ADDB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4、信号：支持2路HDMI信号输入采集及编码，支持网络信号（H.265)</w:t>
            </w:r>
          </w:p>
          <w:p w14:paraId="766D3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5、网络：1路网口RJ45（10M/100M/1000M以太网自适应）</w:t>
            </w:r>
          </w:p>
          <w:p w14:paraId="6BDBC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6、串口：1路可编程485串口</w:t>
            </w:r>
          </w:p>
          <w:p w14:paraId="348B79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7、其他接口：3.5音频输入*2</w:t>
            </w:r>
          </w:p>
          <w:p w14:paraId="29D52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8、指示灯：电源指示灯、视频信号指示灯、数据收发指示灯</w:t>
            </w:r>
          </w:p>
          <w:p w14:paraId="0E21C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9、电源：DC12V 1.5A 带接地线</w:t>
            </w:r>
          </w:p>
          <w:p w14:paraId="2AEB2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10、功耗：≤10W</w:t>
            </w:r>
          </w:p>
          <w:p w14:paraId="148E9B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11、温度：工作温度：0℃ ～ +50℃，储存温度：-20℃ ～ +70℃工</w:t>
            </w:r>
          </w:p>
          <w:p w14:paraId="420501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12、湿度：作湿度、储存湿度：10% ～ 90%</w:t>
            </w:r>
          </w:p>
          <w:p w14:paraId="0826C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13、平均故障间隔时间：30,000 小时</w:t>
            </w:r>
          </w:p>
        </w:tc>
        <w:tc>
          <w:tcPr>
            <w:tcW w:w="810" w:type="dxa"/>
            <w:noWrap/>
            <w:vAlign w:val="center"/>
          </w:tcPr>
          <w:p w14:paraId="202BB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12F30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2C0E2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7D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E302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41E74E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2路可视化视频输出节点板卡</w:t>
            </w:r>
          </w:p>
        </w:tc>
        <w:tc>
          <w:tcPr>
            <w:tcW w:w="5421" w:type="dxa"/>
            <w:noWrap w:val="0"/>
            <w:vAlign w:val="center"/>
          </w:tcPr>
          <w:p w14:paraId="29F53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1、分布式输出节点机采用单根网络线传输高清信号，支持1920*1080分辨率，支持千兆网络交换机，传输带宽小，可以达到零延时；</w:t>
            </w:r>
          </w:p>
          <w:p w14:paraId="4DB286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2、接口采用HDMI信号；采用Stratix10GX处理器，处理速度高达17.4GHz。色彩还原度高达99%。</w:t>
            </w:r>
          </w:p>
          <w:p w14:paraId="180D4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3、分布式结构，去中心化设计，无需配置服务器，任一节点出现故障，不影响其它节点的正常运行。</w:t>
            </w:r>
          </w:p>
          <w:p w14:paraId="29B9C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4、信号：支持2路HDMI信号输出解码，支持网络信号（H.265)</w:t>
            </w:r>
          </w:p>
          <w:p w14:paraId="5A407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5、网络：1路网口RJ45（10M/100M/1000M以太网自适应）</w:t>
            </w:r>
          </w:p>
          <w:p w14:paraId="0ACE7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6、串口：1路可编程485串口</w:t>
            </w:r>
          </w:p>
          <w:p w14:paraId="69C8E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7、其他接口：3.5音频输入*2</w:t>
            </w:r>
          </w:p>
          <w:p w14:paraId="7841EF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8、指示灯：电源指示灯、视频信号指示灯、数据收发指示灯</w:t>
            </w:r>
          </w:p>
          <w:p w14:paraId="6F8E8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9、电源：DC12V 1.5A 带接地线</w:t>
            </w:r>
          </w:p>
          <w:p w14:paraId="01437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10、功耗：≤10W</w:t>
            </w:r>
          </w:p>
          <w:p w14:paraId="6BCD78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11、温度：工作温度：0℃ ～ +50℃，储存温度：-20℃ ～ +70℃工</w:t>
            </w:r>
          </w:p>
          <w:p w14:paraId="47B6A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12、湿度：作湿度、储存湿度：10% ～ 90%</w:t>
            </w:r>
          </w:p>
          <w:p w14:paraId="629560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13、平均故障间隔时间：30,000 小时</w:t>
            </w:r>
          </w:p>
        </w:tc>
        <w:tc>
          <w:tcPr>
            <w:tcW w:w="810" w:type="dxa"/>
            <w:noWrap/>
            <w:vAlign w:val="center"/>
          </w:tcPr>
          <w:p w14:paraId="007F0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2C555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53CDD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D2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CCC1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5FFD0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多媒体管理平台软件</w:t>
            </w:r>
          </w:p>
        </w:tc>
        <w:tc>
          <w:tcPr>
            <w:tcW w:w="5421" w:type="dxa"/>
            <w:noWrap w:val="0"/>
            <w:vAlign w:val="center"/>
          </w:tcPr>
          <w:p w14:paraId="3327F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1、音频软件功能、人工智能AI软件功能</w:t>
            </w:r>
          </w:p>
          <w:p w14:paraId="50745F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2、视频软件功能：可视化控制平台视频管理核心，采集分发各类视频信号，输出信号支持任意分割、拼接、单屏4---9层开窗，跨屏漫游，缩放，回显，拖拽式切换方式：</w:t>
            </w:r>
          </w:p>
          <w:p w14:paraId="1C57B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3、系统软件具有简单明确的中文操作界面及编程界面，C语言的代码规则。</w:t>
            </w:r>
          </w:p>
        </w:tc>
        <w:tc>
          <w:tcPr>
            <w:tcW w:w="810" w:type="dxa"/>
            <w:noWrap/>
            <w:vAlign w:val="center"/>
          </w:tcPr>
          <w:p w14:paraId="18412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3FA05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756" w:type="dxa"/>
            <w:noWrap w:val="0"/>
            <w:vAlign w:val="center"/>
          </w:tcPr>
          <w:p w14:paraId="3A1DB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6F0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FEA1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006DE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配套设施</w:t>
            </w:r>
          </w:p>
        </w:tc>
        <w:tc>
          <w:tcPr>
            <w:tcW w:w="5421" w:type="dxa"/>
            <w:noWrap w:val="0"/>
            <w:vAlign w:val="center"/>
          </w:tcPr>
          <w:p w14:paraId="398FD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设备连接线，AP,交换机等</w:t>
            </w:r>
          </w:p>
        </w:tc>
        <w:tc>
          <w:tcPr>
            <w:tcW w:w="810" w:type="dxa"/>
            <w:noWrap/>
            <w:vAlign w:val="center"/>
          </w:tcPr>
          <w:p w14:paraId="385E1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rPr>
            </w:pPr>
          </w:p>
        </w:tc>
        <w:tc>
          <w:tcPr>
            <w:tcW w:w="660" w:type="dxa"/>
            <w:noWrap w:val="0"/>
            <w:vAlign w:val="center"/>
          </w:tcPr>
          <w:p w14:paraId="6CB68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u w:val="none"/>
              </w:rPr>
            </w:pPr>
          </w:p>
        </w:tc>
        <w:tc>
          <w:tcPr>
            <w:tcW w:w="756" w:type="dxa"/>
            <w:noWrap w:val="0"/>
            <w:vAlign w:val="center"/>
          </w:tcPr>
          <w:p w14:paraId="59F45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r>
      <w:tr w14:paraId="6944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3F17D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8</w:t>
            </w:r>
          </w:p>
        </w:tc>
        <w:tc>
          <w:tcPr>
            <w:tcW w:w="820" w:type="dxa"/>
            <w:noWrap w:val="0"/>
            <w:vAlign w:val="center"/>
          </w:tcPr>
          <w:p w14:paraId="10BDC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香味机</w:t>
            </w:r>
          </w:p>
        </w:tc>
        <w:tc>
          <w:tcPr>
            <w:tcW w:w="5421" w:type="dxa"/>
            <w:noWrap w:val="0"/>
            <w:vAlign w:val="center"/>
          </w:tcPr>
          <w:p w14:paraId="23B993F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电源方式</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交流电</w:t>
            </w:r>
          </w:p>
          <w:p w14:paraId="4C5F091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rPr>
              <w:t>功能</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加湿</w:t>
            </w:r>
            <w:r>
              <w:rPr>
                <w:rFonts w:hint="eastAsia" w:ascii="宋体" w:hAnsi="宋体" w:eastAsia="宋体" w:cs="宋体"/>
                <w:color w:val="auto"/>
                <w:sz w:val="18"/>
                <w:szCs w:val="18"/>
                <w:highlight w:val="none"/>
                <w:u w:val="none"/>
                <w:lang w:val="en-US" w:eastAsia="zh-CN"/>
              </w:rPr>
              <w:t xml:space="preserve"> 喷雾</w:t>
            </w:r>
          </w:p>
          <w:p w14:paraId="6A152B0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适用面积</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61㎡ 及以上</w:t>
            </w:r>
          </w:p>
          <w:p w14:paraId="177FC15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外形</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方型</w:t>
            </w:r>
          </w:p>
          <w:p w14:paraId="60871CA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噪音</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36dB以下</w:t>
            </w:r>
          </w:p>
          <w:p w14:paraId="1D89391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定时功能</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8小时以上</w:t>
            </w:r>
          </w:p>
          <w:p w14:paraId="14B5A9B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水箱容量</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0.5-1L(含)</w:t>
            </w:r>
          </w:p>
          <w:p w14:paraId="269E7CE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缺水断电保护</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是</w:t>
            </w:r>
          </w:p>
          <w:p w14:paraId="7D43BF3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rPr>
              <w:t>操作方式</w:t>
            </w:r>
            <w:r>
              <w:rPr>
                <w:rFonts w:hint="eastAsia" w:ascii="宋体" w:hAnsi="宋体" w:eastAsia="宋体" w:cs="宋体"/>
                <w:color w:val="auto"/>
                <w:sz w:val="18"/>
                <w:szCs w:val="18"/>
                <w:highlight w:val="none"/>
                <w:u w:val="none"/>
                <w:lang w:val="en-US" w:eastAsia="zh-CN"/>
              </w:rPr>
              <w:t>:体感开关,雷达触碰开关</w:t>
            </w:r>
          </w:p>
          <w:p w14:paraId="01D7528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出雾口数</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1个</w:t>
            </w:r>
          </w:p>
          <w:p w14:paraId="5DCEDB8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额定功率</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30W</w:t>
            </w:r>
          </w:p>
          <w:p w14:paraId="56E1495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颜色</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白色按键,白色WLAN,亮黑按键,亮黑WLAN</w:t>
            </w:r>
          </w:p>
          <w:p w14:paraId="5C27820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是否防烧干</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是</w:t>
            </w:r>
          </w:p>
          <w:p w14:paraId="2C61EE5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是否有定时预约功能</w:t>
            </w:r>
            <w:r>
              <w:rPr>
                <w:rFonts w:hint="eastAsia" w:ascii="宋体" w:hAnsi="宋体" w:eastAsia="宋体" w:cs="宋体"/>
                <w:color w:val="auto"/>
                <w:sz w:val="18"/>
                <w:szCs w:val="18"/>
                <w:highlight w:val="none"/>
                <w:u w:val="none"/>
                <w:lang w:val="en-US" w:eastAsia="zh-CN"/>
              </w:rPr>
              <w:t>:</w:t>
            </w:r>
            <w:r>
              <w:rPr>
                <w:rFonts w:hint="eastAsia" w:ascii="宋体" w:hAnsi="宋体" w:eastAsia="宋体" w:cs="宋体"/>
                <w:color w:val="auto"/>
                <w:sz w:val="18"/>
                <w:szCs w:val="18"/>
                <w:highlight w:val="none"/>
                <w:u w:val="none"/>
              </w:rPr>
              <w:t>是</w:t>
            </w:r>
          </w:p>
          <w:p w14:paraId="6A06308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香味:菜香味定制</w:t>
            </w:r>
          </w:p>
          <w:p w14:paraId="5297786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视频:互动视频</w:t>
            </w:r>
          </w:p>
          <w:p w14:paraId="0CAC2AF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lang w:val="en-US" w:eastAsia="zh-CN"/>
              </w:rPr>
              <w:t>控制系统:定制</w:t>
            </w:r>
          </w:p>
        </w:tc>
        <w:tc>
          <w:tcPr>
            <w:tcW w:w="810" w:type="dxa"/>
            <w:noWrap/>
            <w:vAlign w:val="center"/>
          </w:tcPr>
          <w:p w14:paraId="12D594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lang w:val="en-US" w:eastAsia="zh-CN"/>
              </w:rPr>
            </w:pPr>
          </w:p>
        </w:tc>
        <w:tc>
          <w:tcPr>
            <w:tcW w:w="660" w:type="dxa"/>
            <w:noWrap w:val="0"/>
            <w:vAlign w:val="center"/>
          </w:tcPr>
          <w:p w14:paraId="6D4FEF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lang w:val="en-US" w:eastAsia="zh-CN"/>
              </w:rPr>
            </w:pPr>
          </w:p>
        </w:tc>
        <w:tc>
          <w:tcPr>
            <w:tcW w:w="756" w:type="dxa"/>
            <w:noWrap w:val="0"/>
            <w:vAlign w:val="center"/>
          </w:tcPr>
          <w:p w14:paraId="370837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u w:val="none"/>
                <w:lang w:val="en-US" w:eastAsia="zh-CN"/>
              </w:rPr>
            </w:pPr>
          </w:p>
        </w:tc>
      </w:tr>
      <w:tr w14:paraId="0C37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41" w:type="dxa"/>
            <w:gridSpan w:val="5"/>
            <w:noWrap w:val="0"/>
            <w:vAlign w:val="center"/>
          </w:tcPr>
          <w:p w14:paraId="17D4364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color w:val="auto"/>
                <w:sz w:val="18"/>
                <w:szCs w:val="18"/>
                <w:highlight w:val="none"/>
                <w:u w:val="none"/>
              </w:rPr>
            </w:pPr>
            <w:r>
              <w:rPr>
                <w:rFonts w:hint="eastAsia" w:ascii="宋体" w:hAnsi="宋体" w:eastAsia="宋体" w:cs="宋体"/>
                <w:b/>
                <w:color w:val="auto"/>
                <w:sz w:val="18"/>
                <w:szCs w:val="18"/>
                <w:highlight w:val="none"/>
                <w:u w:val="none"/>
              </w:rPr>
              <w:t>说明：</w:t>
            </w:r>
          </w:p>
          <w:p w14:paraId="3CBB8EE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r>
              <w:rPr>
                <w:rFonts w:hint="eastAsia" w:ascii="宋体" w:hAnsi="宋体" w:eastAsia="宋体" w:cs="宋体"/>
                <w:b/>
                <w:bCs/>
                <w:color w:val="auto"/>
                <w:sz w:val="18"/>
                <w:szCs w:val="18"/>
                <w:highlight w:val="none"/>
                <w:u w:val="none"/>
              </w:rPr>
              <w:t>1、新设备安装及调试，光纤电缆铺设，包安装辅材等，投标</w:t>
            </w:r>
            <w:r>
              <w:rPr>
                <w:rFonts w:hint="eastAsia" w:ascii="宋体" w:hAnsi="宋体" w:eastAsia="宋体" w:cs="宋体"/>
                <w:b/>
                <w:color w:val="auto"/>
                <w:sz w:val="18"/>
                <w:szCs w:val="18"/>
                <w:highlight w:val="none"/>
                <w:u w:val="none"/>
              </w:rPr>
              <w:t>供应商提供的方案需经采购人审核确认后，方可</w:t>
            </w:r>
            <w:r>
              <w:rPr>
                <w:rFonts w:hint="eastAsia" w:ascii="宋体" w:hAnsi="宋体" w:eastAsia="宋体" w:cs="宋体"/>
                <w:b/>
                <w:color w:val="auto"/>
                <w:sz w:val="18"/>
                <w:szCs w:val="18"/>
                <w:highlight w:val="none"/>
                <w:u w:val="none"/>
                <w:lang w:val="en-US" w:eastAsia="zh-CN"/>
              </w:rPr>
              <w:t>安装</w:t>
            </w:r>
            <w:r>
              <w:rPr>
                <w:rFonts w:hint="eastAsia" w:ascii="宋体" w:hAnsi="宋体" w:eastAsia="宋体" w:cs="宋体"/>
                <w:b/>
                <w:color w:val="auto"/>
                <w:sz w:val="18"/>
                <w:szCs w:val="18"/>
                <w:highlight w:val="none"/>
                <w:u w:val="none"/>
              </w:rPr>
              <w:t>。</w:t>
            </w:r>
          </w:p>
          <w:p w14:paraId="1CD87BF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r>
              <w:rPr>
                <w:rFonts w:hint="eastAsia" w:ascii="宋体" w:hAnsi="宋体" w:eastAsia="宋体" w:cs="宋体"/>
                <w:b/>
                <w:bCs/>
                <w:color w:val="auto"/>
                <w:sz w:val="18"/>
                <w:szCs w:val="18"/>
                <w:highlight w:val="none"/>
                <w:u w:val="none"/>
              </w:rPr>
              <w:t>2、为完成本项目所必需的未列入采购清单的其他配件投标供应商需无偿提供。</w:t>
            </w:r>
          </w:p>
          <w:p w14:paraId="52403E2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lang w:val="en-US" w:eastAsia="zh-CN"/>
              </w:rPr>
            </w:pPr>
            <w:r>
              <w:rPr>
                <w:rFonts w:hint="eastAsia" w:ascii="宋体" w:hAnsi="宋体" w:eastAsia="宋体" w:cs="宋体"/>
                <w:b/>
                <w:bCs/>
                <w:color w:val="auto"/>
                <w:sz w:val="18"/>
                <w:szCs w:val="18"/>
                <w:highlight w:val="none"/>
                <w:u w:val="none"/>
              </w:rPr>
              <w:t>3、采购文件与采购清单中所列的设备材料品牌型号仅为参考，是为了对拟投标的设备、材料的技术指标和功能要求、档次更好的说明，欢迎其他能满足本项目技术需求且性能、档次与所明确品牌相当的产品参加。投标供应商选用非采购人参考品牌型号产品投标的，需提供详细的技术规格和选用标准、理由，并须达到采购人需求，同时在</w:t>
            </w:r>
            <w:r>
              <w:rPr>
                <w:rFonts w:hint="eastAsia" w:ascii="宋体" w:hAnsi="宋体" w:eastAsia="宋体" w:cs="宋体"/>
                <w:b/>
                <w:bCs/>
                <w:color w:val="auto"/>
                <w:sz w:val="18"/>
                <w:szCs w:val="18"/>
                <w:highlight w:val="none"/>
                <w:u w:val="none"/>
                <w:lang w:eastAsia="zh-CN"/>
              </w:rPr>
              <w:t>技术响应表</w:t>
            </w:r>
            <w:r>
              <w:rPr>
                <w:rFonts w:hint="eastAsia" w:ascii="宋体" w:hAnsi="宋体" w:eastAsia="宋体" w:cs="宋体"/>
                <w:b/>
                <w:bCs/>
                <w:color w:val="auto"/>
                <w:sz w:val="18"/>
                <w:szCs w:val="18"/>
                <w:highlight w:val="none"/>
                <w:u w:val="none"/>
              </w:rPr>
              <w:t>中做出详细说明，否则评标委员会可以判定存在负偏差给予扣分，甚至无效标处理。</w:t>
            </w:r>
          </w:p>
        </w:tc>
        <w:tc>
          <w:tcPr>
            <w:tcW w:w="756" w:type="dxa"/>
            <w:noWrap w:val="0"/>
            <w:vAlign w:val="center"/>
          </w:tcPr>
          <w:p w14:paraId="4CC8AEE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u w:val="none"/>
              </w:rPr>
            </w:pPr>
          </w:p>
        </w:tc>
      </w:tr>
    </w:tbl>
    <w:p w14:paraId="00DE34FE">
      <w:pPr>
        <w:pStyle w:val="10"/>
        <w:keepNext w:val="0"/>
        <w:keepLines w:val="0"/>
        <w:pageBreakBefore w:val="0"/>
        <w:widowControl w:val="0"/>
        <w:kinsoku/>
        <w:wordWrap/>
        <w:overflowPunct/>
        <w:topLinePunct w:val="0"/>
        <w:bidi w:val="0"/>
        <w:snapToGrid/>
        <w:spacing w:after="0"/>
        <w:ind w:left="0" w:leftChars="0" w:firstLine="422" w:firstLineChars="200"/>
        <w:textAlignment w:val="auto"/>
        <w:rPr>
          <w:rFonts w:hint="eastAsia" w:ascii="宋体" w:hAnsi="宋体" w:eastAsia="宋体" w:cs="宋体"/>
          <w:b/>
          <w:bCs/>
          <w:highlight w:val="none"/>
          <w:u w:val="single"/>
        </w:rPr>
      </w:pPr>
    </w:p>
    <w:p w14:paraId="0EA92218">
      <w:pPr>
        <w:pStyle w:val="10"/>
        <w:keepNext w:val="0"/>
        <w:keepLines w:val="0"/>
        <w:pageBreakBefore w:val="0"/>
        <w:widowControl w:val="0"/>
        <w:kinsoku/>
        <w:wordWrap/>
        <w:overflowPunct/>
        <w:topLinePunct w:val="0"/>
        <w:bidi w:val="0"/>
        <w:snapToGrid/>
        <w:spacing w:after="0"/>
        <w:ind w:left="0" w:leftChars="0" w:firstLine="422" w:firstLineChars="200"/>
        <w:textAlignment w:val="auto"/>
        <w:rPr>
          <w:rFonts w:hint="eastAsia" w:ascii="宋体" w:hAnsi="宋体" w:eastAsia="宋体" w:cs="宋体"/>
          <w:b/>
          <w:bCs/>
          <w:highlight w:val="none"/>
          <w:u w:val="single"/>
        </w:rPr>
      </w:pPr>
      <w:r>
        <w:rPr>
          <w:rFonts w:hint="eastAsia" w:ascii="宋体" w:hAnsi="宋体" w:eastAsia="宋体" w:cs="宋体"/>
          <w:b/>
          <w:bCs/>
          <w:highlight w:val="none"/>
          <w:u w:val="single"/>
        </w:rPr>
        <w:t>1、其他一般参数偏离情况，请在“附件</w:t>
      </w:r>
      <w:r>
        <w:rPr>
          <w:rFonts w:hint="eastAsia" w:ascii="宋体" w:hAnsi="宋体" w:eastAsia="宋体" w:cs="宋体"/>
          <w:b/>
          <w:bCs/>
          <w:highlight w:val="none"/>
          <w:u w:val="single"/>
          <w:lang w:val="en-US" w:eastAsia="zh-CN"/>
        </w:rPr>
        <w:t>二</w:t>
      </w:r>
      <w:r>
        <w:rPr>
          <w:rFonts w:hint="eastAsia" w:ascii="宋体" w:hAnsi="宋体" w:eastAsia="宋体" w:cs="宋体"/>
          <w:b/>
          <w:bCs/>
          <w:highlight w:val="none"/>
          <w:u w:val="single"/>
        </w:rPr>
        <w:t>技术规格、商务条款偏离表”中说明。</w:t>
      </w:r>
    </w:p>
    <w:p w14:paraId="0DDB4520">
      <w:pPr>
        <w:pStyle w:val="10"/>
        <w:keepNext w:val="0"/>
        <w:keepLines w:val="0"/>
        <w:pageBreakBefore w:val="0"/>
        <w:widowControl w:val="0"/>
        <w:kinsoku/>
        <w:wordWrap/>
        <w:overflowPunct/>
        <w:topLinePunct w:val="0"/>
        <w:bidi w:val="0"/>
        <w:snapToGrid/>
        <w:spacing w:after="0"/>
        <w:ind w:left="0" w:leftChars="0" w:firstLine="422" w:firstLineChars="200"/>
        <w:textAlignment w:val="auto"/>
        <w:rPr>
          <w:rFonts w:hint="eastAsia" w:ascii="宋体" w:hAnsi="宋体" w:eastAsia="宋体" w:cs="宋体"/>
          <w:b/>
          <w:bCs/>
          <w:highlight w:val="none"/>
          <w:u w:val="single"/>
        </w:rPr>
      </w:pPr>
      <w:r>
        <w:rPr>
          <w:rFonts w:hint="eastAsia" w:ascii="宋体" w:hAnsi="宋体" w:eastAsia="宋体" w:cs="宋体"/>
          <w:b/>
          <w:bCs/>
          <w:highlight w:val="none"/>
          <w:u w:val="single"/>
        </w:rPr>
        <w:t>2、▲投标人应按照</w:t>
      </w:r>
      <w:r>
        <w:rPr>
          <w:rFonts w:hint="eastAsia" w:ascii="宋体" w:hAnsi="宋体" w:eastAsia="宋体" w:cs="宋体"/>
          <w:b/>
          <w:bCs/>
          <w:highlight w:val="none"/>
          <w:u w:val="single"/>
          <w:lang w:val="en-US" w:eastAsia="zh-CN"/>
        </w:rPr>
        <w:t>主要</w:t>
      </w:r>
      <w:r>
        <w:rPr>
          <w:rFonts w:hint="eastAsia" w:ascii="宋体" w:hAnsi="宋体" w:eastAsia="宋体" w:cs="宋体"/>
          <w:b/>
          <w:bCs/>
          <w:highlight w:val="none"/>
          <w:u w:val="single"/>
        </w:rPr>
        <w:t>技术参数响应情况表中的要求准备证明材料（如证书、检测报告、截图等 ），未按要求提供证明材料的，视为负偏离。如发现投标人“</w:t>
      </w:r>
      <w:r>
        <w:rPr>
          <w:rFonts w:hint="eastAsia" w:ascii="宋体" w:hAnsi="宋体" w:eastAsia="宋体" w:cs="宋体"/>
          <w:b/>
          <w:bCs/>
          <w:highlight w:val="none"/>
          <w:u w:val="single"/>
          <w:lang w:eastAsia="zh-CN"/>
        </w:rPr>
        <w:t>主要技术参数响应情况表</w:t>
      </w:r>
      <w:r>
        <w:rPr>
          <w:rFonts w:hint="eastAsia" w:ascii="宋体" w:hAnsi="宋体" w:eastAsia="宋体" w:cs="宋体"/>
          <w:b/>
          <w:bCs/>
          <w:highlight w:val="none"/>
          <w:u w:val="single"/>
        </w:rPr>
        <w:t>”中存在作假行为的，将取消其中标资格，没收其投标保证金，并专门向有关上级主管部门汇报其违法行为；合同实行过程中还发现存在造假行为的，扣除履约保证金，给采购人造成损失的，采购人保留进一步追究其违法责任的权力。</w:t>
      </w:r>
    </w:p>
    <w:p w14:paraId="796CACCA">
      <w:pPr>
        <w:pStyle w:val="10"/>
        <w:keepNext w:val="0"/>
        <w:keepLines w:val="0"/>
        <w:pageBreakBefore w:val="0"/>
        <w:widowControl w:val="0"/>
        <w:kinsoku/>
        <w:wordWrap/>
        <w:overflowPunct/>
        <w:topLinePunct w:val="0"/>
        <w:bidi w:val="0"/>
        <w:snapToGrid/>
        <w:spacing w:after="0"/>
        <w:ind w:left="0" w:leftChars="0" w:firstLine="422" w:firstLineChars="200"/>
        <w:textAlignment w:val="auto"/>
        <w:rPr>
          <w:rFonts w:hint="eastAsia" w:ascii="宋体" w:hAnsi="宋体" w:eastAsia="宋体" w:cs="宋体"/>
          <w:b/>
          <w:bCs/>
          <w:highlight w:val="none"/>
          <w:u w:val="single"/>
        </w:rPr>
      </w:pPr>
      <w:r>
        <w:rPr>
          <w:rFonts w:hint="eastAsia" w:ascii="宋体" w:hAnsi="宋体" w:eastAsia="宋体" w:cs="宋体"/>
          <w:b/>
          <w:bCs/>
          <w:highlight w:val="none"/>
          <w:u w:val="single"/>
        </w:rPr>
        <w:t>3、要求提供的证书、截图、检测报告、证明等资料均只须提供复印件加盖投标人公章即可。</w:t>
      </w:r>
    </w:p>
    <w:p w14:paraId="7113FB5E">
      <w:pPr>
        <w:keepNext w:val="0"/>
        <w:keepLines w:val="0"/>
        <w:pageBreakBefore w:val="0"/>
        <w:widowControl w:val="0"/>
        <w:kinsoku/>
        <w:wordWrap/>
        <w:overflowPunct/>
        <w:topLinePunct w:val="0"/>
        <w:bidi w:val="0"/>
        <w:snapToGrid/>
        <w:spacing w:before="240" w:beforeLines="100" w:line="360" w:lineRule="auto"/>
        <w:ind w:right="-21" w:rightChars="-10"/>
        <w:textAlignment w:val="auto"/>
        <w:rPr>
          <w:rFonts w:hint="eastAsia" w:ascii="宋体" w:hAnsi="宋体" w:eastAsia="宋体" w:cs="宋体"/>
          <w:sz w:val="24"/>
          <w:highlight w:val="none"/>
        </w:rPr>
      </w:pPr>
    </w:p>
    <w:p w14:paraId="27E0CE92">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2A49FFCC">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法定代表人或授权代表（签字或盖章）：</w:t>
      </w:r>
    </w:p>
    <w:p w14:paraId="29D4355F">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440C5FC9">
      <w:pPr>
        <w:rPr>
          <w:rFonts w:hint="eastAsia" w:ascii="宋体" w:hAnsi="宋体" w:eastAsia="宋体" w:cs="宋体"/>
          <w:highlight w:val="none"/>
        </w:rPr>
      </w:pPr>
      <w:r>
        <w:rPr>
          <w:rFonts w:hint="eastAsia" w:ascii="宋体" w:hAnsi="宋体" w:eastAsia="宋体" w:cs="宋体"/>
          <w:b/>
          <w:bCs/>
          <w:color w:val="auto"/>
          <w:sz w:val="24"/>
          <w:highlight w:val="none"/>
        </w:rPr>
        <w:br w:type="page"/>
      </w:r>
    </w:p>
    <w:p w14:paraId="33237746">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14:paraId="450D0E6C">
      <w:pPr>
        <w:rPr>
          <w:rFonts w:hint="eastAsia" w:ascii="宋体" w:hAnsi="宋体" w:eastAsia="宋体" w:cs="宋体"/>
          <w:szCs w:val="24"/>
          <w:highlight w:val="none"/>
        </w:rPr>
      </w:pPr>
    </w:p>
    <w:p w14:paraId="6991AC55">
      <w:pPr>
        <w:rPr>
          <w:rFonts w:hint="eastAsia" w:ascii="宋体" w:hAnsi="宋体" w:eastAsia="宋体" w:cs="宋体"/>
          <w:szCs w:val="24"/>
          <w:highlight w:val="none"/>
        </w:rPr>
      </w:pPr>
    </w:p>
    <w:p w14:paraId="0CCEE798">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3A793B4D">
      <w:pPr>
        <w:ind w:left="562" w:hanging="562" w:hangingChars="200"/>
        <w:jc w:val="right"/>
        <w:rPr>
          <w:rFonts w:hint="eastAsia" w:ascii="宋体" w:hAnsi="宋体" w:eastAsia="宋体" w:cs="宋体"/>
          <w:b/>
          <w:bCs/>
          <w:sz w:val="28"/>
          <w:szCs w:val="28"/>
          <w:highlight w:val="none"/>
        </w:rPr>
      </w:pPr>
    </w:p>
    <w:p w14:paraId="4172E9FD">
      <w:pPr>
        <w:rPr>
          <w:rFonts w:hint="eastAsia" w:ascii="宋体" w:hAnsi="宋体" w:eastAsia="宋体" w:cs="宋体"/>
          <w:szCs w:val="24"/>
          <w:highlight w:val="none"/>
        </w:rPr>
      </w:pPr>
    </w:p>
    <w:p w14:paraId="09EFB218">
      <w:pPr>
        <w:ind w:left="480" w:hanging="480" w:hangingChars="200"/>
        <w:rPr>
          <w:rFonts w:hint="eastAsia" w:ascii="宋体" w:hAnsi="宋体" w:eastAsia="宋体" w:cs="宋体"/>
          <w:sz w:val="24"/>
          <w:szCs w:val="24"/>
          <w:highlight w:val="none"/>
        </w:rPr>
      </w:pPr>
    </w:p>
    <w:p w14:paraId="7F80405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14:paraId="0DF31276">
      <w:pPr>
        <w:rPr>
          <w:rFonts w:hint="eastAsia" w:ascii="宋体" w:hAnsi="宋体" w:eastAsia="宋体" w:cs="宋体"/>
          <w:sz w:val="28"/>
          <w:szCs w:val="28"/>
          <w:highlight w:val="none"/>
        </w:rPr>
      </w:pPr>
    </w:p>
    <w:p w14:paraId="5A6CCC35">
      <w:pPr>
        <w:rPr>
          <w:rFonts w:hint="eastAsia" w:ascii="宋体" w:hAnsi="宋体" w:eastAsia="宋体" w:cs="宋体"/>
          <w:sz w:val="28"/>
          <w:szCs w:val="28"/>
          <w:highlight w:val="none"/>
        </w:rPr>
      </w:pPr>
    </w:p>
    <w:p w14:paraId="423C9C2A">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282ECEA7">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3C343B81">
      <w:pPr>
        <w:rPr>
          <w:rFonts w:hint="eastAsia" w:ascii="宋体" w:hAnsi="宋体" w:eastAsia="宋体" w:cs="宋体"/>
          <w:sz w:val="28"/>
          <w:szCs w:val="28"/>
          <w:highlight w:val="none"/>
        </w:rPr>
      </w:pPr>
    </w:p>
    <w:p w14:paraId="7458D27C">
      <w:pPr>
        <w:rPr>
          <w:rFonts w:hint="eastAsia" w:ascii="宋体" w:hAnsi="宋体" w:eastAsia="宋体" w:cs="宋体"/>
          <w:sz w:val="28"/>
          <w:szCs w:val="28"/>
          <w:highlight w:val="none"/>
        </w:rPr>
      </w:pPr>
    </w:p>
    <w:p w14:paraId="71D5C955">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14:paraId="2592D9E3">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14:paraId="019C69C9">
      <w:pPr>
        <w:spacing w:line="360" w:lineRule="auto"/>
        <w:rPr>
          <w:rFonts w:hint="eastAsia" w:ascii="宋体" w:hAnsi="宋体" w:eastAsia="宋体" w:cs="宋体"/>
          <w:szCs w:val="21"/>
          <w:highlight w:val="none"/>
        </w:rPr>
      </w:pPr>
    </w:p>
    <w:p w14:paraId="60FD2A49">
      <w:pPr>
        <w:spacing w:line="360" w:lineRule="auto"/>
        <w:rPr>
          <w:rFonts w:hint="eastAsia" w:ascii="宋体" w:hAnsi="宋体" w:eastAsia="宋体" w:cs="宋体"/>
          <w:szCs w:val="21"/>
          <w:highlight w:val="none"/>
        </w:rPr>
      </w:pPr>
    </w:p>
    <w:p w14:paraId="6B5BCD88">
      <w:pPr>
        <w:spacing w:line="360" w:lineRule="auto"/>
        <w:rPr>
          <w:rFonts w:hint="eastAsia" w:ascii="宋体" w:hAnsi="宋体" w:eastAsia="宋体" w:cs="宋体"/>
          <w:szCs w:val="21"/>
          <w:highlight w:val="none"/>
        </w:rPr>
      </w:pPr>
    </w:p>
    <w:p w14:paraId="6D63C786">
      <w:pPr>
        <w:spacing w:line="360" w:lineRule="auto"/>
        <w:rPr>
          <w:rFonts w:hint="eastAsia" w:ascii="宋体" w:hAnsi="宋体" w:eastAsia="宋体" w:cs="宋体"/>
          <w:szCs w:val="21"/>
          <w:highlight w:val="none"/>
        </w:rPr>
      </w:pPr>
    </w:p>
    <w:p w14:paraId="177AAAE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0301A405">
      <w:pPr>
        <w:rPr>
          <w:rFonts w:hint="eastAsia" w:ascii="宋体" w:hAnsi="宋体" w:eastAsia="宋体" w:cs="宋体"/>
          <w:sz w:val="28"/>
          <w:szCs w:val="28"/>
          <w:highlight w:val="none"/>
          <w:u w:val="single"/>
        </w:rPr>
      </w:pPr>
    </w:p>
    <w:p w14:paraId="4DD23B1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62792AE7">
      <w:pPr>
        <w:rPr>
          <w:rFonts w:hint="eastAsia" w:ascii="宋体" w:hAnsi="宋体" w:eastAsia="宋体" w:cs="宋体"/>
          <w:sz w:val="28"/>
          <w:szCs w:val="28"/>
          <w:highlight w:val="none"/>
        </w:rPr>
      </w:pPr>
    </w:p>
    <w:p w14:paraId="64840FDA">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99D3FA5">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八</w:t>
      </w:r>
      <w:r>
        <w:rPr>
          <w:rFonts w:hint="eastAsia" w:ascii="宋体" w:hAnsi="宋体" w:eastAsia="宋体" w:cs="宋体"/>
          <w:b/>
          <w:bCs/>
          <w:sz w:val="22"/>
          <w:highlight w:val="none"/>
        </w:rPr>
        <w:t xml:space="preserve"> </w:t>
      </w:r>
    </w:p>
    <w:p w14:paraId="172BE0A7">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14:paraId="61CC141E">
      <w:pPr>
        <w:spacing w:line="380" w:lineRule="exact"/>
        <w:jc w:val="center"/>
        <w:rPr>
          <w:rFonts w:hint="eastAsia" w:ascii="宋体" w:hAnsi="宋体" w:eastAsia="宋体" w:cs="宋体"/>
          <w:bCs/>
          <w:sz w:val="28"/>
          <w:szCs w:val="24"/>
          <w:highlight w:val="none"/>
        </w:rPr>
      </w:pPr>
    </w:p>
    <w:p w14:paraId="10E59B1B">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4670"/>
        <w:gridCol w:w="1746"/>
      </w:tblGrid>
      <w:tr w14:paraId="58A8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14:paraId="13CE8C55">
            <w:pPr>
              <w:jc w:val="center"/>
              <w:rPr>
                <w:rFonts w:hint="eastAsia" w:ascii="宋体" w:hAnsi="宋体" w:eastAsia="宋体" w:cs="宋体"/>
                <w:sz w:val="22"/>
                <w:highlight w:val="none"/>
              </w:rPr>
            </w:pPr>
            <w:r>
              <w:rPr>
                <w:rFonts w:hint="eastAsia" w:ascii="宋体" w:hAnsi="宋体" w:eastAsia="宋体" w:cs="宋体"/>
                <w:sz w:val="22"/>
                <w:highlight w:val="none"/>
              </w:rPr>
              <w:t>项目名称</w:t>
            </w:r>
          </w:p>
        </w:tc>
        <w:tc>
          <w:tcPr>
            <w:tcW w:w="4670" w:type="dxa"/>
            <w:tcBorders>
              <w:top w:val="single" w:color="auto" w:sz="4" w:space="0"/>
              <w:left w:val="single" w:color="auto" w:sz="4" w:space="0"/>
              <w:bottom w:val="single" w:color="auto" w:sz="4" w:space="0"/>
              <w:right w:val="single" w:color="auto" w:sz="4" w:space="0"/>
            </w:tcBorders>
            <w:vAlign w:val="center"/>
          </w:tcPr>
          <w:p w14:paraId="3B355E96">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rPr>
              <w:t>投标总报价（元）</w:t>
            </w:r>
          </w:p>
        </w:tc>
        <w:tc>
          <w:tcPr>
            <w:tcW w:w="1746" w:type="dxa"/>
            <w:tcBorders>
              <w:top w:val="single" w:color="auto" w:sz="4" w:space="0"/>
              <w:left w:val="single" w:color="auto" w:sz="4" w:space="0"/>
              <w:bottom w:val="single" w:color="auto" w:sz="4" w:space="0"/>
              <w:right w:val="single" w:color="auto" w:sz="4" w:space="0"/>
            </w:tcBorders>
            <w:vAlign w:val="center"/>
          </w:tcPr>
          <w:p w14:paraId="1328760D">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14:paraId="16BC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509" w:type="dxa"/>
            <w:tcBorders>
              <w:top w:val="single" w:color="auto" w:sz="4" w:space="0"/>
              <w:left w:val="single" w:color="auto" w:sz="4" w:space="0"/>
              <w:bottom w:val="single" w:color="auto" w:sz="4" w:space="0"/>
              <w:right w:val="single" w:color="auto" w:sz="4" w:space="0"/>
            </w:tcBorders>
            <w:vAlign w:val="center"/>
          </w:tcPr>
          <w:p w14:paraId="47E28A95">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预制菜产业科技园办公设备及多媒体设备</w:t>
            </w:r>
          </w:p>
        </w:tc>
        <w:tc>
          <w:tcPr>
            <w:tcW w:w="4670" w:type="dxa"/>
            <w:tcBorders>
              <w:top w:val="single" w:color="auto" w:sz="4" w:space="0"/>
              <w:left w:val="single" w:color="auto" w:sz="4" w:space="0"/>
              <w:bottom w:val="single" w:color="auto" w:sz="4" w:space="0"/>
              <w:right w:val="single" w:color="auto" w:sz="4" w:space="0"/>
            </w:tcBorders>
            <w:vAlign w:val="center"/>
          </w:tcPr>
          <w:p w14:paraId="1C9F9B24">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14:paraId="2A3252BC">
            <w:pPr>
              <w:jc w:val="both"/>
              <w:rPr>
                <w:rFonts w:hint="eastAsia" w:ascii="宋体" w:hAnsi="宋体" w:eastAsia="宋体" w:cs="宋体"/>
                <w:sz w:val="22"/>
                <w:highlight w:val="none"/>
                <w:lang w:val="en-US" w:eastAsia="zh-CN"/>
              </w:rPr>
            </w:pPr>
            <w:r>
              <w:rPr>
                <w:rFonts w:hint="eastAsia" w:ascii="宋体" w:hAnsi="宋体" w:eastAsia="宋体" w:cs="宋体"/>
                <w:sz w:val="22"/>
                <w:highlight w:val="none"/>
              </w:rPr>
              <w:t>小写：</w:t>
            </w:r>
          </w:p>
        </w:tc>
        <w:tc>
          <w:tcPr>
            <w:tcW w:w="1746" w:type="dxa"/>
            <w:tcBorders>
              <w:top w:val="single" w:color="auto" w:sz="4" w:space="0"/>
              <w:left w:val="single" w:color="auto" w:sz="4" w:space="0"/>
              <w:right w:val="single" w:color="auto" w:sz="4" w:space="0"/>
            </w:tcBorders>
            <w:vAlign w:val="center"/>
          </w:tcPr>
          <w:p w14:paraId="371E61A9">
            <w:pPr>
              <w:jc w:val="center"/>
              <w:rPr>
                <w:rFonts w:hint="eastAsia" w:ascii="宋体" w:hAnsi="宋体" w:eastAsia="宋体" w:cs="宋体"/>
                <w:sz w:val="22"/>
                <w:highlight w:val="none"/>
              </w:rPr>
            </w:pPr>
          </w:p>
        </w:tc>
      </w:tr>
    </w:tbl>
    <w:p w14:paraId="1AAD3790">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14:paraId="5249D64E">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14:paraId="49306484">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lang w:val="en-US" w:eastAsia="zh-CN"/>
        </w:rPr>
        <w:t>2</w:t>
      </w:r>
      <w:r>
        <w:rPr>
          <w:rFonts w:hint="eastAsia" w:ascii="宋体" w:hAnsi="宋体" w:eastAsia="宋体" w:cs="宋体"/>
          <w:sz w:val="22"/>
          <w:szCs w:val="24"/>
          <w:highlight w:val="none"/>
          <w:u w:val="single"/>
        </w:rPr>
        <w:t>、▲不提供此表格将被视为没有满足采购文件的实质性要求</w:t>
      </w:r>
      <w:r>
        <w:rPr>
          <w:rFonts w:hint="eastAsia" w:ascii="宋体" w:hAnsi="宋体" w:eastAsia="宋体" w:cs="宋体"/>
          <w:sz w:val="22"/>
          <w:szCs w:val="24"/>
          <w:highlight w:val="none"/>
        </w:rPr>
        <w:t>。</w:t>
      </w:r>
    </w:p>
    <w:p w14:paraId="4B06C310">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lang w:val="en-US" w:eastAsia="zh-CN"/>
        </w:rPr>
        <w:t>3</w:t>
      </w:r>
      <w:r>
        <w:rPr>
          <w:rFonts w:hint="eastAsia" w:ascii="宋体" w:hAnsi="宋体" w:eastAsia="宋体" w:cs="宋体"/>
          <w:sz w:val="22"/>
          <w:szCs w:val="24"/>
          <w:highlight w:val="none"/>
          <w:u w:val="single"/>
        </w:rPr>
        <w:t>、▲以上报价不得出现在技术标中</w:t>
      </w:r>
      <w:r>
        <w:rPr>
          <w:rFonts w:hint="eastAsia" w:ascii="宋体" w:hAnsi="宋体" w:eastAsia="宋体" w:cs="宋体"/>
          <w:sz w:val="22"/>
          <w:szCs w:val="24"/>
          <w:highlight w:val="none"/>
        </w:rPr>
        <w:t>。</w:t>
      </w:r>
    </w:p>
    <w:p w14:paraId="76832E27">
      <w:pPr>
        <w:spacing w:line="380" w:lineRule="exact"/>
        <w:rPr>
          <w:rFonts w:hint="eastAsia" w:ascii="宋体" w:hAnsi="宋体" w:eastAsia="宋体" w:cs="宋体"/>
          <w:b/>
          <w:bCs/>
          <w:sz w:val="22"/>
          <w:highlight w:val="none"/>
          <w:u w:val="single"/>
        </w:rPr>
      </w:pPr>
    </w:p>
    <w:p w14:paraId="4B83DC27">
      <w:pPr>
        <w:spacing w:line="380" w:lineRule="exact"/>
        <w:rPr>
          <w:rFonts w:hint="eastAsia" w:ascii="宋体" w:hAnsi="宋体" w:eastAsia="宋体" w:cs="宋体"/>
          <w:sz w:val="22"/>
          <w:szCs w:val="24"/>
          <w:highlight w:val="none"/>
        </w:rPr>
      </w:pPr>
    </w:p>
    <w:p w14:paraId="6AC0EFBF">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1039F893">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0FE50536">
      <w:pPr>
        <w:rPr>
          <w:rFonts w:hint="eastAsia" w:ascii="宋体" w:hAnsi="宋体" w:eastAsia="宋体" w:cs="宋体"/>
          <w:sz w:val="22"/>
          <w:highlight w:val="none"/>
        </w:rPr>
      </w:pPr>
      <w:r>
        <w:rPr>
          <w:rFonts w:hint="eastAsia" w:ascii="宋体" w:hAnsi="宋体" w:eastAsia="宋体" w:cs="宋体"/>
          <w:sz w:val="22"/>
          <w:highlight w:val="none"/>
        </w:rPr>
        <w:t>日  期：</w:t>
      </w:r>
    </w:p>
    <w:p w14:paraId="4270E08C">
      <w:pPr>
        <w:rPr>
          <w:rFonts w:hint="eastAsia" w:ascii="宋体" w:hAnsi="宋体" w:eastAsia="宋体" w:cs="宋体"/>
          <w:sz w:val="22"/>
          <w:highlight w:val="none"/>
        </w:rPr>
      </w:pPr>
      <w:r>
        <w:rPr>
          <w:rFonts w:hint="eastAsia" w:ascii="宋体" w:hAnsi="宋体" w:eastAsia="宋体" w:cs="宋体"/>
          <w:sz w:val="22"/>
          <w:highlight w:val="none"/>
        </w:rPr>
        <w:br w:type="page"/>
      </w:r>
    </w:p>
    <w:p w14:paraId="75941525">
      <w:pPr>
        <w:spacing w:line="380" w:lineRule="exact"/>
        <w:rPr>
          <w:rFonts w:hint="eastAsia" w:ascii="宋体" w:hAnsi="宋体" w:eastAsia="宋体" w:cs="宋体"/>
          <w:b/>
          <w:bCs/>
          <w:sz w:val="22"/>
          <w:highlight w:val="none"/>
          <w:lang w:val="en-US" w:eastAsia="zh-CN"/>
        </w:rPr>
      </w:pP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九</w:t>
      </w:r>
    </w:p>
    <w:p w14:paraId="787543AE">
      <w:pPr>
        <w:pStyle w:val="57"/>
        <w:spacing w:line="440" w:lineRule="exact"/>
        <w:ind w:firstLine="0" w:firstLineChars="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投标分项报价表1</w:t>
      </w:r>
    </w:p>
    <w:p w14:paraId="67BE5093">
      <w:pPr>
        <w:spacing w:line="380" w:lineRule="exact"/>
        <w:jc w:val="center"/>
        <w:rPr>
          <w:rFonts w:hint="eastAsia" w:ascii="宋体" w:hAnsi="宋体" w:eastAsia="宋体" w:cs="宋体"/>
          <w:b/>
          <w:bCs/>
          <w:sz w:val="22"/>
          <w:szCs w:val="22"/>
          <w:highlight w:val="none"/>
        </w:rPr>
      </w:pPr>
    </w:p>
    <w:p w14:paraId="5212CDBE">
      <w:pPr>
        <w:spacing w:line="38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r>
        <w:rPr>
          <w:rFonts w:hint="eastAsia" w:ascii="宋体" w:hAnsi="宋体" w:eastAsia="宋体" w:cs="宋体"/>
          <w:sz w:val="22"/>
          <w:szCs w:val="22"/>
          <w:highlight w:val="none"/>
        </w:rPr>
        <w:t xml:space="preserve">                           </w:t>
      </w:r>
      <w:r>
        <w:rPr>
          <w:rFonts w:hint="eastAsia" w:ascii="宋体" w:hAnsi="宋体" w:eastAsia="宋体" w:cs="宋体"/>
          <w:b/>
          <w:bCs/>
          <w:sz w:val="22"/>
          <w:szCs w:val="22"/>
          <w:highlight w:val="none"/>
        </w:rPr>
        <w:t>项目编号：</w:t>
      </w:r>
    </w:p>
    <w:tbl>
      <w:tblPr>
        <w:tblStyle w:val="25"/>
        <w:tblW w:w="8819" w:type="dxa"/>
        <w:jc w:val="center"/>
        <w:tblLayout w:type="fixed"/>
        <w:tblCellMar>
          <w:top w:w="0" w:type="dxa"/>
          <w:left w:w="108" w:type="dxa"/>
          <w:bottom w:w="0" w:type="dxa"/>
          <w:right w:w="108" w:type="dxa"/>
        </w:tblCellMar>
      </w:tblPr>
      <w:tblGrid>
        <w:gridCol w:w="593"/>
        <w:gridCol w:w="1578"/>
        <w:gridCol w:w="2691"/>
        <w:gridCol w:w="731"/>
        <w:gridCol w:w="1586"/>
        <w:gridCol w:w="1640"/>
      </w:tblGrid>
      <w:tr w14:paraId="189B2F77">
        <w:tblPrEx>
          <w:tblCellMar>
            <w:top w:w="0" w:type="dxa"/>
            <w:left w:w="108" w:type="dxa"/>
            <w:bottom w:w="0" w:type="dxa"/>
            <w:right w:w="108" w:type="dxa"/>
          </w:tblCellMar>
        </w:tblPrEx>
        <w:trPr>
          <w:trHeight w:val="280" w:hRule="atLeast"/>
          <w:jc w:val="center"/>
        </w:trPr>
        <w:tc>
          <w:tcPr>
            <w:tcW w:w="593" w:type="dxa"/>
            <w:tcBorders>
              <w:top w:val="single" w:color="auto" w:sz="4" w:space="0"/>
              <w:left w:val="single" w:color="auto" w:sz="4" w:space="0"/>
              <w:bottom w:val="single" w:color="auto" w:sz="4" w:space="0"/>
              <w:right w:val="single" w:color="auto" w:sz="4" w:space="0"/>
            </w:tcBorders>
            <w:noWrap/>
            <w:vAlign w:val="center"/>
          </w:tcPr>
          <w:p w14:paraId="5914694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578" w:type="dxa"/>
            <w:tcBorders>
              <w:top w:val="single" w:color="auto" w:sz="4" w:space="0"/>
              <w:left w:val="nil"/>
              <w:bottom w:val="single" w:color="auto" w:sz="4" w:space="0"/>
              <w:right w:val="single" w:color="auto" w:sz="4" w:space="0"/>
            </w:tcBorders>
            <w:noWrap/>
            <w:vAlign w:val="center"/>
          </w:tcPr>
          <w:p w14:paraId="6BE708A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名称</w:t>
            </w:r>
          </w:p>
        </w:tc>
        <w:tc>
          <w:tcPr>
            <w:tcW w:w="2691" w:type="dxa"/>
            <w:tcBorders>
              <w:top w:val="single" w:color="auto" w:sz="4" w:space="0"/>
              <w:left w:val="nil"/>
              <w:bottom w:val="single" w:color="auto" w:sz="4" w:space="0"/>
              <w:right w:val="single" w:color="auto" w:sz="4" w:space="0"/>
            </w:tcBorders>
            <w:noWrap/>
            <w:vAlign w:val="center"/>
          </w:tcPr>
          <w:p w14:paraId="778F252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分项</w:t>
            </w:r>
            <w:r>
              <w:rPr>
                <w:rFonts w:hint="eastAsia" w:ascii="宋体" w:hAnsi="宋体" w:eastAsia="宋体" w:cs="宋体"/>
                <w:kern w:val="0"/>
                <w:sz w:val="18"/>
                <w:szCs w:val="18"/>
                <w:highlight w:val="none"/>
                <w:lang w:val="en-US" w:eastAsia="zh-CN"/>
              </w:rPr>
              <w:t>、技术参数及要求</w:t>
            </w:r>
          </w:p>
        </w:tc>
        <w:tc>
          <w:tcPr>
            <w:tcW w:w="731" w:type="dxa"/>
            <w:tcBorders>
              <w:top w:val="single" w:color="auto" w:sz="4" w:space="0"/>
              <w:left w:val="nil"/>
              <w:bottom w:val="single" w:color="auto" w:sz="4" w:space="0"/>
              <w:right w:val="single" w:color="auto" w:sz="4" w:space="0"/>
            </w:tcBorders>
            <w:noWrap/>
            <w:vAlign w:val="center"/>
          </w:tcPr>
          <w:p w14:paraId="686A219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数量</w:t>
            </w:r>
          </w:p>
        </w:tc>
        <w:tc>
          <w:tcPr>
            <w:tcW w:w="1586" w:type="dxa"/>
            <w:tcBorders>
              <w:top w:val="single" w:color="auto" w:sz="4" w:space="0"/>
              <w:left w:val="nil"/>
              <w:bottom w:val="single" w:color="auto" w:sz="4" w:space="0"/>
              <w:right w:val="single" w:color="auto" w:sz="4" w:space="0"/>
            </w:tcBorders>
            <w:noWrap/>
            <w:vAlign w:val="center"/>
          </w:tcPr>
          <w:p w14:paraId="3899FEF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投标报价</w:t>
            </w:r>
          </w:p>
        </w:tc>
        <w:tc>
          <w:tcPr>
            <w:tcW w:w="1640" w:type="dxa"/>
            <w:tcBorders>
              <w:top w:val="single" w:color="auto" w:sz="4" w:space="0"/>
              <w:left w:val="nil"/>
              <w:bottom w:val="single" w:color="auto" w:sz="4" w:space="0"/>
              <w:right w:val="single" w:color="auto" w:sz="4" w:space="0"/>
            </w:tcBorders>
            <w:noWrap/>
            <w:vAlign w:val="center"/>
          </w:tcPr>
          <w:p w14:paraId="6A0FACE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备注</w:t>
            </w:r>
          </w:p>
        </w:tc>
      </w:tr>
      <w:tr w14:paraId="607E84CF">
        <w:tblPrEx>
          <w:tblCellMar>
            <w:top w:w="0" w:type="dxa"/>
            <w:left w:w="108" w:type="dxa"/>
            <w:bottom w:w="0" w:type="dxa"/>
            <w:right w:w="108" w:type="dxa"/>
          </w:tblCellMar>
        </w:tblPrEx>
        <w:trPr>
          <w:trHeight w:val="280" w:hRule="atLeast"/>
          <w:jc w:val="center"/>
        </w:trPr>
        <w:tc>
          <w:tcPr>
            <w:tcW w:w="593" w:type="dxa"/>
            <w:tcBorders>
              <w:top w:val="nil"/>
              <w:left w:val="single" w:color="auto" w:sz="4" w:space="0"/>
              <w:bottom w:val="single" w:color="000000" w:sz="4" w:space="0"/>
              <w:right w:val="single" w:color="auto" w:sz="4" w:space="0"/>
            </w:tcBorders>
            <w:noWrap/>
            <w:vAlign w:val="center"/>
          </w:tcPr>
          <w:p w14:paraId="1A6457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1578" w:type="dxa"/>
            <w:tcBorders>
              <w:top w:val="nil"/>
              <w:left w:val="single" w:color="auto" w:sz="4" w:space="0"/>
              <w:bottom w:val="single" w:color="000000" w:sz="4" w:space="0"/>
              <w:right w:val="single" w:color="auto" w:sz="4" w:space="0"/>
            </w:tcBorders>
            <w:noWrap/>
            <w:vAlign w:val="center"/>
          </w:tcPr>
          <w:p w14:paraId="21704A3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rPr>
              <w:t>一、办公区综合布线</w:t>
            </w:r>
            <w:r>
              <w:rPr>
                <w:rFonts w:hint="eastAsia" w:ascii="宋体" w:hAnsi="宋体" w:eastAsia="宋体" w:cs="宋体"/>
                <w:b/>
                <w:bCs/>
                <w:kern w:val="0"/>
                <w:sz w:val="18"/>
                <w:szCs w:val="18"/>
                <w:highlight w:val="none"/>
                <w:lang w:val="en-US" w:eastAsia="zh-CN"/>
              </w:rPr>
              <w:t>部分</w:t>
            </w:r>
          </w:p>
        </w:tc>
        <w:tc>
          <w:tcPr>
            <w:tcW w:w="2691" w:type="dxa"/>
            <w:tcBorders>
              <w:top w:val="nil"/>
              <w:left w:val="nil"/>
              <w:bottom w:val="single" w:color="auto" w:sz="4" w:space="0"/>
              <w:right w:val="single" w:color="auto" w:sz="4" w:space="0"/>
            </w:tcBorders>
            <w:noWrap/>
            <w:vAlign w:val="center"/>
          </w:tcPr>
          <w:p w14:paraId="27DCB12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详见“第四部分   采购内容及要求”</w:t>
            </w:r>
          </w:p>
        </w:tc>
        <w:tc>
          <w:tcPr>
            <w:tcW w:w="731" w:type="dxa"/>
            <w:tcBorders>
              <w:top w:val="nil"/>
              <w:left w:val="nil"/>
              <w:bottom w:val="single" w:color="auto" w:sz="4" w:space="0"/>
              <w:right w:val="single" w:color="auto" w:sz="4" w:space="0"/>
            </w:tcBorders>
            <w:noWrap/>
            <w:vAlign w:val="center"/>
          </w:tcPr>
          <w:p w14:paraId="12FE5A7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套</w:t>
            </w:r>
          </w:p>
        </w:tc>
        <w:tc>
          <w:tcPr>
            <w:tcW w:w="1586" w:type="dxa"/>
            <w:tcBorders>
              <w:top w:val="nil"/>
              <w:left w:val="nil"/>
              <w:bottom w:val="single" w:color="auto" w:sz="4" w:space="0"/>
              <w:right w:val="single" w:color="auto" w:sz="4" w:space="0"/>
            </w:tcBorders>
            <w:noWrap/>
            <w:vAlign w:val="center"/>
          </w:tcPr>
          <w:p w14:paraId="054DAAD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nil"/>
              <w:left w:val="nil"/>
              <w:bottom w:val="single" w:color="auto" w:sz="4" w:space="0"/>
              <w:right w:val="single" w:color="auto" w:sz="4" w:space="0"/>
            </w:tcBorders>
            <w:noWrap/>
            <w:vAlign w:val="center"/>
          </w:tcPr>
          <w:p w14:paraId="6AB16FC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38E83CFF">
        <w:tblPrEx>
          <w:tblCellMar>
            <w:top w:w="0" w:type="dxa"/>
            <w:left w:w="108" w:type="dxa"/>
            <w:bottom w:w="0" w:type="dxa"/>
            <w:right w:w="108" w:type="dxa"/>
          </w:tblCellMar>
        </w:tblPrEx>
        <w:trPr>
          <w:trHeight w:val="280" w:hRule="atLeast"/>
          <w:jc w:val="center"/>
        </w:trPr>
        <w:tc>
          <w:tcPr>
            <w:tcW w:w="593" w:type="dxa"/>
            <w:tcBorders>
              <w:top w:val="nil"/>
              <w:left w:val="single" w:color="auto" w:sz="4" w:space="0"/>
              <w:bottom w:val="single" w:color="000000" w:sz="4" w:space="0"/>
              <w:right w:val="single" w:color="auto" w:sz="4" w:space="0"/>
            </w:tcBorders>
            <w:noWrap/>
            <w:vAlign w:val="center"/>
          </w:tcPr>
          <w:p w14:paraId="775A22B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1578" w:type="dxa"/>
            <w:tcBorders>
              <w:top w:val="nil"/>
              <w:left w:val="single" w:color="auto" w:sz="4" w:space="0"/>
              <w:bottom w:val="single" w:color="000000" w:sz="4" w:space="0"/>
              <w:right w:val="single" w:color="auto" w:sz="4" w:space="0"/>
            </w:tcBorders>
            <w:noWrap/>
            <w:vAlign w:val="center"/>
          </w:tcPr>
          <w:p w14:paraId="59A8FF7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rPr>
              <w:t>二、6楼大会议室605</w:t>
            </w:r>
            <w:r>
              <w:rPr>
                <w:rFonts w:hint="eastAsia" w:ascii="宋体" w:hAnsi="宋体" w:eastAsia="宋体" w:cs="宋体"/>
                <w:b/>
                <w:bCs/>
                <w:kern w:val="0"/>
                <w:sz w:val="18"/>
                <w:szCs w:val="18"/>
                <w:highlight w:val="none"/>
                <w:lang w:val="en-US" w:eastAsia="zh-CN"/>
              </w:rPr>
              <w:t>部分</w:t>
            </w:r>
          </w:p>
        </w:tc>
        <w:tc>
          <w:tcPr>
            <w:tcW w:w="2691" w:type="dxa"/>
            <w:tcBorders>
              <w:top w:val="nil"/>
              <w:left w:val="nil"/>
              <w:bottom w:val="single" w:color="auto" w:sz="4" w:space="0"/>
              <w:right w:val="single" w:color="auto" w:sz="4" w:space="0"/>
            </w:tcBorders>
            <w:noWrap/>
            <w:vAlign w:val="center"/>
          </w:tcPr>
          <w:p w14:paraId="5B88FE9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详见“第四部分   采购内容及要求”</w:t>
            </w:r>
          </w:p>
        </w:tc>
        <w:tc>
          <w:tcPr>
            <w:tcW w:w="731" w:type="dxa"/>
            <w:tcBorders>
              <w:top w:val="nil"/>
              <w:left w:val="nil"/>
              <w:bottom w:val="single" w:color="auto" w:sz="4" w:space="0"/>
              <w:right w:val="single" w:color="auto" w:sz="4" w:space="0"/>
            </w:tcBorders>
            <w:noWrap/>
            <w:vAlign w:val="center"/>
          </w:tcPr>
          <w:p w14:paraId="366AA1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center"/>
          </w:tcPr>
          <w:p w14:paraId="6F7B5ED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single" w:color="auto" w:sz="4" w:space="0"/>
              <w:left w:val="nil"/>
              <w:bottom w:val="single" w:color="auto" w:sz="4" w:space="0"/>
              <w:right w:val="single" w:color="auto" w:sz="4" w:space="0"/>
            </w:tcBorders>
            <w:noWrap/>
            <w:vAlign w:val="center"/>
          </w:tcPr>
          <w:p w14:paraId="50AF551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4EB56495">
        <w:tblPrEx>
          <w:tblCellMar>
            <w:top w:w="0" w:type="dxa"/>
            <w:left w:w="108" w:type="dxa"/>
            <w:bottom w:w="0" w:type="dxa"/>
            <w:right w:w="108" w:type="dxa"/>
          </w:tblCellMar>
        </w:tblPrEx>
        <w:trPr>
          <w:trHeight w:val="280" w:hRule="atLeast"/>
          <w:jc w:val="center"/>
        </w:trPr>
        <w:tc>
          <w:tcPr>
            <w:tcW w:w="593" w:type="dxa"/>
            <w:tcBorders>
              <w:top w:val="nil"/>
              <w:left w:val="single" w:color="auto" w:sz="4" w:space="0"/>
              <w:bottom w:val="single" w:color="000000" w:sz="4" w:space="0"/>
              <w:right w:val="single" w:color="auto" w:sz="4" w:space="0"/>
            </w:tcBorders>
            <w:noWrap/>
            <w:vAlign w:val="center"/>
          </w:tcPr>
          <w:p w14:paraId="194622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1578" w:type="dxa"/>
            <w:tcBorders>
              <w:top w:val="nil"/>
              <w:left w:val="single" w:color="auto" w:sz="4" w:space="0"/>
              <w:bottom w:val="single" w:color="000000" w:sz="4" w:space="0"/>
              <w:right w:val="single" w:color="auto" w:sz="4" w:space="0"/>
            </w:tcBorders>
            <w:noWrap/>
            <w:vAlign w:val="center"/>
          </w:tcPr>
          <w:p w14:paraId="6E454A5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rPr>
              <w:t>三、6楼中会议室607</w:t>
            </w:r>
            <w:r>
              <w:rPr>
                <w:rFonts w:hint="eastAsia" w:ascii="宋体" w:hAnsi="宋体" w:eastAsia="宋体" w:cs="宋体"/>
                <w:b/>
                <w:bCs/>
                <w:kern w:val="0"/>
                <w:sz w:val="18"/>
                <w:szCs w:val="18"/>
                <w:highlight w:val="none"/>
                <w:lang w:val="en-US" w:eastAsia="zh-CN"/>
              </w:rPr>
              <w:t>部分</w:t>
            </w:r>
          </w:p>
        </w:tc>
        <w:tc>
          <w:tcPr>
            <w:tcW w:w="2691" w:type="dxa"/>
            <w:tcBorders>
              <w:top w:val="nil"/>
              <w:left w:val="nil"/>
              <w:bottom w:val="single" w:color="auto" w:sz="4" w:space="0"/>
              <w:right w:val="single" w:color="auto" w:sz="4" w:space="0"/>
            </w:tcBorders>
            <w:noWrap/>
            <w:vAlign w:val="center"/>
          </w:tcPr>
          <w:p w14:paraId="25F4AE9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bCs/>
                <w:kern w:val="0"/>
                <w:sz w:val="18"/>
                <w:szCs w:val="18"/>
                <w:highlight w:val="none"/>
              </w:rPr>
            </w:pPr>
            <w:r>
              <w:rPr>
                <w:rFonts w:hint="eastAsia" w:ascii="宋体" w:hAnsi="宋体" w:eastAsia="宋体" w:cs="宋体"/>
                <w:kern w:val="0"/>
                <w:sz w:val="18"/>
                <w:szCs w:val="18"/>
                <w:highlight w:val="none"/>
                <w:lang w:val="en-US" w:eastAsia="zh-CN"/>
              </w:rPr>
              <w:t>详见“第四部分   采购内容及要求”</w:t>
            </w:r>
          </w:p>
        </w:tc>
        <w:tc>
          <w:tcPr>
            <w:tcW w:w="731" w:type="dxa"/>
            <w:tcBorders>
              <w:top w:val="nil"/>
              <w:left w:val="nil"/>
              <w:bottom w:val="single" w:color="auto" w:sz="4" w:space="0"/>
              <w:right w:val="single" w:color="auto" w:sz="4" w:space="0"/>
            </w:tcBorders>
            <w:noWrap/>
            <w:vAlign w:val="center"/>
          </w:tcPr>
          <w:p w14:paraId="7338D342">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690F0272">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single" w:color="auto" w:sz="4" w:space="0"/>
              <w:left w:val="nil"/>
              <w:bottom w:val="single" w:color="auto" w:sz="4" w:space="0"/>
              <w:right w:val="single" w:color="auto" w:sz="4" w:space="0"/>
            </w:tcBorders>
            <w:noWrap/>
            <w:vAlign w:val="center"/>
          </w:tcPr>
          <w:p w14:paraId="11B6ACD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09926277">
        <w:tblPrEx>
          <w:tblCellMar>
            <w:top w:w="0" w:type="dxa"/>
            <w:left w:w="108" w:type="dxa"/>
            <w:bottom w:w="0" w:type="dxa"/>
            <w:right w:w="108" w:type="dxa"/>
          </w:tblCellMar>
        </w:tblPrEx>
        <w:trPr>
          <w:trHeight w:val="280" w:hRule="atLeast"/>
          <w:jc w:val="center"/>
        </w:trPr>
        <w:tc>
          <w:tcPr>
            <w:tcW w:w="593" w:type="dxa"/>
            <w:tcBorders>
              <w:top w:val="nil"/>
              <w:left w:val="single" w:color="auto" w:sz="4" w:space="0"/>
              <w:bottom w:val="single" w:color="000000" w:sz="4" w:space="0"/>
              <w:right w:val="single" w:color="auto" w:sz="4" w:space="0"/>
            </w:tcBorders>
            <w:noWrap/>
            <w:vAlign w:val="center"/>
          </w:tcPr>
          <w:p w14:paraId="23BE570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1578" w:type="dxa"/>
            <w:tcBorders>
              <w:top w:val="nil"/>
              <w:left w:val="single" w:color="auto" w:sz="4" w:space="0"/>
              <w:bottom w:val="single" w:color="000000" w:sz="4" w:space="0"/>
              <w:right w:val="single" w:color="auto" w:sz="4" w:space="0"/>
            </w:tcBorders>
            <w:noWrap/>
            <w:vAlign w:val="center"/>
          </w:tcPr>
          <w:p w14:paraId="73034CD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bCs/>
                <w:kern w:val="0"/>
                <w:sz w:val="18"/>
                <w:szCs w:val="18"/>
                <w:highlight w:val="none"/>
                <w:lang w:val="en-US"/>
              </w:rPr>
            </w:pPr>
            <w:r>
              <w:rPr>
                <w:rFonts w:hint="eastAsia" w:ascii="宋体" w:hAnsi="宋体" w:eastAsia="宋体" w:cs="宋体"/>
                <w:b/>
                <w:bCs/>
                <w:color w:val="auto"/>
                <w:sz w:val="18"/>
                <w:szCs w:val="18"/>
                <w:highlight w:val="none"/>
                <w:lang w:val="en-US" w:eastAsia="zh-CN"/>
              </w:rPr>
              <w:t>四、小会议室606部分</w:t>
            </w:r>
          </w:p>
        </w:tc>
        <w:tc>
          <w:tcPr>
            <w:tcW w:w="2691" w:type="dxa"/>
            <w:tcBorders>
              <w:top w:val="nil"/>
              <w:left w:val="nil"/>
              <w:bottom w:val="single" w:color="auto" w:sz="4" w:space="0"/>
              <w:right w:val="single" w:color="auto" w:sz="4" w:space="0"/>
            </w:tcBorders>
            <w:noWrap/>
            <w:vAlign w:val="center"/>
          </w:tcPr>
          <w:p w14:paraId="002C8F3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详见“第四部分   采购内容及要求”</w:t>
            </w:r>
          </w:p>
        </w:tc>
        <w:tc>
          <w:tcPr>
            <w:tcW w:w="731" w:type="dxa"/>
            <w:tcBorders>
              <w:top w:val="nil"/>
              <w:left w:val="nil"/>
              <w:bottom w:val="single" w:color="auto" w:sz="4" w:space="0"/>
              <w:right w:val="single" w:color="auto" w:sz="4" w:space="0"/>
            </w:tcBorders>
            <w:noWrap/>
            <w:vAlign w:val="center"/>
          </w:tcPr>
          <w:p w14:paraId="7BCA72AF">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3952C544">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single" w:color="auto" w:sz="4" w:space="0"/>
              <w:left w:val="nil"/>
              <w:bottom w:val="single" w:color="auto" w:sz="4" w:space="0"/>
              <w:right w:val="single" w:color="auto" w:sz="4" w:space="0"/>
            </w:tcBorders>
            <w:noWrap/>
            <w:vAlign w:val="center"/>
          </w:tcPr>
          <w:p w14:paraId="5A20841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47016635">
        <w:tblPrEx>
          <w:tblCellMar>
            <w:top w:w="0" w:type="dxa"/>
            <w:left w:w="108" w:type="dxa"/>
            <w:bottom w:w="0" w:type="dxa"/>
            <w:right w:w="108" w:type="dxa"/>
          </w:tblCellMar>
        </w:tblPrEx>
        <w:trPr>
          <w:trHeight w:val="280" w:hRule="atLeast"/>
          <w:jc w:val="center"/>
        </w:trPr>
        <w:tc>
          <w:tcPr>
            <w:tcW w:w="593" w:type="dxa"/>
            <w:tcBorders>
              <w:top w:val="nil"/>
              <w:left w:val="single" w:color="auto" w:sz="4" w:space="0"/>
              <w:bottom w:val="single" w:color="000000" w:sz="4" w:space="0"/>
              <w:right w:val="single" w:color="auto" w:sz="4" w:space="0"/>
            </w:tcBorders>
            <w:noWrap/>
            <w:vAlign w:val="center"/>
          </w:tcPr>
          <w:p w14:paraId="440A116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1578" w:type="dxa"/>
            <w:tcBorders>
              <w:top w:val="nil"/>
              <w:left w:val="single" w:color="auto" w:sz="4" w:space="0"/>
              <w:bottom w:val="single" w:color="000000" w:sz="4" w:space="0"/>
              <w:right w:val="single" w:color="auto" w:sz="4" w:space="0"/>
            </w:tcBorders>
            <w:noWrap/>
            <w:vAlign w:val="center"/>
          </w:tcPr>
          <w:p w14:paraId="5A3AF4B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bCs/>
                <w:kern w:val="0"/>
                <w:sz w:val="18"/>
                <w:szCs w:val="18"/>
                <w:highlight w:val="none"/>
                <w:lang w:val="en-US" w:eastAsia="zh-CN"/>
              </w:rPr>
            </w:pPr>
            <w:r>
              <w:rPr>
                <w:rFonts w:hint="eastAsia" w:ascii="宋体" w:hAnsi="宋体" w:eastAsia="宋体" w:cs="宋体"/>
                <w:b/>
                <w:bCs/>
                <w:color w:val="auto"/>
                <w:sz w:val="18"/>
                <w:szCs w:val="18"/>
                <w:highlight w:val="none"/>
                <w:lang w:val="en-US" w:eastAsia="zh-CN"/>
              </w:rPr>
              <w:t>五、</w:t>
            </w:r>
            <w:r>
              <w:rPr>
                <w:rFonts w:hint="eastAsia" w:ascii="宋体" w:hAnsi="宋体" w:eastAsia="宋体" w:cs="宋体"/>
                <w:b/>
                <w:bCs/>
                <w:color w:val="auto"/>
                <w:sz w:val="18"/>
                <w:szCs w:val="18"/>
                <w:highlight w:val="none"/>
              </w:rPr>
              <w:t>6楼路演大厅</w:t>
            </w:r>
            <w:r>
              <w:rPr>
                <w:rFonts w:hint="eastAsia" w:ascii="宋体" w:hAnsi="宋体" w:eastAsia="宋体" w:cs="宋体"/>
                <w:b/>
                <w:bCs/>
                <w:color w:val="auto"/>
                <w:sz w:val="18"/>
                <w:szCs w:val="18"/>
                <w:highlight w:val="none"/>
                <w:lang w:val="en-US" w:eastAsia="zh-CN"/>
              </w:rPr>
              <w:t>部分</w:t>
            </w:r>
          </w:p>
        </w:tc>
        <w:tc>
          <w:tcPr>
            <w:tcW w:w="2691" w:type="dxa"/>
            <w:tcBorders>
              <w:top w:val="nil"/>
              <w:left w:val="nil"/>
              <w:bottom w:val="single" w:color="auto" w:sz="4" w:space="0"/>
              <w:right w:val="single" w:color="auto" w:sz="4" w:space="0"/>
            </w:tcBorders>
            <w:noWrap/>
            <w:vAlign w:val="center"/>
          </w:tcPr>
          <w:p w14:paraId="24A5698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详见“第四部分   采购内容及要求”</w:t>
            </w:r>
          </w:p>
        </w:tc>
        <w:tc>
          <w:tcPr>
            <w:tcW w:w="731" w:type="dxa"/>
            <w:tcBorders>
              <w:top w:val="nil"/>
              <w:left w:val="nil"/>
              <w:bottom w:val="single" w:color="auto" w:sz="4" w:space="0"/>
              <w:right w:val="single" w:color="auto" w:sz="4" w:space="0"/>
            </w:tcBorders>
            <w:noWrap/>
            <w:vAlign w:val="center"/>
          </w:tcPr>
          <w:p w14:paraId="2DF2F274">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37B8A0D8">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single" w:color="auto" w:sz="4" w:space="0"/>
              <w:left w:val="nil"/>
              <w:bottom w:val="single" w:color="auto" w:sz="4" w:space="0"/>
              <w:right w:val="single" w:color="auto" w:sz="4" w:space="0"/>
            </w:tcBorders>
            <w:noWrap/>
            <w:vAlign w:val="center"/>
          </w:tcPr>
          <w:p w14:paraId="75FAB02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5593A5C2">
        <w:tblPrEx>
          <w:tblCellMar>
            <w:top w:w="0" w:type="dxa"/>
            <w:left w:w="108" w:type="dxa"/>
            <w:bottom w:w="0" w:type="dxa"/>
            <w:right w:w="108" w:type="dxa"/>
          </w:tblCellMar>
        </w:tblPrEx>
        <w:trPr>
          <w:trHeight w:val="560" w:hRule="atLeast"/>
          <w:jc w:val="center"/>
        </w:trPr>
        <w:tc>
          <w:tcPr>
            <w:tcW w:w="593" w:type="dxa"/>
            <w:tcBorders>
              <w:top w:val="single" w:color="auto" w:sz="4" w:space="0"/>
              <w:left w:val="single" w:color="auto" w:sz="4" w:space="0"/>
              <w:bottom w:val="single" w:color="auto" w:sz="4" w:space="0"/>
              <w:right w:val="single" w:color="auto" w:sz="4" w:space="0"/>
            </w:tcBorders>
            <w:noWrap/>
            <w:vAlign w:val="center"/>
          </w:tcPr>
          <w:p w14:paraId="7579A8B7">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1578" w:type="dxa"/>
            <w:tcBorders>
              <w:top w:val="single" w:color="auto" w:sz="4" w:space="0"/>
              <w:left w:val="nil"/>
              <w:bottom w:val="single" w:color="auto" w:sz="4" w:space="0"/>
              <w:right w:val="single" w:color="auto" w:sz="4" w:space="0"/>
            </w:tcBorders>
            <w:noWrap w:val="0"/>
            <w:vAlign w:val="center"/>
          </w:tcPr>
          <w:p w14:paraId="04B9D1D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lang w:val="en-US"/>
              </w:rPr>
            </w:pPr>
            <w:r>
              <w:rPr>
                <w:rFonts w:hint="eastAsia" w:ascii="宋体" w:hAnsi="宋体" w:eastAsia="宋体" w:cs="宋体"/>
                <w:b/>
                <w:bCs/>
                <w:color w:val="auto"/>
                <w:sz w:val="18"/>
                <w:szCs w:val="18"/>
                <w:highlight w:val="none"/>
                <w:lang w:val="en-US" w:eastAsia="zh-CN"/>
              </w:rPr>
              <w:t>六、3楼会议室部分</w:t>
            </w:r>
          </w:p>
        </w:tc>
        <w:tc>
          <w:tcPr>
            <w:tcW w:w="2691" w:type="dxa"/>
            <w:tcBorders>
              <w:top w:val="nil"/>
              <w:left w:val="nil"/>
              <w:bottom w:val="single" w:color="auto" w:sz="4" w:space="0"/>
              <w:right w:val="single" w:color="auto" w:sz="4" w:space="0"/>
            </w:tcBorders>
            <w:noWrap/>
            <w:vAlign w:val="center"/>
          </w:tcPr>
          <w:p w14:paraId="7702406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详见“第四部分   采购内容及要求”</w:t>
            </w:r>
          </w:p>
        </w:tc>
        <w:tc>
          <w:tcPr>
            <w:tcW w:w="731" w:type="dxa"/>
            <w:tcBorders>
              <w:top w:val="nil"/>
              <w:left w:val="nil"/>
              <w:bottom w:val="single" w:color="auto" w:sz="4" w:space="0"/>
              <w:right w:val="single" w:color="auto" w:sz="4" w:space="0"/>
            </w:tcBorders>
            <w:noWrap/>
            <w:vAlign w:val="center"/>
          </w:tcPr>
          <w:p w14:paraId="5B121DAD">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7175FB75">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single" w:color="auto" w:sz="4" w:space="0"/>
              <w:left w:val="nil"/>
              <w:bottom w:val="single" w:color="auto" w:sz="4" w:space="0"/>
              <w:right w:val="single" w:color="auto" w:sz="4" w:space="0"/>
            </w:tcBorders>
            <w:noWrap/>
            <w:vAlign w:val="center"/>
          </w:tcPr>
          <w:p w14:paraId="06722F6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74DF0B8D">
        <w:tblPrEx>
          <w:tblCellMar>
            <w:top w:w="0" w:type="dxa"/>
            <w:left w:w="108" w:type="dxa"/>
            <w:bottom w:w="0" w:type="dxa"/>
            <w:right w:w="108" w:type="dxa"/>
          </w:tblCellMar>
        </w:tblPrEx>
        <w:trPr>
          <w:trHeight w:val="232" w:hRule="atLeast"/>
          <w:jc w:val="center"/>
        </w:trPr>
        <w:tc>
          <w:tcPr>
            <w:tcW w:w="593" w:type="dxa"/>
            <w:vMerge w:val="restart"/>
            <w:tcBorders>
              <w:top w:val="single" w:color="auto" w:sz="4" w:space="0"/>
              <w:left w:val="single" w:color="auto" w:sz="4" w:space="0"/>
              <w:right w:val="single" w:color="auto" w:sz="4" w:space="0"/>
            </w:tcBorders>
            <w:noWrap/>
            <w:vAlign w:val="center"/>
          </w:tcPr>
          <w:p w14:paraId="1B65A4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1578" w:type="dxa"/>
            <w:vMerge w:val="restart"/>
            <w:tcBorders>
              <w:top w:val="single" w:color="auto" w:sz="4" w:space="0"/>
              <w:left w:val="nil"/>
              <w:right w:val="single" w:color="auto" w:sz="4" w:space="0"/>
            </w:tcBorders>
            <w:noWrap w:val="0"/>
            <w:vAlign w:val="center"/>
          </w:tcPr>
          <w:p w14:paraId="4F99564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lang w:val="en-US"/>
              </w:rPr>
            </w:pPr>
            <w:r>
              <w:rPr>
                <w:rFonts w:hint="eastAsia" w:ascii="宋体" w:hAnsi="宋体" w:eastAsia="宋体" w:cs="宋体"/>
                <w:b/>
                <w:bCs/>
                <w:color w:val="auto"/>
                <w:sz w:val="18"/>
                <w:szCs w:val="18"/>
                <w:highlight w:val="none"/>
                <w:lang w:val="en-US" w:eastAsia="zh-CN"/>
              </w:rPr>
              <w:t>七、展厅部分</w:t>
            </w:r>
          </w:p>
        </w:tc>
        <w:tc>
          <w:tcPr>
            <w:tcW w:w="2691" w:type="dxa"/>
            <w:tcBorders>
              <w:top w:val="nil"/>
              <w:left w:val="nil"/>
              <w:bottom w:val="single" w:color="auto" w:sz="4" w:space="0"/>
              <w:right w:val="single" w:color="auto" w:sz="4" w:space="0"/>
            </w:tcBorders>
            <w:noWrap w:val="0"/>
            <w:vAlign w:val="center"/>
          </w:tcPr>
          <w:p w14:paraId="1D637B5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1、显示系统</w:t>
            </w:r>
          </w:p>
        </w:tc>
        <w:tc>
          <w:tcPr>
            <w:tcW w:w="731" w:type="dxa"/>
            <w:tcBorders>
              <w:top w:val="nil"/>
              <w:left w:val="nil"/>
              <w:bottom w:val="single" w:color="auto" w:sz="4" w:space="0"/>
              <w:right w:val="single" w:color="auto" w:sz="4" w:space="0"/>
            </w:tcBorders>
            <w:noWrap/>
            <w:vAlign w:val="center"/>
          </w:tcPr>
          <w:p w14:paraId="56E78291">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2FCF8746">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vMerge w:val="restart"/>
            <w:tcBorders>
              <w:top w:val="nil"/>
              <w:left w:val="nil"/>
              <w:right w:val="single" w:color="auto" w:sz="4" w:space="0"/>
            </w:tcBorders>
            <w:noWrap/>
            <w:vAlign w:val="center"/>
          </w:tcPr>
          <w:p w14:paraId="12F3265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分项报价详见投标分项报价表2中的相关部分</w:t>
            </w:r>
          </w:p>
        </w:tc>
      </w:tr>
      <w:tr w14:paraId="2CB5E0F1">
        <w:tblPrEx>
          <w:tblCellMar>
            <w:top w:w="0" w:type="dxa"/>
            <w:left w:w="108" w:type="dxa"/>
            <w:bottom w:w="0" w:type="dxa"/>
            <w:right w:w="108" w:type="dxa"/>
          </w:tblCellMar>
        </w:tblPrEx>
        <w:trPr>
          <w:trHeight w:val="232" w:hRule="atLeast"/>
          <w:jc w:val="center"/>
        </w:trPr>
        <w:tc>
          <w:tcPr>
            <w:tcW w:w="593" w:type="dxa"/>
            <w:vMerge w:val="continue"/>
            <w:tcBorders>
              <w:left w:val="single" w:color="auto" w:sz="4" w:space="0"/>
              <w:right w:val="single" w:color="auto" w:sz="4" w:space="0"/>
            </w:tcBorders>
            <w:noWrap/>
            <w:vAlign w:val="center"/>
          </w:tcPr>
          <w:p w14:paraId="2C3BB89D">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highlight w:val="none"/>
              </w:rPr>
            </w:pPr>
          </w:p>
        </w:tc>
        <w:tc>
          <w:tcPr>
            <w:tcW w:w="1578" w:type="dxa"/>
            <w:vMerge w:val="continue"/>
            <w:tcBorders>
              <w:left w:val="nil"/>
              <w:right w:val="single" w:color="auto" w:sz="4" w:space="0"/>
            </w:tcBorders>
            <w:noWrap w:val="0"/>
            <w:vAlign w:val="center"/>
          </w:tcPr>
          <w:p w14:paraId="7D52C014">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highlight w:val="none"/>
              </w:rPr>
            </w:pPr>
          </w:p>
        </w:tc>
        <w:tc>
          <w:tcPr>
            <w:tcW w:w="2691" w:type="dxa"/>
            <w:tcBorders>
              <w:top w:val="nil"/>
              <w:left w:val="nil"/>
              <w:bottom w:val="single" w:color="auto" w:sz="4" w:space="0"/>
              <w:right w:val="single" w:color="auto" w:sz="4" w:space="0"/>
            </w:tcBorders>
            <w:noWrap w:val="0"/>
            <w:vAlign w:val="center"/>
          </w:tcPr>
          <w:p w14:paraId="0AAF0E17">
            <w:pPr>
              <w:keepNext w:val="0"/>
              <w:keepLines w:val="0"/>
              <w:pageBreakBefore w:val="0"/>
              <w:kinsoku/>
              <w:wordWrap/>
              <w:overflowPunct/>
              <w:topLinePunct w:val="0"/>
              <w:autoSpaceDE/>
              <w:autoSpaceDN/>
              <w:bidi w:val="0"/>
              <w:adjustRightInd/>
              <w:snapToGrid/>
              <w:spacing w:line="200" w:lineRule="exact"/>
              <w:jc w:val="both"/>
              <w:textAlignment w:val="auto"/>
              <w:rPr>
                <w:rFonts w:hint="eastAsia" w:ascii="宋体" w:hAnsi="宋体" w:eastAsia="宋体" w:cs="宋体"/>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2、扩声系统</w:t>
            </w:r>
          </w:p>
        </w:tc>
        <w:tc>
          <w:tcPr>
            <w:tcW w:w="731" w:type="dxa"/>
            <w:tcBorders>
              <w:top w:val="nil"/>
              <w:left w:val="nil"/>
              <w:bottom w:val="single" w:color="auto" w:sz="4" w:space="0"/>
              <w:right w:val="single" w:color="auto" w:sz="4" w:space="0"/>
            </w:tcBorders>
            <w:noWrap/>
            <w:vAlign w:val="center"/>
          </w:tcPr>
          <w:p w14:paraId="41F61403">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46A77B7C">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vMerge w:val="continue"/>
            <w:tcBorders>
              <w:left w:val="nil"/>
              <w:right w:val="single" w:color="auto" w:sz="4" w:space="0"/>
            </w:tcBorders>
            <w:noWrap/>
            <w:vAlign w:val="center"/>
          </w:tcPr>
          <w:p w14:paraId="17C24C07">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r>
      <w:tr w14:paraId="711EEEB8">
        <w:tblPrEx>
          <w:tblCellMar>
            <w:top w:w="0" w:type="dxa"/>
            <w:left w:w="108" w:type="dxa"/>
            <w:bottom w:w="0" w:type="dxa"/>
            <w:right w:w="108" w:type="dxa"/>
          </w:tblCellMar>
        </w:tblPrEx>
        <w:trPr>
          <w:trHeight w:val="232" w:hRule="atLeast"/>
          <w:jc w:val="center"/>
        </w:trPr>
        <w:tc>
          <w:tcPr>
            <w:tcW w:w="593" w:type="dxa"/>
            <w:vMerge w:val="continue"/>
            <w:tcBorders>
              <w:left w:val="single" w:color="auto" w:sz="4" w:space="0"/>
              <w:bottom w:val="single" w:color="auto" w:sz="4" w:space="0"/>
              <w:right w:val="single" w:color="auto" w:sz="4" w:space="0"/>
            </w:tcBorders>
            <w:noWrap/>
            <w:vAlign w:val="center"/>
          </w:tcPr>
          <w:p w14:paraId="267DDB56">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578" w:type="dxa"/>
            <w:vMerge w:val="continue"/>
            <w:tcBorders>
              <w:left w:val="nil"/>
              <w:bottom w:val="single" w:color="auto" w:sz="4" w:space="0"/>
              <w:right w:val="single" w:color="auto" w:sz="4" w:space="0"/>
            </w:tcBorders>
            <w:noWrap w:val="0"/>
            <w:vAlign w:val="center"/>
          </w:tcPr>
          <w:p w14:paraId="76A9CBD2">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2691" w:type="dxa"/>
            <w:tcBorders>
              <w:top w:val="nil"/>
              <w:left w:val="nil"/>
              <w:bottom w:val="single" w:color="auto" w:sz="4" w:space="0"/>
              <w:right w:val="single" w:color="auto" w:sz="4" w:space="0"/>
            </w:tcBorders>
            <w:noWrap w:val="0"/>
            <w:vAlign w:val="center"/>
          </w:tcPr>
          <w:p w14:paraId="2534E975">
            <w:pPr>
              <w:keepNext w:val="0"/>
              <w:keepLines w:val="0"/>
              <w:pageBreakBefore w:val="0"/>
              <w:kinsoku/>
              <w:wordWrap/>
              <w:overflowPunct/>
              <w:topLinePunct w:val="0"/>
              <w:autoSpaceDE/>
              <w:autoSpaceDN/>
              <w:bidi w:val="0"/>
              <w:adjustRightInd/>
              <w:snapToGrid/>
              <w:spacing w:line="200" w:lineRule="exact"/>
              <w:jc w:val="both"/>
              <w:textAlignment w:val="auto"/>
              <w:rPr>
                <w:rFonts w:hint="eastAsia" w:ascii="宋体" w:hAnsi="宋体" w:eastAsia="宋体" w:cs="宋体"/>
                <w:kern w:val="0"/>
                <w:sz w:val="18"/>
                <w:szCs w:val="18"/>
                <w:highlight w:val="none"/>
              </w:rPr>
            </w:pPr>
            <w:r>
              <w:rPr>
                <w:rFonts w:hint="eastAsia" w:ascii="宋体" w:hAnsi="宋体" w:eastAsia="宋体" w:cs="宋体"/>
                <w:b/>
                <w:i w:val="0"/>
                <w:color w:val="auto"/>
                <w:kern w:val="0"/>
                <w:sz w:val="18"/>
                <w:szCs w:val="18"/>
                <w:highlight w:val="none"/>
                <w:u w:val="none"/>
                <w:lang w:val="en-US" w:eastAsia="zh-CN" w:bidi="ar"/>
              </w:rPr>
              <w:t>3、信息发布系统</w:t>
            </w:r>
          </w:p>
        </w:tc>
        <w:tc>
          <w:tcPr>
            <w:tcW w:w="731" w:type="dxa"/>
            <w:tcBorders>
              <w:top w:val="nil"/>
              <w:left w:val="nil"/>
              <w:bottom w:val="single" w:color="auto" w:sz="4" w:space="0"/>
              <w:right w:val="single" w:color="auto" w:sz="4" w:space="0"/>
            </w:tcBorders>
            <w:noWrap/>
            <w:vAlign w:val="center"/>
          </w:tcPr>
          <w:p w14:paraId="228D3F25">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1B40BE20">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vMerge w:val="continue"/>
            <w:tcBorders>
              <w:left w:val="nil"/>
              <w:bottom w:val="single" w:color="auto" w:sz="4" w:space="0"/>
              <w:right w:val="single" w:color="auto" w:sz="4" w:space="0"/>
            </w:tcBorders>
            <w:noWrap/>
            <w:vAlign w:val="center"/>
          </w:tcPr>
          <w:p w14:paraId="3CE12426">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r>
      <w:tr w14:paraId="377CED79">
        <w:tblPrEx>
          <w:tblCellMar>
            <w:top w:w="0" w:type="dxa"/>
            <w:left w:w="108" w:type="dxa"/>
            <w:bottom w:w="0" w:type="dxa"/>
            <w:right w:w="108" w:type="dxa"/>
          </w:tblCellMar>
        </w:tblPrEx>
        <w:trPr>
          <w:trHeight w:val="232" w:hRule="atLeast"/>
          <w:jc w:val="center"/>
        </w:trPr>
        <w:tc>
          <w:tcPr>
            <w:tcW w:w="593" w:type="dxa"/>
            <w:vMerge w:val="continue"/>
            <w:tcBorders>
              <w:left w:val="single" w:color="auto" w:sz="4" w:space="0"/>
              <w:bottom w:val="single" w:color="auto" w:sz="4" w:space="0"/>
              <w:right w:val="single" w:color="auto" w:sz="4" w:space="0"/>
            </w:tcBorders>
            <w:noWrap/>
            <w:vAlign w:val="center"/>
          </w:tcPr>
          <w:p w14:paraId="3D687402">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highlight w:val="none"/>
              </w:rPr>
            </w:pPr>
          </w:p>
        </w:tc>
        <w:tc>
          <w:tcPr>
            <w:tcW w:w="1578" w:type="dxa"/>
            <w:vMerge w:val="continue"/>
            <w:tcBorders>
              <w:left w:val="nil"/>
              <w:bottom w:val="single" w:color="auto" w:sz="4" w:space="0"/>
              <w:right w:val="single" w:color="auto" w:sz="4" w:space="0"/>
            </w:tcBorders>
            <w:noWrap w:val="0"/>
            <w:vAlign w:val="center"/>
          </w:tcPr>
          <w:p w14:paraId="31957E03">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highlight w:val="none"/>
              </w:rPr>
            </w:pPr>
          </w:p>
        </w:tc>
        <w:tc>
          <w:tcPr>
            <w:tcW w:w="2691" w:type="dxa"/>
            <w:tcBorders>
              <w:top w:val="nil"/>
              <w:left w:val="nil"/>
              <w:bottom w:val="single" w:color="auto" w:sz="4" w:space="0"/>
              <w:right w:val="single" w:color="auto" w:sz="4" w:space="0"/>
            </w:tcBorders>
            <w:noWrap w:val="0"/>
            <w:vAlign w:val="center"/>
          </w:tcPr>
          <w:p w14:paraId="4959AE35">
            <w:pPr>
              <w:keepNext w:val="0"/>
              <w:keepLines w:val="0"/>
              <w:pageBreakBefore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bCs/>
                <w:color w:val="auto"/>
                <w:sz w:val="18"/>
                <w:szCs w:val="18"/>
                <w:highlight w:val="none"/>
                <w:lang w:val="en-US" w:eastAsia="zh-CN"/>
              </w:rPr>
              <w:t>4、展厅集中控制</w:t>
            </w:r>
            <w:r>
              <w:rPr>
                <w:rFonts w:hint="eastAsia" w:ascii="宋体" w:hAnsi="宋体" w:eastAsia="宋体" w:cs="宋体"/>
                <w:b/>
                <w:bCs/>
                <w:color w:val="FF0000"/>
                <w:sz w:val="18"/>
                <w:szCs w:val="18"/>
                <w:highlight w:val="none"/>
                <w:lang w:val="en-US" w:eastAsia="zh-CN"/>
              </w:rPr>
              <w:t>系统</w:t>
            </w:r>
          </w:p>
        </w:tc>
        <w:tc>
          <w:tcPr>
            <w:tcW w:w="731" w:type="dxa"/>
            <w:tcBorders>
              <w:top w:val="nil"/>
              <w:left w:val="nil"/>
              <w:bottom w:val="single" w:color="auto" w:sz="4" w:space="0"/>
              <w:right w:val="single" w:color="auto" w:sz="4" w:space="0"/>
            </w:tcBorders>
            <w:noWrap/>
            <w:vAlign w:val="center"/>
          </w:tcPr>
          <w:p w14:paraId="03A651EE">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kern w:val="0"/>
                <w:sz w:val="18"/>
                <w:szCs w:val="18"/>
                <w:highlight w:val="none"/>
              </w:rPr>
              <w:t>1套</w:t>
            </w:r>
          </w:p>
        </w:tc>
        <w:tc>
          <w:tcPr>
            <w:tcW w:w="1586" w:type="dxa"/>
            <w:tcBorders>
              <w:top w:val="nil"/>
              <w:left w:val="nil"/>
              <w:bottom w:val="single" w:color="auto" w:sz="4" w:space="0"/>
              <w:right w:val="single" w:color="auto" w:sz="4" w:space="0"/>
            </w:tcBorders>
            <w:noWrap/>
            <w:vAlign w:val="top"/>
          </w:tcPr>
          <w:p w14:paraId="3A7A197F">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i w:val="0"/>
                <w:color w:val="auto"/>
                <w:kern w:val="0"/>
                <w:sz w:val="18"/>
                <w:szCs w:val="18"/>
                <w:highlight w:val="none"/>
                <w:u w:val="none"/>
                <w:lang w:val="en-US" w:eastAsia="zh-CN" w:bidi="ar"/>
              </w:rPr>
            </w:pPr>
          </w:p>
        </w:tc>
        <w:tc>
          <w:tcPr>
            <w:tcW w:w="1640" w:type="dxa"/>
            <w:vMerge w:val="continue"/>
            <w:tcBorders>
              <w:left w:val="nil"/>
              <w:bottom w:val="single" w:color="auto" w:sz="4" w:space="0"/>
              <w:right w:val="single" w:color="auto" w:sz="4" w:space="0"/>
            </w:tcBorders>
            <w:noWrap/>
            <w:vAlign w:val="center"/>
          </w:tcPr>
          <w:p w14:paraId="2070DA26">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i w:val="0"/>
                <w:color w:val="auto"/>
                <w:kern w:val="0"/>
                <w:sz w:val="18"/>
                <w:szCs w:val="18"/>
                <w:highlight w:val="none"/>
                <w:u w:val="none"/>
                <w:lang w:val="en-US" w:eastAsia="zh-CN" w:bidi="ar"/>
              </w:rPr>
            </w:pPr>
          </w:p>
        </w:tc>
      </w:tr>
      <w:tr w14:paraId="39BC3122">
        <w:tblPrEx>
          <w:tblCellMar>
            <w:top w:w="0" w:type="dxa"/>
            <w:left w:w="108" w:type="dxa"/>
            <w:bottom w:w="0" w:type="dxa"/>
            <w:right w:w="108" w:type="dxa"/>
          </w:tblCellMar>
        </w:tblPrEx>
        <w:trPr>
          <w:trHeight w:val="280" w:hRule="atLeast"/>
          <w:jc w:val="center"/>
        </w:trPr>
        <w:tc>
          <w:tcPr>
            <w:tcW w:w="593" w:type="dxa"/>
            <w:tcBorders>
              <w:top w:val="single" w:color="auto" w:sz="4" w:space="0"/>
              <w:left w:val="single" w:color="auto" w:sz="4" w:space="0"/>
              <w:bottom w:val="single" w:color="auto" w:sz="4" w:space="0"/>
              <w:right w:val="single" w:color="auto" w:sz="4" w:space="0"/>
            </w:tcBorders>
            <w:noWrap/>
            <w:vAlign w:val="center"/>
          </w:tcPr>
          <w:p w14:paraId="244D27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8</w:t>
            </w:r>
          </w:p>
        </w:tc>
        <w:tc>
          <w:tcPr>
            <w:tcW w:w="5000" w:type="dxa"/>
            <w:gridSpan w:val="3"/>
            <w:tcBorders>
              <w:top w:val="single" w:color="auto" w:sz="4" w:space="0"/>
              <w:left w:val="nil"/>
              <w:bottom w:val="single" w:color="auto" w:sz="4" w:space="0"/>
              <w:right w:val="single" w:color="auto" w:sz="4" w:space="0"/>
            </w:tcBorders>
            <w:noWrap w:val="0"/>
            <w:vAlign w:val="center"/>
          </w:tcPr>
          <w:p w14:paraId="055BD102">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b/>
                <w:bCs/>
                <w:kern w:val="0"/>
                <w:sz w:val="18"/>
                <w:szCs w:val="18"/>
                <w:highlight w:val="none"/>
              </w:rPr>
              <w:t>总计价</w:t>
            </w:r>
            <w:r>
              <w:rPr>
                <w:rFonts w:hint="eastAsia" w:ascii="宋体" w:hAnsi="宋体" w:eastAsia="宋体" w:cs="宋体"/>
                <w:b/>
                <w:bCs/>
                <w:kern w:val="0"/>
                <w:sz w:val="18"/>
                <w:szCs w:val="18"/>
                <w:highlight w:val="none"/>
                <w:lang w:val="en-US" w:eastAsia="zh-CN"/>
              </w:rPr>
              <w:t>1</w:t>
            </w:r>
          </w:p>
        </w:tc>
        <w:tc>
          <w:tcPr>
            <w:tcW w:w="1586" w:type="dxa"/>
            <w:tcBorders>
              <w:top w:val="single" w:color="auto" w:sz="4" w:space="0"/>
              <w:left w:val="nil"/>
              <w:bottom w:val="single" w:color="auto" w:sz="4" w:space="0"/>
              <w:right w:val="single" w:color="auto" w:sz="4" w:space="0"/>
            </w:tcBorders>
            <w:noWrap/>
            <w:vAlign w:val="top"/>
          </w:tcPr>
          <w:p w14:paraId="59E18846">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highlight w:val="none"/>
              </w:rPr>
            </w:pPr>
          </w:p>
        </w:tc>
        <w:tc>
          <w:tcPr>
            <w:tcW w:w="1640" w:type="dxa"/>
            <w:tcBorders>
              <w:top w:val="single" w:color="auto" w:sz="4" w:space="0"/>
              <w:left w:val="nil"/>
              <w:bottom w:val="single" w:color="auto" w:sz="4" w:space="0"/>
              <w:right w:val="single" w:color="auto" w:sz="4" w:space="0"/>
            </w:tcBorders>
            <w:noWrap/>
            <w:vAlign w:val="center"/>
          </w:tcPr>
          <w:p w14:paraId="2A4FC12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kern w:val="0"/>
                <w:sz w:val="18"/>
                <w:szCs w:val="18"/>
                <w:highlight w:val="none"/>
              </w:rPr>
            </w:pPr>
          </w:p>
        </w:tc>
      </w:tr>
    </w:tbl>
    <w:p w14:paraId="6B0FC332">
      <w:pPr>
        <w:bidi w:val="0"/>
        <w:rPr>
          <w:rFonts w:hint="eastAsia" w:ascii="宋体" w:hAnsi="宋体" w:eastAsia="宋体" w:cs="宋体"/>
          <w:highlight w:val="none"/>
        </w:rPr>
      </w:pPr>
      <w:r>
        <w:rPr>
          <w:rFonts w:hint="eastAsia" w:ascii="宋体" w:hAnsi="宋体" w:eastAsia="宋体" w:cs="宋体"/>
          <w:highlight w:val="none"/>
        </w:rPr>
        <w:t>注：</w:t>
      </w:r>
    </w:p>
    <w:p w14:paraId="20597A28">
      <w:pPr>
        <w:pStyle w:val="10"/>
        <w:ind w:firstLine="0" w:firstLineChars="0"/>
        <w:rPr>
          <w:rFonts w:hint="eastAsia" w:ascii="宋体" w:hAnsi="宋体" w:eastAsia="宋体" w:cs="宋体"/>
          <w:highlight w:val="none"/>
        </w:rPr>
      </w:pPr>
      <w:r>
        <w:rPr>
          <w:rFonts w:hint="eastAsia" w:ascii="宋体" w:hAnsi="宋体" w:eastAsia="宋体" w:cs="宋体"/>
          <w:highlight w:val="none"/>
        </w:rPr>
        <w:t xml:space="preserve">1、请按照“第四部分   采购内容及要求”的顺序内容进行编写. </w:t>
      </w:r>
    </w:p>
    <w:p w14:paraId="2217D0DC">
      <w:pPr>
        <w:pStyle w:val="1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bCs/>
          <w:highlight w:val="none"/>
          <w:u w:val="single"/>
        </w:rPr>
        <w:t>▲如发现投标人“技术响应表”中存在作假行为的，将取消其中标资格，没收其投标保证金，并专门向有关上级主管部门汇报其违法行为；合同实行过程中还发现存在造假行为的，扣除履约保证金，给采购人造成损失的，采购人保留进一步追究其违法责任的权力</w:t>
      </w:r>
      <w:r>
        <w:rPr>
          <w:rFonts w:hint="eastAsia" w:ascii="宋体" w:hAnsi="宋体" w:eastAsia="宋体" w:cs="宋体"/>
          <w:highlight w:val="none"/>
        </w:rPr>
        <w:t>。</w:t>
      </w:r>
    </w:p>
    <w:p w14:paraId="3132FDE5">
      <w:pPr>
        <w:spacing w:before="240" w:beforeLines="100" w:line="360" w:lineRule="auto"/>
        <w:ind w:right="-21" w:rightChars="-10"/>
        <w:rPr>
          <w:rFonts w:hint="eastAsia" w:ascii="宋体" w:hAnsi="宋体" w:eastAsia="宋体" w:cs="宋体"/>
          <w:sz w:val="24"/>
          <w:highlight w:val="none"/>
        </w:rPr>
      </w:pPr>
    </w:p>
    <w:p w14:paraId="07F8EDD6">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3E7657D8">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法定代表人或授权代表（签字或盖章）：</w:t>
      </w:r>
    </w:p>
    <w:p w14:paraId="64B35484">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55819D1D">
      <w:pPr>
        <w:spacing w:before="240" w:beforeLines="100" w:line="360" w:lineRule="auto"/>
        <w:ind w:right="-21" w:rightChars="-10"/>
        <w:rPr>
          <w:rFonts w:hint="eastAsia" w:ascii="宋体" w:hAnsi="宋体" w:eastAsia="宋体" w:cs="宋体"/>
          <w:sz w:val="24"/>
          <w:highlight w:val="none"/>
        </w:rPr>
      </w:pPr>
    </w:p>
    <w:p w14:paraId="183716E1">
      <w:pPr>
        <w:spacing w:line="380" w:lineRule="exact"/>
        <w:rPr>
          <w:rFonts w:hint="eastAsia" w:ascii="宋体" w:hAnsi="宋体" w:eastAsia="宋体" w:cs="宋体"/>
          <w:sz w:val="22"/>
          <w:szCs w:val="22"/>
          <w:highlight w:val="none"/>
        </w:rPr>
      </w:pPr>
    </w:p>
    <w:p w14:paraId="45455E73">
      <w:pPr>
        <w:spacing w:before="120" w:beforeLines="50" w:after="120" w:afterLines="5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2"/>
          <w:szCs w:val="22"/>
          <w:highlight w:val="none"/>
        </w:rPr>
        <w:br w:type="page"/>
      </w:r>
      <w:r>
        <w:rPr>
          <w:rFonts w:hint="eastAsia" w:ascii="宋体" w:hAnsi="宋体" w:eastAsia="宋体" w:cs="宋体"/>
          <w:b/>
          <w:sz w:val="22"/>
          <w:szCs w:val="22"/>
          <w:highlight w:val="none"/>
        </w:rPr>
        <w:t>投标分项报价表</w:t>
      </w:r>
    </w:p>
    <w:tbl>
      <w:tblPr>
        <w:tblStyle w:val="25"/>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969"/>
        <w:gridCol w:w="1227"/>
        <w:gridCol w:w="729"/>
        <w:gridCol w:w="588"/>
        <w:gridCol w:w="895"/>
        <w:gridCol w:w="895"/>
        <w:gridCol w:w="1468"/>
      </w:tblGrid>
      <w:tr w14:paraId="6F64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shd w:val="clear" w:color="000000" w:fill="BDD7EE"/>
            <w:noWrap w:val="0"/>
            <w:vAlign w:val="center"/>
          </w:tcPr>
          <w:p w14:paraId="505F55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序号</w:t>
            </w:r>
          </w:p>
        </w:tc>
        <w:tc>
          <w:tcPr>
            <w:tcW w:w="1969" w:type="dxa"/>
            <w:shd w:val="clear" w:color="000000" w:fill="BDD7EE"/>
            <w:noWrap w:val="0"/>
            <w:vAlign w:val="center"/>
          </w:tcPr>
          <w:p w14:paraId="3E8D3A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名称</w:t>
            </w:r>
          </w:p>
        </w:tc>
        <w:tc>
          <w:tcPr>
            <w:tcW w:w="1227" w:type="dxa"/>
            <w:shd w:val="clear" w:color="000000" w:fill="BDD7EE"/>
            <w:noWrap w:val="0"/>
            <w:vAlign w:val="center"/>
          </w:tcPr>
          <w:p w14:paraId="09E51C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品牌型号</w:t>
            </w:r>
          </w:p>
        </w:tc>
        <w:tc>
          <w:tcPr>
            <w:tcW w:w="729" w:type="dxa"/>
            <w:shd w:val="clear" w:color="000000" w:fill="BDD7EE"/>
            <w:noWrap w:val="0"/>
            <w:vAlign w:val="center"/>
          </w:tcPr>
          <w:p w14:paraId="6A7A00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数量</w:t>
            </w:r>
          </w:p>
        </w:tc>
        <w:tc>
          <w:tcPr>
            <w:tcW w:w="588" w:type="dxa"/>
            <w:shd w:val="clear" w:color="000000" w:fill="BDD7EE"/>
            <w:noWrap w:val="0"/>
            <w:vAlign w:val="center"/>
          </w:tcPr>
          <w:p w14:paraId="718651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单位</w:t>
            </w:r>
          </w:p>
        </w:tc>
        <w:tc>
          <w:tcPr>
            <w:tcW w:w="895" w:type="dxa"/>
            <w:shd w:val="clear" w:color="000000" w:fill="BDD7EE"/>
            <w:noWrap w:val="0"/>
            <w:vAlign w:val="center"/>
          </w:tcPr>
          <w:p w14:paraId="767CC4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单价/元</w:t>
            </w:r>
          </w:p>
        </w:tc>
        <w:tc>
          <w:tcPr>
            <w:tcW w:w="895" w:type="dxa"/>
            <w:shd w:val="clear" w:color="000000" w:fill="BDD7EE"/>
            <w:noWrap w:val="0"/>
            <w:vAlign w:val="center"/>
          </w:tcPr>
          <w:p w14:paraId="43363E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合价/元</w:t>
            </w:r>
          </w:p>
        </w:tc>
        <w:tc>
          <w:tcPr>
            <w:tcW w:w="1468" w:type="dxa"/>
            <w:shd w:val="clear" w:color="000000" w:fill="BDD7EE"/>
            <w:noWrap w:val="0"/>
            <w:vAlign w:val="center"/>
          </w:tcPr>
          <w:p w14:paraId="3D7DB2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备注</w:t>
            </w:r>
          </w:p>
        </w:tc>
      </w:tr>
      <w:tr w14:paraId="571E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5E3C55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rPr>
              <w:t>一、</w:t>
            </w:r>
            <w:r>
              <w:rPr>
                <w:rFonts w:hint="eastAsia" w:ascii="宋体" w:hAnsi="宋体" w:eastAsia="宋体" w:cs="宋体"/>
                <w:b/>
                <w:bCs/>
                <w:color w:val="auto"/>
                <w:sz w:val="18"/>
                <w:szCs w:val="18"/>
                <w:highlight w:val="none"/>
                <w:lang w:val="en-US" w:eastAsia="zh-CN"/>
              </w:rPr>
              <w:t>办公区综合布线</w:t>
            </w:r>
            <w:r>
              <w:rPr>
                <w:rFonts w:hint="eastAsia" w:ascii="宋体" w:hAnsi="宋体" w:eastAsia="宋体" w:cs="宋体"/>
                <w:b/>
                <w:bCs/>
                <w:color w:val="FF0000"/>
                <w:sz w:val="18"/>
                <w:szCs w:val="18"/>
                <w:highlight w:val="none"/>
                <w:lang w:val="en-US" w:eastAsia="zh-CN"/>
              </w:rPr>
              <w:t>部分</w:t>
            </w:r>
          </w:p>
        </w:tc>
      </w:tr>
      <w:tr w14:paraId="677F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10F5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5A71F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600万柔光全彩半球网络摄像机</w:t>
            </w:r>
          </w:p>
        </w:tc>
        <w:tc>
          <w:tcPr>
            <w:tcW w:w="1227" w:type="dxa"/>
            <w:noWrap w:val="0"/>
            <w:vAlign w:val="center"/>
          </w:tcPr>
          <w:p w14:paraId="3E447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0"/>
            <w:vAlign w:val="center"/>
          </w:tcPr>
          <w:p w14:paraId="2CE74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23</w:t>
            </w:r>
          </w:p>
        </w:tc>
        <w:tc>
          <w:tcPr>
            <w:tcW w:w="588" w:type="dxa"/>
            <w:noWrap w:val="0"/>
            <w:vAlign w:val="center"/>
          </w:tcPr>
          <w:p w14:paraId="1CAE2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30545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DF2B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511B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4C9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8AC4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2BCA1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4K轻智能网络录像机</w:t>
            </w:r>
          </w:p>
        </w:tc>
        <w:tc>
          <w:tcPr>
            <w:tcW w:w="1227" w:type="dxa"/>
            <w:noWrap w:val="0"/>
            <w:vAlign w:val="center"/>
          </w:tcPr>
          <w:p w14:paraId="614061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46F03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7993E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58F63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D884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C02E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E8A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noWrap w:val="0"/>
            <w:vAlign w:val="center"/>
          </w:tcPr>
          <w:p w14:paraId="0E494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29D1A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监控级硬盘8T</w:t>
            </w:r>
          </w:p>
        </w:tc>
        <w:tc>
          <w:tcPr>
            <w:tcW w:w="1227" w:type="dxa"/>
            <w:noWrap w:val="0"/>
            <w:vAlign w:val="center"/>
          </w:tcPr>
          <w:p w14:paraId="7008E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BB5E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588" w:type="dxa"/>
            <w:noWrap/>
            <w:vAlign w:val="center"/>
          </w:tcPr>
          <w:p w14:paraId="11E87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15220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3C4B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ADF3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82A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E627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7C95F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55寸4K安防专业监视器</w:t>
            </w:r>
          </w:p>
        </w:tc>
        <w:tc>
          <w:tcPr>
            <w:tcW w:w="1227" w:type="dxa"/>
            <w:noWrap w:val="0"/>
            <w:vAlign w:val="center"/>
          </w:tcPr>
          <w:p w14:paraId="4BB47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75F0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FF0000"/>
                <w:kern w:val="0"/>
                <w:sz w:val="18"/>
                <w:szCs w:val="18"/>
                <w:highlight w:val="none"/>
                <w:u w:val="none"/>
                <w:lang w:val="en-US" w:eastAsia="zh-CN" w:bidi="ar"/>
              </w:rPr>
              <w:t>1</w:t>
            </w:r>
          </w:p>
        </w:tc>
        <w:tc>
          <w:tcPr>
            <w:tcW w:w="588" w:type="dxa"/>
            <w:noWrap/>
            <w:vAlign w:val="center"/>
          </w:tcPr>
          <w:p w14:paraId="2FBC2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FF0000"/>
                <w:kern w:val="0"/>
                <w:sz w:val="18"/>
                <w:szCs w:val="18"/>
                <w:highlight w:val="none"/>
                <w:u w:val="none"/>
                <w:lang w:val="en-US" w:eastAsia="zh-CN" w:bidi="ar"/>
              </w:rPr>
              <w:t>台</w:t>
            </w:r>
          </w:p>
        </w:tc>
        <w:tc>
          <w:tcPr>
            <w:tcW w:w="895" w:type="dxa"/>
            <w:noWrap/>
            <w:vAlign w:val="center"/>
          </w:tcPr>
          <w:p w14:paraId="50980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8"/>
                <w:szCs w:val="18"/>
                <w:highlight w:val="none"/>
                <w:u w:val="none"/>
                <w:lang w:val="en-US" w:eastAsia="zh-CN" w:bidi="ar"/>
              </w:rPr>
            </w:pPr>
          </w:p>
        </w:tc>
        <w:tc>
          <w:tcPr>
            <w:tcW w:w="895" w:type="dxa"/>
            <w:noWrap/>
            <w:vAlign w:val="center"/>
          </w:tcPr>
          <w:p w14:paraId="0691E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8"/>
                <w:szCs w:val="18"/>
                <w:highlight w:val="none"/>
                <w:u w:val="none"/>
                <w:lang w:val="en-US" w:eastAsia="zh-CN" w:bidi="ar"/>
              </w:rPr>
            </w:pPr>
          </w:p>
        </w:tc>
        <w:tc>
          <w:tcPr>
            <w:tcW w:w="1468" w:type="dxa"/>
            <w:noWrap/>
            <w:vAlign w:val="center"/>
          </w:tcPr>
          <w:p w14:paraId="69DE2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8"/>
                <w:szCs w:val="18"/>
                <w:highlight w:val="none"/>
                <w:u w:val="none"/>
                <w:lang w:val="en-US" w:eastAsia="zh-CN" w:bidi="ar"/>
              </w:rPr>
            </w:pPr>
          </w:p>
        </w:tc>
      </w:tr>
      <w:tr w14:paraId="12C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3E0B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7CA50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HDMI线</w:t>
            </w:r>
          </w:p>
        </w:tc>
        <w:tc>
          <w:tcPr>
            <w:tcW w:w="1227" w:type="dxa"/>
            <w:noWrap w:val="0"/>
            <w:vAlign w:val="center"/>
          </w:tcPr>
          <w:p w14:paraId="46744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F7041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0E788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条</w:t>
            </w:r>
          </w:p>
        </w:tc>
        <w:tc>
          <w:tcPr>
            <w:tcW w:w="895" w:type="dxa"/>
            <w:noWrap/>
            <w:vAlign w:val="center"/>
          </w:tcPr>
          <w:p w14:paraId="0CC82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ABAA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17A2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B22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1A7C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0FDF28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人脸考勤机</w:t>
            </w:r>
          </w:p>
        </w:tc>
        <w:tc>
          <w:tcPr>
            <w:tcW w:w="1227" w:type="dxa"/>
            <w:noWrap w:val="0"/>
            <w:vAlign w:val="center"/>
          </w:tcPr>
          <w:p w14:paraId="0823F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4FF8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7E7CF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3E670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ED41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585C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A34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6A1C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1969" w:type="dxa"/>
            <w:noWrap w:val="0"/>
            <w:vAlign w:val="center"/>
          </w:tcPr>
          <w:p w14:paraId="50F4B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机柜</w:t>
            </w:r>
          </w:p>
        </w:tc>
        <w:tc>
          <w:tcPr>
            <w:tcW w:w="1227" w:type="dxa"/>
            <w:noWrap w:val="0"/>
            <w:vAlign w:val="center"/>
          </w:tcPr>
          <w:p w14:paraId="0DC51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0FAA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51D8C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34199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4243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5E9F8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05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F001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1969" w:type="dxa"/>
            <w:noWrap w:val="0"/>
            <w:vAlign w:val="center"/>
          </w:tcPr>
          <w:p w14:paraId="76CB6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AC</w:t>
            </w:r>
          </w:p>
        </w:tc>
        <w:tc>
          <w:tcPr>
            <w:tcW w:w="1227" w:type="dxa"/>
            <w:noWrap w:val="0"/>
            <w:vAlign w:val="center"/>
          </w:tcPr>
          <w:p w14:paraId="21A8A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74F1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47B6F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098B6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78CC7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0B929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4D9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96C1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w:t>
            </w:r>
          </w:p>
        </w:tc>
        <w:tc>
          <w:tcPr>
            <w:tcW w:w="1969" w:type="dxa"/>
            <w:noWrap w:val="0"/>
            <w:vAlign w:val="center"/>
          </w:tcPr>
          <w:p w14:paraId="12212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AP</w:t>
            </w:r>
          </w:p>
        </w:tc>
        <w:tc>
          <w:tcPr>
            <w:tcW w:w="1227" w:type="dxa"/>
            <w:noWrap w:val="0"/>
            <w:vAlign w:val="center"/>
          </w:tcPr>
          <w:p w14:paraId="3BD2C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F14F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588" w:type="dxa"/>
            <w:noWrap/>
            <w:vAlign w:val="center"/>
          </w:tcPr>
          <w:p w14:paraId="6AB37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12CCC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E8DE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52F4E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955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B9B0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39088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高密AP</w:t>
            </w:r>
          </w:p>
        </w:tc>
        <w:tc>
          <w:tcPr>
            <w:tcW w:w="1227" w:type="dxa"/>
            <w:noWrap w:val="0"/>
            <w:vAlign w:val="center"/>
          </w:tcPr>
          <w:p w14:paraId="4C090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58E0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ign w:val="center"/>
          </w:tcPr>
          <w:p w14:paraId="290EB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2067D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52F71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263D7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D45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A9DF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475A4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核心交换机</w:t>
            </w:r>
          </w:p>
        </w:tc>
        <w:tc>
          <w:tcPr>
            <w:tcW w:w="1227" w:type="dxa"/>
            <w:noWrap w:val="0"/>
            <w:vAlign w:val="center"/>
          </w:tcPr>
          <w:p w14:paraId="48A95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0DFE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6DEDF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56725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3172A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0F960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042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1A10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08CA5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防火墙</w:t>
            </w:r>
          </w:p>
        </w:tc>
        <w:tc>
          <w:tcPr>
            <w:tcW w:w="1227" w:type="dxa"/>
            <w:noWrap w:val="0"/>
            <w:vAlign w:val="center"/>
          </w:tcPr>
          <w:p w14:paraId="683CE2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E2CC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7AD31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32F63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49E3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F3E7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0E2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A416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1969" w:type="dxa"/>
            <w:noWrap w:val="0"/>
            <w:vAlign w:val="center"/>
          </w:tcPr>
          <w:p w14:paraId="7567E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24口千兆POE交换机</w:t>
            </w:r>
          </w:p>
        </w:tc>
        <w:tc>
          <w:tcPr>
            <w:tcW w:w="1227" w:type="dxa"/>
            <w:noWrap w:val="0"/>
            <w:vAlign w:val="center"/>
          </w:tcPr>
          <w:p w14:paraId="4752D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814F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ign w:val="center"/>
          </w:tcPr>
          <w:p w14:paraId="7F4C8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7850D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5860F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5021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DA6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8FE8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14</w:t>
            </w:r>
          </w:p>
        </w:tc>
        <w:tc>
          <w:tcPr>
            <w:tcW w:w="1969" w:type="dxa"/>
            <w:noWrap w:val="0"/>
            <w:vAlign w:val="center"/>
          </w:tcPr>
          <w:p w14:paraId="0E175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16口千兆POE交换机</w:t>
            </w:r>
          </w:p>
        </w:tc>
        <w:tc>
          <w:tcPr>
            <w:tcW w:w="1227" w:type="dxa"/>
            <w:noWrap w:val="0"/>
            <w:vAlign w:val="center"/>
          </w:tcPr>
          <w:p w14:paraId="35049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2"/>
                <w:sz w:val="18"/>
                <w:szCs w:val="18"/>
                <w:highlight w:val="none"/>
                <w:lang w:val="en-US" w:eastAsia="zh-CN" w:bidi="ar-SA"/>
              </w:rPr>
            </w:pPr>
          </w:p>
        </w:tc>
        <w:tc>
          <w:tcPr>
            <w:tcW w:w="729" w:type="dxa"/>
            <w:noWrap/>
            <w:vAlign w:val="center"/>
          </w:tcPr>
          <w:p w14:paraId="27D896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ign w:val="center"/>
          </w:tcPr>
          <w:p w14:paraId="4C422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60B6D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8EC8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7265D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1D6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34D1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15</w:t>
            </w:r>
          </w:p>
        </w:tc>
        <w:tc>
          <w:tcPr>
            <w:tcW w:w="1969" w:type="dxa"/>
            <w:noWrap w:val="0"/>
            <w:vAlign w:val="center"/>
          </w:tcPr>
          <w:p w14:paraId="39A26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8口交换机</w:t>
            </w:r>
          </w:p>
        </w:tc>
        <w:tc>
          <w:tcPr>
            <w:tcW w:w="1227" w:type="dxa"/>
            <w:noWrap w:val="0"/>
            <w:vAlign w:val="center"/>
          </w:tcPr>
          <w:p w14:paraId="47A6F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3EF37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7</w:t>
            </w:r>
          </w:p>
        </w:tc>
        <w:tc>
          <w:tcPr>
            <w:tcW w:w="588" w:type="dxa"/>
            <w:noWrap/>
            <w:vAlign w:val="center"/>
          </w:tcPr>
          <w:p w14:paraId="1179F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05960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46EBC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BBB4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5A2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0FA1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16</w:t>
            </w:r>
          </w:p>
        </w:tc>
        <w:tc>
          <w:tcPr>
            <w:tcW w:w="1969" w:type="dxa"/>
            <w:noWrap w:val="0"/>
            <w:vAlign w:val="center"/>
          </w:tcPr>
          <w:p w14:paraId="4B0B6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48口千兆交换机</w:t>
            </w:r>
          </w:p>
        </w:tc>
        <w:tc>
          <w:tcPr>
            <w:tcW w:w="1227" w:type="dxa"/>
            <w:noWrap w:val="0"/>
            <w:vAlign w:val="center"/>
          </w:tcPr>
          <w:p w14:paraId="34361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D93D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ign w:val="center"/>
          </w:tcPr>
          <w:p w14:paraId="70D4A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4E4C1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41452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38E8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63B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810F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1969" w:type="dxa"/>
            <w:noWrap w:val="0"/>
            <w:vAlign w:val="center"/>
          </w:tcPr>
          <w:p w14:paraId="69D75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UPS电源</w:t>
            </w:r>
          </w:p>
        </w:tc>
        <w:tc>
          <w:tcPr>
            <w:tcW w:w="1227" w:type="dxa"/>
            <w:noWrap w:val="0"/>
            <w:vAlign w:val="center"/>
          </w:tcPr>
          <w:p w14:paraId="23385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0B9C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55B17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ign w:val="center"/>
          </w:tcPr>
          <w:p w14:paraId="2461B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5A6CD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78A6B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1C4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AB79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18</w:t>
            </w:r>
          </w:p>
        </w:tc>
        <w:tc>
          <w:tcPr>
            <w:tcW w:w="1969" w:type="dxa"/>
            <w:noWrap w:val="0"/>
            <w:vAlign w:val="center"/>
          </w:tcPr>
          <w:p w14:paraId="5848B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后备电池</w:t>
            </w:r>
          </w:p>
        </w:tc>
        <w:tc>
          <w:tcPr>
            <w:tcW w:w="1227" w:type="dxa"/>
            <w:noWrap w:val="0"/>
            <w:vAlign w:val="center"/>
          </w:tcPr>
          <w:p w14:paraId="43450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FBC3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16</w:t>
            </w:r>
          </w:p>
        </w:tc>
        <w:tc>
          <w:tcPr>
            <w:tcW w:w="588" w:type="dxa"/>
            <w:noWrap/>
            <w:vAlign w:val="center"/>
          </w:tcPr>
          <w:p w14:paraId="7879E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节</w:t>
            </w:r>
          </w:p>
        </w:tc>
        <w:tc>
          <w:tcPr>
            <w:tcW w:w="895" w:type="dxa"/>
            <w:noWrap/>
            <w:vAlign w:val="center"/>
          </w:tcPr>
          <w:p w14:paraId="6BCB8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EC23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4924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188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C674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rPr>
            </w:pPr>
            <w:r>
              <w:rPr>
                <w:rFonts w:hint="eastAsia" w:ascii="宋体" w:hAnsi="宋体" w:eastAsia="宋体" w:cs="宋体"/>
                <w:i w:val="0"/>
                <w:color w:val="000000"/>
                <w:kern w:val="0"/>
                <w:sz w:val="18"/>
                <w:szCs w:val="18"/>
                <w:highlight w:val="none"/>
                <w:u w:val="none"/>
                <w:lang w:val="en-US" w:eastAsia="zh-CN" w:bidi="ar"/>
              </w:rPr>
              <w:t>19</w:t>
            </w:r>
          </w:p>
        </w:tc>
        <w:tc>
          <w:tcPr>
            <w:tcW w:w="1969" w:type="dxa"/>
            <w:noWrap w:val="0"/>
            <w:vAlign w:val="center"/>
          </w:tcPr>
          <w:p w14:paraId="37FB7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配电柜</w:t>
            </w:r>
          </w:p>
        </w:tc>
        <w:tc>
          <w:tcPr>
            <w:tcW w:w="1227" w:type="dxa"/>
            <w:noWrap w:val="0"/>
            <w:vAlign w:val="center"/>
          </w:tcPr>
          <w:p w14:paraId="7A246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6B0C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50E8B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48C81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0977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76A0B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716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A764F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c>
          <w:tcPr>
            <w:tcW w:w="1969" w:type="dxa"/>
            <w:noWrap w:val="0"/>
            <w:vAlign w:val="center"/>
          </w:tcPr>
          <w:p w14:paraId="68232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配电箱</w:t>
            </w:r>
          </w:p>
        </w:tc>
        <w:tc>
          <w:tcPr>
            <w:tcW w:w="1227" w:type="dxa"/>
            <w:noWrap w:val="0"/>
            <w:vAlign w:val="center"/>
          </w:tcPr>
          <w:p w14:paraId="68D93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7FF4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48BCB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711AE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B9AB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FC73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171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0455E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w:t>
            </w:r>
          </w:p>
        </w:tc>
        <w:tc>
          <w:tcPr>
            <w:tcW w:w="1969" w:type="dxa"/>
            <w:noWrap w:val="0"/>
            <w:vAlign w:val="center"/>
          </w:tcPr>
          <w:p w14:paraId="032BA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UPS辅料</w:t>
            </w:r>
          </w:p>
        </w:tc>
        <w:tc>
          <w:tcPr>
            <w:tcW w:w="1227" w:type="dxa"/>
            <w:noWrap w:val="0"/>
            <w:vAlign w:val="center"/>
          </w:tcPr>
          <w:p w14:paraId="1CE5F7B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rPr>
            </w:pPr>
          </w:p>
        </w:tc>
        <w:tc>
          <w:tcPr>
            <w:tcW w:w="729" w:type="dxa"/>
            <w:noWrap/>
            <w:vAlign w:val="center"/>
          </w:tcPr>
          <w:p w14:paraId="79667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6BD6D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项</w:t>
            </w:r>
          </w:p>
        </w:tc>
        <w:tc>
          <w:tcPr>
            <w:tcW w:w="895" w:type="dxa"/>
            <w:noWrap/>
            <w:vAlign w:val="center"/>
          </w:tcPr>
          <w:p w14:paraId="28AE4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2C3E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5BCE5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245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5ABB8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1969" w:type="dxa"/>
            <w:noWrap w:val="0"/>
            <w:vAlign w:val="center"/>
          </w:tcPr>
          <w:p w14:paraId="3F7783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网络线</w:t>
            </w:r>
          </w:p>
        </w:tc>
        <w:tc>
          <w:tcPr>
            <w:tcW w:w="1227" w:type="dxa"/>
            <w:noWrap w:val="0"/>
            <w:vAlign w:val="center"/>
          </w:tcPr>
          <w:p w14:paraId="7CB4DA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5E6B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ign w:val="center"/>
          </w:tcPr>
          <w:p w14:paraId="1EA5E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895" w:type="dxa"/>
            <w:noWrap/>
            <w:vAlign w:val="center"/>
          </w:tcPr>
          <w:p w14:paraId="5BB4A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282C1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19C54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9EA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AFE03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1969" w:type="dxa"/>
            <w:noWrap w:val="0"/>
            <w:vAlign w:val="center"/>
          </w:tcPr>
          <w:p w14:paraId="63FD2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施工辅材</w:t>
            </w:r>
          </w:p>
        </w:tc>
        <w:tc>
          <w:tcPr>
            <w:tcW w:w="1227" w:type="dxa"/>
            <w:noWrap w:val="0"/>
            <w:vAlign w:val="center"/>
          </w:tcPr>
          <w:p w14:paraId="1901AE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71FB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ign w:val="center"/>
          </w:tcPr>
          <w:p w14:paraId="605CE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895" w:type="dxa"/>
            <w:noWrap/>
            <w:vAlign w:val="center"/>
          </w:tcPr>
          <w:p w14:paraId="32172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3D93C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7AB5E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E0A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CDD96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6D28F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1FA3E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8A7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077F35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lang w:val="en-US" w:eastAsia="zh-CN"/>
              </w:rPr>
              <w:t>二、6楼大会议室605</w:t>
            </w:r>
            <w:r>
              <w:rPr>
                <w:rFonts w:hint="eastAsia" w:ascii="宋体" w:hAnsi="宋体" w:eastAsia="宋体" w:cs="宋体"/>
                <w:b/>
                <w:bCs/>
                <w:color w:val="FF0000"/>
                <w:sz w:val="18"/>
                <w:szCs w:val="18"/>
                <w:highlight w:val="none"/>
                <w:lang w:val="en-US" w:eastAsia="zh-CN"/>
              </w:rPr>
              <w:t>部分</w:t>
            </w:r>
          </w:p>
        </w:tc>
      </w:tr>
      <w:tr w14:paraId="5550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4E10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7A3BF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1227" w:type="dxa"/>
            <w:noWrap w:val="0"/>
            <w:vAlign w:val="center"/>
          </w:tcPr>
          <w:p w14:paraId="07C99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A775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ign w:val="center"/>
          </w:tcPr>
          <w:p w14:paraId="53147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ign w:val="center"/>
          </w:tcPr>
          <w:p w14:paraId="4A8E56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0575F2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022F6E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675B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7FEA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5D947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1227" w:type="dxa"/>
            <w:noWrap w:val="0"/>
            <w:vAlign w:val="center"/>
          </w:tcPr>
          <w:p w14:paraId="611C3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0F9C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7E8C8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240415D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38377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66284B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1541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E960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070BF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1227" w:type="dxa"/>
            <w:noWrap w:val="0"/>
            <w:vAlign w:val="center"/>
          </w:tcPr>
          <w:p w14:paraId="10E02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D3CF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0C55B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70E1D6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52497B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35D4D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38F3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743D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47EE1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1227" w:type="dxa"/>
            <w:noWrap w:val="0"/>
            <w:vAlign w:val="center"/>
          </w:tcPr>
          <w:p w14:paraId="79F9D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292C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3BF41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17B2B6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38706D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A9F71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21AA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7C33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28CBB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会议主机</w:t>
            </w:r>
          </w:p>
        </w:tc>
        <w:tc>
          <w:tcPr>
            <w:tcW w:w="1227" w:type="dxa"/>
            <w:noWrap w:val="0"/>
            <w:vAlign w:val="center"/>
          </w:tcPr>
          <w:p w14:paraId="540AC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1992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6430E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33C86C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B6966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E5999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0950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A04E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042FD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主席单元(无线)</w:t>
            </w:r>
          </w:p>
        </w:tc>
        <w:tc>
          <w:tcPr>
            <w:tcW w:w="1227" w:type="dxa"/>
            <w:noWrap w:val="0"/>
            <w:vAlign w:val="center"/>
          </w:tcPr>
          <w:p w14:paraId="2078E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09FC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0D84E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ign w:val="center"/>
          </w:tcPr>
          <w:p w14:paraId="7E0C9E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59B57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895B3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00A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CAA8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5D1D4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客席单元(无线)</w:t>
            </w:r>
          </w:p>
        </w:tc>
        <w:tc>
          <w:tcPr>
            <w:tcW w:w="1227" w:type="dxa"/>
            <w:noWrap w:val="0"/>
            <w:vAlign w:val="center"/>
          </w:tcPr>
          <w:p w14:paraId="1A257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3F3D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sz w:val="18"/>
                <w:szCs w:val="18"/>
                <w:highlight w:val="none"/>
                <w:lang w:val="en-US"/>
              </w:rPr>
            </w:pPr>
            <w:r>
              <w:rPr>
                <w:rFonts w:hint="eastAsia" w:ascii="宋体" w:hAnsi="宋体" w:eastAsia="宋体" w:cs="宋体"/>
                <w:i w:val="0"/>
                <w:color w:val="000000"/>
                <w:kern w:val="0"/>
                <w:sz w:val="18"/>
                <w:szCs w:val="18"/>
                <w:highlight w:val="none"/>
                <w:u w:val="none"/>
                <w:lang w:val="en-US" w:eastAsia="zh-CN" w:bidi="ar"/>
              </w:rPr>
              <w:t>5</w:t>
            </w:r>
          </w:p>
        </w:tc>
        <w:tc>
          <w:tcPr>
            <w:tcW w:w="588" w:type="dxa"/>
            <w:noWrap/>
            <w:vAlign w:val="center"/>
          </w:tcPr>
          <w:p w14:paraId="6591C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ign w:val="center"/>
          </w:tcPr>
          <w:p w14:paraId="761CD6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0AF9A8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0C70D3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2257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4B55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1969" w:type="dxa"/>
            <w:noWrap w:val="0"/>
            <w:vAlign w:val="center"/>
          </w:tcPr>
          <w:p w14:paraId="2F905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1227" w:type="dxa"/>
            <w:noWrap w:val="0"/>
            <w:vAlign w:val="center"/>
          </w:tcPr>
          <w:p w14:paraId="1FBAF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C1AA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51B87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322D62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1D8A8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6CD6E2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2B5B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A440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969" w:type="dxa"/>
            <w:noWrap w:val="0"/>
            <w:vAlign w:val="center"/>
          </w:tcPr>
          <w:p w14:paraId="59F16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充电箱</w:t>
            </w:r>
          </w:p>
        </w:tc>
        <w:tc>
          <w:tcPr>
            <w:tcW w:w="1227" w:type="dxa"/>
            <w:noWrap w:val="0"/>
            <w:vAlign w:val="center"/>
          </w:tcPr>
          <w:p w14:paraId="12BA59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AB81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5E80A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ign w:val="center"/>
          </w:tcPr>
          <w:p w14:paraId="7C5F12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7C04DB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771DF2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66A7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43EF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67C5D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1227" w:type="dxa"/>
            <w:noWrap w:val="0"/>
            <w:vAlign w:val="center"/>
          </w:tcPr>
          <w:p w14:paraId="579F221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p>
        </w:tc>
        <w:tc>
          <w:tcPr>
            <w:tcW w:w="729" w:type="dxa"/>
            <w:noWrap/>
            <w:vAlign w:val="center"/>
          </w:tcPr>
          <w:p w14:paraId="05563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35252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个</w:t>
            </w:r>
          </w:p>
        </w:tc>
        <w:tc>
          <w:tcPr>
            <w:tcW w:w="895" w:type="dxa"/>
            <w:noWrap/>
            <w:vAlign w:val="center"/>
          </w:tcPr>
          <w:p w14:paraId="0EE26F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0E611B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6006FF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3470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1EFC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01A4D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1227" w:type="dxa"/>
            <w:noWrap w:val="0"/>
            <w:vAlign w:val="center"/>
          </w:tcPr>
          <w:p w14:paraId="53B9E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EF94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37496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54B2BD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F1E93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F424D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42C0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9C65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37D70E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1227" w:type="dxa"/>
            <w:noWrap w:val="0"/>
            <w:vAlign w:val="center"/>
          </w:tcPr>
          <w:p w14:paraId="465AF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3912BD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588" w:type="dxa"/>
            <w:noWrap/>
            <w:vAlign w:val="center"/>
          </w:tcPr>
          <w:p w14:paraId="1A6B997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w:t>
            </w:r>
          </w:p>
        </w:tc>
        <w:tc>
          <w:tcPr>
            <w:tcW w:w="895" w:type="dxa"/>
            <w:noWrap/>
            <w:vAlign w:val="center"/>
          </w:tcPr>
          <w:p w14:paraId="39D0E34E">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sz w:val="18"/>
                <w:szCs w:val="18"/>
                <w:highlight w:val="none"/>
              </w:rPr>
            </w:pPr>
          </w:p>
        </w:tc>
        <w:tc>
          <w:tcPr>
            <w:tcW w:w="895" w:type="dxa"/>
            <w:noWrap/>
            <w:vAlign w:val="center"/>
          </w:tcPr>
          <w:p w14:paraId="7A16FD11">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sz w:val="18"/>
                <w:szCs w:val="18"/>
                <w:highlight w:val="none"/>
              </w:rPr>
            </w:pPr>
          </w:p>
        </w:tc>
        <w:tc>
          <w:tcPr>
            <w:tcW w:w="1468" w:type="dxa"/>
            <w:noWrap/>
            <w:vAlign w:val="center"/>
          </w:tcPr>
          <w:p w14:paraId="58AA4A2D">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sz w:val="18"/>
                <w:szCs w:val="18"/>
                <w:highlight w:val="none"/>
              </w:rPr>
            </w:pPr>
          </w:p>
        </w:tc>
      </w:tr>
      <w:tr w14:paraId="6650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dxa"/>
            <w:noWrap w:val="0"/>
            <w:vAlign w:val="center"/>
          </w:tcPr>
          <w:p w14:paraId="17BB2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13</w:t>
            </w:r>
          </w:p>
        </w:tc>
        <w:tc>
          <w:tcPr>
            <w:tcW w:w="1969" w:type="dxa"/>
            <w:noWrap w:val="0"/>
            <w:vAlign w:val="center"/>
          </w:tcPr>
          <w:p w14:paraId="115AE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户内全彩LED屏</w:t>
            </w:r>
          </w:p>
        </w:tc>
        <w:tc>
          <w:tcPr>
            <w:tcW w:w="1227" w:type="dxa"/>
            <w:noWrap w:val="0"/>
            <w:vAlign w:val="center"/>
          </w:tcPr>
          <w:p w14:paraId="18160284">
            <w:pPr>
              <w:keepNext w:val="0"/>
              <w:keepLines w:val="0"/>
              <w:pageBreakBefore w:val="0"/>
              <w:widowControl/>
              <w:suppressLineNumbers w:val="0"/>
              <w:kinsoku/>
              <w:wordWrap/>
              <w:overflowPunct/>
              <w:topLinePunct w:val="0"/>
              <w:autoSpaceDE/>
              <w:autoSpaceDN/>
              <w:bidi w:val="0"/>
              <w:adjustRightInd/>
              <w:snapToGrid/>
              <w:spacing w:after="0" w:afterAutospacing="0" w:line="240" w:lineRule="exact"/>
              <w:jc w:val="center"/>
              <w:textAlignment w:val="center"/>
              <w:rPr>
                <w:rFonts w:hint="eastAsia" w:ascii="宋体" w:hAnsi="宋体" w:eastAsia="宋体" w:cs="宋体"/>
                <w:color w:val="auto"/>
                <w:kern w:val="0"/>
                <w:sz w:val="18"/>
                <w:szCs w:val="18"/>
                <w:highlight w:val="none"/>
                <w:u w:val="none"/>
                <w:lang w:bidi="ar"/>
              </w:rPr>
            </w:pPr>
          </w:p>
        </w:tc>
        <w:tc>
          <w:tcPr>
            <w:tcW w:w="729" w:type="dxa"/>
            <w:noWrap/>
            <w:vAlign w:val="center"/>
          </w:tcPr>
          <w:p w14:paraId="4A0A6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8.6</w:t>
            </w:r>
          </w:p>
        </w:tc>
        <w:tc>
          <w:tcPr>
            <w:tcW w:w="588" w:type="dxa"/>
            <w:noWrap/>
            <w:vAlign w:val="center"/>
          </w:tcPr>
          <w:p w14:paraId="6B12E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w:t>
            </w:r>
          </w:p>
        </w:tc>
        <w:tc>
          <w:tcPr>
            <w:tcW w:w="895" w:type="dxa"/>
            <w:noWrap/>
            <w:vAlign w:val="center"/>
          </w:tcPr>
          <w:p w14:paraId="2EE31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4D048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6E312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510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5681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14</w:t>
            </w:r>
          </w:p>
        </w:tc>
        <w:tc>
          <w:tcPr>
            <w:tcW w:w="1969" w:type="dxa"/>
            <w:noWrap w:val="0"/>
            <w:vAlign w:val="center"/>
          </w:tcPr>
          <w:p w14:paraId="21AB0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FF0000"/>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1227" w:type="dxa"/>
            <w:noWrap w:val="0"/>
            <w:vAlign w:val="center"/>
          </w:tcPr>
          <w:p w14:paraId="4068C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9FFD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28</w:t>
            </w:r>
          </w:p>
        </w:tc>
        <w:tc>
          <w:tcPr>
            <w:tcW w:w="588" w:type="dxa"/>
            <w:noWrap/>
            <w:vAlign w:val="center"/>
          </w:tcPr>
          <w:p w14:paraId="6C07C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0FF9FBB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7546F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2E543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highlight w:val="none"/>
                <w:u w:val="none"/>
                <w:lang w:val="en-US" w:eastAsia="zh-CN" w:bidi="ar"/>
              </w:rPr>
            </w:pPr>
          </w:p>
        </w:tc>
      </w:tr>
      <w:tr w14:paraId="520E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6A95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15</w:t>
            </w:r>
          </w:p>
        </w:tc>
        <w:tc>
          <w:tcPr>
            <w:tcW w:w="1969" w:type="dxa"/>
            <w:noWrap w:val="0"/>
            <w:vAlign w:val="center"/>
          </w:tcPr>
          <w:p w14:paraId="51040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接收卡</w:t>
            </w:r>
          </w:p>
        </w:tc>
        <w:tc>
          <w:tcPr>
            <w:tcW w:w="1227" w:type="dxa"/>
            <w:noWrap w:val="0"/>
            <w:vAlign w:val="center"/>
          </w:tcPr>
          <w:p w14:paraId="5DBAD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2A964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588" w:type="dxa"/>
            <w:noWrap/>
            <w:vAlign w:val="center"/>
          </w:tcPr>
          <w:p w14:paraId="1600F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张</w:t>
            </w:r>
          </w:p>
        </w:tc>
        <w:tc>
          <w:tcPr>
            <w:tcW w:w="895" w:type="dxa"/>
            <w:noWrap/>
            <w:vAlign w:val="center"/>
          </w:tcPr>
          <w:p w14:paraId="79A34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5533B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6EEAF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D98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47C3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w:t>
            </w:r>
          </w:p>
        </w:tc>
        <w:tc>
          <w:tcPr>
            <w:tcW w:w="1969" w:type="dxa"/>
            <w:noWrap w:val="0"/>
            <w:vAlign w:val="center"/>
          </w:tcPr>
          <w:p w14:paraId="05D1F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视频处理器</w:t>
            </w:r>
          </w:p>
        </w:tc>
        <w:tc>
          <w:tcPr>
            <w:tcW w:w="1227" w:type="dxa"/>
            <w:noWrap w:val="0"/>
            <w:vAlign w:val="center"/>
          </w:tcPr>
          <w:p w14:paraId="692DD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08574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ign w:val="center"/>
          </w:tcPr>
          <w:p w14:paraId="3A569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895" w:type="dxa"/>
            <w:noWrap/>
            <w:vAlign w:val="center"/>
          </w:tcPr>
          <w:p w14:paraId="0035F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1C041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18CED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EA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A695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1969" w:type="dxa"/>
            <w:noWrap w:val="0"/>
            <w:vAlign w:val="center"/>
          </w:tcPr>
          <w:p w14:paraId="01302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1227" w:type="dxa"/>
            <w:noWrap w:val="0"/>
            <w:vAlign w:val="center"/>
          </w:tcPr>
          <w:p w14:paraId="15BC8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A9017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5FB99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ign w:val="center"/>
          </w:tcPr>
          <w:p w14:paraId="01F11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C4B8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655DB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498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396B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18</w:t>
            </w:r>
          </w:p>
        </w:tc>
        <w:tc>
          <w:tcPr>
            <w:tcW w:w="1969" w:type="dxa"/>
            <w:noWrap w:val="0"/>
            <w:vAlign w:val="center"/>
          </w:tcPr>
          <w:p w14:paraId="6724E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1227" w:type="dxa"/>
            <w:noWrap w:val="0"/>
            <w:vAlign w:val="center"/>
          </w:tcPr>
          <w:p w14:paraId="494D3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72C2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12F42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ign w:val="center"/>
          </w:tcPr>
          <w:p w14:paraId="016B0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5F49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9D3F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9D4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58D4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19</w:t>
            </w:r>
          </w:p>
        </w:tc>
        <w:tc>
          <w:tcPr>
            <w:tcW w:w="1969" w:type="dxa"/>
            <w:noWrap w:val="0"/>
            <w:vAlign w:val="center"/>
          </w:tcPr>
          <w:p w14:paraId="7034B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1B87F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E611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8.6</w:t>
            </w:r>
          </w:p>
        </w:tc>
        <w:tc>
          <w:tcPr>
            <w:tcW w:w="588" w:type="dxa"/>
            <w:noWrap/>
            <w:vAlign w:val="center"/>
          </w:tcPr>
          <w:p w14:paraId="338C8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ign w:val="center"/>
          </w:tcPr>
          <w:p w14:paraId="2C923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6C56B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73EE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7C6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54C1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20</w:t>
            </w:r>
          </w:p>
        </w:tc>
        <w:tc>
          <w:tcPr>
            <w:tcW w:w="1969" w:type="dxa"/>
            <w:noWrap w:val="0"/>
            <w:vAlign w:val="center"/>
          </w:tcPr>
          <w:p w14:paraId="6D949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屏体框架</w:t>
            </w:r>
          </w:p>
        </w:tc>
        <w:tc>
          <w:tcPr>
            <w:tcW w:w="1227" w:type="dxa"/>
            <w:noWrap w:val="0"/>
            <w:vAlign w:val="center"/>
          </w:tcPr>
          <w:p w14:paraId="43EBD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A58D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8.6</w:t>
            </w:r>
          </w:p>
        </w:tc>
        <w:tc>
          <w:tcPr>
            <w:tcW w:w="588" w:type="dxa"/>
            <w:noWrap/>
            <w:vAlign w:val="center"/>
          </w:tcPr>
          <w:p w14:paraId="5BAF7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ign w:val="center"/>
          </w:tcPr>
          <w:p w14:paraId="6C0CB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71B5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2AA08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E9C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E4BE1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w:t>
            </w:r>
          </w:p>
        </w:tc>
        <w:tc>
          <w:tcPr>
            <w:tcW w:w="1969" w:type="dxa"/>
            <w:noWrap w:val="0"/>
            <w:vAlign w:val="center"/>
          </w:tcPr>
          <w:p w14:paraId="46C0A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1227" w:type="dxa"/>
            <w:noWrap w:val="0"/>
            <w:vAlign w:val="center"/>
          </w:tcPr>
          <w:p w14:paraId="2EBF1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lang w:eastAsia="zh-CN"/>
              </w:rPr>
            </w:pPr>
          </w:p>
        </w:tc>
        <w:tc>
          <w:tcPr>
            <w:tcW w:w="729" w:type="dxa"/>
            <w:noWrap/>
            <w:vAlign w:val="center"/>
          </w:tcPr>
          <w:p w14:paraId="38577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71C88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ign w:val="center"/>
          </w:tcPr>
          <w:p w14:paraId="6C8B3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0998D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37D4A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660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0728B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w:t>
            </w:r>
          </w:p>
        </w:tc>
        <w:tc>
          <w:tcPr>
            <w:tcW w:w="1969" w:type="dxa"/>
            <w:noWrap w:val="0"/>
            <w:vAlign w:val="center"/>
          </w:tcPr>
          <w:p w14:paraId="20C4C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1227" w:type="dxa"/>
            <w:noWrap w:val="0"/>
            <w:vAlign w:val="center"/>
          </w:tcPr>
          <w:p w14:paraId="402CE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lang w:val="en-US"/>
              </w:rPr>
            </w:pPr>
          </w:p>
        </w:tc>
        <w:tc>
          <w:tcPr>
            <w:tcW w:w="729" w:type="dxa"/>
            <w:noWrap/>
            <w:vAlign w:val="center"/>
          </w:tcPr>
          <w:p w14:paraId="6B54F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243B7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ign w:val="center"/>
          </w:tcPr>
          <w:p w14:paraId="121DC0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D0FC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1651B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247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156A5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73D84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2FD4E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DBE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721168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shd w:val="clear" w:color="auto" w:fill="auto"/>
                <w:lang w:val="en-US" w:eastAsia="zh-CN"/>
              </w:rPr>
              <w:t>三、6楼中会议室607</w:t>
            </w:r>
            <w:r>
              <w:rPr>
                <w:rFonts w:hint="eastAsia" w:ascii="宋体" w:hAnsi="宋体" w:eastAsia="宋体" w:cs="宋体"/>
                <w:b/>
                <w:bCs/>
                <w:color w:val="FF0000"/>
                <w:sz w:val="18"/>
                <w:szCs w:val="18"/>
                <w:highlight w:val="none"/>
                <w:shd w:val="clear" w:color="auto" w:fill="auto"/>
                <w:lang w:val="en-US" w:eastAsia="zh-CN"/>
              </w:rPr>
              <w:t>部分</w:t>
            </w:r>
          </w:p>
        </w:tc>
      </w:tr>
      <w:tr w14:paraId="6F09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D1FF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40A9A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1227" w:type="dxa"/>
            <w:noWrap w:val="0"/>
            <w:vAlign w:val="center"/>
          </w:tcPr>
          <w:p w14:paraId="27238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716E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588" w:type="dxa"/>
            <w:noWrap/>
            <w:vAlign w:val="center"/>
          </w:tcPr>
          <w:p w14:paraId="243F8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只</w:t>
            </w:r>
          </w:p>
        </w:tc>
        <w:tc>
          <w:tcPr>
            <w:tcW w:w="895" w:type="dxa"/>
            <w:noWrap/>
            <w:vAlign w:val="center"/>
          </w:tcPr>
          <w:p w14:paraId="326287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7184ED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0F9CCB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45FE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AE1C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6D5F7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1227" w:type="dxa"/>
            <w:noWrap w:val="0"/>
            <w:vAlign w:val="center"/>
          </w:tcPr>
          <w:p w14:paraId="07676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238D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588" w:type="dxa"/>
            <w:noWrap/>
            <w:vAlign w:val="center"/>
          </w:tcPr>
          <w:p w14:paraId="046DC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95" w:type="dxa"/>
            <w:noWrap/>
            <w:vAlign w:val="center"/>
          </w:tcPr>
          <w:p w14:paraId="0D2B20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0871E0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544B05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20B9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9D67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25D37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1227" w:type="dxa"/>
            <w:noWrap w:val="0"/>
            <w:vAlign w:val="center"/>
          </w:tcPr>
          <w:p w14:paraId="7E5F0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color w:val="auto"/>
                <w:sz w:val="18"/>
                <w:szCs w:val="18"/>
                <w:highlight w:val="none"/>
              </w:rPr>
            </w:pPr>
          </w:p>
        </w:tc>
        <w:tc>
          <w:tcPr>
            <w:tcW w:w="729" w:type="dxa"/>
            <w:noWrap/>
            <w:vAlign w:val="center"/>
          </w:tcPr>
          <w:p w14:paraId="3BE5F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4F968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95" w:type="dxa"/>
            <w:noWrap/>
            <w:vAlign w:val="center"/>
          </w:tcPr>
          <w:p w14:paraId="3807C1A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sz w:val="18"/>
                <w:szCs w:val="18"/>
                <w:highlight w:val="none"/>
              </w:rPr>
            </w:pPr>
          </w:p>
        </w:tc>
        <w:tc>
          <w:tcPr>
            <w:tcW w:w="895" w:type="dxa"/>
            <w:noWrap/>
            <w:vAlign w:val="center"/>
          </w:tcPr>
          <w:p w14:paraId="69687A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sz w:val="18"/>
                <w:szCs w:val="18"/>
                <w:highlight w:val="none"/>
              </w:rPr>
            </w:pPr>
          </w:p>
        </w:tc>
        <w:tc>
          <w:tcPr>
            <w:tcW w:w="1468" w:type="dxa"/>
            <w:noWrap/>
            <w:vAlign w:val="center"/>
          </w:tcPr>
          <w:p w14:paraId="706C9E5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sz w:val="18"/>
                <w:szCs w:val="18"/>
                <w:highlight w:val="none"/>
              </w:rPr>
            </w:pPr>
          </w:p>
        </w:tc>
      </w:tr>
      <w:tr w14:paraId="38DD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6F9A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0F3723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1227" w:type="dxa"/>
            <w:noWrap w:val="0"/>
            <w:vAlign w:val="center"/>
          </w:tcPr>
          <w:p w14:paraId="78C96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38A9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700DA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95" w:type="dxa"/>
            <w:noWrap/>
            <w:vAlign w:val="center"/>
          </w:tcPr>
          <w:p w14:paraId="3B5219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274249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6B90BC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1CAF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373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540A7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一拖二无线麦克风</w:t>
            </w:r>
          </w:p>
        </w:tc>
        <w:tc>
          <w:tcPr>
            <w:tcW w:w="1227" w:type="dxa"/>
            <w:noWrap w:val="0"/>
            <w:vAlign w:val="center"/>
          </w:tcPr>
          <w:p w14:paraId="0461C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BC20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216DA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95" w:type="dxa"/>
            <w:noWrap/>
            <w:vAlign w:val="center"/>
          </w:tcPr>
          <w:p w14:paraId="31A1A9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2F3494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606B99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65C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A3F1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675D1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一拖四无线会议麦克风（方管）</w:t>
            </w:r>
          </w:p>
        </w:tc>
        <w:tc>
          <w:tcPr>
            <w:tcW w:w="1227" w:type="dxa"/>
            <w:noWrap w:val="0"/>
            <w:vAlign w:val="center"/>
          </w:tcPr>
          <w:p w14:paraId="293F01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E311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2FDF0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只</w:t>
            </w:r>
          </w:p>
        </w:tc>
        <w:tc>
          <w:tcPr>
            <w:tcW w:w="895" w:type="dxa"/>
            <w:noWrap/>
            <w:vAlign w:val="center"/>
          </w:tcPr>
          <w:p w14:paraId="13F3C0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08992B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2BA164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4A74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6E57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6D5AF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1227" w:type="dxa"/>
            <w:noWrap w:val="0"/>
            <w:vAlign w:val="center"/>
          </w:tcPr>
          <w:p w14:paraId="26495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FA68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588" w:type="dxa"/>
            <w:noWrap/>
            <w:vAlign w:val="center"/>
          </w:tcPr>
          <w:p w14:paraId="32352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只</w:t>
            </w:r>
          </w:p>
        </w:tc>
        <w:tc>
          <w:tcPr>
            <w:tcW w:w="895" w:type="dxa"/>
            <w:noWrap/>
            <w:vAlign w:val="center"/>
          </w:tcPr>
          <w:p w14:paraId="085A07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67F694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36DABC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106A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A2E1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1969" w:type="dxa"/>
            <w:noWrap w:val="0"/>
            <w:vAlign w:val="center"/>
          </w:tcPr>
          <w:p w14:paraId="2E5A5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1227" w:type="dxa"/>
            <w:noWrap w:val="0"/>
            <w:vAlign w:val="center"/>
          </w:tcPr>
          <w:p w14:paraId="269E7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9181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0C4FC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95" w:type="dxa"/>
            <w:noWrap/>
            <w:vAlign w:val="center"/>
          </w:tcPr>
          <w:p w14:paraId="3F8182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4CC533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3E4C9E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2D1CE904">
        <w:tblPrEx>
          <w:tblCellMar>
            <w:top w:w="0" w:type="dxa"/>
            <w:left w:w="108" w:type="dxa"/>
            <w:bottom w:w="0" w:type="dxa"/>
            <w:right w:w="108" w:type="dxa"/>
          </w:tblCellMar>
        </w:tblPrEx>
        <w:trPr>
          <w:trHeight w:val="23" w:hRule="atLeast"/>
          <w:jc w:val="center"/>
        </w:trPr>
        <w:tc>
          <w:tcPr>
            <w:tcW w:w="418" w:type="dxa"/>
            <w:noWrap w:val="0"/>
            <w:vAlign w:val="center"/>
          </w:tcPr>
          <w:p w14:paraId="010A3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969" w:type="dxa"/>
            <w:noWrap w:val="0"/>
            <w:vAlign w:val="center"/>
          </w:tcPr>
          <w:p w14:paraId="5F5EB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1227" w:type="dxa"/>
            <w:noWrap w:val="0"/>
            <w:vAlign w:val="center"/>
          </w:tcPr>
          <w:p w14:paraId="602AFD6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p>
        </w:tc>
        <w:tc>
          <w:tcPr>
            <w:tcW w:w="729" w:type="dxa"/>
            <w:noWrap/>
            <w:vAlign w:val="center"/>
          </w:tcPr>
          <w:p w14:paraId="1B2B2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32E94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895" w:type="dxa"/>
            <w:noWrap/>
            <w:vAlign w:val="center"/>
          </w:tcPr>
          <w:p w14:paraId="197E81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1915E3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71C17E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6B6B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BDE9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0397D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1227" w:type="dxa"/>
            <w:noWrap w:val="0"/>
            <w:vAlign w:val="center"/>
          </w:tcPr>
          <w:p w14:paraId="24A43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50AFB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2FDB1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批</w:t>
            </w:r>
          </w:p>
        </w:tc>
        <w:tc>
          <w:tcPr>
            <w:tcW w:w="895" w:type="dxa"/>
            <w:noWrap/>
            <w:vAlign w:val="center"/>
          </w:tcPr>
          <w:p w14:paraId="7CE92E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1075E1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7D2188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745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8787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66F29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1227" w:type="dxa"/>
            <w:noWrap w:val="0"/>
            <w:vAlign w:val="center"/>
          </w:tcPr>
          <w:p w14:paraId="29A0844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E96E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5.12</w:t>
            </w:r>
          </w:p>
        </w:tc>
        <w:tc>
          <w:tcPr>
            <w:tcW w:w="588" w:type="dxa"/>
            <w:noWrap/>
            <w:vAlign w:val="center"/>
          </w:tcPr>
          <w:p w14:paraId="08720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w:t>
            </w:r>
          </w:p>
        </w:tc>
        <w:tc>
          <w:tcPr>
            <w:tcW w:w="895" w:type="dxa"/>
            <w:noWrap/>
            <w:vAlign w:val="center"/>
          </w:tcPr>
          <w:p w14:paraId="1BCA05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08193B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3E4F8C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4EA8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0615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535CE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1227" w:type="dxa"/>
            <w:noWrap w:val="0"/>
            <w:vAlign w:val="center"/>
          </w:tcPr>
          <w:p w14:paraId="1AF5E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E1FF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17</w:t>
            </w:r>
          </w:p>
        </w:tc>
        <w:tc>
          <w:tcPr>
            <w:tcW w:w="588" w:type="dxa"/>
            <w:noWrap/>
            <w:vAlign w:val="center"/>
          </w:tcPr>
          <w:p w14:paraId="7DC1B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895" w:type="dxa"/>
            <w:noWrap/>
            <w:vAlign w:val="center"/>
          </w:tcPr>
          <w:p w14:paraId="3878C7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1CD1EF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10B627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0988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6121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w:t>
            </w:r>
          </w:p>
        </w:tc>
        <w:tc>
          <w:tcPr>
            <w:tcW w:w="1969" w:type="dxa"/>
            <w:noWrap w:val="0"/>
            <w:vAlign w:val="center"/>
          </w:tcPr>
          <w:p w14:paraId="3F9EB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接收卡</w:t>
            </w:r>
          </w:p>
        </w:tc>
        <w:tc>
          <w:tcPr>
            <w:tcW w:w="1227" w:type="dxa"/>
            <w:noWrap w:val="0"/>
            <w:vAlign w:val="center"/>
          </w:tcPr>
          <w:p w14:paraId="3BADE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0235B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w:t>
            </w:r>
          </w:p>
        </w:tc>
        <w:tc>
          <w:tcPr>
            <w:tcW w:w="588" w:type="dxa"/>
            <w:noWrap/>
            <w:vAlign w:val="center"/>
          </w:tcPr>
          <w:p w14:paraId="10D2F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张</w:t>
            </w:r>
          </w:p>
        </w:tc>
        <w:tc>
          <w:tcPr>
            <w:tcW w:w="895" w:type="dxa"/>
            <w:noWrap/>
            <w:vAlign w:val="center"/>
          </w:tcPr>
          <w:p w14:paraId="13D03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7ADE7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77B4C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430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5DE0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1969" w:type="dxa"/>
            <w:noWrap w:val="0"/>
            <w:vAlign w:val="center"/>
          </w:tcPr>
          <w:p w14:paraId="70B0D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视频处理器</w:t>
            </w:r>
          </w:p>
        </w:tc>
        <w:tc>
          <w:tcPr>
            <w:tcW w:w="1227" w:type="dxa"/>
            <w:noWrap w:val="0"/>
            <w:vAlign w:val="center"/>
          </w:tcPr>
          <w:p w14:paraId="35B48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4B11A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ign w:val="center"/>
          </w:tcPr>
          <w:p w14:paraId="31877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895" w:type="dxa"/>
            <w:noWrap/>
            <w:vAlign w:val="center"/>
          </w:tcPr>
          <w:p w14:paraId="4D590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ign w:val="center"/>
          </w:tcPr>
          <w:p w14:paraId="20C52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ign w:val="center"/>
          </w:tcPr>
          <w:p w14:paraId="55C0A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B2A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262E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15</w:t>
            </w:r>
          </w:p>
        </w:tc>
        <w:tc>
          <w:tcPr>
            <w:tcW w:w="1969" w:type="dxa"/>
            <w:noWrap w:val="0"/>
            <w:vAlign w:val="center"/>
          </w:tcPr>
          <w:p w14:paraId="63AD5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控制设备</w:t>
            </w:r>
          </w:p>
        </w:tc>
        <w:tc>
          <w:tcPr>
            <w:tcW w:w="1227" w:type="dxa"/>
            <w:noWrap w:val="0"/>
            <w:vAlign w:val="center"/>
          </w:tcPr>
          <w:p w14:paraId="42AAF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5B82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45E3C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895" w:type="dxa"/>
            <w:noWrap/>
            <w:vAlign w:val="center"/>
          </w:tcPr>
          <w:p w14:paraId="483C59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3607B4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5727E9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0677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3EBB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16</w:t>
            </w:r>
          </w:p>
        </w:tc>
        <w:tc>
          <w:tcPr>
            <w:tcW w:w="1969" w:type="dxa"/>
            <w:noWrap w:val="0"/>
            <w:vAlign w:val="center"/>
          </w:tcPr>
          <w:p w14:paraId="5EC25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1227" w:type="dxa"/>
            <w:noWrap w:val="0"/>
            <w:vAlign w:val="center"/>
          </w:tcPr>
          <w:p w14:paraId="1B663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78AD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0AC35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895" w:type="dxa"/>
            <w:noWrap/>
            <w:vAlign w:val="center"/>
          </w:tcPr>
          <w:p w14:paraId="423B58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475F96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7E723C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64DC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2B66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1969" w:type="dxa"/>
            <w:noWrap w:val="0"/>
            <w:vAlign w:val="center"/>
          </w:tcPr>
          <w:p w14:paraId="42638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615382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5C88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5.12</w:t>
            </w:r>
          </w:p>
        </w:tc>
        <w:tc>
          <w:tcPr>
            <w:tcW w:w="588" w:type="dxa"/>
            <w:noWrap/>
            <w:vAlign w:val="center"/>
          </w:tcPr>
          <w:p w14:paraId="1B493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w:t>
            </w:r>
          </w:p>
        </w:tc>
        <w:tc>
          <w:tcPr>
            <w:tcW w:w="895" w:type="dxa"/>
            <w:noWrap/>
            <w:vAlign w:val="center"/>
          </w:tcPr>
          <w:p w14:paraId="78046C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395651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07B6D4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5D25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E49E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18</w:t>
            </w:r>
          </w:p>
        </w:tc>
        <w:tc>
          <w:tcPr>
            <w:tcW w:w="1969" w:type="dxa"/>
            <w:noWrap w:val="0"/>
            <w:vAlign w:val="center"/>
          </w:tcPr>
          <w:p w14:paraId="59371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1227" w:type="dxa"/>
            <w:noWrap w:val="0"/>
            <w:vAlign w:val="center"/>
          </w:tcPr>
          <w:p w14:paraId="6A142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78B7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5.12</w:t>
            </w:r>
          </w:p>
        </w:tc>
        <w:tc>
          <w:tcPr>
            <w:tcW w:w="588" w:type="dxa"/>
            <w:noWrap/>
            <w:vAlign w:val="center"/>
          </w:tcPr>
          <w:p w14:paraId="0C2FD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w:t>
            </w:r>
          </w:p>
        </w:tc>
        <w:tc>
          <w:tcPr>
            <w:tcW w:w="895" w:type="dxa"/>
            <w:noWrap/>
            <w:vAlign w:val="center"/>
          </w:tcPr>
          <w:p w14:paraId="22F8FB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1F8842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17CD92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0926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7C48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19</w:t>
            </w:r>
          </w:p>
        </w:tc>
        <w:tc>
          <w:tcPr>
            <w:tcW w:w="1969" w:type="dxa"/>
            <w:noWrap w:val="0"/>
            <w:vAlign w:val="center"/>
          </w:tcPr>
          <w:p w14:paraId="40023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1227" w:type="dxa"/>
            <w:noWrap w:val="0"/>
            <w:vAlign w:val="center"/>
          </w:tcPr>
          <w:p w14:paraId="505FB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AF5C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3FA44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批</w:t>
            </w:r>
          </w:p>
        </w:tc>
        <w:tc>
          <w:tcPr>
            <w:tcW w:w="895" w:type="dxa"/>
            <w:noWrap/>
            <w:vAlign w:val="center"/>
          </w:tcPr>
          <w:p w14:paraId="177E00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36427C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37FAC9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3CAC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noWrap w:val="0"/>
            <w:vAlign w:val="center"/>
          </w:tcPr>
          <w:p w14:paraId="2A7D4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20</w:t>
            </w:r>
          </w:p>
        </w:tc>
        <w:tc>
          <w:tcPr>
            <w:tcW w:w="1969" w:type="dxa"/>
            <w:noWrap w:val="0"/>
            <w:vAlign w:val="center"/>
          </w:tcPr>
          <w:p w14:paraId="16A5E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1227" w:type="dxa"/>
            <w:noWrap w:val="0"/>
            <w:vAlign w:val="center"/>
          </w:tcPr>
          <w:p w14:paraId="2942D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478F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588" w:type="dxa"/>
            <w:noWrap/>
            <w:vAlign w:val="center"/>
          </w:tcPr>
          <w:p w14:paraId="3CA80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批</w:t>
            </w:r>
          </w:p>
        </w:tc>
        <w:tc>
          <w:tcPr>
            <w:tcW w:w="895" w:type="dxa"/>
            <w:noWrap/>
            <w:vAlign w:val="center"/>
          </w:tcPr>
          <w:p w14:paraId="23E05E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ign w:val="center"/>
          </w:tcPr>
          <w:p w14:paraId="43A5DE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ign w:val="center"/>
          </w:tcPr>
          <w:p w14:paraId="3B1707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71D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9E005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2C7FE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3EE33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5FE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0727B5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lang w:val="en-US" w:eastAsia="zh-CN"/>
              </w:rPr>
              <w:t>四、小会议室606</w:t>
            </w:r>
            <w:r>
              <w:rPr>
                <w:rFonts w:hint="eastAsia" w:ascii="宋体" w:hAnsi="宋体" w:eastAsia="宋体" w:cs="宋体"/>
                <w:b/>
                <w:bCs/>
                <w:color w:val="FF0000"/>
                <w:sz w:val="18"/>
                <w:szCs w:val="18"/>
                <w:highlight w:val="none"/>
                <w:lang w:val="en-US" w:eastAsia="zh-CN"/>
              </w:rPr>
              <w:t>部分</w:t>
            </w:r>
          </w:p>
        </w:tc>
      </w:tr>
      <w:tr w14:paraId="1F67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B3B3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413AB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会议大屏</w:t>
            </w:r>
          </w:p>
        </w:tc>
        <w:tc>
          <w:tcPr>
            <w:tcW w:w="1227" w:type="dxa"/>
            <w:noWrap w:val="0"/>
            <w:vAlign w:val="top"/>
          </w:tcPr>
          <w:p w14:paraId="56E472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color w:val="auto"/>
                <w:sz w:val="18"/>
                <w:szCs w:val="18"/>
                <w:highlight w:val="none"/>
              </w:rPr>
            </w:pPr>
          </w:p>
        </w:tc>
        <w:tc>
          <w:tcPr>
            <w:tcW w:w="729" w:type="dxa"/>
            <w:noWrap/>
            <w:vAlign w:val="center"/>
          </w:tcPr>
          <w:p w14:paraId="12404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1B0C5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1BD69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AA64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0C24F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BB1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9ECF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35816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投屏器</w:t>
            </w:r>
          </w:p>
        </w:tc>
        <w:tc>
          <w:tcPr>
            <w:tcW w:w="1227" w:type="dxa"/>
            <w:noWrap w:val="0"/>
            <w:vAlign w:val="center"/>
          </w:tcPr>
          <w:p w14:paraId="5D996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B87B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24F9B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ign w:val="center"/>
          </w:tcPr>
          <w:p w14:paraId="79D8A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2BDEE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7373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3D3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7C3D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1056F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支架</w:t>
            </w:r>
          </w:p>
        </w:tc>
        <w:tc>
          <w:tcPr>
            <w:tcW w:w="1227" w:type="dxa"/>
            <w:noWrap w:val="0"/>
            <w:vAlign w:val="center"/>
          </w:tcPr>
          <w:p w14:paraId="4B5624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9DFE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74B58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ign w:val="center"/>
          </w:tcPr>
          <w:p w14:paraId="21CD7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7DF6B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563B6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93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BD87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25DFB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全向麦克风</w:t>
            </w:r>
          </w:p>
        </w:tc>
        <w:tc>
          <w:tcPr>
            <w:tcW w:w="1227" w:type="dxa"/>
            <w:noWrap w:val="0"/>
            <w:vAlign w:val="center"/>
          </w:tcPr>
          <w:p w14:paraId="6762C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712E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4B9E1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个</w:t>
            </w:r>
          </w:p>
        </w:tc>
        <w:tc>
          <w:tcPr>
            <w:tcW w:w="895" w:type="dxa"/>
            <w:noWrap/>
            <w:vAlign w:val="center"/>
          </w:tcPr>
          <w:p w14:paraId="0128E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11220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07684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B8C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57A7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3B606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安装服务</w:t>
            </w:r>
          </w:p>
        </w:tc>
        <w:tc>
          <w:tcPr>
            <w:tcW w:w="1227" w:type="dxa"/>
            <w:noWrap w:val="0"/>
            <w:vAlign w:val="center"/>
          </w:tcPr>
          <w:p w14:paraId="24E9B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F230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ign w:val="center"/>
          </w:tcPr>
          <w:p w14:paraId="30B7A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项</w:t>
            </w:r>
          </w:p>
        </w:tc>
        <w:tc>
          <w:tcPr>
            <w:tcW w:w="895" w:type="dxa"/>
            <w:noWrap/>
            <w:vAlign w:val="center"/>
          </w:tcPr>
          <w:p w14:paraId="404FE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ign w:val="center"/>
          </w:tcPr>
          <w:p w14:paraId="03167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ign w:val="center"/>
          </w:tcPr>
          <w:p w14:paraId="471CD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F65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EC514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0CA791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709A5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156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4A205EC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五、</w:t>
            </w:r>
            <w:r>
              <w:rPr>
                <w:rFonts w:hint="eastAsia" w:ascii="宋体" w:hAnsi="宋体" w:eastAsia="宋体" w:cs="宋体"/>
                <w:b/>
                <w:bCs/>
                <w:color w:val="auto"/>
                <w:sz w:val="18"/>
                <w:szCs w:val="18"/>
                <w:highlight w:val="none"/>
              </w:rPr>
              <w:t>6楼路演大厅</w:t>
            </w:r>
            <w:r>
              <w:rPr>
                <w:rFonts w:hint="eastAsia" w:ascii="宋体" w:hAnsi="宋体" w:eastAsia="宋体" w:cs="宋体"/>
                <w:b/>
                <w:bCs/>
                <w:color w:val="FF0000"/>
                <w:sz w:val="18"/>
                <w:szCs w:val="18"/>
                <w:highlight w:val="none"/>
                <w:lang w:val="en-US" w:eastAsia="zh-CN"/>
              </w:rPr>
              <w:t>部分</w:t>
            </w:r>
          </w:p>
        </w:tc>
      </w:tr>
      <w:tr w14:paraId="5DDD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698D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02718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1227" w:type="dxa"/>
            <w:noWrap w:val="0"/>
            <w:vAlign w:val="center"/>
          </w:tcPr>
          <w:p w14:paraId="67E2D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7955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29AFD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5CD99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52E0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2FA8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119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6BC2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507452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反听音箱</w:t>
            </w:r>
          </w:p>
        </w:tc>
        <w:tc>
          <w:tcPr>
            <w:tcW w:w="1227" w:type="dxa"/>
            <w:noWrap w:val="0"/>
            <w:vAlign w:val="center"/>
          </w:tcPr>
          <w:p w14:paraId="0FFEB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50B5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68E04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2B04B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638B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51E1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AB9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F1C0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28482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辅助音箱</w:t>
            </w:r>
          </w:p>
        </w:tc>
        <w:tc>
          <w:tcPr>
            <w:tcW w:w="1227" w:type="dxa"/>
            <w:noWrap w:val="0"/>
            <w:vAlign w:val="center"/>
          </w:tcPr>
          <w:p w14:paraId="5D7C7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A9C6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053C1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5E9AC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47A4C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21FC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640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8E90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564C7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超低音音箱</w:t>
            </w:r>
          </w:p>
        </w:tc>
        <w:tc>
          <w:tcPr>
            <w:tcW w:w="1227" w:type="dxa"/>
            <w:noWrap w:val="0"/>
            <w:vAlign w:val="center"/>
          </w:tcPr>
          <w:p w14:paraId="334EE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8B2F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6B9D6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53BB9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6726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F3AF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AFC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206E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01FA2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1227" w:type="dxa"/>
            <w:noWrap w:val="0"/>
            <w:vAlign w:val="center"/>
          </w:tcPr>
          <w:p w14:paraId="2F2EA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AF12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588" w:type="dxa"/>
            <w:noWrap w:val="0"/>
            <w:vAlign w:val="center"/>
          </w:tcPr>
          <w:p w14:paraId="0C293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6D7D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7E52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F2BC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637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5F14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2656F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主功放</w:t>
            </w:r>
          </w:p>
        </w:tc>
        <w:tc>
          <w:tcPr>
            <w:tcW w:w="1227" w:type="dxa"/>
            <w:noWrap w:val="0"/>
            <w:vAlign w:val="center"/>
          </w:tcPr>
          <w:p w14:paraId="6D115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566E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2EB5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1D7A0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A39B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A0C6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94C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6FBD3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12A00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1227" w:type="dxa"/>
            <w:noWrap w:val="0"/>
            <w:vAlign w:val="center"/>
          </w:tcPr>
          <w:p w14:paraId="149D25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AB0D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245EC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589DA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0C71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3AF4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E88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C2E8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1969" w:type="dxa"/>
            <w:noWrap w:val="0"/>
            <w:vAlign w:val="center"/>
          </w:tcPr>
          <w:p w14:paraId="25945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音频处理器</w:t>
            </w:r>
          </w:p>
        </w:tc>
        <w:tc>
          <w:tcPr>
            <w:tcW w:w="1227" w:type="dxa"/>
            <w:noWrap w:val="0"/>
            <w:vAlign w:val="center"/>
          </w:tcPr>
          <w:p w14:paraId="20CD2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9B95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BD32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2535A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6EA5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8994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F5E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2496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969" w:type="dxa"/>
            <w:noWrap w:val="0"/>
            <w:vAlign w:val="center"/>
          </w:tcPr>
          <w:p w14:paraId="47BC1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1227" w:type="dxa"/>
            <w:noWrap w:val="0"/>
            <w:vAlign w:val="center"/>
          </w:tcPr>
          <w:p w14:paraId="4C053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2BB5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0E034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23470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CD8D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03EF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742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99DE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79ECC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一拖四无线会议麦克风（方管）</w:t>
            </w:r>
          </w:p>
        </w:tc>
        <w:tc>
          <w:tcPr>
            <w:tcW w:w="1227" w:type="dxa"/>
            <w:noWrap w:val="0"/>
            <w:vAlign w:val="center"/>
          </w:tcPr>
          <w:p w14:paraId="6DC7D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0084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089D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2C605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242C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EE0E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D85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384E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7D467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1227" w:type="dxa"/>
            <w:noWrap w:val="0"/>
            <w:vAlign w:val="center"/>
          </w:tcPr>
          <w:p w14:paraId="65C5E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1E18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1372F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032E8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CD86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D320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26F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FF02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4017B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1227" w:type="dxa"/>
            <w:noWrap w:val="0"/>
            <w:vAlign w:val="center"/>
          </w:tcPr>
          <w:p w14:paraId="2002B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5488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33DE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509C3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7AC6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83CA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61C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4C2D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1969" w:type="dxa"/>
            <w:noWrap w:val="0"/>
            <w:vAlign w:val="center"/>
          </w:tcPr>
          <w:p w14:paraId="4A15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55寸电视机</w:t>
            </w:r>
          </w:p>
        </w:tc>
        <w:tc>
          <w:tcPr>
            <w:tcW w:w="1227" w:type="dxa"/>
            <w:noWrap w:val="0"/>
            <w:vAlign w:val="center"/>
          </w:tcPr>
          <w:p w14:paraId="788E23E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p>
        </w:tc>
        <w:tc>
          <w:tcPr>
            <w:tcW w:w="729" w:type="dxa"/>
            <w:noWrap/>
            <w:vAlign w:val="center"/>
          </w:tcPr>
          <w:p w14:paraId="1D24BA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588" w:type="dxa"/>
            <w:noWrap w:val="0"/>
            <w:vAlign w:val="center"/>
          </w:tcPr>
          <w:p w14:paraId="7C6A3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871E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35B7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C9FE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F71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0930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14</w:t>
            </w:r>
          </w:p>
        </w:tc>
        <w:tc>
          <w:tcPr>
            <w:tcW w:w="1969" w:type="dxa"/>
            <w:noWrap w:val="0"/>
            <w:vAlign w:val="center"/>
          </w:tcPr>
          <w:p w14:paraId="64641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FF0000"/>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1227" w:type="dxa"/>
            <w:noWrap w:val="0"/>
            <w:vAlign w:val="center"/>
          </w:tcPr>
          <w:p w14:paraId="4C70641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0DB3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13.06</w:t>
            </w:r>
          </w:p>
        </w:tc>
        <w:tc>
          <w:tcPr>
            <w:tcW w:w="588" w:type="dxa"/>
            <w:noWrap w:val="0"/>
            <w:vAlign w:val="center"/>
          </w:tcPr>
          <w:p w14:paraId="0D2D7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4A199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E4B6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473C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159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B73F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15</w:t>
            </w:r>
          </w:p>
        </w:tc>
        <w:tc>
          <w:tcPr>
            <w:tcW w:w="1969" w:type="dxa"/>
            <w:noWrap w:val="0"/>
            <w:vAlign w:val="center"/>
          </w:tcPr>
          <w:p w14:paraId="20319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FF0000"/>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1227" w:type="dxa"/>
            <w:noWrap w:val="0"/>
            <w:vAlign w:val="center"/>
          </w:tcPr>
          <w:p w14:paraId="38F83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D408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44</w:t>
            </w:r>
          </w:p>
        </w:tc>
        <w:tc>
          <w:tcPr>
            <w:tcW w:w="588" w:type="dxa"/>
            <w:noWrap w:val="0"/>
            <w:vAlign w:val="center"/>
          </w:tcPr>
          <w:p w14:paraId="2E9BA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50179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2006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B58A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E56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F790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w:t>
            </w:r>
          </w:p>
        </w:tc>
        <w:tc>
          <w:tcPr>
            <w:tcW w:w="1969" w:type="dxa"/>
            <w:noWrap w:val="0"/>
            <w:vAlign w:val="center"/>
          </w:tcPr>
          <w:p w14:paraId="5D7E7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接收卡</w:t>
            </w:r>
          </w:p>
        </w:tc>
        <w:tc>
          <w:tcPr>
            <w:tcW w:w="1227" w:type="dxa"/>
            <w:noWrap w:val="0"/>
            <w:vAlign w:val="center"/>
          </w:tcPr>
          <w:p w14:paraId="1C5F2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1E3AE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17</w:t>
            </w:r>
          </w:p>
        </w:tc>
        <w:tc>
          <w:tcPr>
            <w:tcW w:w="588" w:type="dxa"/>
            <w:noWrap w:val="0"/>
            <w:vAlign w:val="center"/>
          </w:tcPr>
          <w:p w14:paraId="14402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张</w:t>
            </w:r>
          </w:p>
        </w:tc>
        <w:tc>
          <w:tcPr>
            <w:tcW w:w="895" w:type="dxa"/>
            <w:noWrap w:val="0"/>
            <w:vAlign w:val="center"/>
          </w:tcPr>
          <w:p w14:paraId="09B9E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5FFB4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4168D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FE1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FBAC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17</w:t>
            </w:r>
          </w:p>
        </w:tc>
        <w:tc>
          <w:tcPr>
            <w:tcW w:w="1969" w:type="dxa"/>
            <w:noWrap w:val="0"/>
            <w:vAlign w:val="center"/>
          </w:tcPr>
          <w:p w14:paraId="6F2B5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视频处理器</w:t>
            </w:r>
          </w:p>
        </w:tc>
        <w:tc>
          <w:tcPr>
            <w:tcW w:w="1227" w:type="dxa"/>
            <w:noWrap w:val="0"/>
            <w:vAlign w:val="center"/>
          </w:tcPr>
          <w:p w14:paraId="4ED34E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0197A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0"/>
            <w:vAlign w:val="center"/>
          </w:tcPr>
          <w:p w14:paraId="52F99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895" w:type="dxa"/>
            <w:noWrap w:val="0"/>
            <w:vAlign w:val="center"/>
          </w:tcPr>
          <w:p w14:paraId="246F2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3F74C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506D8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277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F3EB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18</w:t>
            </w:r>
          </w:p>
        </w:tc>
        <w:tc>
          <w:tcPr>
            <w:tcW w:w="1969" w:type="dxa"/>
            <w:noWrap w:val="0"/>
            <w:vAlign w:val="center"/>
          </w:tcPr>
          <w:p w14:paraId="153C2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控制电脑</w:t>
            </w:r>
          </w:p>
        </w:tc>
        <w:tc>
          <w:tcPr>
            <w:tcW w:w="1227" w:type="dxa"/>
            <w:noWrap w:val="0"/>
            <w:vAlign w:val="center"/>
          </w:tcPr>
          <w:p w14:paraId="0ABB2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7992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DA7B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35E19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2FBF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FAE5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FDD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ED5F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19</w:t>
            </w:r>
          </w:p>
        </w:tc>
        <w:tc>
          <w:tcPr>
            <w:tcW w:w="1969" w:type="dxa"/>
            <w:noWrap w:val="0"/>
            <w:vAlign w:val="center"/>
          </w:tcPr>
          <w:p w14:paraId="080C5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1227" w:type="dxa"/>
            <w:noWrap w:val="0"/>
            <w:vAlign w:val="center"/>
          </w:tcPr>
          <w:p w14:paraId="53F54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7A79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30A61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7DBA2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8775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9EA9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DDF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1E7B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20</w:t>
            </w:r>
          </w:p>
        </w:tc>
        <w:tc>
          <w:tcPr>
            <w:tcW w:w="1969" w:type="dxa"/>
            <w:noWrap w:val="0"/>
            <w:vAlign w:val="center"/>
          </w:tcPr>
          <w:p w14:paraId="1741C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4B5CF7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84BF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13.06</w:t>
            </w:r>
          </w:p>
        </w:tc>
        <w:tc>
          <w:tcPr>
            <w:tcW w:w="588" w:type="dxa"/>
            <w:noWrap w:val="0"/>
            <w:vAlign w:val="center"/>
          </w:tcPr>
          <w:p w14:paraId="11289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744979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DDD4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F174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CB6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1A7E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21</w:t>
            </w:r>
          </w:p>
        </w:tc>
        <w:tc>
          <w:tcPr>
            <w:tcW w:w="1969" w:type="dxa"/>
            <w:noWrap w:val="0"/>
            <w:vAlign w:val="center"/>
          </w:tcPr>
          <w:p w14:paraId="2A8A5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1227" w:type="dxa"/>
            <w:noWrap w:val="0"/>
            <w:vAlign w:val="center"/>
          </w:tcPr>
          <w:p w14:paraId="22BC3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9AA1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13.06</w:t>
            </w:r>
          </w:p>
        </w:tc>
        <w:tc>
          <w:tcPr>
            <w:tcW w:w="588" w:type="dxa"/>
            <w:noWrap w:val="0"/>
            <w:vAlign w:val="center"/>
          </w:tcPr>
          <w:p w14:paraId="60EF0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6B9C3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2F31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C062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1EC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5661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22</w:t>
            </w:r>
          </w:p>
        </w:tc>
        <w:tc>
          <w:tcPr>
            <w:tcW w:w="1969" w:type="dxa"/>
            <w:noWrap w:val="0"/>
            <w:vAlign w:val="center"/>
          </w:tcPr>
          <w:p w14:paraId="0AB38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1227" w:type="dxa"/>
            <w:noWrap w:val="0"/>
            <w:vAlign w:val="center"/>
          </w:tcPr>
          <w:p w14:paraId="7D6B4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74D0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36DF3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33151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4B948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91C8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3E7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E393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23</w:t>
            </w:r>
          </w:p>
        </w:tc>
        <w:tc>
          <w:tcPr>
            <w:tcW w:w="1969" w:type="dxa"/>
            <w:noWrap w:val="0"/>
            <w:vAlign w:val="center"/>
          </w:tcPr>
          <w:p w14:paraId="3E1F0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1227" w:type="dxa"/>
            <w:noWrap w:val="0"/>
            <w:vAlign w:val="center"/>
          </w:tcPr>
          <w:p w14:paraId="1DFCF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0E82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06B9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469A5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E0AC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8D66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947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46433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43D93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2F1A1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E32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5F8AB5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lang w:val="en-US" w:eastAsia="zh-CN"/>
              </w:rPr>
              <w:t>六、3楼会议室</w:t>
            </w:r>
            <w:r>
              <w:rPr>
                <w:rFonts w:hint="eastAsia" w:ascii="宋体" w:hAnsi="宋体" w:eastAsia="宋体" w:cs="宋体"/>
                <w:b/>
                <w:bCs/>
                <w:color w:val="FF0000"/>
                <w:sz w:val="18"/>
                <w:szCs w:val="18"/>
                <w:highlight w:val="none"/>
                <w:lang w:val="en-US" w:eastAsia="zh-CN"/>
              </w:rPr>
              <w:t>部分</w:t>
            </w:r>
          </w:p>
        </w:tc>
      </w:tr>
      <w:tr w14:paraId="16D0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7557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08BDC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1227" w:type="dxa"/>
            <w:noWrap w:val="0"/>
            <w:vAlign w:val="center"/>
          </w:tcPr>
          <w:p w14:paraId="44449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0606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26530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229D3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57A2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65D7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9CF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440F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0A6CF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1227" w:type="dxa"/>
            <w:noWrap w:val="0"/>
            <w:vAlign w:val="center"/>
          </w:tcPr>
          <w:p w14:paraId="2FAB7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ACF4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3D63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776D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C20D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909C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A12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3995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04A0E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1227" w:type="dxa"/>
            <w:noWrap w:val="0"/>
            <w:vAlign w:val="center"/>
          </w:tcPr>
          <w:p w14:paraId="514597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45C6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FF66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46291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EE6D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CBD3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D78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C4EA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33CA4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会议主机</w:t>
            </w:r>
          </w:p>
        </w:tc>
        <w:tc>
          <w:tcPr>
            <w:tcW w:w="1227" w:type="dxa"/>
            <w:noWrap w:val="0"/>
            <w:vAlign w:val="center"/>
          </w:tcPr>
          <w:p w14:paraId="5780396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6243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2C6A2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0A88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C8AD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1511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1BD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4A12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6E2B0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主席单元(无线)</w:t>
            </w:r>
          </w:p>
        </w:tc>
        <w:tc>
          <w:tcPr>
            <w:tcW w:w="1227" w:type="dxa"/>
            <w:noWrap w:val="0"/>
            <w:vAlign w:val="center"/>
          </w:tcPr>
          <w:p w14:paraId="5736D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D1C3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2C85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04E43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8CCB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1201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92B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B1F88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0826A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客席单元(无线)</w:t>
            </w:r>
          </w:p>
        </w:tc>
        <w:tc>
          <w:tcPr>
            <w:tcW w:w="1227" w:type="dxa"/>
            <w:noWrap w:val="0"/>
            <w:vAlign w:val="center"/>
          </w:tcPr>
          <w:p w14:paraId="31868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6AC1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588" w:type="dxa"/>
            <w:noWrap w:val="0"/>
            <w:vAlign w:val="center"/>
          </w:tcPr>
          <w:p w14:paraId="4628D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53C65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1817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C2E2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985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78B2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5C8D8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1227" w:type="dxa"/>
            <w:noWrap w:val="0"/>
            <w:vAlign w:val="center"/>
          </w:tcPr>
          <w:p w14:paraId="73733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43B1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0DAA6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064E8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CE48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475E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124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DA85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1969" w:type="dxa"/>
            <w:noWrap w:val="0"/>
            <w:vAlign w:val="center"/>
          </w:tcPr>
          <w:p w14:paraId="5F453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1227" w:type="dxa"/>
            <w:noWrap w:val="0"/>
            <w:vAlign w:val="center"/>
          </w:tcPr>
          <w:p w14:paraId="7DD99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D926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9DBA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F75D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866E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61E2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DEA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17C3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969" w:type="dxa"/>
            <w:noWrap w:val="0"/>
            <w:vAlign w:val="center"/>
          </w:tcPr>
          <w:p w14:paraId="03DD2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1227" w:type="dxa"/>
            <w:noWrap w:val="0"/>
            <w:vAlign w:val="center"/>
          </w:tcPr>
          <w:p w14:paraId="62F680D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p>
        </w:tc>
        <w:tc>
          <w:tcPr>
            <w:tcW w:w="729" w:type="dxa"/>
            <w:noWrap/>
            <w:vAlign w:val="center"/>
          </w:tcPr>
          <w:p w14:paraId="72302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1F110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个</w:t>
            </w:r>
          </w:p>
        </w:tc>
        <w:tc>
          <w:tcPr>
            <w:tcW w:w="895" w:type="dxa"/>
            <w:noWrap w:val="0"/>
            <w:vAlign w:val="center"/>
          </w:tcPr>
          <w:p w14:paraId="010A5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E3F7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C563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079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A29D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74894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1227" w:type="dxa"/>
            <w:noWrap w:val="0"/>
            <w:vAlign w:val="center"/>
          </w:tcPr>
          <w:p w14:paraId="0CD9A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2B2A39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588" w:type="dxa"/>
            <w:noWrap w:val="0"/>
            <w:vAlign w:val="center"/>
          </w:tcPr>
          <w:p w14:paraId="1B46FBB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批</w:t>
            </w:r>
          </w:p>
        </w:tc>
        <w:tc>
          <w:tcPr>
            <w:tcW w:w="895" w:type="dxa"/>
            <w:noWrap w:val="0"/>
            <w:vAlign w:val="center"/>
          </w:tcPr>
          <w:p w14:paraId="7BEEE78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895" w:type="dxa"/>
            <w:noWrap w:val="0"/>
            <w:vAlign w:val="center"/>
          </w:tcPr>
          <w:p w14:paraId="1FBE11A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1468" w:type="dxa"/>
            <w:noWrap w:val="0"/>
            <w:vAlign w:val="center"/>
          </w:tcPr>
          <w:p w14:paraId="0B60BEB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r>
      <w:tr w14:paraId="3329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8" w:type="dxa"/>
            <w:noWrap w:val="0"/>
            <w:vAlign w:val="center"/>
          </w:tcPr>
          <w:p w14:paraId="46F9F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39EEE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1227" w:type="dxa"/>
            <w:noWrap w:val="0"/>
            <w:vAlign w:val="center"/>
          </w:tcPr>
          <w:p w14:paraId="44D865D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5FFF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8.6</w:t>
            </w:r>
          </w:p>
        </w:tc>
        <w:tc>
          <w:tcPr>
            <w:tcW w:w="588" w:type="dxa"/>
            <w:noWrap w:val="0"/>
            <w:vAlign w:val="center"/>
          </w:tcPr>
          <w:p w14:paraId="69FAD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55D57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FDD8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0FD4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B5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1E40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0EAAA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1227" w:type="dxa"/>
            <w:noWrap w:val="0"/>
            <w:vAlign w:val="center"/>
          </w:tcPr>
          <w:p w14:paraId="7568A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1C9C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28</w:t>
            </w:r>
          </w:p>
        </w:tc>
        <w:tc>
          <w:tcPr>
            <w:tcW w:w="588" w:type="dxa"/>
            <w:noWrap w:val="0"/>
            <w:vAlign w:val="center"/>
          </w:tcPr>
          <w:p w14:paraId="338DE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71F58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7D96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3EFF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585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64AF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w:t>
            </w:r>
          </w:p>
        </w:tc>
        <w:tc>
          <w:tcPr>
            <w:tcW w:w="1969" w:type="dxa"/>
            <w:noWrap w:val="0"/>
            <w:vAlign w:val="center"/>
          </w:tcPr>
          <w:p w14:paraId="07E2D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接收卡</w:t>
            </w:r>
          </w:p>
        </w:tc>
        <w:tc>
          <w:tcPr>
            <w:tcW w:w="1227" w:type="dxa"/>
            <w:noWrap w:val="0"/>
            <w:vAlign w:val="center"/>
          </w:tcPr>
          <w:p w14:paraId="1848B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385B7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588" w:type="dxa"/>
            <w:noWrap w:val="0"/>
            <w:vAlign w:val="center"/>
          </w:tcPr>
          <w:p w14:paraId="4631B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张</w:t>
            </w:r>
          </w:p>
        </w:tc>
        <w:tc>
          <w:tcPr>
            <w:tcW w:w="895" w:type="dxa"/>
            <w:noWrap w:val="0"/>
            <w:vAlign w:val="center"/>
          </w:tcPr>
          <w:p w14:paraId="18F82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32D1E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04249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E3F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988D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1969" w:type="dxa"/>
            <w:noWrap w:val="0"/>
            <w:vAlign w:val="center"/>
          </w:tcPr>
          <w:p w14:paraId="6FDC4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视频处理器</w:t>
            </w:r>
          </w:p>
        </w:tc>
        <w:tc>
          <w:tcPr>
            <w:tcW w:w="1227" w:type="dxa"/>
            <w:noWrap w:val="0"/>
            <w:vAlign w:val="center"/>
          </w:tcPr>
          <w:p w14:paraId="34FEF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4C31B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0"/>
            <w:vAlign w:val="center"/>
          </w:tcPr>
          <w:p w14:paraId="2D2A5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895" w:type="dxa"/>
            <w:noWrap w:val="0"/>
            <w:vAlign w:val="center"/>
          </w:tcPr>
          <w:p w14:paraId="25844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6F000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4EB9A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BC7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9E62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15</w:t>
            </w:r>
          </w:p>
        </w:tc>
        <w:tc>
          <w:tcPr>
            <w:tcW w:w="1969" w:type="dxa"/>
            <w:noWrap w:val="0"/>
            <w:vAlign w:val="center"/>
          </w:tcPr>
          <w:p w14:paraId="014C1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控制电脑</w:t>
            </w:r>
          </w:p>
        </w:tc>
        <w:tc>
          <w:tcPr>
            <w:tcW w:w="1227" w:type="dxa"/>
            <w:noWrap w:val="0"/>
            <w:vAlign w:val="center"/>
          </w:tcPr>
          <w:p w14:paraId="28FE3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B3FA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0163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007CC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F6E9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3F15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19F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8F02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16</w:t>
            </w:r>
          </w:p>
        </w:tc>
        <w:tc>
          <w:tcPr>
            <w:tcW w:w="1969" w:type="dxa"/>
            <w:noWrap w:val="0"/>
            <w:vAlign w:val="center"/>
          </w:tcPr>
          <w:p w14:paraId="6DDB4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1227" w:type="dxa"/>
            <w:noWrap w:val="0"/>
            <w:vAlign w:val="center"/>
          </w:tcPr>
          <w:p w14:paraId="11B7C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7CEA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7C1C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141C8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1AB5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C40B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17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889F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1969" w:type="dxa"/>
            <w:noWrap w:val="0"/>
            <w:vAlign w:val="center"/>
          </w:tcPr>
          <w:p w14:paraId="3949A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02DA45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4C68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8.6</w:t>
            </w:r>
          </w:p>
        </w:tc>
        <w:tc>
          <w:tcPr>
            <w:tcW w:w="588" w:type="dxa"/>
            <w:noWrap w:val="0"/>
            <w:vAlign w:val="center"/>
          </w:tcPr>
          <w:p w14:paraId="7B593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506C1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A16C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1A7B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2C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216D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18</w:t>
            </w:r>
          </w:p>
        </w:tc>
        <w:tc>
          <w:tcPr>
            <w:tcW w:w="1969" w:type="dxa"/>
            <w:noWrap w:val="0"/>
            <w:vAlign w:val="center"/>
          </w:tcPr>
          <w:p w14:paraId="10E44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FF0000"/>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1227" w:type="dxa"/>
            <w:noWrap w:val="0"/>
            <w:vAlign w:val="center"/>
          </w:tcPr>
          <w:p w14:paraId="77888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637F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8.6</w:t>
            </w:r>
          </w:p>
        </w:tc>
        <w:tc>
          <w:tcPr>
            <w:tcW w:w="588" w:type="dxa"/>
            <w:noWrap w:val="0"/>
            <w:vAlign w:val="center"/>
          </w:tcPr>
          <w:p w14:paraId="1D964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4A85E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A393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971B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1BC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2B06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19</w:t>
            </w:r>
          </w:p>
        </w:tc>
        <w:tc>
          <w:tcPr>
            <w:tcW w:w="1969" w:type="dxa"/>
            <w:noWrap w:val="0"/>
            <w:vAlign w:val="center"/>
          </w:tcPr>
          <w:p w14:paraId="49FB0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1227" w:type="dxa"/>
            <w:noWrap w:val="0"/>
            <w:vAlign w:val="center"/>
          </w:tcPr>
          <w:p w14:paraId="10BFE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739E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CE41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7F887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1FDF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ACA5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134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FE1B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20</w:t>
            </w:r>
          </w:p>
        </w:tc>
        <w:tc>
          <w:tcPr>
            <w:tcW w:w="1969" w:type="dxa"/>
            <w:noWrap w:val="0"/>
            <w:vAlign w:val="center"/>
          </w:tcPr>
          <w:p w14:paraId="5FBBD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1227" w:type="dxa"/>
            <w:noWrap w:val="0"/>
            <w:vAlign w:val="center"/>
          </w:tcPr>
          <w:p w14:paraId="3405B6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0EF4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054F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774E4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F27A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6914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E45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C481E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4C1D1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1CAA1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803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9" w:type="dxa"/>
            <w:gridSpan w:val="8"/>
            <w:shd w:val="clear" w:color="000000" w:fill="DDEBF7"/>
            <w:noWrap w:val="0"/>
            <w:vAlign w:val="center"/>
          </w:tcPr>
          <w:p w14:paraId="478CC0E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lang w:val="en-US" w:eastAsia="zh-CN"/>
              </w:rPr>
              <w:t>七、展厅</w:t>
            </w:r>
            <w:r>
              <w:rPr>
                <w:rFonts w:hint="eastAsia" w:ascii="宋体" w:hAnsi="宋体" w:eastAsia="宋体" w:cs="宋体"/>
                <w:b/>
                <w:bCs/>
                <w:color w:val="FF0000"/>
                <w:sz w:val="18"/>
                <w:szCs w:val="18"/>
                <w:highlight w:val="none"/>
                <w:lang w:val="en-US" w:eastAsia="zh-CN"/>
              </w:rPr>
              <w:t>部分</w:t>
            </w:r>
          </w:p>
        </w:tc>
      </w:tr>
      <w:tr w14:paraId="0750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1" w:type="dxa"/>
            <w:gridSpan w:val="5"/>
            <w:shd w:val="clear" w:color="000000" w:fill="DDEBF7"/>
            <w:noWrap w:val="0"/>
            <w:vAlign w:val="center"/>
          </w:tcPr>
          <w:p w14:paraId="615943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1、显示系统</w:t>
            </w:r>
          </w:p>
        </w:tc>
        <w:tc>
          <w:tcPr>
            <w:tcW w:w="3258" w:type="dxa"/>
            <w:gridSpan w:val="3"/>
            <w:shd w:val="clear" w:color="000000" w:fill="DDEBF7"/>
            <w:noWrap w:val="0"/>
            <w:vAlign w:val="center"/>
          </w:tcPr>
          <w:p w14:paraId="3D0674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r w14:paraId="1C3C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87B1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7A73E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视频拼接单元</w:t>
            </w:r>
          </w:p>
        </w:tc>
        <w:tc>
          <w:tcPr>
            <w:tcW w:w="1227" w:type="dxa"/>
            <w:noWrap w:val="0"/>
            <w:vAlign w:val="center"/>
          </w:tcPr>
          <w:p w14:paraId="0C208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C4AC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1FD14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片</w:t>
            </w:r>
          </w:p>
        </w:tc>
        <w:tc>
          <w:tcPr>
            <w:tcW w:w="895" w:type="dxa"/>
            <w:noWrap w:val="0"/>
            <w:vAlign w:val="center"/>
          </w:tcPr>
          <w:p w14:paraId="3AC96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B9C5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F4C0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30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5208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79FE7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解码器</w:t>
            </w:r>
          </w:p>
        </w:tc>
        <w:tc>
          <w:tcPr>
            <w:tcW w:w="1227" w:type="dxa"/>
            <w:noWrap w:val="0"/>
            <w:vAlign w:val="center"/>
          </w:tcPr>
          <w:p w14:paraId="292FD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53AF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30CB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03771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8C7E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A9F9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282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FC21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640D0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040C5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C815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3674E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项</w:t>
            </w:r>
          </w:p>
        </w:tc>
        <w:tc>
          <w:tcPr>
            <w:tcW w:w="895" w:type="dxa"/>
            <w:noWrap w:val="0"/>
            <w:vAlign w:val="center"/>
          </w:tcPr>
          <w:p w14:paraId="18E5A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EEE0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3583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4EE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F72A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5A729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支架</w:t>
            </w:r>
          </w:p>
        </w:tc>
        <w:tc>
          <w:tcPr>
            <w:tcW w:w="1227" w:type="dxa"/>
            <w:noWrap w:val="0"/>
            <w:vAlign w:val="center"/>
          </w:tcPr>
          <w:p w14:paraId="2883B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90B1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78C11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片</w:t>
            </w:r>
          </w:p>
        </w:tc>
        <w:tc>
          <w:tcPr>
            <w:tcW w:w="895" w:type="dxa"/>
            <w:noWrap w:val="0"/>
            <w:vAlign w:val="center"/>
          </w:tcPr>
          <w:p w14:paraId="6B28D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6916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2DC4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8E3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AD1A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3D16E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1227" w:type="dxa"/>
            <w:noWrap w:val="0"/>
            <w:vAlign w:val="center"/>
          </w:tcPr>
          <w:p w14:paraId="11D5B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E5D0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040A5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0500A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422FF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FED5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CBC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B129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0F747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1227" w:type="dxa"/>
            <w:noWrap w:val="0"/>
            <w:vAlign w:val="center"/>
          </w:tcPr>
          <w:p w14:paraId="3940F8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6726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294A4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0791F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07D9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0C9D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688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1" w:type="dxa"/>
            <w:gridSpan w:val="5"/>
            <w:shd w:val="clear" w:color="000000" w:fill="DDEBF7"/>
            <w:noWrap w:val="0"/>
            <w:vAlign w:val="center"/>
          </w:tcPr>
          <w:p w14:paraId="3D6B0D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2、扩声系统</w:t>
            </w:r>
          </w:p>
        </w:tc>
        <w:tc>
          <w:tcPr>
            <w:tcW w:w="3258" w:type="dxa"/>
            <w:gridSpan w:val="3"/>
            <w:shd w:val="clear" w:color="000000" w:fill="DDEBF7"/>
            <w:noWrap w:val="0"/>
            <w:vAlign w:val="center"/>
          </w:tcPr>
          <w:p w14:paraId="2E0D3EF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r w14:paraId="7DA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61C3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5A2A3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音响</w:t>
            </w:r>
          </w:p>
        </w:tc>
        <w:tc>
          <w:tcPr>
            <w:tcW w:w="1227" w:type="dxa"/>
            <w:noWrap w:val="0"/>
            <w:vAlign w:val="center"/>
          </w:tcPr>
          <w:p w14:paraId="51D87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0869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0DBD1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600BF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3411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24D8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72D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1205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43487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1227" w:type="dxa"/>
            <w:noWrap w:val="0"/>
            <w:vAlign w:val="center"/>
          </w:tcPr>
          <w:p w14:paraId="4F1B5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9942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E469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00FED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91E7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3D8F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B6A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BCAC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5EF57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同轴吸顶音箱</w:t>
            </w:r>
          </w:p>
        </w:tc>
        <w:tc>
          <w:tcPr>
            <w:tcW w:w="1227" w:type="dxa"/>
            <w:noWrap w:val="0"/>
            <w:vAlign w:val="center"/>
          </w:tcPr>
          <w:p w14:paraId="2E04C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AB4A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588" w:type="dxa"/>
            <w:noWrap w:val="0"/>
            <w:vAlign w:val="center"/>
          </w:tcPr>
          <w:p w14:paraId="6D6FA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19382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8EC6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1E346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263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7395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50142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主功放</w:t>
            </w:r>
          </w:p>
        </w:tc>
        <w:tc>
          <w:tcPr>
            <w:tcW w:w="1227" w:type="dxa"/>
            <w:noWrap w:val="0"/>
            <w:vAlign w:val="center"/>
          </w:tcPr>
          <w:p w14:paraId="081B8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7FF8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0B07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4917D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47FF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9E3E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433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CE35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14B6A3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1227" w:type="dxa"/>
            <w:noWrap w:val="0"/>
            <w:vAlign w:val="center"/>
          </w:tcPr>
          <w:p w14:paraId="5131A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0365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36CC3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84E1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EB4D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619A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CE1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9A30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45A2C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一拖二无线麦克风（头戴）</w:t>
            </w:r>
          </w:p>
        </w:tc>
        <w:tc>
          <w:tcPr>
            <w:tcW w:w="1227" w:type="dxa"/>
            <w:noWrap w:val="0"/>
            <w:vAlign w:val="center"/>
          </w:tcPr>
          <w:p w14:paraId="57F59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7998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4C35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27BF6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9828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523E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D2C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9038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37E22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一拖二无线麦克风（手持）</w:t>
            </w:r>
          </w:p>
        </w:tc>
        <w:tc>
          <w:tcPr>
            <w:tcW w:w="1227" w:type="dxa"/>
            <w:noWrap w:val="0"/>
            <w:vAlign w:val="center"/>
          </w:tcPr>
          <w:p w14:paraId="5F255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8BFC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2682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4133E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0DA1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BA8C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ACE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41175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1969" w:type="dxa"/>
            <w:noWrap w:val="0"/>
            <w:vAlign w:val="center"/>
          </w:tcPr>
          <w:p w14:paraId="425E0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天线分配器</w:t>
            </w:r>
          </w:p>
        </w:tc>
        <w:tc>
          <w:tcPr>
            <w:tcW w:w="1227" w:type="dxa"/>
            <w:noWrap w:val="0"/>
            <w:vAlign w:val="center"/>
          </w:tcPr>
          <w:p w14:paraId="4E14B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BDC0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67AA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AD82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95B2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42B0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527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BD19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969" w:type="dxa"/>
            <w:noWrap w:val="0"/>
            <w:vAlign w:val="center"/>
          </w:tcPr>
          <w:p w14:paraId="568B5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有源宽频天线</w:t>
            </w:r>
          </w:p>
        </w:tc>
        <w:tc>
          <w:tcPr>
            <w:tcW w:w="1227" w:type="dxa"/>
            <w:noWrap w:val="0"/>
            <w:vAlign w:val="center"/>
          </w:tcPr>
          <w:p w14:paraId="3D755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B883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7BDB8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51ECE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8823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02FC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E70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EE97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617F6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天线合路器</w:t>
            </w:r>
          </w:p>
        </w:tc>
        <w:tc>
          <w:tcPr>
            <w:tcW w:w="1227" w:type="dxa"/>
            <w:noWrap w:val="0"/>
            <w:vAlign w:val="center"/>
          </w:tcPr>
          <w:p w14:paraId="3F9B9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8B0F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88" w:type="dxa"/>
            <w:noWrap w:val="0"/>
            <w:vAlign w:val="center"/>
          </w:tcPr>
          <w:p w14:paraId="56981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895" w:type="dxa"/>
            <w:noWrap w:val="0"/>
            <w:vAlign w:val="center"/>
          </w:tcPr>
          <w:p w14:paraId="401B9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CD71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966A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9BF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77E97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56E2D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1227" w:type="dxa"/>
            <w:noWrap w:val="0"/>
            <w:vAlign w:val="center"/>
          </w:tcPr>
          <w:p w14:paraId="587D54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64FC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3AB81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5730B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5223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1448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BF1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CF6C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49B43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服务器工控主机</w:t>
            </w:r>
          </w:p>
        </w:tc>
        <w:tc>
          <w:tcPr>
            <w:tcW w:w="1227" w:type="dxa"/>
            <w:noWrap w:val="0"/>
            <w:vAlign w:val="center"/>
          </w:tcPr>
          <w:p w14:paraId="7361D3F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p>
        </w:tc>
        <w:tc>
          <w:tcPr>
            <w:tcW w:w="729" w:type="dxa"/>
            <w:noWrap/>
            <w:vAlign w:val="center"/>
          </w:tcPr>
          <w:p w14:paraId="6A259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9D20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25E6A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ED1B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C7AF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4A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643C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1969" w:type="dxa"/>
            <w:noWrap w:val="0"/>
            <w:vAlign w:val="center"/>
          </w:tcPr>
          <w:p w14:paraId="52307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68A41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FCFA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F6CB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项</w:t>
            </w:r>
          </w:p>
        </w:tc>
        <w:tc>
          <w:tcPr>
            <w:tcW w:w="895" w:type="dxa"/>
            <w:noWrap w:val="0"/>
            <w:vAlign w:val="center"/>
          </w:tcPr>
          <w:p w14:paraId="48902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7B36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AE61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A4B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1" w:type="dxa"/>
            <w:gridSpan w:val="5"/>
            <w:shd w:val="clear" w:color="000000" w:fill="DDEBF7"/>
            <w:noWrap w:val="0"/>
            <w:vAlign w:val="center"/>
          </w:tcPr>
          <w:p w14:paraId="124A63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3、信息发布系统</w:t>
            </w:r>
          </w:p>
        </w:tc>
        <w:tc>
          <w:tcPr>
            <w:tcW w:w="3258" w:type="dxa"/>
            <w:gridSpan w:val="3"/>
            <w:shd w:val="clear" w:color="000000" w:fill="DDEBF7"/>
            <w:noWrap w:val="0"/>
            <w:vAlign w:val="center"/>
          </w:tcPr>
          <w:p w14:paraId="621973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r w14:paraId="6CB3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18" w:type="dxa"/>
            <w:noWrap w:val="0"/>
            <w:vAlign w:val="center"/>
          </w:tcPr>
          <w:p w14:paraId="33B2B5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969" w:type="dxa"/>
            <w:noWrap w:val="0"/>
            <w:vAlign w:val="center"/>
          </w:tcPr>
          <w:p w14:paraId="68587D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户内全彩LED屏</w:t>
            </w:r>
          </w:p>
        </w:tc>
        <w:tc>
          <w:tcPr>
            <w:tcW w:w="1227" w:type="dxa"/>
            <w:noWrap w:val="0"/>
            <w:vAlign w:val="center"/>
          </w:tcPr>
          <w:p w14:paraId="3C49FC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7C33F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11.52</w:t>
            </w:r>
          </w:p>
        </w:tc>
        <w:tc>
          <w:tcPr>
            <w:tcW w:w="588" w:type="dxa"/>
            <w:noWrap w:val="0"/>
            <w:vAlign w:val="center"/>
          </w:tcPr>
          <w:p w14:paraId="63D218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
            </w:r>
          </w:p>
        </w:tc>
        <w:tc>
          <w:tcPr>
            <w:tcW w:w="895" w:type="dxa"/>
            <w:noWrap w:val="0"/>
            <w:vAlign w:val="center"/>
          </w:tcPr>
          <w:p w14:paraId="7E88B7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3584F1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72F00B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467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41822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07A21C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FF0000"/>
                <w:sz w:val="18"/>
                <w:szCs w:val="18"/>
                <w:highlight w:val="none"/>
              </w:rPr>
            </w:pPr>
            <w:r>
              <w:rPr>
                <w:rFonts w:hint="eastAsia" w:ascii="宋体" w:hAnsi="宋体" w:eastAsia="宋体" w:cs="宋体"/>
                <w:i w:val="0"/>
                <w:color w:val="FF0000"/>
                <w:kern w:val="0"/>
                <w:sz w:val="18"/>
                <w:szCs w:val="18"/>
                <w:highlight w:val="none"/>
                <w:u w:val="none"/>
                <w:lang w:val="en-US" w:eastAsia="zh-CN" w:bidi="ar"/>
              </w:rPr>
              <w:t>全彩电源</w:t>
            </w:r>
          </w:p>
        </w:tc>
        <w:tc>
          <w:tcPr>
            <w:tcW w:w="1227" w:type="dxa"/>
            <w:noWrap w:val="0"/>
            <w:vAlign w:val="center"/>
          </w:tcPr>
          <w:p w14:paraId="344F74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rPr>
            </w:pPr>
          </w:p>
        </w:tc>
        <w:tc>
          <w:tcPr>
            <w:tcW w:w="729" w:type="dxa"/>
            <w:noWrap/>
            <w:vAlign w:val="center"/>
          </w:tcPr>
          <w:p w14:paraId="241492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38</w:t>
            </w:r>
          </w:p>
        </w:tc>
        <w:tc>
          <w:tcPr>
            <w:tcW w:w="588" w:type="dxa"/>
            <w:noWrap w:val="0"/>
            <w:vAlign w:val="center"/>
          </w:tcPr>
          <w:p w14:paraId="70B26E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20396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391F2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595CD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DAB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344E8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969" w:type="dxa"/>
            <w:noWrap w:val="0"/>
            <w:vAlign w:val="center"/>
          </w:tcPr>
          <w:p w14:paraId="1D92C5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接收卡</w:t>
            </w:r>
          </w:p>
        </w:tc>
        <w:tc>
          <w:tcPr>
            <w:tcW w:w="1227" w:type="dxa"/>
            <w:noWrap w:val="0"/>
            <w:vAlign w:val="center"/>
          </w:tcPr>
          <w:p w14:paraId="104FCC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64C347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30</w:t>
            </w:r>
          </w:p>
        </w:tc>
        <w:tc>
          <w:tcPr>
            <w:tcW w:w="588" w:type="dxa"/>
            <w:noWrap w:val="0"/>
            <w:vAlign w:val="center"/>
          </w:tcPr>
          <w:p w14:paraId="667A0E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张</w:t>
            </w:r>
          </w:p>
        </w:tc>
        <w:tc>
          <w:tcPr>
            <w:tcW w:w="895" w:type="dxa"/>
            <w:noWrap w:val="0"/>
            <w:vAlign w:val="center"/>
          </w:tcPr>
          <w:p w14:paraId="33915F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7CB5EC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1096C0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094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DE2C1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1A1CC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播放盒</w:t>
            </w:r>
          </w:p>
        </w:tc>
        <w:tc>
          <w:tcPr>
            <w:tcW w:w="1227" w:type="dxa"/>
            <w:noWrap w:val="0"/>
            <w:vAlign w:val="center"/>
          </w:tcPr>
          <w:p w14:paraId="3A9817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rPr>
            </w:pPr>
          </w:p>
        </w:tc>
        <w:tc>
          <w:tcPr>
            <w:tcW w:w="729" w:type="dxa"/>
            <w:noWrap/>
            <w:vAlign w:val="center"/>
          </w:tcPr>
          <w:p w14:paraId="0988EE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B6C35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2E9CD0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7C40E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E2CE5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273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5332F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1969" w:type="dxa"/>
            <w:noWrap w:val="0"/>
            <w:vAlign w:val="center"/>
          </w:tcPr>
          <w:p w14:paraId="0A2365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视频处理器</w:t>
            </w:r>
          </w:p>
        </w:tc>
        <w:tc>
          <w:tcPr>
            <w:tcW w:w="1227" w:type="dxa"/>
            <w:noWrap w:val="0"/>
            <w:vAlign w:val="center"/>
          </w:tcPr>
          <w:p w14:paraId="1CF97A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729" w:type="dxa"/>
            <w:noWrap/>
            <w:vAlign w:val="center"/>
          </w:tcPr>
          <w:p w14:paraId="72E5C8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88" w:type="dxa"/>
            <w:noWrap w:val="0"/>
            <w:vAlign w:val="center"/>
          </w:tcPr>
          <w:p w14:paraId="2F6BB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c>
          <w:tcPr>
            <w:tcW w:w="895" w:type="dxa"/>
            <w:noWrap w:val="0"/>
            <w:vAlign w:val="center"/>
          </w:tcPr>
          <w:p w14:paraId="130C06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95" w:type="dxa"/>
            <w:noWrap w:val="0"/>
            <w:vAlign w:val="center"/>
          </w:tcPr>
          <w:p w14:paraId="562B69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468" w:type="dxa"/>
            <w:noWrap w:val="0"/>
            <w:vAlign w:val="center"/>
          </w:tcPr>
          <w:p w14:paraId="6A913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615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FEAB3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3AF091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控制设备</w:t>
            </w:r>
          </w:p>
        </w:tc>
        <w:tc>
          <w:tcPr>
            <w:tcW w:w="1227" w:type="dxa"/>
            <w:noWrap w:val="0"/>
            <w:vAlign w:val="center"/>
          </w:tcPr>
          <w:p w14:paraId="0CCD83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rPr>
            </w:pPr>
          </w:p>
        </w:tc>
        <w:tc>
          <w:tcPr>
            <w:tcW w:w="729" w:type="dxa"/>
            <w:noWrap/>
            <w:vAlign w:val="center"/>
          </w:tcPr>
          <w:p w14:paraId="44B483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22E9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794AD8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87907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CAAFA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3AA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48CB0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13F566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1227" w:type="dxa"/>
            <w:noWrap w:val="0"/>
            <w:vAlign w:val="center"/>
          </w:tcPr>
          <w:p w14:paraId="762F9E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rPr>
            </w:pPr>
          </w:p>
        </w:tc>
        <w:tc>
          <w:tcPr>
            <w:tcW w:w="729" w:type="dxa"/>
            <w:noWrap/>
            <w:vAlign w:val="center"/>
          </w:tcPr>
          <w:p w14:paraId="7E3838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0C371F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3F59AE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0FA13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5F04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0B9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A182F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1969" w:type="dxa"/>
            <w:noWrap w:val="0"/>
            <w:vAlign w:val="center"/>
          </w:tcPr>
          <w:p w14:paraId="749C16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1227" w:type="dxa"/>
            <w:noWrap w:val="0"/>
            <w:vAlign w:val="center"/>
          </w:tcPr>
          <w:p w14:paraId="00D1A3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rPr>
            </w:pPr>
          </w:p>
        </w:tc>
        <w:tc>
          <w:tcPr>
            <w:tcW w:w="729" w:type="dxa"/>
            <w:noWrap/>
            <w:vAlign w:val="center"/>
          </w:tcPr>
          <w:p w14:paraId="7FE198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11.52</w:t>
            </w:r>
          </w:p>
        </w:tc>
        <w:tc>
          <w:tcPr>
            <w:tcW w:w="588" w:type="dxa"/>
            <w:noWrap w:val="0"/>
            <w:vAlign w:val="center"/>
          </w:tcPr>
          <w:p w14:paraId="061F03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756F02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04163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2408D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C5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5FC8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969" w:type="dxa"/>
            <w:noWrap w:val="0"/>
            <w:vAlign w:val="center"/>
          </w:tcPr>
          <w:p w14:paraId="6F6EC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1227" w:type="dxa"/>
            <w:noWrap w:val="0"/>
            <w:vAlign w:val="center"/>
          </w:tcPr>
          <w:p w14:paraId="17640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17BD1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11.52</w:t>
            </w:r>
          </w:p>
        </w:tc>
        <w:tc>
          <w:tcPr>
            <w:tcW w:w="588" w:type="dxa"/>
            <w:noWrap w:val="0"/>
            <w:vAlign w:val="center"/>
          </w:tcPr>
          <w:p w14:paraId="26268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w:t>
            </w:r>
          </w:p>
        </w:tc>
        <w:tc>
          <w:tcPr>
            <w:tcW w:w="895" w:type="dxa"/>
            <w:noWrap w:val="0"/>
            <w:vAlign w:val="center"/>
          </w:tcPr>
          <w:p w14:paraId="6948B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80DC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00C41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345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D1E2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1969" w:type="dxa"/>
            <w:noWrap w:val="0"/>
            <w:vAlign w:val="center"/>
          </w:tcPr>
          <w:p w14:paraId="7BFBB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1227" w:type="dxa"/>
            <w:noWrap w:val="0"/>
            <w:vAlign w:val="center"/>
          </w:tcPr>
          <w:p w14:paraId="186444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79B74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D38F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3EB9B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9B5F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7C174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A33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C77C0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969" w:type="dxa"/>
            <w:noWrap w:val="0"/>
            <w:vAlign w:val="center"/>
          </w:tcPr>
          <w:p w14:paraId="3693F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1227" w:type="dxa"/>
            <w:noWrap w:val="0"/>
            <w:vAlign w:val="center"/>
          </w:tcPr>
          <w:p w14:paraId="67DE8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195B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2B444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批</w:t>
            </w:r>
          </w:p>
        </w:tc>
        <w:tc>
          <w:tcPr>
            <w:tcW w:w="895" w:type="dxa"/>
            <w:noWrap w:val="0"/>
            <w:vAlign w:val="center"/>
          </w:tcPr>
          <w:p w14:paraId="2EA0C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76D2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066D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5F2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C96A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1969" w:type="dxa"/>
            <w:noWrap w:val="0"/>
            <w:vAlign w:val="center"/>
          </w:tcPr>
          <w:p w14:paraId="004C5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55寸电视机</w:t>
            </w:r>
          </w:p>
        </w:tc>
        <w:tc>
          <w:tcPr>
            <w:tcW w:w="1227" w:type="dxa"/>
            <w:noWrap w:val="0"/>
            <w:vAlign w:val="center"/>
          </w:tcPr>
          <w:p w14:paraId="3315C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05C33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39B64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61E90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30775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3498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74D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385C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1969" w:type="dxa"/>
            <w:noWrap w:val="0"/>
            <w:vAlign w:val="center"/>
          </w:tcPr>
          <w:p w14:paraId="7FDF8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电视机支架</w:t>
            </w:r>
          </w:p>
        </w:tc>
        <w:tc>
          <w:tcPr>
            <w:tcW w:w="1227" w:type="dxa"/>
            <w:noWrap w:val="0"/>
            <w:vAlign w:val="center"/>
          </w:tcPr>
          <w:p w14:paraId="02A83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62DC2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752D7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副</w:t>
            </w:r>
          </w:p>
        </w:tc>
        <w:tc>
          <w:tcPr>
            <w:tcW w:w="895" w:type="dxa"/>
            <w:noWrap w:val="0"/>
            <w:vAlign w:val="center"/>
          </w:tcPr>
          <w:p w14:paraId="4A2BE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6DC5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7556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2DA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BCE4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14</w:t>
            </w:r>
          </w:p>
        </w:tc>
        <w:tc>
          <w:tcPr>
            <w:tcW w:w="1969" w:type="dxa"/>
            <w:noWrap w:val="0"/>
            <w:vAlign w:val="center"/>
          </w:tcPr>
          <w:p w14:paraId="08587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播放盒</w:t>
            </w:r>
          </w:p>
        </w:tc>
        <w:tc>
          <w:tcPr>
            <w:tcW w:w="1227" w:type="dxa"/>
            <w:noWrap w:val="0"/>
            <w:vAlign w:val="center"/>
          </w:tcPr>
          <w:p w14:paraId="40703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45F0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5F1D6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个</w:t>
            </w:r>
          </w:p>
        </w:tc>
        <w:tc>
          <w:tcPr>
            <w:tcW w:w="895" w:type="dxa"/>
            <w:noWrap w:val="0"/>
            <w:vAlign w:val="center"/>
          </w:tcPr>
          <w:p w14:paraId="2687C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8FC4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0C9A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1B0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F45E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15</w:t>
            </w:r>
          </w:p>
        </w:tc>
        <w:tc>
          <w:tcPr>
            <w:tcW w:w="1969" w:type="dxa"/>
            <w:noWrap w:val="0"/>
            <w:vAlign w:val="center"/>
          </w:tcPr>
          <w:p w14:paraId="3CB1C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视频传输器</w:t>
            </w:r>
          </w:p>
        </w:tc>
        <w:tc>
          <w:tcPr>
            <w:tcW w:w="1227" w:type="dxa"/>
            <w:noWrap w:val="0"/>
            <w:vAlign w:val="center"/>
          </w:tcPr>
          <w:p w14:paraId="1C631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AEBB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588" w:type="dxa"/>
            <w:noWrap w:val="0"/>
            <w:vAlign w:val="center"/>
          </w:tcPr>
          <w:p w14:paraId="75611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对</w:t>
            </w:r>
          </w:p>
        </w:tc>
        <w:tc>
          <w:tcPr>
            <w:tcW w:w="895" w:type="dxa"/>
            <w:noWrap w:val="0"/>
            <w:vAlign w:val="center"/>
          </w:tcPr>
          <w:p w14:paraId="60F51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E7F9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CF1A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542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31" w:type="dxa"/>
            <w:gridSpan w:val="5"/>
            <w:shd w:val="clear" w:color="000000" w:fill="DDEBF7"/>
            <w:noWrap w:val="0"/>
            <w:vAlign w:val="center"/>
          </w:tcPr>
          <w:p w14:paraId="0B07A9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rPr>
            </w:pPr>
            <w:r>
              <w:rPr>
                <w:rFonts w:hint="eastAsia" w:ascii="宋体" w:hAnsi="宋体" w:eastAsia="宋体" w:cs="宋体"/>
                <w:b/>
                <w:bCs/>
                <w:color w:val="auto"/>
                <w:sz w:val="18"/>
                <w:szCs w:val="18"/>
                <w:highlight w:val="none"/>
                <w:lang w:val="en-US" w:eastAsia="zh-CN"/>
              </w:rPr>
              <w:t>4、展厅集中控制系统</w:t>
            </w:r>
          </w:p>
        </w:tc>
        <w:tc>
          <w:tcPr>
            <w:tcW w:w="3258" w:type="dxa"/>
            <w:gridSpan w:val="3"/>
            <w:shd w:val="clear" w:color="000000" w:fill="DDEBF7"/>
            <w:noWrap w:val="0"/>
            <w:vAlign w:val="center"/>
          </w:tcPr>
          <w:p w14:paraId="1C645F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r w14:paraId="69E5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CE7B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1969" w:type="dxa"/>
            <w:noWrap w:val="0"/>
            <w:vAlign w:val="center"/>
          </w:tcPr>
          <w:p w14:paraId="52CF8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8路强电继电器</w:t>
            </w:r>
          </w:p>
        </w:tc>
        <w:tc>
          <w:tcPr>
            <w:tcW w:w="1227" w:type="dxa"/>
            <w:noWrap w:val="0"/>
            <w:vAlign w:val="center"/>
          </w:tcPr>
          <w:p w14:paraId="152CD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3F327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7239B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31A9B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1767D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87E4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B7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22DE1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1969" w:type="dxa"/>
            <w:noWrap w:val="0"/>
            <w:vAlign w:val="center"/>
          </w:tcPr>
          <w:p w14:paraId="23A74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平板</w:t>
            </w:r>
          </w:p>
        </w:tc>
        <w:tc>
          <w:tcPr>
            <w:tcW w:w="1227" w:type="dxa"/>
            <w:noWrap w:val="0"/>
            <w:vAlign w:val="center"/>
          </w:tcPr>
          <w:p w14:paraId="15FB5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D3E2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5083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895" w:type="dxa"/>
            <w:noWrap w:val="0"/>
            <w:vAlign w:val="center"/>
          </w:tcPr>
          <w:p w14:paraId="7C817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0E49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2233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D5F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69A7A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969" w:type="dxa"/>
            <w:noWrap w:val="0"/>
            <w:vAlign w:val="center"/>
          </w:tcPr>
          <w:p w14:paraId="07DBF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多媒体管理平台</w:t>
            </w:r>
          </w:p>
        </w:tc>
        <w:tc>
          <w:tcPr>
            <w:tcW w:w="1227" w:type="dxa"/>
            <w:noWrap w:val="0"/>
            <w:vAlign w:val="center"/>
          </w:tcPr>
          <w:p w14:paraId="1BB6B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5E902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4F73A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22E5D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631D7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6043F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0A1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0B447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1969" w:type="dxa"/>
            <w:noWrap w:val="0"/>
            <w:vAlign w:val="center"/>
          </w:tcPr>
          <w:p w14:paraId="58C29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2路可视化视频输入节点板卡</w:t>
            </w:r>
          </w:p>
        </w:tc>
        <w:tc>
          <w:tcPr>
            <w:tcW w:w="1227" w:type="dxa"/>
            <w:noWrap w:val="0"/>
            <w:vAlign w:val="center"/>
          </w:tcPr>
          <w:p w14:paraId="2C387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0C39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656A8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张</w:t>
            </w:r>
          </w:p>
        </w:tc>
        <w:tc>
          <w:tcPr>
            <w:tcW w:w="895" w:type="dxa"/>
            <w:noWrap w:val="0"/>
            <w:vAlign w:val="center"/>
          </w:tcPr>
          <w:p w14:paraId="58420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55513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4D412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EE0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B2D7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969" w:type="dxa"/>
            <w:noWrap w:val="0"/>
            <w:vAlign w:val="center"/>
          </w:tcPr>
          <w:p w14:paraId="26A20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2路可视化视频输出节点板卡</w:t>
            </w:r>
          </w:p>
        </w:tc>
        <w:tc>
          <w:tcPr>
            <w:tcW w:w="1227" w:type="dxa"/>
            <w:noWrap w:val="0"/>
            <w:vAlign w:val="center"/>
          </w:tcPr>
          <w:p w14:paraId="6836B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90C4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0426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张</w:t>
            </w:r>
          </w:p>
        </w:tc>
        <w:tc>
          <w:tcPr>
            <w:tcW w:w="895" w:type="dxa"/>
            <w:noWrap w:val="0"/>
            <w:vAlign w:val="center"/>
          </w:tcPr>
          <w:p w14:paraId="7C214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2969D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2E062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AAE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1C303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1969" w:type="dxa"/>
            <w:noWrap w:val="0"/>
            <w:vAlign w:val="center"/>
          </w:tcPr>
          <w:p w14:paraId="3BAE4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多媒体管理平台软件</w:t>
            </w:r>
          </w:p>
        </w:tc>
        <w:tc>
          <w:tcPr>
            <w:tcW w:w="1227" w:type="dxa"/>
            <w:noWrap w:val="0"/>
            <w:vAlign w:val="center"/>
          </w:tcPr>
          <w:p w14:paraId="7BD46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44FCA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5929B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套</w:t>
            </w:r>
          </w:p>
        </w:tc>
        <w:tc>
          <w:tcPr>
            <w:tcW w:w="895" w:type="dxa"/>
            <w:noWrap w:val="0"/>
            <w:vAlign w:val="center"/>
          </w:tcPr>
          <w:p w14:paraId="6B0BE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01830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5C2CD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CC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B3A1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969" w:type="dxa"/>
            <w:noWrap w:val="0"/>
            <w:vAlign w:val="center"/>
          </w:tcPr>
          <w:p w14:paraId="1649F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配套设施</w:t>
            </w:r>
          </w:p>
        </w:tc>
        <w:tc>
          <w:tcPr>
            <w:tcW w:w="1227" w:type="dxa"/>
            <w:noWrap w:val="0"/>
            <w:vAlign w:val="center"/>
          </w:tcPr>
          <w:p w14:paraId="1DBDA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9" w:type="dxa"/>
            <w:noWrap/>
            <w:vAlign w:val="center"/>
          </w:tcPr>
          <w:p w14:paraId="23735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88" w:type="dxa"/>
            <w:noWrap w:val="0"/>
            <w:vAlign w:val="center"/>
          </w:tcPr>
          <w:p w14:paraId="3B783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项</w:t>
            </w:r>
          </w:p>
        </w:tc>
        <w:tc>
          <w:tcPr>
            <w:tcW w:w="895" w:type="dxa"/>
            <w:noWrap w:val="0"/>
            <w:vAlign w:val="center"/>
          </w:tcPr>
          <w:p w14:paraId="274893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895" w:type="dxa"/>
            <w:noWrap w:val="0"/>
            <w:vAlign w:val="center"/>
          </w:tcPr>
          <w:p w14:paraId="7B445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468" w:type="dxa"/>
            <w:noWrap w:val="0"/>
            <w:vAlign w:val="center"/>
          </w:tcPr>
          <w:p w14:paraId="3BD85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highlight w:val="none"/>
                <w:u w:val="none"/>
                <w:lang w:val="en-US" w:eastAsia="zh-CN" w:bidi="ar"/>
              </w:rPr>
            </w:pPr>
          </w:p>
        </w:tc>
      </w:tr>
      <w:tr w14:paraId="6141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3781AB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1969" w:type="dxa"/>
            <w:noWrap w:val="0"/>
            <w:vAlign w:val="center"/>
          </w:tcPr>
          <w:p w14:paraId="2ACB5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香味机</w:t>
            </w:r>
          </w:p>
        </w:tc>
        <w:tc>
          <w:tcPr>
            <w:tcW w:w="1227" w:type="dxa"/>
            <w:noWrap w:val="0"/>
            <w:vAlign w:val="center"/>
          </w:tcPr>
          <w:p w14:paraId="7D9C924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p>
        </w:tc>
        <w:tc>
          <w:tcPr>
            <w:tcW w:w="729" w:type="dxa"/>
            <w:noWrap/>
            <w:vAlign w:val="center"/>
          </w:tcPr>
          <w:p w14:paraId="44E7AF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588" w:type="dxa"/>
            <w:noWrap w:val="0"/>
            <w:vAlign w:val="center"/>
          </w:tcPr>
          <w:p w14:paraId="0B55F9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套</w:t>
            </w:r>
          </w:p>
        </w:tc>
        <w:tc>
          <w:tcPr>
            <w:tcW w:w="895" w:type="dxa"/>
            <w:noWrap w:val="0"/>
            <w:vAlign w:val="center"/>
          </w:tcPr>
          <w:p w14:paraId="66EB4F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p>
        </w:tc>
        <w:tc>
          <w:tcPr>
            <w:tcW w:w="895" w:type="dxa"/>
            <w:noWrap w:val="0"/>
            <w:vAlign w:val="center"/>
          </w:tcPr>
          <w:p w14:paraId="178A01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p>
        </w:tc>
        <w:tc>
          <w:tcPr>
            <w:tcW w:w="1468" w:type="dxa"/>
            <w:noWrap w:val="0"/>
            <w:vAlign w:val="center"/>
          </w:tcPr>
          <w:p w14:paraId="05CE5A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lang w:val="en-US" w:eastAsia="zh-CN"/>
              </w:rPr>
            </w:pPr>
          </w:p>
        </w:tc>
      </w:tr>
      <w:tr w14:paraId="4612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noWrap w:val="0"/>
            <w:vAlign w:val="center"/>
          </w:tcPr>
          <w:p w14:paraId="78E3E5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c>
          <w:tcPr>
            <w:tcW w:w="4513" w:type="dxa"/>
            <w:gridSpan w:val="4"/>
            <w:noWrap w:val="0"/>
            <w:vAlign w:val="center"/>
          </w:tcPr>
          <w:p w14:paraId="28E8F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小计</w:t>
            </w:r>
          </w:p>
        </w:tc>
        <w:tc>
          <w:tcPr>
            <w:tcW w:w="3258" w:type="dxa"/>
            <w:gridSpan w:val="3"/>
            <w:noWrap/>
            <w:vAlign w:val="center"/>
          </w:tcPr>
          <w:p w14:paraId="5C4FD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59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 w:type="dxa"/>
            <w:shd w:val="clear" w:color="000000" w:fill="DDEBF7"/>
            <w:noWrap w:val="0"/>
            <w:vAlign w:val="center"/>
          </w:tcPr>
          <w:p w14:paraId="05D57C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p>
        </w:tc>
        <w:tc>
          <w:tcPr>
            <w:tcW w:w="4513" w:type="dxa"/>
            <w:gridSpan w:val="4"/>
            <w:shd w:val="clear" w:color="000000" w:fill="DDEBF7"/>
            <w:noWrap w:val="0"/>
            <w:vAlign w:val="center"/>
          </w:tcPr>
          <w:p w14:paraId="234D23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总计价2</w:t>
            </w:r>
          </w:p>
        </w:tc>
        <w:tc>
          <w:tcPr>
            <w:tcW w:w="3258" w:type="dxa"/>
            <w:gridSpan w:val="3"/>
            <w:shd w:val="clear" w:color="000000" w:fill="DDEBF7"/>
            <w:noWrap w:val="0"/>
            <w:vAlign w:val="center"/>
          </w:tcPr>
          <w:p w14:paraId="5924D1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bl>
    <w:p w14:paraId="45FE8916">
      <w:pPr>
        <w:rPr>
          <w:rFonts w:hint="eastAsia" w:ascii="宋体" w:hAnsi="宋体" w:eastAsia="宋体" w:cs="宋体"/>
          <w:highlight w:val="none"/>
        </w:rPr>
      </w:pPr>
      <w:r>
        <w:rPr>
          <w:rFonts w:hint="eastAsia" w:ascii="宋体" w:hAnsi="宋体" w:eastAsia="宋体" w:cs="宋体"/>
          <w:highlight w:val="none"/>
        </w:rPr>
        <w:t>说明：</w:t>
      </w:r>
    </w:p>
    <w:p w14:paraId="7404A5A7">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ascii="宋体" w:hAnsi="宋体" w:eastAsia="宋体" w:cs="宋体"/>
          <w:szCs w:val="21"/>
          <w:highlight w:val="none"/>
        </w:rPr>
        <w:t>所有配套管线线材、配套零配件及辅助材料等如没有明确数量的，投标人报价应充分考虑所投设备要求及现场实际情况予以足量配套供应，以确保设备正常安装、调试、试运行及通过验收并交付使用，确保交钥匙</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顺利完成。</w:t>
      </w:r>
    </w:p>
    <w:p w14:paraId="15D54A31">
      <w:pPr>
        <w:ind w:firstLine="422" w:firstLineChars="200"/>
        <w:rPr>
          <w:rFonts w:hint="eastAsia" w:ascii="宋体" w:hAnsi="宋体" w:eastAsia="宋体" w:cs="宋体"/>
          <w:b/>
          <w:bCs/>
          <w:highlight w:val="none"/>
        </w:rPr>
      </w:pPr>
      <w:r>
        <w:rPr>
          <w:rFonts w:hint="eastAsia" w:ascii="宋体" w:hAnsi="宋体" w:eastAsia="宋体" w:cs="宋体"/>
          <w:b/>
          <w:bCs/>
          <w:highlight w:val="none"/>
          <w:lang w:val="en-US" w:eastAsia="zh-CN"/>
        </w:rPr>
        <w:t>2</w:t>
      </w:r>
      <w:r>
        <w:rPr>
          <w:rFonts w:hint="eastAsia" w:ascii="宋体" w:hAnsi="宋体" w:eastAsia="宋体" w:cs="宋体"/>
          <w:b/>
          <w:bCs/>
          <w:highlight w:val="none"/>
        </w:rPr>
        <w:t>、分项报价表中的“技术参数及要求”、“品牌型号”与投标文件中“技术响应表”保持一致。分项报价表中的品牌型号、技术参数如与“技术响应表”不一致的，以“技术响应表”为准。</w:t>
      </w:r>
    </w:p>
    <w:p w14:paraId="2D6C6CE1">
      <w:pPr>
        <w:ind w:firstLine="422" w:firstLineChars="200"/>
        <w:rPr>
          <w:rFonts w:hint="eastAsia" w:ascii="宋体" w:hAnsi="宋体" w:eastAsia="宋体" w:cs="宋体"/>
          <w:b/>
          <w:bCs/>
          <w:highlight w:val="none"/>
          <w:u w:val="single"/>
        </w:rPr>
      </w:pPr>
      <w:r>
        <w:rPr>
          <w:rFonts w:hint="eastAsia" w:ascii="宋体" w:hAnsi="宋体" w:eastAsia="宋体" w:cs="宋体"/>
          <w:b/>
          <w:bCs/>
          <w:highlight w:val="none"/>
          <w:u w:val="single"/>
          <w:lang w:val="en-US" w:eastAsia="zh-CN"/>
        </w:rPr>
        <w:t>3</w:t>
      </w:r>
      <w:r>
        <w:rPr>
          <w:rFonts w:hint="eastAsia" w:ascii="宋体" w:hAnsi="宋体" w:eastAsia="宋体" w:cs="宋体"/>
          <w:b/>
          <w:bCs/>
          <w:highlight w:val="none"/>
          <w:u w:val="single"/>
        </w:rPr>
        <w:t>、▲如发现投标人“技术响应表”中存在作假行为的，将取消其中标资格，没收其投标保证金，并专门向有关上级主管部门汇报其违法行为；合同履行过程中还发现存在造假行为的，扣除履约保证金，给采购人造成损失的，采购人保留进一步追究其违法责任的权力。</w:t>
      </w:r>
    </w:p>
    <w:p w14:paraId="3015A468">
      <w:pPr>
        <w:ind w:firstLine="422" w:firstLineChars="200"/>
        <w:rPr>
          <w:rFonts w:hint="eastAsia" w:ascii="宋体" w:hAnsi="宋体" w:eastAsia="宋体" w:cs="宋体"/>
          <w:b/>
          <w:bCs/>
          <w:highlight w:val="none"/>
          <w:u w:val="single"/>
        </w:rPr>
      </w:pPr>
      <w:r>
        <w:rPr>
          <w:rFonts w:hint="eastAsia" w:ascii="宋体" w:hAnsi="宋体" w:eastAsia="宋体" w:cs="宋体"/>
          <w:b/>
          <w:bCs/>
          <w:highlight w:val="none"/>
          <w:u w:val="single"/>
          <w:lang w:val="en-US" w:eastAsia="zh-CN"/>
        </w:rPr>
        <w:t>4</w:t>
      </w:r>
      <w:r>
        <w:rPr>
          <w:rFonts w:hint="eastAsia" w:ascii="宋体" w:hAnsi="宋体" w:eastAsia="宋体" w:cs="宋体"/>
          <w:b/>
          <w:bCs/>
          <w:highlight w:val="none"/>
          <w:u w:val="single"/>
        </w:rPr>
        <w:t>、▲不允许改变分项报价表的内容及格式。</w:t>
      </w:r>
    </w:p>
    <w:p w14:paraId="2AB2FF6B">
      <w:pPr>
        <w:ind w:firstLine="422" w:firstLineChars="200"/>
        <w:rPr>
          <w:rFonts w:hint="eastAsia" w:ascii="宋体" w:hAnsi="宋体" w:eastAsia="宋体" w:cs="宋体"/>
          <w:b/>
          <w:bCs/>
          <w:highlight w:val="none"/>
          <w:u w:val="single"/>
        </w:rPr>
      </w:pPr>
      <w:r>
        <w:rPr>
          <w:rFonts w:hint="eastAsia" w:ascii="宋体" w:hAnsi="宋体" w:eastAsia="宋体" w:cs="宋体"/>
          <w:b/>
          <w:bCs/>
          <w:highlight w:val="none"/>
          <w:u w:val="single"/>
          <w:lang w:val="en-US" w:eastAsia="zh-CN"/>
        </w:rPr>
        <w:t>5</w:t>
      </w:r>
      <w:r>
        <w:rPr>
          <w:rFonts w:hint="eastAsia" w:ascii="宋体" w:hAnsi="宋体" w:eastAsia="宋体" w:cs="宋体"/>
          <w:b/>
          <w:bCs/>
          <w:highlight w:val="none"/>
          <w:u w:val="single"/>
        </w:rPr>
        <w:t>、▲不提供详细分项报价将视为没有实质性响应采购文件。</w:t>
      </w:r>
    </w:p>
    <w:p w14:paraId="071707A0">
      <w:pPr>
        <w:ind w:firstLine="422" w:firstLineChars="200"/>
        <w:rPr>
          <w:rFonts w:hint="eastAsia" w:ascii="宋体" w:hAnsi="宋体" w:eastAsia="宋体" w:cs="宋体"/>
          <w:b/>
          <w:bCs/>
          <w:highlight w:val="none"/>
          <w:u w:val="single"/>
        </w:rPr>
      </w:pPr>
      <w:r>
        <w:rPr>
          <w:rFonts w:hint="eastAsia" w:ascii="宋体" w:hAnsi="宋体" w:eastAsia="宋体" w:cs="宋体"/>
          <w:b/>
          <w:bCs/>
          <w:highlight w:val="none"/>
          <w:u w:val="single"/>
          <w:lang w:val="en-US" w:eastAsia="zh-CN"/>
        </w:rPr>
        <w:t>6</w:t>
      </w:r>
      <w:r>
        <w:rPr>
          <w:rFonts w:hint="eastAsia" w:ascii="宋体" w:hAnsi="宋体" w:eastAsia="宋体" w:cs="宋体"/>
          <w:b/>
          <w:bCs/>
          <w:highlight w:val="none"/>
          <w:u w:val="single"/>
        </w:rPr>
        <w:t>、投标分项报价表1的“总计价1”应与附件</w:t>
      </w:r>
      <w:r>
        <w:rPr>
          <w:rFonts w:hint="eastAsia" w:ascii="宋体" w:hAnsi="宋体" w:eastAsia="宋体" w:cs="宋体"/>
          <w:b/>
          <w:bCs/>
          <w:highlight w:val="none"/>
          <w:u w:val="single"/>
          <w:lang w:val="en-US" w:eastAsia="zh-CN"/>
        </w:rPr>
        <w:t>八</w:t>
      </w:r>
      <w:r>
        <w:rPr>
          <w:rFonts w:hint="eastAsia" w:ascii="宋体" w:hAnsi="宋体" w:eastAsia="宋体" w:cs="宋体"/>
          <w:b/>
          <w:bCs/>
          <w:highlight w:val="none"/>
          <w:u w:val="single"/>
        </w:rPr>
        <w:t>“开标报价一览表”投标总价相一致。</w:t>
      </w:r>
    </w:p>
    <w:p w14:paraId="15BA5BEB">
      <w:pPr>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如果免费请在该备注栏内注明“免”，如果含在产品价格中则填“含”，如无此项内容则填“无”，不留空白。</w:t>
      </w:r>
    </w:p>
    <w:p w14:paraId="01BE4E59">
      <w:pPr>
        <w:pStyle w:val="10"/>
        <w:keepNext w:val="0"/>
        <w:keepLines w:val="0"/>
        <w:pageBreakBefore w:val="0"/>
        <w:widowControl w:val="0"/>
        <w:kinsoku/>
        <w:wordWrap/>
        <w:overflowPunct/>
        <w:topLinePunct w:val="0"/>
        <w:bidi w:val="0"/>
        <w:snapToGrid/>
        <w:spacing w:after="0"/>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本表可在不改变格式的情况下根据具体需要自行增减。</w:t>
      </w:r>
    </w:p>
    <w:p w14:paraId="29174F22">
      <w:pPr>
        <w:pStyle w:val="11"/>
        <w:ind w:left="0" w:leftChars="0" w:firstLine="0" w:firstLineChars="0"/>
        <w:rPr>
          <w:rFonts w:hint="eastAsia" w:ascii="宋体" w:hAnsi="宋体" w:eastAsia="宋体" w:cs="宋体"/>
          <w:highlight w:val="none"/>
        </w:rPr>
      </w:pPr>
    </w:p>
    <w:p w14:paraId="3A31340C">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48E0B990">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法定代表人或授权代表（签字或盖章）：</w:t>
      </w:r>
    </w:p>
    <w:p w14:paraId="161B7B0A">
      <w:pPr>
        <w:spacing w:before="240" w:beforeLines="100" w:line="360" w:lineRule="auto"/>
        <w:ind w:right="-21" w:rightChars="-1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4FEC198C">
      <w:pPr>
        <w:spacing w:line="360" w:lineRule="auto"/>
        <w:jc w:val="center"/>
        <w:rPr>
          <w:rFonts w:hint="eastAsia" w:ascii="宋体" w:hAnsi="宋体" w:eastAsia="宋体" w:cs="宋体"/>
          <w:sz w:val="36"/>
          <w:szCs w:val="36"/>
          <w:highlight w:val="none"/>
        </w:rPr>
      </w:pPr>
      <w:r>
        <w:rPr>
          <w:rFonts w:hint="eastAsia" w:ascii="宋体" w:hAnsi="宋体" w:eastAsia="宋体" w:cs="宋体"/>
          <w:sz w:val="22"/>
          <w:highlight w:val="none"/>
        </w:rPr>
        <w:br w:type="page"/>
      </w:r>
      <w:bookmarkStart w:id="192" w:name="_Toc249758721"/>
      <w:bookmarkStart w:id="193" w:name="_Toc448846626"/>
      <w:bookmarkStart w:id="194" w:name="_Toc262049425"/>
      <w:bookmarkStart w:id="195" w:name="_Toc262105510"/>
      <w:bookmarkStart w:id="196" w:name="_Toc249758871"/>
      <w:bookmarkStart w:id="197" w:name="_Hlk69240860"/>
      <w:r>
        <w:rPr>
          <w:rFonts w:hint="eastAsia" w:ascii="宋体" w:hAnsi="宋体" w:eastAsia="宋体" w:cs="宋体"/>
          <w:sz w:val="36"/>
          <w:szCs w:val="36"/>
          <w:highlight w:val="none"/>
        </w:rPr>
        <w:t>第四部分   采购内容及要求</w:t>
      </w:r>
      <w:bookmarkEnd w:id="192"/>
      <w:bookmarkEnd w:id="193"/>
      <w:bookmarkEnd w:id="194"/>
      <w:bookmarkEnd w:id="195"/>
      <w:bookmarkEnd w:id="196"/>
    </w:p>
    <w:bookmarkEnd w:id="197"/>
    <w:p w14:paraId="174F0E9D">
      <w:pPr>
        <w:jc w:val="center"/>
        <w:rPr>
          <w:rFonts w:hint="eastAsia" w:ascii="宋体" w:hAnsi="宋体" w:eastAsia="宋体" w:cs="宋体"/>
          <w:b/>
          <w:bCs/>
          <w:sz w:val="32"/>
          <w:szCs w:val="40"/>
          <w:highlight w:val="none"/>
          <w:lang w:val="en-US" w:eastAsia="zh-CN"/>
        </w:rPr>
      </w:pPr>
      <w:bookmarkStart w:id="198" w:name="_Toc246261272"/>
      <w:bookmarkStart w:id="199" w:name="_Toc249758872"/>
      <w:bookmarkStart w:id="200" w:name="_Toc221374633"/>
      <w:bookmarkStart w:id="201" w:name="_Toc221356897"/>
      <w:bookmarkStart w:id="202" w:name="_Toc222114886"/>
      <w:bookmarkStart w:id="203" w:name="_Toc245191321"/>
      <w:bookmarkStart w:id="204" w:name="_Toc241404209"/>
      <w:bookmarkStart w:id="205" w:name="_Toc245722288"/>
      <w:bookmarkStart w:id="206" w:name="_Toc262105511"/>
      <w:bookmarkStart w:id="207" w:name="_Toc223716005"/>
      <w:bookmarkStart w:id="208" w:name="_Toc221356960"/>
      <w:bookmarkStart w:id="209" w:name="_Toc221423626"/>
      <w:bookmarkStart w:id="210" w:name="_Toc249758722"/>
      <w:bookmarkStart w:id="211" w:name="_Toc262049426"/>
      <w:bookmarkStart w:id="212" w:name="_Toc239145361"/>
      <w:bookmarkStart w:id="213" w:name="_Toc448846693"/>
      <w:r>
        <w:rPr>
          <w:rFonts w:hint="eastAsia" w:ascii="宋体" w:hAnsi="宋体" w:eastAsia="宋体" w:cs="宋体"/>
          <w:b/>
          <w:bCs/>
          <w:sz w:val="32"/>
          <w:szCs w:val="40"/>
          <w:highlight w:val="none"/>
          <w:lang w:val="en-US" w:eastAsia="zh-CN"/>
        </w:rPr>
        <w:t>预制菜产业科技园办公设备及多媒体设备项目需求方案</w:t>
      </w:r>
    </w:p>
    <w:p w14:paraId="01BE4783">
      <w:pPr>
        <w:pStyle w:val="3"/>
        <w:spacing w:line="240" w:lineRule="auto"/>
        <w:jc w:val="center"/>
        <w:rPr>
          <w:rFonts w:hint="eastAsia" w:ascii="宋体" w:hAnsi="宋体" w:eastAsia="宋体" w:cs="宋体"/>
          <w:sz w:val="21"/>
          <w:szCs w:val="21"/>
          <w:highlight w:val="none"/>
        </w:rPr>
      </w:pPr>
      <w:bookmarkStart w:id="214" w:name="_Toc365203313"/>
      <w:bookmarkStart w:id="215" w:name="_Toc19801889"/>
      <w:bookmarkStart w:id="216" w:name="_Toc491529537"/>
      <w:bookmarkStart w:id="217" w:name="_Toc15148162"/>
      <w:bookmarkStart w:id="218" w:name="_Toc203534124"/>
      <w:bookmarkStart w:id="219" w:name="_Toc495862905"/>
      <w:bookmarkStart w:id="220" w:name="_Toc48918765"/>
      <w:bookmarkStart w:id="221" w:name="_Toc517434286"/>
      <w:r>
        <w:rPr>
          <w:rFonts w:hint="eastAsia" w:ascii="宋体" w:hAnsi="宋体" w:eastAsia="宋体" w:cs="宋体"/>
          <w:sz w:val="21"/>
          <w:szCs w:val="21"/>
          <w:highlight w:val="none"/>
        </w:rPr>
        <w:t>（一）总则</w:t>
      </w:r>
      <w:bookmarkEnd w:id="214"/>
      <w:bookmarkEnd w:id="215"/>
      <w:bookmarkEnd w:id="216"/>
      <w:bookmarkEnd w:id="217"/>
      <w:bookmarkEnd w:id="218"/>
      <w:bookmarkEnd w:id="219"/>
      <w:bookmarkEnd w:id="220"/>
      <w:bookmarkEnd w:id="221"/>
    </w:p>
    <w:p w14:paraId="2CE2E6D7">
      <w:pPr>
        <w:spacing w:line="240" w:lineRule="auto"/>
        <w:ind w:left="480" w:hanging="420" w:hangingChars="200"/>
        <w:rPr>
          <w:rFonts w:hint="eastAsia" w:ascii="宋体" w:hAnsi="宋体" w:eastAsia="宋体" w:cs="宋体"/>
          <w:sz w:val="21"/>
          <w:szCs w:val="21"/>
          <w:highlight w:val="none"/>
        </w:rPr>
      </w:pPr>
      <w:r>
        <w:rPr>
          <w:rFonts w:hint="eastAsia" w:ascii="宋体" w:hAnsi="宋体" w:eastAsia="宋体" w:cs="宋体"/>
          <w:sz w:val="21"/>
          <w:szCs w:val="21"/>
          <w:highlight w:val="none"/>
        </w:rPr>
        <w:t>1.  本采购内容及说明提出了设备的功能设计、结构、性能、安装和试验等方面的初步技术要求，供投标供应商做报价依据。采购人有权在签订合同时对本采购内容及说明作进一步修改。</w:t>
      </w:r>
    </w:p>
    <w:p w14:paraId="009E5A11">
      <w:pPr>
        <w:spacing w:line="240" w:lineRule="auto"/>
        <w:ind w:left="480" w:hanging="420" w:hangingChars="200"/>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2. </w:t>
      </w:r>
      <w:r>
        <w:rPr>
          <w:rFonts w:hint="eastAsia" w:ascii="宋体" w:hAnsi="宋体" w:eastAsia="宋体" w:cs="宋体"/>
          <w:b/>
          <w:sz w:val="21"/>
          <w:szCs w:val="21"/>
          <w:highlight w:val="none"/>
        </w:rPr>
        <w:t xml:space="preserve"> 本采购内容及说明并未对一切技术细节作出明确规定，也未充分引述有关标准、规范的条文。投标供应商应保证提供符合采购内容及说明和工业标准的优质产品。投标文件包括采购内容及说明所叙述的全部工作以及在采购内容及说明没有提到的，但涉及到有关设备的效率、稳定性、完整性以及在工程实践上证明是优良性能所需要的部分也应包括在内。本采购内容及说明所标明的工艺、设备、材料和所采用的标准只是为了说明所期望的系统的基本形式，而并非限制性的。</w:t>
      </w:r>
    </w:p>
    <w:p w14:paraId="3921890F">
      <w:pPr>
        <w:spacing w:line="240" w:lineRule="auto"/>
        <w:ind w:left="480" w:hanging="420" w:hanging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eastAsia="宋体" w:cs="宋体"/>
          <w:b/>
          <w:sz w:val="21"/>
          <w:szCs w:val="21"/>
          <w:highlight w:val="none"/>
        </w:rPr>
        <w:t>投标供应商应仔细阅读本采购内容及说明中的全部条款。投标供应商提出的设备技术规格应符合本采购内容及说明的所有要求。如投标供应商没有以书面形式列出与本采购内容及说明所规定的规格间的差异，则认为：提供的产品是完全符合本采购内容及说明的要求。</w:t>
      </w:r>
    </w:p>
    <w:p w14:paraId="64D93A61">
      <w:pPr>
        <w:spacing w:line="240" w:lineRule="auto"/>
        <w:ind w:left="480" w:hanging="420" w:hangingChars="200"/>
        <w:rPr>
          <w:rFonts w:hint="eastAsia" w:ascii="宋体" w:hAnsi="宋体" w:eastAsia="宋体" w:cs="宋体"/>
          <w:sz w:val="21"/>
          <w:szCs w:val="21"/>
          <w:highlight w:val="none"/>
        </w:rPr>
      </w:pPr>
      <w:r>
        <w:rPr>
          <w:rFonts w:hint="eastAsia" w:ascii="宋体" w:hAnsi="宋体" w:eastAsia="宋体" w:cs="宋体"/>
          <w:sz w:val="21"/>
          <w:szCs w:val="21"/>
          <w:highlight w:val="none"/>
        </w:rPr>
        <w:t>4.  本采购内容及说明所引用的标准如遇与制造厂商所执行的标准发生矛盾时，由</w:t>
      </w:r>
      <w:r>
        <w:rPr>
          <w:rFonts w:hint="eastAsia" w:ascii="宋体" w:hAnsi="宋体" w:eastAsia="宋体" w:cs="宋体"/>
          <w:sz w:val="21"/>
          <w:szCs w:val="21"/>
          <w:highlight w:val="none"/>
          <w:lang w:val="en-US" w:eastAsia="zh-CN"/>
        </w:rPr>
        <w:t>采购人、供应商</w:t>
      </w:r>
      <w:r>
        <w:rPr>
          <w:rFonts w:hint="eastAsia" w:ascii="宋体" w:hAnsi="宋体" w:eastAsia="宋体" w:cs="宋体"/>
          <w:sz w:val="21"/>
          <w:szCs w:val="21"/>
          <w:highlight w:val="none"/>
        </w:rPr>
        <w:t>双方共同协商。</w:t>
      </w:r>
    </w:p>
    <w:p w14:paraId="587DDFB8">
      <w:pPr>
        <w:spacing w:line="240" w:lineRule="auto"/>
        <w:ind w:left="480" w:hanging="420" w:hangingChars="200"/>
        <w:rPr>
          <w:rFonts w:hint="eastAsia" w:ascii="宋体" w:hAnsi="宋体" w:eastAsia="宋体" w:cs="宋体"/>
          <w:sz w:val="21"/>
          <w:szCs w:val="21"/>
          <w:highlight w:val="none"/>
        </w:rPr>
      </w:pPr>
      <w:r>
        <w:rPr>
          <w:rFonts w:hint="eastAsia" w:ascii="宋体" w:hAnsi="宋体" w:eastAsia="宋体" w:cs="宋体"/>
          <w:sz w:val="21"/>
          <w:szCs w:val="21"/>
          <w:highlight w:val="none"/>
        </w:rPr>
        <w:t>5.  本采购内容及说明经</w:t>
      </w:r>
      <w:r>
        <w:rPr>
          <w:rFonts w:hint="eastAsia" w:ascii="宋体" w:hAnsi="宋体" w:eastAsia="宋体" w:cs="宋体"/>
          <w:sz w:val="21"/>
          <w:szCs w:val="21"/>
          <w:highlight w:val="none"/>
          <w:lang w:val="en-US" w:eastAsia="zh-CN"/>
        </w:rPr>
        <w:t>采购人、供应商</w:t>
      </w:r>
      <w:r>
        <w:rPr>
          <w:rFonts w:hint="eastAsia" w:ascii="宋体" w:hAnsi="宋体" w:eastAsia="宋体" w:cs="宋体"/>
          <w:sz w:val="21"/>
          <w:szCs w:val="21"/>
          <w:highlight w:val="none"/>
        </w:rPr>
        <w:t>双方确认后作为定货合同的技术附件，与合同正文具有同等效力。</w:t>
      </w:r>
    </w:p>
    <w:p w14:paraId="35419445">
      <w:pPr>
        <w:pStyle w:val="3"/>
        <w:spacing w:line="240" w:lineRule="auto"/>
        <w:jc w:val="center"/>
        <w:rPr>
          <w:rFonts w:hint="eastAsia" w:ascii="宋体" w:hAnsi="宋体" w:eastAsia="宋体" w:cs="宋体"/>
          <w:sz w:val="21"/>
          <w:szCs w:val="21"/>
          <w:highlight w:val="none"/>
        </w:rPr>
      </w:pPr>
      <w:bookmarkStart w:id="222" w:name="_Toc19801890"/>
      <w:bookmarkStart w:id="223" w:name="_Toc428194194"/>
      <w:bookmarkStart w:id="224" w:name="_Toc470100723"/>
      <w:bookmarkStart w:id="225" w:name="_Toc499718014"/>
      <w:bookmarkStart w:id="226" w:name="_Toc48918766"/>
      <w:r>
        <w:rPr>
          <w:rFonts w:hint="eastAsia" w:ascii="宋体" w:hAnsi="宋体" w:eastAsia="宋体" w:cs="宋体"/>
          <w:sz w:val="21"/>
          <w:szCs w:val="21"/>
          <w:highlight w:val="none"/>
        </w:rPr>
        <w:t>（二）采购内容及技术要求</w:t>
      </w:r>
      <w:bookmarkEnd w:id="222"/>
      <w:bookmarkEnd w:id="223"/>
      <w:bookmarkEnd w:id="224"/>
      <w:bookmarkEnd w:id="225"/>
      <w:bookmarkEnd w:id="226"/>
    </w:p>
    <w:p w14:paraId="62F48362">
      <w:pPr>
        <w:autoSpaceDE w:val="0"/>
        <w:autoSpaceDN w:val="0"/>
        <w:adjustRightInd w:val="0"/>
        <w:spacing w:line="240" w:lineRule="auto"/>
        <w:outlineLvl w:val="0"/>
        <w:rPr>
          <w:rFonts w:hint="eastAsia" w:ascii="宋体" w:hAnsi="宋体" w:eastAsia="宋体" w:cs="宋体"/>
          <w:sz w:val="21"/>
          <w:szCs w:val="21"/>
          <w:highlight w:val="none"/>
        </w:rPr>
      </w:pPr>
      <w:bookmarkStart w:id="227" w:name="_Toc19801892"/>
      <w:bookmarkStart w:id="228" w:name="_Toc48918767"/>
      <w:r>
        <w:rPr>
          <w:rFonts w:hint="eastAsia" w:ascii="宋体" w:hAnsi="宋体" w:eastAsia="宋体" w:cs="宋体"/>
          <w:b/>
          <w:sz w:val="21"/>
          <w:szCs w:val="21"/>
          <w:highlight w:val="none"/>
        </w:rPr>
        <w:t>一、采购内容及产品技术要求</w:t>
      </w:r>
      <w:bookmarkEnd w:id="227"/>
      <w:bookmarkEnd w:id="228"/>
    </w:p>
    <w:p w14:paraId="0A1069FF">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次为温州预制菜科创园办公区域及展厅等弱电智能化项目，根据办公区域、会议室及展厅的布局和用途，对办公网络、安防系统、音响系统、LED及信息发布系统等进行规划，满足日常办公、会议、参观接待等需求。具体清单及要求如下：</w:t>
      </w:r>
    </w:p>
    <w:tbl>
      <w:tblPr>
        <w:tblStyle w:val="2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20"/>
        <w:gridCol w:w="5738"/>
        <w:gridCol w:w="728"/>
        <w:gridCol w:w="534"/>
        <w:gridCol w:w="647"/>
      </w:tblGrid>
      <w:tr w14:paraId="469A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shd w:val="clear" w:color="000000" w:fill="BDD7EE"/>
            <w:noWrap w:val="0"/>
            <w:vAlign w:val="center"/>
          </w:tcPr>
          <w:p w14:paraId="3FFBAB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序号</w:t>
            </w:r>
          </w:p>
        </w:tc>
        <w:tc>
          <w:tcPr>
            <w:tcW w:w="820" w:type="dxa"/>
            <w:shd w:val="clear" w:color="000000" w:fill="BDD7EE"/>
            <w:noWrap w:val="0"/>
            <w:vAlign w:val="center"/>
          </w:tcPr>
          <w:p w14:paraId="29B4E6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名称</w:t>
            </w:r>
          </w:p>
        </w:tc>
        <w:tc>
          <w:tcPr>
            <w:tcW w:w="5738" w:type="dxa"/>
            <w:shd w:val="clear" w:color="000000" w:fill="BDD7EE"/>
            <w:noWrap w:val="0"/>
            <w:vAlign w:val="center"/>
          </w:tcPr>
          <w:p w14:paraId="306585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技术参数及要求</w:t>
            </w:r>
          </w:p>
        </w:tc>
        <w:tc>
          <w:tcPr>
            <w:tcW w:w="728" w:type="dxa"/>
            <w:shd w:val="clear" w:color="000000" w:fill="BDD7EE"/>
            <w:noWrap w:val="0"/>
            <w:vAlign w:val="center"/>
          </w:tcPr>
          <w:p w14:paraId="70A492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数量</w:t>
            </w:r>
          </w:p>
        </w:tc>
        <w:tc>
          <w:tcPr>
            <w:tcW w:w="534" w:type="dxa"/>
            <w:shd w:val="clear" w:color="000000" w:fill="BDD7EE"/>
            <w:noWrap w:val="0"/>
            <w:vAlign w:val="center"/>
          </w:tcPr>
          <w:p w14:paraId="6A2500F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单位</w:t>
            </w:r>
          </w:p>
        </w:tc>
        <w:tc>
          <w:tcPr>
            <w:tcW w:w="647" w:type="dxa"/>
            <w:shd w:val="clear" w:color="000000" w:fill="BDD7EE"/>
            <w:noWrap w:val="0"/>
            <w:vAlign w:val="center"/>
          </w:tcPr>
          <w:p w14:paraId="27E7D4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备注</w:t>
            </w:r>
          </w:p>
        </w:tc>
      </w:tr>
      <w:tr w14:paraId="3D21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000000" w:fill="DDEBF7"/>
            <w:noWrap w:val="0"/>
            <w:vAlign w:val="center"/>
          </w:tcPr>
          <w:p w14:paraId="6DDE95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一、</w:t>
            </w:r>
            <w:r>
              <w:rPr>
                <w:rFonts w:hint="eastAsia" w:ascii="宋体" w:hAnsi="宋体" w:eastAsia="宋体" w:cs="宋体"/>
                <w:b/>
                <w:bCs/>
                <w:color w:val="auto"/>
                <w:sz w:val="18"/>
                <w:szCs w:val="18"/>
                <w:highlight w:val="none"/>
                <w:lang w:val="en-US" w:eastAsia="zh-CN"/>
              </w:rPr>
              <w:t>办公区综合布线部分</w:t>
            </w:r>
          </w:p>
        </w:tc>
        <w:tc>
          <w:tcPr>
            <w:tcW w:w="647" w:type="dxa"/>
            <w:shd w:val="clear" w:color="000000" w:fill="DDEBF7"/>
            <w:noWrap w:val="0"/>
            <w:vAlign w:val="center"/>
          </w:tcPr>
          <w:p w14:paraId="549A0AB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r w14:paraId="5125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776D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820" w:type="dxa"/>
            <w:noWrap w:val="0"/>
            <w:vAlign w:val="center"/>
          </w:tcPr>
          <w:p w14:paraId="5A09E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600万柔光全彩半球网络摄像机</w:t>
            </w:r>
          </w:p>
        </w:tc>
        <w:tc>
          <w:tcPr>
            <w:tcW w:w="5738" w:type="dxa"/>
            <w:noWrap w:val="0"/>
            <w:vAlign w:val="center"/>
          </w:tcPr>
          <w:p w14:paraId="6A6BD9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1、传感器类型：1/2.7英寸CMOS；</w:t>
            </w:r>
          </w:p>
          <w:p w14:paraId="5AB1A05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2、像素：600万；</w:t>
            </w:r>
          </w:p>
          <w:p w14:paraId="126CD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3、最大分辨率：3200×1800；</w:t>
            </w:r>
          </w:p>
          <w:p w14:paraId="6128B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4、最低照度：0.002lux（彩色模式）；0.0002lux（黑白模式）；0lux（补光灯开启）；</w:t>
            </w:r>
          </w:p>
          <w:p w14:paraId="71648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5、最大补光距离：80m（红外）50m（暖光）；</w:t>
            </w:r>
          </w:p>
          <w:p w14:paraId="7A29C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6、镜头类型：定焦；</w:t>
            </w:r>
          </w:p>
          <w:p w14:paraId="04428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7、镜头焦距：3.6mm；</w:t>
            </w:r>
          </w:p>
          <w:p w14:paraId="74A1E6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8、镜头光圈：F1.6；</w:t>
            </w:r>
          </w:p>
          <w:p w14:paraId="0ECFD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9、视场角：水平：92°；垂直：45°；对角：110°；</w:t>
            </w:r>
          </w:p>
          <w:p w14:paraId="20696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10、宽动态：120dB；</w:t>
            </w:r>
          </w:p>
          <w:p w14:paraId="4162E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11、内置MIC：支持；</w:t>
            </w:r>
          </w:p>
          <w:p w14:paraId="0D204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12、接入标准：ONVIF（Profile S &amp; Profile T）；CGI；GB/T28181-2022（双国标）；大华云联；</w:t>
            </w:r>
          </w:p>
          <w:p w14:paraId="1FE02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13、供电方式：DC12V/PoE；</w:t>
            </w:r>
          </w:p>
        </w:tc>
        <w:tc>
          <w:tcPr>
            <w:tcW w:w="728" w:type="dxa"/>
            <w:noWrap w:val="0"/>
            <w:vAlign w:val="center"/>
          </w:tcPr>
          <w:p w14:paraId="22B7F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23</w:t>
            </w:r>
          </w:p>
        </w:tc>
        <w:tc>
          <w:tcPr>
            <w:tcW w:w="534" w:type="dxa"/>
            <w:noWrap w:val="0"/>
            <w:vAlign w:val="center"/>
          </w:tcPr>
          <w:p w14:paraId="6FB289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只</w:t>
            </w:r>
          </w:p>
        </w:tc>
        <w:tc>
          <w:tcPr>
            <w:tcW w:w="647" w:type="dxa"/>
            <w:noWrap w:val="0"/>
            <w:vAlign w:val="center"/>
          </w:tcPr>
          <w:p w14:paraId="6846C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889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6F1C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2</w:t>
            </w:r>
          </w:p>
        </w:tc>
        <w:tc>
          <w:tcPr>
            <w:tcW w:w="820" w:type="dxa"/>
            <w:noWrap w:val="0"/>
            <w:vAlign w:val="center"/>
          </w:tcPr>
          <w:p w14:paraId="2EFC1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4K轻智能网络录像机</w:t>
            </w:r>
          </w:p>
        </w:tc>
        <w:tc>
          <w:tcPr>
            <w:tcW w:w="5738" w:type="dxa"/>
            <w:noWrap w:val="0"/>
            <w:vAlign w:val="center"/>
          </w:tcPr>
          <w:p w14:paraId="7D28DF2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1、存储接口：＞8个SATA接口，可满配8TB硬盘</w:t>
            </w:r>
          </w:p>
          <w:p w14:paraId="356FEF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2、视频接口：1×HDMI，1×VGA</w:t>
            </w:r>
          </w:p>
          <w:p w14:paraId="5D27B9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3、网络接口：2×RJ45 10/100/1000Mbps自适应以太网口</w:t>
            </w:r>
          </w:p>
          <w:p w14:paraId="728920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4、报警接口：16路报警输入，9路报警输出（其中第9路支持CTRL 12V）</w:t>
            </w:r>
          </w:p>
          <w:p w14:paraId="3DA191E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5、输入带宽：256Mbps，输出带宽：160Mbps</w:t>
            </w:r>
          </w:p>
          <w:p w14:paraId="2B2B22D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6、接入能力：32路H.264、H.265格式高清码流接入</w:t>
            </w:r>
          </w:p>
          <w:p w14:paraId="2DB362D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7、解码能力：最大支持16×1080P</w:t>
            </w:r>
          </w:p>
        </w:tc>
        <w:tc>
          <w:tcPr>
            <w:tcW w:w="728" w:type="dxa"/>
            <w:noWrap/>
            <w:vAlign w:val="center"/>
          </w:tcPr>
          <w:p w14:paraId="24E1B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34" w:type="dxa"/>
            <w:noWrap/>
            <w:vAlign w:val="center"/>
          </w:tcPr>
          <w:p w14:paraId="26D5B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04366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933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0A24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3</w:t>
            </w:r>
          </w:p>
        </w:tc>
        <w:tc>
          <w:tcPr>
            <w:tcW w:w="820" w:type="dxa"/>
            <w:noWrap w:val="0"/>
            <w:vAlign w:val="center"/>
          </w:tcPr>
          <w:p w14:paraId="51614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监控级硬盘8T</w:t>
            </w:r>
          </w:p>
        </w:tc>
        <w:tc>
          <w:tcPr>
            <w:tcW w:w="5738" w:type="dxa"/>
            <w:noWrap w:val="0"/>
            <w:vAlign w:val="center"/>
          </w:tcPr>
          <w:p w14:paraId="3C6B9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1、8TB容量，3.5英寸 SATA 3.0接口，7200RPM</w:t>
            </w:r>
          </w:p>
          <w:p w14:paraId="23EFE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2、高达256MB缓冲区，流畅存储视频有效防止丢帧</w:t>
            </w:r>
          </w:p>
          <w:p w14:paraId="7A0FC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3、24×7全天候高效稳定运行</w:t>
            </w:r>
          </w:p>
        </w:tc>
        <w:tc>
          <w:tcPr>
            <w:tcW w:w="728" w:type="dxa"/>
            <w:noWrap/>
            <w:vAlign w:val="center"/>
          </w:tcPr>
          <w:p w14:paraId="00588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8</w:t>
            </w:r>
          </w:p>
        </w:tc>
        <w:tc>
          <w:tcPr>
            <w:tcW w:w="534" w:type="dxa"/>
            <w:noWrap/>
            <w:vAlign w:val="center"/>
          </w:tcPr>
          <w:p w14:paraId="103C1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27B20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495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C532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w:t>
            </w:r>
          </w:p>
        </w:tc>
        <w:tc>
          <w:tcPr>
            <w:tcW w:w="820" w:type="dxa"/>
            <w:noWrap w:val="0"/>
            <w:vAlign w:val="center"/>
          </w:tcPr>
          <w:p w14:paraId="0C5DE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55寸4K安防专业监视器</w:t>
            </w:r>
          </w:p>
        </w:tc>
        <w:tc>
          <w:tcPr>
            <w:tcW w:w="5738" w:type="dxa"/>
            <w:noWrap w:val="0"/>
            <w:vAlign w:val="center"/>
          </w:tcPr>
          <w:p w14:paraId="7496C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1、支持3840*2160@60Hz超高清显示</w:t>
            </w:r>
          </w:p>
          <w:p w14:paraId="49F9B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2、采用超宽视角屏幕（上下左右）178°</w:t>
            </w:r>
          </w:p>
          <w:p w14:paraId="7514B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3、3D数字图象降噪处理技术，画质更真实更清晰</w:t>
            </w:r>
          </w:p>
          <w:p w14:paraId="12F37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4、支持HDR显示标准，画面更细腻</w:t>
            </w:r>
          </w:p>
          <w:p w14:paraId="669F2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5、内置喇叭及功放，支持3.5 mm音频输入</w:t>
            </w:r>
          </w:p>
          <w:p w14:paraId="4EE6B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6、支持U盘点播，含文本、图片、音频、视频等多种格式多媒体播放</w:t>
            </w:r>
          </w:p>
          <w:p w14:paraId="30186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7、实时监控设备温度，高温报警</w:t>
            </w:r>
          </w:p>
          <w:p w14:paraId="586D0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8、具备智能光感护眼功能，显示单元可自动识别环境光强弱，根据环境光变化调节屏幕亮度。</w:t>
            </w:r>
          </w:p>
        </w:tc>
        <w:tc>
          <w:tcPr>
            <w:tcW w:w="728" w:type="dxa"/>
            <w:noWrap/>
            <w:vAlign w:val="center"/>
          </w:tcPr>
          <w:p w14:paraId="03528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4AE5C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4F96B3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8"/>
                <w:szCs w:val="18"/>
                <w:highlight w:val="none"/>
                <w:u w:val="none"/>
                <w:lang w:val="en-US" w:eastAsia="zh-CN" w:bidi="ar"/>
              </w:rPr>
            </w:pPr>
          </w:p>
        </w:tc>
      </w:tr>
      <w:tr w14:paraId="6200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0F1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820" w:type="dxa"/>
            <w:noWrap w:val="0"/>
            <w:vAlign w:val="center"/>
          </w:tcPr>
          <w:p w14:paraId="09F51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HDMI线</w:t>
            </w:r>
          </w:p>
        </w:tc>
        <w:tc>
          <w:tcPr>
            <w:tcW w:w="5738" w:type="dxa"/>
            <w:noWrap w:val="0"/>
            <w:vAlign w:val="center"/>
          </w:tcPr>
          <w:p w14:paraId="44F09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国际高清线</w:t>
            </w:r>
          </w:p>
        </w:tc>
        <w:tc>
          <w:tcPr>
            <w:tcW w:w="728" w:type="dxa"/>
            <w:noWrap/>
            <w:vAlign w:val="center"/>
          </w:tcPr>
          <w:p w14:paraId="48C9F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34" w:type="dxa"/>
            <w:noWrap/>
            <w:vAlign w:val="center"/>
          </w:tcPr>
          <w:p w14:paraId="29685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条</w:t>
            </w:r>
          </w:p>
        </w:tc>
        <w:tc>
          <w:tcPr>
            <w:tcW w:w="647" w:type="dxa"/>
            <w:noWrap/>
            <w:vAlign w:val="center"/>
          </w:tcPr>
          <w:p w14:paraId="5C646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124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47A3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6</w:t>
            </w:r>
          </w:p>
        </w:tc>
        <w:tc>
          <w:tcPr>
            <w:tcW w:w="820" w:type="dxa"/>
            <w:noWrap w:val="0"/>
            <w:vAlign w:val="center"/>
          </w:tcPr>
          <w:p w14:paraId="01992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人脸考勤机</w:t>
            </w:r>
          </w:p>
        </w:tc>
        <w:tc>
          <w:tcPr>
            <w:tcW w:w="5738" w:type="dxa"/>
            <w:noWrap w:val="0"/>
            <w:vAlign w:val="center"/>
          </w:tcPr>
          <w:p w14:paraId="3A605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记录容量:≥80000条</w:t>
            </w:r>
          </w:p>
          <w:p w14:paraId="27E106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使用温度:0°C～45°C</w:t>
            </w:r>
          </w:p>
          <w:p w14:paraId="4DA0C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电源规格:12V 1.5A</w:t>
            </w:r>
          </w:p>
          <w:p w14:paraId="3F9FA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键盘和显示器</w:t>
            </w:r>
          </w:p>
          <w:p w14:paraId="3786E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专业门禁功能:50个时间段、≥5个分组、≥10种开门组合，支持脱机工作</w:t>
            </w:r>
          </w:p>
          <w:p w14:paraId="636821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指纹容量≥1500枚</w:t>
            </w:r>
          </w:p>
          <w:p w14:paraId="1D2FBC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识别方式:指纹+密码</w:t>
            </w:r>
          </w:p>
          <w:p w14:paraId="06C82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通讯方式:通讯</w:t>
            </w:r>
          </w:p>
          <w:p w14:paraId="75AB7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使用湿度:20%～80%</w:t>
            </w:r>
          </w:p>
          <w:p w14:paraId="340B4B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采 集 器:集成80个字符的LCD显示屏和数字键盘</w:t>
            </w:r>
          </w:p>
          <w:p w14:paraId="4D61A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电锁控制:3A/12VDC继电器输出</w:t>
            </w:r>
          </w:p>
        </w:tc>
        <w:tc>
          <w:tcPr>
            <w:tcW w:w="728" w:type="dxa"/>
            <w:noWrap/>
            <w:vAlign w:val="center"/>
          </w:tcPr>
          <w:p w14:paraId="15FF9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34" w:type="dxa"/>
            <w:noWrap/>
            <w:vAlign w:val="center"/>
          </w:tcPr>
          <w:p w14:paraId="45990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7E4E3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863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C964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820" w:type="dxa"/>
            <w:noWrap w:val="0"/>
            <w:vAlign w:val="center"/>
          </w:tcPr>
          <w:p w14:paraId="1C30E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机柜</w:t>
            </w:r>
          </w:p>
        </w:tc>
        <w:tc>
          <w:tcPr>
            <w:tcW w:w="5738" w:type="dxa"/>
            <w:noWrap w:val="0"/>
            <w:vAlign w:val="center"/>
          </w:tcPr>
          <w:p w14:paraId="0E3601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1、材料：优质冷轧钢板，粉喷前钢板厚度：框架1.2mm,方孔条2.0mm，侧门1.2mm，前后门1.2mm。可关闭的上部、下部多处走线通道，底部大走线孔尺寸可按需调制。最大静载800kg。</w:t>
            </w:r>
          </w:p>
          <w:p w14:paraId="1D07BD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2、规格：6</w:t>
            </w:r>
          </w:p>
          <w:p w14:paraId="130FB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00*600*2000mm(宽*深*高)，前玻璃后钢板门机柜。</w:t>
            </w:r>
          </w:p>
          <w:p w14:paraId="4F889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2、表面处理：板材通过严格的脱脂、酸洗、防锈磷化、纯水清洗后，再进行静电喷塑。喷塑厚度为80um-100um。</w:t>
            </w:r>
          </w:p>
          <w:p w14:paraId="0CD4A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3、颜色：RAL9004(黑色)； </w:t>
            </w:r>
          </w:p>
        </w:tc>
        <w:tc>
          <w:tcPr>
            <w:tcW w:w="728" w:type="dxa"/>
            <w:noWrap/>
            <w:vAlign w:val="center"/>
          </w:tcPr>
          <w:p w14:paraId="07ACC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34" w:type="dxa"/>
            <w:noWrap/>
            <w:vAlign w:val="center"/>
          </w:tcPr>
          <w:p w14:paraId="7D539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1ABB7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C29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754D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820" w:type="dxa"/>
            <w:noWrap w:val="0"/>
            <w:vAlign w:val="center"/>
          </w:tcPr>
          <w:p w14:paraId="12982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AC</w:t>
            </w:r>
          </w:p>
        </w:tc>
        <w:tc>
          <w:tcPr>
            <w:tcW w:w="5738" w:type="dxa"/>
            <w:noWrap w:val="0"/>
            <w:vAlign w:val="center"/>
          </w:tcPr>
          <w:p w14:paraId="22C06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1、整机固化千兆以太网口≥6个，千兆光口≥1个，USB口≥1个；</w:t>
            </w:r>
          </w:p>
          <w:p w14:paraId="6C7A8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2、为保证业务不中断，支持出口链路支持冗余备份功能WAN口≥2个。</w:t>
            </w:r>
          </w:p>
          <w:p w14:paraId="020F6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3、为满足业务上网需求，网络设备出口带宽≥1600Mbps</w:t>
            </w:r>
          </w:p>
          <w:p w14:paraId="59D90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4、为满足全员网络办公需求，网络设备承载在线终端数≥2000个</w:t>
            </w:r>
          </w:p>
          <w:p w14:paraId="43660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5、支持管理AP数量≥450个</w:t>
            </w:r>
          </w:p>
          <w:p w14:paraId="2DE8D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6、功能模块开通：配置有线和无线管理功能授权；配置Ipsec VPN模块；配置行为管理模块功能授权.</w:t>
            </w:r>
          </w:p>
          <w:p w14:paraId="32B85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7、支持查看实时流量收发状态、在线状态、认证类型、在线时长、VLAN信息、终端信息、接入位置等信息。</w:t>
            </w:r>
          </w:p>
          <w:p w14:paraId="608C0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8、支持Portal认证页面自定义，包括页面展示信息、页面标题、文字描述、免责声明等信息；</w:t>
            </w:r>
          </w:p>
          <w:p w14:paraId="351A3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9、支持OPEN、802.1X账号认证、WPA-PSK/WPA2-PSK混合加密。</w:t>
            </w:r>
          </w:p>
          <w:p w14:paraId="35124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10、支持批量创建不少于1000个终端认证授权，支持批量导入账号及描述信息，支持首次登录后强制修改密码等方便账号管理运维的功能。</w:t>
            </w:r>
          </w:p>
          <w:p w14:paraId="5B5B4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11、支持应用识别，能识别不低于300种常见的网络应用，能识别邮件、游戏、P2P流媒体、WEB流媒体、金融交易、办公OA、移动终端应用等主流应用；</w:t>
            </w:r>
          </w:p>
          <w:p w14:paraId="6BE8D4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12、支持针对不通流量内容设定保证通道，针对上/下行、IP地址端、时间、线路等维度进行进行通道带宽的保证，以便具有良好的使用体验。</w:t>
            </w:r>
          </w:p>
          <w:p w14:paraId="3A1C7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13、禁止mdns请求发往无线终端、禁止nbns发往无线终端(提供相关证明材料)。</w:t>
            </w:r>
          </w:p>
          <w:p w14:paraId="0A059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14、支持根据时间公平算法，防止低速终端拉低网络整体速度</w:t>
            </w:r>
          </w:p>
          <w:p w14:paraId="2C776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15、支持静态路由、策略路由、地址转换；支持NAT、DHCP、DNS代理、DDNS动态域名；支持路由网关功能，支持静态IP、DHCP、PPPoE拨号三种上网方式；</w:t>
            </w:r>
          </w:p>
        </w:tc>
        <w:tc>
          <w:tcPr>
            <w:tcW w:w="728" w:type="dxa"/>
            <w:noWrap/>
            <w:vAlign w:val="center"/>
          </w:tcPr>
          <w:p w14:paraId="58796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w:t>
            </w:r>
          </w:p>
        </w:tc>
        <w:tc>
          <w:tcPr>
            <w:tcW w:w="534" w:type="dxa"/>
            <w:noWrap/>
            <w:vAlign w:val="center"/>
          </w:tcPr>
          <w:p w14:paraId="66B7A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41724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607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B863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w:t>
            </w:r>
          </w:p>
        </w:tc>
        <w:tc>
          <w:tcPr>
            <w:tcW w:w="820" w:type="dxa"/>
            <w:noWrap w:val="0"/>
            <w:vAlign w:val="center"/>
          </w:tcPr>
          <w:p w14:paraId="00F3E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AP</w:t>
            </w:r>
          </w:p>
        </w:tc>
        <w:tc>
          <w:tcPr>
            <w:tcW w:w="5738" w:type="dxa"/>
            <w:noWrap w:val="0"/>
            <w:vAlign w:val="center"/>
          </w:tcPr>
          <w:p w14:paraId="0CAF5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1、支持2.4G 2*2条流及 5G 2*2条流；2.4G最大传输速率≥574Mbps，5G最大传输速率≥1201Mbps，整机最大传输速率≥1.775Gbps；</w:t>
            </w:r>
          </w:p>
          <w:p w14:paraId="535802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2、802.11ax 协议，兼容802.11a/b/g/n/ac协议，支持2.4G和5G同时工作；</w:t>
            </w:r>
          </w:p>
          <w:p w14:paraId="37F7F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3、千兆以太网口≥2个；</w:t>
            </w:r>
          </w:p>
          <w:p w14:paraId="50379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4、支持802.3at标准的PoE供电和本地电源适配器供电两种方式；</w:t>
            </w:r>
          </w:p>
          <w:p w14:paraId="6398A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5、AP发射功率≤20dBm（最大不超过100mw），且功率可调节（调节粒度为1dBm，调节范围为1dBm～20dBm）；</w:t>
            </w:r>
          </w:p>
          <w:p w14:paraId="6AFAA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6、Fit模式系列AP可将数据报文在无线接入设备上直接转化为不经过控制器的报文，而是在本地进行转发，提升转发效率，降低网络资源开销；</w:t>
            </w:r>
          </w:p>
          <w:p w14:paraId="4BDBA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7、支持802.1x认证、MAC地址认证、PSK认证、Portal认证等；</w:t>
            </w:r>
          </w:p>
          <w:p w14:paraId="71A41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8、支持802.11h 动态频率选择(DFS)、信道自动扫描功能，自动规避干扰；</w:t>
            </w:r>
          </w:p>
        </w:tc>
        <w:tc>
          <w:tcPr>
            <w:tcW w:w="728" w:type="dxa"/>
            <w:noWrap/>
            <w:vAlign w:val="center"/>
          </w:tcPr>
          <w:p w14:paraId="48466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534" w:type="dxa"/>
            <w:noWrap/>
            <w:vAlign w:val="center"/>
          </w:tcPr>
          <w:p w14:paraId="029E8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56AED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FE4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FCB1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10</w:t>
            </w:r>
          </w:p>
        </w:tc>
        <w:tc>
          <w:tcPr>
            <w:tcW w:w="820" w:type="dxa"/>
            <w:noWrap w:val="0"/>
            <w:vAlign w:val="center"/>
          </w:tcPr>
          <w:p w14:paraId="15BA3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高密AP</w:t>
            </w:r>
          </w:p>
        </w:tc>
        <w:tc>
          <w:tcPr>
            <w:tcW w:w="5738" w:type="dxa"/>
            <w:noWrap w:val="0"/>
            <w:vAlign w:val="center"/>
          </w:tcPr>
          <w:p w14:paraId="1E795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1、支持2.4G 2*2条流及 5G 2*2条流；2.4G最大传输速率≥574Mbps，5G最大传输速率≥2402Mbps，整机最大传输速率≥2.976Gbps；</w:t>
            </w:r>
          </w:p>
          <w:p w14:paraId="6A882D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2、802.11ax 协议，兼容802.11a/b/g/n/ac协议，支持2.4G和5G同时工作；</w:t>
            </w:r>
          </w:p>
          <w:p w14:paraId="26E4D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3、千兆以太网口≥1个；</w:t>
            </w:r>
          </w:p>
          <w:p w14:paraId="3D328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4、支持802.3at标准的PoE供电和本地电源适配器供电两种方式；</w:t>
            </w:r>
          </w:p>
          <w:p w14:paraId="70A6E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5、单射频接入人数≥128，整机最大接入人数≥256；</w:t>
            </w:r>
          </w:p>
          <w:p w14:paraId="6B4EA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6、支持虚拟AP技术，单射频SSID数量≥16，整机≥32；</w:t>
            </w:r>
          </w:p>
          <w:p w14:paraId="6D40C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7、AP发射功率≤20dBm（最大不超过100mw），且功率可调节（调节粒度为1dBm，调节范围为1dBm～20dBm）；</w:t>
            </w:r>
          </w:p>
          <w:p w14:paraId="2E2A9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8、Fit模式系列AP可将数据报文在无线接入设备上直接转化为不经过控制器的报文，而是在本地进行转发，提升转发效率，降低网络资源开销；</w:t>
            </w:r>
          </w:p>
          <w:p w14:paraId="60D166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9、支持802.1x认证、MAC地址认证、PSK认证、Portal认证等；</w:t>
            </w:r>
          </w:p>
          <w:p w14:paraId="6C2A5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10、支持802.11h 动态频率选择(DFS)、信道自动扫描功能，自动规避干扰；</w:t>
            </w:r>
          </w:p>
        </w:tc>
        <w:tc>
          <w:tcPr>
            <w:tcW w:w="728" w:type="dxa"/>
            <w:noWrap/>
            <w:vAlign w:val="center"/>
          </w:tcPr>
          <w:p w14:paraId="6DE8F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34" w:type="dxa"/>
            <w:noWrap/>
            <w:vAlign w:val="center"/>
          </w:tcPr>
          <w:p w14:paraId="37C81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33B06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707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5FC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6D005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核心交换机</w:t>
            </w:r>
          </w:p>
        </w:tc>
        <w:tc>
          <w:tcPr>
            <w:tcW w:w="5738" w:type="dxa"/>
            <w:noWrap w:val="0"/>
            <w:vAlign w:val="center"/>
          </w:tcPr>
          <w:p w14:paraId="2D463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1、千兆光口≥24个，千兆电口≥8，万兆SFP+光口≥4个，扩展插槽≥1个；提供官网截图证明及链接</w:t>
            </w:r>
          </w:p>
          <w:p w14:paraId="17D6D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2、交换容量≥2Tbps，包转发率≥750Mpps，(如官网有多个参数，以最小值为准)；提供官网截图证明及链接</w:t>
            </w:r>
          </w:p>
          <w:p w14:paraId="6431E3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3、支持MAC地址自动学习；支持源MAC地址过滤；支持接口MAC地址学习个数限制；</w:t>
            </w:r>
          </w:p>
          <w:p w14:paraId="17624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4、支持防网关ARP欺骗，支持端口保护、隔离，支持防止DOS、ARP攻击功能，支持CPU保护功能；</w:t>
            </w:r>
          </w:p>
          <w:p w14:paraId="24094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5、支持M-LAG技术，跨设备链路聚合（非堆叠技术实现），要求配对的设备有独立的控制平面</w:t>
            </w:r>
          </w:p>
          <w:p w14:paraId="1878B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6、支持IEEE 802.3az 标准的 EEE节能技术：当EEE使能时，从而大幅度的减小端口在该阶段的功耗，达到了节能的目的。</w:t>
            </w:r>
          </w:p>
          <w:p w14:paraId="61652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7、支持智能交换机和普通交换机两种工作模式，可以根据不同的组网需要，随时在控制器平台灵活的进行切换；提供第三方权威检测报告；</w:t>
            </w:r>
          </w:p>
          <w:p w14:paraId="5512F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8、上线到管理平台的方式：支持二层广播自动发现平台；支持配置静态IP地址三层发现平台；支持DHCP Option43方式发现平台；支持DNS域名发现平台；</w:t>
            </w:r>
          </w:p>
          <w:p w14:paraId="55997F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9、支持通过平台查看交换机处于工作端口的最近5分钟、1小时、最近1天、最近1周发送与接收的流量趋势；提供功能截图证明；</w:t>
            </w:r>
          </w:p>
          <w:p w14:paraId="0EB72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10、支持终端类型库，可在平台上自动识别所接入的PC、路由器、摄像头设备等；</w:t>
            </w:r>
          </w:p>
          <w:p w14:paraId="76813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查看终端在交换机端口离线次数、闲置时间、离线趋势；支持查看安全事件记录、终端类型异常记录、终端在端口迁移次数、终端地址异常记录等安全事件的记录统计；支持查看终端的的历史接入交换机端口，终端的活跃状态；</w:t>
            </w:r>
          </w:p>
          <w:p w14:paraId="4A5CD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12、★为防止PC进行WiFi共享，交换机须支持禁止通过内网PC端进行私接随身WiFi共享；提供第三方权威检测报告加盖投标供应商公章；</w:t>
            </w:r>
          </w:p>
          <w:p w14:paraId="64A05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13、支持在交换机上创建东西向安全策略，实现全网安全风险拦截；提供第三方权威检测报告加盖投标供应商公章；</w:t>
            </w:r>
          </w:p>
          <w:p w14:paraId="210EE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14、★为满足网络安全建设需求，交换机需满足《信息安全技术 交换机安全技术要求 GA/T 684-2007》,符合安全交换机标准，提供与之对应的权威机构出具的检测报告加盖投标供应商公章；</w:t>
            </w:r>
          </w:p>
        </w:tc>
        <w:tc>
          <w:tcPr>
            <w:tcW w:w="728" w:type="dxa"/>
            <w:noWrap/>
            <w:vAlign w:val="center"/>
          </w:tcPr>
          <w:p w14:paraId="795C9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73E9D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22108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7C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B028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4FCFC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防火墙</w:t>
            </w:r>
          </w:p>
        </w:tc>
        <w:tc>
          <w:tcPr>
            <w:tcW w:w="5738" w:type="dxa"/>
            <w:noWrap w:val="0"/>
            <w:vAlign w:val="center"/>
          </w:tcPr>
          <w:p w14:paraId="602E4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1、性能参数: 网络层吞吐量≥2G，应用层吞叶量 ≥800M，防病毒吞吐≥300M，IPS吞叶量≥300M全威胁吞吐量≥ 250M，并发连接数≥ 80万，HTTP新建连接数≥ 2万,接口：支持不低于8千兆电口+2千兆光口；</w:t>
            </w:r>
          </w:p>
          <w:p w14:paraId="614EC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w:t>
            </w:r>
          </w:p>
          <w:p w14:paraId="162E2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3、支持路由、透明、虚拟网线、旁路镜像、混合等多种部署方式，适应复杂使用环境的接入要求；</w:t>
            </w:r>
          </w:p>
          <w:p w14:paraId="6E451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4、具备链路聚合功能，将2个或者更多物理链路组合成一个更高带宽的逻辑链路接口，提高链路带宽和链路可靠性；</w:t>
            </w:r>
          </w:p>
          <w:p w14:paraId="19754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5、具备ARP代理功能，对指定地址的ARP请求使用指定接口的MAC地址应答，实现保护内网主机；</w:t>
            </w:r>
          </w:p>
          <w:p w14:paraId="31405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6、支持基于对象、区域和地域维度设置安全访问控制策略，允许或拒绝特定国家或者地区的对象访问内部网络，保障业务重大时期安全可靠性；</w:t>
            </w:r>
          </w:p>
          <w:p w14:paraId="6D7D7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7、产品内置应用特征识别库，支持不少于9000种应用规则，支持对游戏、P2P下载工具、聊天工具、网上银行、视频软件、股票软件、木马控制软件等类型应用进行检测与控制。</w:t>
            </w:r>
          </w:p>
          <w:p w14:paraId="02DAE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8、具备基于国家/地区的流量管理功能，提供具有CNAS、CMA等同级别任一官方认证的第三方测试机构关于“国家/地区的流量管理”产品功能检测报告，或提供现场演示环境以证明此项功能满足业务需求；</w:t>
            </w:r>
          </w:p>
          <w:p w14:paraId="7FA104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9、支持产品支持对ICMP、UDP、DNS、SYN等协议进行DDOS防护，支持IP地址扫描和端口扫描攻击防护；</w:t>
            </w:r>
          </w:p>
          <w:p w14:paraId="5FCA9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支持勒索病毒检测与防御功能，为保障勒索病毒的防御效果，所投产品需提供具备CMA（中国国家认证认可监督管理委员会）、CNAS（中国合格评定国家认可委员会）认证的第三方权威机构关于“勒索软件通信防护”功能项的产品检测报告；或提供证明此项功能满足业务需求；</w:t>
            </w:r>
          </w:p>
          <w:p w14:paraId="0090A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11、产品内置IPS检测引擎，支持口令暴力破解、僵尸网络、恶意软件、服务器与终端漏洞攻击等检测和防护，支持超过10000种特征规则。（需提供产品功能截图证明）</w:t>
            </w:r>
          </w:p>
          <w:p w14:paraId="35AE6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12、支持应用控制策略生命周期管理，包含安全策略的变更时间、变更类型和策略变更用户，并对变更内容记录日志，方便策略的管理和运维；</w:t>
            </w:r>
          </w:p>
          <w:p w14:paraId="5CC1E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13、要求所投产品具备国家信息安全漏洞库兼容性资质证书，提供有效证书复印件。</w:t>
            </w:r>
          </w:p>
        </w:tc>
        <w:tc>
          <w:tcPr>
            <w:tcW w:w="728" w:type="dxa"/>
            <w:noWrap/>
            <w:vAlign w:val="center"/>
          </w:tcPr>
          <w:p w14:paraId="6DA45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3215C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355B76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F00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AEB7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26401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24口千兆POE交换机</w:t>
            </w:r>
          </w:p>
        </w:tc>
        <w:tc>
          <w:tcPr>
            <w:tcW w:w="5738" w:type="dxa"/>
            <w:noWrap w:val="0"/>
            <w:vAlign w:val="center"/>
          </w:tcPr>
          <w:p w14:paraId="16ED8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1、千兆POE电口≥24个， 千兆 SFP光口≥4个，Console口≥1个；提供官网截图及链接证明</w:t>
            </w:r>
          </w:p>
          <w:p w14:paraId="113FE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2、交换机性能：交换性能≥330Gbps；包转发率≥96Mpps，(如官网有多个参数，以最小值为准)；</w:t>
            </w:r>
          </w:p>
          <w:p w14:paraId="24854F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3、支持IEEE 802.3af/at供电标准，单端口最大输出功率≥30W，整机最大输出功率≥370W；</w:t>
            </w:r>
          </w:p>
          <w:p w14:paraId="060F4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4、支持IEEE 802.3az 标准的 EEE节能技术：当EEE使能时，从而大幅度的减小端口在该阶段的功耗，达到了节能的目的。</w:t>
            </w:r>
          </w:p>
          <w:p w14:paraId="1113CE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5、网络管理：支持SNMPv1/v2c/v3；支持WEB网管特性</w:t>
            </w:r>
          </w:p>
          <w:p w14:paraId="7A8E8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6、支持MAC地址自动学习、支持源MAC地址过滤、支持接口MAC地址学习个数限制</w:t>
            </w:r>
          </w:p>
          <w:p w14:paraId="21535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7、VLAN≥4K，组播条目≥500，MAC≥8K，ARP表≥2000</w:t>
            </w:r>
          </w:p>
          <w:p w14:paraId="4965F6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8、支持防网关ARP欺骗、支持端口保护、隔离，支持防止ARP攻击功能；支持CPU保护功能</w:t>
            </w:r>
          </w:p>
        </w:tc>
        <w:tc>
          <w:tcPr>
            <w:tcW w:w="728" w:type="dxa"/>
            <w:noWrap/>
            <w:vAlign w:val="center"/>
          </w:tcPr>
          <w:p w14:paraId="48BB5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534" w:type="dxa"/>
            <w:noWrap/>
            <w:vAlign w:val="center"/>
          </w:tcPr>
          <w:p w14:paraId="0F896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0F974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445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530" w:type="dxa"/>
            <w:noWrap w:val="0"/>
            <w:vAlign w:val="center"/>
          </w:tcPr>
          <w:p w14:paraId="5EC99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7344F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16口千兆POE交换机</w:t>
            </w:r>
          </w:p>
        </w:tc>
        <w:tc>
          <w:tcPr>
            <w:tcW w:w="5738" w:type="dxa"/>
            <w:noWrap w:val="0"/>
            <w:vAlign w:val="center"/>
          </w:tcPr>
          <w:p w14:paraId="2B398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1、千兆POE电口≥16个， 千兆 SFP光口≥4个，Console口≥1个；提供官网截图及链接证明</w:t>
            </w:r>
          </w:p>
          <w:p w14:paraId="590B2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2、交换机性能：交换性能≥330Gbps；包转发率≥96Mpps，(如官网有多个参数，以最小值为准)；</w:t>
            </w:r>
          </w:p>
          <w:p w14:paraId="69521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3、支持IEEE 802.3af/at供电标准，单端口最大输出功率≥30W，整机最大输出功率≥370W；</w:t>
            </w:r>
          </w:p>
          <w:p w14:paraId="6D00B4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4、支持IEEE 802.3az 标准的 EEE节能技术：当EEE使能时，从而大幅度的减小端口在该阶段的功耗，达到了节能的目的。</w:t>
            </w:r>
          </w:p>
          <w:p w14:paraId="5EDA7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5、网络管理：支持SNMPv1/v2c/v3；支持WEB网管特性</w:t>
            </w:r>
          </w:p>
          <w:p w14:paraId="6C16B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6、支持交换机端口设置为信任端口或非信任端口，非信任端口也可设置白名单响应DHCP报文</w:t>
            </w:r>
          </w:p>
        </w:tc>
        <w:tc>
          <w:tcPr>
            <w:tcW w:w="728" w:type="dxa"/>
            <w:noWrap/>
            <w:vAlign w:val="center"/>
          </w:tcPr>
          <w:p w14:paraId="02CE5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w:t>
            </w:r>
          </w:p>
        </w:tc>
        <w:tc>
          <w:tcPr>
            <w:tcW w:w="534" w:type="dxa"/>
            <w:noWrap/>
            <w:vAlign w:val="center"/>
          </w:tcPr>
          <w:p w14:paraId="57C10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601C9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BF5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7E6F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15</w:t>
            </w:r>
          </w:p>
        </w:tc>
        <w:tc>
          <w:tcPr>
            <w:tcW w:w="820" w:type="dxa"/>
            <w:noWrap w:val="0"/>
            <w:vAlign w:val="center"/>
          </w:tcPr>
          <w:p w14:paraId="2A1C7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8口交换机</w:t>
            </w:r>
          </w:p>
        </w:tc>
        <w:tc>
          <w:tcPr>
            <w:tcW w:w="5738" w:type="dxa"/>
            <w:noWrap w:val="0"/>
            <w:vAlign w:val="center"/>
          </w:tcPr>
          <w:p w14:paraId="77D55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8口千兆 千兆 SFP光口≥1个</w:t>
            </w:r>
          </w:p>
        </w:tc>
        <w:tc>
          <w:tcPr>
            <w:tcW w:w="728" w:type="dxa"/>
            <w:noWrap/>
            <w:vAlign w:val="center"/>
          </w:tcPr>
          <w:p w14:paraId="6DFF6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7</w:t>
            </w:r>
          </w:p>
        </w:tc>
        <w:tc>
          <w:tcPr>
            <w:tcW w:w="534" w:type="dxa"/>
            <w:noWrap/>
            <w:vAlign w:val="center"/>
          </w:tcPr>
          <w:p w14:paraId="17036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782F0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C8C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4692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16</w:t>
            </w:r>
          </w:p>
        </w:tc>
        <w:tc>
          <w:tcPr>
            <w:tcW w:w="820" w:type="dxa"/>
            <w:noWrap w:val="0"/>
            <w:vAlign w:val="center"/>
          </w:tcPr>
          <w:p w14:paraId="3FD44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48口千兆交换机</w:t>
            </w:r>
          </w:p>
        </w:tc>
        <w:tc>
          <w:tcPr>
            <w:tcW w:w="5738" w:type="dxa"/>
            <w:noWrap w:val="0"/>
            <w:vAlign w:val="center"/>
          </w:tcPr>
          <w:p w14:paraId="45B63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1、千兆电口≥48个，固化万兆光口≥4个，Console口≥1个，Manage口≥1个；提供官网截图及链接证明</w:t>
            </w:r>
          </w:p>
          <w:p w14:paraId="72967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2、交换机性能：交换性能≥330Gbps；包转发率≥90Mpps，(如官网有多个参数，以最小值为准)；提供官网截图及链接证明</w:t>
            </w:r>
          </w:p>
          <w:p w14:paraId="5DB17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3、支持IEEE 802.3az 标准的 EEE节能技术：当EEE使能时，从而大幅度的减小端口在该阶段的功耗，达到了节能的目的。</w:t>
            </w:r>
          </w:p>
          <w:p w14:paraId="5BD3A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4、网络管理：支持SNMPv1/v2c/v3；支持WEB网管特性</w:t>
            </w:r>
          </w:p>
          <w:p w14:paraId="32D49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5、支持交换机端口设置为信任端口或非信任端口，非信任端口也可设置白名单响应DHCP报文</w:t>
            </w:r>
          </w:p>
          <w:p w14:paraId="03DB6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6、支持STP、RSTP、MSTP协议</w:t>
            </w:r>
          </w:p>
          <w:p w14:paraId="37073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7、支持MAC地址自动学习、支持源MAC地址过滤、支持接口MAC地址学习个数限制</w:t>
            </w:r>
          </w:p>
        </w:tc>
        <w:tc>
          <w:tcPr>
            <w:tcW w:w="728" w:type="dxa"/>
            <w:noWrap/>
            <w:vAlign w:val="center"/>
          </w:tcPr>
          <w:p w14:paraId="5EAA3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w:t>
            </w:r>
          </w:p>
        </w:tc>
        <w:tc>
          <w:tcPr>
            <w:tcW w:w="534" w:type="dxa"/>
            <w:noWrap/>
            <w:vAlign w:val="center"/>
          </w:tcPr>
          <w:p w14:paraId="0D2A6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台</w:t>
            </w:r>
          </w:p>
        </w:tc>
        <w:tc>
          <w:tcPr>
            <w:tcW w:w="647" w:type="dxa"/>
            <w:noWrap/>
            <w:vAlign w:val="center"/>
          </w:tcPr>
          <w:p w14:paraId="1C633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5DD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B73F1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0BAAD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UPS电源</w:t>
            </w:r>
          </w:p>
        </w:tc>
        <w:tc>
          <w:tcPr>
            <w:tcW w:w="5738" w:type="dxa"/>
            <w:noWrap w:val="0"/>
            <w:vAlign w:val="center"/>
          </w:tcPr>
          <w:p w14:paraId="71F60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10KVA  UPS主机参数：</w:t>
            </w:r>
          </w:p>
          <w:p w14:paraId="2B00BE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1.单进单出纯在线式高频机，容量为10KVA/9KW;</w:t>
            </w:r>
          </w:p>
          <w:p w14:paraId="736BC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2.UPS具有RS232、Intelligent Slot （智能卡插槽）、USB等接口;</w:t>
            </w:r>
          </w:p>
          <w:p w14:paraId="6B2E7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3.LCD+LED的显示方式,LCD 液晶显示面板不小于2英寸;</w:t>
            </w:r>
          </w:p>
          <w:p w14:paraId="0188C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4.UPS的输入端、输出端对地施加500V直流电压时，绝缘电阻应&gt;2MΩ;</w:t>
            </w:r>
          </w:p>
          <w:p w14:paraId="3C85C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5.整流输入电压范围：120-270V。输入功率因数：满载时≥0.99;</w:t>
            </w:r>
          </w:p>
          <w:p w14:paraId="5FA6A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6.输出电压：220VAC;</w:t>
            </w:r>
          </w:p>
          <w:p w14:paraId="1B1C5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 110%&lt;Load≤130%维持1 分钟后输出转为旁路并报警；130%&lt;Load≤150%维持30S后输出转为旁路并过载报警；Load&gt;150%时立即转为旁路模式并报警;</w:t>
            </w:r>
          </w:p>
          <w:p w14:paraId="79CFF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8.UPS充电部分需具备过温保护功能,提供国家权威机构相应的证明，并对充电过温保护的技术做出详细技术说明。</w:t>
            </w:r>
          </w:p>
          <w:p w14:paraId="3011CC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 冷启动功能：UPS系统在没有交流电源输入但蓄电池组一直并联在直流母线的情况下，可直接启动UPS。</w:t>
            </w:r>
          </w:p>
          <w:p w14:paraId="19E088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10.★为保障UPS安全运行，所投产品需采用MOS管推挽式电路，投标时需提供具有检测资质机构出具检测报告或者提供国家权威检测机构所颁发的相关技术证明文件加盖投标供应商公章，内容涵盖技术要求。</w:t>
            </w:r>
          </w:p>
          <w:p w14:paraId="3C1DB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11.外壳保护要求：UPS保护接地装置与金属外壳的接地螺钉间应具有可靠的电气连接，其连接电阻应不大于0.1Ω;</w:t>
            </w:r>
          </w:p>
          <w:p w14:paraId="2D19C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12.产品通过：TLC认证、节能认证、CE认证、RoHS认证，投标时提供对应证书;</w:t>
            </w:r>
          </w:p>
        </w:tc>
        <w:tc>
          <w:tcPr>
            <w:tcW w:w="728" w:type="dxa"/>
            <w:noWrap/>
            <w:vAlign w:val="center"/>
          </w:tcPr>
          <w:p w14:paraId="0AE70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5E658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ign w:val="center"/>
          </w:tcPr>
          <w:p w14:paraId="5D7CB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5BB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EB75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0FE05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后备电池</w:t>
            </w:r>
          </w:p>
        </w:tc>
        <w:tc>
          <w:tcPr>
            <w:tcW w:w="5738" w:type="dxa"/>
            <w:noWrap w:val="0"/>
            <w:vAlign w:val="center"/>
          </w:tcPr>
          <w:p w14:paraId="6ADB8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1.12V100AH免维护铅酸蓄电池，与UPS主机同品牌。单个电池净重≥28KG。</w:t>
            </w:r>
          </w:p>
          <w:p w14:paraId="247DC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2.正常浮充状态下，电池寿命可达10年以上。</w:t>
            </w:r>
          </w:p>
          <w:p w14:paraId="0EDCAA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3.正常使用下无电解液漏出，无电池膨胀及破裂；</w:t>
            </w:r>
          </w:p>
          <w:p w14:paraId="5C7EFB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4.蓄电池需通过7、8、9烈度抗震性能测试，投标时提供7、8、9烈度抗震性能合格证书以及抗震检测报告。</w:t>
            </w:r>
          </w:p>
        </w:tc>
        <w:tc>
          <w:tcPr>
            <w:tcW w:w="728" w:type="dxa"/>
            <w:noWrap/>
            <w:vAlign w:val="center"/>
          </w:tcPr>
          <w:p w14:paraId="681C1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534" w:type="dxa"/>
            <w:noWrap/>
            <w:vAlign w:val="center"/>
          </w:tcPr>
          <w:p w14:paraId="32BA2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节</w:t>
            </w:r>
          </w:p>
        </w:tc>
        <w:tc>
          <w:tcPr>
            <w:tcW w:w="647" w:type="dxa"/>
            <w:noWrap/>
            <w:vAlign w:val="center"/>
          </w:tcPr>
          <w:p w14:paraId="2A835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F2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B456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19</w:t>
            </w:r>
          </w:p>
        </w:tc>
        <w:tc>
          <w:tcPr>
            <w:tcW w:w="820" w:type="dxa"/>
            <w:noWrap w:val="0"/>
            <w:vAlign w:val="center"/>
          </w:tcPr>
          <w:p w14:paraId="472FA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配电柜</w:t>
            </w:r>
          </w:p>
        </w:tc>
        <w:tc>
          <w:tcPr>
            <w:tcW w:w="5738" w:type="dxa"/>
            <w:noWrap w:val="0"/>
            <w:vAlign w:val="center"/>
          </w:tcPr>
          <w:p w14:paraId="285D3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电池柜</w:t>
            </w:r>
          </w:p>
        </w:tc>
        <w:tc>
          <w:tcPr>
            <w:tcW w:w="728" w:type="dxa"/>
            <w:noWrap/>
            <w:vAlign w:val="center"/>
          </w:tcPr>
          <w:p w14:paraId="4E8D2F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18D75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2E1F6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02B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34572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820" w:type="dxa"/>
            <w:noWrap w:val="0"/>
            <w:vAlign w:val="center"/>
          </w:tcPr>
          <w:p w14:paraId="4BBA3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配电箱</w:t>
            </w:r>
          </w:p>
        </w:tc>
        <w:tc>
          <w:tcPr>
            <w:tcW w:w="5738" w:type="dxa"/>
            <w:noWrap w:val="0"/>
            <w:vAlign w:val="center"/>
          </w:tcPr>
          <w:p w14:paraId="68936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UPS 配电箱</w:t>
            </w:r>
          </w:p>
        </w:tc>
        <w:tc>
          <w:tcPr>
            <w:tcW w:w="728" w:type="dxa"/>
            <w:noWrap/>
            <w:vAlign w:val="center"/>
          </w:tcPr>
          <w:p w14:paraId="3B8E8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3E928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485D5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4A3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3A990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820" w:type="dxa"/>
            <w:noWrap w:val="0"/>
            <w:vAlign w:val="center"/>
          </w:tcPr>
          <w:p w14:paraId="47713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UPS辅料</w:t>
            </w:r>
          </w:p>
        </w:tc>
        <w:tc>
          <w:tcPr>
            <w:tcW w:w="5738" w:type="dxa"/>
            <w:noWrap w:val="0"/>
            <w:vAlign w:val="center"/>
          </w:tcPr>
          <w:p w14:paraId="736EC57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UPS辅料</w:t>
            </w:r>
          </w:p>
        </w:tc>
        <w:tc>
          <w:tcPr>
            <w:tcW w:w="728" w:type="dxa"/>
            <w:noWrap/>
            <w:vAlign w:val="center"/>
          </w:tcPr>
          <w:p w14:paraId="7F96A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0C978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项</w:t>
            </w:r>
          </w:p>
        </w:tc>
        <w:tc>
          <w:tcPr>
            <w:tcW w:w="647" w:type="dxa"/>
            <w:noWrap/>
            <w:vAlign w:val="center"/>
          </w:tcPr>
          <w:p w14:paraId="2F824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7C4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72673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820" w:type="dxa"/>
            <w:noWrap w:val="0"/>
            <w:vAlign w:val="center"/>
          </w:tcPr>
          <w:p w14:paraId="067D3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网络线</w:t>
            </w:r>
          </w:p>
        </w:tc>
        <w:tc>
          <w:tcPr>
            <w:tcW w:w="5738" w:type="dxa"/>
            <w:noWrap w:val="0"/>
            <w:vAlign w:val="center"/>
          </w:tcPr>
          <w:p w14:paraId="00695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含施工费用</w:t>
            </w:r>
          </w:p>
        </w:tc>
        <w:tc>
          <w:tcPr>
            <w:tcW w:w="728" w:type="dxa"/>
            <w:noWrap/>
            <w:vAlign w:val="center"/>
          </w:tcPr>
          <w:p w14:paraId="05D59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499B6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ign w:val="center"/>
          </w:tcPr>
          <w:p w14:paraId="7C9F0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743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6B51C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820" w:type="dxa"/>
            <w:noWrap w:val="0"/>
            <w:vAlign w:val="center"/>
          </w:tcPr>
          <w:p w14:paraId="3F76E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施工辅材</w:t>
            </w:r>
          </w:p>
        </w:tc>
        <w:tc>
          <w:tcPr>
            <w:tcW w:w="5738" w:type="dxa"/>
            <w:noWrap w:val="0"/>
            <w:vAlign w:val="center"/>
          </w:tcPr>
          <w:p w14:paraId="23B724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包含管材及其他光缆线材等施工费用</w:t>
            </w:r>
          </w:p>
        </w:tc>
        <w:tc>
          <w:tcPr>
            <w:tcW w:w="728" w:type="dxa"/>
            <w:noWrap/>
            <w:vAlign w:val="center"/>
          </w:tcPr>
          <w:p w14:paraId="6A5B9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57A88F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ign w:val="center"/>
          </w:tcPr>
          <w:p w14:paraId="65E9C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B6D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000000" w:fill="DDEBF7"/>
            <w:noWrap w:val="0"/>
            <w:vAlign w:val="center"/>
          </w:tcPr>
          <w:p w14:paraId="700D6E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二、6楼大会议室605部分</w:t>
            </w:r>
          </w:p>
        </w:tc>
        <w:tc>
          <w:tcPr>
            <w:tcW w:w="647" w:type="dxa"/>
            <w:shd w:val="clear" w:color="000000" w:fill="DDEBF7"/>
            <w:noWrap w:val="0"/>
            <w:vAlign w:val="center"/>
          </w:tcPr>
          <w:p w14:paraId="2E1565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p>
        </w:tc>
      </w:tr>
      <w:tr w14:paraId="159C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6A83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3E923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5738" w:type="dxa"/>
            <w:noWrap w:val="0"/>
            <w:vAlign w:val="center"/>
          </w:tcPr>
          <w:p w14:paraId="09E66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1、不小于1×5"两分频同轴驱动单元；</w:t>
            </w:r>
          </w:p>
          <w:p w14:paraId="2B048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2、额定功率不小于150W/8Ω； </w:t>
            </w:r>
          </w:p>
          <w:p w14:paraId="43576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3、特性灵敏度不小于92dB/1w/1m（有效频响范围平均）</w:t>
            </w:r>
          </w:p>
          <w:p w14:paraId="1DE47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4、最大声压级不小于120dB</w:t>
            </w:r>
          </w:p>
          <w:p w14:paraId="1CA73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5、额定频率范围（-10dB）100Hz-18KHz；</w:t>
            </w:r>
          </w:p>
          <w:p w14:paraId="4E5A4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6、覆盖角度(H×V)：70°×70°</w:t>
            </w:r>
          </w:p>
          <w:p w14:paraId="1EFFF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7、考虑嵌入式隐藏安装空间，箱体尺寸不大于195(高)×175(宽)×175(深)</w:t>
            </w:r>
          </w:p>
          <w:p w14:paraId="2477F1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8、扬声器系统采用波阵面修正号角（提供国家权威检测机构所颁发的相关技术证明文件并加盖投标供应商公章）</w:t>
            </w:r>
          </w:p>
          <w:p w14:paraId="775FB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9、为保证项目质量、技术性能真实性，技术参数第3项应出具内容相符合的KLIPPEL、CLIO、LMS、B&amp;K或同类型声学开发测量软件在全消声室或半自由声场内的特性灵敏度测试响应曲线图（加盖供应商公章）。 </w:t>
            </w:r>
          </w:p>
        </w:tc>
        <w:tc>
          <w:tcPr>
            <w:tcW w:w="728" w:type="dxa"/>
            <w:noWrap/>
            <w:vAlign w:val="center"/>
          </w:tcPr>
          <w:p w14:paraId="6792A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4" w:type="dxa"/>
            <w:noWrap/>
            <w:vAlign w:val="center"/>
          </w:tcPr>
          <w:p w14:paraId="43D21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ign w:val="center"/>
          </w:tcPr>
          <w:p w14:paraId="0DE175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F10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5E2E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40888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5738" w:type="dxa"/>
            <w:noWrap w:val="0"/>
            <w:vAlign w:val="center"/>
          </w:tcPr>
          <w:p w14:paraId="733CD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1、适应不同场合所需，可选立体声或桥接工作模式。</w:t>
            </w:r>
          </w:p>
          <w:p w14:paraId="06DE2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2、具有高通、低通和直通选择功能，通过高、低通设置，可方便的构成电子分频系统，可不需要再使用电子分频器。</w:t>
            </w:r>
          </w:p>
          <w:p w14:paraId="2C4FE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3、开机软启动，有效防止浪涌冲击。</w:t>
            </w:r>
          </w:p>
          <w:p w14:paraId="4D1FD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4、标准XLR+TRS1/4” 输入接口。</w:t>
            </w:r>
          </w:p>
          <w:p w14:paraId="67CDA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5、智能控制强制散热设计。</w:t>
            </w:r>
          </w:p>
          <w:p w14:paraId="3A128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6、安全性保护功能：具备宽电压自动适应压缩保护功能（提供国家权威机构所颁发的相关技术证明文件并加盖投标供应商公章）</w:t>
            </w:r>
          </w:p>
          <w:p w14:paraId="4C6BB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7、额定功率：≥4×150W/8Ω ≥ 4×220W/4Ω ≥ 2×440W/8Ω桥接 ；</w:t>
            </w:r>
          </w:p>
          <w:p w14:paraId="5CF03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8、频率响应: 20Hz～20KHz±1dB ；</w:t>
            </w:r>
          </w:p>
          <w:p w14:paraId="0C60E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9、总谐波失真：≤0.5% ；</w:t>
            </w:r>
          </w:p>
          <w:p w14:paraId="0080B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10、输入灵敏度：0dB(775mv) ；</w:t>
            </w:r>
          </w:p>
          <w:p w14:paraId="7E70B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11、输入阻抗：平衡20KΩ，不平衡10KΩ； </w:t>
            </w:r>
          </w:p>
          <w:p w14:paraId="14844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12、信噪比（a计权）：≥93dB ；</w:t>
            </w:r>
          </w:p>
          <w:p w14:paraId="79B9D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13、净尺寸（宽×高×深）：≤480×450×115mm； </w:t>
            </w:r>
          </w:p>
          <w:p w14:paraId="3770F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8" w:type="dxa"/>
            <w:noWrap/>
            <w:vAlign w:val="center"/>
          </w:tcPr>
          <w:p w14:paraId="75014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52EA6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7CFE81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4D1F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B1F4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5A7F9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5738" w:type="dxa"/>
            <w:noWrap w:val="0"/>
            <w:vAlign w:val="center"/>
          </w:tcPr>
          <w:p w14:paraId="153DC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1、不少于8路MIC/LINE（COMBO XLR接口），不少于2组立体声输入（XLR接口），不少于1组立体声RCA输入，不少于1组返回输入（2路 6.35接口）不少于1路USB输入；</w:t>
            </w:r>
          </w:p>
          <w:p w14:paraId="6FFF1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2、不少于8路插入点（6.35接口）</w:t>
            </w:r>
          </w:p>
          <w:p w14:paraId="0918A1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3、不少于两组立体声输出，不少于2路编组输出，不少于2路辅助输出，不少于1路立体声监听输出，不少于1路立体声耳机输出，不少于1组立体声录音输出；</w:t>
            </w:r>
          </w:p>
          <w:p w14:paraId="2E1581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4、效果可以发送至辅助输出，编组输出与立体声输出；</w:t>
            </w:r>
          </w:p>
          <w:p w14:paraId="2FA4E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5、多媒体输入可以发送至辅助输出、编组输出与立体声输出；</w:t>
            </w:r>
          </w:p>
          <w:p w14:paraId="069578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6、每路话放带低切功能；</w:t>
            </w:r>
          </w:p>
          <w:p w14:paraId="112F5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7、不少于两路输入内置反馈抑制功能；</w:t>
            </w:r>
          </w:p>
          <w:p w14:paraId="55C29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8、支持蓝牙接收功能；</w:t>
            </w:r>
          </w:p>
          <w:p w14:paraId="2244B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9、内置99种DSP效果器；</w:t>
            </w:r>
          </w:p>
          <w:p w14:paraId="21321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10、每路单通道三段均衡，中频带参量EQ；</w:t>
            </w:r>
          </w:p>
          <w:p w14:paraId="61C6E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11、主输出7段图示均衡器；</w:t>
            </w:r>
          </w:p>
          <w:p w14:paraId="000C5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12、≥14个60mm行程推子；</w:t>
            </w:r>
          </w:p>
        </w:tc>
        <w:tc>
          <w:tcPr>
            <w:tcW w:w="728" w:type="dxa"/>
            <w:noWrap/>
            <w:vAlign w:val="center"/>
          </w:tcPr>
          <w:p w14:paraId="490B9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0ED32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06ADEF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484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75C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07AF6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5738" w:type="dxa"/>
            <w:noWrap w:val="0"/>
            <w:vAlign w:val="center"/>
          </w:tcPr>
          <w:p w14:paraId="0EB08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1、它采用回音抵消和消除混响的算法，有效滤除房间混响，从而实现消除声学反馈的目的。</w:t>
            </w:r>
          </w:p>
          <w:p w14:paraId="4F6DF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2、任何使用情况下都可获得6dB的增益最高达12dB</w:t>
            </w:r>
          </w:p>
          <w:p w14:paraId="7DE254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3、不少于十路卡侬口输入,每路麦克风独立幻像48V开关（提供产品实物功能接口图并加盖投标供应商公章）</w:t>
            </w:r>
          </w:p>
          <w:p w14:paraId="3A19B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4、MUSIC输入RCA口</w:t>
            </w:r>
          </w:p>
          <w:p w14:paraId="531AA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6、AUX输入RCA口</w:t>
            </w:r>
          </w:p>
          <w:p w14:paraId="3EB39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6、AUX输出RCA口</w:t>
            </w:r>
          </w:p>
          <w:p w14:paraId="0ECC2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7、独具录播音频RCA输出口</w:t>
            </w:r>
          </w:p>
          <w:p w14:paraId="53875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8、两路OUTPUT音频输出</w:t>
            </w:r>
          </w:p>
          <w:p w14:paraId="5233C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9、OUTPUT输出音调前置调节</w:t>
            </w:r>
          </w:p>
        </w:tc>
        <w:tc>
          <w:tcPr>
            <w:tcW w:w="728" w:type="dxa"/>
            <w:noWrap/>
            <w:vAlign w:val="center"/>
          </w:tcPr>
          <w:p w14:paraId="0647B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7ACCC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6874B3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16F0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070C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76239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会议主机</w:t>
            </w:r>
          </w:p>
        </w:tc>
        <w:tc>
          <w:tcPr>
            <w:tcW w:w="5738" w:type="dxa"/>
            <w:noWrap w:val="0"/>
            <w:vAlign w:val="center"/>
          </w:tcPr>
          <w:p w14:paraId="37771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1、会议主机支持无线传输与有线传输2种方式，无线会议单元与有线会议单元可以共用一个系统；</w:t>
            </w:r>
          </w:p>
          <w:p w14:paraId="554F1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2、会议主机具有LCD显示屏，分级菜单显示，且有电量显示、欠压警告、频率信道和信号指示等显示功能；</w:t>
            </w:r>
          </w:p>
          <w:p w14:paraId="47EA2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3、会议系统具有轮替模式、限制模式、主席专有多种会议发言模式；</w:t>
            </w:r>
          </w:p>
          <w:p w14:paraId="3A0B0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4、会议主机自带视像跟踪模块，实现会议单元的视像跟踪功能；</w:t>
            </w:r>
          </w:p>
          <w:p w14:paraId="76C182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5、单台会议主机可挂载≦255席表决单元或≦1000席发言单元同时进行会议；</w:t>
            </w:r>
          </w:p>
          <w:p w14:paraId="599D2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6、会议主机可外接8芯转换盒，实现有线列席单元供电及音频通讯8芯电缆方式传送；</w:t>
            </w:r>
          </w:p>
          <w:p w14:paraId="2CCEA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7、会议主机支持无线方式单元采用FM调频方式实现声音信号传输，音频信道和控制信道皆采用无线方式传送，高保真，信噪比高，无声音延时；</w:t>
            </w:r>
          </w:p>
          <w:p w14:paraId="12F1D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会议主机具有≥4路ANT信号接口、≥1路RS232接口、≥1路无线单元音频输出接口、≥1路有线单元音频输出接口、≥1路移频功能开关，≥1路音频混合输出接口、≥1路音频混合平衡输出接口、≥3个网络接口，≥1路USB音频接口（提供产品实物功能接口图并加盖投标供应商公章）</w:t>
            </w:r>
          </w:p>
          <w:p w14:paraId="2DB60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会议主机支持在有线无线单元混合使用情况下，将有线单元与无线单元音频信号分开输出，分别具有独立的音频输出接口；（提供国家权威机构出具的检测报告扫描件并加盖投标供应商公章，报告含“CMA”、“CNAS”、“ilac-MRA”认证）</w:t>
            </w:r>
          </w:p>
          <w:p w14:paraId="2A004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10、电源输入： DC12V-15V，1A-2A；</w:t>
            </w:r>
          </w:p>
          <w:p w14:paraId="4C595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11、消耗功率： &lt; 7W</w:t>
            </w:r>
          </w:p>
        </w:tc>
        <w:tc>
          <w:tcPr>
            <w:tcW w:w="728" w:type="dxa"/>
            <w:noWrap/>
            <w:vAlign w:val="center"/>
          </w:tcPr>
          <w:p w14:paraId="499A3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774A2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4618EC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5987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910D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732B4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主席单元(无线)</w:t>
            </w:r>
          </w:p>
        </w:tc>
        <w:tc>
          <w:tcPr>
            <w:tcW w:w="5738" w:type="dxa"/>
            <w:noWrap w:val="0"/>
            <w:vAlign w:val="center"/>
          </w:tcPr>
          <w:p w14:paraId="34964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4F945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2、主席话筒具有主席优先功能键，可一键关闭所有代表话筒</w:t>
            </w:r>
          </w:p>
          <w:p w14:paraId="28519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3、单元具有抗手机、电磁、高频干扰能力；</w:t>
            </w:r>
          </w:p>
          <w:p w14:paraId="7CA7F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4、LCD显示屏，可显示话筒状态及系统菜单；</w:t>
            </w:r>
          </w:p>
          <w:p w14:paraId="70A21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5、会议单元具有独立电源开关键，智能电路管理电池电量、具有实时电量显示；</w:t>
            </w:r>
          </w:p>
          <w:p w14:paraId="67836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6、具有话筒开关按键，按下开关键咪管指示灯环亮，话筒为开启状态；</w:t>
            </w:r>
          </w:p>
          <w:p w14:paraId="5545C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7、★单元具有至少5个表决操作功能按键，配合会议系统专用管理软件具有投票、表决类功能；（提供产品实物功能接口图）</w:t>
            </w:r>
          </w:p>
          <w:p w14:paraId="7FBC5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8、单元采用专用充电锂电池供电方式，超低功耗，列席单元大于8小时的连续发言时间和大于20小时的待机时间；</w:t>
            </w:r>
          </w:p>
          <w:p w14:paraId="15C2C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9、音频通信方式：超高频无线电波</w:t>
            </w:r>
          </w:p>
          <w:p w14:paraId="64597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10、咪管长度：240mm</w:t>
            </w:r>
          </w:p>
        </w:tc>
        <w:tc>
          <w:tcPr>
            <w:tcW w:w="728" w:type="dxa"/>
            <w:noWrap/>
            <w:vAlign w:val="center"/>
          </w:tcPr>
          <w:p w14:paraId="27160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2CAA4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ign w:val="center"/>
          </w:tcPr>
          <w:p w14:paraId="74D28B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2D84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FF42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49F9A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客席单元(无线)</w:t>
            </w:r>
          </w:p>
        </w:tc>
        <w:tc>
          <w:tcPr>
            <w:tcW w:w="5738" w:type="dxa"/>
            <w:noWrap w:val="0"/>
            <w:vAlign w:val="center"/>
          </w:tcPr>
          <w:p w14:paraId="74BA6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43D71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2、单元具有抗手机、电磁、高频干扰能力；</w:t>
            </w:r>
          </w:p>
          <w:p w14:paraId="5E882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3、LCD显示屏，可显示话筒状态及系统菜单；</w:t>
            </w:r>
          </w:p>
          <w:p w14:paraId="4B72B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4、会议单元具有独立电源开关键，智能电路管理电池电量、具有实时电量显示；</w:t>
            </w:r>
          </w:p>
          <w:p w14:paraId="707E6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5、具有话筒开关按键，按下开关键咪管指示灯环亮，话筒为开启状态；</w:t>
            </w:r>
          </w:p>
          <w:p w14:paraId="5C5E5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6、单元具有至少5个表决操作功能按键，配合会议系统专用管理软件具有投票、表决类功能；</w:t>
            </w:r>
          </w:p>
          <w:p w14:paraId="27849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7、单元采用专用充电锂电池供电方式，超低功耗，列席单元大于8小时的连续发言时间和大于20小时的待机时间；</w:t>
            </w:r>
          </w:p>
          <w:p w14:paraId="11B3D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8、咪管长度：240mm</w:t>
            </w:r>
          </w:p>
        </w:tc>
        <w:tc>
          <w:tcPr>
            <w:tcW w:w="728" w:type="dxa"/>
            <w:noWrap/>
            <w:vAlign w:val="center"/>
          </w:tcPr>
          <w:p w14:paraId="00FBC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34" w:type="dxa"/>
            <w:noWrap/>
            <w:vAlign w:val="center"/>
          </w:tcPr>
          <w:p w14:paraId="0CA1E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ign w:val="center"/>
          </w:tcPr>
          <w:p w14:paraId="7B54F4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5E4E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26DA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5AB45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5738" w:type="dxa"/>
            <w:noWrap w:val="0"/>
            <w:vAlign w:val="center"/>
          </w:tcPr>
          <w:p w14:paraId="13820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1、具有HDMI输出接口≥1路、USB3.0接口≥1路，支持同时输出1080P60视频；</w:t>
            </w:r>
          </w:p>
          <w:p w14:paraId="587DC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2、有效像素≥207万，视频分辨率支持1920*1080P60;支持广角镜头≥72.5°、光学变焦≥12倍，数字变焦≥16倍，水平视场角72.5°-6.9°；</w:t>
            </w:r>
          </w:p>
          <w:p w14:paraId="7B950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3、支持图像冻结功能和图像翻转功能；</w:t>
            </w:r>
          </w:p>
          <w:p w14:paraId="6C73A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4、支持UVC协议控制PTZ（云台、变焦）操作；内置麦克风，拾音距离长达6米，高灵敏度，低底噪；支持RS232控制协议，对摄像机进行控制；</w:t>
            </w:r>
          </w:p>
          <w:p w14:paraId="09821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5、输入电压DC12V、输入电流12V 1.5A，最大功耗12W。</w:t>
            </w:r>
          </w:p>
        </w:tc>
        <w:tc>
          <w:tcPr>
            <w:tcW w:w="728" w:type="dxa"/>
            <w:noWrap/>
            <w:vAlign w:val="center"/>
          </w:tcPr>
          <w:p w14:paraId="6AA5F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516A1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569939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46C0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472A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28F33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充电箱</w:t>
            </w:r>
          </w:p>
        </w:tc>
        <w:tc>
          <w:tcPr>
            <w:tcW w:w="5738" w:type="dxa"/>
            <w:noWrap w:val="0"/>
            <w:vAlign w:val="center"/>
          </w:tcPr>
          <w:p w14:paraId="03995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专用充电箱，可同时为不少于16只单元电池充电</w:t>
            </w:r>
          </w:p>
        </w:tc>
        <w:tc>
          <w:tcPr>
            <w:tcW w:w="728" w:type="dxa"/>
            <w:noWrap/>
            <w:vAlign w:val="center"/>
          </w:tcPr>
          <w:p w14:paraId="10ABB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3BEDD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ign w:val="center"/>
          </w:tcPr>
          <w:p w14:paraId="1187C6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7524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AF68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03832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5738" w:type="dxa"/>
            <w:noWrap w:val="0"/>
            <w:vAlign w:val="center"/>
          </w:tcPr>
          <w:p w14:paraId="31979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6A311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071DF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7930AF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068D1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72631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728" w:type="dxa"/>
            <w:noWrap/>
            <w:vAlign w:val="center"/>
          </w:tcPr>
          <w:p w14:paraId="5DAD6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36EA8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11328C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3BA4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5C07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503C0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738" w:type="dxa"/>
            <w:noWrap w:val="0"/>
            <w:vAlign w:val="center"/>
          </w:tcPr>
          <w:p w14:paraId="1EF9A954">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1、不少于8路可控电源（国标五孔插座）</w:t>
            </w:r>
          </w:p>
          <w:p w14:paraId="1AD676BF">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2、单通道最大输出电流不小于10A；</w:t>
            </w:r>
          </w:p>
          <w:p w14:paraId="065FD8FA">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3、额定总输出电源不小于25A；内置25A电源滤波器；总电源带空气开关；</w:t>
            </w:r>
          </w:p>
          <w:p w14:paraId="6CA04C1A">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4、针对不同设备启动时间，每路电源开关时间支持不小于60秒设定</w:t>
            </w:r>
          </w:p>
          <w:p w14:paraId="46F71413">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5、前面板带市电电压显示</w:t>
            </w:r>
          </w:p>
          <w:p w14:paraId="46C93EC4">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6、不少于24组用户存储模式</w:t>
            </w:r>
          </w:p>
          <w:p w14:paraId="7441911F">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7、设备支持手动、PC、安卓移动端控制，</w:t>
            </w:r>
          </w:p>
          <w:p w14:paraId="1B9518A6">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8、控制接口不少于1路RS232、1路RJ45。</w:t>
            </w:r>
          </w:p>
          <w:p w14:paraId="53524DC0">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9、设备支持物联网远程控制。</w:t>
            </w:r>
          </w:p>
        </w:tc>
        <w:tc>
          <w:tcPr>
            <w:tcW w:w="728" w:type="dxa"/>
            <w:noWrap/>
            <w:vAlign w:val="center"/>
          </w:tcPr>
          <w:p w14:paraId="2C80E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2365A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47" w:type="dxa"/>
            <w:noWrap/>
            <w:vAlign w:val="center"/>
          </w:tcPr>
          <w:p w14:paraId="339F59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1D17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3902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0A71F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5738" w:type="dxa"/>
            <w:noWrap w:val="0"/>
            <w:vAlign w:val="center"/>
          </w:tcPr>
          <w:p w14:paraId="5151F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包含管材、线材、机柜及施工等</w:t>
            </w:r>
          </w:p>
        </w:tc>
        <w:tc>
          <w:tcPr>
            <w:tcW w:w="728" w:type="dxa"/>
            <w:noWrap/>
            <w:vAlign w:val="center"/>
          </w:tcPr>
          <w:p w14:paraId="6EA4604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34" w:type="dxa"/>
            <w:noWrap/>
            <w:vAlign w:val="center"/>
          </w:tcPr>
          <w:p w14:paraId="1F0829B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批</w:t>
            </w:r>
          </w:p>
        </w:tc>
        <w:tc>
          <w:tcPr>
            <w:tcW w:w="647" w:type="dxa"/>
            <w:noWrap/>
            <w:vAlign w:val="center"/>
          </w:tcPr>
          <w:p w14:paraId="6A0FF080">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color w:val="auto"/>
                <w:sz w:val="18"/>
                <w:szCs w:val="18"/>
                <w:highlight w:val="none"/>
              </w:rPr>
            </w:pPr>
          </w:p>
        </w:tc>
      </w:tr>
      <w:tr w14:paraId="2378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E177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0C1B2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5738" w:type="dxa"/>
            <w:noWrap w:val="0"/>
            <w:vAlign w:val="center"/>
          </w:tcPr>
          <w:p w14:paraId="5F75D22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1、像数间距：≤1.86mm；单元板尺寸：320mm* 160mm；显示屏尺寸：长4.48m*高1.92m</w:t>
            </w:r>
          </w:p>
          <w:p w14:paraId="0FB4BDA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2、投标产品具有整屏平整度≤0.05mm,单元平整度≤0.05mm；模组间拼缝≤0.2mm；刷新率≥3840Hz。</w:t>
            </w:r>
          </w:p>
          <w:p w14:paraId="17E2BEA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3、PCB 采用 FR-4材质，灯驱合一，电路采用多层设计，符合多层电路板沉金工艺设计，具有消隐，节能处理，EMC处理保证单模块的稳定性和抗氧化性</w:t>
            </w:r>
          </w:p>
          <w:p w14:paraId="05369AF1">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4、表面处理:可支持灯板表面进行AOB处理，有致密性纳米涂层，有效隔绝水汽，对灯珠形成有效防护，可支持喷墨工艺，且低反射率的 LED 灯板</w:t>
            </w:r>
          </w:p>
          <w:p w14:paraId="26D36A5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5、色彩:16Bit,281万亿色，色域覆盖率100%,NTSC色域覆盖率≥120%上，YLV（PAL)色域覆盖率≥170%，支持BT.2020,DCI.P3,BT.709,sRGB等多种色域转换</w:t>
            </w:r>
          </w:p>
          <w:p w14:paraId="7B11325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6、亮度与视角关系：中央亮度为100cd/㎡白场时，水平视角80°时亮度衰减率≤10%,垂直视角60°时亮度衰减率≤10%</w:t>
            </w:r>
          </w:p>
          <w:p w14:paraId="7A6B3E3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7、噪声：前、后、左、右噪声均不超过2.0dB</w:t>
            </w:r>
          </w:p>
          <w:p w14:paraId="29A7AB0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8、峰值功耗：≤610w/㎡；典型功耗：≤310w/㎡；供电电压≤DC4.2～5V；电流增益调节级别≥7位</w:t>
            </w:r>
          </w:p>
        </w:tc>
        <w:tc>
          <w:tcPr>
            <w:tcW w:w="728" w:type="dxa"/>
            <w:noWrap/>
            <w:vAlign w:val="center"/>
          </w:tcPr>
          <w:p w14:paraId="27DA1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534" w:type="dxa"/>
            <w:noWrap/>
            <w:vAlign w:val="center"/>
          </w:tcPr>
          <w:p w14:paraId="0F8A1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ign w:val="center"/>
          </w:tcPr>
          <w:p w14:paraId="384109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0D93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AABE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656B5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5738" w:type="dxa"/>
            <w:noWrap w:val="0"/>
            <w:vAlign w:val="center"/>
          </w:tcPr>
          <w:p w14:paraId="560BC8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728" w:type="dxa"/>
            <w:noWrap/>
            <w:vAlign w:val="center"/>
          </w:tcPr>
          <w:p w14:paraId="49455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534" w:type="dxa"/>
            <w:noWrap/>
            <w:vAlign w:val="center"/>
          </w:tcPr>
          <w:p w14:paraId="72A86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23E095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43B2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154E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5A3F9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接收卡</w:t>
            </w:r>
          </w:p>
        </w:tc>
        <w:tc>
          <w:tcPr>
            <w:tcW w:w="5738" w:type="dxa"/>
            <w:noWrap w:val="0"/>
            <w:vAlign w:val="center"/>
          </w:tcPr>
          <w:p w14:paraId="40F27D3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1.支持逐点亮色度校正，可以对每个灯点的亮度和色度进项校正，有效消除色差，使整屏的亮度和速度达到高度均匀一致，提高显示屏的画质。</w:t>
            </w:r>
          </w:p>
          <w:p w14:paraId="5B1C282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2.投标时提供一种接收卡的实用新型证书</w:t>
            </w:r>
          </w:p>
          <w:p w14:paraId="3BF1CAA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3.快速亮暗线调节在调试软件上进行快速亮暗线调节，快速解决因箱体及模组拼接造成的显示屏亮暗线，调节过程中即时生效，简单易用。</w:t>
            </w:r>
          </w:p>
          <w:p w14:paraId="6C5DCFC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4.可以将指定图片设置为显示屏的开机、网线断开或无视频源信号时的画面或者最后一帧画面。</w:t>
            </w:r>
          </w:p>
          <w:p w14:paraId="67FDB7D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5.可以监测自身的温度和电压，无需其他外设，在软件上可以查看接收卡的温度和电压。</w:t>
            </w:r>
          </w:p>
          <w:p w14:paraId="441752B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6.检测发送设备与接收卡间或接收卡与接收卡间的网络通讯质量，记录错误包数，协助排除网络通讯隐患。</w:t>
            </w:r>
          </w:p>
          <w:p w14:paraId="0051F9B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7.支持5pin液晶模块，用于显示接收卡的温度、电压、单次运行时间和总运行时间。</w:t>
            </w:r>
          </w:p>
          <w:p w14:paraId="0EBE0BC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8.支持千兆网，可通过网线直接连接到PC端进行调试和显示，无需发送卡。</w:t>
            </w:r>
          </w:p>
          <w:p w14:paraId="7CE80F80">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.为保证系统的兼容性及稳定性控制系统需与LED显示屏为同一品牌，投标时提供证明文件</w:t>
            </w:r>
          </w:p>
        </w:tc>
        <w:tc>
          <w:tcPr>
            <w:tcW w:w="728" w:type="dxa"/>
            <w:noWrap/>
            <w:vAlign w:val="center"/>
          </w:tcPr>
          <w:p w14:paraId="2E2C2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34" w:type="dxa"/>
            <w:noWrap/>
            <w:vAlign w:val="center"/>
          </w:tcPr>
          <w:p w14:paraId="6CB20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647" w:type="dxa"/>
            <w:noWrap/>
            <w:vAlign w:val="center"/>
          </w:tcPr>
          <w:p w14:paraId="51F883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23AA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1CC7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6093B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738" w:type="dxa"/>
            <w:noWrap w:val="0"/>
            <w:vAlign w:val="center"/>
          </w:tcPr>
          <w:p w14:paraId="56B91C6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1、输入接口：支持2路HDMI，1路DVI</w:t>
            </w:r>
          </w:p>
          <w:p w14:paraId="46A9543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2、带载能力：视频输出支持6个千兆网口输出，最大带载高达390万像素</w:t>
            </w:r>
          </w:p>
          <w:p w14:paraId="64826BF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3.无需电脑，支持通过设备旋转按钮快捷配屏和高级配屏功能点亮屏体，简单操作即可完成屏体配置。</w:t>
            </w:r>
          </w:p>
          <w:p w14:paraId="5374C98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为保证系统的兼容性和稳定性，发送卡和视频处理器为二合一产品。</w:t>
            </w:r>
          </w:p>
          <w:p w14:paraId="6CB262F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.设备前面板配备液晶面板，可实时显示设备型号，ip地址，窗口和信号源的分辨率及状态信息，输出网口的状态，屏幕大小，帧屏信息，设备同步模式展示，USB连接或网线连接状态，屏体亮度。</w:t>
            </w:r>
          </w:p>
          <w:p w14:paraId="1D1A444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主界面下，按下旋钮进入菜单操作界面。菜单操作界面下，旋转旋钮旋转菜单，按下旋钮选定当前菜单或者进入子菜单。选定带有参数的菜单后可以通过旋转旋钮调节参数，调节完成后需要再次按下旋钮进行确认。</w:t>
            </w:r>
          </w:p>
          <w:p w14:paraId="1C6FD69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.无需电脑，FREEZE画面冻结按键可以快捷冻结画面。</w:t>
            </w:r>
          </w:p>
        </w:tc>
        <w:tc>
          <w:tcPr>
            <w:tcW w:w="728" w:type="dxa"/>
            <w:noWrap/>
            <w:vAlign w:val="center"/>
          </w:tcPr>
          <w:p w14:paraId="5C80D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5404D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475024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18"/>
                <w:szCs w:val="18"/>
                <w:highlight w:val="none"/>
                <w:u w:val="none"/>
                <w:lang w:val="en-US" w:eastAsia="zh-CN" w:bidi="ar"/>
              </w:rPr>
            </w:pPr>
          </w:p>
        </w:tc>
      </w:tr>
      <w:tr w14:paraId="0338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A24B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6230E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738" w:type="dxa"/>
            <w:noWrap w:val="0"/>
            <w:vAlign w:val="center"/>
          </w:tcPr>
          <w:p w14:paraId="48624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728" w:type="dxa"/>
            <w:noWrap/>
            <w:vAlign w:val="center"/>
          </w:tcPr>
          <w:p w14:paraId="65457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08E47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ign w:val="center"/>
          </w:tcPr>
          <w:p w14:paraId="6FA6E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263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C59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730587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5738" w:type="dxa"/>
            <w:noWrap w:val="0"/>
            <w:vAlign w:val="center"/>
          </w:tcPr>
          <w:p w14:paraId="7274D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按实际所用功率进行定制                                                                                                                                                           </w:t>
            </w:r>
          </w:p>
        </w:tc>
        <w:tc>
          <w:tcPr>
            <w:tcW w:w="728" w:type="dxa"/>
            <w:noWrap/>
            <w:vAlign w:val="center"/>
          </w:tcPr>
          <w:p w14:paraId="3844A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612B0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ign w:val="center"/>
          </w:tcPr>
          <w:p w14:paraId="02FB3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7FE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42E2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820" w:type="dxa"/>
            <w:noWrap w:val="0"/>
            <w:vAlign w:val="center"/>
          </w:tcPr>
          <w:p w14:paraId="3B138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5738" w:type="dxa"/>
            <w:noWrap w:val="0"/>
            <w:vAlign w:val="center"/>
          </w:tcPr>
          <w:p w14:paraId="2C39A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专业安装及调试</w:t>
            </w:r>
          </w:p>
        </w:tc>
        <w:tc>
          <w:tcPr>
            <w:tcW w:w="728" w:type="dxa"/>
            <w:noWrap/>
            <w:vAlign w:val="center"/>
          </w:tcPr>
          <w:p w14:paraId="086B3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534" w:type="dxa"/>
            <w:noWrap/>
            <w:vAlign w:val="center"/>
          </w:tcPr>
          <w:p w14:paraId="26EA5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ign w:val="center"/>
          </w:tcPr>
          <w:p w14:paraId="3BCBC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5F5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1942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20" w:type="dxa"/>
            <w:noWrap w:val="0"/>
            <w:vAlign w:val="center"/>
          </w:tcPr>
          <w:p w14:paraId="558F2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5738" w:type="dxa"/>
            <w:noWrap w:val="0"/>
            <w:vAlign w:val="center"/>
          </w:tcPr>
          <w:p w14:paraId="3A626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定制结构、框架，满足屏体安装使用需求，用材符合国家标准；外框、包边根据采购人实际使用环境进行定制，保证整体装饰美观大方；</w:t>
            </w:r>
          </w:p>
        </w:tc>
        <w:tc>
          <w:tcPr>
            <w:tcW w:w="728" w:type="dxa"/>
            <w:noWrap/>
            <w:vAlign w:val="center"/>
          </w:tcPr>
          <w:p w14:paraId="7B1BD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534" w:type="dxa"/>
            <w:noWrap/>
            <w:vAlign w:val="center"/>
          </w:tcPr>
          <w:p w14:paraId="4B294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ign w:val="center"/>
          </w:tcPr>
          <w:p w14:paraId="25954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872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C17408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820" w:type="dxa"/>
            <w:noWrap w:val="0"/>
            <w:vAlign w:val="center"/>
          </w:tcPr>
          <w:p w14:paraId="2AE60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5738" w:type="dxa"/>
            <w:noWrap w:val="0"/>
            <w:vAlign w:val="center"/>
          </w:tcPr>
          <w:p w14:paraId="76B8B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lang w:eastAsia="zh-CN"/>
              </w:rPr>
            </w:pPr>
            <w:r>
              <w:rPr>
                <w:rFonts w:hint="eastAsia" w:ascii="宋体" w:hAnsi="宋体" w:eastAsia="宋体" w:cs="宋体"/>
                <w:i w:val="0"/>
                <w:iCs w:val="0"/>
                <w:color w:val="auto"/>
                <w:kern w:val="0"/>
                <w:sz w:val="18"/>
                <w:szCs w:val="18"/>
                <w:highlight w:val="none"/>
                <w:u w:val="none"/>
                <w:lang w:val="en-US" w:eastAsia="zh-CN" w:bidi="ar"/>
              </w:rPr>
              <w:t xml:space="preserve">屏体内部电缆线，长排线，超五类网线等                                                                                                                                                                 </w:t>
            </w:r>
          </w:p>
        </w:tc>
        <w:tc>
          <w:tcPr>
            <w:tcW w:w="728" w:type="dxa"/>
            <w:noWrap/>
            <w:vAlign w:val="center"/>
          </w:tcPr>
          <w:p w14:paraId="4A4BE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6722A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ign w:val="center"/>
          </w:tcPr>
          <w:p w14:paraId="7DD50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265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86B72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820" w:type="dxa"/>
            <w:noWrap w:val="0"/>
            <w:vAlign w:val="center"/>
          </w:tcPr>
          <w:p w14:paraId="21769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5738" w:type="dxa"/>
            <w:noWrap w:val="0"/>
            <w:vAlign w:val="center"/>
          </w:tcPr>
          <w:p w14:paraId="5FF35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根据屏体面积按国标规格布线（主电缆线、网络线）</w:t>
            </w:r>
          </w:p>
        </w:tc>
        <w:tc>
          <w:tcPr>
            <w:tcW w:w="728" w:type="dxa"/>
            <w:noWrap/>
            <w:vAlign w:val="center"/>
          </w:tcPr>
          <w:p w14:paraId="69BAB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394A0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ign w:val="center"/>
          </w:tcPr>
          <w:p w14:paraId="5B9B7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C54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000000" w:fill="DDEBF7"/>
            <w:noWrap w:val="0"/>
            <w:vAlign w:val="center"/>
          </w:tcPr>
          <w:p w14:paraId="5CF342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shd w:val="clear" w:color="auto" w:fill="auto"/>
                <w:lang w:val="en-US" w:eastAsia="zh-CN"/>
              </w:rPr>
              <w:t>三、6楼中会议室607部分</w:t>
            </w:r>
          </w:p>
        </w:tc>
        <w:tc>
          <w:tcPr>
            <w:tcW w:w="647" w:type="dxa"/>
            <w:shd w:val="clear" w:color="000000" w:fill="DDEBF7"/>
            <w:noWrap w:val="0"/>
            <w:vAlign w:val="center"/>
          </w:tcPr>
          <w:p w14:paraId="71D147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shd w:val="clear" w:color="auto" w:fill="auto"/>
                <w:lang w:val="en-US" w:eastAsia="zh-CN"/>
              </w:rPr>
            </w:pPr>
          </w:p>
        </w:tc>
      </w:tr>
      <w:tr w14:paraId="401F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0B22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3B83D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5738" w:type="dxa"/>
            <w:noWrap w:val="0"/>
            <w:vAlign w:val="center"/>
          </w:tcPr>
          <w:p w14:paraId="38D01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两分频系统</w:t>
            </w:r>
          </w:p>
          <w:p w14:paraId="04F12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1、不小于1×6.5"两分频同轴驱动单元；</w:t>
            </w:r>
          </w:p>
          <w:p w14:paraId="60975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2、额定功率不小于60W/16Ω； </w:t>
            </w:r>
          </w:p>
          <w:p w14:paraId="004D0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3、特性灵敏度不小于90dB/1w/1m（有效频响范围平均）</w:t>
            </w:r>
          </w:p>
          <w:p w14:paraId="3BBD2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4、最大声压级不小于114dB</w:t>
            </w:r>
          </w:p>
          <w:p w14:paraId="6FE081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5、额定频率范围（-10dB）100Hz-18KHz；</w:t>
            </w:r>
          </w:p>
          <w:p w14:paraId="3201A5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6、覆盖角度(H×V)：90°×90°</w:t>
            </w:r>
          </w:p>
        </w:tc>
        <w:tc>
          <w:tcPr>
            <w:tcW w:w="728" w:type="dxa"/>
            <w:noWrap/>
            <w:vAlign w:val="center"/>
          </w:tcPr>
          <w:p w14:paraId="04BA8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34" w:type="dxa"/>
            <w:noWrap/>
            <w:vAlign w:val="center"/>
          </w:tcPr>
          <w:p w14:paraId="07CAD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ign w:val="center"/>
          </w:tcPr>
          <w:p w14:paraId="513D8D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5204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1874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55128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5738" w:type="dxa"/>
            <w:noWrap w:val="0"/>
            <w:vAlign w:val="center"/>
          </w:tcPr>
          <w:p w14:paraId="5DBAF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1、经典D类电路，具备超高的开环增益，双重负反馈，保证功放稳定可靠的同时，还具有超低失真度。  </w:t>
            </w:r>
          </w:p>
          <w:p w14:paraId="00116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2、完善的保护功能，电源软启动功能，保证开机瞬间不对电网形成冲击。采用双重无失真压缩电路，确保功放不过激失真和超功率工作，电压、电流跟踪技术，确保功放长期工作在安全区域。</w:t>
            </w:r>
          </w:p>
          <w:p w14:paraId="6820AE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多点温度监控，确保功放不过热，模具成型的绝缘和风道设计，保证了安规的要求和功放不过热，进口导热材料，保证MOS管高效有效的散热。</w:t>
            </w:r>
          </w:p>
          <w:p w14:paraId="6C95D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3、为有效保障设备使用安全，功放需具备动态限幅保护装置（提供国家权威机构所颁发的证明文件并加盖投标供应商公章）</w:t>
            </w:r>
          </w:p>
          <w:p w14:paraId="43697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4、具有低通功能选择，方便系统连接低音音箱，无需额外增加电子分频器。</w:t>
            </w:r>
          </w:p>
          <w:p w14:paraId="4550CC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5、具有桥接功能选择，方便系统桥接应用模式的功率扩展。</w:t>
            </w:r>
          </w:p>
          <w:p w14:paraId="1C37CB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6、额定功率：≥2×200W/8Ω≥，2×300W/4Ω，≥1×600W/8Ω；</w:t>
            </w:r>
          </w:p>
          <w:p w14:paraId="59652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7、频率响应：20Hz～20kHz (±1dB)dB；</w:t>
            </w:r>
          </w:p>
          <w:p w14:paraId="3269E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8、输入灵敏度：0dBu（0.775V）；</w:t>
            </w:r>
          </w:p>
          <w:p w14:paraId="04D6B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9、输入阻抗：平衡20kΩ，非平衡10kΩ；</w:t>
            </w:r>
          </w:p>
          <w:p w14:paraId="3F0D3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10、总谐波失真(1/10额定功率，1kHz)：≤0.1%；</w:t>
            </w:r>
          </w:p>
          <w:p w14:paraId="184DF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11、信噪比(A计权)：≥100dB；</w:t>
            </w:r>
          </w:p>
          <w:p w14:paraId="627DF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12、最大功率消耗：≤850W；</w:t>
            </w:r>
          </w:p>
          <w:p w14:paraId="4E617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13、电压适应范围：AC110-242V，50Hz/60Hz</w:t>
            </w:r>
          </w:p>
        </w:tc>
        <w:tc>
          <w:tcPr>
            <w:tcW w:w="728" w:type="dxa"/>
            <w:noWrap/>
            <w:vAlign w:val="center"/>
          </w:tcPr>
          <w:p w14:paraId="7B467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4" w:type="dxa"/>
            <w:noWrap/>
            <w:vAlign w:val="center"/>
          </w:tcPr>
          <w:p w14:paraId="176AE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513335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160F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3CB7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09642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5738" w:type="dxa"/>
            <w:noWrap w:val="0"/>
            <w:vAlign w:val="center"/>
          </w:tcPr>
          <w:p w14:paraId="66793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1、不小于8路输入(不小于4路MIC/LINE+不小于2路立体声)；</w:t>
            </w:r>
          </w:p>
          <w:p w14:paraId="1E786B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2、不小于1组立体声输出，不小于2路编组输出，不小于1路效果输出，不小于2路辅助输出，不小于1组录音输出；</w:t>
            </w:r>
          </w:p>
          <w:p w14:paraId="5308BC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3、支持蓝牙接收功能，支持MP3，WAV双解码播放功能，支持USB播放，多媒体播放器配备遥控器；</w:t>
            </w:r>
          </w:p>
          <w:p w14:paraId="00F17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4、内置效果器；</w:t>
            </w:r>
          </w:p>
          <w:p w14:paraId="50CB5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5、支持48V幻象电源；</w:t>
            </w:r>
          </w:p>
          <w:p w14:paraId="37A2F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6、耳机监听功能。</w:t>
            </w:r>
          </w:p>
        </w:tc>
        <w:tc>
          <w:tcPr>
            <w:tcW w:w="728" w:type="dxa"/>
            <w:noWrap/>
            <w:vAlign w:val="center"/>
          </w:tcPr>
          <w:p w14:paraId="5AE2C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69F1C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1304BA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r w14:paraId="61FF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CB6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503A0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5738" w:type="dxa"/>
            <w:noWrap w:val="0"/>
            <w:vAlign w:val="center"/>
          </w:tcPr>
          <w:p w14:paraId="457CC2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1、可根据应用场合定制合适音频频谱，从而大幅度提升系统增益。</w:t>
            </w:r>
          </w:p>
          <w:p w14:paraId="4F2B2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2、带液晶显示屏可直观显示当时音频的频谱与工作状态</w:t>
            </w:r>
          </w:p>
          <w:p w14:paraId="242A69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3、不少于十路卡侬口输入,每路麦克风独立幻像48V开关（提供产品实物功能接口图并加盖投标供应商公章）</w:t>
            </w:r>
          </w:p>
          <w:p w14:paraId="566EC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4、前置麦克风输出总音量调节</w:t>
            </w:r>
          </w:p>
          <w:p w14:paraId="38A95E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5、每路麦克风独立增益调节</w:t>
            </w:r>
          </w:p>
          <w:p w14:paraId="43377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6、MUSIC输入RCA口;AUX输入RCA口;AUX输出RCA口;独具录播音频RCA输出口;输入灵敏度-32dB ～ -56dB;两路OUTPUT音频输出;OUTPUT输出音调前置调节</w:t>
            </w:r>
          </w:p>
        </w:tc>
        <w:tc>
          <w:tcPr>
            <w:tcW w:w="728" w:type="dxa"/>
            <w:noWrap/>
            <w:vAlign w:val="center"/>
          </w:tcPr>
          <w:p w14:paraId="39E13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00CA2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5D86F1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7609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685D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6F4CD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一拖二无线麦克风</w:t>
            </w:r>
          </w:p>
        </w:tc>
        <w:tc>
          <w:tcPr>
            <w:tcW w:w="5738" w:type="dxa"/>
            <w:noWrap w:val="0"/>
            <w:vAlign w:val="center"/>
          </w:tcPr>
          <w:p w14:paraId="4416B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1、接收频道:双通道接收</w:t>
            </w:r>
          </w:p>
          <w:p w14:paraId="6F099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2、面板显示:LED段码显示器，可同时显示群组、频率、电池电量、静音位准、电子音量等相关信息；LED灯柱显示RF/AF强度；</w:t>
            </w:r>
          </w:p>
          <w:p w14:paraId="14A20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3、接收方式:天线分集式接收</w:t>
            </w:r>
          </w:p>
          <w:p w14:paraId="6CA139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4、载波频段:UHF530-690.000MHZ（单机固定频段范围）</w:t>
            </w:r>
          </w:p>
          <w:p w14:paraId="01314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5、单机频带宽度:50MHz</w:t>
            </w:r>
          </w:p>
          <w:p w14:paraId="26653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6、单机频道数量：≥2000个（提供国家权威机构出具的检测报告扫描件并加盖投标供应商公章，报告含“CMA”、“CNAS”、“ilac-MRA”认证）</w:t>
            </w:r>
          </w:p>
          <w:p w14:paraId="3C509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7、★支持≥4个50欧姆TNC天线接口，其中≥2路支持环路输出，具备MIC/LINE信号切换输出开关，内置电源环出输出接口（提供产品实物接口图截图并加盖投标供应商公章）</w:t>
            </w:r>
          </w:p>
          <w:p w14:paraId="75D99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8、频率间隔：25KHz,音频灵敏度:-48±3dB,综合S/N比:&gt;100dB(A),综合T.H.D.:&lt;0.5%@1kHz,综合频率响应:70Hz-15kHz,最大声压级：109dBA@1KHz，THD1%</w:t>
            </w:r>
          </w:p>
        </w:tc>
        <w:tc>
          <w:tcPr>
            <w:tcW w:w="728" w:type="dxa"/>
            <w:noWrap/>
            <w:vAlign w:val="center"/>
          </w:tcPr>
          <w:p w14:paraId="0CEFB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701AA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260D98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60C1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9EB1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51A1AB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一拖四无线会议麦克风（方管）</w:t>
            </w:r>
          </w:p>
        </w:tc>
        <w:tc>
          <w:tcPr>
            <w:tcW w:w="5738" w:type="dxa"/>
            <w:noWrap w:val="0"/>
            <w:vAlign w:val="center"/>
          </w:tcPr>
          <w:p w14:paraId="3E759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载波频段：UHF615.000-694.170MHz</w:t>
            </w:r>
          </w:p>
          <w:p w14:paraId="3EF76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单机频带宽度：80MHz</w:t>
            </w:r>
          </w:p>
          <w:p w14:paraId="7308E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单机频道数量：200个(B组）、48个（C组）</w:t>
            </w:r>
          </w:p>
          <w:p w14:paraId="54053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综合T.H.D.：&lt;1%@1kHz</w:t>
            </w:r>
          </w:p>
          <w:p w14:paraId="3CF6C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频率响应：65Hz-15kHz</w:t>
            </w:r>
          </w:p>
          <w:p w14:paraId="287D2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接收机参数：</w:t>
            </w:r>
          </w:p>
          <w:p w14:paraId="599D3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频率稳定度：±0.005%(-10°C-50°C)</w:t>
            </w:r>
          </w:p>
          <w:p w14:paraId="04ECA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最大频偏：±45KHz</w:t>
            </w:r>
          </w:p>
          <w:p w14:paraId="06BF1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射频灵敏度：1.2/uV@S/N=12dB</w:t>
            </w:r>
          </w:p>
          <w:p w14:paraId="71770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接收方式：真分集，CPU控制选讯+导频识别接收</w:t>
            </w:r>
          </w:p>
          <w:p w14:paraId="76FDA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最大频偏：±45KHz</w:t>
            </w:r>
          </w:p>
          <w:p w14:paraId="29B120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供电方式：三节AA电池</w:t>
            </w:r>
          </w:p>
        </w:tc>
        <w:tc>
          <w:tcPr>
            <w:tcW w:w="728" w:type="dxa"/>
            <w:noWrap/>
            <w:vAlign w:val="center"/>
          </w:tcPr>
          <w:p w14:paraId="49F9D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233B3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ign w:val="center"/>
          </w:tcPr>
          <w:p w14:paraId="7D3B86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6BFF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55D7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14465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738" w:type="dxa"/>
            <w:noWrap w:val="0"/>
            <w:vAlign w:val="center"/>
          </w:tcPr>
          <w:p w14:paraId="3DDB9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1、不少于8路可控电源（国标五孔插座）</w:t>
            </w:r>
          </w:p>
          <w:p w14:paraId="1A60F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2、单通道最大输出电流不小于10A；</w:t>
            </w:r>
          </w:p>
          <w:p w14:paraId="243A2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3、额定总输出电源不小于25A；内置25A电源滤波器；总电源带空气开关；</w:t>
            </w:r>
          </w:p>
          <w:p w14:paraId="3A987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4、针对不同设备启动时间，每路电源开关时间支持不小于60秒设定</w:t>
            </w:r>
          </w:p>
          <w:p w14:paraId="28ECE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5、前面板带市电电压显示</w:t>
            </w:r>
          </w:p>
          <w:p w14:paraId="795DF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6、不少于24组用户存储模式</w:t>
            </w:r>
          </w:p>
          <w:p w14:paraId="31570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7、设备支持手动、PC、安卓移动端控制，</w:t>
            </w:r>
          </w:p>
          <w:p w14:paraId="44C08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8、控制接口不少于1路RS232、1路RJ45。</w:t>
            </w:r>
          </w:p>
          <w:p w14:paraId="3C2A32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9、设备支持物联网远程控制。</w:t>
            </w:r>
          </w:p>
        </w:tc>
        <w:tc>
          <w:tcPr>
            <w:tcW w:w="728" w:type="dxa"/>
            <w:noWrap/>
            <w:vAlign w:val="center"/>
          </w:tcPr>
          <w:p w14:paraId="7D8F6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34" w:type="dxa"/>
            <w:noWrap/>
            <w:vAlign w:val="center"/>
          </w:tcPr>
          <w:p w14:paraId="6B77A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ign w:val="center"/>
          </w:tcPr>
          <w:p w14:paraId="1FDB99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392E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noWrap w:val="0"/>
            <w:vAlign w:val="center"/>
          </w:tcPr>
          <w:p w14:paraId="483C7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5D4AD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5738" w:type="dxa"/>
            <w:noWrap w:val="0"/>
            <w:vAlign w:val="center"/>
          </w:tcPr>
          <w:p w14:paraId="318F0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1、具有HDMI输出接口≥1路、USB3.0接口≥1路，支持同时输出1080P60视频；</w:t>
            </w:r>
          </w:p>
          <w:p w14:paraId="35B136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2、有效像素≥207万，视频分辨率支持1920*1080P60;</w:t>
            </w:r>
          </w:p>
          <w:p w14:paraId="474699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3、支持广角镜头≥72.5°、光学变焦≥12倍，数字变焦≥16倍，水平视场角72.5°-6.9°；</w:t>
            </w:r>
          </w:p>
          <w:p w14:paraId="4E0FF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4、支持图像冻结功能和图像翻转功能；</w:t>
            </w:r>
          </w:p>
          <w:p w14:paraId="10475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5、支持UVC协议控制PTZ（云台、变焦）操作；</w:t>
            </w:r>
          </w:p>
          <w:p w14:paraId="2EB64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6、内置麦克风，拾音距离长达6米，高灵敏度，低底噪；</w:t>
            </w:r>
          </w:p>
          <w:p w14:paraId="2AAB25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7、支持RS232控制协议，对摄像机进行控制；</w:t>
            </w:r>
          </w:p>
          <w:p w14:paraId="2F8D3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8、输入电压DC12V、输入电流12V 1.5A，最大功耗12W。</w:t>
            </w:r>
          </w:p>
        </w:tc>
        <w:tc>
          <w:tcPr>
            <w:tcW w:w="728" w:type="dxa"/>
            <w:noWrap/>
            <w:vAlign w:val="center"/>
          </w:tcPr>
          <w:p w14:paraId="287E7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47C59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00C20E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287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7CDE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5DDB1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5738" w:type="dxa"/>
            <w:noWrap w:val="0"/>
            <w:vAlign w:val="center"/>
          </w:tcPr>
          <w:p w14:paraId="64D7F3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1DD26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55DFA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1D6C4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6DA7EF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6BECE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728" w:type="dxa"/>
            <w:noWrap/>
            <w:vAlign w:val="center"/>
          </w:tcPr>
          <w:p w14:paraId="742FC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58977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47" w:type="dxa"/>
            <w:noWrap/>
            <w:vAlign w:val="center"/>
          </w:tcPr>
          <w:p w14:paraId="5CC48A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0D51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65EA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510E7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5738" w:type="dxa"/>
            <w:noWrap w:val="0"/>
            <w:vAlign w:val="center"/>
          </w:tcPr>
          <w:p w14:paraId="04F28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包含管材、线材、机柜及施工等</w:t>
            </w:r>
          </w:p>
        </w:tc>
        <w:tc>
          <w:tcPr>
            <w:tcW w:w="728" w:type="dxa"/>
            <w:noWrap/>
            <w:vAlign w:val="center"/>
          </w:tcPr>
          <w:p w14:paraId="217DA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19DA6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ign w:val="center"/>
          </w:tcPr>
          <w:p w14:paraId="014B28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222F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FD61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32A24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5738" w:type="dxa"/>
            <w:noWrap w:val="0"/>
            <w:vAlign w:val="center"/>
          </w:tcPr>
          <w:p w14:paraId="695A5BB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1、像数间距：≤1.86mm；单元板尺寸：320mm* 160mm；显示屏尺寸：长3.2m*高1.6m</w:t>
            </w:r>
          </w:p>
          <w:p w14:paraId="6205C8E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2、投标产品具有整屏平整度≤0.05mm,单元平整度≤0.05mm；模组间拼缝≤0.2mm；刷新率≥3840Hz。</w:t>
            </w:r>
          </w:p>
          <w:p w14:paraId="0C16AB4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3、PCB 采用 FR-4材质，灯驱合一，电路采用多层设计，符合多层电路板沉金工艺设计，具有消隐，节能处理，EMC处理保证单模块的稳定性和抗氧化性</w:t>
            </w:r>
          </w:p>
          <w:p w14:paraId="55AA4E0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4、表面处理:可支持灯板表面进行AOB处理，有致密性纳米涂层，有效隔绝水汽，对灯珠形成有效防护，可支持喷墨工艺，且低反射率的 LED 灯板</w:t>
            </w:r>
          </w:p>
          <w:p w14:paraId="026F9F0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5、色彩:16Bit,281万亿色，色域覆盖率100%,NTSC色域覆盖率≥120%上，YLV（PAL)色域覆盖率≥170%，支持BT.2020,DCI.P3,BT.709,sRGB等多种色域转换</w:t>
            </w:r>
          </w:p>
          <w:p w14:paraId="13BA5C8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6、亮度与视角关系：中央亮度为100cd/㎡白场时，水平视角80°时亮度衰减率≤10%,垂直视角60°时亮度衰减率≤10%</w:t>
            </w:r>
          </w:p>
          <w:p w14:paraId="05FFC947">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7、噪声：前、后、左、右噪声均不超过2.0dB</w:t>
            </w:r>
          </w:p>
          <w:p w14:paraId="601AD68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8、峰值功耗：≤610w/㎡；典型功耗：≤310w/㎡；供电电压≤DC4.2～5V；电流增益调节级别≥7位</w:t>
            </w:r>
          </w:p>
        </w:tc>
        <w:tc>
          <w:tcPr>
            <w:tcW w:w="728" w:type="dxa"/>
            <w:noWrap/>
            <w:vAlign w:val="center"/>
          </w:tcPr>
          <w:p w14:paraId="0F9F2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534" w:type="dxa"/>
            <w:noWrap/>
            <w:vAlign w:val="center"/>
          </w:tcPr>
          <w:p w14:paraId="601F8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ign w:val="center"/>
          </w:tcPr>
          <w:p w14:paraId="1550A3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6CE5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8B6A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51302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5738" w:type="dxa"/>
            <w:noWrap w:val="0"/>
            <w:vAlign w:val="center"/>
          </w:tcPr>
          <w:p w14:paraId="18765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728" w:type="dxa"/>
            <w:noWrap/>
            <w:vAlign w:val="center"/>
          </w:tcPr>
          <w:p w14:paraId="7530E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34" w:type="dxa"/>
            <w:noWrap/>
            <w:vAlign w:val="center"/>
          </w:tcPr>
          <w:p w14:paraId="5A9B4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6C915F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579D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C489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0A4D0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接收卡</w:t>
            </w:r>
          </w:p>
        </w:tc>
        <w:tc>
          <w:tcPr>
            <w:tcW w:w="5738" w:type="dxa"/>
            <w:noWrap w:val="0"/>
            <w:vAlign w:val="center"/>
          </w:tcPr>
          <w:p w14:paraId="23E5B1B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1.支持逐点亮色度校正，可以对每个灯点的亮度和色度进项校正，有效消除色差，使整屏的亮度和速度达到高度均匀一致，提高显示屏的画质。</w:t>
            </w:r>
          </w:p>
          <w:p w14:paraId="75DBB18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2.投标时提供一种接收卡的实用新型证书</w:t>
            </w:r>
          </w:p>
          <w:p w14:paraId="7F24B68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.支持5pin液晶模块，用于显示接收卡的温度、电压、单次运行时间和总运行时间。</w:t>
            </w:r>
          </w:p>
          <w:p w14:paraId="33915EA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.支持千兆网，可通过网线直接连接到PC端进行调试和显示，无需发送卡。</w:t>
            </w:r>
          </w:p>
          <w:p w14:paraId="7DA8FB6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.支持各种PWM芯片、逐点检测芯片及通用芯片；支持任意抽点，实现各种异形屏拼接。</w:t>
            </w:r>
          </w:p>
          <w:p w14:paraId="7AA2655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.支持色彩变换技术，使人脸肤色更真实；支持任意倍增技术，手机拍摄无扫描线。</w:t>
            </w:r>
          </w:p>
          <w:p w14:paraId="0397EF6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.为保证产品的稳定性及可靠性，需在检验环境温度21℃-26摄氏度，湿度（%RH）:62-71,大气压力（kPa）：100.2-101.8</w:t>
            </w:r>
          </w:p>
          <w:p w14:paraId="16D21E17">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.设备在正常工作条件下，连续工作168h，不应出现电、机械或操作系统的故障。</w:t>
            </w:r>
          </w:p>
          <w:p w14:paraId="569E84DD">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.产品放入60℃±2℃，90%RH±3%RH环境中，通电连续工作48小时，试验过程中能正常工作，外观无明显变形，损伤。</w:t>
            </w:r>
          </w:p>
          <w:p w14:paraId="44872A6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.为保证系统的兼容性及稳定性控制系统需与LED显示屏为同一品牌，投标时提供证明文件</w:t>
            </w:r>
          </w:p>
        </w:tc>
        <w:tc>
          <w:tcPr>
            <w:tcW w:w="728" w:type="dxa"/>
            <w:noWrap/>
            <w:vAlign w:val="center"/>
          </w:tcPr>
          <w:p w14:paraId="6290B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34" w:type="dxa"/>
            <w:noWrap/>
            <w:vAlign w:val="center"/>
          </w:tcPr>
          <w:p w14:paraId="72863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647" w:type="dxa"/>
            <w:noWrap/>
            <w:vAlign w:val="center"/>
          </w:tcPr>
          <w:p w14:paraId="7BC693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595B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E298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3F6B1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738" w:type="dxa"/>
            <w:noWrap w:val="0"/>
            <w:vAlign w:val="center"/>
          </w:tcPr>
          <w:p w14:paraId="6FEDDCE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1、输入接口：支持1路DVI、1路HDMI，1路VGA,1路USB播放，1路CVBS</w:t>
            </w:r>
          </w:p>
          <w:p w14:paraId="560AED6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2、带载能力：支持4路千兆网口输出，</w:t>
            </w:r>
            <w:r>
              <w:rPr>
                <w:rFonts w:hint="eastAsia" w:ascii="宋体" w:hAnsi="宋体" w:eastAsia="宋体" w:cs="宋体"/>
                <w:color w:val="auto"/>
                <w:sz w:val="18"/>
                <w:szCs w:val="18"/>
                <w:highlight w:val="none"/>
                <w:lang w:eastAsia="zh-CN"/>
              </w:rPr>
              <w:t>带载能力 ≥130万像素点</w:t>
            </w:r>
          </w:p>
          <w:p w14:paraId="65EFD88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3.无需电脑，支持通过设备旋转按钮快捷配屏和高级配屏功能点亮屏体，简单操作即可完成屏体配置。</w:t>
            </w:r>
          </w:p>
          <w:p w14:paraId="05FFF20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4.支持设备默认开启自动信源搜索功能。</w:t>
            </w:r>
          </w:p>
          <w:p w14:paraId="40106B5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5.为增强产品实用性，设备需通过面板数字按键，可快速准确定义窗口大小位置等坐标信息。</w:t>
            </w:r>
          </w:p>
          <w:p w14:paraId="1FBFDEF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6.支持屏体参数调整，例如亮度、Gamma等。</w:t>
            </w:r>
          </w:p>
          <w:p w14:paraId="21BB745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7.为保证系统的兼容性和稳定性，发送卡和视频处理器为二合一产品。</w:t>
            </w:r>
          </w:p>
          <w:p w14:paraId="62B5630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.无需电脑，FREEZE画面冻结按键可以快捷冻结画面。</w:t>
            </w:r>
          </w:p>
        </w:tc>
        <w:tc>
          <w:tcPr>
            <w:tcW w:w="728" w:type="dxa"/>
            <w:noWrap/>
            <w:vAlign w:val="center"/>
          </w:tcPr>
          <w:p w14:paraId="701F7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5431D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ign w:val="center"/>
          </w:tcPr>
          <w:p w14:paraId="15F556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267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9656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0C15E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738" w:type="dxa"/>
            <w:noWrap w:val="0"/>
            <w:vAlign w:val="center"/>
          </w:tcPr>
          <w:p w14:paraId="54BB4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728" w:type="dxa"/>
            <w:noWrap/>
            <w:vAlign w:val="center"/>
          </w:tcPr>
          <w:p w14:paraId="415E51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05190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ign w:val="center"/>
          </w:tcPr>
          <w:p w14:paraId="6B9AA9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16A2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C97F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5125F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5738" w:type="dxa"/>
            <w:noWrap w:val="0"/>
            <w:vAlign w:val="center"/>
          </w:tcPr>
          <w:p w14:paraId="6C5F9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按实际所用功率进行定制                                                                                                                                                           </w:t>
            </w:r>
          </w:p>
        </w:tc>
        <w:tc>
          <w:tcPr>
            <w:tcW w:w="728" w:type="dxa"/>
            <w:noWrap/>
            <w:vAlign w:val="center"/>
          </w:tcPr>
          <w:p w14:paraId="1CCE6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33F33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ign w:val="center"/>
          </w:tcPr>
          <w:p w14:paraId="1C2C0F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248F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8CBC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7451E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5738" w:type="dxa"/>
            <w:noWrap w:val="0"/>
            <w:vAlign w:val="center"/>
          </w:tcPr>
          <w:p w14:paraId="3CF1A4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专业安装及调试</w:t>
            </w:r>
          </w:p>
        </w:tc>
        <w:tc>
          <w:tcPr>
            <w:tcW w:w="728" w:type="dxa"/>
            <w:noWrap/>
            <w:vAlign w:val="center"/>
          </w:tcPr>
          <w:p w14:paraId="5A7EC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534" w:type="dxa"/>
            <w:noWrap/>
            <w:vAlign w:val="center"/>
          </w:tcPr>
          <w:p w14:paraId="345ED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ign w:val="center"/>
          </w:tcPr>
          <w:p w14:paraId="623A0E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2D7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3EBC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0041F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5738" w:type="dxa"/>
            <w:noWrap w:val="0"/>
            <w:vAlign w:val="center"/>
          </w:tcPr>
          <w:p w14:paraId="34F70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定制结构、框架，满足屏体安装使用需求，用材符合国家标准；外框、包边根据采购人实际使用环境进行定制，保证整体装饰美观大方；</w:t>
            </w:r>
          </w:p>
        </w:tc>
        <w:tc>
          <w:tcPr>
            <w:tcW w:w="728" w:type="dxa"/>
            <w:noWrap/>
            <w:vAlign w:val="center"/>
          </w:tcPr>
          <w:p w14:paraId="53DB9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534" w:type="dxa"/>
            <w:noWrap/>
            <w:vAlign w:val="center"/>
          </w:tcPr>
          <w:p w14:paraId="3DFD13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ign w:val="center"/>
          </w:tcPr>
          <w:p w14:paraId="0D533E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504F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EF4B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820" w:type="dxa"/>
            <w:noWrap w:val="0"/>
            <w:vAlign w:val="center"/>
          </w:tcPr>
          <w:p w14:paraId="796A0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5738" w:type="dxa"/>
            <w:noWrap w:val="0"/>
            <w:vAlign w:val="center"/>
          </w:tcPr>
          <w:p w14:paraId="3985A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屏体内部电缆线，长排线，超五类网线等                                                                                                                                                                 </w:t>
            </w:r>
          </w:p>
        </w:tc>
        <w:tc>
          <w:tcPr>
            <w:tcW w:w="728" w:type="dxa"/>
            <w:noWrap/>
            <w:vAlign w:val="center"/>
          </w:tcPr>
          <w:p w14:paraId="25CA8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71CE5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ign w:val="center"/>
          </w:tcPr>
          <w:p w14:paraId="4E62A8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4A05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1E40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20" w:type="dxa"/>
            <w:noWrap w:val="0"/>
            <w:vAlign w:val="center"/>
          </w:tcPr>
          <w:p w14:paraId="34216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5738" w:type="dxa"/>
            <w:noWrap w:val="0"/>
            <w:vAlign w:val="center"/>
          </w:tcPr>
          <w:p w14:paraId="725120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根据屏体面积按国标规格布线（主电缆线、网络线）</w:t>
            </w:r>
          </w:p>
        </w:tc>
        <w:tc>
          <w:tcPr>
            <w:tcW w:w="728" w:type="dxa"/>
            <w:noWrap/>
            <w:vAlign w:val="center"/>
          </w:tcPr>
          <w:p w14:paraId="4A3F5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ign w:val="center"/>
          </w:tcPr>
          <w:p w14:paraId="66F35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ign w:val="center"/>
          </w:tcPr>
          <w:p w14:paraId="6F87D8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34EC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auto" w:fill="B8CCE4"/>
            <w:noWrap w:val="0"/>
            <w:vAlign w:val="center"/>
          </w:tcPr>
          <w:p w14:paraId="3D6F320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四、小会议室606部分</w:t>
            </w:r>
          </w:p>
        </w:tc>
        <w:tc>
          <w:tcPr>
            <w:tcW w:w="647" w:type="dxa"/>
            <w:shd w:val="clear" w:color="auto" w:fill="B8CCE4"/>
            <w:noWrap w:val="0"/>
            <w:vAlign w:val="center"/>
          </w:tcPr>
          <w:p w14:paraId="25A20A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rPr>
            </w:pPr>
          </w:p>
        </w:tc>
      </w:tr>
      <w:tr w14:paraId="175D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13D1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55491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会议大屏</w:t>
            </w:r>
          </w:p>
        </w:tc>
        <w:tc>
          <w:tcPr>
            <w:tcW w:w="5738" w:type="dxa"/>
            <w:noWrap w:val="0"/>
            <w:vAlign w:val="top"/>
          </w:tcPr>
          <w:p w14:paraId="1E5CE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显示尺寸：86 寸 LED背光源</w:t>
            </w:r>
          </w:p>
          <w:p w14:paraId="6C222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分辨率：3840 × 2160 @60 Hz</w:t>
            </w:r>
          </w:p>
          <w:p w14:paraId="17875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显示比例：16:9</w:t>
            </w:r>
          </w:p>
          <w:p w14:paraId="4C19F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亮度：400 cd/m²</w:t>
            </w:r>
          </w:p>
          <w:p w14:paraId="19BD3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对比度：1200：1</w:t>
            </w:r>
          </w:p>
          <w:p w14:paraId="03A4B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响应时间：8 ms</w:t>
            </w:r>
          </w:p>
          <w:p w14:paraId="1172A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可视角度：水平178°，垂直178°</w:t>
            </w:r>
          </w:p>
          <w:p w14:paraId="7BE3A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接口：HDMI IN*2路（最大支持4K@30Hz），HDMI OUT*1路（最大支持4K@60Hz），VGA IN*1路（最大支持1080P@60Hz ），AUDIO IN*2路，AUDIO OUT*2路，USB接口*2个前置接口，USB*2个板载接口，RJ45(百兆网口)*2个 </w:t>
            </w:r>
          </w:p>
          <w:p w14:paraId="77E06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内置系统：CPU 4核Cortex-A53，主频1.5 GHz，2 GB内存，内置百兆网卡，支持路由功能，2个内置16 W音箱，解码能力：支持H.265/H.264， 支持一路4K@60，操作系统：Android5.0</w:t>
            </w:r>
          </w:p>
          <w:p w14:paraId="32360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电源：AC 100 V～240 V，50/60 Hz</w:t>
            </w:r>
          </w:p>
          <w:p w14:paraId="41747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功耗：满载 ＜ 600 W</w:t>
            </w:r>
          </w:p>
        </w:tc>
        <w:tc>
          <w:tcPr>
            <w:tcW w:w="728" w:type="dxa"/>
            <w:noWrap/>
            <w:vAlign w:val="center"/>
          </w:tcPr>
          <w:p w14:paraId="31EC1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227DC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0F166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9FD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3300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2C0D0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投屏器</w:t>
            </w:r>
          </w:p>
        </w:tc>
        <w:tc>
          <w:tcPr>
            <w:tcW w:w="5738" w:type="dxa"/>
            <w:noWrap w:val="0"/>
            <w:vAlign w:val="center"/>
          </w:tcPr>
          <w:p w14:paraId="3D6C1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接口：USB接口即插即用</w:t>
            </w:r>
          </w:p>
          <w:p w14:paraId="5CB2D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支持系统： Windows XP/7/8/10 , IOS 8.0以上</w:t>
            </w:r>
          </w:p>
          <w:p w14:paraId="4D138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分辨率：1080P 30fps</w:t>
            </w:r>
          </w:p>
          <w:p w14:paraId="7AF19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传输延时：&lt; 200 ms</w:t>
            </w:r>
          </w:p>
        </w:tc>
        <w:tc>
          <w:tcPr>
            <w:tcW w:w="728" w:type="dxa"/>
            <w:noWrap/>
            <w:vAlign w:val="center"/>
          </w:tcPr>
          <w:p w14:paraId="6448C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005D4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ign w:val="center"/>
          </w:tcPr>
          <w:p w14:paraId="11DE9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209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8C61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7994F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支架</w:t>
            </w:r>
          </w:p>
        </w:tc>
        <w:tc>
          <w:tcPr>
            <w:tcW w:w="5738" w:type="dxa"/>
            <w:noWrap w:val="0"/>
            <w:vAlign w:val="center"/>
          </w:tcPr>
          <w:p w14:paraId="3D9A6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1、适用于各种类型办公室、会议室、多媒体教室等多重场景需求。</w:t>
            </w:r>
          </w:p>
          <w:p w14:paraId="004BE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2、≥载荷承重：135 kg ;</w:t>
            </w:r>
          </w:p>
          <w:p w14:paraId="40C79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3、外壳材料：SPCC优质钢板</w:t>
            </w:r>
          </w:p>
        </w:tc>
        <w:tc>
          <w:tcPr>
            <w:tcW w:w="728" w:type="dxa"/>
            <w:noWrap/>
            <w:vAlign w:val="center"/>
          </w:tcPr>
          <w:p w14:paraId="5B60E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32827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ign w:val="center"/>
          </w:tcPr>
          <w:p w14:paraId="2F845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77E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A0C7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4CAE6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全向麦克风</w:t>
            </w:r>
          </w:p>
        </w:tc>
        <w:tc>
          <w:tcPr>
            <w:tcW w:w="5738" w:type="dxa"/>
            <w:noWrap w:val="0"/>
            <w:vAlign w:val="center"/>
          </w:tcPr>
          <w:p w14:paraId="5FCF0C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7B74E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603B8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726FE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0C9F7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6E564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728" w:type="dxa"/>
            <w:noWrap/>
            <w:vAlign w:val="center"/>
          </w:tcPr>
          <w:p w14:paraId="72690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056E9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647" w:type="dxa"/>
            <w:noWrap/>
            <w:vAlign w:val="center"/>
          </w:tcPr>
          <w:p w14:paraId="04B7C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88B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2A47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5D0A8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5738" w:type="dxa"/>
            <w:noWrap w:val="0"/>
            <w:vAlign w:val="center"/>
          </w:tcPr>
          <w:p w14:paraId="359D3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专业技术安装、调试、专业维护</w:t>
            </w:r>
          </w:p>
        </w:tc>
        <w:tc>
          <w:tcPr>
            <w:tcW w:w="728" w:type="dxa"/>
            <w:noWrap/>
            <w:vAlign w:val="center"/>
          </w:tcPr>
          <w:p w14:paraId="7EE34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ign w:val="center"/>
          </w:tcPr>
          <w:p w14:paraId="553CA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项</w:t>
            </w:r>
          </w:p>
        </w:tc>
        <w:tc>
          <w:tcPr>
            <w:tcW w:w="647" w:type="dxa"/>
            <w:noWrap/>
            <w:vAlign w:val="center"/>
          </w:tcPr>
          <w:p w14:paraId="2D80E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A81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000000" w:fill="DDEBF7"/>
            <w:noWrap w:val="0"/>
            <w:vAlign w:val="center"/>
          </w:tcPr>
          <w:p w14:paraId="58769F2F">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五、</w:t>
            </w:r>
            <w:r>
              <w:rPr>
                <w:rFonts w:hint="eastAsia" w:ascii="宋体" w:hAnsi="宋体" w:eastAsia="宋体" w:cs="宋体"/>
                <w:b/>
                <w:bCs/>
                <w:color w:val="auto"/>
                <w:sz w:val="18"/>
                <w:szCs w:val="18"/>
                <w:highlight w:val="none"/>
              </w:rPr>
              <w:t>6楼路演大厅</w:t>
            </w:r>
            <w:r>
              <w:rPr>
                <w:rFonts w:hint="eastAsia" w:ascii="宋体" w:hAnsi="宋体" w:eastAsia="宋体" w:cs="宋体"/>
                <w:b/>
                <w:bCs/>
                <w:color w:val="auto"/>
                <w:sz w:val="18"/>
                <w:szCs w:val="18"/>
                <w:highlight w:val="none"/>
                <w:lang w:val="en-US" w:eastAsia="zh-CN"/>
              </w:rPr>
              <w:t>部分</w:t>
            </w:r>
          </w:p>
        </w:tc>
        <w:tc>
          <w:tcPr>
            <w:tcW w:w="647" w:type="dxa"/>
            <w:shd w:val="clear" w:color="000000" w:fill="DDEBF7"/>
            <w:noWrap w:val="0"/>
            <w:vAlign w:val="center"/>
          </w:tcPr>
          <w:p w14:paraId="5F0997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p>
        </w:tc>
      </w:tr>
      <w:tr w14:paraId="7AD2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8C8F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4BDBF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5738" w:type="dxa"/>
            <w:noWrap w:val="0"/>
            <w:vAlign w:val="center"/>
          </w:tcPr>
          <w:p w14:paraId="4C362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1、不小于1×15"低频驱动单元；</w:t>
            </w:r>
          </w:p>
          <w:p w14:paraId="33B11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2、不小于1×1.75"高频驱动单元</w:t>
            </w:r>
          </w:p>
          <w:p w14:paraId="39FF9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3、额定功率不小于400W/8Ω</w:t>
            </w:r>
          </w:p>
          <w:p w14:paraId="33C76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4、特性灵敏度不小于99dB/1w/1m（有效频响范围平均）</w:t>
            </w:r>
          </w:p>
          <w:p w14:paraId="32435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5、输出声压级不小于132dB</w:t>
            </w:r>
          </w:p>
          <w:p w14:paraId="36B3E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6、额定频率范围（-10dB）:45～20KHz</w:t>
            </w:r>
          </w:p>
          <w:p w14:paraId="3DCF8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7、覆盖角度(H×V)：90°×60°</w:t>
            </w:r>
          </w:p>
          <w:p w14:paraId="5A6D4B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8、可旋转高音号筒/号角设计。</w:t>
            </w:r>
          </w:p>
          <w:p w14:paraId="4E11B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9、★为有效保障扬声器的使用安全，扬声器需具备相关电子保护装置（提供具有检测资质机构出具检测报告或者提供国家权威检测机构所颁发的相关技术证明文件加盖投标供应商公章，内容涵盖技术要求）</w:t>
            </w:r>
          </w:p>
        </w:tc>
        <w:tc>
          <w:tcPr>
            <w:tcW w:w="728" w:type="dxa"/>
            <w:noWrap/>
            <w:vAlign w:val="center"/>
          </w:tcPr>
          <w:p w14:paraId="0DCD7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4" w:type="dxa"/>
            <w:noWrap w:val="0"/>
            <w:vAlign w:val="center"/>
          </w:tcPr>
          <w:p w14:paraId="5E6DC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0"/>
            <w:vAlign w:val="center"/>
          </w:tcPr>
          <w:p w14:paraId="41DE4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FBA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C52D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20E01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反听音箱</w:t>
            </w:r>
          </w:p>
        </w:tc>
        <w:tc>
          <w:tcPr>
            <w:tcW w:w="5738" w:type="dxa"/>
            <w:noWrap w:val="0"/>
            <w:vAlign w:val="center"/>
          </w:tcPr>
          <w:p w14:paraId="468C6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1、不小于1×12"低频驱动单元；</w:t>
            </w:r>
          </w:p>
          <w:p w14:paraId="27E3D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2、不小于1×1.75"高频驱动单元</w:t>
            </w:r>
          </w:p>
          <w:p w14:paraId="42E11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3、额定功率不小于250W/8Ω</w:t>
            </w:r>
          </w:p>
          <w:p w14:paraId="3A176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4、特性灵敏度不小于98dB/1w/1m（有效频响范围平均）</w:t>
            </w:r>
          </w:p>
          <w:p w14:paraId="55D163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5、输出声压级不小于130dB</w:t>
            </w:r>
          </w:p>
          <w:p w14:paraId="4E6AB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6、额定频率范围（-10dB）:50～20KHz</w:t>
            </w:r>
          </w:p>
          <w:p w14:paraId="31563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7、覆盖角度(H×V)：90°×60°</w:t>
            </w:r>
          </w:p>
          <w:p w14:paraId="0C771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8、可旋转高音号筒/号角设计。</w:t>
            </w:r>
          </w:p>
        </w:tc>
        <w:tc>
          <w:tcPr>
            <w:tcW w:w="728" w:type="dxa"/>
            <w:noWrap/>
            <w:vAlign w:val="center"/>
          </w:tcPr>
          <w:p w14:paraId="7A640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4" w:type="dxa"/>
            <w:noWrap w:val="0"/>
            <w:vAlign w:val="center"/>
          </w:tcPr>
          <w:p w14:paraId="2E57E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0"/>
            <w:vAlign w:val="center"/>
          </w:tcPr>
          <w:p w14:paraId="357EE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17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3F5B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4CBCF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辅助音箱</w:t>
            </w:r>
          </w:p>
        </w:tc>
        <w:tc>
          <w:tcPr>
            <w:tcW w:w="5738" w:type="dxa"/>
            <w:noWrap w:val="0"/>
            <w:vAlign w:val="center"/>
          </w:tcPr>
          <w:p w14:paraId="1CD47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1、不小于1×10"低频驱动单元；</w:t>
            </w:r>
          </w:p>
          <w:p w14:paraId="598FB3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2、不小于1×1.35"高频驱动单元</w:t>
            </w:r>
          </w:p>
          <w:p w14:paraId="7DB58E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3、额定功率不小于250W/8Ω</w:t>
            </w:r>
          </w:p>
          <w:p w14:paraId="69BD6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4、特性灵敏度不小于97dB/1w/1m（有效频响范围平均）</w:t>
            </w:r>
          </w:p>
          <w:p w14:paraId="4A527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5、输出声压级不小于127dB</w:t>
            </w:r>
          </w:p>
          <w:p w14:paraId="5FA73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6、额定频率范围（-10dB）:55～20KHz</w:t>
            </w:r>
          </w:p>
          <w:p w14:paraId="4B62E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7、覆盖角度(H×V)：90°×60°</w:t>
            </w:r>
          </w:p>
          <w:p w14:paraId="08943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8、可旋转高音号筒/号角设计。</w:t>
            </w:r>
          </w:p>
          <w:p w14:paraId="6E668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9、以上参数第3、4、6、7项应出具内容相符合第三方检测报告，报告出具机构符合CMA/CNAS认可</w:t>
            </w:r>
          </w:p>
          <w:p w14:paraId="6DC37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10、为保证项目质量、技术性能真实性，参数第4项应出具内容相符合的KLIPPEL、CLIO、LMS、B&amp;K或同类型声学开发测量软件在全消声室或半自由声场内的特性灵敏度频率响应曲线图。</w:t>
            </w:r>
          </w:p>
        </w:tc>
        <w:tc>
          <w:tcPr>
            <w:tcW w:w="728" w:type="dxa"/>
            <w:noWrap/>
            <w:vAlign w:val="center"/>
          </w:tcPr>
          <w:p w14:paraId="3F854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4" w:type="dxa"/>
            <w:noWrap w:val="0"/>
            <w:vAlign w:val="center"/>
          </w:tcPr>
          <w:p w14:paraId="5378A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0"/>
            <w:vAlign w:val="center"/>
          </w:tcPr>
          <w:p w14:paraId="3928B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733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FBEA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06570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超低音音箱</w:t>
            </w:r>
          </w:p>
        </w:tc>
        <w:tc>
          <w:tcPr>
            <w:tcW w:w="5738" w:type="dxa"/>
            <w:noWrap w:val="0"/>
            <w:vAlign w:val="center"/>
          </w:tcPr>
          <w:p w14:paraId="32011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1、不小于1×18"低频驱动单元；</w:t>
            </w:r>
          </w:p>
          <w:p w14:paraId="0627C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2、额定功率不小于600W/8Ω</w:t>
            </w:r>
          </w:p>
          <w:p w14:paraId="32052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3、特性灵敏度不小于98dB/1w/1m（有效频响范围平均）</w:t>
            </w:r>
          </w:p>
          <w:p w14:paraId="1BF3E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4、输出声压级不小于131dB</w:t>
            </w:r>
          </w:p>
          <w:p w14:paraId="3F825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5、额定频率范围（-10dB）:35～500Hz</w:t>
            </w:r>
          </w:p>
        </w:tc>
        <w:tc>
          <w:tcPr>
            <w:tcW w:w="728" w:type="dxa"/>
            <w:noWrap/>
            <w:vAlign w:val="center"/>
          </w:tcPr>
          <w:p w14:paraId="2B5E9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4" w:type="dxa"/>
            <w:noWrap w:val="0"/>
            <w:vAlign w:val="center"/>
          </w:tcPr>
          <w:p w14:paraId="3F06A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47" w:type="dxa"/>
            <w:noWrap w:val="0"/>
            <w:vAlign w:val="center"/>
          </w:tcPr>
          <w:p w14:paraId="424A4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481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FF29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3576E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5738" w:type="dxa"/>
            <w:noWrap w:val="0"/>
            <w:vAlign w:val="center"/>
          </w:tcPr>
          <w:p w14:paraId="2F65B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1、功放类型：D类或TD类，电源工作范围：AC 100-240V 50Hz</w:t>
            </w:r>
          </w:p>
          <w:p w14:paraId="3F3CC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2、安全性保护功能：具备放大器短路保护装置功能</w:t>
            </w:r>
          </w:p>
          <w:p w14:paraId="4D8B4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3、COMBO XLR平衡输入端口（兼容6.35插口）和快装式输出端口。</w:t>
            </w:r>
          </w:p>
          <w:p w14:paraId="17F69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4、可变风冷散热系统，内置自动压限器</w:t>
            </w:r>
          </w:p>
          <w:p w14:paraId="13AA2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5、额定功率：≥2×900W/8Ω，≥2×1350W/4Ω，≥1×2700W/8Ω；</w:t>
            </w:r>
          </w:p>
          <w:p w14:paraId="42C64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6、频率响应：20Hz～20kHz (±1dB)；</w:t>
            </w:r>
          </w:p>
          <w:p w14:paraId="55B6B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7、输入灵敏度：0.775V/1V/1.4V；</w:t>
            </w:r>
          </w:p>
        </w:tc>
        <w:tc>
          <w:tcPr>
            <w:tcW w:w="728" w:type="dxa"/>
            <w:noWrap/>
            <w:vAlign w:val="center"/>
          </w:tcPr>
          <w:p w14:paraId="7DDDC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34" w:type="dxa"/>
            <w:noWrap w:val="0"/>
            <w:vAlign w:val="center"/>
          </w:tcPr>
          <w:p w14:paraId="509F6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58EC7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EC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650E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133B1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主功放</w:t>
            </w:r>
          </w:p>
        </w:tc>
        <w:tc>
          <w:tcPr>
            <w:tcW w:w="5738" w:type="dxa"/>
            <w:noWrap w:val="0"/>
            <w:vAlign w:val="center"/>
          </w:tcPr>
          <w:p w14:paraId="38F0A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1、90VAC～260VAC宽电压适应范围；</w:t>
            </w:r>
          </w:p>
          <w:p w14:paraId="0A0E2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2、具备一块≥2寸TFT液晶显示屏，能够实时监控输出电压、电流、温度、保护状态；</w:t>
            </w:r>
          </w:p>
          <w:p w14:paraId="19A1A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3、每通道输入延时10ms，输出延时≥7ms，步进≥0.01ms，支持修改设备号（修改IP地址）；（提供国家权威机构出具的电子检测机构出具的检测报告）</w:t>
            </w:r>
          </w:p>
          <w:p w14:paraId="58C54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4、支持≥2x2音频路由混音，混音比例-80dB～+18dB；</w:t>
            </w:r>
          </w:p>
          <w:p w14:paraId="5789AB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5、★每通道支持≥15段参量均衡调节，支持增益调节、支持延时调节，支持相位调节，支持压限调节（提供产品实物功能软件截图佐证加盖投标供应商公章）</w:t>
            </w:r>
          </w:p>
          <w:p w14:paraId="5BE163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6、支持机器间参数保存/调取；</w:t>
            </w:r>
          </w:p>
          <w:p w14:paraId="5C073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7、支持完善的预设管理(DSP内部有16个场景存储组)；</w:t>
            </w:r>
          </w:p>
          <w:p w14:paraId="198F0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8、支持一键恢复出厂设置； </w:t>
            </w:r>
          </w:p>
          <w:p w14:paraId="41CB1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9、可将数据保存至电脑和从电脑中恢复至设备；</w:t>
            </w:r>
          </w:p>
          <w:p w14:paraId="49568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10、额定功率：≥2×400W/8Ω，≥2×600W/4Ω，≥1×1200W/8Ω桥接；</w:t>
            </w:r>
          </w:p>
          <w:p w14:paraId="30A35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11、频率响应(±1dB)：≥20Hz～20KHz；</w:t>
            </w:r>
          </w:p>
          <w:p w14:paraId="2789CD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12、RMS输出电压：56.6V(THD=1%，1kHz)；</w:t>
            </w:r>
          </w:p>
          <w:p w14:paraId="4B0B8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13、信噪比：≥105dB (A计权, 1kHz, 噪声门开)；</w:t>
            </w:r>
          </w:p>
          <w:p w14:paraId="69F79E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14、输入灵敏度：0.9Vrms±10%(额定输出功率，1kHz)；</w:t>
            </w:r>
          </w:p>
          <w:p w14:paraId="54C54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15、总谐波失真：＜0.1%(10%额定输出功率，典型值) ；</w:t>
            </w:r>
          </w:p>
          <w:p w14:paraId="31C13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16、声道分离度：≥85dB(低于额定功率，1kHz)；</w:t>
            </w:r>
          </w:p>
          <w:p w14:paraId="540CC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17、输入阻抗：≥20kΩ（平衡），≥10kΩ（非平衡）</w:t>
            </w:r>
          </w:p>
          <w:p w14:paraId="78A59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18、阻尼系数：≥500 (8Ω, 20-200Hz)</w:t>
            </w:r>
          </w:p>
          <w:p w14:paraId="28D33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19、安全性保护功能：为有效保障设备使用安全，功放需具备放大器过载保护装置功能并提供国家权威机构所颁发的证明文件加盖投标供应商公章；</w:t>
            </w:r>
          </w:p>
        </w:tc>
        <w:tc>
          <w:tcPr>
            <w:tcW w:w="728" w:type="dxa"/>
            <w:noWrap/>
            <w:vAlign w:val="center"/>
          </w:tcPr>
          <w:p w14:paraId="21AB3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4F82A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7EF65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DBA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3830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2FD63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5738" w:type="dxa"/>
            <w:noWrap w:val="0"/>
            <w:vAlign w:val="center"/>
          </w:tcPr>
          <w:p w14:paraId="11571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1、不少于8路MIC/LINE（COMBO XLR接口），不少于2组立体声输入（XLR接口），不少于1组立体声RCA输入，不少于1组返回输入（2路 6.35接口）不少于1路USB输入；</w:t>
            </w:r>
          </w:p>
          <w:p w14:paraId="6F90E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2、不少于8路插入点（6.35接口）</w:t>
            </w:r>
          </w:p>
          <w:p w14:paraId="675C2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3、不少于两组立体声输出，不少于2路编组输出，不少于2路辅助输出，不少于1路立体声监听输出，不少于1路立体声耳机输出，不少于1组立体声录音输出；</w:t>
            </w:r>
          </w:p>
          <w:p w14:paraId="6EAAC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4、效果可以发送至辅助输出，编组输出与立体声输出；</w:t>
            </w:r>
          </w:p>
          <w:p w14:paraId="4B8AC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5、多媒体输入可以发送至辅助输出、编组输出与立体声输出；</w:t>
            </w:r>
          </w:p>
          <w:p w14:paraId="6A737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6、每路话放带低切功能；</w:t>
            </w:r>
          </w:p>
          <w:p w14:paraId="28C2A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7、不少于两路输入内置反馈抑制功能；</w:t>
            </w:r>
          </w:p>
          <w:p w14:paraId="50F44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8、支持蓝牙接收功能；</w:t>
            </w:r>
          </w:p>
        </w:tc>
        <w:tc>
          <w:tcPr>
            <w:tcW w:w="728" w:type="dxa"/>
            <w:noWrap/>
            <w:vAlign w:val="center"/>
          </w:tcPr>
          <w:p w14:paraId="5427B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1D358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1C9C0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700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7D57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63FF8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音频处理器</w:t>
            </w:r>
          </w:p>
        </w:tc>
        <w:tc>
          <w:tcPr>
            <w:tcW w:w="5738" w:type="dxa"/>
            <w:noWrap w:val="0"/>
            <w:vAlign w:val="center"/>
          </w:tcPr>
          <w:p w14:paraId="35C33C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1、不少于3进6出自由路由分配</w:t>
            </w:r>
          </w:p>
          <w:p w14:paraId="283B3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2、DSP采样率：48KHz；量化深度：24bit;</w:t>
            </w:r>
          </w:p>
          <w:p w14:paraId="5363E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3、静音调节；增益调节：-80dB至+12dB</w:t>
            </w:r>
          </w:p>
          <w:p w14:paraId="6D30C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4、延时调节：0ms-1200ms</w:t>
            </w:r>
          </w:p>
          <w:p w14:paraId="0A162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5、支持中控管理。</w:t>
            </w:r>
          </w:p>
          <w:p w14:paraId="540C4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6、设置实时温度（影响声速从而影响延时的距离）</w:t>
            </w:r>
          </w:p>
          <w:p w14:paraId="4506E6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7、设备具有参数锁且可设置密码</w:t>
            </w:r>
          </w:p>
          <w:p w14:paraId="512327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8、主界面显示两个通道的实时温度以及静音状态（提供界面显示功能截图）</w:t>
            </w:r>
          </w:p>
        </w:tc>
        <w:tc>
          <w:tcPr>
            <w:tcW w:w="728" w:type="dxa"/>
            <w:noWrap/>
            <w:vAlign w:val="center"/>
          </w:tcPr>
          <w:p w14:paraId="38CAA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2F557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4B615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B8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CB36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72EC2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话筒处理器</w:t>
            </w:r>
          </w:p>
        </w:tc>
        <w:tc>
          <w:tcPr>
            <w:tcW w:w="5738" w:type="dxa"/>
            <w:noWrap w:val="0"/>
            <w:vAlign w:val="center"/>
          </w:tcPr>
          <w:p w14:paraId="6BAA6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1、它采用回音抵消和消除混响的算法，有效滤除房间混响，从而实现消除声学反馈的目的。</w:t>
            </w:r>
          </w:p>
          <w:p w14:paraId="70159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2、任何使用情况下都可获得6dB的增益最高达12dB</w:t>
            </w:r>
          </w:p>
          <w:p w14:paraId="61824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3、不少于十路卡侬口输入,每路麦克风独立幻像48V开关（提供产品实物功能接口图并加盖投标供应商公章）</w:t>
            </w:r>
          </w:p>
          <w:p w14:paraId="5020E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4、前置麦克风输出总音量调节</w:t>
            </w:r>
          </w:p>
          <w:p w14:paraId="1C27B7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5、每路麦克风独立增益调节</w:t>
            </w:r>
          </w:p>
          <w:p w14:paraId="66527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6、MUSIC输入RCA口、AUX输入RCA口、AUX输出RCA口、独具录播音频RCA输出口、输入灵敏度-32dB～-56dB、两路OUTPUT音频输出、OUTPUT输出音调前置调节</w:t>
            </w:r>
          </w:p>
        </w:tc>
        <w:tc>
          <w:tcPr>
            <w:tcW w:w="728" w:type="dxa"/>
            <w:noWrap/>
            <w:vAlign w:val="center"/>
          </w:tcPr>
          <w:p w14:paraId="2E677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03ABB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6B54B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87C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7DE0F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2478B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一拖四无线会议麦克风（方管）</w:t>
            </w:r>
          </w:p>
        </w:tc>
        <w:tc>
          <w:tcPr>
            <w:tcW w:w="5738" w:type="dxa"/>
            <w:noWrap w:val="0"/>
            <w:vAlign w:val="center"/>
          </w:tcPr>
          <w:p w14:paraId="040BA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采用金属机箱结构设计、结构优化、具有很好的散热、隔离谐波干扰等效果；</w:t>
            </w:r>
          </w:p>
          <w:p w14:paraId="2F344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综合技术参数：</w:t>
            </w:r>
          </w:p>
          <w:p w14:paraId="3DFBB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载波频段：UHF615.000-694.170MHz</w:t>
            </w:r>
          </w:p>
          <w:p w14:paraId="19A47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单机频带宽度：80MHz</w:t>
            </w:r>
          </w:p>
          <w:p w14:paraId="10BDC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单机频道数量：200个(B组）、48个（C组）</w:t>
            </w:r>
          </w:p>
          <w:p w14:paraId="22F1C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综合T.H.D.：&lt;1%@1kHz</w:t>
            </w:r>
          </w:p>
          <w:p w14:paraId="6C6B6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频率响应：65Hz-15kHz</w:t>
            </w:r>
          </w:p>
          <w:p w14:paraId="504AE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电源供应：DC 12V</w:t>
            </w:r>
          </w:p>
          <w:p w14:paraId="2E631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供电方式：三节AA电池</w:t>
            </w:r>
          </w:p>
        </w:tc>
        <w:tc>
          <w:tcPr>
            <w:tcW w:w="728" w:type="dxa"/>
            <w:noWrap/>
            <w:vAlign w:val="center"/>
          </w:tcPr>
          <w:p w14:paraId="5D798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367FD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0"/>
            <w:vAlign w:val="center"/>
          </w:tcPr>
          <w:p w14:paraId="242CE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10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DA4B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30292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738" w:type="dxa"/>
            <w:noWrap w:val="0"/>
            <w:vAlign w:val="center"/>
          </w:tcPr>
          <w:p w14:paraId="17D2F2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1、前面板LED电源电压指示；总电源独立空气开关控制，带过流、漏电保护；</w:t>
            </w:r>
          </w:p>
          <w:p w14:paraId="11CC4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2、支持RS232串口控制、短路控制、级联控制、远程控制；</w:t>
            </w:r>
          </w:p>
          <w:p w14:paraId="22187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3、每路交流输出电源带独立控制按键和LED指示灯</w:t>
            </w:r>
          </w:p>
          <w:p w14:paraId="405E1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4、电源总功率不小于80A；</w:t>
            </w:r>
          </w:p>
          <w:p w14:paraId="170C4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5、电源电压显示精度不低于±2%；</w:t>
            </w:r>
          </w:p>
          <w:p w14:paraId="48ACC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6、不少于14路可控交流电源输出</w:t>
            </w:r>
          </w:p>
          <w:p w14:paraId="1325D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不少于6路直流12V/1.2A输出、1路USB接口的DC5V输出；（提供产品实物功能接口图并加盖投标供应商公章，提供国家权威机构出具的检测报告扫描件并加盖投标供应商公章，报告含“CMA”、“CNAS”、“ilac-MRA”认证）</w:t>
            </w:r>
          </w:p>
          <w:p w14:paraId="3F142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8、单通道最大输出电流不小于20A；（国标五孔插座）</w:t>
            </w:r>
          </w:p>
          <w:p w14:paraId="315341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9、时序延迟时间：≥0.5S；</w:t>
            </w:r>
          </w:p>
          <w:p w14:paraId="26BAA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10、电源工作范围：AC 220V±10% 50Hz/60Hz</w:t>
            </w:r>
          </w:p>
        </w:tc>
        <w:tc>
          <w:tcPr>
            <w:tcW w:w="728" w:type="dxa"/>
            <w:noWrap/>
            <w:vAlign w:val="center"/>
          </w:tcPr>
          <w:p w14:paraId="5051F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41BC1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6A859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4DC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43FC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55F4F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5738" w:type="dxa"/>
            <w:noWrap w:val="0"/>
            <w:vAlign w:val="center"/>
          </w:tcPr>
          <w:p w14:paraId="09768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包含管材、线材、机柜及施工等</w:t>
            </w:r>
          </w:p>
        </w:tc>
        <w:tc>
          <w:tcPr>
            <w:tcW w:w="728" w:type="dxa"/>
            <w:noWrap/>
            <w:vAlign w:val="center"/>
          </w:tcPr>
          <w:p w14:paraId="3CFC6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2EB3C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0"/>
            <w:vAlign w:val="center"/>
          </w:tcPr>
          <w:p w14:paraId="270B2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ABD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147E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0968C3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55寸电视机</w:t>
            </w:r>
          </w:p>
        </w:tc>
        <w:tc>
          <w:tcPr>
            <w:tcW w:w="5738" w:type="dxa"/>
            <w:noWrap w:val="0"/>
            <w:vAlign w:val="center"/>
          </w:tcPr>
          <w:p w14:paraId="0D38FB0B">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显示参数</w:t>
            </w:r>
          </w:p>
          <w:p w14:paraId="1094874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屏幕尺寸:55英寸</w:t>
            </w:r>
          </w:p>
          <w:p w14:paraId="6D23500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屏幕分辨率:超高清（3840×2160）</w:t>
            </w:r>
          </w:p>
          <w:p w14:paraId="3A1CFC2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屏幕比例:16:9</w:t>
            </w:r>
          </w:p>
          <w:p w14:paraId="25884FB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屏幕等级:A+</w:t>
            </w:r>
          </w:p>
          <w:p w14:paraId="6E119B78">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背光源:LED</w:t>
            </w:r>
          </w:p>
          <w:p w14:paraId="18DD31C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背光方式:直下式</w:t>
            </w:r>
          </w:p>
          <w:p w14:paraId="36DB434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对比度：50000：1</w:t>
            </w:r>
          </w:p>
          <w:p w14:paraId="16676D9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刷新频率:60Hz</w:t>
            </w:r>
          </w:p>
          <w:p w14:paraId="0E26D6A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扫描方式:逐行扫描</w:t>
            </w:r>
          </w:p>
          <w:p w14:paraId="646BECA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响应时间:8ms</w:t>
            </w:r>
          </w:p>
          <w:p w14:paraId="7A7ECF5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支持格式（超高清）:2160p、1080p、1080i、720p</w:t>
            </w:r>
          </w:p>
          <w:p w14:paraId="45093DF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支持HDR10解码</w:t>
            </w:r>
          </w:p>
        </w:tc>
        <w:tc>
          <w:tcPr>
            <w:tcW w:w="728" w:type="dxa"/>
            <w:noWrap/>
            <w:vAlign w:val="center"/>
          </w:tcPr>
          <w:p w14:paraId="494E2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34" w:type="dxa"/>
            <w:noWrap w:val="0"/>
            <w:vAlign w:val="center"/>
          </w:tcPr>
          <w:p w14:paraId="62197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7DFAF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809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5BF6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66B41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5738" w:type="dxa"/>
            <w:noWrap w:val="0"/>
            <w:vAlign w:val="center"/>
          </w:tcPr>
          <w:p w14:paraId="77141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1、像数点间距≤2.5mm;像素密度：160000点/㎡ ;单元尺寸（W*H）:320mm*160mm；显示屏尺寸; 长5.44m*高2.4m</w:t>
            </w:r>
          </w:p>
          <w:p w14:paraId="38757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2、投标产品具有整屏平整度≤0.1mm；模组间拼缝≤0.1mm；刷新率≥3840Hz</w:t>
            </w:r>
          </w:p>
          <w:p w14:paraId="6B285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3、单元板采用塑钢底壳工艺，底壳材质为塑钢底壳。</w:t>
            </w:r>
          </w:p>
          <w:p w14:paraId="3243C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4、亮度与视角关系：中央亮度=100cd/㎡白场时，水平视角80°时亮度衰减率≤10%,垂直视角60°时亮度衰减率≤10%（投标时提供具有CNAS标识的检测报告证明并加盖投标供应商公章）</w:t>
            </w:r>
          </w:p>
          <w:p w14:paraId="6B51E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5、投标产品水平左右视角≥170°、垂直上下视角≥170°； 亮度均匀性≥99%。</w:t>
            </w:r>
          </w:p>
          <w:p w14:paraId="70668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6、峰值功耗：≤350w/㎡；典型功耗：≤170w/㎡。供电要求110~220VAC</w:t>
            </w:r>
          </w:p>
          <w:p w14:paraId="63092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7、具有防蓝光功能，蓝光辐射能量≤20%（投标时提供具有CNAS标识的检测报告证明并加盖投标供应商公章）  </w:t>
            </w:r>
          </w:p>
          <w:p w14:paraId="1DF35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8、冲击试验：对产品进行150m/s²,11ms,6个面各三次冲击试验，试验后产品无异常</w:t>
            </w:r>
          </w:p>
          <w:p w14:paraId="7E8ED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9、噪声：符合CB22337-2008《社会生活环境噪声排放标准》前、后、左、右噪声均不超过2.0dB</w:t>
            </w:r>
          </w:p>
          <w:p w14:paraId="48C454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10、温升：按照GB4943.1-2011《信息技术设备安全第1部分：通电要求》进行温升测试，最大亮度白色连续工作2小时，模组表面温升小于20℃</w:t>
            </w:r>
          </w:p>
          <w:p w14:paraId="70ADE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11、投标产品具有抗振动测试频率10～55Hz，振幅0.35mm，3个轴向，每一轴向循环50次，每次时间5min，试验后产品无异常</w:t>
            </w:r>
          </w:p>
          <w:p w14:paraId="62AF4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strike w:val="0"/>
                <w:color w:val="auto"/>
                <w:kern w:val="0"/>
                <w:sz w:val="18"/>
                <w:szCs w:val="18"/>
                <w:highlight w:val="none"/>
                <w:u w:val="none"/>
                <w:lang w:val="en-US" w:eastAsia="zh-CN" w:bidi="ar"/>
              </w:rPr>
              <w:t>12、★</w:t>
            </w:r>
            <w:r>
              <w:rPr>
                <w:rFonts w:hint="eastAsia" w:ascii="宋体" w:hAnsi="宋体" w:eastAsia="宋体" w:cs="宋体"/>
                <w:i w:val="0"/>
                <w:iCs w:val="0"/>
                <w:color w:val="auto"/>
                <w:kern w:val="0"/>
                <w:sz w:val="18"/>
                <w:szCs w:val="18"/>
                <w:highlight w:val="none"/>
                <w:u w:val="none"/>
                <w:lang w:val="en-US" w:eastAsia="zh-CN" w:bidi="ar"/>
              </w:rPr>
              <w:t>为确保品牌真实性，投标文件中须承诺如中标，在中标通知书发出后7日内提供针对本项目原厂授权书及质保函，否则按提供虚假材料谋求中标处理。</w:t>
            </w:r>
          </w:p>
        </w:tc>
        <w:tc>
          <w:tcPr>
            <w:tcW w:w="728" w:type="dxa"/>
            <w:noWrap/>
            <w:vAlign w:val="center"/>
          </w:tcPr>
          <w:p w14:paraId="787E9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13.06</w:t>
            </w:r>
          </w:p>
        </w:tc>
        <w:tc>
          <w:tcPr>
            <w:tcW w:w="534" w:type="dxa"/>
            <w:noWrap w:val="0"/>
            <w:vAlign w:val="center"/>
          </w:tcPr>
          <w:p w14:paraId="145C5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0"/>
            <w:vAlign w:val="center"/>
          </w:tcPr>
          <w:p w14:paraId="273E0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D5F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7C3C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6720E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5738" w:type="dxa"/>
            <w:noWrap w:val="0"/>
            <w:vAlign w:val="center"/>
          </w:tcPr>
          <w:p w14:paraId="09EB9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728" w:type="dxa"/>
            <w:noWrap/>
            <w:vAlign w:val="center"/>
          </w:tcPr>
          <w:p w14:paraId="4B11D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534" w:type="dxa"/>
            <w:noWrap w:val="0"/>
            <w:vAlign w:val="center"/>
          </w:tcPr>
          <w:p w14:paraId="7561A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2D315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677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2822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230F0D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接收卡     </w:t>
            </w:r>
          </w:p>
        </w:tc>
        <w:tc>
          <w:tcPr>
            <w:tcW w:w="5738" w:type="dxa"/>
            <w:noWrap w:val="0"/>
            <w:vAlign w:val="center"/>
          </w:tcPr>
          <w:p w14:paraId="794CB77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1.支持逐点亮色度校正，可以对每个灯点的亮度和色度进项校正，有效消除色差，使整屏的亮度和速度达到高度均匀一致，提高显示屏的画质。</w:t>
            </w:r>
          </w:p>
          <w:p w14:paraId="44BAD30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2.投标时提供一种接收卡的实用新型证书</w:t>
            </w:r>
          </w:p>
          <w:p w14:paraId="648537D8">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3.快速亮暗线调节在调试软件上进行快速亮暗线调节，快速解决因箱体及模组拼接造成的显示屏亮暗线，调节过程中即时生效，简单易用。</w:t>
            </w:r>
          </w:p>
          <w:p w14:paraId="63BF411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4.可以将指定图片设置为显示屏的开机、网线断开或无视频源信号时的画面或者最后一帧画面。</w:t>
            </w:r>
          </w:p>
          <w:p w14:paraId="58607F2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5.可以监测自身的温度和电压，无需其他外设，在软件上可以查看接收卡的温度和电压。</w:t>
            </w:r>
          </w:p>
          <w:p w14:paraId="7355B8A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6.检测发送设备与接收卡间或接收卡与接收卡间的网络通讯质量，记录错误包数，协助排除网络通讯隐患。</w:t>
            </w:r>
          </w:p>
          <w:p w14:paraId="0B10541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7.支持5pin液晶模块，用于显示接收卡的温度、电压、单次运行时间和总运行时间。</w:t>
            </w:r>
          </w:p>
          <w:p w14:paraId="4F50FCA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8.支持千兆网，可通过网线直接连接到PC端进行调试和显示，无需发送卡。</w:t>
            </w:r>
          </w:p>
          <w:p w14:paraId="1454B98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9.★投标时提供一种实现屏幕拼接的系统及方法证书</w:t>
            </w:r>
          </w:p>
          <w:p w14:paraId="6E567DB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10.投标时提供多屏控制的图像显示系统、方法及多屏控制装置证书</w:t>
            </w:r>
          </w:p>
          <w:p w14:paraId="3783F754">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11.支持各种PWM芯片、逐点检测芯片及通用芯片；支持任意抽点，实现各种异形屏拼接。</w:t>
            </w:r>
          </w:p>
          <w:p w14:paraId="4F4340C3">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12.支持色彩变换技术，使人脸肤色更真实；支持任意倍增技术，手机拍摄无扫描线。</w:t>
            </w:r>
          </w:p>
          <w:p w14:paraId="7BCC8206">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13.为保证产品的稳定性及可靠性，需在检验环境温度21℃-26摄氏度，湿度（%RH）:62-71,大气压力（kPa）：100.2-101.8</w:t>
            </w:r>
          </w:p>
          <w:p w14:paraId="45FE2ADE">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14.设备在正常工作条件下，连续工作168h，不应出现电、机械或操作系统的故障。</w:t>
            </w:r>
          </w:p>
          <w:p w14:paraId="55C30DEF">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15.产品放入60℃±2℃，90%RH±3%RH环境中，通电连续工作48小时，试验过程中能正常工作，外观无明显变形，损伤。</w:t>
            </w:r>
          </w:p>
          <w:p w14:paraId="518203F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16.为保证系统的兼容性及稳定性控制系统需与LED显示屏为同一品牌，投标时提供证明文件</w:t>
            </w:r>
          </w:p>
        </w:tc>
        <w:tc>
          <w:tcPr>
            <w:tcW w:w="728" w:type="dxa"/>
            <w:noWrap/>
            <w:vAlign w:val="center"/>
          </w:tcPr>
          <w:p w14:paraId="674ED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34" w:type="dxa"/>
            <w:noWrap w:val="0"/>
            <w:vAlign w:val="center"/>
          </w:tcPr>
          <w:p w14:paraId="442DC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647" w:type="dxa"/>
            <w:noWrap w:val="0"/>
            <w:vAlign w:val="center"/>
          </w:tcPr>
          <w:p w14:paraId="693F7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10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8A0E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374B82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738" w:type="dxa"/>
            <w:noWrap w:val="0"/>
            <w:vAlign w:val="center"/>
          </w:tcPr>
          <w:p w14:paraId="2FDB2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1、输入接口：支持1路DVI、1路HDMI，1路VGA,1路USB播放，1路CVBS</w:t>
            </w:r>
          </w:p>
          <w:p w14:paraId="0A453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2、带载能力：支持4路千兆网口输出，带载能力 ≥130万像素点</w:t>
            </w:r>
          </w:p>
          <w:p w14:paraId="2A1B6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3.无需电脑，支持通过设备旋转按钮快捷配屏和高级配屏功能点亮屏体，简单操作即可完成屏体配置。</w:t>
            </w:r>
          </w:p>
          <w:p w14:paraId="1BD5C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4.为保证系统的兼容性和稳定性，发送卡和视频处理器为二合一产品。</w:t>
            </w:r>
          </w:p>
          <w:p w14:paraId="76E8B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5.无需电脑，FREEZE画面冻结按键可以快捷冻结画面。</w:t>
            </w:r>
          </w:p>
        </w:tc>
        <w:tc>
          <w:tcPr>
            <w:tcW w:w="728" w:type="dxa"/>
            <w:noWrap/>
            <w:vAlign w:val="center"/>
          </w:tcPr>
          <w:p w14:paraId="77FEF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16435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47" w:type="dxa"/>
            <w:noWrap w:val="0"/>
            <w:vAlign w:val="center"/>
          </w:tcPr>
          <w:p w14:paraId="007A3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965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7C3E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1F7CB7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738" w:type="dxa"/>
            <w:noWrap w:val="0"/>
            <w:vAlign w:val="center"/>
          </w:tcPr>
          <w:p w14:paraId="24166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728" w:type="dxa"/>
            <w:noWrap/>
            <w:vAlign w:val="center"/>
          </w:tcPr>
          <w:p w14:paraId="6D54E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1F5E7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0"/>
            <w:vAlign w:val="center"/>
          </w:tcPr>
          <w:p w14:paraId="5A061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BA9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EB2D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820" w:type="dxa"/>
            <w:noWrap w:val="0"/>
            <w:vAlign w:val="center"/>
          </w:tcPr>
          <w:p w14:paraId="13CAAA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5738" w:type="dxa"/>
            <w:noWrap w:val="0"/>
            <w:vAlign w:val="center"/>
          </w:tcPr>
          <w:p w14:paraId="4EE23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按实际所用功率进行定制                                                                                                                                                           </w:t>
            </w:r>
          </w:p>
        </w:tc>
        <w:tc>
          <w:tcPr>
            <w:tcW w:w="728" w:type="dxa"/>
            <w:noWrap/>
            <w:vAlign w:val="center"/>
          </w:tcPr>
          <w:p w14:paraId="684B0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225DA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47" w:type="dxa"/>
            <w:noWrap w:val="0"/>
            <w:vAlign w:val="center"/>
          </w:tcPr>
          <w:p w14:paraId="07A73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807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08F2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20" w:type="dxa"/>
            <w:noWrap w:val="0"/>
            <w:vAlign w:val="center"/>
          </w:tcPr>
          <w:p w14:paraId="6C7C7D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安装服务</w:t>
            </w:r>
          </w:p>
        </w:tc>
        <w:tc>
          <w:tcPr>
            <w:tcW w:w="5738" w:type="dxa"/>
            <w:noWrap w:val="0"/>
            <w:vAlign w:val="center"/>
          </w:tcPr>
          <w:p w14:paraId="34E46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专业安装及调试</w:t>
            </w:r>
          </w:p>
        </w:tc>
        <w:tc>
          <w:tcPr>
            <w:tcW w:w="728" w:type="dxa"/>
            <w:noWrap/>
            <w:vAlign w:val="center"/>
          </w:tcPr>
          <w:p w14:paraId="01A78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13.06</w:t>
            </w:r>
          </w:p>
        </w:tc>
        <w:tc>
          <w:tcPr>
            <w:tcW w:w="534" w:type="dxa"/>
            <w:noWrap w:val="0"/>
            <w:vAlign w:val="center"/>
          </w:tcPr>
          <w:p w14:paraId="655B0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0"/>
            <w:vAlign w:val="center"/>
          </w:tcPr>
          <w:p w14:paraId="5C2B4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C82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864D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21</w:t>
            </w:r>
          </w:p>
        </w:tc>
        <w:tc>
          <w:tcPr>
            <w:tcW w:w="820" w:type="dxa"/>
            <w:noWrap w:val="0"/>
            <w:vAlign w:val="center"/>
          </w:tcPr>
          <w:p w14:paraId="01A830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5738" w:type="dxa"/>
            <w:noWrap w:val="0"/>
            <w:vAlign w:val="center"/>
          </w:tcPr>
          <w:p w14:paraId="20E68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定制结构、框架，满足屏体安装使用需求，用材符合国家标准；外框、包边根据采购人实际使用环境进行定制，保证整体装饰美观大方；</w:t>
            </w:r>
          </w:p>
        </w:tc>
        <w:tc>
          <w:tcPr>
            <w:tcW w:w="728" w:type="dxa"/>
            <w:noWrap/>
            <w:vAlign w:val="center"/>
          </w:tcPr>
          <w:p w14:paraId="297C1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13.06</w:t>
            </w:r>
          </w:p>
        </w:tc>
        <w:tc>
          <w:tcPr>
            <w:tcW w:w="534" w:type="dxa"/>
            <w:noWrap w:val="0"/>
            <w:vAlign w:val="center"/>
          </w:tcPr>
          <w:p w14:paraId="48B21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47" w:type="dxa"/>
            <w:noWrap w:val="0"/>
            <w:vAlign w:val="center"/>
          </w:tcPr>
          <w:p w14:paraId="3AB18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08C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A02F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22</w:t>
            </w:r>
          </w:p>
        </w:tc>
        <w:tc>
          <w:tcPr>
            <w:tcW w:w="820" w:type="dxa"/>
            <w:noWrap w:val="0"/>
            <w:vAlign w:val="center"/>
          </w:tcPr>
          <w:p w14:paraId="534E7C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5738" w:type="dxa"/>
            <w:noWrap w:val="0"/>
            <w:vAlign w:val="center"/>
          </w:tcPr>
          <w:p w14:paraId="360EA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屏体内部电缆线，长排线，超五类网线等                                                                                                                                                                 </w:t>
            </w:r>
          </w:p>
        </w:tc>
        <w:tc>
          <w:tcPr>
            <w:tcW w:w="728" w:type="dxa"/>
            <w:noWrap/>
            <w:vAlign w:val="center"/>
          </w:tcPr>
          <w:p w14:paraId="0D943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3A818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0"/>
            <w:vAlign w:val="center"/>
          </w:tcPr>
          <w:p w14:paraId="7C1A25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639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360C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23</w:t>
            </w:r>
          </w:p>
        </w:tc>
        <w:tc>
          <w:tcPr>
            <w:tcW w:w="820" w:type="dxa"/>
            <w:noWrap w:val="0"/>
            <w:vAlign w:val="center"/>
          </w:tcPr>
          <w:p w14:paraId="7653DE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5738" w:type="dxa"/>
            <w:noWrap w:val="0"/>
            <w:vAlign w:val="center"/>
          </w:tcPr>
          <w:p w14:paraId="758B1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根据屏体面积按国标规格布线（主电缆线、网络线）</w:t>
            </w:r>
          </w:p>
        </w:tc>
        <w:tc>
          <w:tcPr>
            <w:tcW w:w="728" w:type="dxa"/>
            <w:noWrap/>
            <w:vAlign w:val="center"/>
          </w:tcPr>
          <w:p w14:paraId="53B05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4" w:type="dxa"/>
            <w:noWrap w:val="0"/>
            <w:vAlign w:val="center"/>
          </w:tcPr>
          <w:p w14:paraId="359F5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647" w:type="dxa"/>
            <w:noWrap w:val="0"/>
            <w:vAlign w:val="center"/>
          </w:tcPr>
          <w:p w14:paraId="6D845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16F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auto" w:fill="DCE6F2"/>
            <w:noWrap w:val="0"/>
            <w:vAlign w:val="center"/>
          </w:tcPr>
          <w:p w14:paraId="4B58B1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六、3楼会议室部分</w:t>
            </w:r>
          </w:p>
        </w:tc>
        <w:tc>
          <w:tcPr>
            <w:tcW w:w="647" w:type="dxa"/>
            <w:shd w:val="clear" w:color="auto" w:fill="DCE6F2"/>
            <w:noWrap w:val="0"/>
            <w:vAlign w:val="center"/>
          </w:tcPr>
          <w:p w14:paraId="1CC2BB3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p>
        </w:tc>
      </w:tr>
      <w:tr w14:paraId="7AD5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D954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78F23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主音箱</w:t>
            </w:r>
          </w:p>
        </w:tc>
        <w:tc>
          <w:tcPr>
            <w:tcW w:w="5738" w:type="dxa"/>
            <w:noWrap w:val="0"/>
            <w:vAlign w:val="center"/>
          </w:tcPr>
          <w:p w14:paraId="269D5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1、不小于1×5"两分频同轴驱动单元；</w:t>
            </w:r>
          </w:p>
          <w:p w14:paraId="3EA5F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2、额定功率不小于150W/8Ω； </w:t>
            </w:r>
          </w:p>
          <w:p w14:paraId="44EF2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3、特性灵敏度不小于92dB/1w/1m（有效频响范围平均）</w:t>
            </w:r>
          </w:p>
          <w:p w14:paraId="05AF3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4、最大声压级不小于120dB</w:t>
            </w:r>
          </w:p>
          <w:p w14:paraId="333C0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5、额定频率范围（-10dB）100Hz-18KHz；</w:t>
            </w:r>
          </w:p>
          <w:p w14:paraId="5E2F6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6、覆盖角度(H×V)：70°×70°</w:t>
            </w:r>
          </w:p>
          <w:p w14:paraId="597E2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7、考虑嵌入式隐藏安装空间，箱体尺寸不大于195(高)×175(宽)×175(深)</w:t>
            </w:r>
          </w:p>
          <w:p w14:paraId="285CE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8、以上参数第2、3、5、6项应出具内容相符合第三方检测报告，报告出具机构符合CMA/CNAS认可，并提供复印件并加盖投标人公章（中标公示期原件备查）；</w:t>
            </w:r>
          </w:p>
          <w:p w14:paraId="21104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9、为保证项目质量、技术性能真实性，技术参数第3项应出具内容相符合的KLIPPEL、CLIO、LMS、B&amp;K或同类型声学开发测量软件在全消声室或半自由声场内的特性灵敏度测试响应曲线图（加盖供应商公章）。 </w:t>
            </w:r>
          </w:p>
        </w:tc>
        <w:tc>
          <w:tcPr>
            <w:tcW w:w="728" w:type="dxa"/>
            <w:noWrap/>
            <w:vAlign w:val="center"/>
          </w:tcPr>
          <w:p w14:paraId="4B86D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534" w:type="dxa"/>
            <w:noWrap w:val="0"/>
            <w:vAlign w:val="center"/>
          </w:tcPr>
          <w:p w14:paraId="1F4D0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1B2BA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1FD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AC55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1AD99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5738" w:type="dxa"/>
            <w:noWrap w:val="0"/>
            <w:vAlign w:val="center"/>
          </w:tcPr>
          <w:p w14:paraId="38DA1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1、适应不同场合所需，可选立体声或桥接工作模式。</w:t>
            </w:r>
          </w:p>
          <w:p w14:paraId="7E657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2、具有高通、低通和直通选择功能，通过高、低通设置，可方便的构成电子分频系统，可不需要再使用电子分频器。</w:t>
            </w:r>
          </w:p>
          <w:p w14:paraId="29C9F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3、开机软启动，有效防止浪涌冲击。</w:t>
            </w:r>
          </w:p>
          <w:p w14:paraId="47436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4、标准XLR+TRS1/4” 输入接口。</w:t>
            </w:r>
          </w:p>
          <w:p w14:paraId="606F75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5、智能控制强制散热设计。</w:t>
            </w:r>
          </w:p>
          <w:p w14:paraId="32612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6、安全性保护功能：具备放大器过载保护装置功能（提供国家权威机构所颁发的相关技术证明文件并加盖投标供应商公章）</w:t>
            </w:r>
          </w:p>
          <w:p w14:paraId="0A083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7、额定功率：≥4×150W/8Ω ≥ 4×220W/4Ω  ≥2×440W/8Ω桥接 ；</w:t>
            </w:r>
          </w:p>
          <w:p w14:paraId="57B01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8、频率响应: 20Hz～20KHz±1dB ；</w:t>
            </w:r>
          </w:p>
          <w:p w14:paraId="703651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9、总谐波失真：≤0.5% ；</w:t>
            </w:r>
          </w:p>
          <w:p w14:paraId="6ED03B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10、输入灵敏度：0dB(775mv) ；</w:t>
            </w:r>
          </w:p>
          <w:p w14:paraId="40167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11、输入阻抗：平衡20KΩ，不平衡10KΩ； </w:t>
            </w:r>
          </w:p>
          <w:p w14:paraId="1486F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12、信噪比（a计权）：≥93dB ；</w:t>
            </w:r>
          </w:p>
          <w:p w14:paraId="42BBF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13、净尺寸（宽×高×深）：≤480×450×115mm； </w:t>
            </w:r>
          </w:p>
          <w:p w14:paraId="7AFFE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p>
        </w:tc>
        <w:tc>
          <w:tcPr>
            <w:tcW w:w="728" w:type="dxa"/>
            <w:noWrap/>
            <w:vAlign w:val="center"/>
          </w:tcPr>
          <w:p w14:paraId="1062D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2D9C6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03D1A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9B3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435C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2931B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5738" w:type="dxa"/>
            <w:noWrap w:val="0"/>
            <w:vAlign w:val="center"/>
          </w:tcPr>
          <w:p w14:paraId="7C477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1、不少于8路MIC/LINE（COMBO XLR接口），不少于2组立体声输入（XLR接口），不少于1组立体声RCA输入，不少于1组返回输入（2路 6.35接口）不少于1路USB输入；</w:t>
            </w:r>
          </w:p>
          <w:p w14:paraId="11735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2、不少于8路插入点（6.35接口）</w:t>
            </w:r>
          </w:p>
          <w:p w14:paraId="15EEA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3、不少于两组立体声输出，不少于2路编组输出，不少于2路辅助输出，不少于1路立体声监听输出，不少于1路立体声耳机输出，不少于1组立体声录音输出；</w:t>
            </w:r>
          </w:p>
          <w:p w14:paraId="4F991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4、效果可以发送至辅助输出，编组输出与立体声输出；</w:t>
            </w:r>
          </w:p>
          <w:p w14:paraId="3299B2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5、多媒体输入可以发送至辅助输出、编组输出与立体声输出；</w:t>
            </w:r>
          </w:p>
          <w:p w14:paraId="36CE1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6、每路话放带低切功能；</w:t>
            </w:r>
          </w:p>
          <w:p w14:paraId="6B155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7、不少于两路输入内置反馈抑制功能；</w:t>
            </w:r>
          </w:p>
        </w:tc>
        <w:tc>
          <w:tcPr>
            <w:tcW w:w="728" w:type="dxa"/>
            <w:noWrap/>
            <w:vAlign w:val="center"/>
          </w:tcPr>
          <w:p w14:paraId="0B065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24B5E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620E2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CCA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BE39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73C13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会议主机</w:t>
            </w:r>
          </w:p>
        </w:tc>
        <w:tc>
          <w:tcPr>
            <w:tcW w:w="5738" w:type="dxa"/>
            <w:noWrap w:val="0"/>
            <w:vAlign w:val="center"/>
          </w:tcPr>
          <w:p w14:paraId="05ADD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1、会议主机支持无线传输与有线传输2种方式，无线会议单元与有线会议单元可以共用一个系统；</w:t>
            </w:r>
          </w:p>
          <w:p w14:paraId="1FC9C7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2、会议主机具有LCD显示屏，分级菜单显示，且有电量显示、欠压警告、频率信道和信号指示等显示功能；</w:t>
            </w:r>
          </w:p>
          <w:p w14:paraId="6DD36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3、会议系统具有轮替模式、限制模式、主席专有多种会议发言模式；</w:t>
            </w:r>
          </w:p>
          <w:p w14:paraId="20E72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4、会议主机自带视像跟踪模块，实现会议单元的视像跟踪功能；</w:t>
            </w:r>
          </w:p>
          <w:p w14:paraId="2BAC18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5、单台会议主机可挂载≦255席表决单元或≦1000席发言单元同时进行会议；</w:t>
            </w:r>
          </w:p>
          <w:p w14:paraId="25C4D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会议主机具有≥4路ANT信号接口、≥1路RS232接口、≥1路无线单元音频输出接口、≥1路有线单元音频输出接口、≥1路移频功能开关，≥1路音频混合输出接口、≥1路音频混合平衡输出接口、≥3个网络接口，≥1路USB音频接口（提供产品实物功能接口图并加盖投标供应商公章）</w:t>
            </w:r>
          </w:p>
        </w:tc>
        <w:tc>
          <w:tcPr>
            <w:tcW w:w="728" w:type="dxa"/>
            <w:noWrap/>
            <w:vAlign w:val="center"/>
          </w:tcPr>
          <w:p w14:paraId="4DC38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217EE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63F1C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5A9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BD3D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29678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主席单元(无线)</w:t>
            </w:r>
          </w:p>
        </w:tc>
        <w:tc>
          <w:tcPr>
            <w:tcW w:w="5738" w:type="dxa"/>
            <w:noWrap w:val="0"/>
            <w:vAlign w:val="center"/>
          </w:tcPr>
          <w:p w14:paraId="1EA51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32A26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2、主席话筒具有主席优先功能键，可一键关闭所有代表话筒</w:t>
            </w:r>
          </w:p>
          <w:p w14:paraId="0592D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3、单元具有抗手机、电磁、高频干扰能力；</w:t>
            </w:r>
          </w:p>
          <w:p w14:paraId="0EDFF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4、会议单元具有独立电源开关键，智能电路管理电池电量、具有实时电量显示；</w:t>
            </w:r>
          </w:p>
          <w:p w14:paraId="756ED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5、具有话筒开关按键，按下开关键咪管指示灯环亮，话筒为开启状态；</w:t>
            </w:r>
          </w:p>
          <w:p w14:paraId="69F9F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6、单元具有至少5个表决操作功能按键，配合会议系统专用管理软件具有投票、表决类功能；（提供产品实物功能接口图）</w:t>
            </w:r>
          </w:p>
        </w:tc>
        <w:tc>
          <w:tcPr>
            <w:tcW w:w="728" w:type="dxa"/>
            <w:noWrap/>
            <w:vAlign w:val="center"/>
          </w:tcPr>
          <w:p w14:paraId="45328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5AD04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27C1B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9B8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99B1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4B071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客席单元(无线)</w:t>
            </w:r>
          </w:p>
        </w:tc>
        <w:tc>
          <w:tcPr>
            <w:tcW w:w="5738" w:type="dxa"/>
            <w:noWrap w:val="0"/>
            <w:vAlign w:val="center"/>
          </w:tcPr>
          <w:p w14:paraId="5F8CD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1、新颖的结构设计，驻极体超心形指向性话筒，方管电容话筒；</w:t>
            </w:r>
          </w:p>
          <w:p w14:paraId="0C0134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2、单元具有抗手机、电磁、高频干扰能力；</w:t>
            </w:r>
          </w:p>
          <w:p w14:paraId="559D0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3、LCD显示屏，可显示话筒状态及系统菜单；</w:t>
            </w:r>
          </w:p>
          <w:p w14:paraId="7A81F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4、会议单元具有独立电源开关键，智能电路管理电池电量、具有实时电量显示；</w:t>
            </w:r>
          </w:p>
          <w:p w14:paraId="0A3E5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5、具有话筒开关按键，按下开关键咪管指示灯环亮，话筒为开启状态；</w:t>
            </w:r>
          </w:p>
        </w:tc>
        <w:tc>
          <w:tcPr>
            <w:tcW w:w="728" w:type="dxa"/>
            <w:noWrap/>
            <w:vAlign w:val="center"/>
          </w:tcPr>
          <w:p w14:paraId="72AA4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534" w:type="dxa"/>
            <w:noWrap w:val="0"/>
            <w:vAlign w:val="center"/>
          </w:tcPr>
          <w:p w14:paraId="7A1B7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62169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E10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A5D2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57960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高清会议摄像机</w:t>
            </w:r>
          </w:p>
        </w:tc>
        <w:tc>
          <w:tcPr>
            <w:tcW w:w="5738" w:type="dxa"/>
            <w:noWrap w:val="0"/>
            <w:vAlign w:val="center"/>
          </w:tcPr>
          <w:p w14:paraId="29E40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1、具有HDMI输出接口≥1路、USB3.0接口≥1路，支持同时输出1080P60视频；</w:t>
            </w:r>
          </w:p>
          <w:p w14:paraId="2CF3C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2、有效像素≥207万，视频分辨率支持1920*1080P60;</w:t>
            </w:r>
          </w:p>
          <w:p w14:paraId="7F4107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3、支持广角镜头≥72.5°、光学变焦≥12倍，数字变焦≥16倍，水平视场角72.5°-6.9°；</w:t>
            </w:r>
          </w:p>
          <w:p w14:paraId="0D807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4、支持图像冻结功能和图像翻转功能；</w:t>
            </w:r>
          </w:p>
          <w:p w14:paraId="68032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5、支持UVC协议控制PTZ（云台、变焦）操作；</w:t>
            </w:r>
          </w:p>
          <w:p w14:paraId="184B37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6、内置麦克风，拾音距离长达6米，高灵敏度，低底噪；</w:t>
            </w:r>
          </w:p>
          <w:p w14:paraId="422C1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7、支持RS232控制协议，对摄像机进行控制；</w:t>
            </w:r>
          </w:p>
        </w:tc>
        <w:tc>
          <w:tcPr>
            <w:tcW w:w="728" w:type="dxa"/>
            <w:noWrap/>
            <w:vAlign w:val="center"/>
          </w:tcPr>
          <w:p w14:paraId="12C34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2F48E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7E6B3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717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0DB5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7CE7B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738" w:type="dxa"/>
            <w:noWrap w:val="0"/>
            <w:vAlign w:val="center"/>
          </w:tcPr>
          <w:p w14:paraId="4B5F7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1、不少于8路可控电源（国标五孔插座）</w:t>
            </w:r>
          </w:p>
          <w:p w14:paraId="51036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2、单通道最大输出电流不小于10A；</w:t>
            </w:r>
          </w:p>
          <w:p w14:paraId="17323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3、额定总输出电源不小于25A；内置25A电源滤波器；总电源带空气开关；</w:t>
            </w:r>
          </w:p>
          <w:p w14:paraId="49578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4、针对不同设备启动时间，每路电源开关时间支持不小于60秒设定</w:t>
            </w:r>
          </w:p>
          <w:p w14:paraId="5E773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5、前面板带市电电压显示</w:t>
            </w:r>
          </w:p>
          <w:p w14:paraId="4069F8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6、不少于24组用户存储模式</w:t>
            </w:r>
          </w:p>
          <w:p w14:paraId="0EE0D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7、设备支持手动、PC、安卓移动端控制，</w:t>
            </w:r>
          </w:p>
          <w:p w14:paraId="213D6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8、控制接口不少于1路RS232、1路RJ45。</w:t>
            </w:r>
          </w:p>
          <w:p w14:paraId="18CF0C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9、设备支持物联网远程控制。</w:t>
            </w:r>
          </w:p>
        </w:tc>
        <w:tc>
          <w:tcPr>
            <w:tcW w:w="728" w:type="dxa"/>
            <w:noWrap/>
            <w:vAlign w:val="center"/>
          </w:tcPr>
          <w:p w14:paraId="41A65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7B64B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3C238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6D7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E30D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662F0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会议桌面全向麦克风</w:t>
            </w:r>
          </w:p>
        </w:tc>
        <w:tc>
          <w:tcPr>
            <w:tcW w:w="5738" w:type="dxa"/>
            <w:noWrap w:val="0"/>
            <w:vAlign w:val="center"/>
          </w:tcPr>
          <w:p w14:paraId="6DBE096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无线数字音频技术，支持多频点智能跳频，抗环境电磁干扰能力强</w:t>
            </w:r>
          </w:p>
          <w:p w14:paraId="1B2779B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1、数字麦克风拾音，喇叭输出音域宽广，语音交流清晰</w:t>
            </w:r>
          </w:p>
          <w:p w14:paraId="3EC3382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2、USB无线适配器无需驱动程序，即插即用</w:t>
            </w:r>
          </w:p>
          <w:p w14:paraId="4225A389">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3、内置锂电池供电，支持USB有线充电，方便移动使用</w:t>
            </w:r>
          </w:p>
          <w:p w14:paraId="6F4FA36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4、支持音频输出，可以连接耳机或有源音响</w:t>
            </w:r>
          </w:p>
          <w:p w14:paraId="634996EB">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5、内置智能回音消除，噪音消除，自动增益控制等优化算法</w:t>
            </w:r>
          </w:p>
        </w:tc>
        <w:tc>
          <w:tcPr>
            <w:tcW w:w="728" w:type="dxa"/>
            <w:noWrap/>
            <w:vAlign w:val="center"/>
          </w:tcPr>
          <w:p w14:paraId="5F6DA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1678F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647" w:type="dxa"/>
            <w:noWrap w:val="0"/>
            <w:vAlign w:val="center"/>
          </w:tcPr>
          <w:p w14:paraId="19A08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342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B678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2F293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管线辅材等</w:t>
            </w:r>
          </w:p>
        </w:tc>
        <w:tc>
          <w:tcPr>
            <w:tcW w:w="5738" w:type="dxa"/>
            <w:noWrap w:val="0"/>
            <w:vAlign w:val="center"/>
          </w:tcPr>
          <w:p w14:paraId="539F4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包含管材、线材、机柜及施工等</w:t>
            </w:r>
          </w:p>
        </w:tc>
        <w:tc>
          <w:tcPr>
            <w:tcW w:w="728" w:type="dxa"/>
            <w:noWrap/>
            <w:vAlign w:val="center"/>
          </w:tcPr>
          <w:p w14:paraId="2040339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34" w:type="dxa"/>
            <w:noWrap w:val="0"/>
            <w:vAlign w:val="center"/>
          </w:tcPr>
          <w:p w14:paraId="3135DE3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批</w:t>
            </w:r>
          </w:p>
        </w:tc>
        <w:tc>
          <w:tcPr>
            <w:tcW w:w="647" w:type="dxa"/>
            <w:noWrap w:val="0"/>
            <w:vAlign w:val="center"/>
          </w:tcPr>
          <w:p w14:paraId="7986FF0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4472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C3B0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3E610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5738" w:type="dxa"/>
            <w:noWrap w:val="0"/>
            <w:vAlign w:val="center"/>
          </w:tcPr>
          <w:p w14:paraId="74B10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1、像数间距：≤1.86mm；单元板尺寸：320mm* 160mm；显示屏尺寸：长4.48m*高1.92m</w:t>
            </w:r>
          </w:p>
          <w:p w14:paraId="37FAD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2、投标产品具有整屏平整度≤0.05mm,单元平整度≤0.05mm；模组间拼缝≤0.2mm；刷新率≥3840Hz。</w:t>
            </w:r>
          </w:p>
          <w:p w14:paraId="71F31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3、PCB 采用 FR-4材质，灯驱合一，电路采用多层设计，符合多层电路板沉金工艺设计，具有消隐，节能处理，EMC处理保证单模块的稳定性和抗氧化性</w:t>
            </w:r>
          </w:p>
          <w:p w14:paraId="1F74E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4、表面处理:可支持灯板表面进行AOB处理，有致密性纳米涂层，有效隔绝水汽，对灯珠形成有效防护，可支持喷墨工艺，且低反射率的 LED 灯板</w:t>
            </w:r>
          </w:p>
          <w:p w14:paraId="1475E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5、色彩:16Bit,281万亿色，色域覆盖率100%,NTSC色域覆盖率≥120%上，YLV（PAL)色域覆盖率≥170%，支持BT.2020,DCI.P3,BT.709,sRGB等多种色域转换</w:t>
            </w:r>
          </w:p>
          <w:p w14:paraId="31296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6、亮度与视角关系：中央亮度为100cd/㎡白场时，水平视角80°时亮度衰减率≤10%,垂直视角60°时亮度衰减率≤10%</w:t>
            </w:r>
          </w:p>
          <w:p w14:paraId="58772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7、噪声：前、后、左、右噪声均不超过2.0dB</w:t>
            </w:r>
          </w:p>
          <w:p w14:paraId="0B55E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8、峰值功耗：≤610w/㎡；典型功耗：≤310w/㎡；供电电压≤DC4.2～5V；电流增益调节级别≥7位</w:t>
            </w:r>
          </w:p>
        </w:tc>
        <w:tc>
          <w:tcPr>
            <w:tcW w:w="728" w:type="dxa"/>
            <w:noWrap/>
            <w:vAlign w:val="center"/>
          </w:tcPr>
          <w:p w14:paraId="5835C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8.6</w:t>
            </w:r>
          </w:p>
        </w:tc>
        <w:tc>
          <w:tcPr>
            <w:tcW w:w="534" w:type="dxa"/>
            <w:noWrap w:val="0"/>
            <w:vAlign w:val="center"/>
          </w:tcPr>
          <w:p w14:paraId="02FCC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647" w:type="dxa"/>
            <w:noWrap w:val="0"/>
            <w:vAlign w:val="center"/>
          </w:tcPr>
          <w:p w14:paraId="1CF09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0E6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828F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2E368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5738" w:type="dxa"/>
            <w:noWrap w:val="0"/>
            <w:vAlign w:val="center"/>
          </w:tcPr>
          <w:p w14:paraId="291A0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728" w:type="dxa"/>
            <w:noWrap/>
            <w:vAlign w:val="center"/>
          </w:tcPr>
          <w:p w14:paraId="5284E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28</w:t>
            </w:r>
          </w:p>
        </w:tc>
        <w:tc>
          <w:tcPr>
            <w:tcW w:w="534" w:type="dxa"/>
            <w:noWrap w:val="0"/>
            <w:vAlign w:val="center"/>
          </w:tcPr>
          <w:p w14:paraId="2EE81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5C3B9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95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0BC56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734D7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接收卡</w:t>
            </w:r>
          </w:p>
        </w:tc>
        <w:tc>
          <w:tcPr>
            <w:tcW w:w="5738" w:type="dxa"/>
            <w:noWrap w:val="0"/>
            <w:vAlign w:val="center"/>
          </w:tcPr>
          <w:p w14:paraId="6472C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1.支持逐点亮色度校正，可以对每个灯点的亮度和色度进项校正，有效消除色差，使整屏的亮度和速度达到高度均匀一致，提高显示屏的画质。</w:t>
            </w:r>
          </w:p>
          <w:p w14:paraId="6C39DF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2.投标时提供一种接收卡的实用新型证书</w:t>
            </w:r>
          </w:p>
          <w:p w14:paraId="1F0E1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3.快速亮暗线调节在调试软件上进行快速亮暗线调节，快速解决因箱体及模组拼接造成的显示屏亮暗线，调节过程中即时生效，简单易用。</w:t>
            </w:r>
          </w:p>
          <w:p w14:paraId="74F71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4.可以将指定图片设置为显示屏的开机、网线断开或无视频源信号时的画面或者最后一帧画面。</w:t>
            </w:r>
          </w:p>
          <w:p w14:paraId="2F209F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5.可以监测自身的温度和电压，无需其他外设，在软件上可以查看接收卡的温度和电压。</w:t>
            </w:r>
          </w:p>
          <w:p w14:paraId="3DB91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6.检测发送设备与接收卡间或接收卡与接收卡间的网络通讯质量，记录错误包数，协助排除网络通讯隐患。</w:t>
            </w:r>
          </w:p>
          <w:p w14:paraId="064D0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7.支持5pin液晶模块，用于显示接收卡的温度、电压、单次运行时间和总运行时间。</w:t>
            </w:r>
          </w:p>
          <w:p w14:paraId="67D5D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8.支持千兆网，可通过网线直接连接到PC端进行调试和显示，无需发送卡。</w:t>
            </w:r>
          </w:p>
          <w:p w14:paraId="02902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11.支持各种PWM芯片、逐点检测芯片及通用芯片；支持任意抽点，实现各种异形屏拼接。</w:t>
            </w:r>
          </w:p>
          <w:p w14:paraId="34EB8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12.支持色彩变换技术，使人脸肤色更真实；支持任意倍增技术，手机拍摄无扫描线。</w:t>
            </w:r>
          </w:p>
          <w:p w14:paraId="661D4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13.为保证产品的稳定性及可靠性，需在检验环境温度21℃-26摄氏度，湿度（%RH）:62-71,大气压力（kPa）：100.2-101.8</w:t>
            </w:r>
          </w:p>
          <w:p w14:paraId="1FA2F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14.设备在正常工作条件下，连续工作168h，不应出现电、机械或操作系统的故障。</w:t>
            </w:r>
          </w:p>
          <w:p w14:paraId="2BBA9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15.产品放入60℃±2℃，90%RH±3%RH环境中，通电连续工作48小时，试验过程中能正常工作，外观无明显变形，损伤。</w:t>
            </w:r>
          </w:p>
          <w:p w14:paraId="6D60F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16.为保证系统的兼容性及稳定性控制系统需与LED显示屏为同一品牌，投标时提供证明文件</w:t>
            </w:r>
          </w:p>
        </w:tc>
        <w:tc>
          <w:tcPr>
            <w:tcW w:w="728" w:type="dxa"/>
            <w:noWrap/>
            <w:vAlign w:val="center"/>
          </w:tcPr>
          <w:p w14:paraId="0D671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534" w:type="dxa"/>
            <w:noWrap w:val="0"/>
            <w:vAlign w:val="center"/>
          </w:tcPr>
          <w:p w14:paraId="7BCE8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张</w:t>
            </w:r>
          </w:p>
        </w:tc>
        <w:tc>
          <w:tcPr>
            <w:tcW w:w="647" w:type="dxa"/>
            <w:noWrap w:val="0"/>
            <w:vAlign w:val="center"/>
          </w:tcPr>
          <w:p w14:paraId="27509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AB5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7DB2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36622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738" w:type="dxa"/>
            <w:noWrap w:val="0"/>
            <w:vAlign w:val="center"/>
          </w:tcPr>
          <w:p w14:paraId="1C595E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1、输入接口：支持2路HDMI，1路DVI</w:t>
            </w:r>
          </w:p>
          <w:p w14:paraId="58154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2、带载能力：视频输出支持6个千兆网口输出，最大带载高达390万像素</w:t>
            </w:r>
          </w:p>
          <w:p w14:paraId="04714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3.无需电脑，支持通过设备旋转按钮快捷配屏和高级配屏功能点亮屏体，简单操作即可完成屏体配置。</w:t>
            </w:r>
          </w:p>
          <w:p w14:paraId="0CB87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4.支持设备默认开启自动信源搜索功能。</w:t>
            </w:r>
          </w:p>
          <w:p w14:paraId="1FE94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5.为增强产品实用性，设备需通过面板数字按键，可快速准确定义窗口大小位置等坐标信息。</w:t>
            </w:r>
          </w:p>
          <w:p w14:paraId="1146E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6.为保证系统的兼容性和稳定性，发送卡和视频处理器为二合一产品。</w:t>
            </w:r>
          </w:p>
          <w:p w14:paraId="2873B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7.无需电脑，FREEZE画面冻结按键可以快捷冻结画面。</w:t>
            </w:r>
          </w:p>
        </w:tc>
        <w:tc>
          <w:tcPr>
            <w:tcW w:w="728" w:type="dxa"/>
            <w:noWrap/>
            <w:vAlign w:val="center"/>
          </w:tcPr>
          <w:p w14:paraId="331E2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2671B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0DD06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4DD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9248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689EB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738" w:type="dxa"/>
            <w:noWrap w:val="0"/>
            <w:vAlign w:val="center"/>
          </w:tcPr>
          <w:p w14:paraId="43BEC7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728" w:type="dxa"/>
            <w:noWrap/>
            <w:vAlign w:val="center"/>
          </w:tcPr>
          <w:p w14:paraId="3B34E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71838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0280E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2DF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CBC7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820" w:type="dxa"/>
            <w:noWrap w:val="0"/>
            <w:vAlign w:val="center"/>
          </w:tcPr>
          <w:p w14:paraId="6AB8E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5738" w:type="dxa"/>
            <w:noWrap w:val="0"/>
            <w:vAlign w:val="center"/>
          </w:tcPr>
          <w:p w14:paraId="4AC07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按实际所用功率进行定制                                                                                                                                                           </w:t>
            </w:r>
          </w:p>
        </w:tc>
        <w:tc>
          <w:tcPr>
            <w:tcW w:w="728" w:type="dxa"/>
            <w:noWrap/>
            <w:vAlign w:val="center"/>
          </w:tcPr>
          <w:p w14:paraId="79305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4C3458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04F4D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FC1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7753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820" w:type="dxa"/>
            <w:noWrap w:val="0"/>
            <w:vAlign w:val="center"/>
          </w:tcPr>
          <w:p w14:paraId="352A4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5738" w:type="dxa"/>
            <w:noWrap w:val="0"/>
            <w:vAlign w:val="center"/>
          </w:tcPr>
          <w:p w14:paraId="75147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专业安装及调试</w:t>
            </w:r>
          </w:p>
        </w:tc>
        <w:tc>
          <w:tcPr>
            <w:tcW w:w="728" w:type="dxa"/>
            <w:noWrap/>
            <w:vAlign w:val="center"/>
          </w:tcPr>
          <w:p w14:paraId="1CA67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8.6</w:t>
            </w:r>
          </w:p>
        </w:tc>
        <w:tc>
          <w:tcPr>
            <w:tcW w:w="534" w:type="dxa"/>
            <w:noWrap w:val="0"/>
            <w:vAlign w:val="center"/>
          </w:tcPr>
          <w:p w14:paraId="1B394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647" w:type="dxa"/>
            <w:noWrap w:val="0"/>
            <w:vAlign w:val="center"/>
          </w:tcPr>
          <w:p w14:paraId="78AAB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7BC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9A08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820" w:type="dxa"/>
            <w:noWrap w:val="0"/>
            <w:vAlign w:val="center"/>
          </w:tcPr>
          <w:p w14:paraId="099D8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5738" w:type="dxa"/>
            <w:noWrap w:val="0"/>
            <w:vAlign w:val="center"/>
          </w:tcPr>
          <w:p w14:paraId="66E31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定制结构、框架，满足屏体安装使用需求，用材符合国家标准；外框、包边根据采购人实际使用环境进行定制，保证整体装饰美观大方；</w:t>
            </w:r>
          </w:p>
        </w:tc>
        <w:tc>
          <w:tcPr>
            <w:tcW w:w="728" w:type="dxa"/>
            <w:noWrap/>
            <w:vAlign w:val="center"/>
          </w:tcPr>
          <w:p w14:paraId="7F224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8.6</w:t>
            </w:r>
          </w:p>
        </w:tc>
        <w:tc>
          <w:tcPr>
            <w:tcW w:w="534" w:type="dxa"/>
            <w:noWrap w:val="0"/>
            <w:vAlign w:val="center"/>
          </w:tcPr>
          <w:p w14:paraId="50028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647" w:type="dxa"/>
            <w:noWrap w:val="0"/>
            <w:vAlign w:val="center"/>
          </w:tcPr>
          <w:p w14:paraId="591C9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B43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883E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820" w:type="dxa"/>
            <w:noWrap w:val="0"/>
            <w:vAlign w:val="center"/>
          </w:tcPr>
          <w:p w14:paraId="1EE83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5738" w:type="dxa"/>
            <w:noWrap w:val="0"/>
            <w:vAlign w:val="center"/>
          </w:tcPr>
          <w:p w14:paraId="37036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屏体内部电缆线，长排线，超五类网线等                                                                                                                                                                 </w:t>
            </w:r>
          </w:p>
        </w:tc>
        <w:tc>
          <w:tcPr>
            <w:tcW w:w="728" w:type="dxa"/>
            <w:noWrap/>
            <w:vAlign w:val="center"/>
          </w:tcPr>
          <w:p w14:paraId="21EFD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1662A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0"/>
            <w:vAlign w:val="center"/>
          </w:tcPr>
          <w:p w14:paraId="7B0D4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DE2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8CF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20" w:type="dxa"/>
            <w:noWrap w:val="0"/>
            <w:vAlign w:val="center"/>
          </w:tcPr>
          <w:p w14:paraId="6DA15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5738" w:type="dxa"/>
            <w:noWrap w:val="0"/>
            <w:vAlign w:val="center"/>
          </w:tcPr>
          <w:p w14:paraId="5D7EA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根据屏体面积按国标规格布线（主电缆线、网络线）</w:t>
            </w:r>
          </w:p>
        </w:tc>
        <w:tc>
          <w:tcPr>
            <w:tcW w:w="728" w:type="dxa"/>
            <w:noWrap/>
            <w:vAlign w:val="center"/>
          </w:tcPr>
          <w:p w14:paraId="2AE08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6F166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0"/>
            <w:vAlign w:val="center"/>
          </w:tcPr>
          <w:p w14:paraId="5AE81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433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shd w:val="clear" w:color="auto" w:fill="B8CCE4"/>
            <w:noWrap w:val="0"/>
            <w:vAlign w:val="center"/>
          </w:tcPr>
          <w:p w14:paraId="6996F3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七、展厅部分</w:t>
            </w:r>
          </w:p>
        </w:tc>
        <w:tc>
          <w:tcPr>
            <w:tcW w:w="647" w:type="dxa"/>
            <w:shd w:val="clear" w:color="auto" w:fill="B8CCE4"/>
            <w:noWrap w:val="0"/>
            <w:vAlign w:val="center"/>
          </w:tcPr>
          <w:p w14:paraId="3153657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lang w:val="en-US" w:eastAsia="zh-CN"/>
              </w:rPr>
            </w:pPr>
          </w:p>
        </w:tc>
      </w:tr>
      <w:tr w14:paraId="7432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8" w:type="dxa"/>
            <w:gridSpan w:val="3"/>
            <w:noWrap w:val="0"/>
            <w:vAlign w:val="center"/>
          </w:tcPr>
          <w:p w14:paraId="08238AC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1、显示系统</w:t>
            </w:r>
          </w:p>
        </w:tc>
        <w:tc>
          <w:tcPr>
            <w:tcW w:w="728" w:type="dxa"/>
            <w:noWrap/>
            <w:vAlign w:val="center"/>
          </w:tcPr>
          <w:p w14:paraId="36656F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534" w:type="dxa"/>
            <w:noWrap w:val="0"/>
            <w:vAlign w:val="center"/>
          </w:tcPr>
          <w:p w14:paraId="2A8E59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647" w:type="dxa"/>
            <w:noWrap w:val="0"/>
            <w:vAlign w:val="center"/>
          </w:tcPr>
          <w:p w14:paraId="745C99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6B97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B0C80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50FA6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视频拼接单元</w:t>
            </w:r>
          </w:p>
        </w:tc>
        <w:tc>
          <w:tcPr>
            <w:tcW w:w="5738" w:type="dxa"/>
            <w:noWrap w:val="0"/>
            <w:vAlign w:val="center"/>
          </w:tcPr>
          <w:p w14:paraId="7CA5E3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LCD液晶显示单元；</w:t>
            </w:r>
          </w:p>
          <w:p w14:paraId="01919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尺寸：55英寸；</w:t>
            </w:r>
          </w:p>
          <w:p w14:paraId="428DB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分辨率：1920x1080；</w:t>
            </w:r>
          </w:p>
          <w:p w14:paraId="2CA60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视角：178°(水平)/ 178°(垂直)；</w:t>
            </w:r>
          </w:p>
          <w:p w14:paraId="0AC6D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响应时间：≤12ms(G to G)；</w:t>
            </w:r>
          </w:p>
          <w:p w14:paraId="7548A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对比度：4000:1；</w:t>
            </w:r>
          </w:p>
          <w:p w14:paraId="6E3F6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亮度：≥500cd/㎡；</w:t>
            </w:r>
          </w:p>
          <w:p w14:paraId="449FD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物理拼缝：≤3.5mm；</w:t>
            </w:r>
          </w:p>
          <w:p w14:paraId="3BEFC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输入接口：VGA×1，DVI×1，HDMI×1，USB×1</w:t>
            </w:r>
          </w:p>
        </w:tc>
        <w:tc>
          <w:tcPr>
            <w:tcW w:w="728" w:type="dxa"/>
            <w:noWrap/>
            <w:vAlign w:val="center"/>
          </w:tcPr>
          <w:p w14:paraId="60A0E2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31DC9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片</w:t>
            </w:r>
          </w:p>
        </w:tc>
        <w:tc>
          <w:tcPr>
            <w:tcW w:w="647" w:type="dxa"/>
            <w:noWrap w:val="0"/>
            <w:vAlign w:val="center"/>
          </w:tcPr>
          <w:p w14:paraId="57654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8F0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E622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37A50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解码器</w:t>
            </w:r>
          </w:p>
        </w:tc>
        <w:tc>
          <w:tcPr>
            <w:tcW w:w="5738" w:type="dxa"/>
            <w:noWrap w:val="0"/>
            <w:vAlign w:val="center"/>
          </w:tcPr>
          <w:p w14:paraId="3FB3C5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解码器</w:t>
            </w:r>
          </w:p>
        </w:tc>
        <w:tc>
          <w:tcPr>
            <w:tcW w:w="728" w:type="dxa"/>
            <w:noWrap/>
            <w:vAlign w:val="center"/>
          </w:tcPr>
          <w:p w14:paraId="13479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716D6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0CAF6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744D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B70A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74B62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5738" w:type="dxa"/>
            <w:noWrap w:val="0"/>
            <w:vAlign w:val="center"/>
          </w:tcPr>
          <w:p w14:paraId="27741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专业安装及调试</w:t>
            </w:r>
          </w:p>
        </w:tc>
        <w:tc>
          <w:tcPr>
            <w:tcW w:w="728" w:type="dxa"/>
            <w:noWrap/>
            <w:vAlign w:val="center"/>
          </w:tcPr>
          <w:p w14:paraId="3A7D8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60CC6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项</w:t>
            </w:r>
          </w:p>
        </w:tc>
        <w:tc>
          <w:tcPr>
            <w:tcW w:w="647" w:type="dxa"/>
            <w:noWrap w:val="0"/>
            <w:vAlign w:val="center"/>
          </w:tcPr>
          <w:p w14:paraId="3E93E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FC9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A0DA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4B839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支架</w:t>
            </w:r>
          </w:p>
        </w:tc>
        <w:tc>
          <w:tcPr>
            <w:tcW w:w="5738" w:type="dxa"/>
            <w:noWrap w:val="0"/>
            <w:vAlign w:val="center"/>
          </w:tcPr>
          <w:p w14:paraId="61577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液压前维护支架</w:t>
            </w:r>
          </w:p>
        </w:tc>
        <w:tc>
          <w:tcPr>
            <w:tcW w:w="728" w:type="dxa"/>
            <w:noWrap/>
            <w:vAlign w:val="center"/>
          </w:tcPr>
          <w:p w14:paraId="2B805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4A143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片</w:t>
            </w:r>
          </w:p>
        </w:tc>
        <w:tc>
          <w:tcPr>
            <w:tcW w:w="647" w:type="dxa"/>
            <w:noWrap w:val="0"/>
            <w:vAlign w:val="center"/>
          </w:tcPr>
          <w:p w14:paraId="67963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D08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7E5D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2C917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5738" w:type="dxa"/>
            <w:noWrap w:val="0"/>
            <w:vAlign w:val="center"/>
          </w:tcPr>
          <w:p w14:paraId="2419B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国标高清信号线，电源线，控制线，串口线、网线等</w:t>
            </w:r>
          </w:p>
        </w:tc>
        <w:tc>
          <w:tcPr>
            <w:tcW w:w="728" w:type="dxa"/>
            <w:noWrap/>
            <w:vAlign w:val="center"/>
          </w:tcPr>
          <w:p w14:paraId="1A57D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3C479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0"/>
            <w:vAlign w:val="center"/>
          </w:tcPr>
          <w:p w14:paraId="05308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65B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BF73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3B929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5738" w:type="dxa"/>
            <w:noWrap w:val="0"/>
            <w:vAlign w:val="center"/>
          </w:tcPr>
          <w:p w14:paraId="380A6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根据屏体面积按国标规格布线</w:t>
            </w:r>
          </w:p>
        </w:tc>
        <w:tc>
          <w:tcPr>
            <w:tcW w:w="728" w:type="dxa"/>
            <w:noWrap/>
            <w:vAlign w:val="center"/>
          </w:tcPr>
          <w:p w14:paraId="4EFB5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09BF3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0"/>
            <w:vAlign w:val="center"/>
          </w:tcPr>
          <w:p w14:paraId="47793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3FD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8" w:type="dxa"/>
            <w:gridSpan w:val="3"/>
            <w:noWrap w:val="0"/>
            <w:vAlign w:val="center"/>
          </w:tcPr>
          <w:p w14:paraId="0BC30F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2、扩声系统</w:t>
            </w:r>
          </w:p>
        </w:tc>
        <w:tc>
          <w:tcPr>
            <w:tcW w:w="728" w:type="dxa"/>
            <w:noWrap/>
            <w:vAlign w:val="center"/>
          </w:tcPr>
          <w:p w14:paraId="0CC3BCE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534" w:type="dxa"/>
            <w:noWrap w:val="0"/>
            <w:vAlign w:val="center"/>
          </w:tcPr>
          <w:p w14:paraId="09DDBC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647" w:type="dxa"/>
            <w:noWrap w:val="0"/>
            <w:vAlign w:val="center"/>
          </w:tcPr>
          <w:p w14:paraId="2ADDFB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597C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D125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15B2A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音响</w:t>
            </w:r>
          </w:p>
        </w:tc>
        <w:tc>
          <w:tcPr>
            <w:tcW w:w="5738" w:type="dxa"/>
            <w:noWrap w:val="0"/>
            <w:vAlign w:val="center"/>
          </w:tcPr>
          <w:p w14:paraId="24627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1、不小于1×8"中低频单元；</w:t>
            </w:r>
          </w:p>
          <w:p w14:paraId="21DC1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2、不小于1×1"高音单元；</w:t>
            </w:r>
          </w:p>
          <w:p w14:paraId="53D00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3、额定功率不小于160W/8Ω； </w:t>
            </w:r>
          </w:p>
          <w:p w14:paraId="34A3E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4、特性灵敏度不小于96dB/1w/1m（有效频响范围平均）</w:t>
            </w:r>
          </w:p>
          <w:p w14:paraId="2E538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5、最大声压级不小于124dB</w:t>
            </w:r>
          </w:p>
          <w:p w14:paraId="14450F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6、额定频率范围（-10dB）65Hz-18KHz；</w:t>
            </w:r>
          </w:p>
          <w:p w14:paraId="49267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7、覆盖角度(H×V)：90°×60°</w:t>
            </w:r>
          </w:p>
        </w:tc>
        <w:tc>
          <w:tcPr>
            <w:tcW w:w="728" w:type="dxa"/>
            <w:noWrap/>
            <w:vAlign w:val="center"/>
          </w:tcPr>
          <w:p w14:paraId="217B4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534" w:type="dxa"/>
            <w:noWrap w:val="0"/>
            <w:vAlign w:val="center"/>
          </w:tcPr>
          <w:p w14:paraId="7C992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48D80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27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5E60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2CCB2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功放</w:t>
            </w:r>
          </w:p>
        </w:tc>
        <w:tc>
          <w:tcPr>
            <w:tcW w:w="5738" w:type="dxa"/>
            <w:noWrap w:val="0"/>
            <w:vAlign w:val="center"/>
          </w:tcPr>
          <w:p w14:paraId="3AFC4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1、90VAC～260VAC宽电压适应范围；</w:t>
            </w:r>
          </w:p>
          <w:p w14:paraId="6E135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2、具备一块≥2寸TFT液晶显示屏，能够实时监控输出电压、电流、温度、保护状态；</w:t>
            </w:r>
          </w:p>
          <w:p w14:paraId="795C9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3、每通道输入延时10ms，输出延时≥7ms，步进≥0.01ms，支持修改设备号（修改IP地址）；</w:t>
            </w:r>
          </w:p>
          <w:p w14:paraId="5599F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4、支持≥2x2音频路由混音，混音比例-80dB～+18dB；</w:t>
            </w:r>
          </w:p>
          <w:p w14:paraId="665C5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5、每通道支持≥15段参量均衡调节，支持增益调节、支持延时调节，支持相位调节，支持压限调节（提供产品实物功能软件截图佐证）</w:t>
            </w:r>
          </w:p>
          <w:p w14:paraId="1B27C8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6、支持完善的预设管理(DSP内部有16个场景存储组)；</w:t>
            </w:r>
          </w:p>
          <w:p w14:paraId="69549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7、支持一键恢复出厂设置； </w:t>
            </w:r>
          </w:p>
          <w:p w14:paraId="070C9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8、可将数据保存至电脑和从电脑中恢复至设备；</w:t>
            </w:r>
          </w:p>
          <w:p w14:paraId="498CC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9、额定功率：≥2×400W/8Ω，≥2×600W/4Ω，≥1×1200W/8Ω桥接；，频率响应(±1dB)：≥20Hz～20KHz；，RMS输出电压：56.6V(THD=1%，1kHz)；，信噪比：≥105dB (A计权, 1kHz, 噪声门开)；输入灵敏度：0.9Vrms±10%(额定输出功率，1kHz)；总谐波失真：＜0.1%(10%额定输出功率，典型值) ；声道分离度：≥85dB(低于额定功率，1kHz)</w:t>
            </w:r>
          </w:p>
        </w:tc>
        <w:tc>
          <w:tcPr>
            <w:tcW w:w="728" w:type="dxa"/>
            <w:noWrap/>
            <w:vAlign w:val="center"/>
          </w:tcPr>
          <w:p w14:paraId="46B77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0BC44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355F0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A88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C2B1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0B8C0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同轴吸顶音箱</w:t>
            </w:r>
          </w:p>
        </w:tc>
        <w:tc>
          <w:tcPr>
            <w:tcW w:w="5738" w:type="dxa"/>
            <w:noWrap w:val="0"/>
            <w:vAlign w:val="center"/>
          </w:tcPr>
          <w:p w14:paraId="0BF2B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1、高保真喇叭， 音质优美动听，</w:t>
            </w:r>
          </w:p>
          <w:p w14:paraId="11899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2、同轴单元设计，声音极富层次感。 低频丰满，高音清晰。</w:t>
            </w:r>
          </w:p>
          <w:p w14:paraId="44919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3、额定功率：20W。</w:t>
            </w:r>
          </w:p>
          <w:p w14:paraId="04A82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4、输入电压：100V。</w:t>
            </w:r>
          </w:p>
          <w:p w14:paraId="0CE70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5、频率范围：105Hz-19KHz（±15%)。</w:t>
            </w:r>
          </w:p>
          <w:p w14:paraId="7D691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6、灵敏度：90dB±2dB。</w:t>
            </w:r>
          </w:p>
          <w:p w14:paraId="635BE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7、喇叭单元：6.5"同轴。</w:t>
            </w:r>
          </w:p>
          <w:p w14:paraId="4EA98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8、尺寸：Φ240×150mm</w:t>
            </w:r>
          </w:p>
        </w:tc>
        <w:tc>
          <w:tcPr>
            <w:tcW w:w="728" w:type="dxa"/>
            <w:noWrap/>
            <w:vAlign w:val="center"/>
          </w:tcPr>
          <w:p w14:paraId="111FD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534" w:type="dxa"/>
            <w:noWrap w:val="0"/>
            <w:vAlign w:val="center"/>
          </w:tcPr>
          <w:p w14:paraId="569DD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3B3AA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5FE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34AA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7C32D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主功放</w:t>
            </w:r>
          </w:p>
        </w:tc>
        <w:tc>
          <w:tcPr>
            <w:tcW w:w="5738" w:type="dxa"/>
            <w:noWrap w:val="0"/>
            <w:vAlign w:val="center"/>
          </w:tcPr>
          <w:p w14:paraId="2C8E5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1、标准2U高度机柜式设计，安装铝把手后,适合安装在标准的19吋机柜内。</w:t>
            </w:r>
          </w:p>
          <w:p w14:paraId="65DEF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2、二路话筒/线路(MIC/LINE)输入并带独立音量控制，输入端口为6.35和XLR通用插座；话筒带优先功能选择和幻象电源(+48V）。</w:t>
            </w:r>
          </w:p>
          <w:p w14:paraId="13F57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3、三路AUX输入并带独立音量控制。</w:t>
            </w:r>
          </w:p>
          <w:p w14:paraId="68C51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4、话筒和线路带独立的高低音音调控制；</w:t>
            </w:r>
          </w:p>
          <w:p w14:paraId="7E7D1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5、AUX带LINK功能、并带功放前置信号输出接口，便于系统拓展应用。</w:t>
            </w:r>
          </w:p>
          <w:p w14:paraId="6310F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6、带分级优先权限控制接口。</w:t>
            </w:r>
          </w:p>
          <w:p w14:paraId="4A1CC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7、内置智能自动压限电路，有效限制大动态信号削波，确保音色悦耳、保护扬声器系统。</w:t>
            </w:r>
          </w:p>
          <w:p w14:paraId="0110B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8、100V定压、70V定压和4-16ohm定阻三种输出方式。采用接线柱输出端口连接方便牢固。</w:t>
            </w:r>
          </w:p>
          <w:p w14:paraId="075E1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9、电源、信号、过载和保护指示（LED），工作状态一目了然。</w:t>
            </w:r>
          </w:p>
          <w:p w14:paraId="1B970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10、直流、过热、过载和短路保护功能。</w:t>
            </w:r>
          </w:p>
          <w:p w14:paraId="54484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11、隧道式散热器结合风速可变风冷散热系统，有效降低工作温度确保使用稳定。</w:t>
            </w:r>
          </w:p>
          <w:p w14:paraId="66015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内置高品质的MP3蓝牙播放器，带SD卡槽和USB接口，并带蓝牙和FM收音机功能；并具备断电记忆工作模式和输出音量功能；带遥控功能，附带遥控器。遥控器功能：播放/暂停、上一曲、下一曲、音量增减、静音、模式选择、场景模式、自动搜台等。（提供产品实物功能接口图并加盖投标供应商公章）</w:t>
            </w:r>
          </w:p>
          <w:p w14:paraId="3C0C7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13、内置4分区，每个分区带手动选择按键和音量调节旋钮。</w:t>
            </w:r>
          </w:p>
          <w:p w14:paraId="1B5F4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14、额定功率：250W</w:t>
            </w:r>
          </w:p>
          <w:p w14:paraId="76066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15、消耗功率：550W</w:t>
            </w:r>
          </w:p>
          <w:p w14:paraId="6B4EE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16、输入灵敏度：话筒  13mV±3mV（-35.5dB±1.5dB）；线路 250mV±50mV（-10dB±1dB）。</w:t>
            </w:r>
          </w:p>
          <w:p w14:paraId="3B57C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17、辅助LINK输出灵敏度：775mV±50mV(0dB±1dB),AUX LINK输出端。</w:t>
            </w:r>
          </w:p>
          <w:p w14:paraId="63B96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18、AUX1/MP3直通信号输出灵敏度：775mV±50mV(0dB±1dB),THROUGH OUT AUX1/MP3-FM输出端。</w:t>
            </w:r>
          </w:p>
          <w:p w14:paraId="34CE1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19、前置放大信号输出灵敏度：775mV±50mV(0dB±1dB),OPERATED OUT AFTER PRE-AMP输出端。</w:t>
            </w:r>
          </w:p>
          <w:p w14:paraId="0978A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20、高音音调调节：10KHz：提升衰减量10dB±2dB；低音音调调节：100Hz：提升衰减量10dB±2dB。</w:t>
            </w:r>
          </w:p>
          <w:p w14:paraId="4B1B6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21、频率响应：100Hz-18KHz+2dB/-5dB(默认)； 80Hz-8KHz ±2dB(宽频)。</w:t>
            </w:r>
          </w:p>
          <w:p w14:paraId="276EB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22、失真度：≤1%（1KHz,1/3额定功率）</w:t>
            </w:r>
          </w:p>
          <w:p w14:paraId="47112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23、信噪比（A计权）：话筒 620欧平衡封口 ≥70dB；线路：≥70dB。</w:t>
            </w:r>
          </w:p>
          <w:p w14:paraId="257E7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24、尺寸：无拉手 430L×400D×88H/mm，含拉手 482L×431D×88H/mm。</w:t>
            </w:r>
          </w:p>
          <w:p w14:paraId="5317D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25、额定工作电源：AC220V,50Hz。</w:t>
            </w:r>
          </w:p>
        </w:tc>
        <w:tc>
          <w:tcPr>
            <w:tcW w:w="728" w:type="dxa"/>
            <w:noWrap/>
            <w:vAlign w:val="center"/>
          </w:tcPr>
          <w:p w14:paraId="0473A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55F0D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7876C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61A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9D74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0DB9D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调音台</w:t>
            </w:r>
          </w:p>
        </w:tc>
        <w:tc>
          <w:tcPr>
            <w:tcW w:w="5738" w:type="dxa"/>
            <w:noWrap w:val="0"/>
            <w:vAlign w:val="center"/>
          </w:tcPr>
          <w:p w14:paraId="59A8D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1、不少于8路输入(4路MIC/LINE+2路立体声)；</w:t>
            </w:r>
          </w:p>
          <w:p w14:paraId="2583B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2、不少于1组立体声输出，不少于2路编组输出，不少于1路效果输出，不少于不少于2路辅助输出，1组录音输出；</w:t>
            </w:r>
          </w:p>
          <w:p w14:paraId="5AB02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3、支持蓝牙接收功能，支持MP3，WAV双解码播放功能，支持USB播放，多媒体播放器配备遥控器；</w:t>
            </w:r>
          </w:p>
          <w:p w14:paraId="3826C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4、内置效果器；</w:t>
            </w:r>
          </w:p>
          <w:p w14:paraId="58CF8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5、支持48V幻象电源；</w:t>
            </w:r>
          </w:p>
          <w:p w14:paraId="5723D9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6、耳机监听功能。</w:t>
            </w:r>
          </w:p>
        </w:tc>
        <w:tc>
          <w:tcPr>
            <w:tcW w:w="728" w:type="dxa"/>
            <w:noWrap/>
            <w:vAlign w:val="center"/>
          </w:tcPr>
          <w:p w14:paraId="791AA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318F5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028A2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7A7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9476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18A2E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一拖二无线麦克风（头戴）</w:t>
            </w:r>
          </w:p>
        </w:tc>
        <w:tc>
          <w:tcPr>
            <w:tcW w:w="5738" w:type="dxa"/>
            <w:noWrap w:val="0"/>
            <w:vAlign w:val="center"/>
          </w:tcPr>
          <w:p w14:paraId="3A60E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1、接收频道:双通道接收</w:t>
            </w:r>
          </w:p>
          <w:p w14:paraId="3053F8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2、面板显示:LED段码显示器，可同时显示群组、频率、电池电量、静音位准、电子音量等相关信息；LED灯柱显示RF/AF强度；</w:t>
            </w:r>
          </w:p>
          <w:p w14:paraId="1389E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3、接收方式:天线分集式接收</w:t>
            </w:r>
          </w:p>
          <w:p w14:paraId="30EF5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4、载波频段:UHF530-690.000MHZ（单机固定频段范围）</w:t>
            </w:r>
          </w:p>
          <w:p w14:paraId="5BC9BF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5、单机频带宽度:50MHz</w:t>
            </w:r>
          </w:p>
          <w:p w14:paraId="6DE415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6、单机频道数量：≥2000个</w:t>
            </w:r>
          </w:p>
          <w:p w14:paraId="1E96D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7、支持4个50欧姆TNC天线接口，其中2路支持环路输出，具备MIC/LINE信号切换输出开关，内置电源环出输出接口（提供产品实物接口图截图并加盖投标供应商公章）</w:t>
            </w:r>
          </w:p>
        </w:tc>
        <w:tc>
          <w:tcPr>
            <w:tcW w:w="728" w:type="dxa"/>
            <w:noWrap/>
            <w:vAlign w:val="center"/>
          </w:tcPr>
          <w:p w14:paraId="2589D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5CB07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389B4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00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CB90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5E0B0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一拖二无线麦克风（手持）</w:t>
            </w:r>
          </w:p>
        </w:tc>
        <w:tc>
          <w:tcPr>
            <w:tcW w:w="5738" w:type="dxa"/>
            <w:noWrap w:val="0"/>
            <w:vAlign w:val="center"/>
          </w:tcPr>
          <w:p w14:paraId="48B36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1、接收频道:双通道接收</w:t>
            </w:r>
          </w:p>
          <w:p w14:paraId="2A831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2、面板显示:LED段码显示器，可同时显示群组、频率、电池电量、静音位准、电子音量等相关信息；LED灯柱显示RF/AF强度；</w:t>
            </w:r>
          </w:p>
          <w:p w14:paraId="5A1BE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3、接收方式:天线分集式接收</w:t>
            </w:r>
          </w:p>
          <w:p w14:paraId="3B6AA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4、载波频段:UHF530-690.000MHZ（单机固定频段范围）</w:t>
            </w:r>
          </w:p>
          <w:p w14:paraId="4BE21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5、单机频带宽度:50MHz</w:t>
            </w:r>
          </w:p>
          <w:p w14:paraId="73E36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6、单机频道数量：≥2000个</w:t>
            </w:r>
          </w:p>
          <w:p w14:paraId="1DE48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7、支持4个50欧姆TNC天线接口，其中2路支持环路输出，具备MIC/LINE信号切换输出开关，内置电源环出输出接口</w:t>
            </w:r>
          </w:p>
        </w:tc>
        <w:tc>
          <w:tcPr>
            <w:tcW w:w="728" w:type="dxa"/>
            <w:noWrap/>
            <w:vAlign w:val="center"/>
          </w:tcPr>
          <w:p w14:paraId="675F3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4B7DB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1D662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2B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C12D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638FE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天线分配器</w:t>
            </w:r>
          </w:p>
        </w:tc>
        <w:tc>
          <w:tcPr>
            <w:tcW w:w="5738" w:type="dxa"/>
            <w:noWrap w:val="0"/>
            <w:vAlign w:val="center"/>
          </w:tcPr>
          <w:p w14:paraId="5C8A6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1.采用最新超高动态低杂讯元件与超宽频微带线路设计，具有超低内调失真及损耗的特性，提供多频道接收系统同时使用时能排除混频干扰。</w:t>
            </w:r>
          </w:p>
          <w:p w14:paraId="3629B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2.天线输入连接座具有供应天线放大器的电源，可直接连接具有天线放大器的延长天线及内建放大器的天线。</w:t>
            </w:r>
          </w:p>
          <w:p w14:paraId="738B7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3.能提供四台宽频多频道接收机共用一对天线， 第二台分配器 同时级联或宽频多频道接收机，简化天线装配工程。</w:t>
            </w:r>
          </w:p>
          <w:p w14:paraId="24A23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4.分路器可提供4路以上12V DC电源输出，为4台以上无线接收机提供电源，简化机柜安装。</w:t>
            </w:r>
          </w:p>
          <w:p w14:paraId="6FD8D0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5、适用频宽范围： 500MHz  ─ 850MHz</w:t>
            </w:r>
          </w:p>
        </w:tc>
        <w:tc>
          <w:tcPr>
            <w:tcW w:w="728" w:type="dxa"/>
            <w:noWrap/>
            <w:vAlign w:val="center"/>
          </w:tcPr>
          <w:p w14:paraId="4CF7F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3EFB3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77B8B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7F1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6B65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72DAB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有源宽频天线</w:t>
            </w:r>
          </w:p>
        </w:tc>
        <w:tc>
          <w:tcPr>
            <w:tcW w:w="5738" w:type="dxa"/>
            <w:noWrap w:val="0"/>
            <w:vAlign w:val="center"/>
          </w:tcPr>
          <w:p w14:paraId="45AB2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1、产品采用独特外观设计，支持室内壁挂或吸顶安装方式，抗干扰能力强；</w:t>
            </w:r>
          </w:p>
          <w:p w14:paraId="16F1E2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2、产品为UHF频段接收宽频天线，适用频宽范围为470MHz-698MHz；</w:t>
            </w:r>
          </w:p>
          <w:p w14:paraId="7033C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3、产品内置可调增益控制放大器，实现0dB、+5dB、+10dB、+15dB多档可调，并具有对应的指示灯提示；</w:t>
            </w:r>
          </w:p>
          <w:p w14:paraId="455CA5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4、内置可调增益控制衰减器，实现0dB、-5dB、-10dB、-15dB多档可调，并具有对应的指示灯提示；</w:t>
            </w:r>
          </w:p>
          <w:p w14:paraId="0F07AF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5、类   型：UHF有源宽频天线</w:t>
            </w:r>
          </w:p>
          <w:p w14:paraId="280B6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6、频率范围：470MHz-698MHz</w:t>
            </w:r>
          </w:p>
        </w:tc>
        <w:tc>
          <w:tcPr>
            <w:tcW w:w="728" w:type="dxa"/>
            <w:noWrap/>
            <w:vAlign w:val="center"/>
          </w:tcPr>
          <w:p w14:paraId="530A6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758BC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72BB1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8A3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3D6B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02B4F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天线合路器</w:t>
            </w:r>
          </w:p>
        </w:tc>
        <w:tc>
          <w:tcPr>
            <w:tcW w:w="5738" w:type="dxa"/>
            <w:noWrap w:val="0"/>
            <w:vAlign w:val="center"/>
          </w:tcPr>
          <w:p w14:paraId="4B4D0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1、被动式一对二天线分配整合器，主要提供单通道信号分配为双通道信号输出或将双通道信号混合成单通道信号输出，同时将电源传输给后端之放大器，是架设天线系统必备配件之一。</w:t>
            </w:r>
          </w:p>
          <w:p w14:paraId="0E353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2.采用线路接地设计，以避免多组接收机共用时，因接地问题产生电源杂音。</w:t>
            </w:r>
          </w:p>
          <w:p w14:paraId="70E97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3.可将单通道信号分配为双通道信号输出或将双通道信号混合成单通道信号输出，同时将电源传输给后端之天线放大器。</w:t>
            </w:r>
          </w:p>
          <w:p w14:paraId="1E4ED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4、适用频段:500MHZ ─850 MHZ</w:t>
            </w:r>
          </w:p>
        </w:tc>
        <w:tc>
          <w:tcPr>
            <w:tcW w:w="728" w:type="dxa"/>
            <w:noWrap/>
            <w:vAlign w:val="center"/>
          </w:tcPr>
          <w:p w14:paraId="111CA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534" w:type="dxa"/>
            <w:noWrap w:val="0"/>
            <w:vAlign w:val="center"/>
          </w:tcPr>
          <w:p w14:paraId="5EA86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只</w:t>
            </w:r>
          </w:p>
        </w:tc>
        <w:tc>
          <w:tcPr>
            <w:tcW w:w="647" w:type="dxa"/>
            <w:noWrap w:val="0"/>
            <w:vAlign w:val="center"/>
          </w:tcPr>
          <w:p w14:paraId="33126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5F6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AFC3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000C2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电源时序器</w:t>
            </w:r>
          </w:p>
        </w:tc>
        <w:tc>
          <w:tcPr>
            <w:tcW w:w="5738" w:type="dxa"/>
            <w:noWrap w:val="0"/>
            <w:vAlign w:val="center"/>
          </w:tcPr>
          <w:p w14:paraId="57452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1、不少于8路可控电源（国标五孔插座）、2路长通电源（国标五孔插座）</w:t>
            </w:r>
          </w:p>
          <w:p w14:paraId="195F7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2、单通道最大输出电流不小于10A；</w:t>
            </w:r>
          </w:p>
          <w:p w14:paraId="7D2EE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3、额定总输出电源不小于30A；内置30A电源滤波器；总电源带空气开关；</w:t>
            </w:r>
          </w:p>
          <w:p w14:paraId="51532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4、设备自带编码ID检测和设置，支持系统级联，可级联不少于255台</w:t>
            </w:r>
          </w:p>
          <w:p w14:paraId="0AB9B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5、控制接口不少于1路RS232、1路线路控制、级联输入输出、1路USB。</w:t>
            </w:r>
          </w:p>
        </w:tc>
        <w:tc>
          <w:tcPr>
            <w:tcW w:w="728" w:type="dxa"/>
            <w:noWrap/>
            <w:vAlign w:val="center"/>
          </w:tcPr>
          <w:p w14:paraId="193E9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50625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4757E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B70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5FD7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56F48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服务器工控主机</w:t>
            </w:r>
          </w:p>
        </w:tc>
        <w:tc>
          <w:tcPr>
            <w:tcW w:w="5738" w:type="dxa"/>
            <w:noWrap w:val="0"/>
            <w:vAlign w:val="center"/>
          </w:tcPr>
          <w:p w14:paraId="09FE1557">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I3/4G/256+500G/独立显卡1G/带DVI/VGA输出/23寸液晶显示器</w:t>
            </w:r>
          </w:p>
        </w:tc>
        <w:tc>
          <w:tcPr>
            <w:tcW w:w="728" w:type="dxa"/>
            <w:noWrap/>
            <w:vAlign w:val="center"/>
          </w:tcPr>
          <w:p w14:paraId="30C22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47C1C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6EF88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D99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6869B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4229F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安装服务</w:t>
            </w:r>
          </w:p>
        </w:tc>
        <w:tc>
          <w:tcPr>
            <w:tcW w:w="5738" w:type="dxa"/>
            <w:noWrap w:val="0"/>
            <w:vAlign w:val="center"/>
          </w:tcPr>
          <w:p w14:paraId="24DC6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包含各类管线材料及施工</w:t>
            </w:r>
          </w:p>
        </w:tc>
        <w:tc>
          <w:tcPr>
            <w:tcW w:w="728" w:type="dxa"/>
            <w:noWrap/>
            <w:vAlign w:val="center"/>
          </w:tcPr>
          <w:p w14:paraId="52035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6D4D4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项</w:t>
            </w:r>
          </w:p>
        </w:tc>
        <w:tc>
          <w:tcPr>
            <w:tcW w:w="647" w:type="dxa"/>
            <w:noWrap w:val="0"/>
            <w:vAlign w:val="center"/>
          </w:tcPr>
          <w:p w14:paraId="50D2C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973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8" w:type="dxa"/>
            <w:gridSpan w:val="3"/>
            <w:noWrap w:val="0"/>
            <w:vAlign w:val="center"/>
          </w:tcPr>
          <w:p w14:paraId="4027533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b/>
                <w:i w:val="0"/>
                <w:color w:val="auto"/>
                <w:kern w:val="0"/>
                <w:sz w:val="18"/>
                <w:szCs w:val="18"/>
                <w:highlight w:val="none"/>
                <w:u w:val="none"/>
                <w:lang w:val="en-US" w:eastAsia="zh-CN" w:bidi="ar"/>
              </w:rPr>
              <w:t>3、信息发布系统</w:t>
            </w:r>
          </w:p>
        </w:tc>
        <w:tc>
          <w:tcPr>
            <w:tcW w:w="728" w:type="dxa"/>
            <w:noWrap/>
            <w:vAlign w:val="center"/>
          </w:tcPr>
          <w:p w14:paraId="01CC733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534" w:type="dxa"/>
            <w:noWrap w:val="0"/>
            <w:vAlign w:val="center"/>
          </w:tcPr>
          <w:p w14:paraId="6AA839D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647" w:type="dxa"/>
            <w:noWrap w:val="0"/>
            <w:vAlign w:val="center"/>
          </w:tcPr>
          <w:p w14:paraId="2720E49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1682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A848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57291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户内全彩LED屏</w:t>
            </w:r>
          </w:p>
        </w:tc>
        <w:tc>
          <w:tcPr>
            <w:tcW w:w="5738" w:type="dxa"/>
            <w:noWrap w:val="0"/>
            <w:vAlign w:val="center"/>
          </w:tcPr>
          <w:p w14:paraId="18F15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1、像素点间距：1.86mm;                                                                                                                                                                                   2、像素密度287296点/m²；                                                                                                                                                                                          3、灰度等级16bit；                                                                                                                                                                                                         4、模组尺寸：320mm*160mm；单元板分辨率:172*86。</w:t>
            </w:r>
          </w:p>
          <w:p w14:paraId="28502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5、显示屏面积:  4.8m* 2.4m</w:t>
            </w:r>
          </w:p>
          <w:p w14:paraId="1E172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6、像素失控率小于0.000001且区域像素失控率小于0.000003。</w:t>
            </w:r>
          </w:p>
          <w:p w14:paraId="766C1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7、水平和垂直视角≥170°； 亮度均匀性≥99%，色度均匀性≤±0.001Cx，Cy之内。</w:t>
            </w:r>
          </w:p>
          <w:p w14:paraId="630FB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8、整屏平整度≤0.1mm；模组间缝隙≤0.1mm</w:t>
            </w:r>
          </w:p>
          <w:p w14:paraId="7D2D9E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9、发光点中心距偏差＜1%</w:t>
            </w:r>
          </w:p>
          <w:p w14:paraId="5A37C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10、最大对比度≥6000:1</w:t>
            </w:r>
          </w:p>
          <w:p w14:paraId="3CA73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11、刷新率≥3840Hz</w:t>
            </w:r>
          </w:p>
        </w:tc>
        <w:tc>
          <w:tcPr>
            <w:tcW w:w="728" w:type="dxa"/>
            <w:noWrap/>
            <w:vAlign w:val="center"/>
          </w:tcPr>
          <w:p w14:paraId="55AF9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11.52</w:t>
            </w:r>
          </w:p>
        </w:tc>
        <w:tc>
          <w:tcPr>
            <w:tcW w:w="534" w:type="dxa"/>
            <w:noWrap w:val="0"/>
            <w:vAlign w:val="center"/>
          </w:tcPr>
          <w:p w14:paraId="2CBD3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647" w:type="dxa"/>
            <w:noWrap w:val="0"/>
            <w:vAlign w:val="center"/>
          </w:tcPr>
          <w:p w14:paraId="74CDB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55F8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2A5A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1A5E0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全彩电源</w:t>
            </w:r>
          </w:p>
        </w:tc>
        <w:tc>
          <w:tcPr>
            <w:tcW w:w="5738" w:type="dxa"/>
            <w:noWrap w:val="0"/>
            <w:vAlign w:val="center"/>
          </w:tcPr>
          <w:p w14:paraId="1C615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可靠性高，负载能力强，符合3C要求，100%满负载老化试验，空气自然对流冷却保护功能具有：短路/过载</w:t>
            </w:r>
          </w:p>
        </w:tc>
        <w:tc>
          <w:tcPr>
            <w:tcW w:w="728" w:type="dxa"/>
            <w:noWrap/>
            <w:vAlign w:val="center"/>
          </w:tcPr>
          <w:p w14:paraId="591C7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38</w:t>
            </w:r>
          </w:p>
        </w:tc>
        <w:tc>
          <w:tcPr>
            <w:tcW w:w="534" w:type="dxa"/>
            <w:noWrap w:val="0"/>
            <w:vAlign w:val="center"/>
          </w:tcPr>
          <w:p w14:paraId="7506D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48702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3DD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EA59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5D0947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接收卡     </w:t>
            </w:r>
          </w:p>
        </w:tc>
        <w:tc>
          <w:tcPr>
            <w:tcW w:w="5738" w:type="dxa"/>
            <w:noWrap w:val="0"/>
            <w:vAlign w:val="center"/>
          </w:tcPr>
          <w:p w14:paraId="0CD31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1.支持逐点亮色度校正，可以对每个灯点的亮度和色度进项校正，有效消除色差，使整屏的亮度和速度达到高度均匀一致，提高显示屏的画质。</w:t>
            </w:r>
          </w:p>
          <w:p w14:paraId="2C809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2.投标时提供一种接收卡的实用新型证书</w:t>
            </w:r>
          </w:p>
          <w:p w14:paraId="21FFC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3.快速亮暗线调节在调试软件上进行快速亮暗线调节，快速解决因箱体及模组拼接造成的显示屏亮暗线，调节过程中即时生效，简单易用。</w:t>
            </w:r>
          </w:p>
          <w:p w14:paraId="4A54B5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4.可以将指定图片设置为显示屏的开机、网线断开或无视频源信号时的画面或者最后一帧画面。</w:t>
            </w:r>
          </w:p>
          <w:p w14:paraId="1F594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5.可以监测自身的温度和电压，无需其他外设，在软件上可以查看接收卡的温度和电压。</w:t>
            </w:r>
          </w:p>
          <w:p w14:paraId="72DA0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6.检测发送设备与接收卡间或接收卡与接收卡间的网络通讯质量，记录错误包数，协助排除网络通讯隐患。</w:t>
            </w:r>
          </w:p>
          <w:p w14:paraId="4592E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7.支持5pin液晶模块，用于显示接收卡的温度、电压、单次运行时间和总运行时间。</w:t>
            </w:r>
          </w:p>
          <w:p w14:paraId="29A62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8.支持千兆网，可通过网线直接连接到PC端进行调试和显示，无需发送卡。</w:t>
            </w:r>
          </w:p>
          <w:p w14:paraId="3ACD1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11.支持各种PWM芯片、逐点检测芯片及通用芯片；支持任意抽点，实现各种异形屏拼接。</w:t>
            </w:r>
          </w:p>
          <w:p w14:paraId="039AB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12.支持色彩变换技术，使人脸肤色更真实；支持任意倍增技术，手机拍摄无扫描线。</w:t>
            </w:r>
          </w:p>
          <w:p w14:paraId="31DC2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13.为保证产品的稳定性及可靠性，需在检验环境温度21℃-26摄氏度，湿度（%RH）:62-71,大气压力（kPa）：100.2-101.8</w:t>
            </w:r>
          </w:p>
          <w:p w14:paraId="13FC9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14.设备在正常工作条件下，连续工作168h，不应出现电、机械或操作系统的故障。</w:t>
            </w:r>
          </w:p>
          <w:p w14:paraId="11810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15.产品放入60℃±2℃，90%RH±3%RH环境中，通电连续工作48小时，试验过程中能正常工作，外观无明显变形，损伤。</w:t>
            </w:r>
          </w:p>
          <w:p w14:paraId="532D0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16.为保证系统的兼容性及稳定性控制系统需与LED显示屏为同一品牌，投标时提供证明文件</w:t>
            </w:r>
          </w:p>
        </w:tc>
        <w:tc>
          <w:tcPr>
            <w:tcW w:w="728" w:type="dxa"/>
            <w:noWrap/>
            <w:vAlign w:val="center"/>
          </w:tcPr>
          <w:p w14:paraId="6F107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534" w:type="dxa"/>
            <w:noWrap w:val="0"/>
            <w:vAlign w:val="center"/>
          </w:tcPr>
          <w:p w14:paraId="06056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张</w:t>
            </w:r>
          </w:p>
        </w:tc>
        <w:tc>
          <w:tcPr>
            <w:tcW w:w="647" w:type="dxa"/>
            <w:noWrap w:val="0"/>
            <w:vAlign w:val="center"/>
          </w:tcPr>
          <w:p w14:paraId="5486C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CEB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876E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31F21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播放盒</w:t>
            </w:r>
          </w:p>
        </w:tc>
        <w:tc>
          <w:tcPr>
            <w:tcW w:w="5738" w:type="dxa"/>
            <w:noWrap w:val="0"/>
            <w:vAlign w:val="center"/>
          </w:tcPr>
          <w:p w14:paraId="42B1E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支持8核处理器，主频1.5GHz</w:t>
            </w:r>
          </w:p>
          <w:p w14:paraId="1C4E2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支持1080P的视频硬解码，支持H.265 4K高清视频硬解码播放</w:t>
            </w:r>
          </w:p>
          <w:p w14:paraId="36CE6B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支持2GB运行内存，板载32GB内部存储空间，用户可用28GB</w:t>
            </w:r>
          </w:p>
          <w:p w14:paraId="565F5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支持130万像素点带载能力，最宽4096像素，最高1920像素</w:t>
            </w:r>
          </w:p>
          <w:p w14:paraId="00D67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支持PC直连，局域网，移动终端节目发布和显示屏控制</w:t>
            </w:r>
          </w:p>
          <w:p w14:paraId="1B41E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支持集群远程发布于显示屏控制</w:t>
            </w:r>
          </w:p>
        </w:tc>
        <w:tc>
          <w:tcPr>
            <w:tcW w:w="728" w:type="dxa"/>
            <w:noWrap/>
            <w:vAlign w:val="center"/>
          </w:tcPr>
          <w:p w14:paraId="5F343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4657B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349A43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639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A571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248B1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视频处理器</w:t>
            </w:r>
          </w:p>
        </w:tc>
        <w:tc>
          <w:tcPr>
            <w:tcW w:w="5738" w:type="dxa"/>
            <w:noWrap w:val="0"/>
            <w:vAlign w:val="center"/>
          </w:tcPr>
          <w:p w14:paraId="50289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1、输入接口：支持2路HDMI，1路DVI</w:t>
            </w:r>
          </w:p>
          <w:p w14:paraId="5DFD90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2、带载能力：视频输出支持6个千兆网口输出，最大带载高达390万像素</w:t>
            </w:r>
          </w:p>
          <w:p w14:paraId="01A1D1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3.无需电脑，支持通过设备旋转按钮快捷配屏和高级配屏功能点亮屏体，简单操作即可完成屏体配置。</w:t>
            </w:r>
          </w:p>
          <w:p w14:paraId="548E6F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4.支持设备默认开启自动信源搜索功能。</w:t>
            </w:r>
          </w:p>
          <w:p w14:paraId="59235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5.为增强产品实用性，设备需通过面板数字按键，可快速准确定义窗口大小位置等坐标信息。</w:t>
            </w:r>
          </w:p>
          <w:p w14:paraId="4AC8F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主界面下，按下旋钮进入菜单操作界面。菜单操作界面下，旋转旋钮旋转菜单，按下旋钮选定当前菜单或者进入子菜单。选定带有参数的菜单后可以通过旋转旋钮调节参数，调节完成后需要再次按下旋钮进行确认。</w:t>
            </w:r>
          </w:p>
          <w:p w14:paraId="7BCDA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7.无需电脑，FREEZE画面冻结按键可以快捷冻结画面。</w:t>
            </w:r>
          </w:p>
        </w:tc>
        <w:tc>
          <w:tcPr>
            <w:tcW w:w="728" w:type="dxa"/>
            <w:noWrap/>
            <w:vAlign w:val="center"/>
          </w:tcPr>
          <w:p w14:paraId="5BDA1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6CA7B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25638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1F6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BE23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1431F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控制设备</w:t>
            </w:r>
          </w:p>
        </w:tc>
        <w:tc>
          <w:tcPr>
            <w:tcW w:w="5738" w:type="dxa"/>
            <w:noWrap w:val="0"/>
            <w:vAlign w:val="center"/>
          </w:tcPr>
          <w:p w14:paraId="3ECB3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I3/2G/500G/独立显卡1G/带DVI/VGA输出/23寸液晶显示器</w:t>
            </w:r>
          </w:p>
        </w:tc>
        <w:tc>
          <w:tcPr>
            <w:tcW w:w="728" w:type="dxa"/>
            <w:noWrap/>
            <w:vAlign w:val="center"/>
          </w:tcPr>
          <w:p w14:paraId="739A1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41E4C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73B6B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305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BE6C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5A0AC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配电系统</w:t>
            </w:r>
          </w:p>
        </w:tc>
        <w:tc>
          <w:tcPr>
            <w:tcW w:w="5738" w:type="dxa"/>
            <w:noWrap w:val="0"/>
            <w:vAlign w:val="center"/>
          </w:tcPr>
          <w:p w14:paraId="200E9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按实际所用功率进行定制                                                                                                                                                           </w:t>
            </w:r>
          </w:p>
        </w:tc>
        <w:tc>
          <w:tcPr>
            <w:tcW w:w="728" w:type="dxa"/>
            <w:noWrap/>
            <w:vAlign w:val="center"/>
          </w:tcPr>
          <w:p w14:paraId="62B44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2E7D6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1BF42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125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5CA0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20" w:type="dxa"/>
            <w:noWrap w:val="0"/>
            <w:vAlign w:val="center"/>
          </w:tcPr>
          <w:p w14:paraId="55811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color w:val="auto"/>
                <w:kern w:val="0"/>
                <w:sz w:val="18"/>
                <w:szCs w:val="18"/>
                <w:highlight w:val="none"/>
                <w:u w:val="none"/>
                <w:lang w:val="en-US" w:eastAsia="zh-CN" w:bidi="ar"/>
              </w:rPr>
              <w:t>安装服务</w:t>
            </w:r>
          </w:p>
        </w:tc>
        <w:tc>
          <w:tcPr>
            <w:tcW w:w="5738" w:type="dxa"/>
            <w:noWrap w:val="0"/>
            <w:vAlign w:val="center"/>
          </w:tcPr>
          <w:p w14:paraId="32885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专业安装及调试</w:t>
            </w:r>
          </w:p>
        </w:tc>
        <w:tc>
          <w:tcPr>
            <w:tcW w:w="728" w:type="dxa"/>
            <w:noWrap/>
            <w:vAlign w:val="center"/>
          </w:tcPr>
          <w:p w14:paraId="10D68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11.52</w:t>
            </w:r>
          </w:p>
        </w:tc>
        <w:tc>
          <w:tcPr>
            <w:tcW w:w="534" w:type="dxa"/>
            <w:noWrap w:val="0"/>
            <w:vAlign w:val="center"/>
          </w:tcPr>
          <w:p w14:paraId="7ED67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647" w:type="dxa"/>
            <w:noWrap w:val="0"/>
            <w:vAlign w:val="center"/>
          </w:tcPr>
          <w:p w14:paraId="5B0BB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8E2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228AE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820" w:type="dxa"/>
            <w:noWrap w:val="0"/>
            <w:vAlign w:val="center"/>
          </w:tcPr>
          <w:p w14:paraId="19B9A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屏体框架</w:t>
            </w:r>
          </w:p>
        </w:tc>
        <w:tc>
          <w:tcPr>
            <w:tcW w:w="5738" w:type="dxa"/>
            <w:noWrap w:val="0"/>
            <w:vAlign w:val="center"/>
          </w:tcPr>
          <w:p w14:paraId="2D9BA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定制结构、框架，满足屏体安装使用需求，用材符合国家标准；外框、包边根据采购人实际使用环境进行定制，保证整体装饰美观大方；</w:t>
            </w:r>
          </w:p>
        </w:tc>
        <w:tc>
          <w:tcPr>
            <w:tcW w:w="728" w:type="dxa"/>
            <w:noWrap/>
            <w:vAlign w:val="center"/>
          </w:tcPr>
          <w:p w14:paraId="5B8AB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11.52</w:t>
            </w:r>
          </w:p>
        </w:tc>
        <w:tc>
          <w:tcPr>
            <w:tcW w:w="534" w:type="dxa"/>
            <w:noWrap w:val="0"/>
            <w:vAlign w:val="center"/>
          </w:tcPr>
          <w:p w14:paraId="68594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647" w:type="dxa"/>
            <w:noWrap w:val="0"/>
            <w:vAlign w:val="center"/>
          </w:tcPr>
          <w:p w14:paraId="4930F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A2D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9E1B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20" w:type="dxa"/>
            <w:noWrap w:val="0"/>
            <w:vAlign w:val="center"/>
          </w:tcPr>
          <w:p w14:paraId="089E3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屏体内部线材</w:t>
            </w:r>
          </w:p>
        </w:tc>
        <w:tc>
          <w:tcPr>
            <w:tcW w:w="5738" w:type="dxa"/>
            <w:noWrap w:val="0"/>
            <w:vAlign w:val="center"/>
          </w:tcPr>
          <w:p w14:paraId="6048B2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屏体内部电缆线，长排线，超五类网线等                                                                                                                                                                 </w:t>
            </w:r>
          </w:p>
        </w:tc>
        <w:tc>
          <w:tcPr>
            <w:tcW w:w="728" w:type="dxa"/>
            <w:noWrap/>
            <w:vAlign w:val="center"/>
          </w:tcPr>
          <w:p w14:paraId="69D4E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7E124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0"/>
            <w:vAlign w:val="center"/>
          </w:tcPr>
          <w:p w14:paraId="5AAE5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2F8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3C09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820" w:type="dxa"/>
            <w:noWrap w:val="0"/>
            <w:vAlign w:val="center"/>
          </w:tcPr>
          <w:p w14:paraId="6AD30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综合布线</w:t>
            </w:r>
          </w:p>
        </w:tc>
        <w:tc>
          <w:tcPr>
            <w:tcW w:w="5738" w:type="dxa"/>
            <w:noWrap w:val="0"/>
            <w:vAlign w:val="center"/>
          </w:tcPr>
          <w:p w14:paraId="34BE1A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根据屏体面积按国标规格布线（主电缆线、网络线）</w:t>
            </w:r>
          </w:p>
        </w:tc>
        <w:tc>
          <w:tcPr>
            <w:tcW w:w="728" w:type="dxa"/>
            <w:noWrap/>
            <w:vAlign w:val="center"/>
          </w:tcPr>
          <w:p w14:paraId="01622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16F2D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批</w:t>
            </w:r>
          </w:p>
        </w:tc>
        <w:tc>
          <w:tcPr>
            <w:tcW w:w="647" w:type="dxa"/>
            <w:noWrap w:val="0"/>
            <w:vAlign w:val="center"/>
          </w:tcPr>
          <w:p w14:paraId="1B610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823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6F57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820" w:type="dxa"/>
            <w:noWrap w:val="0"/>
            <w:vAlign w:val="center"/>
          </w:tcPr>
          <w:p w14:paraId="40290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55寸电视机</w:t>
            </w:r>
          </w:p>
        </w:tc>
        <w:tc>
          <w:tcPr>
            <w:tcW w:w="5738" w:type="dxa"/>
            <w:noWrap w:val="0"/>
            <w:vAlign w:val="center"/>
          </w:tcPr>
          <w:p w14:paraId="6003D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显示参数</w:t>
            </w:r>
          </w:p>
          <w:p w14:paraId="57E961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屏幕尺寸:55英寸</w:t>
            </w:r>
          </w:p>
          <w:p w14:paraId="3D447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屏幕分辨率:超高清（3840×2160）</w:t>
            </w:r>
          </w:p>
          <w:p w14:paraId="03960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屏幕比例:16:9</w:t>
            </w:r>
          </w:p>
          <w:p w14:paraId="5688B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屏幕等级:A+</w:t>
            </w:r>
          </w:p>
          <w:p w14:paraId="50229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背光源:LED</w:t>
            </w:r>
          </w:p>
          <w:p w14:paraId="168C2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背光方式:直下式</w:t>
            </w:r>
          </w:p>
          <w:p w14:paraId="3FB43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对比度：50000：1</w:t>
            </w:r>
          </w:p>
          <w:p w14:paraId="2B4FF6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刷新频率:60Hz</w:t>
            </w:r>
          </w:p>
          <w:p w14:paraId="7479B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扫描方式:逐行扫描</w:t>
            </w:r>
          </w:p>
          <w:p w14:paraId="06FFA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响应时间:8ms</w:t>
            </w:r>
          </w:p>
          <w:p w14:paraId="6ECCC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支持格式（超高清）:2160p、1080p、1080i、720p</w:t>
            </w:r>
          </w:p>
          <w:p w14:paraId="373E9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支持HDR10解码</w:t>
            </w:r>
          </w:p>
        </w:tc>
        <w:tc>
          <w:tcPr>
            <w:tcW w:w="728" w:type="dxa"/>
            <w:noWrap/>
            <w:vAlign w:val="center"/>
          </w:tcPr>
          <w:p w14:paraId="7BDC4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4B372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56D22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BBE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FE22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820" w:type="dxa"/>
            <w:noWrap w:val="0"/>
            <w:vAlign w:val="center"/>
          </w:tcPr>
          <w:p w14:paraId="1AB52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电视机支架</w:t>
            </w:r>
          </w:p>
        </w:tc>
        <w:tc>
          <w:tcPr>
            <w:tcW w:w="5738" w:type="dxa"/>
            <w:noWrap w:val="0"/>
            <w:vAlign w:val="center"/>
          </w:tcPr>
          <w:p w14:paraId="7FAAC1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支架</w:t>
            </w:r>
          </w:p>
        </w:tc>
        <w:tc>
          <w:tcPr>
            <w:tcW w:w="728" w:type="dxa"/>
            <w:noWrap/>
            <w:vAlign w:val="center"/>
          </w:tcPr>
          <w:p w14:paraId="3DD09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0DD87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副</w:t>
            </w:r>
          </w:p>
        </w:tc>
        <w:tc>
          <w:tcPr>
            <w:tcW w:w="647" w:type="dxa"/>
            <w:noWrap w:val="0"/>
            <w:vAlign w:val="center"/>
          </w:tcPr>
          <w:p w14:paraId="584F4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B98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95F7B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820" w:type="dxa"/>
            <w:noWrap w:val="0"/>
            <w:vAlign w:val="center"/>
          </w:tcPr>
          <w:p w14:paraId="5DD1A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播放盒</w:t>
            </w:r>
          </w:p>
        </w:tc>
        <w:tc>
          <w:tcPr>
            <w:tcW w:w="5738" w:type="dxa"/>
            <w:noWrap w:val="0"/>
            <w:vAlign w:val="center"/>
          </w:tcPr>
          <w:p w14:paraId="32ED2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一体播放盒</w:t>
            </w:r>
          </w:p>
        </w:tc>
        <w:tc>
          <w:tcPr>
            <w:tcW w:w="728" w:type="dxa"/>
            <w:noWrap/>
            <w:vAlign w:val="center"/>
          </w:tcPr>
          <w:p w14:paraId="5A555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02509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647" w:type="dxa"/>
            <w:noWrap w:val="0"/>
            <w:vAlign w:val="center"/>
          </w:tcPr>
          <w:p w14:paraId="3724E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5B1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51E38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820" w:type="dxa"/>
            <w:noWrap w:val="0"/>
            <w:vAlign w:val="center"/>
          </w:tcPr>
          <w:p w14:paraId="6600A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视频传输器</w:t>
            </w:r>
          </w:p>
        </w:tc>
        <w:tc>
          <w:tcPr>
            <w:tcW w:w="5738" w:type="dxa"/>
            <w:noWrap w:val="0"/>
            <w:vAlign w:val="center"/>
          </w:tcPr>
          <w:p w14:paraId="10D52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视频传输设备</w:t>
            </w:r>
          </w:p>
        </w:tc>
        <w:tc>
          <w:tcPr>
            <w:tcW w:w="728" w:type="dxa"/>
            <w:noWrap/>
            <w:vAlign w:val="center"/>
          </w:tcPr>
          <w:p w14:paraId="2F785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534" w:type="dxa"/>
            <w:noWrap w:val="0"/>
            <w:vAlign w:val="center"/>
          </w:tcPr>
          <w:p w14:paraId="44367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对</w:t>
            </w:r>
          </w:p>
        </w:tc>
        <w:tc>
          <w:tcPr>
            <w:tcW w:w="647" w:type="dxa"/>
            <w:noWrap w:val="0"/>
            <w:vAlign w:val="center"/>
          </w:tcPr>
          <w:p w14:paraId="0F9F9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4FD1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8" w:type="dxa"/>
            <w:gridSpan w:val="3"/>
            <w:noWrap w:val="0"/>
            <w:vAlign w:val="center"/>
          </w:tcPr>
          <w:p w14:paraId="1E683BA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lang w:val="en-US" w:eastAsia="zh-CN"/>
              </w:rPr>
              <w:t>4、会议集中控制系统</w:t>
            </w:r>
          </w:p>
        </w:tc>
        <w:tc>
          <w:tcPr>
            <w:tcW w:w="728" w:type="dxa"/>
            <w:noWrap/>
            <w:vAlign w:val="center"/>
          </w:tcPr>
          <w:p w14:paraId="7C3997E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p>
        </w:tc>
        <w:tc>
          <w:tcPr>
            <w:tcW w:w="534" w:type="dxa"/>
            <w:noWrap w:val="0"/>
            <w:vAlign w:val="center"/>
          </w:tcPr>
          <w:p w14:paraId="2EEA7EE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c>
          <w:tcPr>
            <w:tcW w:w="647" w:type="dxa"/>
            <w:noWrap w:val="0"/>
            <w:vAlign w:val="center"/>
          </w:tcPr>
          <w:p w14:paraId="722473E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rPr>
            </w:pPr>
          </w:p>
        </w:tc>
      </w:tr>
      <w:tr w14:paraId="4C63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09D8E3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20" w:type="dxa"/>
            <w:noWrap w:val="0"/>
            <w:vAlign w:val="center"/>
          </w:tcPr>
          <w:p w14:paraId="7CAC7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8路强电继电器</w:t>
            </w:r>
          </w:p>
        </w:tc>
        <w:tc>
          <w:tcPr>
            <w:tcW w:w="5738" w:type="dxa"/>
            <w:noWrap w:val="0"/>
            <w:vAlign w:val="center"/>
          </w:tcPr>
          <w:p w14:paraId="2E1FA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配套</w:t>
            </w:r>
          </w:p>
        </w:tc>
        <w:tc>
          <w:tcPr>
            <w:tcW w:w="728" w:type="dxa"/>
            <w:noWrap/>
            <w:vAlign w:val="center"/>
          </w:tcPr>
          <w:p w14:paraId="51DF9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3E0FE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15C02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703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3C6C2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20" w:type="dxa"/>
            <w:noWrap w:val="0"/>
            <w:vAlign w:val="center"/>
          </w:tcPr>
          <w:p w14:paraId="7EEAC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平板</w:t>
            </w:r>
          </w:p>
        </w:tc>
        <w:tc>
          <w:tcPr>
            <w:tcW w:w="5738" w:type="dxa"/>
            <w:noWrap w:val="0"/>
            <w:vAlign w:val="center"/>
          </w:tcPr>
          <w:p w14:paraId="70F11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配套</w:t>
            </w:r>
          </w:p>
        </w:tc>
        <w:tc>
          <w:tcPr>
            <w:tcW w:w="728" w:type="dxa"/>
            <w:noWrap/>
            <w:vAlign w:val="center"/>
          </w:tcPr>
          <w:p w14:paraId="5C2F0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10EFD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台</w:t>
            </w:r>
          </w:p>
        </w:tc>
        <w:tc>
          <w:tcPr>
            <w:tcW w:w="647" w:type="dxa"/>
            <w:noWrap w:val="0"/>
            <w:vAlign w:val="center"/>
          </w:tcPr>
          <w:p w14:paraId="18684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04D3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1647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820" w:type="dxa"/>
            <w:noWrap w:val="0"/>
            <w:vAlign w:val="center"/>
          </w:tcPr>
          <w:p w14:paraId="6C0CC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多媒体管理平台</w:t>
            </w:r>
          </w:p>
        </w:tc>
        <w:tc>
          <w:tcPr>
            <w:tcW w:w="5738" w:type="dxa"/>
            <w:noWrap w:val="0"/>
            <w:vAlign w:val="center"/>
          </w:tcPr>
          <w:p w14:paraId="06492E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一、系统描述：</w:t>
            </w:r>
          </w:p>
          <w:p w14:paraId="29E265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★1、一体式设计，提供音频处理、视频处理、音视频混合处理、无线投屏、舞台灯光控制、会议室设备和环境控制、人脸识别、语音控制等功能。（该项功能需带CNAS认证的功能性检测报告中有具体描述）</w:t>
            </w:r>
          </w:p>
          <w:p w14:paraId="31F4EB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自带安卓系统，在10.1寸触控显示屏支持人脸识别激活和AI语音智能控制，并对音频、视频、舞台灯光、环境等设备进行控制和切换。可通过语音对会议室环境设备和音视频进行控制，并可扩展；（该项功能需带CNAS认证的功能性检测报告中有具体描述）</w:t>
            </w:r>
          </w:p>
          <w:p w14:paraId="5D9584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二、无线投屏模块：</w:t>
            </w:r>
          </w:p>
          <w:p w14:paraId="24BDAE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★1、支持2路30米内无障碍无线投屏；（该项功能需带CNAS认证的功能性检测报告中有具体描述）</w:t>
            </w:r>
          </w:p>
          <w:p w14:paraId="4BFA3C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2、至少提供1个USB3.0；1个USB2.0扩展接口、1个HDMI输出接口、3.5mm音频输出接口；LAN接口</w:t>
            </w:r>
          </w:p>
          <w:p w14:paraId="1113BA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三、视频模块：</w:t>
            </w:r>
          </w:p>
          <w:p w14:paraId="6BD3AD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1、可视交互方式，信号源可视化（预览），大屏状态可视化，场景预览可视化，环境控制可视化，所有视频信号画面实时预览，大屏画面实时回显。</w:t>
            </w:r>
          </w:p>
          <w:p w14:paraId="1AA1C51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★2、单卡支持2路HDMI输入、2路HDMI输出，最多可支持6张板卡（该项功能需带CNAS认证的功能性检测报告中有具体描述）</w:t>
            </w:r>
          </w:p>
          <w:p w14:paraId="38F9CF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3、支持windows、安卓通过WIFI控制，局域网类全无线操控。</w:t>
            </w:r>
          </w:p>
          <w:p w14:paraId="679993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4、支持任意屏体上任意位置显示字幕，并调整字体大小、位置，实现数字标牌上屏；</w:t>
            </w:r>
          </w:p>
          <w:p w14:paraId="104560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四、音频模块：</w:t>
            </w:r>
          </w:p>
          <w:p w14:paraId="786B95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★1、8/16路模拟音频矩阵，可带0/8/16路Dante网络音频矩阵；每路模拟输入带48V幻象电源。（该项功能需带CNAS认证的功能性检测报告中有具体描述）</w:t>
            </w:r>
          </w:p>
          <w:p w14:paraId="3ADD8A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2、内置一进一出的USB声卡，支持音乐播放、录制和软视频会议。</w:t>
            </w:r>
          </w:p>
          <w:p w14:paraId="4224EE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3、总线式AEC、独立通道的AFC（反馈抑制）、噪声抑制（ANS）、噪声增益补偿器(ANC)、增益共享自动混音(AMC)、门限自动混音（Gate Mixer）；</w:t>
            </w:r>
          </w:p>
          <w:p w14:paraId="7D4DBD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4、16段英式参量均衡，5种滤波器选择。</w:t>
            </w:r>
          </w:p>
          <w:p w14:paraId="5BB9B9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五、控制模块：</w:t>
            </w:r>
          </w:p>
          <w:p w14:paraId="3EA363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1、提供3个网口接口，3个网口可通过内置的交换机进行数据通讯。</w:t>
            </w:r>
          </w:p>
          <w:p w14:paraId="1E70FD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2、不少于8个RS232/485端口，≥8个弱电继电器，≥8个红外端口，≥4个IO端口。（该项功能需带CNAS认证的功能性检测报告中有具体描述）</w:t>
            </w:r>
          </w:p>
          <w:p w14:paraId="1E2B8B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六、灯控模块：</w:t>
            </w:r>
          </w:p>
          <w:p w14:paraId="2021DD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1、符合DMX-512/1990国际标准协议,拥有512个DMX输出输入回路。</w:t>
            </w:r>
          </w:p>
          <w:p w14:paraId="2B90AF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2、内置隔离电源和2个独立的DMX光电隔离口，驱动能力增大1倍，+1个RJ45网口,DMX1口可支持输入输出，DMX2固定输出，组成主备输出。</w:t>
            </w:r>
          </w:p>
          <w:p w14:paraId="061CDA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3、支持USB联电脑灯光编程控制软件实时播控，支持10多套灯光控制软件，如Freestyler +3D模拟等。</w:t>
            </w:r>
          </w:p>
          <w:p w14:paraId="6A4D3B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★4、支持电脑灯光软件可视化编程、录制、调试，支持SD卡脱机自动播控，红外遥控和键盘播控。（该项功能需带CNAS认证的功能性检测报告中有具体描述）</w:t>
            </w:r>
          </w:p>
          <w:p w14:paraId="6951FA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七、软件功能：</w:t>
            </w:r>
          </w:p>
          <w:p w14:paraId="409E89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1、在多媒体管理平台10.1寸显示屏上可使用软件同时实现对音频、视频、灯控、人工智能AI、无线投屏的控制及编辑；</w:t>
            </w:r>
          </w:p>
          <w:p w14:paraId="337BB2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2、音频软件功能、人工智能AI软件功能；</w:t>
            </w:r>
          </w:p>
          <w:p w14:paraId="2739D1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3、视频软件功能：可视化控制平台视频管理核心，采集分发各类视频信号，输出信号支持任意分割、拼接、单屏4-9层开窗、跨屏漫游、缩放、回显、拖拽式切换方式；</w:t>
            </w:r>
          </w:p>
          <w:p w14:paraId="489784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4、系统软件具有简单明确的中文操作界面及编程界面，C语言的代码规则。</w:t>
            </w:r>
          </w:p>
          <w:p w14:paraId="5A2FF2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八、软件运维模块：</w:t>
            </w:r>
          </w:p>
          <w:p w14:paraId="46B0FE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可通过软件实现对会场环境（温度、湿度、粉尘浓度（PM2.5/PM10），CO2、甲醛浓度、TVOC）的检测，实现可视化呈现，对会场内其他传感设备进行统一管理及分析；（该项功能需带CNAS认证的功能性检测报告中有具体描述）</w:t>
            </w:r>
          </w:p>
          <w:p w14:paraId="13CF0E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2、可通过软件实现对会场资产进行统一管理及调取；</w:t>
            </w:r>
          </w:p>
          <w:p w14:paraId="356CD7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3、可对接第三方的运维系统进行数据交互。</w:t>
            </w:r>
          </w:p>
        </w:tc>
        <w:tc>
          <w:tcPr>
            <w:tcW w:w="728" w:type="dxa"/>
            <w:noWrap/>
            <w:vAlign w:val="center"/>
          </w:tcPr>
          <w:p w14:paraId="4710B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7A58B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2ED4B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1738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B3FC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20" w:type="dxa"/>
            <w:noWrap w:val="0"/>
            <w:vAlign w:val="center"/>
          </w:tcPr>
          <w:p w14:paraId="4A4DF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2路可视化视频输入节点板卡</w:t>
            </w:r>
          </w:p>
        </w:tc>
        <w:tc>
          <w:tcPr>
            <w:tcW w:w="5738" w:type="dxa"/>
            <w:noWrap w:val="0"/>
            <w:vAlign w:val="center"/>
          </w:tcPr>
          <w:p w14:paraId="623F3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1、分布式输入节点机采用单根网络线传输高清信号，支持1920*1080分辨率，支持千兆网络交换机，传输带宽小，可以达到零延时；</w:t>
            </w:r>
          </w:p>
          <w:p w14:paraId="76D33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2、接口采用HDMI信号；采用Stratix10GX处理器，处理速度高达17.4GHz。色彩还原度高达99%。</w:t>
            </w:r>
          </w:p>
          <w:p w14:paraId="63637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3、分布式结构，去中心化设计，无需配置服务器，任一节点出现故障，不影响其它节点的正常运行。</w:t>
            </w:r>
          </w:p>
          <w:p w14:paraId="0DF15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4、信号：支持2路HDMI信号输入采集及编码，支持网络信号（H.265)</w:t>
            </w:r>
          </w:p>
          <w:p w14:paraId="53B53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5、网络：1路网口RJ45（10M/100M/1000M以太网自适应）</w:t>
            </w:r>
          </w:p>
          <w:p w14:paraId="5BE15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6、串口：1路可编程485串口</w:t>
            </w:r>
          </w:p>
          <w:p w14:paraId="45FFF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7、其他接口：3.5音频输入*2</w:t>
            </w:r>
          </w:p>
          <w:p w14:paraId="62BA8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8、指示灯：电源指示灯、视频信号指示灯、数据收发指示灯</w:t>
            </w:r>
          </w:p>
          <w:p w14:paraId="7EC4C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9、电源：DC12V 1.5A 带接地线</w:t>
            </w:r>
          </w:p>
          <w:p w14:paraId="602CC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10、功耗：≤10W</w:t>
            </w:r>
          </w:p>
          <w:p w14:paraId="192B14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11、温度：工作温度：0℃ ～ +50℃，储存温度：-20℃ ～ +70℃工</w:t>
            </w:r>
          </w:p>
          <w:p w14:paraId="20261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12、湿度：作湿度、储存湿度：10% ～ 90%</w:t>
            </w:r>
          </w:p>
          <w:p w14:paraId="431C03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13、平均故障间隔时间：30,000 小时</w:t>
            </w:r>
          </w:p>
        </w:tc>
        <w:tc>
          <w:tcPr>
            <w:tcW w:w="728" w:type="dxa"/>
            <w:noWrap/>
            <w:vAlign w:val="center"/>
          </w:tcPr>
          <w:p w14:paraId="2CA59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707F1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张</w:t>
            </w:r>
          </w:p>
        </w:tc>
        <w:tc>
          <w:tcPr>
            <w:tcW w:w="647" w:type="dxa"/>
            <w:noWrap w:val="0"/>
            <w:vAlign w:val="center"/>
          </w:tcPr>
          <w:p w14:paraId="5C8E8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32CB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8E93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820" w:type="dxa"/>
            <w:noWrap w:val="0"/>
            <w:vAlign w:val="center"/>
          </w:tcPr>
          <w:p w14:paraId="490AC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2路可视化视频输出节点板卡</w:t>
            </w:r>
          </w:p>
        </w:tc>
        <w:tc>
          <w:tcPr>
            <w:tcW w:w="5738" w:type="dxa"/>
            <w:noWrap w:val="0"/>
            <w:vAlign w:val="center"/>
          </w:tcPr>
          <w:p w14:paraId="723D4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1、分布式输出节点机采用单根网络线传输高清信号，支持1920*1080分辨率，支持千兆网络交换机，传输带宽小，可以达到零延时；</w:t>
            </w:r>
          </w:p>
          <w:p w14:paraId="218A5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2、接口采用HDMI信号；采用Stratix10GX处理器，处理速度高达17.4GHz。色彩还原度高达99%。</w:t>
            </w:r>
          </w:p>
          <w:p w14:paraId="1208B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3、分布式结构，去中心化设计，无需配置服务器，任一节点出现故障，不影响其它节点的正常运行。</w:t>
            </w:r>
          </w:p>
          <w:p w14:paraId="74D8AC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4、信号：支持2路HDMI信号输出解码，支持网络信号（H.265)</w:t>
            </w:r>
          </w:p>
          <w:p w14:paraId="2B254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5、网络：1路网口RJ45（10M/100M/1000M以太网自适应）</w:t>
            </w:r>
          </w:p>
          <w:p w14:paraId="1B209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6、串口：1路可编程485串口</w:t>
            </w:r>
          </w:p>
          <w:p w14:paraId="7DBD1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7、其他接口：3.5音频输入*2</w:t>
            </w:r>
          </w:p>
          <w:p w14:paraId="6DF4A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8、指示灯：电源指示灯、视频信号指示灯、数据收发指示灯</w:t>
            </w:r>
          </w:p>
          <w:p w14:paraId="1881E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9、电源：DC12V 1.5A 带接地线</w:t>
            </w:r>
          </w:p>
          <w:p w14:paraId="3787C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10、功耗：≤10W</w:t>
            </w:r>
          </w:p>
          <w:p w14:paraId="39E97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11、温度：工作温度：0℃ ～ +50℃，储存温度：-20℃ ～ +70℃工</w:t>
            </w:r>
          </w:p>
          <w:p w14:paraId="00889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12、湿度：作湿度、储存湿度：10% ～ 90%</w:t>
            </w:r>
          </w:p>
          <w:p w14:paraId="6B43B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13、平均故障间隔时间：30,000 小时</w:t>
            </w:r>
          </w:p>
        </w:tc>
        <w:tc>
          <w:tcPr>
            <w:tcW w:w="728" w:type="dxa"/>
            <w:noWrap/>
            <w:vAlign w:val="center"/>
          </w:tcPr>
          <w:p w14:paraId="1140C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3DB6E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张</w:t>
            </w:r>
          </w:p>
        </w:tc>
        <w:tc>
          <w:tcPr>
            <w:tcW w:w="647" w:type="dxa"/>
            <w:noWrap w:val="0"/>
            <w:vAlign w:val="center"/>
          </w:tcPr>
          <w:p w14:paraId="4C813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145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4A59B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820" w:type="dxa"/>
            <w:noWrap w:val="0"/>
            <w:vAlign w:val="center"/>
          </w:tcPr>
          <w:p w14:paraId="587B9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多媒体管理平台软件</w:t>
            </w:r>
          </w:p>
        </w:tc>
        <w:tc>
          <w:tcPr>
            <w:tcW w:w="5738" w:type="dxa"/>
            <w:noWrap w:val="0"/>
            <w:vAlign w:val="center"/>
          </w:tcPr>
          <w:p w14:paraId="3B996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1、音频软件功能、人工智能AI软件功能</w:t>
            </w:r>
          </w:p>
          <w:p w14:paraId="5090D7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2、视频软件功能：可视化控制平台视频管理核心，采集分发各类视频信号，输出信号支持任意分割、拼接、单屏4---9层开窗，跨屏漫游，缩放，回显，拖拽式切换方式：</w:t>
            </w:r>
          </w:p>
          <w:p w14:paraId="32925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3、系统软件具有简单明确的中文操作界面及编程界面，C语言的代码规则。</w:t>
            </w:r>
          </w:p>
        </w:tc>
        <w:tc>
          <w:tcPr>
            <w:tcW w:w="728" w:type="dxa"/>
            <w:noWrap/>
            <w:vAlign w:val="center"/>
          </w:tcPr>
          <w:p w14:paraId="1437E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5A5C7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套</w:t>
            </w:r>
          </w:p>
        </w:tc>
        <w:tc>
          <w:tcPr>
            <w:tcW w:w="647" w:type="dxa"/>
            <w:noWrap w:val="0"/>
            <w:vAlign w:val="center"/>
          </w:tcPr>
          <w:p w14:paraId="1EBE3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r w14:paraId="67D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1AC69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820" w:type="dxa"/>
            <w:noWrap w:val="0"/>
            <w:vAlign w:val="center"/>
          </w:tcPr>
          <w:p w14:paraId="7A50C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配套设施</w:t>
            </w:r>
          </w:p>
        </w:tc>
        <w:tc>
          <w:tcPr>
            <w:tcW w:w="5738" w:type="dxa"/>
            <w:noWrap w:val="0"/>
            <w:vAlign w:val="center"/>
          </w:tcPr>
          <w:p w14:paraId="0ED2B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设备连接线，AP,交换机等</w:t>
            </w:r>
          </w:p>
        </w:tc>
        <w:tc>
          <w:tcPr>
            <w:tcW w:w="728" w:type="dxa"/>
            <w:noWrap/>
            <w:vAlign w:val="center"/>
          </w:tcPr>
          <w:p w14:paraId="6F8CA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534" w:type="dxa"/>
            <w:noWrap w:val="0"/>
            <w:vAlign w:val="center"/>
          </w:tcPr>
          <w:p w14:paraId="6B428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项</w:t>
            </w:r>
          </w:p>
        </w:tc>
        <w:tc>
          <w:tcPr>
            <w:tcW w:w="647" w:type="dxa"/>
            <w:noWrap w:val="0"/>
            <w:vAlign w:val="center"/>
          </w:tcPr>
          <w:p w14:paraId="63C98B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r>
      <w:tr w14:paraId="0C61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0" w:type="dxa"/>
            <w:noWrap w:val="0"/>
            <w:vAlign w:val="center"/>
          </w:tcPr>
          <w:p w14:paraId="7AB883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820" w:type="dxa"/>
            <w:noWrap w:val="0"/>
            <w:vAlign w:val="center"/>
          </w:tcPr>
          <w:p w14:paraId="04C8D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香味机</w:t>
            </w:r>
          </w:p>
        </w:tc>
        <w:tc>
          <w:tcPr>
            <w:tcW w:w="5738" w:type="dxa"/>
            <w:noWrap w:val="0"/>
            <w:vAlign w:val="center"/>
          </w:tcPr>
          <w:p w14:paraId="13D0619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电源方式</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交流电</w:t>
            </w:r>
          </w:p>
          <w:p w14:paraId="0AA661B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功能</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加湿</w:t>
            </w:r>
            <w:r>
              <w:rPr>
                <w:rFonts w:hint="eastAsia" w:ascii="宋体" w:hAnsi="宋体" w:eastAsia="宋体" w:cs="宋体"/>
                <w:color w:val="auto"/>
                <w:sz w:val="18"/>
                <w:szCs w:val="18"/>
                <w:highlight w:val="none"/>
                <w:lang w:val="en-US" w:eastAsia="zh-CN"/>
              </w:rPr>
              <w:t xml:space="preserve"> 喷雾</w:t>
            </w:r>
          </w:p>
          <w:p w14:paraId="68307DB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适用面积</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61㎡ 及以上</w:t>
            </w:r>
          </w:p>
          <w:p w14:paraId="6E7CDFB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外形</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方型</w:t>
            </w:r>
          </w:p>
          <w:p w14:paraId="4019DD1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噪音</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36dB以下</w:t>
            </w:r>
          </w:p>
          <w:p w14:paraId="00CCEDA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定时功能</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8小时以上</w:t>
            </w:r>
          </w:p>
          <w:p w14:paraId="3E93BF3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水箱容量</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0.5-1L(含)</w:t>
            </w:r>
          </w:p>
          <w:p w14:paraId="66E2297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缺水断电保护</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是</w:t>
            </w:r>
          </w:p>
          <w:p w14:paraId="72E88F2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操作方式</w:t>
            </w:r>
            <w:r>
              <w:rPr>
                <w:rFonts w:hint="eastAsia" w:ascii="宋体" w:hAnsi="宋体" w:eastAsia="宋体" w:cs="宋体"/>
                <w:color w:val="auto"/>
                <w:sz w:val="18"/>
                <w:szCs w:val="18"/>
                <w:highlight w:val="none"/>
                <w:lang w:val="en-US" w:eastAsia="zh-CN"/>
              </w:rPr>
              <w:t>:体感开关,雷达触碰开关</w:t>
            </w:r>
          </w:p>
          <w:p w14:paraId="05EC0F1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出雾口数</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1个</w:t>
            </w:r>
          </w:p>
          <w:p w14:paraId="4F65216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额定功率</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30W</w:t>
            </w:r>
          </w:p>
          <w:p w14:paraId="4DE5251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颜色</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白色按键,白色WLAN,亮黑按键,亮黑WLAN</w:t>
            </w:r>
          </w:p>
          <w:p w14:paraId="1164930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是否防烧干</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是</w:t>
            </w:r>
          </w:p>
          <w:p w14:paraId="3902088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是否有定时预约功能</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是</w:t>
            </w:r>
          </w:p>
          <w:p w14:paraId="5CB6554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香味:菜香味定制</w:t>
            </w:r>
          </w:p>
          <w:p w14:paraId="2E56859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视频:互动视频</w:t>
            </w:r>
          </w:p>
          <w:p w14:paraId="705DBCB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控制系统:定制</w:t>
            </w:r>
          </w:p>
        </w:tc>
        <w:tc>
          <w:tcPr>
            <w:tcW w:w="728" w:type="dxa"/>
            <w:noWrap/>
            <w:vAlign w:val="center"/>
          </w:tcPr>
          <w:p w14:paraId="2C09FA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34" w:type="dxa"/>
            <w:noWrap w:val="0"/>
            <w:vAlign w:val="center"/>
          </w:tcPr>
          <w:p w14:paraId="28B111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647" w:type="dxa"/>
            <w:noWrap w:val="0"/>
            <w:vAlign w:val="center"/>
          </w:tcPr>
          <w:p w14:paraId="7C6838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sz w:val="18"/>
                <w:szCs w:val="18"/>
                <w:highlight w:val="none"/>
                <w:lang w:val="en-US" w:eastAsia="zh-CN"/>
              </w:rPr>
            </w:pPr>
          </w:p>
        </w:tc>
      </w:tr>
      <w:tr w14:paraId="7DBC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0" w:type="dxa"/>
            <w:gridSpan w:val="5"/>
            <w:noWrap w:val="0"/>
            <w:vAlign w:val="center"/>
          </w:tcPr>
          <w:p w14:paraId="7009A3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说明：</w:t>
            </w:r>
          </w:p>
          <w:p w14:paraId="659F7F3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1、新设备安装及调试，光纤电缆铺设，包安装辅材等，投标</w:t>
            </w:r>
            <w:r>
              <w:rPr>
                <w:rFonts w:hint="eastAsia" w:ascii="宋体" w:hAnsi="宋体" w:eastAsia="宋体" w:cs="宋体"/>
                <w:b/>
                <w:color w:val="auto"/>
                <w:sz w:val="18"/>
                <w:szCs w:val="18"/>
                <w:highlight w:val="none"/>
              </w:rPr>
              <w:t>供应商提供的方案需经采购人审核确认后，方可</w:t>
            </w:r>
            <w:r>
              <w:rPr>
                <w:rFonts w:hint="eastAsia" w:ascii="宋体" w:hAnsi="宋体" w:eastAsia="宋体" w:cs="宋体"/>
                <w:b/>
                <w:color w:val="auto"/>
                <w:sz w:val="18"/>
                <w:szCs w:val="18"/>
                <w:highlight w:val="none"/>
                <w:lang w:val="en-US" w:eastAsia="zh-CN"/>
              </w:rPr>
              <w:t>安装</w:t>
            </w:r>
            <w:r>
              <w:rPr>
                <w:rFonts w:hint="eastAsia" w:ascii="宋体" w:hAnsi="宋体" w:eastAsia="宋体" w:cs="宋体"/>
                <w:b/>
                <w:color w:val="auto"/>
                <w:sz w:val="18"/>
                <w:szCs w:val="18"/>
                <w:highlight w:val="none"/>
              </w:rPr>
              <w:t>。</w:t>
            </w:r>
          </w:p>
          <w:p w14:paraId="58B5BEB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2、为完成本项目所必需的未列入采购清单的其他配件投标供应商需无偿提供。</w:t>
            </w:r>
          </w:p>
          <w:p w14:paraId="6DC8487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3、采购文件与采购清单中所列的设备材料品牌型号仅为参考，是为了对拟投标的设备、材料的技术指标和功能要求、档次更好的说明，欢迎其他能满足本项目技术需求且性能、档次与所明确品牌相当的产品参加。投标供应商选用非采购人参考品牌型号产品投标的，需提供详细的技术规格和选用标准、理由，并须达到采购人需求，同时在</w:t>
            </w:r>
            <w:r>
              <w:rPr>
                <w:rFonts w:hint="eastAsia" w:ascii="宋体" w:hAnsi="宋体" w:eastAsia="宋体" w:cs="宋体"/>
                <w:b/>
                <w:bCs/>
                <w:color w:val="auto"/>
                <w:sz w:val="18"/>
                <w:szCs w:val="18"/>
                <w:highlight w:val="none"/>
                <w:lang w:eastAsia="zh-CN"/>
              </w:rPr>
              <w:t>技术响应表</w:t>
            </w:r>
            <w:r>
              <w:rPr>
                <w:rFonts w:hint="eastAsia" w:ascii="宋体" w:hAnsi="宋体" w:eastAsia="宋体" w:cs="宋体"/>
                <w:b/>
                <w:bCs/>
                <w:color w:val="auto"/>
                <w:sz w:val="18"/>
                <w:szCs w:val="18"/>
                <w:highlight w:val="none"/>
              </w:rPr>
              <w:t>中做出详细说明，否则评标委员会可以判定存在负偏差给予扣分，甚至无效标处理。</w:t>
            </w:r>
          </w:p>
        </w:tc>
        <w:tc>
          <w:tcPr>
            <w:tcW w:w="647" w:type="dxa"/>
            <w:noWrap w:val="0"/>
            <w:vAlign w:val="center"/>
          </w:tcPr>
          <w:p w14:paraId="62091234">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color w:val="auto"/>
                <w:sz w:val="18"/>
                <w:szCs w:val="18"/>
                <w:highlight w:val="none"/>
              </w:rPr>
            </w:pPr>
          </w:p>
        </w:tc>
      </w:tr>
    </w:tbl>
    <w:p w14:paraId="5DABAA4D">
      <w:pPr>
        <w:spacing w:line="240" w:lineRule="auto"/>
        <w:jc w:val="center"/>
        <w:rPr>
          <w:rFonts w:hint="eastAsia" w:ascii="宋体" w:hAnsi="宋体" w:eastAsia="宋体" w:cs="宋体"/>
          <w:color w:val="auto"/>
          <w:sz w:val="21"/>
          <w:szCs w:val="21"/>
          <w:highlight w:val="none"/>
        </w:rPr>
      </w:pPr>
    </w:p>
    <w:p w14:paraId="72493604">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rPr>
      </w:pPr>
      <w:bookmarkStart w:id="229" w:name="_Toc48918768"/>
      <w:bookmarkStart w:id="230" w:name="_Toc19801895"/>
      <w:r>
        <w:rPr>
          <w:rFonts w:hint="eastAsia" w:ascii="宋体" w:hAnsi="宋体" w:eastAsia="宋体" w:cs="宋体"/>
          <w:b/>
          <w:color w:val="auto"/>
          <w:sz w:val="21"/>
          <w:szCs w:val="21"/>
          <w:highlight w:val="none"/>
        </w:rPr>
        <w:t>二、项目相关要求</w:t>
      </w:r>
      <w:bookmarkEnd w:id="229"/>
      <w:bookmarkEnd w:id="230"/>
    </w:p>
    <w:p w14:paraId="3E88375D">
      <w:pPr>
        <w:spacing w:line="240" w:lineRule="auto"/>
        <w:ind w:firstLine="399" w:firstLineChars="19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1、保留测试项的指标，用户可在公示期间或合同签订前要求预中标供应商提供设备测试。如测试不满足采购文件要求，则视为投标供应商提供虚假材料，其投标无效，并按有关规定上报监管部门处理。</w:t>
      </w:r>
    </w:p>
    <w:p w14:paraId="4347BD99">
      <w:pPr>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2、所有产品安装、调试、故障解决及后续因实际需求变更引起的重新配置工作均由中标供应商负责实施。</w:t>
      </w:r>
    </w:p>
    <w:p w14:paraId="72F16419">
      <w:pPr>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采购文件中遗漏了本次项目建设所必须具备的设备、配件或服务，请投标供应商在投标文件中指出，并提出解决方案供参考；中标供应商有义务保证采购人无纸化会议系统项目网络的互联互通，如项目实施过程中因缺少设备、配件或服务导致采购人业务系统无法正常运行，中标供应商须承诺免费提供。</w:t>
      </w:r>
    </w:p>
    <w:p w14:paraId="0CE3F0AB">
      <w:pPr>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4、免费提供系统培训服务，并提供详细的培训计划及方案。投标公司提供培训场所与设备进行本地化培训，培训内容应包括产品使用，维护管理等，并提供培训手册。</w:t>
      </w:r>
    </w:p>
    <w:p w14:paraId="501089D3">
      <w:pPr>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供应商必须按其承诺配置配备人员，且聘用的工作人员必须符合劳动部门有关用工规定，并经相关专业考核合格后持证上岗，甲方有权进行审核，并提出整改意见。如乙方未按要求配置人员，甲方有权直接解除合同。</w:t>
      </w:r>
    </w:p>
    <w:p w14:paraId="6EBC061B">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lang w:val="en-US" w:eastAsia="zh-CN"/>
        </w:rPr>
      </w:pPr>
      <w:bookmarkStart w:id="231" w:name="_Toc48918769"/>
      <w:bookmarkStart w:id="232" w:name="_Toc19801896"/>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u w:val="single"/>
          <w:lang w:val="en-US" w:eastAsia="zh-CN"/>
        </w:rPr>
        <w:t>▲投标供应商须承诺项目中涉及的LED设备符合公安部门对LED设备的安全标准，并且硬盘录像机需接入现代集团监控平台，如出现不兼容情况，供应商需无条件更换不低于原技术指标的设备为兼容设备。</w:t>
      </w:r>
    </w:p>
    <w:p w14:paraId="0B76E2B6">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三、质量保证</w:t>
      </w:r>
      <w:bookmarkEnd w:id="231"/>
      <w:bookmarkEnd w:id="232"/>
    </w:p>
    <w:p w14:paraId="24D2ECA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14:paraId="4FD774E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2、中标供应商所提供的产品必须符合行业的国家标准和我国现行的产品认证制度规定，并满足采购人提出的产品技术要求。</w:t>
      </w:r>
    </w:p>
    <w:p w14:paraId="1C3FBE09">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3、投标供应商所提供的货物应保证是全新的和未使用过的且原装合格正品。</w:t>
      </w:r>
    </w:p>
    <w:p w14:paraId="0A191CA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4、中标供应商对成交产品使用的安全性能与可靠性负全部责任。</w:t>
      </w:r>
    </w:p>
    <w:p w14:paraId="563A7855">
      <w:pPr>
        <w:widowControl/>
        <w:spacing w:line="240" w:lineRule="auto"/>
        <w:ind w:right="60" w:firstLine="413" w:firstLineChars="196"/>
        <w:jc w:val="left"/>
        <w:outlineLvl w:val="0"/>
        <w:rPr>
          <w:rFonts w:hint="eastAsia" w:ascii="宋体" w:hAnsi="宋体" w:eastAsia="宋体" w:cs="宋体"/>
          <w:b/>
          <w:color w:val="auto"/>
          <w:sz w:val="21"/>
          <w:szCs w:val="21"/>
          <w:highlight w:val="none"/>
        </w:rPr>
      </w:pPr>
      <w:bookmarkStart w:id="233" w:name="_Toc19801897"/>
      <w:bookmarkStart w:id="234" w:name="_Toc48918770"/>
      <w:r>
        <w:rPr>
          <w:rFonts w:hint="eastAsia" w:ascii="宋体" w:hAnsi="宋体" w:eastAsia="宋体" w:cs="宋体"/>
          <w:b/>
          <w:color w:val="auto"/>
          <w:sz w:val="21"/>
          <w:szCs w:val="21"/>
          <w:highlight w:val="none"/>
        </w:rPr>
        <w:t>四、产品质保及售后服务要求</w:t>
      </w:r>
      <w:bookmarkEnd w:id="233"/>
      <w:bookmarkEnd w:id="234"/>
    </w:p>
    <w:p w14:paraId="0EA2D39E">
      <w:pPr>
        <w:autoSpaceDE w:val="0"/>
        <w:autoSpaceDN w:val="0"/>
        <w:adjustRightInd w:val="0"/>
        <w:spacing w:line="240" w:lineRule="auto"/>
        <w:ind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rPr>
        <w:t>▲本项目所有产品的免费质保期为</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年，自验收合格次日起计算</w:t>
      </w:r>
      <w:r>
        <w:rPr>
          <w:rFonts w:hint="eastAsia" w:ascii="宋体" w:hAnsi="宋体" w:eastAsia="宋体" w:cs="宋体"/>
          <w:b/>
          <w:bCs/>
          <w:color w:val="auto"/>
          <w:sz w:val="21"/>
          <w:szCs w:val="21"/>
          <w:highlight w:val="none"/>
          <w:u w:val="single"/>
          <w:lang w:eastAsia="zh-CN"/>
        </w:rPr>
        <w:t>。</w:t>
      </w:r>
    </w:p>
    <w:p w14:paraId="2D1E078C">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技术参数中有特殊说明的除外，货物上标明或</w:t>
      </w:r>
      <w:r>
        <w:rPr>
          <w:rFonts w:hint="eastAsia" w:ascii="宋体" w:hAnsi="宋体" w:eastAsia="宋体" w:cs="宋体"/>
          <w:b/>
          <w:bCs/>
          <w:color w:val="auto"/>
          <w:sz w:val="21"/>
          <w:szCs w:val="21"/>
          <w:highlight w:val="none"/>
          <w:u w:val="single"/>
          <w:lang w:val="en-US" w:eastAsia="zh-CN"/>
        </w:rPr>
        <w:t>投标人</w:t>
      </w:r>
      <w:r>
        <w:rPr>
          <w:rFonts w:hint="eastAsia" w:ascii="宋体" w:hAnsi="宋体" w:eastAsia="宋体" w:cs="宋体"/>
          <w:b/>
          <w:bCs/>
          <w:color w:val="auto"/>
          <w:sz w:val="21"/>
          <w:szCs w:val="21"/>
          <w:highlight w:val="none"/>
          <w:u w:val="single"/>
        </w:rPr>
        <w:t>承诺的质量保证期超过以上规定期限的，以标明或承诺的最高质量保证期为准，质保期严格按照国家三包规定执行</w:t>
      </w:r>
      <w:r>
        <w:rPr>
          <w:rFonts w:hint="eastAsia" w:ascii="宋体" w:hAnsi="宋体" w:eastAsia="宋体" w:cs="宋体"/>
          <w:color w:val="auto"/>
          <w:sz w:val="21"/>
          <w:szCs w:val="21"/>
          <w:highlight w:val="none"/>
        </w:rPr>
        <w:t>。</w:t>
      </w:r>
    </w:p>
    <w:p w14:paraId="6852F187">
      <w:pPr>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2、在质保期内，系统或设备发生故障时，接到电话后即时响应，免费提供咨询、维修服务，确认需要派人到现场时，</w:t>
      </w:r>
      <w:r>
        <w:rPr>
          <w:rFonts w:hint="eastAsia" w:ascii="宋体" w:hAnsi="宋体" w:eastAsia="宋体" w:cs="宋体"/>
          <w:color w:val="auto"/>
          <w:sz w:val="21"/>
          <w:szCs w:val="21"/>
          <w:highlight w:val="none"/>
          <w:lang w:val="en-US" w:eastAsia="zh-CN"/>
        </w:rPr>
        <w:t>3小时内</w:t>
      </w:r>
      <w:r>
        <w:rPr>
          <w:rFonts w:hint="eastAsia" w:ascii="宋体" w:hAnsi="宋体" w:eastAsia="宋体" w:cs="宋体"/>
          <w:color w:val="auto"/>
          <w:sz w:val="21"/>
          <w:szCs w:val="21"/>
          <w:highlight w:val="none"/>
        </w:rPr>
        <w:t>到达现场，且一般故障排除时间不超过48个小时，如超过48小时无法解决问题，投标供应商需及时提供替代设备，保证系统正常运行。</w:t>
      </w:r>
    </w:p>
    <w:p w14:paraId="1568262A">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rPr>
      </w:pPr>
      <w:bookmarkStart w:id="235" w:name="_Toc19801898"/>
      <w:bookmarkStart w:id="236" w:name="_Toc48918771"/>
      <w:r>
        <w:rPr>
          <w:rFonts w:hint="eastAsia" w:ascii="宋体" w:hAnsi="宋体" w:eastAsia="宋体" w:cs="宋体"/>
          <w:b/>
          <w:color w:val="auto"/>
          <w:sz w:val="21"/>
          <w:szCs w:val="21"/>
          <w:highlight w:val="none"/>
        </w:rPr>
        <w:t>五、项目工期</w:t>
      </w:r>
      <w:bookmarkEnd w:id="235"/>
      <w:bookmarkEnd w:id="236"/>
    </w:p>
    <w:p w14:paraId="7F0BC9CC">
      <w:pPr>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项目工期：合同签订</w:t>
      </w:r>
      <w:r>
        <w:rPr>
          <w:rFonts w:hint="eastAsia" w:ascii="宋体" w:hAnsi="宋体" w:eastAsia="宋体" w:cs="宋体"/>
          <w:color w:val="auto"/>
          <w:sz w:val="21"/>
          <w:szCs w:val="21"/>
          <w:highlight w:val="none"/>
          <w:lang w:val="en-US" w:eastAsia="zh-CN"/>
        </w:rPr>
        <w:t>生效</w:t>
      </w:r>
      <w:r>
        <w:rPr>
          <w:rFonts w:hint="eastAsia" w:ascii="宋体" w:hAnsi="宋体" w:eastAsia="宋体" w:cs="宋体"/>
          <w:color w:val="auto"/>
          <w:sz w:val="21"/>
          <w:szCs w:val="21"/>
          <w:highlight w:val="none"/>
        </w:rPr>
        <w:t>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日历天内完成项目产品供货、安装调试、系统集成，并进入为期三个月试运行阶段（投标供应商可根据自身实力和项目实际情况提供更短的工期）。</w:t>
      </w:r>
    </w:p>
    <w:p w14:paraId="3F42DBA5">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rPr>
      </w:pPr>
      <w:bookmarkStart w:id="237" w:name="_Toc19801899"/>
      <w:bookmarkStart w:id="238" w:name="_Toc48918772"/>
      <w:r>
        <w:rPr>
          <w:rFonts w:hint="eastAsia" w:ascii="宋体" w:hAnsi="宋体" w:eastAsia="宋体" w:cs="宋体"/>
          <w:b/>
          <w:color w:val="auto"/>
          <w:sz w:val="21"/>
          <w:szCs w:val="21"/>
          <w:highlight w:val="none"/>
        </w:rPr>
        <w:t>六、项目验收</w:t>
      </w:r>
      <w:bookmarkEnd w:id="237"/>
      <w:bookmarkEnd w:id="238"/>
    </w:p>
    <w:p w14:paraId="5CECDF3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1、中标供应商应按有关要求供货，并提供货物质量检验证明文件、测试方法和验收标准。提供的质量检验证明文件、测试方法和验收标准经采购人认可后与合同一起作为项目验收标准的组成。</w:t>
      </w:r>
    </w:p>
    <w:p w14:paraId="2FA9A099">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2、中标供应商将所有货物运抵安装地点后，由采购人按照装箱列表单、采购文件要求、投标文件等进行现场开箱初验。</w:t>
      </w:r>
    </w:p>
    <w:p w14:paraId="3D899EC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3、本项目全部完工并经采购人组织最终验收合格后，双方签署验收单或验收报告。</w:t>
      </w:r>
    </w:p>
    <w:p w14:paraId="110B427E">
      <w:pPr>
        <w:autoSpaceDE w:val="0"/>
        <w:autoSpaceDN w:val="0"/>
        <w:adjustRightInd w:val="0"/>
        <w:spacing w:line="240" w:lineRule="auto"/>
        <w:ind w:firstLine="413" w:firstLineChars="196"/>
        <w:outlineLvl w:val="0"/>
        <w:rPr>
          <w:rFonts w:hint="eastAsia" w:ascii="宋体" w:hAnsi="宋体" w:eastAsia="宋体" w:cs="宋体"/>
          <w:b/>
          <w:color w:val="auto"/>
          <w:sz w:val="21"/>
          <w:szCs w:val="21"/>
          <w:highlight w:val="none"/>
          <w:lang w:val="en-US" w:eastAsia="zh-CN"/>
        </w:rPr>
      </w:pPr>
      <w:bookmarkStart w:id="239" w:name="_Toc48918773"/>
      <w:bookmarkStart w:id="240" w:name="_Toc19801900"/>
      <w:r>
        <w:rPr>
          <w:rFonts w:hint="eastAsia" w:ascii="宋体" w:hAnsi="宋体" w:eastAsia="宋体" w:cs="宋体"/>
          <w:b/>
          <w:color w:val="auto"/>
          <w:sz w:val="21"/>
          <w:szCs w:val="21"/>
          <w:highlight w:val="none"/>
        </w:rPr>
        <w:t>七、付款方式</w:t>
      </w:r>
      <w:bookmarkEnd w:id="239"/>
      <w:bookmarkEnd w:id="240"/>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详见合同条款。</w:t>
      </w:r>
    </w:p>
    <w:p w14:paraId="55D8BFA8">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51E21764">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C25A9E0">
      <w:pPr>
        <w:jc w:val="center"/>
        <w:rPr>
          <w:rFonts w:hint="eastAsia" w:ascii="宋体" w:hAnsi="宋体" w:eastAsia="宋体" w:cs="宋体"/>
          <w:color w:val="auto"/>
          <w:sz w:val="22"/>
          <w:highlight w:val="none"/>
        </w:rPr>
      </w:pPr>
    </w:p>
    <w:p w14:paraId="2E791FFD">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14:paraId="7B36DF1D">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14:paraId="602B2C63">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1D2E9225">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14:paraId="1F57F754">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14:paraId="007373D0">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14:paraId="50126EF6">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23ABF2F5">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14:paraId="7B64BECF">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14:paraId="1D656304">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14:paraId="37EA4992">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14:paraId="539E62C3">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14:paraId="2DC05D14">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14:paraId="4958BEB1">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4CF990AA">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14:paraId="5DB700C7">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14:paraId="4E918A29">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14:paraId="14F50F66">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529EC3D4">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14:paraId="7B19A8BC">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14:paraId="1B52A566">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w:t>
      </w:r>
      <w:r>
        <w:rPr>
          <w:rFonts w:hint="eastAsia" w:ascii="宋体" w:hAnsi="宋体" w:eastAsia="宋体" w:cs="宋体"/>
          <w:sz w:val="22"/>
          <w:highlight w:val="none"/>
        </w:rPr>
        <w:t>综合得分相同的，按投标报价由低到高顺序</w:t>
      </w:r>
      <w:r>
        <w:rPr>
          <w:rFonts w:hint="eastAsia" w:ascii="宋体" w:hAnsi="宋体" w:eastAsia="宋体" w:cs="宋体"/>
          <w:sz w:val="22"/>
          <w:highlight w:val="none"/>
          <w:lang w:val="en-US" w:eastAsia="zh-CN"/>
        </w:rPr>
        <w:t>推荐；综合</w:t>
      </w:r>
      <w:r>
        <w:rPr>
          <w:rFonts w:hint="eastAsia" w:ascii="宋体" w:hAnsi="宋体" w:eastAsia="宋体" w:cs="宋体"/>
          <w:sz w:val="22"/>
          <w:highlight w:val="none"/>
        </w:rPr>
        <w:t>得分且投标报价相同的</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按照</w:t>
      </w:r>
      <w:r>
        <w:rPr>
          <w:rFonts w:hint="eastAsia" w:ascii="宋体" w:hAnsi="宋体" w:eastAsia="宋体" w:cs="宋体"/>
          <w:sz w:val="22"/>
          <w:highlight w:val="none"/>
        </w:rPr>
        <w:t>投标文件满足</w:t>
      </w:r>
      <w:r>
        <w:rPr>
          <w:rFonts w:hint="eastAsia" w:ascii="宋体" w:hAnsi="宋体" w:eastAsia="宋体" w:cs="宋体"/>
          <w:sz w:val="22"/>
          <w:highlight w:val="none"/>
          <w:lang w:val="en-US" w:eastAsia="zh-CN"/>
        </w:rPr>
        <w:t>采购</w:t>
      </w:r>
      <w:r>
        <w:rPr>
          <w:rFonts w:hint="eastAsia" w:ascii="宋体" w:hAnsi="宋体" w:eastAsia="宋体" w:cs="宋体"/>
          <w:sz w:val="22"/>
          <w:highlight w:val="none"/>
        </w:rPr>
        <w:t>文件全部实质性要求，且</w:t>
      </w:r>
      <w:r>
        <w:rPr>
          <w:rFonts w:hint="eastAsia" w:ascii="宋体" w:hAnsi="宋体" w:eastAsia="宋体" w:cs="宋体"/>
          <w:sz w:val="22"/>
          <w:highlight w:val="none"/>
          <w:lang w:val="en-US" w:eastAsia="zh-CN"/>
        </w:rPr>
        <w:t>技术资信</w:t>
      </w:r>
      <w:r>
        <w:rPr>
          <w:rFonts w:hint="eastAsia" w:ascii="宋体" w:hAnsi="宋体" w:eastAsia="宋体" w:cs="宋体"/>
          <w:sz w:val="22"/>
          <w:highlight w:val="none"/>
        </w:rPr>
        <w:t>评审得分由</w:t>
      </w:r>
      <w:r>
        <w:rPr>
          <w:rFonts w:hint="eastAsia" w:ascii="宋体" w:hAnsi="宋体" w:eastAsia="宋体" w:cs="宋体"/>
          <w:sz w:val="22"/>
          <w:highlight w:val="none"/>
          <w:lang w:val="en-US" w:eastAsia="zh-CN"/>
        </w:rPr>
        <w:t>高</w:t>
      </w:r>
      <w:r>
        <w:rPr>
          <w:rFonts w:hint="eastAsia" w:ascii="宋体" w:hAnsi="宋体" w:eastAsia="宋体" w:cs="宋体"/>
          <w:sz w:val="22"/>
          <w:highlight w:val="none"/>
        </w:rPr>
        <w:t>到</w:t>
      </w:r>
      <w:r>
        <w:rPr>
          <w:rFonts w:hint="eastAsia" w:ascii="宋体" w:hAnsi="宋体" w:eastAsia="宋体" w:cs="宋体"/>
          <w:sz w:val="22"/>
          <w:highlight w:val="none"/>
          <w:lang w:val="en-US" w:eastAsia="zh-CN"/>
        </w:rPr>
        <w:t>低</w:t>
      </w:r>
      <w:r>
        <w:rPr>
          <w:rFonts w:hint="eastAsia" w:ascii="宋体" w:hAnsi="宋体" w:eastAsia="宋体" w:cs="宋体"/>
          <w:sz w:val="22"/>
          <w:highlight w:val="none"/>
        </w:rPr>
        <w:t>的顺序推荐。</w:t>
      </w:r>
      <w:r>
        <w:rPr>
          <w:rFonts w:hint="eastAsia" w:ascii="宋体" w:hAnsi="宋体" w:eastAsia="宋体" w:cs="宋体"/>
          <w:snapToGrid w:val="0"/>
          <w:kern w:val="0"/>
          <w:sz w:val="22"/>
          <w:highlight w:val="none"/>
        </w:rPr>
        <w:t>）。</w:t>
      </w:r>
    </w:p>
    <w:p w14:paraId="26B10DFC">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14:paraId="7233F8BE">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14:paraId="18C77A33">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sz w:val="22"/>
          <w:szCs w:val="24"/>
          <w:highlight w:val="none"/>
          <w:lang w:val="en-US" w:eastAsia="zh-CN"/>
        </w:rPr>
        <w:t>70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30</w:t>
      </w:r>
      <w:r>
        <w:rPr>
          <w:rFonts w:hint="eastAsia" w:ascii="宋体" w:hAnsi="宋体" w:eastAsia="宋体" w:cs="宋体"/>
          <w:sz w:val="22"/>
          <w:szCs w:val="24"/>
          <w:highlight w:val="none"/>
        </w:rPr>
        <w:t>分。</w:t>
      </w:r>
    </w:p>
    <w:p w14:paraId="3219F870">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14:paraId="13E86122">
      <w:pPr>
        <w:adjustRightInd w:val="0"/>
        <w:snapToGrid w:val="0"/>
        <w:ind w:firstLine="442" w:firstLineChars="20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w:t>
      </w:r>
      <w:r>
        <w:rPr>
          <w:rFonts w:hint="eastAsia" w:ascii="宋体" w:hAnsi="宋体" w:eastAsia="宋体" w:cs="宋体"/>
          <w:b/>
          <w:bCs/>
          <w:sz w:val="22"/>
          <w:highlight w:val="none"/>
          <w:lang w:val="en-US" w:eastAsia="zh-CN"/>
        </w:rPr>
        <w:t>7</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14:paraId="70D61B53">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96"/>
        <w:gridCol w:w="632"/>
        <w:gridCol w:w="6739"/>
        <w:gridCol w:w="610"/>
        <w:gridCol w:w="665"/>
      </w:tblGrid>
      <w:tr w14:paraId="3D2C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396" w:type="dxa"/>
            <w:shd w:val="clear" w:color="auto" w:fill="FFFFFF"/>
            <w:noWrap w:val="0"/>
            <w:vAlign w:val="center"/>
          </w:tcPr>
          <w:p w14:paraId="03AE51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bookmarkStart w:id="241" w:name="_Hlk11188594"/>
            <w:r>
              <w:rPr>
                <w:rFonts w:hint="eastAsia" w:ascii="宋体" w:hAnsi="宋体" w:eastAsia="宋体" w:cs="宋体"/>
                <w:color w:val="auto"/>
                <w:sz w:val="18"/>
                <w:szCs w:val="18"/>
                <w:highlight w:val="none"/>
                <w:lang w:val="en-US" w:eastAsia="zh-CN"/>
              </w:rPr>
              <w:t>序号</w:t>
            </w:r>
          </w:p>
        </w:tc>
        <w:tc>
          <w:tcPr>
            <w:tcW w:w="632" w:type="dxa"/>
            <w:shd w:val="clear" w:color="auto" w:fill="FFFFFF"/>
            <w:noWrap w:val="0"/>
            <w:vAlign w:val="center"/>
          </w:tcPr>
          <w:p w14:paraId="49270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项 目</w:t>
            </w:r>
          </w:p>
        </w:tc>
        <w:tc>
          <w:tcPr>
            <w:tcW w:w="6739" w:type="dxa"/>
            <w:shd w:val="clear" w:color="auto" w:fill="FFFFFF"/>
            <w:noWrap w:val="0"/>
            <w:vAlign w:val="center"/>
          </w:tcPr>
          <w:p w14:paraId="08626F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评分细则</w:t>
            </w:r>
          </w:p>
        </w:tc>
        <w:tc>
          <w:tcPr>
            <w:tcW w:w="610" w:type="dxa"/>
            <w:shd w:val="clear" w:color="auto" w:fill="FFFFFF"/>
            <w:noWrap w:val="0"/>
            <w:vAlign w:val="center"/>
          </w:tcPr>
          <w:p w14:paraId="189429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满分值</w:t>
            </w:r>
          </w:p>
        </w:tc>
        <w:tc>
          <w:tcPr>
            <w:tcW w:w="665" w:type="dxa"/>
            <w:shd w:val="clear" w:color="auto" w:fill="FFFFFF"/>
            <w:noWrap w:val="0"/>
            <w:vAlign w:val="center"/>
          </w:tcPr>
          <w:p w14:paraId="2B8DE9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备注</w:t>
            </w:r>
          </w:p>
        </w:tc>
      </w:tr>
      <w:tr w14:paraId="3221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jc w:val="center"/>
        </w:trPr>
        <w:tc>
          <w:tcPr>
            <w:tcW w:w="396" w:type="dxa"/>
            <w:vMerge w:val="restart"/>
            <w:shd w:val="clear" w:color="auto" w:fill="FFFFFF"/>
            <w:noWrap w:val="0"/>
            <w:vAlign w:val="center"/>
          </w:tcPr>
          <w:p w14:paraId="5E7EB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1</w:t>
            </w:r>
          </w:p>
        </w:tc>
        <w:tc>
          <w:tcPr>
            <w:tcW w:w="632" w:type="dxa"/>
            <w:vMerge w:val="restart"/>
            <w:shd w:val="clear" w:color="auto" w:fill="FFFFFF"/>
            <w:noWrap w:val="0"/>
            <w:vAlign w:val="center"/>
          </w:tcPr>
          <w:p w14:paraId="421F66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综合实力</w:t>
            </w:r>
          </w:p>
        </w:tc>
        <w:tc>
          <w:tcPr>
            <w:tcW w:w="6739" w:type="dxa"/>
            <w:shd w:val="clear" w:color="auto" w:fill="FFFFFF"/>
            <w:noWrap w:val="0"/>
            <w:vAlign w:val="center"/>
          </w:tcPr>
          <w:p w14:paraId="2D3E4C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投标供应商具有：ISO质量管理体系认证证书；ISO环境管理体系认证证书；ISO健康管理体系认证证书，且证书认证范围均包含“系统集成设备的销售及其售后服务、物联网及安全服务”，每具备1个证书得2分，最高得6分。</w:t>
            </w:r>
          </w:p>
          <w:p w14:paraId="3D298E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18"/>
                <w:szCs w:val="18"/>
                <w:highlight w:val="none"/>
                <w:lang w:val="en-US" w:eastAsia="zh-CN" w:bidi="ar-SA"/>
              </w:rPr>
              <w:t>（注：若投标供应商提供的证书认证范围意思与以上内容类似，仅描述不同，可认为符合该证书认证范围包含“系统集成设备的销售及其售后服务、物联网及安全服务”，须提供相关有效证书原件扫描件加盖投标供应商公章，未提供或认证范围不符合要求的不得分。）</w:t>
            </w:r>
          </w:p>
        </w:tc>
        <w:tc>
          <w:tcPr>
            <w:tcW w:w="610" w:type="dxa"/>
            <w:vMerge w:val="restart"/>
            <w:shd w:val="clear" w:color="auto" w:fill="FFFFFF"/>
            <w:noWrap w:val="0"/>
            <w:vAlign w:val="center"/>
          </w:tcPr>
          <w:p w14:paraId="76E001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18"/>
                <w:szCs w:val="18"/>
                <w:highlight w:val="none"/>
                <w:lang w:val="en-US" w:eastAsia="zh-CN"/>
              </w:rPr>
              <w:t>8</w:t>
            </w:r>
          </w:p>
        </w:tc>
        <w:tc>
          <w:tcPr>
            <w:tcW w:w="665" w:type="dxa"/>
            <w:vMerge w:val="restart"/>
            <w:shd w:val="clear" w:color="auto" w:fill="FFFFFF"/>
            <w:noWrap w:val="0"/>
            <w:vAlign w:val="center"/>
          </w:tcPr>
          <w:p w14:paraId="02E49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客观分</w:t>
            </w:r>
          </w:p>
        </w:tc>
      </w:tr>
      <w:tr w14:paraId="1CA1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dxa"/>
            <w:vMerge w:val="continue"/>
            <w:shd w:val="clear" w:color="auto" w:fill="FFFFFF"/>
            <w:noWrap w:val="0"/>
            <w:vAlign w:val="center"/>
          </w:tcPr>
          <w:p w14:paraId="20B58BC2">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32" w:type="dxa"/>
            <w:vMerge w:val="continue"/>
            <w:shd w:val="clear" w:color="auto" w:fill="FFFFFF"/>
            <w:noWrap w:val="0"/>
            <w:vAlign w:val="center"/>
          </w:tcPr>
          <w:p w14:paraId="77E9FCA5">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739" w:type="dxa"/>
            <w:shd w:val="clear" w:color="auto" w:fill="FFFFFF"/>
            <w:noWrap w:val="0"/>
            <w:vAlign w:val="center"/>
          </w:tcPr>
          <w:p w14:paraId="63362D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18"/>
                <w:szCs w:val="18"/>
                <w:highlight w:val="none"/>
                <w:lang w:val="en-US" w:eastAsia="zh-CN" w:bidi="ar-SA"/>
              </w:rPr>
              <w:t>2、投标供应商具有IS0信息安全管理体系认证证书，且证书认证范围包含“物联网设备的销售及运维、信息系统集成、计算机应用软件开发及运维”的得2分（注：若投标供应商提供的证书认证范围意思与以上内容类似，仅描述不同，可认为符合该证书认证范围包含“物联网设备的销售及运维、信息系统集成、计算机应用软件开发及运维”，须提供相关有效证书原件扫描件加盖投标供应商公章，未提供或认证范围不符合要求的不得分。）</w:t>
            </w:r>
          </w:p>
        </w:tc>
        <w:tc>
          <w:tcPr>
            <w:tcW w:w="610" w:type="dxa"/>
            <w:vMerge w:val="continue"/>
            <w:shd w:val="clear" w:color="auto" w:fill="FFFFFF"/>
            <w:noWrap w:val="0"/>
            <w:vAlign w:val="center"/>
          </w:tcPr>
          <w:p w14:paraId="7C0E5975">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65" w:type="dxa"/>
            <w:vMerge w:val="continue"/>
            <w:shd w:val="clear" w:color="auto" w:fill="FFFFFF"/>
            <w:noWrap w:val="0"/>
            <w:vAlign w:val="center"/>
          </w:tcPr>
          <w:p w14:paraId="189A6B68">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221C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jc w:val="center"/>
        </w:trPr>
        <w:tc>
          <w:tcPr>
            <w:tcW w:w="396" w:type="dxa"/>
            <w:vMerge w:val="continue"/>
            <w:shd w:val="clear" w:color="auto" w:fill="FFFFFF"/>
            <w:noWrap w:val="0"/>
            <w:vAlign w:val="center"/>
          </w:tcPr>
          <w:p w14:paraId="54833F0A">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32" w:type="dxa"/>
            <w:vMerge w:val="continue"/>
            <w:shd w:val="clear" w:color="auto" w:fill="FFFFFF"/>
            <w:noWrap w:val="0"/>
            <w:vAlign w:val="center"/>
          </w:tcPr>
          <w:p w14:paraId="414E54BC">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739" w:type="dxa"/>
            <w:shd w:val="clear" w:color="auto" w:fill="FFFFFF"/>
            <w:noWrap w:val="0"/>
            <w:vAlign w:val="center"/>
          </w:tcPr>
          <w:p w14:paraId="410C1125">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18"/>
                <w:szCs w:val="18"/>
                <w:highlight w:val="none"/>
                <w:shd w:val="clear" w:color="auto" w:fill="auto"/>
                <w:lang w:val="en-US" w:eastAsia="zh-CN"/>
              </w:rPr>
              <w:t>备注：投标文件中ISO认证证书要求可在全国认证认可信息公共服务平台http://cx.cnca.cn/中查到；要求证书的查询号码清晰可见或在投标文件中另行列表显示查询号码，由于字迹不清导致无法查询的视同无效不予赋分。</w:t>
            </w:r>
          </w:p>
        </w:tc>
        <w:tc>
          <w:tcPr>
            <w:tcW w:w="610" w:type="dxa"/>
            <w:vMerge w:val="continue"/>
            <w:shd w:val="clear" w:color="auto" w:fill="FFFFFF"/>
            <w:noWrap w:val="0"/>
            <w:vAlign w:val="center"/>
          </w:tcPr>
          <w:p w14:paraId="1EFF1129">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65" w:type="dxa"/>
            <w:vMerge w:val="continue"/>
            <w:shd w:val="clear" w:color="auto" w:fill="FFFFFF"/>
            <w:noWrap w:val="0"/>
            <w:vAlign w:val="center"/>
          </w:tcPr>
          <w:p w14:paraId="53EC7F0D">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75CA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dxa"/>
            <w:shd w:val="clear" w:color="auto" w:fill="FFFFFF"/>
            <w:noWrap w:val="0"/>
            <w:vAlign w:val="center"/>
          </w:tcPr>
          <w:p w14:paraId="754140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2</w:t>
            </w:r>
          </w:p>
        </w:tc>
        <w:tc>
          <w:tcPr>
            <w:tcW w:w="632" w:type="dxa"/>
            <w:shd w:val="clear" w:color="auto" w:fill="FFFFFF"/>
            <w:noWrap w:val="0"/>
            <w:vAlign w:val="center"/>
          </w:tcPr>
          <w:p w14:paraId="5BC6DC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技术方案</w:t>
            </w:r>
          </w:p>
        </w:tc>
        <w:tc>
          <w:tcPr>
            <w:tcW w:w="6739" w:type="dxa"/>
            <w:shd w:val="clear" w:color="auto" w:fill="FFFFFF"/>
            <w:noWrap w:val="0"/>
            <w:vAlign w:val="center"/>
          </w:tcPr>
          <w:p w14:paraId="4A0CF9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18"/>
                <w:szCs w:val="18"/>
                <w:highlight w:val="none"/>
                <w:lang w:val="zh-CN" w:eastAsia="zh-CN" w:bidi="ar-SA"/>
              </w:rPr>
              <w:t>根据投标</w:t>
            </w:r>
            <w:r>
              <w:rPr>
                <w:rFonts w:hint="eastAsia" w:ascii="宋体" w:hAnsi="宋体" w:eastAsia="宋体" w:cs="宋体"/>
                <w:color w:val="auto"/>
                <w:kern w:val="2"/>
                <w:sz w:val="18"/>
                <w:szCs w:val="18"/>
                <w:highlight w:val="none"/>
                <w:lang w:val="en-US" w:eastAsia="zh-CN" w:bidi="ar-SA"/>
              </w:rPr>
              <w:t>供应商</w:t>
            </w:r>
            <w:r>
              <w:rPr>
                <w:rFonts w:hint="eastAsia" w:ascii="宋体" w:hAnsi="宋体" w:eastAsia="宋体" w:cs="宋体"/>
                <w:color w:val="auto"/>
                <w:kern w:val="2"/>
                <w:sz w:val="18"/>
                <w:szCs w:val="18"/>
                <w:highlight w:val="none"/>
                <w:lang w:val="zh-CN" w:eastAsia="zh-CN" w:bidi="ar-SA"/>
              </w:rPr>
              <w:t>提供的技术方案及材料详尽程度，是否充分考虑各环节技术实施难点，技术方案不仅限于对按时备货工作、现场勘察资料、现状情况分析、系统功能及性能需求分析等方面</w:t>
            </w:r>
            <w:r>
              <w:rPr>
                <w:rFonts w:hint="eastAsia" w:ascii="宋体" w:hAnsi="宋体" w:eastAsia="宋体" w:cs="宋体"/>
                <w:color w:val="auto"/>
                <w:sz w:val="18"/>
                <w:szCs w:val="18"/>
                <w:highlight w:val="none"/>
                <w:lang w:val="en-US" w:eastAsia="zh-CN"/>
              </w:rPr>
              <w:t>进行综合评分：A档6-4.1分，B档4-2.1分，C档2-0分。</w:t>
            </w:r>
          </w:p>
        </w:tc>
        <w:tc>
          <w:tcPr>
            <w:tcW w:w="610" w:type="dxa"/>
            <w:shd w:val="clear" w:color="auto" w:fill="FFFFFF"/>
            <w:noWrap w:val="0"/>
            <w:vAlign w:val="center"/>
          </w:tcPr>
          <w:p w14:paraId="173706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6</w:t>
            </w:r>
          </w:p>
        </w:tc>
        <w:tc>
          <w:tcPr>
            <w:tcW w:w="665" w:type="dxa"/>
            <w:shd w:val="clear" w:color="auto" w:fill="FFFFFF"/>
            <w:noWrap w:val="0"/>
            <w:vAlign w:val="center"/>
          </w:tcPr>
          <w:p w14:paraId="033390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主观分</w:t>
            </w:r>
          </w:p>
        </w:tc>
      </w:tr>
      <w:tr w14:paraId="66F0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6" w:type="dxa"/>
            <w:shd w:val="clear" w:color="auto" w:fill="FFFFFF"/>
            <w:noWrap w:val="0"/>
            <w:vAlign w:val="center"/>
          </w:tcPr>
          <w:p w14:paraId="32F491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3</w:t>
            </w:r>
          </w:p>
        </w:tc>
        <w:tc>
          <w:tcPr>
            <w:tcW w:w="632" w:type="dxa"/>
            <w:shd w:val="clear" w:color="auto" w:fill="FFFFFF"/>
            <w:noWrap w:val="0"/>
            <w:vAlign w:val="center"/>
          </w:tcPr>
          <w:p w14:paraId="48EE65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实施方案</w:t>
            </w:r>
          </w:p>
        </w:tc>
        <w:tc>
          <w:tcPr>
            <w:tcW w:w="6739" w:type="dxa"/>
            <w:shd w:val="clear" w:color="auto" w:fill="FFFFFF"/>
            <w:noWrap w:val="0"/>
            <w:vAlign w:val="center"/>
          </w:tcPr>
          <w:p w14:paraId="4B7BF48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根据投标供应商项目实施服务方案的优劣综合评分，包括能否按照项目分解节点并可跟踪实施、组织实施方案、管理和协调方法等内容。充分了解项目需求并制定安装施工进度计划、进度保障措施及质量保证措施等，方案完整可行得4.1-5分；对项目需求比较了解，方案比较满足得2.1-4分；项目需求了解一般，方案基本满足得0-2分。</w:t>
            </w:r>
          </w:p>
        </w:tc>
        <w:tc>
          <w:tcPr>
            <w:tcW w:w="610" w:type="dxa"/>
            <w:shd w:val="clear" w:color="auto" w:fill="FFFFFF"/>
            <w:noWrap w:val="0"/>
            <w:vAlign w:val="center"/>
          </w:tcPr>
          <w:p w14:paraId="5BCBC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5</w:t>
            </w:r>
          </w:p>
        </w:tc>
        <w:tc>
          <w:tcPr>
            <w:tcW w:w="665" w:type="dxa"/>
            <w:shd w:val="clear" w:color="auto" w:fill="FFFFFF"/>
            <w:noWrap w:val="0"/>
            <w:vAlign w:val="center"/>
          </w:tcPr>
          <w:p w14:paraId="11273B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主观分</w:t>
            </w:r>
          </w:p>
        </w:tc>
      </w:tr>
      <w:tr w14:paraId="2EE7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6" w:type="dxa"/>
            <w:vMerge w:val="restart"/>
            <w:shd w:val="clear" w:color="auto" w:fill="FFFFFF"/>
            <w:noWrap w:val="0"/>
            <w:vAlign w:val="center"/>
          </w:tcPr>
          <w:p w14:paraId="63B538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4</w:t>
            </w:r>
          </w:p>
        </w:tc>
        <w:tc>
          <w:tcPr>
            <w:tcW w:w="632" w:type="dxa"/>
            <w:vMerge w:val="restart"/>
            <w:shd w:val="clear" w:color="auto" w:fill="FFFFFF"/>
            <w:noWrap w:val="0"/>
            <w:vAlign w:val="center"/>
          </w:tcPr>
          <w:p w14:paraId="737D89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产品符合程度</w:t>
            </w:r>
          </w:p>
        </w:tc>
        <w:tc>
          <w:tcPr>
            <w:tcW w:w="6739" w:type="dxa"/>
            <w:shd w:val="clear" w:color="auto" w:fill="FFFFFF"/>
            <w:noWrap w:val="0"/>
            <w:vAlign w:val="center"/>
          </w:tcPr>
          <w:p w14:paraId="07D65988">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根据供应商附件七《（2）主要技术参数响应情况表》响应的配置及技术参数和采购文件的符合程度进行评分。采购文件中标注“★”的重要技术参数负偏离的，每项负偏离扣1分，采购文件中未标注“★”的技术参数，每负偏离一项扣0.5分，扣完为止，本项满分得分为25分。</w:t>
            </w:r>
          </w:p>
        </w:tc>
        <w:tc>
          <w:tcPr>
            <w:tcW w:w="610" w:type="dxa"/>
            <w:vMerge w:val="restart"/>
            <w:shd w:val="clear" w:color="auto" w:fill="FFFFFF"/>
            <w:noWrap w:val="0"/>
            <w:vAlign w:val="center"/>
          </w:tcPr>
          <w:p w14:paraId="30020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25</w:t>
            </w:r>
          </w:p>
        </w:tc>
        <w:tc>
          <w:tcPr>
            <w:tcW w:w="665" w:type="dxa"/>
            <w:vMerge w:val="restart"/>
            <w:shd w:val="clear" w:color="auto" w:fill="FFFFFF"/>
            <w:noWrap w:val="0"/>
            <w:vAlign w:val="center"/>
          </w:tcPr>
          <w:p w14:paraId="5BD64D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客观分</w:t>
            </w:r>
          </w:p>
        </w:tc>
      </w:tr>
      <w:tr w14:paraId="156B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96" w:type="dxa"/>
            <w:vMerge w:val="continue"/>
            <w:shd w:val="clear" w:color="auto" w:fill="FFFFFF"/>
            <w:noWrap w:val="0"/>
            <w:vAlign w:val="center"/>
          </w:tcPr>
          <w:p w14:paraId="6F86A1FD">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32" w:type="dxa"/>
            <w:vMerge w:val="continue"/>
            <w:shd w:val="clear" w:color="auto" w:fill="FFFFFF"/>
            <w:noWrap w:val="0"/>
            <w:vAlign w:val="center"/>
          </w:tcPr>
          <w:p w14:paraId="79C2ECF6">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739" w:type="dxa"/>
            <w:shd w:val="clear" w:color="auto" w:fill="FFFFFF"/>
            <w:noWrap w:val="0"/>
            <w:vAlign w:val="center"/>
          </w:tcPr>
          <w:p w14:paraId="58067A5D">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投标单位必须保证提供资料和数据的真实性，如查实有任一投标产品技术参数有造假行为，将取消其中标人资格。（存在其他偏离的参数必须在《技术规格、商务条款偏离表》中体现，否则如影响评审结果由供应商自行负责）</w:t>
            </w:r>
          </w:p>
        </w:tc>
        <w:tc>
          <w:tcPr>
            <w:tcW w:w="610" w:type="dxa"/>
            <w:vMerge w:val="continue"/>
            <w:shd w:val="clear" w:color="auto" w:fill="FFFFFF"/>
            <w:noWrap w:val="0"/>
            <w:vAlign w:val="center"/>
          </w:tcPr>
          <w:p w14:paraId="52ED024E">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65" w:type="dxa"/>
            <w:vMerge w:val="continue"/>
            <w:shd w:val="clear" w:color="auto" w:fill="FFFFFF"/>
            <w:noWrap w:val="0"/>
            <w:vAlign w:val="center"/>
          </w:tcPr>
          <w:p w14:paraId="63B576AE">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7ECB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6" w:type="dxa"/>
            <w:vMerge w:val="restart"/>
            <w:shd w:val="clear" w:color="auto" w:fill="FFFFFF"/>
            <w:noWrap w:val="0"/>
            <w:vAlign w:val="center"/>
          </w:tcPr>
          <w:p w14:paraId="773379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5</w:t>
            </w:r>
          </w:p>
        </w:tc>
        <w:tc>
          <w:tcPr>
            <w:tcW w:w="632" w:type="dxa"/>
            <w:vMerge w:val="restart"/>
            <w:shd w:val="clear" w:color="auto" w:fill="FFFFFF"/>
            <w:noWrap w:val="0"/>
            <w:vAlign w:val="center"/>
          </w:tcPr>
          <w:p w14:paraId="39B42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人员配置能力</w:t>
            </w:r>
          </w:p>
        </w:tc>
        <w:tc>
          <w:tcPr>
            <w:tcW w:w="6739" w:type="dxa"/>
            <w:shd w:val="clear" w:color="auto" w:fill="FFFFFF"/>
            <w:noWrap w:val="0"/>
            <w:vAlign w:val="center"/>
          </w:tcPr>
          <w:p w14:paraId="3BE992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rPr>
              <w:t>1.拟派本项目的项目经理具有</w:t>
            </w:r>
            <w:r>
              <w:rPr>
                <w:rFonts w:hint="eastAsia" w:ascii="宋体" w:hAnsi="宋体" w:eastAsia="宋体" w:cs="宋体"/>
                <w:color w:val="auto"/>
                <w:sz w:val="18"/>
                <w:szCs w:val="18"/>
                <w:highlight w:val="none"/>
                <w:lang w:val="en-US" w:eastAsia="zh-CN"/>
              </w:rPr>
              <w:t>高级工程师职称（信息技术系统集成专业）</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通信工程师</w:t>
            </w:r>
            <w:r>
              <w:rPr>
                <w:rFonts w:hint="eastAsia" w:ascii="宋体" w:hAnsi="宋体" w:eastAsia="宋体" w:cs="宋体"/>
                <w:color w:val="auto"/>
                <w:sz w:val="18"/>
                <w:szCs w:val="18"/>
                <w:highlight w:val="none"/>
              </w:rPr>
              <w:t>证书</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注册信息安全工程师（CISE），每提供一个得1分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最高得3分，不提供不得分</w:t>
            </w:r>
            <w:r>
              <w:rPr>
                <w:rFonts w:hint="eastAsia" w:ascii="宋体" w:hAnsi="宋体" w:eastAsia="宋体" w:cs="宋体"/>
                <w:color w:val="auto"/>
                <w:sz w:val="18"/>
                <w:szCs w:val="18"/>
                <w:highlight w:val="none"/>
              </w:rPr>
              <w:t>。</w:t>
            </w:r>
          </w:p>
        </w:tc>
        <w:tc>
          <w:tcPr>
            <w:tcW w:w="610" w:type="dxa"/>
            <w:vMerge w:val="restart"/>
            <w:shd w:val="clear" w:color="auto" w:fill="FFFFFF"/>
            <w:noWrap w:val="0"/>
            <w:vAlign w:val="center"/>
          </w:tcPr>
          <w:p w14:paraId="1D2A6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10</w:t>
            </w:r>
          </w:p>
        </w:tc>
        <w:tc>
          <w:tcPr>
            <w:tcW w:w="665" w:type="dxa"/>
            <w:vMerge w:val="restart"/>
            <w:shd w:val="clear" w:color="auto" w:fill="FFFFFF"/>
            <w:noWrap w:val="0"/>
            <w:vAlign w:val="center"/>
          </w:tcPr>
          <w:p w14:paraId="7F810B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客观分</w:t>
            </w:r>
          </w:p>
        </w:tc>
      </w:tr>
      <w:tr w14:paraId="7326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jc w:val="center"/>
        </w:trPr>
        <w:tc>
          <w:tcPr>
            <w:tcW w:w="396" w:type="dxa"/>
            <w:vMerge w:val="continue"/>
            <w:shd w:val="clear" w:color="auto" w:fill="FFFFFF"/>
            <w:noWrap w:val="0"/>
            <w:vAlign w:val="center"/>
          </w:tcPr>
          <w:p w14:paraId="2BDFB3A6">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32" w:type="dxa"/>
            <w:vMerge w:val="continue"/>
            <w:shd w:val="clear" w:color="auto" w:fill="FFFFFF"/>
            <w:noWrap w:val="0"/>
            <w:vAlign w:val="center"/>
          </w:tcPr>
          <w:p w14:paraId="11623FAB">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739" w:type="dxa"/>
            <w:shd w:val="clear" w:color="auto" w:fill="FFFFFF"/>
            <w:noWrap w:val="0"/>
            <w:vAlign w:val="center"/>
          </w:tcPr>
          <w:p w14:paraId="4DE008E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.拟派本项目的项目技术负责人具有高级工程师职称（信息技术系统集成专业）、高级网络工程师、注册信息安全工程师（CISE），每提供一个得1分，最高得3分，不提供不得分。</w:t>
            </w:r>
          </w:p>
        </w:tc>
        <w:tc>
          <w:tcPr>
            <w:tcW w:w="610" w:type="dxa"/>
            <w:vMerge w:val="continue"/>
            <w:shd w:val="clear" w:color="auto" w:fill="FFFFFF"/>
            <w:noWrap w:val="0"/>
            <w:vAlign w:val="center"/>
          </w:tcPr>
          <w:p w14:paraId="7D9097B1">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65" w:type="dxa"/>
            <w:vMerge w:val="continue"/>
            <w:shd w:val="clear" w:color="auto" w:fill="FFFFFF"/>
            <w:noWrap w:val="0"/>
            <w:vAlign w:val="center"/>
          </w:tcPr>
          <w:p w14:paraId="7AAA9548">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4452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jc w:val="center"/>
        </w:trPr>
        <w:tc>
          <w:tcPr>
            <w:tcW w:w="396" w:type="dxa"/>
            <w:vMerge w:val="continue"/>
            <w:shd w:val="clear" w:color="auto" w:fill="FFFFFF"/>
            <w:noWrap w:val="0"/>
            <w:vAlign w:val="center"/>
          </w:tcPr>
          <w:p w14:paraId="78B4EF4B">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32" w:type="dxa"/>
            <w:vMerge w:val="continue"/>
            <w:shd w:val="clear" w:color="auto" w:fill="FFFFFF"/>
            <w:noWrap w:val="0"/>
            <w:vAlign w:val="center"/>
          </w:tcPr>
          <w:p w14:paraId="4F38D598">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739" w:type="dxa"/>
            <w:shd w:val="clear" w:color="auto" w:fill="FFFFFF"/>
            <w:noWrap w:val="0"/>
            <w:vAlign w:val="center"/>
          </w:tcPr>
          <w:p w14:paraId="0F3A51B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.拟派本项目的项目实施负责人具有信息系统监理师、IT服务项目经理，每提供一个得1分，最高得2分，不提供不得分。</w:t>
            </w:r>
          </w:p>
        </w:tc>
        <w:tc>
          <w:tcPr>
            <w:tcW w:w="610" w:type="dxa"/>
            <w:vMerge w:val="continue"/>
            <w:shd w:val="clear" w:color="auto" w:fill="FFFFFF"/>
            <w:noWrap w:val="0"/>
            <w:vAlign w:val="center"/>
          </w:tcPr>
          <w:p w14:paraId="0A50D431">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65" w:type="dxa"/>
            <w:vMerge w:val="continue"/>
            <w:shd w:val="clear" w:color="auto" w:fill="FFFFFF"/>
            <w:noWrap w:val="0"/>
            <w:vAlign w:val="center"/>
          </w:tcPr>
          <w:p w14:paraId="475A539D">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02A9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396" w:type="dxa"/>
            <w:vMerge w:val="continue"/>
            <w:shd w:val="clear" w:color="auto" w:fill="FFFFFF"/>
            <w:noWrap w:val="0"/>
            <w:vAlign w:val="center"/>
          </w:tcPr>
          <w:p w14:paraId="6D8827DF">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32" w:type="dxa"/>
            <w:vMerge w:val="continue"/>
            <w:shd w:val="clear" w:color="auto" w:fill="FFFFFF"/>
            <w:noWrap w:val="0"/>
            <w:vAlign w:val="center"/>
          </w:tcPr>
          <w:p w14:paraId="786AF085">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739" w:type="dxa"/>
            <w:shd w:val="clear" w:color="auto" w:fill="FFFFFF"/>
            <w:noWrap w:val="0"/>
            <w:vAlign w:val="center"/>
          </w:tcPr>
          <w:p w14:paraId="064BC58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18"/>
                <w:szCs w:val="18"/>
                <w:highlight w:val="none"/>
                <w:lang w:val="en-US" w:eastAsia="zh-CN"/>
              </w:rPr>
              <w:t>4.项目组成员（除项目经理、项目技术负责人、项目实施负责人外的人员）具有系统架构师、信息系统项目管理师，每提供一种得1分，最高2分，不提供不得分。</w:t>
            </w:r>
          </w:p>
        </w:tc>
        <w:tc>
          <w:tcPr>
            <w:tcW w:w="610" w:type="dxa"/>
            <w:vMerge w:val="continue"/>
            <w:shd w:val="clear" w:color="auto" w:fill="FFFFFF"/>
            <w:noWrap w:val="0"/>
            <w:vAlign w:val="center"/>
          </w:tcPr>
          <w:p w14:paraId="7B2E5C5B">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rPr>
            </w:pPr>
          </w:p>
        </w:tc>
        <w:tc>
          <w:tcPr>
            <w:tcW w:w="665" w:type="dxa"/>
            <w:vMerge w:val="continue"/>
            <w:shd w:val="clear" w:color="auto" w:fill="FFFFFF"/>
            <w:noWrap w:val="0"/>
            <w:vAlign w:val="center"/>
          </w:tcPr>
          <w:p w14:paraId="232658A3">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7E2E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dxa"/>
            <w:shd w:val="clear" w:color="auto" w:fill="FFFFFF"/>
            <w:noWrap w:val="0"/>
            <w:vAlign w:val="center"/>
          </w:tcPr>
          <w:p w14:paraId="246EB2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6</w:t>
            </w:r>
          </w:p>
        </w:tc>
        <w:tc>
          <w:tcPr>
            <w:tcW w:w="632" w:type="dxa"/>
            <w:shd w:val="clear" w:color="auto" w:fill="FFFFFF"/>
            <w:noWrap w:val="0"/>
            <w:vAlign w:val="center"/>
          </w:tcPr>
          <w:p w14:paraId="0A5020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现场演示</w:t>
            </w:r>
          </w:p>
        </w:tc>
        <w:tc>
          <w:tcPr>
            <w:tcW w:w="6739" w:type="dxa"/>
            <w:shd w:val="clear" w:color="auto" w:fill="FFFFFF"/>
            <w:noWrap w:val="0"/>
            <w:vAlign w:val="center"/>
          </w:tcPr>
          <w:p w14:paraId="1D5E24DA">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bidi="ar"/>
              </w:rPr>
            </w:pPr>
            <w:r>
              <w:rPr>
                <w:rFonts w:hint="eastAsia" w:ascii="宋体" w:hAnsi="宋体" w:eastAsia="宋体" w:cs="宋体"/>
                <w:color w:val="000000"/>
                <w:sz w:val="18"/>
                <w:szCs w:val="18"/>
                <w:highlight w:val="none"/>
                <w:lang w:bidi="ar"/>
              </w:rPr>
              <w:t>针对投标软件技术指标的符合性、适用性等情况，本项目需提供</w:t>
            </w:r>
            <w:r>
              <w:rPr>
                <w:rFonts w:hint="eastAsia" w:ascii="宋体" w:hAnsi="宋体" w:eastAsia="宋体" w:cs="宋体"/>
                <w:color w:val="000000"/>
                <w:sz w:val="18"/>
                <w:szCs w:val="18"/>
                <w:highlight w:val="none"/>
                <w:lang w:val="en-US" w:eastAsia="zh-CN" w:bidi="ar"/>
              </w:rPr>
              <w:t>多媒体管理平台系统功能</w:t>
            </w:r>
            <w:r>
              <w:rPr>
                <w:rFonts w:hint="eastAsia" w:ascii="宋体" w:hAnsi="宋体" w:eastAsia="宋体" w:cs="宋体"/>
                <w:color w:val="000000"/>
                <w:sz w:val="18"/>
                <w:szCs w:val="18"/>
                <w:highlight w:val="none"/>
                <w:lang w:bidi="ar"/>
              </w:rPr>
              <w:t>录屏演示，由评委根据</w:t>
            </w:r>
            <w:r>
              <w:rPr>
                <w:rFonts w:hint="eastAsia" w:ascii="宋体" w:hAnsi="宋体" w:eastAsia="宋体" w:cs="宋体"/>
                <w:color w:val="000000"/>
                <w:sz w:val="18"/>
                <w:szCs w:val="18"/>
                <w:highlight w:val="none"/>
                <w:lang w:eastAsia="zh-CN" w:bidi="ar"/>
              </w:rPr>
              <w:t>投标供应商</w:t>
            </w:r>
            <w:r>
              <w:rPr>
                <w:rFonts w:hint="eastAsia" w:ascii="宋体" w:hAnsi="宋体" w:eastAsia="宋体" w:cs="宋体"/>
                <w:color w:val="000000"/>
                <w:sz w:val="18"/>
                <w:szCs w:val="18"/>
                <w:highlight w:val="none"/>
                <w:lang w:bidi="ar"/>
              </w:rPr>
              <w:t>演示结果与“演示要求”中的标准，进行匹配度评分。请各</w:t>
            </w:r>
            <w:r>
              <w:rPr>
                <w:rFonts w:hint="eastAsia" w:ascii="宋体" w:hAnsi="宋体" w:eastAsia="宋体" w:cs="宋体"/>
                <w:color w:val="000000"/>
                <w:sz w:val="18"/>
                <w:szCs w:val="18"/>
                <w:highlight w:val="none"/>
                <w:lang w:eastAsia="zh-CN" w:bidi="ar"/>
              </w:rPr>
              <w:t>投标供应商</w:t>
            </w:r>
            <w:r>
              <w:rPr>
                <w:rFonts w:hint="eastAsia" w:ascii="宋体" w:hAnsi="宋体" w:eastAsia="宋体" w:cs="宋体"/>
                <w:color w:val="000000"/>
                <w:sz w:val="18"/>
                <w:szCs w:val="18"/>
                <w:highlight w:val="none"/>
                <w:lang w:bidi="ar"/>
              </w:rPr>
              <w:t>精心准备平台录屏演示，每个</w:t>
            </w:r>
            <w:r>
              <w:rPr>
                <w:rFonts w:hint="eastAsia" w:ascii="宋体" w:hAnsi="宋体" w:eastAsia="宋体" w:cs="宋体"/>
                <w:color w:val="000000"/>
                <w:sz w:val="18"/>
                <w:szCs w:val="18"/>
                <w:highlight w:val="none"/>
                <w:lang w:eastAsia="zh-CN" w:bidi="ar"/>
              </w:rPr>
              <w:t>投标供应商</w:t>
            </w:r>
            <w:r>
              <w:rPr>
                <w:rFonts w:hint="eastAsia" w:ascii="宋体" w:hAnsi="宋体" w:eastAsia="宋体" w:cs="宋体"/>
                <w:color w:val="000000"/>
                <w:sz w:val="18"/>
                <w:szCs w:val="18"/>
                <w:highlight w:val="none"/>
                <w:lang w:bidi="ar"/>
              </w:rPr>
              <w:t>演示总时间不得超过10分钟，要求使用真实的软件系统进行录屏演示</w:t>
            </w:r>
            <w:r>
              <w:rPr>
                <w:rFonts w:hint="eastAsia" w:ascii="宋体" w:hAnsi="宋体" w:eastAsia="宋体" w:cs="宋体"/>
                <w:color w:val="000000"/>
                <w:sz w:val="18"/>
                <w:szCs w:val="18"/>
                <w:highlight w:val="none"/>
                <w:lang w:eastAsia="zh-CN" w:bidi="ar"/>
              </w:rPr>
              <w:t>。</w:t>
            </w:r>
            <w:r>
              <w:rPr>
                <w:rFonts w:hint="eastAsia" w:ascii="宋体" w:hAnsi="宋体" w:eastAsia="宋体" w:cs="宋体"/>
                <w:color w:val="000000"/>
                <w:sz w:val="18"/>
                <w:szCs w:val="18"/>
                <w:highlight w:val="none"/>
                <w:lang w:bidi="ar"/>
              </w:rPr>
              <w:t>以下演示内容每满足1项得1分，最高1</w:t>
            </w:r>
            <w:r>
              <w:rPr>
                <w:rFonts w:hint="eastAsia" w:ascii="宋体" w:hAnsi="宋体" w:eastAsia="宋体" w:cs="宋体"/>
                <w:color w:val="000000"/>
                <w:sz w:val="18"/>
                <w:szCs w:val="18"/>
                <w:highlight w:val="none"/>
                <w:lang w:val="en-US" w:eastAsia="zh-CN" w:bidi="ar"/>
              </w:rPr>
              <w:t>0</w:t>
            </w:r>
            <w:r>
              <w:rPr>
                <w:rFonts w:hint="eastAsia" w:ascii="宋体" w:hAnsi="宋体" w:eastAsia="宋体" w:cs="宋体"/>
                <w:color w:val="000000"/>
                <w:sz w:val="18"/>
                <w:szCs w:val="18"/>
                <w:highlight w:val="none"/>
                <w:lang w:bidi="ar"/>
              </w:rPr>
              <w:t>分</w:t>
            </w:r>
            <w:r>
              <w:rPr>
                <w:rFonts w:hint="eastAsia" w:ascii="宋体" w:hAnsi="宋体" w:eastAsia="宋体" w:cs="宋体"/>
                <w:color w:val="000000"/>
                <w:sz w:val="18"/>
                <w:szCs w:val="18"/>
                <w:highlight w:val="none"/>
                <w:lang w:eastAsia="zh-CN" w:bidi="ar"/>
              </w:rPr>
              <w:t>，</w:t>
            </w:r>
            <w:r>
              <w:rPr>
                <w:rFonts w:hint="eastAsia" w:ascii="宋体" w:hAnsi="宋体" w:eastAsia="宋体" w:cs="宋体"/>
                <w:color w:val="000000"/>
                <w:sz w:val="18"/>
                <w:szCs w:val="18"/>
                <w:highlight w:val="none"/>
                <w:lang w:val="en-US" w:eastAsia="zh-CN" w:bidi="ar"/>
              </w:rPr>
              <w:t>不提供不得分（</w:t>
            </w:r>
            <w:r>
              <w:rPr>
                <w:rFonts w:hint="eastAsia" w:ascii="宋体" w:hAnsi="宋体" w:eastAsia="宋体" w:cs="宋体"/>
                <w:color w:val="000000"/>
                <w:sz w:val="18"/>
                <w:szCs w:val="18"/>
                <w:highlight w:val="none"/>
                <w:lang w:eastAsia="zh-CN" w:bidi="ar"/>
              </w:rPr>
              <w:t>其中多媒体管理平台屏幕≥10寸，否则不得分</w:t>
            </w:r>
            <w:r>
              <w:rPr>
                <w:rFonts w:hint="eastAsia" w:ascii="宋体" w:hAnsi="宋体" w:eastAsia="宋体" w:cs="宋体"/>
                <w:color w:val="000000"/>
                <w:sz w:val="18"/>
                <w:szCs w:val="18"/>
                <w:highlight w:val="none"/>
                <w:lang w:val="en-US" w:eastAsia="zh-CN" w:bidi="ar"/>
              </w:rPr>
              <w:t>）</w:t>
            </w:r>
            <w:r>
              <w:rPr>
                <w:rFonts w:hint="eastAsia" w:ascii="宋体" w:hAnsi="宋体" w:eastAsia="宋体" w:cs="宋体"/>
                <w:color w:val="000000"/>
                <w:sz w:val="18"/>
                <w:szCs w:val="18"/>
                <w:highlight w:val="none"/>
                <w:lang w:bidi="ar"/>
              </w:rPr>
              <w:t>。</w:t>
            </w:r>
          </w:p>
          <w:p w14:paraId="2BAF8140">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1、多媒体管理平台可实现人脸识别登陆；</w:t>
            </w:r>
          </w:p>
          <w:p w14:paraId="1231901D">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2、多媒体管理平台可实现AI语音智能控制；</w:t>
            </w:r>
          </w:p>
          <w:p w14:paraId="0DEB0EEF">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3、多媒体管理平台可实现无线投屏功能；</w:t>
            </w:r>
          </w:p>
          <w:p w14:paraId="140A58B9">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4、多媒体管理平台可实现视频切换、画面整屏显示、分屏显示功能；</w:t>
            </w:r>
          </w:p>
          <w:p w14:paraId="4A8409A8">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5、多媒体管理平台可实现视频可视化开窗、 拼接、漫游、叠加、跨屏、缩放、分割功能；</w:t>
            </w:r>
          </w:p>
          <w:p w14:paraId="41DAB96E">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6、多媒体管理平台可实现连接DANTE音箱并对其网络化控制；</w:t>
            </w:r>
          </w:p>
          <w:p w14:paraId="7D8BF2BB">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7、多媒体管理平台可实现中控、红外控制功能；</w:t>
            </w:r>
          </w:p>
          <w:p w14:paraId="3DD8C06D">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8、多媒体管理平台可实现通过DMX512控制灯光；</w:t>
            </w:r>
          </w:p>
          <w:p w14:paraId="4B09B6F3">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9、多媒体管理平台可实现对会场灯光、LED屏、音响功放等系统的设备状态进行检测；</w:t>
            </w:r>
          </w:p>
          <w:p w14:paraId="7DE1E34C">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宋体" w:hAnsi="宋体" w:eastAsia="宋体" w:cs="宋体"/>
                <w:color w:val="000000"/>
                <w:kern w:val="2"/>
                <w:sz w:val="18"/>
                <w:szCs w:val="18"/>
                <w:highlight w:val="none"/>
                <w:lang w:val="en-US" w:eastAsia="zh-CN" w:bidi="ar"/>
              </w:rPr>
            </w:pPr>
            <w:r>
              <w:rPr>
                <w:rFonts w:hint="eastAsia" w:ascii="宋体" w:hAnsi="宋体" w:eastAsia="宋体" w:cs="宋体"/>
                <w:color w:val="000000"/>
                <w:sz w:val="18"/>
                <w:szCs w:val="18"/>
                <w:highlight w:val="none"/>
                <w:lang w:val="en-US" w:eastAsia="zh-CN" w:bidi="ar"/>
              </w:rPr>
              <w:t>10、多媒体管理平台可实现对会场环境（温度、湿度、粉尘浓度（PM2.5/PM10），CO2、甲醛浓度、TVOC）的检测，并可视化呈现。</w:t>
            </w:r>
          </w:p>
        </w:tc>
        <w:tc>
          <w:tcPr>
            <w:tcW w:w="610" w:type="dxa"/>
            <w:shd w:val="clear" w:color="auto" w:fill="FFFFFF"/>
            <w:noWrap w:val="0"/>
            <w:vAlign w:val="center"/>
          </w:tcPr>
          <w:p w14:paraId="68BAD9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10</w:t>
            </w:r>
          </w:p>
        </w:tc>
        <w:tc>
          <w:tcPr>
            <w:tcW w:w="665" w:type="dxa"/>
            <w:shd w:val="clear" w:color="auto" w:fill="FFFFFF"/>
            <w:noWrap w:val="0"/>
            <w:vAlign w:val="center"/>
          </w:tcPr>
          <w:p w14:paraId="452991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客观分</w:t>
            </w:r>
          </w:p>
        </w:tc>
      </w:tr>
      <w:tr w14:paraId="1C2E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jc w:val="center"/>
        </w:trPr>
        <w:tc>
          <w:tcPr>
            <w:tcW w:w="396" w:type="dxa"/>
            <w:vMerge w:val="restart"/>
            <w:shd w:val="clear" w:color="auto" w:fill="FFFFFF"/>
            <w:noWrap w:val="0"/>
            <w:vAlign w:val="center"/>
          </w:tcPr>
          <w:p w14:paraId="57AD29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7</w:t>
            </w:r>
          </w:p>
        </w:tc>
        <w:tc>
          <w:tcPr>
            <w:tcW w:w="632" w:type="dxa"/>
            <w:vMerge w:val="restart"/>
            <w:shd w:val="clear" w:color="auto" w:fill="FFFFFF"/>
            <w:noWrap w:val="0"/>
            <w:vAlign w:val="center"/>
          </w:tcPr>
          <w:p w14:paraId="2C5F86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售后服务</w:t>
            </w:r>
          </w:p>
        </w:tc>
        <w:tc>
          <w:tcPr>
            <w:tcW w:w="6739" w:type="dxa"/>
            <w:shd w:val="clear" w:color="auto" w:fill="FFFFFF"/>
            <w:noWrap w:val="0"/>
            <w:vAlign w:val="center"/>
          </w:tcPr>
          <w:p w14:paraId="30284FE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根据售后服务承诺的范围和完善程度（包括售后服务标准、故障响应修复时间方式及保障措施）进行综合评分：A档2-1.5分，B档1.4-0.8分，C档0.7-0分。</w:t>
            </w:r>
          </w:p>
        </w:tc>
        <w:tc>
          <w:tcPr>
            <w:tcW w:w="610" w:type="dxa"/>
            <w:shd w:val="clear" w:color="auto" w:fill="FFFFFF"/>
            <w:noWrap w:val="0"/>
            <w:vAlign w:val="center"/>
          </w:tcPr>
          <w:p w14:paraId="3512A6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665" w:type="dxa"/>
            <w:shd w:val="clear" w:color="auto" w:fill="FFFFFF"/>
            <w:noWrap w:val="0"/>
            <w:vAlign w:val="center"/>
          </w:tcPr>
          <w:p w14:paraId="71EECA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主观分</w:t>
            </w:r>
          </w:p>
        </w:tc>
      </w:tr>
      <w:tr w14:paraId="10F6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96" w:type="dxa"/>
            <w:vMerge w:val="continue"/>
            <w:shd w:val="clear" w:color="auto" w:fill="FFFFFF"/>
            <w:noWrap w:val="0"/>
            <w:vAlign w:val="center"/>
          </w:tcPr>
          <w:p w14:paraId="572F3F49">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32" w:type="dxa"/>
            <w:vMerge w:val="continue"/>
            <w:shd w:val="clear" w:color="auto" w:fill="FFFFFF"/>
            <w:noWrap w:val="0"/>
            <w:vAlign w:val="center"/>
          </w:tcPr>
          <w:p w14:paraId="5B88C9E6">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739" w:type="dxa"/>
            <w:shd w:val="clear" w:color="auto" w:fill="FFFFFF"/>
            <w:noWrap w:val="0"/>
            <w:vAlign w:val="center"/>
          </w:tcPr>
          <w:p w14:paraId="488B65B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根据供应商项目所在地售后服务网点的配置情况，进行综合评分：A档2-1.5分，B档1.1.4-0.8分，C档0.7-0分。</w:t>
            </w:r>
          </w:p>
        </w:tc>
        <w:tc>
          <w:tcPr>
            <w:tcW w:w="610" w:type="dxa"/>
            <w:shd w:val="clear" w:color="auto" w:fill="FFFFFF"/>
            <w:noWrap w:val="0"/>
            <w:vAlign w:val="center"/>
          </w:tcPr>
          <w:p w14:paraId="221DC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2</w:t>
            </w:r>
          </w:p>
        </w:tc>
        <w:tc>
          <w:tcPr>
            <w:tcW w:w="665" w:type="dxa"/>
            <w:shd w:val="clear" w:color="auto" w:fill="FFFFFF"/>
            <w:noWrap w:val="0"/>
            <w:vAlign w:val="center"/>
          </w:tcPr>
          <w:p w14:paraId="4F657A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主观分</w:t>
            </w:r>
          </w:p>
        </w:tc>
      </w:tr>
      <w:tr w14:paraId="353F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96" w:type="dxa"/>
            <w:vMerge w:val="restart"/>
            <w:shd w:val="clear" w:color="auto" w:fill="FFFFFF"/>
            <w:noWrap w:val="0"/>
            <w:vAlign w:val="center"/>
          </w:tcPr>
          <w:p w14:paraId="00A153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8</w:t>
            </w:r>
          </w:p>
        </w:tc>
        <w:tc>
          <w:tcPr>
            <w:tcW w:w="632" w:type="dxa"/>
            <w:vMerge w:val="restart"/>
            <w:shd w:val="clear" w:color="auto" w:fill="FFFFFF"/>
            <w:noWrap w:val="0"/>
            <w:vAlign w:val="center"/>
          </w:tcPr>
          <w:p w14:paraId="050317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类似业绩</w:t>
            </w:r>
          </w:p>
        </w:tc>
        <w:tc>
          <w:tcPr>
            <w:tcW w:w="6739" w:type="dxa"/>
            <w:shd w:val="clear" w:color="auto" w:fill="FFFFFF"/>
            <w:noWrap w:val="0"/>
            <w:vAlign w:val="center"/>
          </w:tcPr>
          <w:p w14:paraId="3306B99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2021以来投标供应商具有类似项目业绩的，每个得1分，最多得2分。</w:t>
            </w:r>
          </w:p>
        </w:tc>
        <w:tc>
          <w:tcPr>
            <w:tcW w:w="610" w:type="dxa"/>
            <w:vMerge w:val="restart"/>
            <w:shd w:val="clear" w:color="auto" w:fill="FFFFFF"/>
            <w:noWrap w:val="0"/>
            <w:vAlign w:val="center"/>
          </w:tcPr>
          <w:p w14:paraId="47BC18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2</w:t>
            </w:r>
          </w:p>
        </w:tc>
        <w:tc>
          <w:tcPr>
            <w:tcW w:w="665" w:type="dxa"/>
            <w:vMerge w:val="restart"/>
            <w:shd w:val="clear" w:color="auto" w:fill="FFFFFF"/>
            <w:noWrap w:val="0"/>
            <w:vAlign w:val="center"/>
          </w:tcPr>
          <w:p w14:paraId="0E359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客观分</w:t>
            </w:r>
          </w:p>
        </w:tc>
      </w:tr>
      <w:tr w14:paraId="6525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96" w:type="dxa"/>
            <w:vMerge w:val="continue"/>
            <w:shd w:val="clear" w:color="auto" w:fill="FFFFFF"/>
            <w:noWrap w:val="0"/>
            <w:vAlign w:val="center"/>
          </w:tcPr>
          <w:p w14:paraId="7316D81B">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lang w:val="en-US" w:eastAsia="zh-CN"/>
              </w:rPr>
            </w:pPr>
          </w:p>
        </w:tc>
        <w:tc>
          <w:tcPr>
            <w:tcW w:w="632" w:type="dxa"/>
            <w:vMerge w:val="continue"/>
            <w:shd w:val="clear" w:color="auto" w:fill="FFFFFF"/>
            <w:noWrap w:val="0"/>
            <w:vAlign w:val="center"/>
          </w:tcPr>
          <w:p w14:paraId="7639D2F9">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739" w:type="dxa"/>
            <w:shd w:val="clear" w:color="auto" w:fill="FFFFFF"/>
            <w:noWrap w:val="0"/>
            <w:vAlign w:val="center"/>
          </w:tcPr>
          <w:p w14:paraId="484E10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（注：须提供项目合同或中标通知书的扫描件，并加盖公章，未提供或材料不符合要求的均不予得分。）</w:t>
            </w:r>
          </w:p>
        </w:tc>
        <w:tc>
          <w:tcPr>
            <w:tcW w:w="610" w:type="dxa"/>
            <w:vMerge w:val="continue"/>
            <w:shd w:val="clear" w:color="auto" w:fill="FFFFFF"/>
            <w:noWrap w:val="0"/>
            <w:vAlign w:val="center"/>
          </w:tcPr>
          <w:p w14:paraId="667F3F4F">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c>
          <w:tcPr>
            <w:tcW w:w="665" w:type="dxa"/>
            <w:vMerge w:val="continue"/>
            <w:shd w:val="clear" w:color="auto" w:fill="FFFFFF"/>
            <w:noWrap w:val="0"/>
            <w:vAlign w:val="center"/>
          </w:tcPr>
          <w:p w14:paraId="3056A758">
            <w:pPr>
              <w:keepNext w:val="0"/>
              <w:keepLines w:val="0"/>
              <w:pageBreakBefore w:val="0"/>
              <w:widowControl w:val="0"/>
              <w:kinsoku/>
              <w:wordWrap/>
              <w:overflowPunct/>
              <w:topLinePunct w:val="0"/>
              <w:autoSpaceDE/>
              <w:autoSpaceDN/>
              <w:bidi w:val="0"/>
              <w:adjustRightInd/>
              <w:snapToGrid/>
              <w:spacing w:line="240" w:lineRule="exact"/>
              <w:ind w:left="439" w:leftChars="209"/>
              <w:jc w:val="center"/>
              <w:textAlignment w:val="auto"/>
              <w:rPr>
                <w:rFonts w:hint="eastAsia" w:ascii="宋体" w:hAnsi="宋体" w:eastAsia="宋体" w:cs="宋体"/>
                <w:color w:val="auto"/>
                <w:sz w:val="22"/>
                <w:szCs w:val="22"/>
                <w:highlight w:val="none"/>
              </w:rPr>
            </w:pPr>
          </w:p>
        </w:tc>
      </w:tr>
      <w:tr w14:paraId="04F5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42" w:type="dxa"/>
            <w:gridSpan w:val="5"/>
            <w:shd w:val="clear" w:color="auto" w:fill="FFFFFF"/>
            <w:noWrap w:val="0"/>
            <w:vAlign w:val="center"/>
          </w:tcPr>
          <w:p w14:paraId="4B46A7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说明：（1）商务技术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299E399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lang w:val="en-US" w:eastAsia="zh-CN"/>
              </w:rPr>
              <w:t>（2）响应文件未提供评分项目内容的，该项按零分处理，且不受最低分值限制。</w:t>
            </w:r>
          </w:p>
        </w:tc>
      </w:tr>
      <w:tr w14:paraId="2A27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jc w:val="center"/>
        </w:trPr>
        <w:tc>
          <w:tcPr>
            <w:tcW w:w="9042" w:type="dxa"/>
            <w:gridSpan w:val="5"/>
            <w:shd w:val="clear" w:color="auto" w:fill="FFFFFF"/>
            <w:noWrap w:val="0"/>
            <w:vAlign w:val="center"/>
          </w:tcPr>
          <w:p w14:paraId="0A0FAE71">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备注：</w:t>
            </w:r>
          </w:p>
          <w:p w14:paraId="0992D5A1">
            <w:pPr>
              <w:overflowPunct w:val="0"/>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采购</w:t>
            </w:r>
            <w:r>
              <w:rPr>
                <w:rFonts w:hint="eastAsia" w:ascii="宋体" w:hAnsi="宋体" w:eastAsia="宋体" w:cs="宋体"/>
                <w:color w:val="auto"/>
                <w:sz w:val="18"/>
                <w:szCs w:val="18"/>
                <w:highlight w:val="none"/>
                <w:lang w:val="en-US" w:eastAsia="zh-CN"/>
              </w:rPr>
              <w:t>人有权在评标结束后</w:t>
            </w:r>
            <w:r>
              <w:rPr>
                <w:rFonts w:hint="eastAsia" w:ascii="宋体" w:hAnsi="宋体" w:eastAsia="宋体" w:cs="宋体"/>
                <w:color w:val="auto"/>
                <w:sz w:val="18"/>
                <w:szCs w:val="18"/>
                <w:highlight w:val="none"/>
              </w:rPr>
              <w:t>要求</w:t>
            </w:r>
            <w:r>
              <w:rPr>
                <w:rFonts w:hint="eastAsia" w:ascii="宋体" w:hAnsi="宋体" w:eastAsia="宋体" w:cs="宋体"/>
                <w:color w:val="auto"/>
                <w:sz w:val="18"/>
                <w:szCs w:val="18"/>
                <w:highlight w:val="none"/>
                <w:lang w:eastAsia="zh-CN"/>
              </w:rPr>
              <w:t>投标供应商</w:t>
            </w:r>
            <w:r>
              <w:rPr>
                <w:rFonts w:hint="eastAsia" w:ascii="宋体" w:hAnsi="宋体" w:eastAsia="宋体" w:cs="宋体"/>
                <w:color w:val="auto"/>
                <w:sz w:val="18"/>
                <w:szCs w:val="18"/>
                <w:highlight w:val="none"/>
              </w:rPr>
              <w:t>出具</w:t>
            </w:r>
            <w:r>
              <w:rPr>
                <w:rFonts w:hint="eastAsia" w:ascii="宋体" w:hAnsi="宋体" w:eastAsia="宋体" w:cs="宋体"/>
                <w:color w:val="auto"/>
                <w:sz w:val="18"/>
                <w:szCs w:val="18"/>
                <w:highlight w:val="none"/>
                <w:lang w:val="en-US" w:eastAsia="zh-CN"/>
              </w:rPr>
              <w:t>相关证书资料原件进行核对查询，</w:t>
            </w:r>
            <w:r>
              <w:rPr>
                <w:rFonts w:hint="eastAsia" w:ascii="宋体" w:hAnsi="宋体" w:eastAsia="宋体" w:cs="宋体"/>
                <w:color w:val="auto"/>
                <w:sz w:val="18"/>
                <w:szCs w:val="18"/>
                <w:highlight w:val="none"/>
              </w:rPr>
              <w:t>如出现与事实不符等情况，将根据有关规定以“提供虚假材料谋取中标”予以处理。</w:t>
            </w:r>
          </w:p>
          <w:p w14:paraId="50F371AF">
            <w:pPr>
              <w:keepNext w:val="0"/>
              <w:keepLines w:val="0"/>
              <w:pageBreakBefore w:val="0"/>
              <w:widowControl w:val="0"/>
              <w:kinsoku/>
              <w:wordWrap w:val="0"/>
              <w:overflowPunct/>
              <w:topLinePunct w:val="0"/>
              <w:autoSpaceDE/>
              <w:autoSpaceDN/>
              <w:bidi w:val="0"/>
              <w:adjustRightInd/>
              <w:snapToGrid/>
              <w:spacing w:line="240" w:lineRule="auto"/>
              <w:ind w:firstLine="360" w:firstLineChars="200"/>
              <w:textAlignment w:val="auto"/>
              <w:outlineLvl w:val="3"/>
              <w:rPr>
                <w:rFonts w:hint="eastAsia" w:ascii="宋体" w:hAnsi="宋体" w:eastAsia="宋体" w:cs="宋体"/>
                <w:sz w:val="18"/>
                <w:szCs w:val="18"/>
                <w:highlight w:val="none"/>
              </w:rPr>
            </w:pPr>
            <w:r>
              <w:rPr>
                <w:rFonts w:hint="eastAsia" w:ascii="宋体" w:hAnsi="宋体" w:eastAsia="宋体" w:cs="宋体"/>
                <w:sz w:val="18"/>
                <w:szCs w:val="18"/>
                <w:highlight w:val="none"/>
              </w:rPr>
              <w:t>2.投标文件中ISO认证证书要求可在全国认证认可信息公共服务平台http://cx.cnca.cn/中查到；要求证书的查询号码清晰可见或在</w:t>
            </w:r>
            <w:r>
              <w:rPr>
                <w:rFonts w:hint="eastAsia" w:ascii="宋体" w:hAnsi="宋体" w:eastAsia="宋体" w:cs="宋体"/>
                <w:sz w:val="18"/>
                <w:szCs w:val="18"/>
                <w:highlight w:val="none"/>
                <w:lang w:val="en-US" w:eastAsia="zh-CN"/>
              </w:rPr>
              <w:t>投标文件</w:t>
            </w:r>
            <w:r>
              <w:rPr>
                <w:rFonts w:hint="eastAsia" w:ascii="宋体" w:hAnsi="宋体" w:eastAsia="宋体" w:cs="宋体"/>
                <w:sz w:val="18"/>
                <w:szCs w:val="18"/>
                <w:highlight w:val="none"/>
              </w:rPr>
              <w:t>中另行列表显示查询号码，由于字迹不清导致无法查询的视同无效不予赋分。</w:t>
            </w:r>
          </w:p>
          <w:p w14:paraId="7475DEB8">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投标</w:t>
            </w: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提供的相关证明资料</w:t>
            </w:r>
            <w:r>
              <w:rPr>
                <w:rFonts w:hint="eastAsia" w:ascii="宋体" w:hAnsi="宋体" w:eastAsia="宋体" w:cs="宋体"/>
                <w:color w:val="auto"/>
                <w:sz w:val="18"/>
                <w:szCs w:val="18"/>
                <w:highlight w:val="none"/>
                <w:lang w:val="en-US" w:eastAsia="zh-CN"/>
              </w:rPr>
              <w:t>如</w:t>
            </w:r>
            <w:r>
              <w:rPr>
                <w:rFonts w:hint="eastAsia" w:ascii="宋体" w:hAnsi="宋体" w:eastAsia="宋体" w:cs="宋体"/>
                <w:color w:val="auto"/>
                <w:sz w:val="18"/>
                <w:szCs w:val="18"/>
                <w:highlight w:val="none"/>
              </w:rPr>
              <w:t>模糊不清</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或者印章遮盖</w:t>
            </w:r>
            <w:r>
              <w:rPr>
                <w:rFonts w:hint="eastAsia" w:ascii="宋体" w:hAnsi="宋体" w:eastAsia="宋体" w:cs="宋体"/>
                <w:color w:val="auto"/>
                <w:sz w:val="18"/>
                <w:szCs w:val="18"/>
                <w:highlight w:val="none"/>
              </w:rPr>
              <w:t>，评委无法判断或者难以辨认时，评委评审时将作未提供相关资料处理。</w:t>
            </w:r>
          </w:p>
        </w:tc>
      </w:tr>
    </w:tbl>
    <w:p w14:paraId="30B589FF">
      <w:pPr>
        <w:ind w:firstLine="442" w:firstLineChars="200"/>
        <w:rPr>
          <w:rFonts w:hint="eastAsia" w:ascii="宋体" w:hAnsi="宋体" w:eastAsia="宋体" w:cs="宋体"/>
          <w:b/>
          <w:color w:val="auto"/>
          <w:sz w:val="22"/>
          <w:highlight w:val="none"/>
        </w:rPr>
      </w:pPr>
    </w:p>
    <w:p w14:paraId="08F4B839">
      <w:pPr>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30</w:t>
      </w:r>
      <w:r>
        <w:rPr>
          <w:rFonts w:hint="eastAsia" w:ascii="宋体" w:hAnsi="宋体" w:eastAsia="宋体" w:cs="宋体"/>
          <w:b/>
          <w:color w:val="auto"/>
          <w:sz w:val="22"/>
          <w:highlight w:val="none"/>
        </w:rPr>
        <w:t>分）：</w:t>
      </w:r>
    </w:p>
    <w:bookmarkEnd w:id="241"/>
    <w:p w14:paraId="45BF3E2C">
      <w:pPr>
        <w:ind w:firstLine="440" w:firstLineChars="200"/>
        <w:rPr>
          <w:rFonts w:hint="eastAsia" w:ascii="宋体" w:hAnsi="宋体" w:eastAsia="宋体" w:cs="宋体"/>
          <w:color w:val="auto"/>
          <w:sz w:val="22"/>
          <w:highlight w:val="none"/>
        </w:rPr>
      </w:pPr>
      <w:bookmarkStart w:id="242"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14:paraId="05F19128">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0分；</w:t>
      </w:r>
    </w:p>
    <w:p w14:paraId="3E858FA2">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14:paraId="59A82139">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14:paraId="2D620602">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本项目价格权值为30%</w:t>
      </w:r>
      <w:r>
        <w:rPr>
          <w:rFonts w:hint="eastAsia" w:ascii="宋体" w:hAnsi="宋体" w:eastAsia="宋体" w:cs="宋体"/>
          <w:color w:val="auto"/>
          <w:sz w:val="22"/>
          <w:highlight w:val="none"/>
        </w:rPr>
        <w:t>。</w:t>
      </w:r>
    </w:p>
    <w:bookmarkEnd w:id="242"/>
    <w:p w14:paraId="74EB5A59">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134万元</w:t>
      </w:r>
      <w:r>
        <w:rPr>
          <w:rFonts w:hint="eastAsia" w:ascii="宋体" w:hAnsi="宋体" w:eastAsia="宋体" w:cs="宋体"/>
          <w:b/>
          <w:color w:val="auto"/>
          <w:sz w:val="22"/>
          <w:highlight w:val="none"/>
        </w:rPr>
        <w:t>,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14:paraId="541F3FC7">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14:paraId="2CEE3825">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、各有效投标供应商的综合得分为技术资信分和商务（报价）分的总和。</w:t>
      </w:r>
    </w:p>
    <w:p w14:paraId="04A44FBD">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14:paraId="64A6DDF0">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w:t>
      </w:r>
      <w:r>
        <w:rPr>
          <w:rFonts w:hint="eastAsia" w:ascii="宋体" w:hAnsi="宋体" w:eastAsia="宋体" w:cs="宋体"/>
          <w:bCs/>
          <w:color w:val="auto"/>
          <w:sz w:val="22"/>
          <w:highlight w:val="none"/>
          <w:lang w:val="en-US" w:eastAsia="zh-CN"/>
        </w:rPr>
        <w:t>评标、</w:t>
      </w:r>
      <w:r>
        <w:rPr>
          <w:rFonts w:hint="eastAsia" w:ascii="宋体" w:hAnsi="宋体" w:eastAsia="宋体" w:cs="宋体"/>
          <w:bCs/>
          <w:color w:val="auto"/>
          <w:sz w:val="22"/>
          <w:highlight w:val="none"/>
        </w:rPr>
        <w:t>决标结果不做任何解释，也不保证最低价中标。</w:t>
      </w:r>
    </w:p>
    <w:p w14:paraId="0B9A9E23">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43" w:name="_Toc221356904"/>
      <w:bookmarkStart w:id="244" w:name="_Toc221356967"/>
    </w:p>
    <w:p w14:paraId="0B653B28">
      <w:pPr>
        <w:keepNext w:val="0"/>
        <w:keepLines w:val="0"/>
        <w:pageBreakBefore w:val="0"/>
        <w:widowControl w:val="0"/>
        <w:kinsoku/>
        <w:wordWrap/>
        <w:overflowPunct/>
        <w:topLinePunct w:val="0"/>
        <w:autoSpaceDE/>
        <w:autoSpaceDN/>
        <w:bidi w:val="0"/>
        <w:adjustRightInd/>
        <w:snapToGrid/>
        <w:ind w:left="0" w:leftChars="0" w:firstLine="44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2"/>
          <w:szCs w:val="24"/>
          <w:highlight w:val="none"/>
        </w:rPr>
        <w:t>1、</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14:paraId="26865B08">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14:paraId="3E29D738">
      <w:pPr>
        <w:keepNext w:val="0"/>
        <w:keepLines w:val="0"/>
        <w:pageBreakBefore w:val="0"/>
        <w:widowControl w:val="0"/>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074C5604">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43"/>
      <w:bookmarkEnd w:id="244"/>
    </w:p>
    <w:p w14:paraId="099C577F">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14:paraId="5E283F19">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14:paraId="56B6C0D9">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14:paraId="4DAE7293">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headerReference r:id="rId3" w:type="default"/>
      <w:footerReference r:id="rId4"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7F" w:usb3="00000000" w:csb0="203F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0C54">
    <w:pPr>
      <w:pStyle w:val="9"/>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7B346743">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2B3D">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2D5C1F0"/>
    <w:multiLevelType w:val="singleLevel"/>
    <w:tmpl w:val="A2D5C1F0"/>
    <w:lvl w:ilvl="0" w:tentative="0">
      <w:start w:val="1"/>
      <w:numFmt w:val="decimal"/>
      <w:suff w:val="nothing"/>
      <w:lvlText w:val="（%1）"/>
      <w:lvlJc w:val="left"/>
    </w:lvl>
  </w:abstractNum>
  <w:abstractNum w:abstractNumId="3">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D8EBDDB6"/>
    <w:multiLevelType w:val="singleLevel"/>
    <w:tmpl w:val="D8EBDDB6"/>
    <w:lvl w:ilvl="0" w:tentative="0">
      <w:start w:val="1"/>
      <w:numFmt w:val="decimal"/>
      <w:suff w:val="nothing"/>
      <w:lvlText w:val="%1、"/>
      <w:lvlJc w:val="left"/>
    </w:lvl>
  </w:abstractNum>
  <w:abstractNum w:abstractNumId="5">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152824CC"/>
    <w:multiLevelType w:val="singleLevel"/>
    <w:tmpl w:val="152824CC"/>
    <w:lvl w:ilvl="0" w:tentative="0">
      <w:start w:val="1"/>
      <w:numFmt w:val="decimal"/>
      <w:suff w:val="nothing"/>
      <w:lvlText w:val="%1）"/>
      <w:lvlJc w:val="left"/>
    </w:lvl>
  </w:abstractNum>
  <w:abstractNum w:abstractNumId="20">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1">
    <w:nsid w:val="4913EA8A"/>
    <w:multiLevelType w:val="multilevel"/>
    <w:tmpl w:val="4913EA8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default"/>
        <w:highlight w:val="cyan"/>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61C91FB3"/>
    <w:multiLevelType w:val="multilevel"/>
    <w:tmpl w:val="61C91FB3"/>
    <w:lvl w:ilvl="0" w:tentative="0">
      <w:start w:val="1"/>
      <w:numFmt w:val="decimal"/>
      <w:pStyle w:val="58"/>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3">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24"/>
  </w:num>
  <w:num w:numId="3">
    <w:abstractNumId w:val="7"/>
  </w:num>
  <w:num w:numId="4">
    <w:abstractNumId w:val="6"/>
  </w:num>
  <w:num w:numId="5">
    <w:abstractNumId w:val="9"/>
  </w:num>
  <w:num w:numId="6">
    <w:abstractNumId w:val="17"/>
  </w:num>
  <w:num w:numId="7">
    <w:abstractNumId w:val="14"/>
  </w:num>
  <w:num w:numId="8">
    <w:abstractNumId w:val="16"/>
  </w:num>
  <w:num w:numId="9">
    <w:abstractNumId w:val="25"/>
  </w:num>
  <w:num w:numId="10">
    <w:abstractNumId w:val="12"/>
  </w:num>
  <w:num w:numId="11">
    <w:abstractNumId w:val="13"/>
  </w:num>
  <w:num w:numId="12">
    <w:abstractNumId w:val="8"/>
  </w:num>
  <w:num w:numId="13">
    <w:abstractNumId w:val="1"/>
  </w:num>
  <w:num w:numId="14">
    <w:abstractNumId w:val="15"/>
  </w:num>
  <w:num w:numId="15">
    <w:abstractNumId w:val="10"/>
  </w:num>
  <w:num w:numId="16">
    <w:abstractNumId w:val="11"/>
  </w:num>
  <w:num w:numId="17">
    <w:abstractNumId w:val="18"/>
  </w:num>
  <w:num w:numId="18">
    <w:abstractNumId w:val="5"/>
  </w:num>
  <w:num w:numId="19">
    <w:abstractNumId w:val="0"/>
  </w:num>
  <w:num w:numId="20">
    <w:abstractNumId w:val="23"/>
  </w:num>
  <w:num w:numId="21">
    <w:abstractNumId w:val="3"/>
  </w:num>
  <w:num w:numId="22">
    <w:abstractNumId w:val="19"/>
  </w:num>
  <w:num w:numId="23">
    <w:abstractNumId w:val="2"/>
  </w:num>
  <w:num w:numId="24">
    <w:abstractNumId w:val="21"/>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1D215E"/>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875CC"/>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C7D97"/>
    <w:rsid w:val="00ED7B43"/>
    <w:rsid w:val="00F03F37"/>
    <w:rsid w:val="00F213A8"/>
    <w:rsid w:val="00F56231"/>
    <w:rsid w:val="00FC1656"/>
    <w:rsid w:val="011D0AED"/>
    <w:rsid w:val="01274FF8"/>
    <w:rsid w:val="01E43A9D"/>
    <w:rsid w:val="02197961"/>
    <w:rsid w:val="0278657E"/>
    <w:rsid w:val="02D24484"/>
    <w:rsid w:val="0390360A"/>
    <w:rsid w:val="039C74BF"/>
    <w:rsid w:val="03F10401"/>
    <w:rsid w:val="04824617"/>
    <w:rsid w:val="049D3B67"/>
    <w:rsid w:val="04D83AD1"/>
    <w:rsid w:val="05380AFF"/>
    <w:rsid w:val="055022DD"/>
    <w:rsid w:val="05B62142"/>
    <w:rsid w:val="07B211EB"/>
    <w:rsid w:val="07E27C7A"/>
    <w:rsid w:val="07E809D6"/>
    <w:rsid w:val="08800D49"/>
    <w:rsid w:val="0898670D"/>
    <w:rsid w:val="09292D47"/>
    <w:rsid w:val="094B7274"/>
    <w:rsid w:val="097769B8"/>
    <w:rsid w:val="09C1644C"/>
    <w:rsid w:val="09C62341"/>
    <w:rsid w:val="0A0C1598"/>
    <w:rsid w:val="0A0D1766"/>
    <w:rsid w:val="0A474359"/>
    <w:rsid w:val="0A5C5B83"/>
    <w:rsid w:val="0AE853F8"/>
    <w:rsid w:val="0B057B85"/>
    <w:rsid w:val="0B681B73"/>
    <w:rsid w:val="0B751C40"/>
    <w:rsid w:val="0B7C0578"/>
    <w:rsid w:val="0DA33F9D"/>
    <w:rsid w:val="0DCB7387"/>
    <w:rsid w:val="0DDD33B9"/>
    <w:rsid w:val="0E7717F5"/>
    <w:rsid w:val="0EF123DD"/>
    <w:rsid w:val="0FA4224E"/>
    <w:rsid w:val="0FA90764"/>
    <w:rsid w:val="10DC4179"/>
    <w:rsid w:val="116A526D"/>
    <w:rsid w:val="11D46891"/>
    <w:rsid w:val="127D5FE1"/>
    <w:rsid w:val="12D60804"/>
    <w:rsid w:val="131F731B"/>
    <w:rsid w:val="134C3973"/>
    <w:rsid w:val="13855179"/>
    <w:rsid w:val="14362C14"/>
    <w:rsid w:val="144607CD"/>
    <w:rsid w:val="14E775D9"/>
    <w:rsid w:val="165E69D1"/>
    <w:rsid w:val="16A66518"/>
    <w:rsid w:val="16F0162C"/>
    <w:rsid w:val="17204078"/>
    <w:rsid w:val="175D20E7"/>
    <w:rsid w:val="17951D53"/>
    <w:rsid w:val="17C01CB9"/>
    <w:rsid w:val="17F42F7B"/>
    <w:rsid w:val="18207210"/>
    <w:rsid w:val="189F6425"/>
    <w:rsid w:val="18FA3A9B"/>
    <w:rsid w:val="194873ED"/>
    <w:rsid w:val="194A795A"/>
    <w:rsid w:val="199325D4"/>
    <w:rsid w:val="19C202C4"/>
    <w:rsid w:val="1A3A0419"/>
    <w:rsid w:val="1A6C39C8"/>
    <w:rsid w:val="1A832753"/>
    <w:rsid w:val="1AB7139C"/>
    <w:rsid w:val="1B3D207D"/>
    <w:rsid w:val="1B55070F"/>
    <w:rsid w:val="1C1A3373"/>
    <w:rsid w:val="1C74219B"/>
    <w:rsid w:val="1CA9457D"/>
    <w:rsid w:val="1CE370DA"/>
    <w:rsid w:val="1CFE561E"/>
    <w:rsid w:val="1D746D24"/>
    <w:rsid w:val="1D7536F4"/>
    <w:rsid w:val="1F252F06"/>
    <w:rsid w:val="1FED6319"/>
    <w:rsid w:val="201179B6"/>
    <w:rsid w:val="20122A1D"/>
    <w:rsid w:val="20512598"/>
    <w:rsid w:val="20643D84"/>
    <w:rsid w:val="20651BCC"/>
    <w:rsid w:val="20E12C42"/>
    <w:rsid w:val="211D2FFF"/>
    <w:rsid w:val="21260558"/>
    <w:rsid w:val="22AE0075"/>
    <w:rsid w:val="23701F89"/>
    <w:rsid w:val="23E20B30"/>
    <w:rsid w:val="247F4BF6"/>
    <w:rsid w:val="25074D3A"/>
    <w:rsid w:val="25722EEF"/>
    <w:rsid w:val="267E7AA6"/>
    <w:rsid w:val="26BC73B5"/>
    <w:rsid w:val="27A0246B"/>
    <w:rsid w:val="27A25135"/>
    <w:rsid w:val="27AB3D4E"/>
    <w:rsid w:val="27CB4942"/>
    <w:rsid w:val="27D34CA5"/>
    <w:rsid w:val="28323E81"/>
    <w:rsid w:val="292170A7"/>
    <w:rsid w:val="2A4F3B9E"/>
    <w:rsid w:val="2A5D30E7"/>
    <w:rsid w:val="2AEF607F"/>
    <w:rsid w:val="2B4B7565"/>
    <w:rsid w:val="2BAE17FF"/>
    <w:rsid w:val="2BE91F37"/>
    <w:rsid w:val="2C7A749B"/>
    <w:rsid w:val="2C9F3DB9"/>
    <w:rsid w:val="2CF325E7"/>
    <w:rsid w:val="2D394F92"/>
    <w:rsid w:val="2D8C35AC"/>
    <w:rsid w:val="2D8D700C"/>
    <w:rsid w:val="2DE46FCA"/>
    <w:rsid w:val="2E2E588C"/>
    <w:rsid w:val="2F922452"/>
    <w:rsid w:val="2FD76B14"/>
    <w:rsid w:val="30856178"/>
    <w:rsid w:val="308B3210"/>
    <w:rsid w:val="309C0B41"/>
    <w:rsid w:val="322110DF"/>
    <w:rsid w:val="323F36A4"/>
    <w:rsid w:val="33E55514"/>
    <w:rsid w:val="34122848"/>
    <w:rsid w:val="341A30EC"/>
    <w:rsid w:val="34402E73"/>
    <w:rsid w:val="349E39E7"/>
    <w:rsid w:val="34A873D8"/>
    <w:rsid w:val="358354BC"/>
    <w:rsid w:val="35D1473C"/>
    <w:rsid w:val="363F6564"/>
    <w:rsid w:val="367A561E"/>
    <w:rsid w:val="370E5AB9"/>
    <w:rsid w:val="373B5261"/>
    <w:rsid w:val="3823168A"/>
    <w:rsid w:val="3879381B"/>
    <w:rsid w:val="38DA2725"/>
    <w:rsid w:val="38F76E7A"/>
    <w:rsid w:val="390905E1"/>
    <w:rsid w:val="390B7D09"/>
    <w:rsid w:val="39644506"/>
    <w:rsid w:val="396E7463"/>
    <w:rsid w:val="397702BB"/>
    <w:rsid w:val="3A3B0A05"/>
    <w:rsid w:val="3A65711E"/>
    <w:rsid w:val="3B274F84"/>
    <w:rsid w:val="3B665F58"/>
    <w:rsid w:val="3BAF5709"/>
    <w:rsid w:val="3C294FC1"/>
    <w:rsid w:val="3D602EC0"/>
    <w:rsid w:val="3D6B3046"/>
    <w:rsid w:val="3DD47D4D"/>
    <w:rsid w:val="3E7E3077"/>
    <w:rsid w:val="3E832880"/>
    <w:rsid w:val="3F2A0CE7"/>
    <w:rsid w:val="3FFC5460"/>
    <w:rsid w:val="400A66DC"/>
    <w:rsid w:val="41E16035"/>
    <w:rsid w:val="42F5575A"/>
    <w:rsid w:val="431C6AEE"/>
    <w:rsid w:val="43255009"/>
    <w:rsid w:val="436822EB"/>
    <w:rsid w:val="43E2309D"/>
    <w:rsid w:val="446316C8"/>
    <w:rsid w:val="44725C42"/>
    <w:rsid w:val="44B25345"/>
    <w:rsid w:val="457703BB"/>
    <w:rsid w:val="461D61E6"/>
    <w:rsid w:val="46552C1B"/>
    <w:rsid w:val="465B07E0"/>
    <w:rsid w:val="465B19C6"/>
    <w:rsid w:val="46D87095"/>
    <w:rsid w:val="46F359A1"/>
    <w:rsid w:val="471F1BDF"/>
    <w:rsid w:val="4766166B"/>
    <w:rsid w:val="47CF2F88"/>
    <w:rsid w:val="47FE4D25"/>
    <w:rsid w:val="480E611D"/>
    <w:rsid w:val="486A3514"/>
    <w:rsid w:val="486B260B"/>
    <w:rsid w:val="499015D2"/>
    <w:rsid w:val="49B7682C"/>
    <w:rsid w:val="4A6142EA"/>
    <w:rsid w:val="4A7C50FD"/>
    <w:rsid w:val="4B943EF8"/>
    <w:rsid w:val="4B9C5A94"/>
    <w:rsid w:val="4BC573A8"/>
    <w:rsid w:val="4BE13907"/>
    <w:rsid w:val="4BE60F1D"/>
    <w:rsid w:val="4C1C3E43"/>
    <w:rsid w:val="4CBD124A"/>
    <w:rsid w:val="4DF55A70"/>
    <w:rsid w:val="4ECB70F3"/>
    <w:rsid w:val="4F5D3335"/>
    <w:rsid w:val="4F6164F5"/>
    <w:rsid w:val="4FA97952"/>
    <w:rsid w:val="4FED09B8"/>
    <w:rsid w:val="506F4E1E"/>
    <w:rsid w:val="51304654"/>
    <w:rsid w:val="51385F30"/>
    <w:rsid w:val="51606E8A"/>
    <w:rsid w:val="51F35615"/>
    <w:rsid w:val="52F301C9"/>
    <w:rsid w:val="53F44CB7"/>
    <w:rsid w:val="540E20B0"/>
    <w:rsid w:val="55482FE4"/>
    <w:rsid w:val="55D40B98"/>
    <w:rsid w:val="56F02839"/>
    <w:rsid w:val="576D6D37"/>
    <w:rsid w:val="58A514A0"/>
    <w:rsid w:val="58D20B4F"/>
    <w:rsid w:val="59A70968"/>
    <w:rsid w:val="59B33345"/>
    <w:rsid w:val="5A0E6993"/>
    <w:rsid w:val="5A2516E4"/>
    <w:rsid w:val="5A431DCD"/>
    <w:rsid w:val="5A4474E6"/>
    <w:rsid w:val="5A8D7133"/>
    <w:rsid w:val="5B10680F"/>
    <w:rsid w:val="5B784E24"/>
    <w:rsid w:val="5CF80000"/>
    <w:rsid w:val="5D1C7AB0"/>
    <w:rsid w:val="5DFE4642"/>
    <w:rsid w:val="5EDC10F2"/>
    <w:rsid w:val="5F99219D"/>
    <w:rsid w:val="60AB6EDD"/>
    <w:rsid w:val="62404987"/>
    <w:rsid w:val="63007260"/>
    <w:rsid w:val="63160A12"/>
    <w:rsid w:val="63972DD1"/>
    <w:rsid w:val="641D786A"/>
    <w:rsid w:val="64795514"/>
    <w:rsid w:val="65172004"/>
    <w:rsid w:val="65F9165C"/>
    <w:rsid w:val="66951383"/>
    <w:rsid w:val="67404828"/>
    <w:rsid w:val="67513D2A"/>
    <w:rsid w:val="67E1046B"/>
    <w:rsid w:val="68D67726"/>
    <w:rsid w:val="69157706"/>
    <w:rsid w:val="69562616"/>
    <w:rsid w:val="696B0DCF"/>
    <w:rsid w:val="69A97D29"/>
    <w:rsid w:val="69F04C89"/>
    <w:rsid w:val="69FA0E46"/>
    <w:rsid w:val="6A017C52"/>
    <w:rsid w:val="6A6E2984"/>
    <w:rsid w:val="6B253BC7"/>
    <w:rsid w:val="6B465BD0"/>
    <w:rsid w:val="6B924AC0"/>
    <w:rsid w:val="6BE14F0E"/>
    <w:rsid w:val="6C6E57C2"/>
    <w:rsid w:val="6CEE2778"/>
    <w:rsid w:val="6DEC77D0"/>
    <w:rsid w:val="6E54747C"/>
    <w:rsid w:val="6F701E6C"/>
    <w:rsid w:val="6F9371EB"/>
    <w:rsid w:val="6FDB3E77"/>
    <w:rsid w:val="700C440A"/>
    <w:rsid w:val="70B07C91"/>
    <w:rsid w:val="71B740EC"/>
    <w:rsid w:val="72223A16"/>
    <w:rsid w:val="72245523"/>
    <w:rsid w:val="725F471D"/>
    <w:rsid w:val="72BB0AD8"/>
    <w:rsid w:val="72C1286E"/>
    <w:rsid w:val="73073BAC"/>
    <w:rsid w:val="733B1F9A"/>
    <w:rsid w:val="74277D91"/>
    <w:rsid w:val="7465193A"/>
    <w:rsid w:val="759E0068"/>
    <w:rsid w:val="76110A91"/>
    <w:rsid w:val="7649793B"/>
    <w:rsid w:val="77AD0A02"/>
    <w:rsid w:val="785A05EC"/>
    <w:rsid w:val="78A35E38"/>
    <w:rsid w:val="79982FA7"/>
    <w:rsid w:val="79A978D9"/>
    <w:rsid w:val="79E93803"/>
    <w:rsid w:val="79F57DFF"/>
    <w:rsid w:val="7A1E01B0"/>
    <w:rsid w:val="7A316A2D"/>
    <w:rsid w:val="7A5656B5"/>
    <w:rsid w:val="7AEE79C2"/>
    <w:rsid w:val="7B933E36"/>
    <w:rsid w:val="7C200EF9"/>
    <w:rsid w:val="7C2C6B59"/>
    <w:rsid w:val="7C2D7B15"/>
    <w:rsid w:val="7CAF57ED"/>
    <w:rsid w:val="7D277AFD"/>
    <w:rsid w:val="7D7B47E8"/>
    <w:rsid w:val="7DF812AF"/>
    <w:rsid w:val="7E151CB9"/>
    <w:rsid w:val="7E6F0C8B"/>
    <w:rsid w:val="7EA13D20"/>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jc w:val="center"/>
      <w:outlineLvl w:val="0"/>
    </w:pPr>
    <w:rPr>
      <w:rFonts w:ascii="Tahoma" w:eastAsia="Tahoma"/>
      <w:b/>
      <w:bCs/>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annotation text"/>
    <w:basedOn w:val="1"/>
    <w:link w:val="39"/>
    <w:qFormat/>
    <w:uiPriority w:val="0"/>
    <w:pPr>
      <w:jc w:val="left"/>
    </w:pPr>
  </w:style>
  <w:style w:type="paragraph" w:styleId="9">
    <w:name w:val="Body Text"/>
    <w:basedOn w:val="1"/>
    <w:next w:val="10"/>
    <w:qFormat/>
    <w:uiPriority w:val="0"/>
    <w:pPr>
      <w:spacing w:after="120"/>
    </w:pPr>
    <w:rPr>
      <w:rFonts w:eastAsia="宋体,Verdana,Arial"/>
    </w:rPr>
  </w:style>
  <w:style w:type="paragraph" w:styleId="10">
    <w:name w:val="Body Text First Indent"/>
    <w:basedOn w:val="9"/>
    <w:next w:val="11"/>
    <w:qFormat/>
    <w:uiPriority w:val="0"/>
    <w:pPr>
      <w:autoSpaceDE w:val="0"/>
      <w:autoSpaceDN w:val="0"/>
      <w:adjustRightInd w:val="0"/>
      <w:ind w:firstLine="420" w:firstLineChars="100"/>
      <w:jc w:val="left"/>
    </w:pPr>
  </w:style>
  <w:style w:type="paragraph" w:styleId="11">
    <w:name w:val="toc 6"/>
    <w:basedOn w:val="1"/>
    <w:next w:val="1"/>
    <w:semiHidden/>
    <w:qFormat/>
    <w:uiPriority w:val="0"/>
    <w:pPr>
      <w:ind w:left="1050"/>
      <w:jc w:val="left"/>
    </w:pPr>
    <w:rPr>
      <w:sz w:val="18"/>
      <w:szCs w:val="18"/>
    </w:rPr>
  </w:style>
  <w:style w:type="paragraph" w:styleId="12">
    <w:name w:val="Body Text Indent"/>
    <w:basedOn w:val="1"/>
    <w:next w:val="7"/>
    <w:qFormat/>
    <w:uiPriority w:val="0"/>
    <w:pPr>
      <w:ind w:left="480" w:hanging="480" w:hangingChars="200"/>
    </w:pPr>
    <w:rPr>
      <w:sz w:val="24"/>
    </w:r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Date"/>
    <w:basedOn w:val="1"/>
    <w:next w:val="1"/>
    <w:qFormat/>
    <w:uiPriority w:val="0"/>
    <w:pPr>
      <w:ind w:left="100" w:leftChars="2500"/>
    </w:pPr>
    <w:rPr>
      <w:rFonts w:ascii="Times New Roman" w:hAnsi="Times New Roman"/>
    </w:rPr>
  </w:style>
  <w:style w:type="paragraph" w:styleId="16">
    <w:name w:val="Body Text Indent 2"/>
    <w:basedOn w:val="1"/>
    <w:qFormat/>
    <w:uiPriority w:val="0"/>
    <w:pPr>
      <w:ind w:firstLine="568" w:firstLineChars="203"/>
    </w:pPr>
    <w:rPr>
      <w:rFonts w:ascii="宋体" w:hAnsi="宋体"/>
      <w:sz w:val="28"/>
    </w:rPr>
  </w:style>
  <w:style w:type="paragraph" w:styleId="17">
    <w:name w:val="Balloon Text"/>
    <w:basedOn w:val="1"/>
    <w:link w:val="65"/>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qFormat/>
    <w:uiPriority w:val="39"/>
    <w:pPr>
      <w:tabs>
        <w:tab w:val="right" w:leader="dot" w:pos="9660"/>
      </w:tabs>
      <w:spacing w:line="480" w:lineRule="auto"/>
    </w:pPr>
  </w:style>
  <w:style w:type="paragraph" w:styleId="21">
    <w:name w:val="toc 4"/>
    <w:basedOn w:val="1"/>
    <w:next w:val="1"/>
    <w:qFormat/>
    <w:uiPriority w:val="0"/>
    <w:pPr>
      <w:wordWrap w:val="0"/>
      <w:ind w:left="850"/>
    </w:pPr>
  </w:style>
  <w:style w:type="paragraph" w:styleId="22">
    <w:name w:val="Normal (Web)"/>
    <w:basedOn w:val="1"/>
    <w:qFormat/>
    <w:uiPriority w:val="0"/>
    <w:pPr>
      <w:spacing w:after="210"/>
      <w:jc w:val="left"/>
    </w:pPr>
    <w:rPr>
      <w:kern w:val="0"/>
      <w:sz w:val="24"/>
    </w:rPr>
  </w:style>
  <w:style w:type="paragraph" w:styleId="23">
    <w:name w:val="annotation subject"/>
    <w:basedOn w:val="8"/>
    <w:next w:val="8"/>
    <w:link w:val="40"/>
    <w:qFormat/>
    <w:uiPriority w:val="0"/>
    <w:rPr>
      <w:b/>
      <w:bCs/>
    </w:rPr>
  </w:style>
  <w:style w:type="paragraph" w:styleId="24">
    <w:name w:val="Body Text First Indent 2"/>
    <w:basedOn w:val="12"/>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FollowedHyperlink"/>
    <w:basedOn w:val="27"/>
    <w:qFormat/>
    <w:uiPriority w:val="0"/>
    <w:rPr>
      <w:color w:val="1890FF"/>
      <w:u w:val="none"/>
    </w:rPr>
  </w:style>
  <w:style w:type="character" w:styleId="30">
    <w:name w:val="HTML Definition"/>
    <w:basedOn w:val="27"/>
    <w:qFormat/>
    <w:uiPriority w:val="0"/>
    <w:rPr>
      <w:i/>
      <w:iCs/>
    </w:rPr>
  </w:style>
  <w:style w:type="character" w:styleId="31">
    <w:name w:val="Hyperlink"/>
    <w:qFormat/>
    <w:uiPriority w:val="99"/>
    <w:rPr>
      <w:color w:val="0000FF"/>
      <w:u w:val="single"/>
    </w:rPr>
  </w:style>
  <w:style w:type="character" w:styleId="32">
    <w:name w:val="HTML Code"/>
    <w:basedOn w:val="27"/>
    <w:qFormat/>
    <w:uiPriority w:val="0"/>
    <w:rPr>
      <w:rFonts w:ascii="Consolas" w:hAnsi="Consolas" w:eastAsia="Consolas" w:cs="Consolas"/>
      <w:sz w:val="21"/>
      <w:szCs w:val="21"/>
    </w:rPr>
  </w:style>
  <w:style w:type="character" w:styleId="33">
    <w:name w:val="annotation reference"/>
    <w:basedOn w:val="27"/>
    <w:qFormat/>
    <w:uiPriority w:val="0"/>
    <w:rPr>
      <w:sz w:val="21"/>
      <w:szCs w:val="21"/>
    </w:rPr>
  </w:style>
  <w:style w:type="character" w:styleId="34">
    <w:name w:val="HTML Keyboard"/>
    <w:basedOn w:val="27"/>
    <w:qFormat/>
    <w:uiPriority w:val="0"/>
    <w:rPr>
      <w:rFonts w:hint="default" w:ascii="Consolas" w:hAnsi="Consolas" w:eastAsia="Consolas" w:cs="Consolas"/>
      <w:sz w:val="21"/>
      <w:szCs w:val="21"/>
    </w:rPr>
  </w:style>
  <w:style w:type="character" w:styleId="35">
    <w:name w:val="HTML Sample"/>
    <w:basedOn w:val="27"/>
    <w:qFormat/>
    <w:uiPriority w:val="0"/>
    <w:rPr>
      <w:rFonts w:hint="default" w:ascii="Consolas" w:hAnsi="Consolas" w:eastAsia="Consolas" w:cs="Consolas"/>
      <w:sz w:val="21"/>
      <w:szCs w:val="21"/>
    </w:rPr>
  </w:style>
  <w:style w:type="paragraph" w:customStyle="1" w:styleId="36">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37">
    <w:name w:val="表格文字"/>
    <w:basedOn w:val="1"/>
    <w:next w:val="9"/>
    <w:qFormat/>
    <w:uiPriority w:val="0"/>
    <w:pPr>
      <w:adjustRightInd w:val="0"/>
      <w:spacing w:line="420" w:lineRule="atLeast"/>
      <w:jc w:val="left"/>
      <w:textAlignment w:val="baseline"/>
    </w:pPr>
    <w:rPr>
      <w:kern w:val="0"/>
    </w:rPr>
  </w:style>
  <w:style w:type="paragraph" w:customStyle="1" w:styleId="38">
    <w:name w:val="正文文本首行缩进1"/>
    <w:basedOn w:val="9"/>
    <w:qFormat/>
    <w:uiPriority w:val="0"/>
    <w:pPr>
      <w:ind w:firstLine="420" w:firstLineChars="100"/>
    </w:pPr>
    <w:rPr>
      <w:szCs w:val="21"/>
    </w:rPr>
  </w:style>
  <w:style w:type="character" w:customStyle="1" w:styleId="39">
    <w:name w:val="批注文字 Char"/>
    <w:basedOn w:val="27"/>
    <w:link w:val="8"/>
    <w:qFormat/>
    <w:uiPriority w:val="0"/>
    <w:rPr>
      <w:rFonts w:ascii="等线" w:hAnsi="等线" w:eastAsia="等线"/>
      <w:kern w:val="2"/>
      <w:sz w:val="21"/>
      <w:szCs w:val="22"/>
    </w:rPr>
  </w:style>
  <w:style w:type="character" w:customStyle="1" w:styleId="40">
    <w:name w:val="批注主题 Char"/>
    <w:basedOn w:val="39"/>
    <w:link w:val="23"/>
    <w:qFormat/>
    <w:uiPriority w:val="0"/>
    <w:rPr>
      <w:rFonts w:ascii="等线" w:hAnsi="等线" w:eastAsia="等线"/>
      <w:b/>
      <w:bCs/>
      <w:kern w:val="2"/>
      <w:sz w:val="21"/>
      <w:szCs w:val="22"/>
    </w:rPr>
  </w:style>
  <w:style w:type="character" w:customStyle="1" w:styleId="41">
    <w:name w:val="user-acct"/>
    <w:basedOn w:val="27"/>
    <w:qFormat/>
    <w:uiPriority w:val="0"/>
    <w:rPr>
      <w:color w:val="7C7070"/>
    </w:rPr>
  </w:style>
  <w:style w:type="character" w:customStyle="1" w:styleId="42">
    <w:name w:val="hover12"/>
    <w:basedOn w:val="27"/>
    <w:qFormat/>
    <w:uiPriority w:val="0"/>
  </w:style>
  <w:style w:type="character" w:customStyle="1" w:styleId="43">
    <w:name w:val="current"/>
    <w:basedOn w:val="27"/>
    <w:qFormat/>
    <w:uiPriority w:val="0"/>
    <w:rPr>
      <w:color w:val="00C1DE"/>
    </w:rPr>
  </w:style>
  <w:style w:type="character" w:customStyle="1" w:styleId="44">
    <w:name w:val="current1"/>
    <w:basedOn w:val="27"/>
    <w:qFormat/>
    <w:uiPriority w:val="0"/>
    <w:rPr>
      <w:color w:val="00C1DE"/>
    </w:rPr>
  </w:style>
  <w:style w:type="character" w:customStyle="1" w:styleId="45">
    <w:name w:val="selected"/>
    <w:basedOn w:val="27"/>
    <w:qFormat/>
    <w:uiPriority w:val="0"/>
    <w:rPr>
      <w:color w:val="1C81FE"/>
    </w:rPr>
  </w:style>
  <w:style w:type="character" w:customStyle="1" w:styleId="46">
    <w:name w:val="selected1"/>
    <w:basedOn w:val="27"/>
    <w:qFormat/>
    <w:uiPriority w:val="0"/>
    <w:rPr>
      <w:color w:val="1C81FE"/>
    </w:rPr>
  </w:style>
  <w:style w:type="character" w:customStyle="1" w:styleId="47">
    <w:name w:val="desc"/>
    <w:basedOn w:val="27"/>
    <w:qFormat/>
    <w:uiPriority w:val="0"/>
    <w:rPr>
      <w:b/>
      <w:bCs/>
      <w:color w:val="404040"/>
    </w:rPr>
  </w:style>
  <w:style w:type="character" w:customStyle="1" w:styleId="48">
    <w:name w:val="desc1"/>
    <w:basedOn w:val="27"/>
    <w:qFormat/>
    <w:uiPriority w:val="0"/>
    <w:rPr>
      <w:b/>
      <w:bCs/>
      <w:color w:val="404040"/>
    </w:rPr>
  </w:style>
  <w:style w:type="character" w:customStyle="1" w:styleId="49">
    <w:name w:val="helper"/>
    <w:basedOn w:val="27"/>
    <w:qFormat/>
    <w:uiPriority w:val="0"/>
    <w:rPr>
      <w:b/>
      <w:bCs/>
      <w:color w:val="404040"/>
      <w:sz w:val="38"/>
      <w:szCs w:val="38"/>
    </w:rPr>
  </w:style>
  <w:style w:type="character" w:customStyle="1" w:styleId="50">
    <w:name w:val="icon6"/>
    <w:basedOn w:val="27"/>
    <w:qFormat/>
    <w:uiPriority w:val="0"/>
  </w:style>
  <w:style w:type="character" w:customStyle="1" w:styleId="51">
    <w:name w:val="ant-typography-ellipsis"/>
    <w:basedOn w:val="27"/>
    <w:qFormat/>
    <w:uiPriority w:val="0"/>
  </w:style>
  <w:style w:type="character" w:customStyle="1" w:styleId="52">
    <w:name w:val="ant-radio+*"/>
    <w:basedOn w:val="27"/>
    <w:qFormat/>
    <w:uiPriority w:val="0"/>
  </w:style>
  <w:style w:type="character" w:customStyle="1" w:styleId="53">
    <w:name w:val="content72"/>
    <w:basedOn w:val="27"/>
    <w:qFormat/>
    <w:uiPriority w:val="0"/>
    <w:rPr>
      <w:color w:val="7C7070"/>
      <w:sz w:val="14"/>
      <w:szCs w:val="14"/>
    </w:rPr>
  </w:style>
  <w:style w:type="character" w:customStyle="1" w:styleId="54">
    <w:name w:val="info-label"/>
    <w:basedOn w:val="27"/>
    <w:qFormat/>
    <w:uiPriority w:val="0"/>
    <w:rPr>
      <w:b/>
      <w:bCs/>
    </w:rPr>
  </w:style>
  <w:style w:type="character" w:customStyle="1" w:styleId="55">
    <w:name w:val="info-content"/>
    <w:basedOn w:val="27"/>
    <w:qFormat/>
    <w:uiPriority w:val="0"/>
    <w:rPr>
      <w:color w:val="808080"/>
    </w:rPr>
  </w:style>
  <w:style w:type="character" w:customStyle="1" w:styleId="56">
    <w:name w:val="phone-number1"/>
    <w:basedOn w:val="27"/>
    <w:qFormat/>
    <w:uiPriority w:val="0"/>
    <w:rPr>
      <w:color w:val="0876FF"/>
    </w:rPr>
  </w:style>
  <w:style w:type="paragraph" w:styleId="57">
    <w:name w:val="List Paragraph"/>
    <w:basedOn w:val="1"/>
    <w:qFormat/>
    <w:uiPriority w:val="34"/>
    <w:pPr>
      <w:ind w:firstLine="420" w:firstLineChars="200"/>
    </w:pPr>
  </w:style>
  <w:style w:type="paragraph" w:customStyle="1" w:styleId="58">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9">
    <w:name w:val="正文_0_0"/>
    <w:basedOn w:val="1"/>
    <w:qFormat/>
    <w:uiPriority w:val="0"/>
    <w:rPr>
      <w:rFonts w:ascii="Calibri" w:hAnsi="Calibri" w:cs="Calibri"/>
      <w:szCs w:val="21"/>
    </w:rPr>
  </w:style>
  <w:style w:type="paragraph" w:customStyle="1" w:styleId="60">
    <w:name w:val="[Normal]"/>
    <w:qFormat/>
    <w:uiPriority w:val="0"/>
    <w:rPr>
      <w:rFonts w:ascii="宋体" w:hAnsi="宋体" w:eastAsia="宋体" w:cs="Times New Roman"/>
      <w:sz w:val="24"/>
      <w:szCs w:val="22"/>
      <w:lang w:val="zh-CN" w:eastAsia="zh-CN" w:bidi="ar-SA"/>
    </w:rPr>
  </w:style>
  <w:style w:type="paragraph" w:customStyle="1" w:styleId="6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2">
    <w:name w:val="p5"/>
    <w:basedOn w:val="27"/>
    <w:qFormat/>
    <w:uiPriority w:val="0"/>
  </w:style>
  <w:style w:type="paragraph" w:customStyle="1" w:styleId="63">
    <w:name w:val="正文首行缩进1"/>
    <w:basedOn w:val="9"/>
    <w:qFormat/>
    <w:uiPriority w:val="0"/>
    <w:pPr>
      <w:ind w:firstLine="420" w:firstLineChars="100"/>
    </w:pPr>
    <w:rPr>
      <w:rFonts w:ascii="Times New Roman" w:hAnsi="Times New Roman"/>
    </w:rPr>
  </w:style>
  <w:style w:type="paragraph" w:customStyle="1" w:styleId="64">
    <w:name w:val="列出段落1"/>
    <w:basedOn w:val="1"/>
    <w:qFormat/>
    <w:uiPriority w:val="0"/>
    <w:pPr>
      <w:ind w:firstLine="420" w:firstLineChars="200"/>
    </w:pPr>
    <w:rPr>
      <w:szCs w:val="20"/>
    </w:rPr>
  </w:style>
  <w:style w:type="character" w:customStyle="1" w:styleId="65">
    <w:name w:val="批注框文本 Char"/>
    <w:basedOn w:val="27"/>
    <w:link w:val="17"/>
    <w:qFormat/>
    <w:uiPriority w:val="0"/>
    <w:rPr>
      <w:rFonts w:ascii="等线" w:hAnsi="等线" w:eastAsia="等线"/>
      <w:kern w:val="2"/>
      <w:sz w:val="18"/>
      <w:szCs w:val="18"/>
    </w:rPr>
  </w:style>
  <w:style w:type="paragraph" w:customStyle="1" w:styleId="66">
    <w:name w:val="hb.1"/>
    <w:basedOn w:val="1"/>
    <w:qFormat/>
    <w:uiPriority w:val="0"/>
    <w:pPr>
      <w:tabs>
        <w:tab w:val="left" w:pos="992"/>
      </w:tabs>
      <w:spacing w:after="156"/>
      <w:ind w:left="992" w:hanging="567"/>
    </w:pPr>
    <w:rPr>
      <w:rFonts w:ascii="Times New Roman" w:hAnsi="Times New Roman"/>
      <w:szCs w:val="20"/>
    </w:rPr>
  </w:style>
  <w:style w:type="paragraph" w:customStyle="1" w:styleId="67">
    <w:name w:val="htbh"/>
    <w:basedOn w:val="4"/>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8">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9">
    <w:name w:val="正文表标题"/>
    <w:next w:val="70"/>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7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表内文字"/>
    <w:basedOn w:val="1"/>
    <w:qFormat/>
    <w:uiPriority w:val="0"/>
    <w:pPr>
      <w:spacing w:line="240" w:lineRule="atLeast"/>
      <w:jc w:val="center"/>
    </w:pPr>
    <w:rPr>
      <w:rFonts w:ascii="Arial" w:hAnsi="Arial" w:eastAsia="宋体" w:cs="Arial"/>
      <w:b/>
      <w:bCs/>
    </w:rPr>
  </w:style>
  <w:style w:type="paragraph" w:customStyle="1" w:styleId="72">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3">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4">
    <w:name w:val="form-textarea-print1"/>
    <w:basedOn w:val="27"/>
    <w:qFormat/>
    <w:uiPriority w:val="0"/>
    <w:rPr>
      <w:sz w:val="12"/>
      <w:szCs w:val="12"/>
    </w:rPr>
  </w:style>
  <w:style w:type="paragraph" w:customStyle="1" w:styleId="75">
    <w:name w:val="样式1"/>
    <w:basedOn w:val="1"/>
    <w:qFormat/>
    <w:uiPriority w:val="0"/>
    <w:rPr>
      <w:b/>
      <w:color w:val="538135"/>
      <w:sz w:val="28"/>
    </w:rPr>
  </w:style>
  <w:style w:type="character" w:customStyle="1" w:styleId="76">
    <w:name w:val="font51"/>
    <w:basedOn w:val="27"/>
    <w:qFormat/>
    <w:uiPriority w:val="0"/>
    <w:rPr>
      <w:rFonts w:hint="eastAsia" w:ascii="微软雅黑" w:hAnsi="微软雅黑" w:eastAsia="微软雅黑" w:cs="微软雅黑"/>
      <w:color w:val="000000"/>
      <w:sz w:val="20"/>
      <w:szCs w:val="20"/>
      <w:u w:val="none"/>
    </w:rPr>
  </w:style>
  <w:style w:type="character" w:customStyle="1" w:styleId="77">
    <w:name w:val="font01"/>
    <w:basedOn w:val="27"/>
    <w:qFormat/>
    <w:uiPriority w:val="0"/>
    <w:rPr>
      <w:rFonts w:hint="eastAsia" w:ascii="微软雅黑" w:hAnsi="微软雅黑" w:eastAsia="微软雅黑" w:cs="微软雅黑"/>
      <w:color w:val="FF0000"/>
      <w:sz w:val="20"/>
      <w:szCs w:val="20"/>
      <w:u w:val="none"/>
    </w:rPr>
  </w:style>
  <w:style w:type="character" w:customStyle="1" w:styleId="78">
    <w:name w:val="font41"/>
    <w:basedOn w:val="27"/>
    <w:qFormat/>
    <w:uiPriority w:val="0"/>
    <w:rPr>
      <w:rFonts w:hint="eastAsia" w:ascii="微软雅黑" w:hAnsi="微软雅黑" w:eastAsia="微软雅黑" w:cs="微软雅黑"/>
      <w:color w:val="000000"/>
      <w:sz w:val="20"/>
      <w:szCs w:val="20"/>
      <w:u w:val="none"/>
    </w:rPr>
  </w:style>
  <w:style w:type="character" w:customStyle="1" w:styleId="79">
    <w:name w:val="font61"/>
    <w:basedOn w:val="27"/>
    <w:qFormat/>
    <w:uiPriority w:val="0"/>
    <w:rPr>
      <w:rFonts w:hint="eastAsia" w:ascii="微软雅黑" w:hAnsi="微软雅黑" w:eastAsia="微软雅黑" w:cs="微软雅黑"/>
      <w:color w:val="000000"/>
      <w:sz w:val="20"/>
      <w:szCs w:val="20"/>
      <w:u w:val="none"/>
    </w:rPr>
  </w:style>
  <w:style w:type="character" w:customStyle="1" w:styleId="80">
    <w:name w:val="font11"/>
    <w:basedOn w:val="27"/>
    <w:qFormat/>
    <w:uiPriority w:val="0"/>
    <w:rPr>
      <w:rFonts w:hint="eastAsia" w:ascii="微软雅黑" w:hAnsi="微软雅黑" w:eastAsia="微软雅黑" w:cs="微软雅黑"/>
      <w:color w:val="FF0000"/>
      <w:sz w:val="20"/>
      <w:szCs w:val="20"/>
      <w:u w:val="none"/>
    </w:rPr>
  </w:style>
  <w:style w:type="character" w:customStyle="1" w:styleId="81">
    <w:name w:val="font81"/>
    <w:basedOn w:val="27"/>
    <w:qFormat/>
    <w:uiPriority w:val="0"/>
    <w:rPr>
      <w:rFonts w:hint="eastAsia" w:ascii="宋体" w:hAnsi="宋体" w:eastAsia="宋体" w:cs="宋体"/>
      <w:color w:val="FF0000"/>
      <w:sz w:val="20"/>
      <w:szCs w:val="20"/>
      <w:u w:val="none"/>
    </w:rPr>
  </w:style>
  <w:style w:type="character" w:customStyle="1" w:styleId="82">
    <w:name w:val="font21"/>
    <w:basedOn w:val="27"/>
    <w:qFormat/>
    <w:uiPriority w:val="0"/>
    <w:rPr>
      <w:rFonts w:hint="eastAsia" w:ascii="宋体" w:hAnsi="宋体" w:eastAsia="宋体" w:cs="宋体"/>
      <w:color w:val="000000"/>
      <w:sz w:val="20"/>
      <w:szCs w:val="20"/>
      <w:u w:val="none"/>
    </w:rPr>
  </w:style>
  <w:style w:type="character" w:customStyle="1" w:styleId="83">
    <w:name w:val="font31"/>
    <w:basedOn w:val="2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96</Pages>
  <Words>87457</Words>
  <Characters>99688</Characters>
  <Lines>373</Lines>
  <Paragraphs>105</Paragraphs>
  <TotalTime>7</TotalTime>
  <ScaleCrop>false</ScaleCrop>
  <LinksUpToDate>false</LinksUpToDate>
  <CharactersWithSpaces>104397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cp:lastPrinted>2024-02-22T07:10:00Z</cp:lastPrinted>
  <dcterms:modified xsi:type="dcterms:W3CDTF">2024-06-07T09:11:09Z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E498B8FD510A4A57ABE6C7AA9CE0B886_13</vt:lpwstr>
  </property>
</Properties>
</file>