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16" w:lineRule="auto"/>
        <w:jc w:val="center"/>
        <w:rPr>
          <w:rFonts w:hint="eastAsia" w:ascii="仿宋_GB2312" w:hAnsi="仿宋_GB2312" w:eastAsia="仿宋_GB2312" w:cs="仿宋_GB2312"/>
          <w:bCs/>
          <w:color w:val="auto"/>
          <w:sz w:val="48"/>
          <w:szCs w:val="48"/>
          <w:highlight w:val="none"/>
          <w:lang w:val="zh-CN"/>
        </w:rPr>
      </w:pPr>
    </w:p>
    <w:p>
      <w:pPr>
        <w:autoSpaceDE w:val="0"/>
        <w:autoSpaceDN w:val="0"/>
        <w:adjustRightInd w:val="0"/>
        <w:spacing w:line="216" w:lineRule="auto"/>
        <w:jc w:val="center"/>
        <w:rPr>
          <w:rFonts w:hint="eastAsia" w:ascii="仿宋_GB2312" w:hAnsi="仿宋_GB2312" w:eastAsia="仿宋_GB2312" w:cs="仿宋_GB2312"/>
          <w:bCs/>
          <w:color w:val="auto"/>
          <w:sz w:val="48"/>
          <w:szCs w:val="48"/>
          <w:highlight w:val="none"/>
          <w:lang w:val="zh-CN"/>
        </w:rPr>
      </w:pPr>
    </w:p>
    <w:p>
      <w:pPr>
        <w:autoSpaceDE w:val="0"/>
        <w:autoSpaceDN w:val="0"/>
        <w:adjustRightInd w:val="0"/>
        <w:spacing w:line="216" w:lineRule="auto"/>
        <w:jc w:val="center"/>
        <w:rPr>
          <w:rFonts w:hint="eastAsia" w:ascii="仿宋_GB2312" w:hAnsi="仿宋_GB2312" w:eastAsia="仿宋_GB2312" w:cs="仿宋_GB2312"/>
          <w:bCs/>
          <w:color w:val="auto"/>
          <w:sz w:val="48"/>
          <w:szCs w:val="48"/>
          <w:highlight w:val="none"/>
          <w:lang w:val="zh-CN"/>
        </w:rPr>
      </w:pPr>
    </w:p>
    <w:p>
      <w:pPr>
        <w:spacing w:line="360" w:lineRule="auto"/>
        <w:jc w:val="center"/>
        <w:rPr>
          <w:rFonts w:hint="eastAsia" w:ascii="仿宋_GB2312" w:hAnsi="仿宋_GB2312" w:eastAsia="仿宋_GB2312" w:cs="仿宋_GB2312"/>
          <w:b/>
          <w:color w:val="auto"/>
          <w:sz w:val="36"/>
          <w:szCs w:val="36"/>
          <w:highlight w:val="none"/>
          <w:lang w:eastAsia="zh-CN"/>
        </w:rPr>
      </w:pPr>
      <w:r>
        <w:rPr>
          <w:rFonts w:hint="eastAsia" w:ascii="仿宋_GB2312" w:hAnsi="仿宋_GB2312" w:eastAsia="仿宋_GB2312" w:cs="仿宋_GB2312"/>
          <w:b/>
          <w:color w:val="auto"/>
          <w:sz w:val="36"/>
          <w:szCs w:val="36"/>
          <w:highlight w:val="none"/>
          <w:lang w:eastAsia="zh-CN"/>
        </w:rPr>
        <w:t>浙江文化数据库内容建设项目（红色经典文学数据资源）</w:t>
      </w:r>
    </w:p>
    <w:p>
      <w:pPr>
        <w:spacing w:line="360" w:lineRule="auto"/>
        <w:jc w:val="center"/>
        <w:rPr>
          <w:rFonts w:hint="eastAsia" w:ascii="仿宋_GB2312" w:hAnsi="仿宋_GB2312" w:eastAsia="仿宋_GB2312" w:cs="仿宋_GB2312"/>
          <w:b/>
          <w:color w:val="auto"/>
          <w:sz w:val="36"/>
          <w:szCs w:val="36"/>
          <w:highlight w:val="none"/>
          <w:lang w:eastAsia="zh-CN"/>
        </w:rPr>
      </w:pPr>
    </w:p>
    <w:p>
      <w:pPr>
        <w:spacing w:line="360" w:lineRule="auto"/>
        <w:jc w:val="center"/>
        <w:rPr>
          <w:rFonts w:hint="eastAsia" w:ascii="仿宋_GB2312" w:hAnsi="仿宋_GB2312" w:eastAsia="仿宋_GB2312" w:cs="仿宋_GB2312"/>
          <w:b/>
          <w:color w:val="auto"/>
          <w:sz w:val="36"/>
          <w:szCs w:val="36"/>
          <w:highlight w:val="none"/>
          <w:lang w:eastAsia="zh-CN"/>
        </w:rPr>
      </w:pPr>
    </w:p>
    <w:p>
      <w:pPr>
        <w:spacing w:line="360" w:lineRule="auto"/>
        <w:jc w:val="center"/>
        <w:rPr>
          <w:rFonts w:hint="eastAsia" w:ascii="仿宋_GB2312" w:hAnsi="仿宋_GB2312" w:eastAsia="仿宋_GB2312" w:cs="仿宋_GB2312"/>
          <w:b/>
          <w:bCs/>
          <w:color w:val="auto"/>
          <w:sz w:val="44"/>
          <w:szCs w:val="44"/>
          <w:highlight w:val="none"/>
        </w:rPr>
      </w:pPr>
    </w:p>
    <w:p>
      <w:pPr>
        <w:pStyle w:val="382"/>
        <w:widowControl w:val="0"/>
        <w:snapToGrid w:val="0"/>
        <w:spacing w:line="470" w:lineRule="atLeast"/>
        <w:ind w:firstLine="0"/>
        <w:jc w:val="center"/>
        <w:rPr>
          <w:rFonts w:hint="eastAsia" w:ascii="仿宋_GB2312" w:hAnsi="仿宋_GB2312" w:eastAsia="仿宋_GB2312" w:cs="仿宋_GB2312"/>
          <w:bCs/>
          <w:color w:val="auto"/>
          <w:sz w:val="72"/>
          <w:highlight w:val="none"/>
        </w:rPr>
      </w:pPr>
      <w:r>
        <w:rPr>
          <w:rFonts w:hint="eastAsia" w:ascii="仿宋_GB2312" w:hAnsi="仿宋_GB2312" w:eastAsia="仿宋_GB2312" w:cs="仿宋_GB2312"/>
          <w:bCs/>
          <w:color w:val="auto"/>
          <w:sz w:val="72"/>
          <w:highlight w:val="none"/>
        </w:rPr>
        <w:t>竞争性磋商文件</w:t>
      </w:r>
    </w:p>
    <w:p>
      <w:pPr>
        <w:autoSpaceDE w:val="0"/>
        <w:autoSpaceDN w:val="0"/>
        <w:adjustRightInd w:val="0"/>
        <w:spacing w:line="216" w:lineRule="auto"/>
        <w:jc w:val="center"/>
        <w:rPr>
          <w:rFonts w:hint="eastAsia" w:ascii="仿宋_GB2312" w:hAnsi="仿宋_GB2312" w:eastAsia="仿宋_GB2312" w:cs="仿宋_GB2312"/>
          <w:bCs/>
          <w:color w:val="auto"/>
          <w:sz w:val="28"/>
          <w:szCs w:val="28"/>
          <w:highlight w:val="none"/>
        </w:rPr>
      </w:pPr>
    </w:p>
    <w:p>
      <w:pPr>
        <w:autoSpaceDE w:val="0"/>
        <w:autoSpaceDN w:val="0"/>
        <w:adjustRightInd w:val="0"/>
        <w:spacing w:line="216"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（电子</w:t>
      </w:r>
      <w:r>
        <w:rPr>
          <w:rFonts w:hint="eastAsia" w:ascii="仿宋_GB2312" w:hAnsi="仿宋_GB2312" w:eastAsia="仿宋_GB2312" w:cs="仿宋_GB2312"/>
          <w:b/>
          <w:bCs/>
          <w:color w:val="auto"/>
          <w:sz w:val="32"/>
          <w:szCs w:val="32"/>
          <w:highlight w:val="none"/>
          <w:lang w:val="en-US" w:eastAsia="zh-CN"/>
        </w:rPr>
        <w:t>交易</w:t>
      </w:r>
      <w:r>
        <w:rPr>
          <w:rFonts w:hint="eastAsia" w:ascii="仿宋_GB2312" w:hAnsi="仿宋_GB2312" w:eastAsia="仿宋_GB2312" w:cs="仿宋_GB2312"/>
          <w:b/>
          <w:bCs/>
          <w:color w:val="auto"/>
          <w:sz w:val="32"/>
          <w:szCs w:val="32"/>
          <w:highlight w:val="none"/>
        </w:rPr>
        <w:t>）</w:t>
      </w:r>
    </w:p>
    <w:p>
      <w:pPr>
        <w:pStyle w:val="25"/>
        <w:rPr>
          <w:rFonts w:hint="eastAsia" w:ascii="仿宋_GB2312" w:hAnsi="仿宋_GB2312" w:eastAsia="仿宋_GB2312" w:cs="仿宋_GB2312"/>
          <w:color w:val="auto"/>
          <w:highlight w:val="none"/>
        </w:rPr>
      </w:pPr>
    </w:p>
    <w:p>
      <w:pPr>
        <w:autoSpaceDE w:val="0"/>
        <w:autoSpaceDN w:val="0"/>
        <w:adjustRightInd w:val="0"/>
        <w:spacing w:line="216" w:lineRule="auto"/>
        <w:jc w:val="center"/>
        <w:rPr>
          <w:rFonts w:hint="eastAsia" w:ascii="仿宋_GB2312" w:hAnsi="仿宋_GB2312" w:eastAsia="仿宋_GB2312" w:cs="仿宋_GB2312"/>
          <w:bCs/>
          <w:color w:val="auto"/>
          <w:sz w:val="32"/>
          <w:szCs w:val="32"/>
          <w:highlight w:val="none"/>
          <w:lang w:val="zh-CN"/>
        </w:rPr>
      </w:pPr>
    </w:p>
    <w:p>
      <w:pPr>
        <w:autoSpaceDE w:val="0"/>
        <w:autoSpaceDN w:val="0"/>
        <w:adjustRightInd w:val="0"/>
        <w:spacing w:line="216" w:lineRule="auto"/>
        <w:jc w:val="center"/>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zh-CN"/>
        </w:rPr>
        <w:t>项目编号：ZJ—246</w:t>
      </w:r>
      <w:r>
        <w:rPr>
          <w:rFonts w:hint="eastAsia" w:ascii="仿宋_GB2312" w:hAnsi="仿宋_GB2312" w:eastAsia="仿宋_GB2312" w:cs="仿宋_GB2312"/>
          <w:b/>
          <w:color w:val="auto"/>
          <w:sz w:val="32"/>
          <w:szCs w:val="32"/>
          <w:highlight w:val="none"/>
          <w:lang w:val="en-US" w:eastAsia="zh-CN"/>
        </w:rPr>
        <w:t>3204</w:t>
      </w:r>
    </w:p>
    <w:p>
      <w:pPr>
        <w:jc w:val="center"/>
        <w:rPr>
          <w:rFonts w:hint="eastAsia" w:ascii="仿宋_GB2312" w:hAnsi="仿宋_GB2312" w:eastAsia="仿宋_GB2312" w:cs="仿宋_GB2312"/>
          <w:bCs/>
          <w:color w:val="auto"/>
          <w:sz w:val="52"/>
          <w:highlight w:val="none"/>
        </w:rPr>
      </w:pPr>
    </w:p>
    <w:p>
      <w:pPr>
        <w:jc w:val="center"/>
        <w:rPr>
          <w:rFonts w:hint="eastAsia" w:ascii="仿宋_GB2312" w:hAnsi="仿宋_GB2312" w:eastAsia="仿宋_GB2312" w:cs="仿宋_GB2312"/>
          <w:bCs/>
          <w:color w:val="auto"/>
          <w:sz w:val="52"/>
          <w:highlight w:val="none"/>
        </w:rPr>
      </w:pPr>
    </w:p>
    <w:p>
      <w:pPr>
        <w:jc w:val="center"/>
        <w:rPr>
          <w:rFonts w:hint="eastAsia" w:ascii="仿宋_GB2312" w:hAnsi="仿宋_GB2312" w:eastAsia="仿宋_GB2312" w:cs="仿宋_GB2312"/>
          <w:bCs/>
          <w:color w:val="auto"/>
          <w:sz w:val="52"/>
          <w:highlight w:val="none"/>
        </w:rPr>
      </w:pPr>
    </w:p>
    <w:p>
      <w:pPr>
        <w:jc w:val="center"/>
        <w:rPr>
          <w:rFonts w:hint="eastAsia" w:ascii="仿宋_GB2312" w:hAnsi="仿宋_GB2312" w:eastAsia="仿宋_GB2312" w:cs="仿宋_GB2312"/>
          <w:bCs/>
          <w:color w:val="auto"/>
          <w:sz w:val="52"/>
          <w:highlight w:val="none"/>
        </w:rPr>
      </w:pPr>
    </w:p>
    <w:tbl>
      <w:tblPr>
        <w:tblStyle w:val="56"/>
        <w:tblW w:w="0" w:type="auto"/>
        <w:jc w:val="center"/>
        <w:tblLayout w:type="fixed"/>
        <w:tblCellMar>
          <w:top w:w="0" w:type="dxa"/>
          <w:left w:w="0" w:type="dxa"/>
          <w:bottom w:w="0" w:type="dxa"/>
          <w:right w:w="0" w:type="dxa"/>
        </w:tblCellMar>
      </w:tblPr>
      <w:tblGrid>
        <w:gridCol w:w="2156"/>
        <w:gridCol w:w="206"/>
        <w:gridCol w:w="4210"/>
      </w:tblGrid>
      <w:tr>
        <w:tblPrEx>
          <w:tblCellMar>
            <w:top w:w="0" w:type="dxa"/>
            <w:left w:w="0" w:type="dxa"/>
            <w:bottom w:w="0" w:type="dxa"/>
            <w:right w:w="0" w:type="dxa"/>
          </w:tblCellMar>
        </w:tblPrEx>
        <w:trPr>
          <w:trHeight w:val="808" w:hRule="atLeast"/>
          <w:jc w:val="center"/>
        </w:trPr>
        <w:tc>
          <w:tcPr>
            <w:tcW w:w="2156" w:type="dxa"/>
            <w:vAlign w:val="center"/>
          </w:tcPr>
          <w:p>
            <w:pPr>
              <w:pStyle w:val="9"/>
              <w:jc w:val="distribute"/>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bCs/>
                <w:color w:val="auto"/>
                <w:sz w:val="32"/>
                <w:szCs w:val="32"/>
                <w:highlight w:val="none"/>
                <w:lang w:bidi="th-TH"/>
              </w:rPr>
              <w:t>采购人</w:t>
            </w:r>
          </w:p>
        </w:tc>
        <w:tc>
          <w:tcPr>
            <w:tcW w:w="206" w:type="dxa"/>
            <w:vAlign w:val="center"/>
          </w:tcPr>
          <w:p>
            <w:pPr>
              <w:pStyle w:val="9"/>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bCs/>
                <w:color w:val="auto"/>
                <w:sz w:val="32"/>
                <w:szCs w:val="32"/>
                <w:highlight w:val="none"/>
                <w:lang w:bidi="th-TH"/>
              </w:rPr>
              <w:t>:</w:t>
            </w:r>
          </w:p>
        </w:tc>
        <w:tc>
          <w:tcPr>
            <w:tcW w:w="4210" w:type="dxa"/>
            <w:vAlign w:val="center"/>
          </w:tcPr>
          <w:p>
            <w:pPr>
              <w:pStyle w:val="9"/>
              <w:jc w:val="distribute"/>
              <w:rPr>
                <w:rFonts w:hint="eastAsia" w:ascii="仿宋_GB2312" w:hAnsi="仿宋_GB2312" w:eastAsia="仿宋_GB2312" w:cs="仿宋_GB2312"/>
                <w:b/>
                <w:bCs/>
                <w:color w:val="auto"/>
                <w:w w:val="80"/>
                <w:sz w:val="32"/>
                <w:szCs w:val="32"/>
                <w:highlight w:val="none"/>
                <w:lang w:bidi="th-TH"/>
              </w:rPr>
            </w:pPr>
            <w:r>
              <w:rPr>
                <w:rFonts w:hint="eastAsia" w:ascii="仿宋_GB2312" w:hAnsi="仿宋_GB2312" w:eastAsia="仿宋_GB2312" w:cs="仿宋_GB2312"/>
                <w:b/>
                <w:bCs/>
                <w:color w:val="auto"/>
                <w:w w:val="80"/>
                <w:sz w:val="32"/>
                <w:szCs w:val="32"/>
                <w:highlight w:val="none"/>
                <w:lang w:bidi="th-TH"/>
              </w:rPr>
              <w:t>浙江文学院（浙江文学馆）</w:t>
            </w:r>
          </w:p>
        </w:tc>
      </w:tr>
      <w:tr>
        <w:tblPrEx>
          <w:tblCellMar>
            <w:top w:w="0" w:type="dxa"/>
            <w:left w:w="0" w:type="dxa"/>
            <w:bottom w:w="0" w:type="dxa"/>
            <w:right w:w="0" w:type="dxa"/>
          </w:tblCellMar>
        </w:tblPrEx>
        <w:trPr>
          <w:trHeight w:val="646" w:hRule="atLeast"/>
          <w:jc w:val="center"/>
        </w:trPr>
        <w:tc>
          <w:tcPr>
            <w:tcW w:w="2156" w:type="dxa"/>
            <w:vAlign w:val="center"/>
          </w:tcPr>
          <w:p>
            <w:pPr>
              <w:pStyle w:val="9"/>
              <w:jc w:val="distribute"/>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采购代理机构</w:t>
            </w:r>
          </w:p>
        </w:tc>
        <w:tc>
          <w:tcPr>
            <w:tcW w:w="206" w:type="dxa"/>
            <w:vAlign w:val="center"/>
          </w:tcPr>
          <w:p>
            <w:pPr>
              <w:pStyle w:val="9"/>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w:t>
            </w:r>
          </w:p>
        </w:tc>
        <w:tc>
          <w:tcPr>
            <w:tcW w:w="4210" w:type="dxa"/>
            <w:vAlign w:val="center"/>
          </w:tcPr>
          <w:p>
            <w:pPr>
              <w:pStyle w:val="9"/>
              <w:jc w:val="distribute"/>
              <w:rPr>
                <w:rFonts w:hint="eastAsia" w:ascii="仿宋_GB2312" w:hAnsi="仿宋_GB2312" w:eastAsia="仿宋_GB2312" w:cs="仿宋_GB2312"/>
                <w:b/>
                <w:bCs/>
                <w:color w:val="auto"/>
                <w:w w:val="80"/>
                <w:sz w:val="32"/>
                <w:szCs w:val="32"/>
                <w:highlight w:val="none"/>
                <w:lang w:bidi="th-TH"/>
              </w:rPr>
            </w:pPr>
            <w:r>
              <w:rPr>
                <w:rFonts w:hint="eastAsia" w:ascii="仿宋_GB2312" w:hAnsi="仿宋_GB2312" w:eastAsia="仿宋_GB2312" w:cs="仿宋_GB2312"/>
                <w:b/>
                <w:bCs/>
                <w:color w:val="auto"/>
                <w:w w:val="80"/>
                <w:sz w:val="32"/>
                <w:szCs w:val="32"/>
                <w:highlight w:val="none"/>
                <w:lang w:bidi="th-TH"/>
              </w:rPr>
              <w:t>浙江国际招投标有限公司</w:t>
            </w:r>
          </w:p>
        </w:tc>
      </w:tr>
      <w:tr>
        <w:tblPrEx>
          <w:tblCellMar>
            <w:top w:w="0" w:type="dxa"/>
            <w:left w:w="0" w:type="dxa"/>
            <w:bottom w:w="0" w:type="dxa"/>
            <w:right w:w="0" w:type="dxa"/>
          </w:tblCellMar>
        </w:tblPrEx>
        <w:trPr>
          <w:trHeight w:val="633" w:hRule="atLeast"/>
          <w:jc w:val="center"/>
        </w:trPr>
        <w:tc>
          <w:tcPr>
            <w:tcW w:w="6572" w:type="dxa"/>
            <w:gridSpan w:val="3"/>
            <w:vAlign w:val="bottom"/>
          </w:tcPr>
          <w:p>
            <w:pPr>
              <w:pStyle w:val="9"/>
              <w:jc w:val="cente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bCs/>
                <w:color w:val="auto"/>
                <w:sz w:val="32"/>
                <w:szCs w:val="32"/>
                <w:highlight w:val="none"/>
                <w:lang w:bidi="th-TH"/>
              </w:rPr>
              <w:t>二〇二四年</w:t>
            </w:r>
            <w:r>
              <w:rPr>
                <w:rFonts w:hint="eastAsia" w:ascii="仿宋_GB2312" w:hAnsi="仿宋_GB2312" w:eastAsia="仿宋_GB2312" w:cs="仿宋_GB2312"/>
                <w:b/>
                <w:bCs/>
                <w:color w:val="auto"/>
                <w:sz w:val="32"/>
                <w:szCs w:val="32"/>
                <w:highlight w:val="none"/>
                <w:lang w:val="en-US" w:eastAsia="zh-CN" w:bidi="th-TH"/>
              </w:rPr>
              <w:t>十一</w:t>
            </w:r>
            <w:r>
              <w:rPr>
                <w:rFonts w:hint="eastAsia" w:ascii="仿宋_GB2312" w:hAnsi="仿宋_GB2312" w:eastAsia="仿宋_GB2312" w:cs="仿宋_GB2312"/>
                <w:b/>
                <w:bCs/>
                <w:color w:val="auto"/>
                <w:sz w:val="32"/>
                <w:szCs w:val="32"/>
                <w:highlight w:val="none"/>
                <w:lang w:bidi="th-TH"/>
              </w:rPr>
              <w:t>月</w:t>
            </w:r>
          </w:p>
        </w:tc>
      </w:tr>
    </w:tbl>
    <w:p>
      <w:pPr>
        <w:snapToGrid w:val="0"/>
        <w:rPr>
          <w:rFonts w:hint="eastAsia" w:ascii="仿宋_GB2312" w:hAnsi="仿宋_GB2312" w:eastAsia="仿宋_GB2312" w:cs="仿宋_GB2312"/>
          <w:color w:val="auto"/>
          <w:highlight w:val="none"/>
        </w:rPr>
      </w:pPr>
    </w:p>
    <w:p>
      <w:pPr>
        <w:snapToGrid w:val="0"/>
        <w:rPr>
          <w:rFonts w:hint="eastAsia" w:ascii="仿宋_GB2312" w:hAnsi="仿宋_GB2312" w:eastAsia="仿宋_GB2312" w:cs="仿宋_GB2312"/>
          <w:color w:val="auto"/>
          <w:highlight w:val="none"/>
        </w:rPr>
        <w:sectPr>
          <w:footerReference r:id="rId3" w:type="even"/>
          <w:pgSz w:w="11906" w:h="16838"/>
          <w:pgMar w:top="1418" w:right="1588" w:bottom="1418" w:left="1588" w:header="720" w:footer="851" w:gutter="0"/>
          <w:pgBorders>
            <w:top w:val="none" w:sz="0" w:space="0"/>
            <w:left w:val="none" w:sz="0" w:space="0"/>
            <w:bottom w:val="none" w:sz="0" w:space="0"/>
            <w:right w:val="none" w:sz="0" w:space="0"/>
          </w:pgBorders>
          <w:cols w:space="720" w:num="1"/>
        </w:sectPr>
      </w:pPr>
    </w:p>
    <w:p>
      <w:pPr>
        <w:snapToGrid w:val="0"/>
        <w:rPr>
          <w:rFonts w:hint="eastAsia" w:ascii="仿宋_GB2312" w:hAnsi="仿宋_GB2312" w:eastAsia="仿宋_GB2312" w:cs="仿宋_GB2312"/>
          <w:color w:val="auto"/>
          <w:highlight w:val="none"/>
        </w:rPr>
      </w:pPr>
    </w:p>
    <w:p>
      <w:pPr>
        <w:adjustRightInd w:val="0"/>
        <w:spacing w:line="460" w:lineRule="exact"/>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目    录</w:t>
      </w:r>
    </w:p>
    <w:p>
      <w:pPr>
        <w:snapToGrid w:val="0"/>
        <w:rPr>
          <w:rFonts w:hint="eastAsia" w:ascii="仿宋_GB2312" w:hAnsi="仿宋_GB2312" w:eastAsia="仿宋_GB2312" w:cs="仿宋_GB2312"/>
          <w:color w:val="auto"/>
          <w:highlight w:val="none"/>
        </w:rPr>
      </w:pP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val="0"/>
          <w:color w:val="auto"/>
          <w:sz w:val="24"/>
          <w:szCs w:val="24"/>
          <w:highlight w:val="none"/>
        </w:rPr>
        <w:fldChar w:fldCharType="begin"/>
      </w:r>
      <w:r>
        <w:rPr>
          <w:rFonts w:hint="eastAsia" w:ascii="仿宋_GB2312" w:hAnsi="仿宋_GB2312" w:eastAsia="仿宋_GB2312" w:cs="仿宋_GB2312"/>
          <w:b w:val="0"/>
          <w:bCs w:val="0"/>
          <w:caps w:val="0"/>
          <w:color w:val="auto"/>
          <w:sz w:val="24"/>
          <w:szCs w:val="24"/>
          <w:highlight w:val="none"/>
        </w:rPr>
        <w:instrText xml:space="preserve"> TOC \o "1-2" \h \z \u </w:instrText>
      </w:r>
      <w:r>
        <w:rPr>
          <w:rFonts w:hint="eastAsia" w:ascii="仿宋_GB2312" w:hAnsi="仿宋_GB2312" w:eastAsia="仿宋_GB2312" w:cs="仿宋_GB2312"/>
          <w:b w:val="0"/>
          <w:bCs w:val="0"/>
          <w:caps w:val="0"/>
          <w:color w:val="auto"/>
          <w:sz w:val="24"/>
          <w:szCs w:val="24"/>
          <w:highlight w:val="none"/>
        </w:rPr>
        <w:fldChar w:fldCharType="separate"/>
      </w:r>
      <w:r>
        <w:rPr>
          <w:rFonts w:hint="eastAsia" w:ascii="仿宋_GB2312" w:hAnsi="仿宋_GB2312" w:eastAsia="仿宋_GB2312" w:cs="仿宋_GB2312"/>
          <w:b w:val="0"/>
          <w:bCs w:val="0"/>
          <w:caps w:val="0"/>
          <w:color w:val="auto"/>
          <w:sz w:val="24"/>
          <w:szCs w:val="24"/>
          <w:highlight w:val="none"/>
        </w:rPr>
        <w:fldChar w:fldCharType="begin"/>
      </w:r>
      <w:r>
        <w:rPr>
          <w:rFonts w:hint="eastAsia" w:ascii="仿宋_GB2312" w:hAnsi="仿宋_GB2312" w:eastAsia="仿宋_GB2312" w:cs="仿宋_GB2312"/>
          <w:b w:val="0"/>
          <w:bCs w:val="0"/>
          <w:caps w:val="0"/>
          <w:sz w:val="24"/>
          <w:szCs w:val="24"/>
          <w:highlight w:val="none"/>
        </w:rPr>
        <w:instrText xml:space="preserve"> HYPERLINK \l _Toc21364 </w:instrText>
      </w:r>
      <w:r>
        <w:rPr>
          <w:rFonts w:hint="eastAsia" w:ascii="仿宋_GB2312" w:hAnsi="仿宋_GB2312" w:eastAsia="仿宋_GB2312" w:cs="仿宋_GB2312"/>
          <w:b w:val="0"/>
          <w:bCs w:val="0"/>
          <w:caps w:val="0"/>
          <w:sz w:val="24"/>
          <w:szCs w:val="24"/>
          <w:highlight w:val="none"/>
        </w:rPr>
        <w:fldChar w:fldCharType="separate"/>
      </w:r>
      <w:r>
        <w:rPr>
          <w:rFonts w:hint="eastAsia" w:ascii="仿宋_GB2312" w:hAnsi="仿宋_GB2312" w:eastAsia="仿宋_GB2312" w:cs="仿宋_GB2312"/>
          <w:b w:val="0"/>
          <w:bCs w:val="0"/>
          <w:sz w:val="24"/>
          <w:szCs w:val="24"/>
          <w:highlight w:val="none"/>
        </w:rPr>
        <w:t>第一</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竞争性磋商公告</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_Toc21364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val="0"/>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_Toc8326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第二</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磋商须知及前附表</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_Toc8326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_Toc24463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lang w:val="en-US" w:eastAsia="zh-CN"/>
        </w:rPr>
        <w:t>磋商须知</w:t>
      </w:r>
      <w:r>
        <w:rPr>
          <w:rFonts w:hint="eastAsia" w:ascii="仿宋_GB2312" w:hAnsi="仿宋_GB2312" w:eastAsia="仿宋_GB2312" w:cs="仿宋_GB2312"/>
          <w:b w:val="0"/>
          <w:bCs w:val="0"/>
          <w:kern w:val="0"/>
          <w:sz w:val="24"/>
          <w:szCs w:val="24"/>
          <w:highlight w:val="none"/>
        </w:rPr>
        <w:t>前附表</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_Toc24463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_Toc20200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一、总则</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_Toc20200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8</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_Toc24043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二、磋商文件构成、修改、解释</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_Toc24043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11</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_Toc12904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三、响应文件的编制</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_Toc12904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12</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_Toc9812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四、响应文件的提交和备份</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_Toc9812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14</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_Toc21657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五、开启响应文件、资格审查与信用信息查询</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_Toc21657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15</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_Toc20762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六、提交最后报价</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_Toc20762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_Toc5465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七、评审</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_Toc5465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_Toc27725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八、成交</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_Toc27725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_Toc18829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九、合同授予</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_Toc18829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17</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_Toc25578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十、电子交易活动的中止</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_Toc25578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18</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_Toc13608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十一、验收</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_Toc13608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18</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_Toc31835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kern w:val="0"/>
          <w:sz w:val="24"/>
          <w:szCs w:val="24"/>
          <w:highlight w:val="none"/>
        </w:rPr>
        <w:t>附件：竞争性磋商流程</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_Toc31835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19</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_Toc25132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第三</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采购需求书</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_Toc25132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22</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_Toc31215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eastAsia="zh-CN"/>
        </w:rPr>
        <w:t>一、服务需求</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_Toc31215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22</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_Toc9392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eastAsia="zh-CN"/>
        </w:rPr>
        <w:t>二、服务要求</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_Toc9392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23</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_Toc9537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第四</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评审方法及评审标准</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_Toc9537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32</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_Toc23614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评审办法前附表</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_Toc23614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32</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_Toc7077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一、评审方法</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_Toc7077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_Toc17672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二、评</w:t>
      </w:r>
      <w:r>
        <w:rPr>
          <w:rFonts w:hint="eastAsia" w:ascii="仿宋_GB2312" w:hAnsi="仿宋_GB2312" w:eastAsia="仿宋_GB2312" w:cs="仿宋_GB2312"/>
          <w:b w:val="0"/>
          <w:bCs w:val="0"/>
          <w:sz w:val="24"/>
          <w:szCs w:val="24"/>
          <w:highlight w:val="none"/>
          <w:lang w:val="en-US" w:eastAsia="zh-CN"/>
        </w:rPr>
        <w:t>审</w:t>
      </w:r>
      <w:r>
        <w:rPr>
          <w:rFonts w:hint="eastAsia" w:ascii="仿宋_GB2312" w:hAnsi="仿宋_GB2312" w:eastAsia="仿宋_GB2312" w:cs="仿宋_GB2312"/>
          <w:b w:val="0"/>
          <w:bCs w:val="0"/>
          <w:sz w:val="24"/>
          <w:szCs w:val="24"/>
          <w:highlight w:val="none"/>
        </w:rPr>
        <w:t>标准</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_Toc17672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_Toc5130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三、磋商小组的组成</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_Toc5130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_Toc32697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四、磋商小组的职责</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_Toc32697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36</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_Toc17402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五、评审程序</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_Toc17402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37</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_Toc27897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六、评审须知</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_Toc27897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37</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_Toc11685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七、评审过程的保密与录像</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_Toc11685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40</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_Toc8663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第五</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拟签订的合同文本</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_Toc8663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41</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_Toc9997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第六</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响应文件格式</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_Toc9997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50</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_Toc9397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响应文件封面（供参考）</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_Toc9397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50</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_Toc11219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资格文件</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_Toc11219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51</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_Toc24172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lang w:val="en-US" w:eastAsia="zh-CN"/>
        </w:rPr>
        <w:t>商务技术文件</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_Toc24172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55</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4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_Toc22070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报价文件</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_Toc22070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68</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pStyle w:val="38"/>
        <w:tabs>
          <w:tab w:val="right" w:leader="dot" w:pos="8730"/>
        </w:tabs>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aps/>
          <w:color w:val="auto"/>
          <w:sz w:val="24"/>
          <w:szCs w:val="24"/>
          <w:highlight w:val="none"/>
        </w:rPr>
        <w:fldChar w:fldCharType="begin"/>
      </w:r>
      <w:r>
        <w:rPr>
          <w:rFonts w:hint="eastAsia" w:ascii="仿宋_GB2312" w:hAnsi="仿宋_GB2312" w:eastAsia="仿宋_GB2312" w:cs="仿宋_GB2312"/>
          <w:b w:val="0"/>
          <w:bCs w:val="0"/>
          <w:caps/>
          <w:sz w:val="24"/>
          <w:szCs w:val="24"/>
          <w:highlight w:val="none"/>
        </w:rPr>
        <w:instrText xml:space="preserve"> HYPERLINK \l _Toc18885 </w:instrText>
      </w:r>
      <w:r>
        <w:rPr>
          <w:rFonts w:hint="eastAsia" w:ascii="仿宋_GB2312" w:hAnsi="仿宋_GB2312" w:eastAsia="仿宋_GB2312" w:cs="仿宋_GB2312"/>
          <w:b w:val="0"/>
          <w:bCs w:val="0"/>
          <w:caps/>
          <w:sz w:val="24"/>
          <w:szCs w:val="24"/>
          <w:highlight w:val="none"/>
        </w:rPr>
        <w:fldChar w:fldCharType="separate"/>
      </w:r>
      <w:r>
        <w:rPr>
          <w:rFonts w:hint="eastAsia" w:ascii="仿宋_GB2312" w:hAnsi="仿宋_GB2312" w:eastAsia="仿宋_GB2312" w:cs="仿宋_GB2312"/>
          <w:b w:val="0"/>
          <w:bCs w:val="0"/>
          <w:sz w:val="24"/>
          <w:szCs w:val="24"/>
          <w:highlight w:val="none"/>
        </w:rPr>
        <w:t>第七</w:t>
      </w:r>
      <w:r>
        <w:rPr>
          <w:rFonts w:hint="eastAsia" w:ascii="仿宋_GB2312" w:hAnsi="仿宋_GB2312" w:eastAsia="仿宋_GB2312" w:cs="仿宋_GB2312"/>
          <w:b w:val="0"/>
          <w:bCs w:val="0"/>
          <w:sz w:val="24"/>
          <w:szCs w:val="24"/>
          <w:highlight w:val="none"/>
          <w:lang w:val="en-US" w:eastAsia="zh-CN"/>
        </w:rPr>
        <w:t>章</w:t>
      </w:r>
      <w:r>
        <w:rPr>
          <w:rFonts w:hint="eastAsia" w:ascii="仿宋_GB2312" w:hAnsi="仿宋_GB2312" w:eastAsia="仿宋_GB2312" w:cs="仿宋_GB2312"/>
          <w:b w:val="0"/>
          <w:bCs w:val="0"/>
          <w:sz w:val="24"/>
          <w:szCs w:val="24"/>
          <w:highlight w:val="none"/>
        </w:rPr>
        <w:t xml:space="preserve">  其他</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fldChar w:fldCharType="begin"/>
      </w:r>
      <w:r>
        <w:rPr>
          <w:rFonts w:hint="eastAsia" w:ascii="仿宋_GB2312" w:hAnsi="仿宋_GB2312" w:eastAsia="仿宋_GB2312" w:cs="仿宋_GB2312"/>
          <w:b w:val="0"/>
          <w:bCs w:val="0"/>
          <w:sz w:val="24"/>
          <w:szCs w:val="24"/>
          <w:highlight w:val="none"/>
        </w:rPr>
        <w:instrText xml:space="preserve"> PAGEREF _Toc18885 \h </w:instrText>
      </w:r>
      <w:r>
        <w:rPr>
          <w:rFonts w:hint="eastAsia" w:ascii="仿宋_GB2312" w:hAnsi="仿宋_GB2312" w:eastAsia="仿宋_GB2312" w:cs="仿宋_GB2312"/>
          <w:b w:val="0"/>
          <w:bCs w:val="0"/>
          <w:sz w:val="24"/>
          <w:szCs w:val="24"/>
          <w:highlight w:val="none"/>
        </w:rPr>
        <w:fldChar w:fldCharType="separate"/>
      </w:r>
      <w:r>
        <w:rPr>
          <w:rFonts w:hint="eastAsia" w:ascii="仿宋_GB2312" w:hAnsi="仿宋_GB2312" w:eastAsia="仿宋_GB2312" w:cs="仿宋_GB2312"/>
          <w:b w:val="0"/>
          <w:bCs w:val="0"/>
          <w:sz w:val="24"/>
          <w:szCs w:val="24"/>
          <w:highlight w:val="none"/>
        </w:rPr>
        <w:t>73</w:t>
      </w:r>
      <w:r>
        <w:rPr>
          <w:rFonts w:hint="eastAsia" w:ascii="仿宋_GB2312" w:hAnsi="仿宋_GB2312" w:eastAsia="仿宋_GB2312" w:cs="仿宋_GB2312"/>
          <w:b w:val="0"/>
          <w:bCs w:val="0"/>
          <w:sz w:val="24"/>
          <w:szCs w:val="24"/>
          <w:highlight w:val="none"/>
        </w:rPr>
        <w:fldChar w:fldCharType="end"/>
      </w:r>
      <w:r>
        <w:rPr>
          <w:rFonts w:hint="eastAsia" w:ascii="仿宋_GB2312" w:hAnsi="仿宋_GB2312" w:eastAsia="仿宋_GB2312" w:cs="仿宋_GB2312"/>
          <w:b w:val="0"/>
          <w:bCs w:val="0"/>
          <w:caps/>
          <w:color w:val="auto"/>
          <w:sz w:val="24"/>
          <w:szCs w:val="24"/>
          <w:highlight w:val="none"/>
        </w:rPr>
        <w:fldChar w:fldCharType="end"/>
      </w:r>
    </w:p>
    <w:p>
      <w:pPr>
        <w:spacing w:line="312" w:lineRule="auto"/>
        <w:rPr>
          <w:rFonts w:hint="eastAsia" w:ascii="仿宋_GB2312" w:hAnsi="仿宋_GB2312" w:eastAsia="仿宋_GB2312" w:cs="仿宋_GB2312"/>
          <w:caps/>
          <w:color w:val="auto"/>
          <w:szCs w:val="21"/>
          <w:highlight w:val="none"/>
        </w:rPr>
      </w:pPr>
      <w:r>
        <w:rPr>
          <w:rFonts w:hint="eastAsia" w:ascii="仿宋_GB2312" w:hAnsi="仿宋_GB2312" w:eastAsia="仿宋_GB2312" w:cs="仿宋_GB2312"/>
          <w:b w:val="0"/>
          <w:bCs w:val="0"/>
          <w:caps/>
          <w:color w:val="auto"/>
          <w:sz w:val="24"/>
          <w:szCs w:val="24"/>
          <w:highlight w:val="none"/>
        </w:rPr>
        <w:fldChar w:fldCharType="end"/>
      </w:r>
      <w:bookmarkStart w:id="0" w:name="_Toc272129957"/>
    </w:p>
    <w:p>
      <w:pPr>
        <w:spacing w:line="360" w:lineRule="auto"/>
        <w:rPr>
          <w:rFonts w:hint="eastAsia" w:ascii="仿宋_GB2312" w:hAnsi="仿宋_GB2312" w:eastAsia="仿宋_GB2312" w:cs="仿宋_GB2312"/>
          <w:caps/>
          <w:color w:val="auto"/>
          <w:sz w:val="24"/>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18" w:right="1588" w:bottom="1418" w:left="1588" w:header="851" w:footer="851" w:gutter="0"/>
          <w:pgBorders>
            <w:top w:val="none" w:sz="0" w:space="0"/>
            <w:left w:val="none" w:sz="0" w:space="0"/>
            <w:bottom w:val="none" w:sz="0" w:space="0"/>
            <w:right w:val="none" w:sz="0" w:space="0"/>
          </w:pgBorders>
          <w:cols w:space="720" w:num="1"/>
          <w:docGrid w:linePitch="312" w:charSpace="0"/>
        </w:sectPr>
      </w:pPr>
    </w:p>
    <w:p>
      <w:pPr>
        <w:rPr>
          <w:rFonts w:hint="eastAsia" w:ascii="仿宋_GB2312" w:hAnsi="仿宋_GB2312" w:eastAsia="仿宋_GB2312" w:cs="仿宋_GB2312"/>
          <w:color w:val="auto"/>
          <w:highlight w:val="none"/>
        </w:rPr>
      </w:pPr>
    </w:p>
    <w:p>
      <w:pPr>
        <w:pStyle w:val="2"/>
        <w:snapToGrid w:val="0"/>
        <w:spacing w:before="120" w:beforeLines="50" w:after="120" w:afterLines="50" w:line="360" w:lineRule="auto"/>
        <w:rPr>
          <w:rFonts w:hint="eastAsia" w:ascii="仿宋_GB2312" w:hAnsi="仿宋_GB2312" w:eastAsia="仿宋_GB2312" w:cs="仿宋_GB2312"/>
          <w:color w:val="auto"/>
          <w:sz w:val="32"/>
          <w:szCs w:val="20"/>
          <w:highlight w:val="none"/>
        </w:rPr>
      </w:pPr>
      <w:bookmarkStart w:id="1" w:name="_Toc21364"/>
      <w:r>
        <w:rPr>
          <w:rFonts w:hint="eastAsia" w:ascii="仿宋_GB2312" w:hAnsi="仿宋_GB2312" w:eastAsia="仿宋_GB2312" w:cs="仿宋_GB2312"/>
          <w:color w:val="auto"/>
          <w:sz w:val="32"/>
          <w:highlight w:val="none"/>
        </w:rPr>
        <w:t>第一</w:t>
      </w:r>
      <w:r>
        <w:rPr>
          <w:rFonts w:hint="eastAsia" w:ascii="仿宋_GB2312" w:hAnsi="仿宋_GB2312" w:eastAsia="仿宋_GB2312" w:cs="仿宋_GB2312"/>
          <w:color w:val="auto"/>
          <w:sz w:val="32"/>
          <w:highlight w:val="none"/>
          <w:lang w:val="en-US" w:eastAsia="zh-CN"/>
        </w:rPr>
        <w:t>章</w:t>
      </w:r>
      <w:r>
        <w:rPr>
          <w:rFonts w:hint="eastAsia" w:ascii="仿宋_GB2312" w:hAnsi="仿宋_GB2312" w:eastAsia="仿宋_GB2312" w:cs="仿宋_GB2312"/>
          <w:color w:val="auto"/>
          <w:sz w:val="32"/>
          <w:highlight w:val="none"/>
        </w:rPr>
        <w:t xml:space="preserve">  </w:t>
      </w:r>
      <w:bookmarkEnd w:id="0"/>
      <w:r>
        <w:rPr>
          <w:rFonts w:hint="eastAsia" w:ascii="仿宋_GB2312" w:hAnsi="仿宋_GB2312" w:eastAsia="仿宋_GB2312" w:cs="仿宋_GB2312"/>
          <w:color w:val="auto"/>
          <w:sz w:val="32"/>
          <w:highlight w:val="none"/>
        </w:rPr>
        <w:t>竞争性磋商公告</w:t>
      </w:r>
      <w:bookmarkEnd w:id="1"/>
    </w:p>
    <w:p>
      <w:pPr>
        <w:spacing w:line="312" w:lineRule="auto"/>
        <w:rPr>
          <w:rFonts w:hint="eastAsia" w:ascii="仿宋_GB2312" w:hAnsi="仿宋_GB2312" w:eastAsia="仿宋_GB2312" w:cs="仿宋_GB2312"/>
          <w:color w:val="auto"/>
          <w:sz w:val="24"/>
          <w:highlight w:val="none"/>
        </w:rPr>
      </w:pPr>
    </w:p>
    <w:p>
      <w:pPr>
        <w:pBdr>
          <w:top w:val="single" w:color="auto" w:sz="4" w:space="1"/>
          <w:left w:val="single" w:color="auto" w:sz="4" w:space="4"/>
          <w:bottom w:val="single" w:color="auto" w:sz="4" w:space="1"/>
          <w:right w:val="single" w:color="auto" w:sz="4" w:space="4"/>
        </w:pBd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12" w:lineRule="auto"/>
        <w:ind w:firstLine="482"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kern w:val="0"/>
          <w:sz w:val="24"/>
          <w:highlight w:val="none"/>
          <w:u w:val="single"/>
          <w:lang w:eastAsia="zh-CN"/>
        </w:rPr>
        <w:t>浙江文化数据库内容建设项目（红色经典文学数据资源）</w:t>
      </w:r>
      <w:r>
        <w:rPr>
          <w:rFonts w:hint="eastAsia" w:ascii="仿宋_GB2312" w:hAnsi="仿宋_GB2312" w:eastAsia="仿宋_GB2312" w:cs="仿宋_GB2312"/>
          <w:color w:val="auto"/>
          <w:sz w:val="24"/>
          <w:highlight w:val="none"/>
        </w:rPr>
        <w:t>采购项目的潜在供应商应在</w:t>
      </w:r>
      <w:r>
        <w:rPr>
          <w:rFonts w:hint="eastAsia" w:ascii="仿宋_GB2312" w:hAnsi="仿宋_GB2312" w:eastAsia="仿宋_GB2312" w:cs="仿宋_GB2312"/>
          <w:color w:val="auto"/>
          <w:sz w:val="24"/>
          <w:highlight w:val="none"/>
          <w:u w:val="single"/>
        </w:rPr>
        <w:t>政采云平台（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"https://www.zcygov.cn/" </w:instrText>
      </w:r>
      <w:r>
        <w:rPr>
          <w:rFonts w:hint="eastAsia" w:ascii="仿宋_GB2312" w:hAnsi="仿宋_GB2312" w:eastAsia="仿宋_GB2312" w:cs="仿宋_GB2312"/>
          <w:color w:val="auto"/>
          <w:highlight w:val="none"/>
        </w:rPr>
        <w:fldChar w:fldCharType="separate"/>
      </w:r>
      <w:r>
        <w:rPr>
          <w:rStyle w:val="63"/>
          <w:rFonts w:hint="eastAsia" w:ascii="仿宋_GB2312" w:hAnsi="仿宋_GB2312" w:eastAsia="仿宋_GB2312" w:cs="仿宋_GB2312"/>
          <w:color w:val="auto"/>
          <w:sz w:val="24"/>
          <w:highlight w:val="none"/>
        </w:rPr>
        <w:t>https://www.zcygov.cn/</w:t>
      </w:r>
      <w:r>
        <w:rPr>
          <w:rStyle w:val="63"/>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获取采购文件，并于</w:t>
      </w:r>
      <w:r>
        <w:rPr>
          <w:rFonts w:hint="eastAsia" w:ascii="仿宋_GB2312" w:hAnsi="仿宋_GB2312" w:eastAsia="仿宋_GB2312" w:cs="仿宋_GB2312"/>
          <w:color w:val="auto"/>
          <w:sz w:val="24"/>
          <w:highlight w:val="none"/>
          <w:u w:val="single"/>
        </w:rPr>
        <w:t>2024</w:t>
      </w:r>
      <w:r>
        <w:rPr>
          <w:rFonts w:hint="eastAsia" w:ascii="仿宋_GB2312" w:hAnsi="仿宋_GB2312" w:eastAsia="仿宋_GB2312" w:cs="仿宋_GB2312"/>
          <w:bCs/>
          <w:color w:val="auto"/>
          <w:sz w:val="24"/>
          <w:highlight w:val="none"/>
          <w:u w:val="single"/>
        </w:rPr>
        <w:t>年</w:t>
      </w:r>
      <w:r>
        <w:rPr>
          <w:rFonts w:hint="eastAsia" w:ascii="仿宋_GB2312" w:hAnsi="仿宋_GB2312" w:eastAsia="仿宋_GB2312" w:cs="仿宋_GB2312"/>
          <w:bCs/>
          <w:color w:val="auto"/>
          <w:sz w:val="24"/>
          <w:highlight w:val="none"/>
          <w:u w:val="single"/>
          <w:lang w:val="en-US" w:eastAsia="zh-CN"/>
        </w:rPr>
        <w:t>11</w:t>
      </w:r>
      <w:r>
        <w:rPr>
          <w:rFonts w:hint="eastAsia" w:ascii="仿宋_GB2312" w:hAnsi="仿宋_GB2312" w:eastAsia="仿宋_GB2312" w:cs="仿宋_GB2312"/>
          <w:bCs/>
          <w:color w:val="auto"/>
          <w:sz w:val="24"/>
          <w:highlight w:val="none"/>
          <w:u w:val="single"/>
        </w:rPr>
        <w:t>月</w:t>
      </w:r>
      <w:r>
        <w:rPr>
          <w:rFonts w:hint="eastAsia" w:ascii="仿宋_GB2312" w:hAnsi="仿宋_GB2312" w:eastAsia="仿宋_GB2312" w:cs="仿宋_GB2312"/>
          <w:bCs/>
          <w:color w:val="auto"/>
          <w:sz w:val="24"/>
          <w:highlight w:val="none"/>
          <w:u w:val="single"/>
          <w:lang w:val="en-US" w:eastAsia="zh-CN"/>
        </w:rPr>
        <w:t>25</w:t>
      </w:r>
      <w:r>
        <w:rPr>
          <w:rFonts w:hint="eastAsia" w:ascii="仿宋_GB2312" w:hAnsi="仿宋_GB2312" w:eastAsia="仿宋_GB2312" w:cs="仿宋_GB2312"/>
          <w:bCs/>
          <w:color w:val="auto"/>
          <w:sz w:val="24"/>
          <w:highlight w:val="none"/>
          <w:u w:val="single"/>
        </w:rPr>
        <w:t>日</w:t>
      </w:r>
      <w:r>
        <w:rPr>
          <w:rFonts w:hint="eastAsia" w:ascii="仿宋_GB2312" w:hAnsi="仿宋_GB2312" w:eastAsia="仿宋_GB2312" w:cs="仿宋_GB2312"/>
          <w:bCs/>
          <w:color w:val="auto"/>
          <w:sz w:val="24"/>
          <w:highlight w:val="none"/>
          <w:u w:val="single"/>
          <w:lang w:val="en-US" w:eastAsia="zh-CN"/>
        </w:rPr>
        <w:t>09</w:t>
      </w:r>
      <w:r>
        <w:rPr>
          <w:rFonts w:hint="eastAsia" w:ascii="仿宋_GB2312" w:hAnsi="仿宋_GB2312" w:eastAsia="仿宋_GB2312" w:cs="仿宋_GB2312"/>
          <w:bCs/>
          <w:color w:val="auto"/>
          <w:sz w:val="24"/>
          <w:highlight w:val="none"/>
          <w:u w:val="single"/>
        </w:rPr>
        <w:t>点</w:t>
      </w:r>
      <w:r>
        <w:rPr>
          <w:rFonts w:hint="eastAsia" w:ascii="仿宋_GB2312" w:hAnsi="仿宋_GB2312" w:eastAsia="仿宋_GB2312" w:cs="仿宋_GB2312"/>
          <w:bCs/>
          <w:color w:val="auto"/>
          <w:sz w:val="24"/>
          <w:highlight w:val="none"/>
          <w:u w:val="single"/>
          <w:lang w:val="en-US" w:eastAsia="zh-CN"/>
        </w:rPr>
        <w:t>00</w:t>
      </w:r>
      <w:r>
        <w:rPr>
          <w:rFonts w:hint="eastAsia" w:ascii="仿宋_GB2312" w:hAnsi="仿宋_GB2312" w:eastAsia="仿宋_GB2312" w:cs="仿宋_GB2312"/>
          <w:bCs/>
          <w:color w:val="auto"/>
          <w:sz w:val="24"/>
          <w:highlight w:val="none"/>
          <w:u w:val="single"/>
        </w:rPr>
        <w:t>分00秒</w:t>
      </w:r>
      <w:r>
        <w:rPr>
          <w:rFonts w:hint="eastAsia" w:ascii="仿宋_GB2312" w:hAnsi="仿宋_GB2312" w:eastAsia="仿宋_GB2312" w:cs="仿宋_GB2312"/>
          <w:bCs/>
          <w:color w:val="auto"/>
          <w:sz w:val="24"/>
          <w:highlight w:val="none"/>
        </w:rPr>
        <w:t>（北京时间）前提交响应文件</w:t>
      </w:r>
      <w:r>
        <w:rPr>
          <w:rFonts w:hint="eastAsia" w:ascii="仿宋_GB2312" w:hAnsi="仿宋_GB2312" w:eastAsia="仿宋_GB2312" w:cs="仿宋_GB2312"/>
          <w:color w:val="auto"/>
          <w:sz w:val="24"/>
          <w:highlight w:val="none"/>
        </w:rPr>
        <w:t>。</w:t>
      </w:r>
    </w:p>
    <w:p>
      <w:pPr>
        <w:spacing w:line="312" w:lineRule="auto"/>
        <w:rPr>
          <w:rFonts w:hint="eastAsia" w:ascii="仿宋_GB2312" w:hAnsi="仿宋_GB2312" w:eastAsia="仿宋_GB2312" w:cs="仿宋_GB2312"/>
          <w:color w:val="auto"/>
          <w:sz w:val="24"/>
          <w:highlight w:val="none"/>
        </w:rPr>
      </w:pPr>
    </w:p>
    <w:p>
      <w:pPr>
        <w:spacing w:line="312" w:lineRule="auto"/>
        <w:rPr>
          <w:rFonts w:hint="eastAsia" w:ascii="仿宋_GB2312" w:hAnsi="仿宋_GB2312" w:eastAsia="仿宋_GB2312" w:cs="仿宋_GB2312"/>
          <w:b/>
          <w:bCs/>
          <w:color w:val="auto"/>
          <w:kern w:val="0"/>
          <w:sz w:val="24"/>
          <w:highlight w:val="none"/>
        </w:rPr>
      </w:pPr>
      <w:bookmarkStart w:id="2" w:name="_Toc35393798"/>
      <w:bookmarkStart w:id="3" w:name="_Toc28359089"/>
      <w:bookmarkStart w:id="4" w:name="_Toc35393629"/>
      <w:bookmarkStart w:id="5" w:name="_Toc28359012"/>
      <w:r>
        <w:rPr>
          <w:rFonts w:hint="eastAsia" w:ascii="仿宋_GB2312" w:hAnsi="仿宋_GB2312" w:eastAsia="仿宋_GB2312" w:cs="仿宋_GB2312"/>
          <w:b/>
          <w:bCs/>
          <w:color w:val="auto"/>
          <w:kern w:val="0"/>
          <w:sz w:val="24"/>
          <w:highlight w:val="none"/>
        </w:rPr>
        <w:t>一、项目基本情况</w:t>
      </w:r>
      <w:bookmarkEnd w:id="2"/>
      <w:bookmarkEnd w:id="3"/>
      <w:bookmarkEnd w:id="4"/>
      <w:bookmarkEnd w:id="5"/>
    </w:p>
    <w:p>
      <w:pPr>
        <w:spacing w:line="312" w:lineRule="auto"/>
        <w:ind w:firstLine="482"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color w:val="auto"/>
          <w:sz w:val="24"/>
          <w:highlight w:val="none"/>
        </w:rPr>
        <w:t>项目编号：</w:t>
      </w:r>
      <w:r>
        <w:rPr>
          <w:rFonts w:hint="eastAsia" w:ascii="仿宋_GB2312" w:hAnsi="仿宋_GB2312" w:eastAsia="仿宋_GB2312" w:cs="仿宋_GB2312"/>
          <w:b/>
          <w:color w:val="auto"/>
          <w:sz w:val="24"/>
          <w:highlight w:val="none"/>
          <w:lang w:val="zh-CN"/>
        </w:rPr>
        <w:t>ZJ</w:t>
      </w:r>
      <w:r>
        <w:rPr>
          <w:rFonts w:hint="eastAsia" w:ascii="仿宋_GB2312" w:hAnsi="仿宋_GB2312" w:eastAsia="仿宋_GB2312" w:cs="仿宋_GB2312"/>
          <w:b/>
          <w:color w:val="auto"/>
          <w:sz w:val="24"/>
          <w:highlight w:val="none"/>
          <w:lang w:val="en-US" w:eastAsia="zh-CN"/>
        </w:rPr>
        <w:t>-</w:t>
      </w:r>
      <w:r>
        <w:rPr>
          <w:rFonts w:hint="eastAsia" w:ascii="仿宋_GB2312" w:hAnsi="仿宋_GB2312" w:eastAsia="仿宋_GB2312" w:cs="仿宋_GB2312"/>
          <w:b/>
          <w:color w:val="auto"/>
          <w:sz w:val="24"/>
          <w:highlight w:val="none"/>
          <w:lang w:val="zh-CN"/>
        </w:rPr>
        <w:t>246</w:t>
      </w:r>
      <w:r>
        <w:rPr>
          <w:rFonts w:hint="eastAsia" w:ascii="仿宋_GB2312" w:hAnsi="仿宋_GB2312" w:eastAsia="仿宋_GB2312" w:cs="仿宋_GB2312"/>
          <w:b/>
          <w:color w:val="auto"/>
          <w:sz w:val="24"/>
          <w:highlight w:val="none"/>
          <w:lang w:val="en-US" w:eastAsia="zh-CN"/>
        </w:rPr>
        <w:t>3204</w:t>
      </w:r>
    </w:p>
    <w:p>
      <w:pPr>
        <w:spacing w:line="312"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p>
    <w:p>
      <w:pPr>
        <w:spacing w:line="312" w:lineRule="auto"/>
        <w:ind w:firstLine="482" w:firstLineChars="200"/>
        <w:rPr>
          <w:rFonts w:hint="eastAsia" w:ascii="仿宋_GB2312" w:hAnsi="仿宋_GB2312" w:eastAsia="仿宋_GB2312" w:cs="仿宋_GB2312"/>
          <w:b w:val="0"/>
          <w:bCs/>
          <w:color w:val="auto"/>
          <w:sz w:val="24"/>
          <w:highlight w:val="none"/>
          <w:lang w:eastAsia="zh-CN"/>
        </w:rPr>
      </w:pPr>
      <w:r>
        <w:rPr>
          <w:rFonts w:hint="eastAsia" w:ascii="仿宋_GB2312" w:hAnsi="仿宋_GB2312" w:eastAsia="仿宋_GB2312" w:cs="仿宋_GB2312"/>
          <w:b/>
          <w:color w:val="auto"/>
          <w:sz w:val="24"/>
          <w:highlight w:val="none"/>
        </w:rPr>
        <w:t>项目名称：</w:t>
      </w:r>
      <w:r>
        <w:rPr>
          <w:rFonts w:hint="eastAsia" w:ascii="仿宋_GB2312" w:hAnsi="仿宋_GB2312" w:eastAsia="仿宋_GB2312" w:cs="仿宋_GB2312"/>
          <w:b w:val="0"/>
          <w:bCs/>
          <w:color w:val="auto"/>
          <w:sz w:val="24"/>
          <w:highlight w:val="none"/>
          <w:lang w:eastAsia="zh-CN"/>
        </w:rPr>
        <w:t>浙江文化数据库内容建设项目（红色经典文学数据资源）</w:t>
      </w:r>
    </w:p>
    <w:p>
      <w:pPr>
        <w:spacing w:line="312"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采购方式：</w:t>
      </w:r>
      <w:r>
        <w:rPr>
          <w:rFonts w:hint="eastAsia" w:ascii="仿宋_GB2312" w:hAnsi="仿宋_GB2312" w:eastAsia="仿宋_GB2312" w:cs="仿宋_GB2312"/>
          <w:color w:val="auto"/>
          <w:sz w:val="24"/>
          <w:highlight w:val="none"/>
        </w:rPr>
        <w:t>竞争性磋商</w:t>
      </w:r>
    </w:p>
    <w:p>
      <w:pPr>
        <w:spacing w:line="312" w:lineRule="auto"/>
        <w:ind w:firstLine="482" w:firstLineChars="200"/>
        <w:rPr>
          <w:rFonts w:hint="eastAsia"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color w:val="auto"/>
          <w:sz w:val="24"/>
          <w:highlight w:val="none"/>
        </w:rPr>
        <w:t>预算金额（元）：</w:t>
      </w:r>
      <w:r>
        <w:rPr>
          <w:rFonts w:hint="eastAsia" w:ascii="仿宋_GB2312" w:hAnsi="仿宋_GB2312" w:eastAsia="仿宋_GB2312" w:cs="仿宋_GB2312"/>
          <w:b/>
          <w:color w:val="auto"/>
          <w:sz w:val="24"/>
          <w:highlight w:val="none"/>
          <w:lang w:val="en-US" w:eastAsia="zh-CN"/>
        </w:rPr>
        <w:t>600000.00</w:t>
      </w:r>
    </w:p>
    <w:p>
      <w:pPr>
        <w:spacing w:line="312" w:lineRule="auto"/>
        <w:ind w:firstLine="482"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color w:val="auto"/>
          <w:sz w:val="24"/>
          <w:highlight w:val="none"/>
        </w:rPr>
        <w:t>最高限价（元）：</w:t>
      </w:r>
      <w:r>
        <w:rPr>
          <w:rFonts w:hint="eastAsia" w:ascii="仿宋_GB2312" w:hAnsi="仿宋_GB2312" w:eastAsia="仿宋_GB2312" w:cs="仿宋_GB2312"/>
          <w:b/>
          <w:color w:val="auto"/>
          <w:sz w:val="24"/>
          <w:highlight w:val="none"/>
          <w:lang w:val="en-US" w:eastAsia="zh-CN"/>
        </w:rPr>
        <w:t>600000.00</w:t>
      </w:r>
    </w:p>
    <w:p>
      <w:pPr>
        <w:spacing w:line="312"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采购需求：</w:t>
      </w:r>
    </w:p>
    <w:p>
      <w:pPr>
        <w:spacing w:line="312" w:lineRule="auto"/>
        <w:ind w:firstLine="480" w:firstLineChars="200"/>
        <w:rPr>
          <w:rFonts w:hint="eastAsia" w:ascii="仿宋_GB2312" w:hAnsi="仿宋_GB2312" w:eastAsia="仿宋_GB2312" w:cs="仿宋_GB2312"/>
          <w:bCs/>
          <w:color w:val="auto"/>
          <w:sz w:val="24"/>
          <w:highlight w:val="none"/>
        </w:rPr>
      </w:pPr>
    </w:p>
    <w:p>
      <w:pPr>
        <w:spacing w:line="312" w:lineRule="auto"/>
        <w:ind w:firstLine="482"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数量：</w:t>
      </w:r>
      <w:r>
        <w:rPr>
          <w:rFonts w:hint="eastAsia" w:ascii="仿宋_GB2312" w:hAnsi="仿宋_GB2312" w:eastAsia="仿宋_GB2312" w:cs="仿宋_GB2312"/>
          <w:bCs/>
          <w:color w:val="auto"/>
          <w:sz w:val="24"/>
          <w:highlight w:val="none"/>
        </w:rPr>
        <w:t>1</w:t>
      </w:r>
    </w:p>
    <w:p>
      <w:pPr>
        <w:spacing w:line="312" w:lineRule="auto"/>
        <w:ind w:firstLine="482" w:firstLineChars="200"/>
        <w:rPr>
          <w:rFonts w:hint="eastAsia"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color w:val="auto"/>
          <w:sz w:val="24"/>
          <w:highlight w:val="none"/>
        </w:rPr>
        <w:t>预算金额（元）：</w:t>
      </w:r>
      <w:r>
        <w:rPr>
          <w:rFonts w:hint="eastAsia" w:ascii="仿宋_GB2312" w:hAnsi="仿宋_GB2312" w:eastAsia="仿宋_GB2312" w:cs="仿宋_GB2312"/>
          <w:b w:val="0"/>
          <w:bCs/>
          <w:color w:val="auto"/>
          <w:sz w:val="24"/>
          <w:highlight w:val="none"/>
          <w:lang w:val="en-US" w:eastAsia="zh-CN"/>
        </w:rPr>
        <w:t>600000.00</w:t>
      </w:r>
    </w:p>
    <w:p>
      <w:pPr>
        <w:spacing w:line="312" w:lineRule="auto"/>
        <w:ind w:firstLine="482"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单位：</w:t>
      </w:r>
      <w:r>
        <w:rPr>
          <w:rFonts w:hint="eastAsia" w:ascii="仿宋_GB2312" w:hAnsi="仿宋_GB2312" w:eastAsia="仿宋_GB2312" w:cs="仿宋_GB2312"/>
          <w:bCs/>
          <w:color w:val="auto"/>
          <w:sz w:val="24"/>
          <w:highlight w:val="none"/>
        </w:rPr>
        <w:t>项</w:t>
      </w:r>
    </w:p>
    <w:p>
      <w:pPr>
        <w:spacing w:line="312" w:lineRule="auto"/>
        <w:ind w:firstLine="482"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简要规格描述</w:t>
      </w:r>
      <w:r>
        <w:rPr>
          <w:rFonts w:hint="eastAsia" w:ascii="仿宋_GB2312" w:hAnsi="仿宋_GB2312" w:eastAsia="仿宋_GB2312" w:cs="仿宋_GB2312"/>
          <w:b w:val="0"/>
          <w:bCs/>
          <w:color w:val="auto"/>
          <w:sz w:val="24"/>
          <w:highlight w:val="none"/>
        </w:rPr>
        <w:t>：浙江文化数据库内容建设项目（红色经典文学数据资源），主要包含制作左翼作家知识图谱、对红色经典文学资源和浙江文学地标相关的手稿、图片、文献、美术作品等进行数字化采集、设计制作1套实体展相同主题、内容的数字虚拟展。</w:t>
      </w:r>
      <w:r>
        <w:rPr>
          <w:rFonts w:hint="eastAsia" w:ascii="仿宋_GB2312" w:hAnsi="仿宋_GB2312" w:eastAsia="仿宋_GB2312" w:cs="仿宋_GB2312"/>
          <w:color w:val="auto"/>
          <w:sz w:val="24"/>
          <w:highlight w:val="none"/>
        </w:rPr>
        <w:t>具体以采购文件第三部分采购需求为准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供应商可点击本公告下方“浏览采购文件”查看采购需求</w:t>
      </w:r>
      <w:r>
        <w:rPr>
          <w:rFonts w:hint="eastAsia" w:ascii="仿宋_GB2312" w:hAnsi="仿宋_GB2312" w:eastAsia="仿宋_GB2312" w:cs="仿宋_GB2312"/>
          <w:bCs/>
          <w:color w:val="auto"/>
          <w:sz w:val="24"/>
          <w:highlight w:val="none"/>
        </w:rPr>
        <w:t xml:space="preserve">。 </w:t>
      </w:r>
    </w:p>
    <w:p>
      <w:pPr>
        <w:spacing w:line="312"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备注： </w:t>
      </w:r>
    </w:p>
    <w:p>
      <w:pPr>
        <w:spacing w:line="312" w:lineRule="auto"/>
        <w:ind w:firstLine="482"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合同履约期限：</w:t>
      </w:r>
      <w:r>
        <w:rPr>
          <w:rFonts w:hint="eastAsia" w:ascii="仿宋_GB2312" w:hAnsi="仿宋_GB2312" w:eastAsia="仿宋_GB2312" w:cs="仿宋_GB2312"/>
          <w:bCs/>
          <w:color w:val="auto"/>
          <w:sz w:val="24"/>
          <w:highlight w:val="none"/>
        </w:rPr>
        <w:t>标项1，</w:t>
      </w:r>
      <w:r>
        <w:rPr>
          <w:rFonts w:hint="eastAsia" w:ascii="仿宋_GB2312" w:hAnsi="仿宋_GB2312" w:eastAsia="仿宋_GB2312" w:cs="仿宋_GB2312"/>
          <w:bCs/>
          <w:sz w:val="24"/>
          <w:highlight w:val="none"/>
        </w:rPr>
        <w:t>按照</w:t>
      </w:r>
      <w:r>
        <w:rPr>
          <w:rFonts w:hint="eastAsia" w:ascii="仿宋_GB2312" w:hAnsi="仿宋_GB2312" w:eastAsia="仿宋_GB2312" w:cs="仿宋_GB2312"/>
          <w:bCs/>
          <w:sz w:val="24"/>
          <w:highlight w:val="none"/>
          <w:lang w:val="en-US" w:eastAsia="zh-CN"/>
        </w:rPr>
        <w:t>磋商</w:t>
      </w:r>
      <w:r>
        <w:rPr>
          <w:rFonts w:hint="eastAsia" w:ascii="仿宋_GB2312" w:hAnsi="仿宋_GB2312" w:eastAsia="仿宋_GB2312" w:cs="仿宋_GB2312"/>
          <w:bCs/>
          <w:sz w:val="24"/>
          <w:highlight w:val="none"/>
        </w:rPr>
        <w:t>文件要求</w:t>
      </w:r>
      <w:r>
        <w:rPr>
          <w:rFonts w:hint="eastAsia" w:ascii="仿宋_GB2312" w:hAnsi="仿宋_GB2312" w:eastAsia="仿宋_GB2312" w:cs="仿宋_GB2312"/>
          <w:bCs/>
          <w:color w:val="auto"/>
          <w:sz w:val="24"/>
          <w:highlight w:val="none"/>
        </w:rPr>
        <w:t>。</w:t>
      </w:r>
    </w:p>
    <w:p>
      <w:pPr>
        <w:spacing w:line="312"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
          <w:color w:val="auto"/>
          <w:sz w:val="24"/>
          <w:highlight w:val="none"/>
          <w:lang w:eastAsia="zh-CN"/>
        </w:rPr>
        <w:t>是</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接受联合体投标。</w:t>
      </w:r>
    </w:p>
    <w:p>
      <w:pPr>
        <w:spacing w:line="312" w:lineRule="auto"/>
        <w:rPr>
          <w:rFonts w:hint="eastAsia" w:ascii="仿宋_GB2312" w:hAnsi="仿宋_GB2312" w:eastAsia="仿宋_GB2312" w:cs="仿宋_GB2312"/>
          <w:b/>
          <w:bCs/>
          <w:color w:val="auto"/>
          <w:kern w:val="0"/>
          <w:sz w:val="24"/>
          <w:highlight w:val="none"/>
        </w:rPr>
      </w:pPr>
      <w:bookmarkStart w:id="6" w:name="_Toc28359013"/>
      <w:bookmarkStart w:id="7" w:name="_Toc35393799"/>
      <w:bookmarkStart w:id="8" w:name="_Toc35393630"/>
      <w:bookmarkStart w:id="9" w:name="_Toc28359090"/>
      <w:r>
        <w:rPr>
          <w:rFonts w:hint="eastAsia" w:ascii="仿宋_GB2312" w:hAnsi="仿宋_GB2312" w:eastAsia="仿宋_GB2312" w:cs="仿宋_GB2312"/>
          <w:b/>
          <w:bCs/>
          <w:color w:val="auto"/>
          <w:kern w:val="0"/>
          <w:sz w:val="24"/>
          <w:highlight w:val="none"/>
        </w:rPr>
        <w:t>二、申请人的资格要求：</w:t>
      </w:r>
      <w:bookmarkEnd w:id="6"/>
      <w:bookmarkEnd w:id="7"/>
      <w:bookmarkEnd w:id="8"/>
      <w:bookmarkEnd w:id="9"/>
    </w:p>
    <w:p>
      <w:pPr>
        <w:spacing w:line="312" w:lineRule="auto"/>
        <w:ind w:firstLine="48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12"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2.落实政府采购政策需满足的资格要求：标项1：无。</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pPr>
        <w:spacing w:line="312" w:lineRule="auto"/>
        <w:rPr>
          <w:rFonts w:hint="eastAsia" w:ascii="仿宋_GB2312" w:hAnsi="仿宋_GB2312" w:eastAsia="仿宋_GB2312" w:cs="仿宋_GB2312"/>
          <w:b/>
          <w:bCs/>
          <w:color w:val="auto"/>
          <w:kern w:val="0"/>
          <w:sz w:val="24"/>
          <w:highlight w:val="none"/>
        </w:rPr>
      </w:pPr>
      <w:bookmarkStart w:id="10" w:name="_Toc28359014"/>
      <w:bookmarkStart w:id="11" w:name="_Toc35393800"/>
      <w:bookmarkStart w:id="12" w:name="_Toc35393631"/>
      <w:bookmarkStart w:id="13" w:name="_Toc28359091"/>
      <w:r>
        <w:rPr>
          <w:rFonts w:hint="eastAsia" w:ascii="仿宋_GB2312" w:hAnsi="仿宋_GB2312" w:eastAsia="仿宋_GB2312" w:cs="仿宋_GB2312"/>
          <w:b/>
          <w:bCs/>
          <w:color w:val="auto"/>
          <w:kern w:val="0"/>
          <w:sz w:val="24"/>
          <w:highlight w:val="none"/>
        </w:rPr>
        <w:t>三、获取（下载）采购文件</w:t>
      </w:r>
      <w:bookmarkEnd w:id="10"/>
      <w:bookmarkEnd w:id="11"/>
      <w:bookmarkEnd w:id="12"/>
      <w:bookmarkEnd w:id="13"/>
    </w:p>
    <w:p>
      <w:pPr>
        <w:spacing w:line="312" w:lineRule="auto"/>
        <w:ind w:firstLine="54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rPr>
        <w:t>/至2024年</w:t>
      </w: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rPr>
        <w:t>日，每天上午00:00至12:00 ，下午12:00至23:59（北京时间，线上获取法定节假日均可，线下获取文件法定节假日除外）；</w:t>
      </w:r>
    </w:p>
    <w:p>
      <w:pPr>
        <w:spacing w:line="312" w:lineRule="auto"/>
        <w:ind w:firstLine="54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b w:val="0"/>
          <w:bCs/>
          <w:color w:val="auto"/>
          <w:sz w:val="24"/>
          <w:highlight w:val="none"/>
        </w:rPr>
        <w:t>政采云平台（</w:t>
      </w:r>
      <w:r>
        <w:rPr>
          <w:rFonts w:hint="eastAsia" w:ascii="仿宋_GB2312" w:hAnsi="仿宋_GB2312" w:eastAsia="仿宋_GB2312" w:cs="仿宋_GB2312"/>
          <w:b w:val="0"/>
          <w:bCs/>
          <w:color w:val="auto"/>
          <w:highlight w:val="none"/>
        </w:rPr>
        <w:fldChar w:fldCharType="begin"/>
      </w:r>
      <w:r>
        <w:rPr>
          <w:rFonts w:hint="eastAsia" w:ascii="仿宋_GB2312" w:hAnsi="仿宋_GB2312" w:eastAsia="仿宋_GB2312" w:cs="仿宋_GB2312"/>
          <w:b w:val="0"/>
          <w:bCs/>
          <w:color w:val="auto"/>
          <w:highlight w:val="none"/>
        </w:rPr>
        <w:instrText xml:space="preserve"> HYPERLINK "https://www.zcygov.cn/" </w:instrText>
      </w:r>
      <w:r>
        <w:rPr>
          <w:rFonts w:hint="eastAsia" w:ascii="仿宋_GB2312" w:hAnsi="仿宋_GB2312" w:eastAsia="仿宋_GB2312" w:cs="仿宋_GB2312"/>
          <w:b w:val="0"/>
          <w:bCs/>
          <w:color w:val="auto"/>
          <w:highlight w:val="none"/>
        </w:rPr>
        <w:fldChar w:fldCharType="separate"/>
      </w:r>
      <w:r>
        <w:rPr>
          <w:rStyle w:val="63"/>
          <w:rFonts w:hint="eastAsia" w:ascii="仿宋_GB2312" w:hAnsi="仿宋_GB2312" w:eastAsia="仿宋_GB2312" w:cs="仿宋_GB2312"/>
          <w:b w:val="0"/>
          <w:bCs/>
          <w:color w:val="auto"/>
          <w:sz w:val="24"/>
          <w:highlight w:val="none"/>
        </w:rPr>
        <w:t>https://www.zcygov.cn/</w:t>
      </w:r>
      <w:r>
        <w:rPr>
          <w:rStyle w:val="63"/>
          <w:rFonts w:hint="eastAsia" w:ascii="仿宋_GB2312" w:hAnsi="仿宋_GB2312" w:eastAsia="仿宋_GB2312" w:cs="仿宋_GB2312"/>
          <w:b w:val="0"/>
          <w:bCs/>
          <w:color w:val="auto"/>
          <w:sz w:val="24"/>
          <w:highlight w:val="none"/>
        </w:rPr>
        <w:fldChar w:fldCharType="end"/>
      </w:r>
      <w:r>
        <w:rPr>
          <w:rFonts w:hint="eastAsia" w:ascii="仿宋_GB2312" w:hAnsi="仿宋_GB2312" w:eastAsia="仿宋_GB2312" w:cs="仿宋_GB2312"/>
          <w:b w:val="0"/>
          <w:bCs/>
          <w:color w:val="auto"/>
          <w:sz w:val="24"/>
          <w:highlight w:val="none"/>
        </w:rPr>
        <w:t>）</w:t>
      </w:r>
    </w:p>
    <w:p>
      <w:pPr>
        <w:spacing w:line="312" w:lineRule="auto"/>
        <w:ind w:firstLine="54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供应商登录政采云平台https://www.zcygov.cn/在线申请获取采购文件（进入“项目采购”应用，在获取采购文件菜单中选择项目，申请获取采购文件）。</w:t>
      </w:r>
    </w:p>
    <w:p>
      <w:pPr>
        <w:spacing w:line="312" w:lineRule="auto"/>
        <w:ind w:firstLine="54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w:t>
      </w:r>
      <w:r>
        <w:rPr>
          <w:rFonts w:hint="eastAsia" w:ascii="仿宋_GB2312" w:hAnsi="仿宋_GB2312" w:eastAsia="仿宋_GB2312" w:cs="仿宋_GB2312"/>
          <w:color w:val="auto"/>
          <w:sz w:val="24"/>
          <w:highlight w:val="none"/>
        </w:rPr>
        <w:t>免费。</w:t>
      </w:r>
    </w:p>
    <w:p>
      <w:pPr>
        <w:spacing w:line="312" w:lineRule="auto"/>
        <w:rPr>
          <w:rFonts w:hint="eastAsia" w:ascii="仿宋_GB2312" w:hAnsi="仿宋_GB2312" w:eastAsia="仿宋_GB2312" w:cs="仿宋_GB2312"/>
          <w:b/>
          <w:bCs/>
          <w:color w:val="auto"/>
          <w:kern w:val="0"/>
          <w:sz w:val="24"/>
          <w:highlight w:val="none"/>
        </w:rPr>
      </w:pPr>
      <w:bookmarkStart w:id="14" w:name="_Toc35393801"/>
      <w:bookmarkStart w:id="15" w:name="_Toc35393632"/>
      <w:bookmarkStart w:id="16" w:name="_Toc28359092"/>
      <w:bookmarkStart w:id="17" w:name="_Toc28359015"/>
      <w:r>
        <w:rPr>
          <w:rFonts w:hint="eastAsia" w:ascii="仿宋_GB2312" w:hAnsi="仿宋_GB2312" w:eastAsia="仿宋_GB2312" w:cs="仿宋_GB2312"/>
          <w:b/>
          <w:bCs/>
          <w:color w:val="auto"/>
          <w:kern w:val="0"/>
          <w:sz w:val="24"/>
          <w:highlight w:val="none"/>
        </w:rPr>
        <w:t>四、响应文件提交</w:t>
      </w:r>
      <w:bookmarkEnd w:id="14"/>
      <w:bookmarkEnd w:id="15"/>
      <w:bookmarkEnd w:id="16"/>
      <w:bookmarkEnd w:id="17"/>
      <w:r>
        <w:rPr>
          <w:rFonts w:hint="eastAsia" w:ascii="仿宋_GB2312" w:hAnsi="仿宋_GB2312" w:eastAsia="仿宋_GB2312" w:cs="仿宋_GB2312"/>
          <w:b/>
          <w:bCs/>
          <w:color w:val="auto"/>
          <w:kern w:val="0"/>
          <w:sz w:val="24"/>
          <w:highlight w:val="none"/>
        </w:rPr>
        <w:t>（上传）</w:t>
      </w:r>
    </w:p>
    <w:p>
      <w:pPr>
        <w:spacing w:line="312" w:lineRule="auto"/>
        <w:ind w:firstLine="480"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color w:val="auto"/>
          <w:sz w:val="24"/>
          <w:highlight w:val="none"/>
        </w:rPr>
        <w:t>截止时间：</w:t>
      </w:r>
      <w:r>
        <w:rPr>
          <w:rFonts w:hint="eastAsia" w:ascii="仿宋_GB2312" w:hAnsi="仿宋_GB2312" w:eastAsia="仿宋_GB2312" w:cs="仿宋_GB2312"/>
          <w:color w:val="auto"/>
          <w:sz w:val="24"/>
          <w:highlight w:val="none"/>
          <w:u w:val="single"/>
        </w:rPr>
        <w:t>2024</w:t>
      </w:r>
      <w:r>
        <w:rPr>
          <w:rFonts w:hint="eastAsia" w:ascii="仿宋_GB2312" w:hAnsi="仿宋_GB2312" w:eastAsia="仿宋_GB2312" w:cs="仿宋_GB2312"/>
          <w:bCs/>
          <w:color w:val="auto"/>
          <w:sz w:val="24"/>
          <w:highlight w:val="none"/>
          <w:u w:val="single"/>
        </w:rPr>
        <w:t>年</w:t>
      </w:r>
      <w:r>
        <w:rPr>
          <w:rFonts w:hint="eastAsia" w:ascii="仿宋_GB2312" w:hAnsi="仿宋_GB2312" w:eastAsia="仿宋_GB2312" w:cs="仿宋_GB2312"/>
          <w:bCs/>
          <w:color w:val="auto"/>
          <w:sz w:val="24"/>
          <w:highlight w:val="none"/>
          <w:u w:val="single"/>
          <w:lang w:val="en-US" w:eastAsia="zh-CN"/>
        </w:rPr>
        <w:t>11</w:t>
      </w:r>
      <w:r>
        <w:rPr>
          <w:rFonts w:hint="eastAsia" w:ascii="仿宋_GB2312" w:hAnsi="仿宋_GB2312" w:eastAsia="仿宋_GB2312" w:cs="仿宋_GB2312"/>
          <w:bCs/>
          <w:color w:val="auto"/>
          <w:sz w:val="24"/>
          <w:highlight w:val="none"/>
          <w:u w:val="single"/>
        </w:rPr>
        <w:t>月</w:t>
      </w:r>
      <w:r>
        <w:rPr>
          <w:rFonts w:hint="eastAsia" w:ascii="仿宋_GB2312" w:hAnsi="仿宋_GB2312" w:eastAsia="仿宋_GB2312" w:cs="仿宋_GB2312"/>
          <w:bCs/>
          <w:color w:val="auto"/>
          <w:sz w:val="24"/>
          <w:highlight w:val="none"/>
          <w:u w:val="single"/>
          <w:lang w:val="en-US" w:eastAsia="zh-CN"/>
        </w:rPr>
        <w:t>25</w:t>
      </w:r>
      <w:r>
        <w:rPr>
          <w:rFonts w:hint="eastAsia" w:ascii="仿宋_GB2312" w:hAnsi="仿宋_GB2312" w:eastAsia="仿宋_GB2312" w:cs="仿宋_GB2312"/>
          <w:bCs/>
          <w:color w:val="auto"/>
          <w:sz w:val="24"/>
          <w:highlight w:val="none"/>
          <w:u w:val="single"/>
        </w:rPr>
        <w:t>日</w:t>
      </w:r>
      <w:r>
        <w:rPr>
          <w:rFonts w:hint="eastAsia" w:ascii="仿宋_GB2312" w:hAnsi="仿宋_GB2312" w:eastAsia="仿宋_GB2312" w:cs="仿宋_GB2312"/>
          <w:bCs/>
          <w:color w:val="auto"/>
          <w:sz w:val="24"/>
          <w:highlight w:val="none"/>
          <w:u w:val="single"/>
          <w:lang w:val="en-US" w:eastAsia="zh-CN"/>
        </w:rPr>
        <w:t>09</w:t>
      </w:r>
      <w:r>
        <w:rPr>
          <w:rFonts w:hint="eastAsia" w:ascii="仿宋_GB2312" w:hAnsi="仿宋_GB2312" w:eastAsia="仿宋_GB2312" w:cs="仿宋_GB2312"/>
          <w:bCs/>
          <w:color w:val="auto"/>
          <w:sz w:val="24"/>
          <w:highlight w:val="none"/>
          <w:u w:val="single"/>
        </w:rPr>
        <w:t>点</w:t>
      </w:r>
      <w:r>
        <w:rPr>
          <w:rFonts w:hint="eastAsia" w:ascii="仿宋_GB2312" w:hAnsi="仿宋_GB2312" w:eastAsia="仿宋_GB2312" w:cs="仿宋_GB2312"/>
          <w:bCs/>
          <w:color w:val="auto"/>
          <w:sz w:val="24"/>
          <w:highlight w:val="none"/>
          <w:u w:val="single"/>
          <w:lang w:val="en-US" w:eastAsia="zh-CN"/>
        </w:rPr>
        <w:t>00</w:t>
      </w:r>
      <w:r>
        <w:rPr>
          <w:rFonts w:hint="eastAsia" w:ascii="仿宋_GB2312" w:hAnsi="仿宋_GB2312" w:eastAsia="仿宋_GB2312" w:cs="仿宋_GB2312"/>
          <w:bCs/>
          <w:color w:val="auto"/>
          <w:sz w:val="24"/>
          <w:highlight w:val="none"/>
          <w:u w:val="single"/>
        </w:rPr>
        <w:t>分00秒</w:t>
      </w:r>
      <w:r>
        <w:rPr>
          <w:rFonts w:hint="eastAsia" w:ascii="仿宋_GB2312" w:hAnsi="仿宋_GB2312" w:eastAsia="仿宋_GB2312" w:cs="仿宋_GB2312"/>
          <w:bCs/>
          <w:color w:val="auto"/>
          <w:sz w:val="24"/>
          <w:highlight w:val="none"/>
        </w:rPr>
        <w:t>（北京时间）</w:t>
      </w:r>
    </w:p>
    <w:p>
      <w:pPr>
        <w:spacing w:line="312" w:lineRule="auto"/>
        <w:ind w:firstLine="480"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b w:val="0"/>
          <w:bCs/>
          <w:color w:val="auto"/>
          <w:sz w:val="24"/>
          <w:highlight w:val="none"/>
        </w:rPr>
        <w:t>政采云平台（</w:t>
      </w:r>
      <w:r>
        <w:rPr>
          <w:rFonts w:hint="eastAsia" w:ascii="仿宋_GB2312" w:hAnsi="仿宋_GB2312" w:eastAsia="仿宋_GB2312" w:cs="仿宋_GB2312"/>
          <w:b w:val="0"/>
          <w:bCs/>
          <w:color w:val="auto"/>
          <w:highlight w:val="none"/>
        </w:rPr>
        <w:fldChar w:fldCharType="begin"/>
      </w:r>
      <w:r>
        <w:rPr>
          <w:rFonts w:hint="eastAsia" w:ascii="仿宋_GB2312" w:hAnsi="仿宋_GB2312" w:eastAsia="仿宋_GB2312" w:cs="仿宋_GB2312"/>
          <w:b w:val="0"/>
          <w:bCs/>
          <w:color w:val="auto"/>
          <w:highlight w:val="none"/>
        </w:rPr>
        <w:instrText xml:space="preserve"> HYPERLINK "https://www.zcygov.cn/" </w:instrText>
      </w:r>
      <w:r>
        <w:rPr>
          <w:rFonts w:hint="eastAsia" w:ascii="仿宋_GB2312" w:hAnsi="仿宋_GB2312" w:eastAsia="仿宋_GB2312" w:cs="仿宋_GB2312"/>
          <w:b w:val="0"/>
          <w:bCs/>
          <w:color w:val="auto"/>
          <w:highlight w:val="none"/>
        </w:rPr>
        <w:fldChar w:fldCharType="separate"/>
      </w:r>
      <w:r>
        <w:rPr>
          <w:rStyle w:val="63"/>
          <w:rFonts w:hint="eastAsia" w:ascii="仿宋_GB2312" w:hAnsi="仿宋_GB2312" w:eastAsia="仿宋_GB2312" w:cs="仿宋_GB2312"/>
          <w:b w:val="0"/>
          <w:bCs/>
          <w:color w:val="auto"/>
          <w:sz w:val="24"/>
          <w:highlight w:val="none"/>
        </w:rPr>
        <w:t>https://www.zcygov.cn/</w:t>
      </w:r>
      <w:r>
        <w:rPr>
          <w:rStyle w:val="63"/>
          <w:rFonts w:hint="eastAsia" w:ascii="仿宋_GB2312" w:hAnsi="仿宋_GB2312" w:eastAsia="仿宋_GB2312" w:cs="仿宋_GB2312"/>
          <w:b w:val="0"/>
          <w:bCs/>
          <w:color w:val="auto"/>
          <w:sz w:val="24"/>
          <w:highlight w:val="none"/>
        </w:rPr>
        <w:fldChar w:fldCharType="end"/>
      </w:r>
      <w:r>
        <w:rPr>
          <w:rFonts w:hint="eastAsia" w:ascii="仿宋_GB2312" w:hAnsi="仿宋_GB2312" w:eastAsia="仿宋_GB2312" w:cs="仿宋_GB2312"/>
          <w:b w:val="0"/>
          <w:bCs/>
          <w:color w:val="auto"/>
          <w:sz w:val="24"/>
          <w:highlight w:val="none"/>
        </w:rPr>
        <w:t>）。</w:t>
      </w:r>
    </w:p>
    <w:p>
      <w:pPr>
        <w:spacing w:line="312" w:lineRule="auto"/>
        <w:rPr>
          <w:rFonts w:hint="eastAsia" w:ascii="仿宋_GB2312" w:hAnsi="仿宋_GB2312" w:eastAsia="仿宋_GB2312" w:cs="仿宋_GB2312"/>
          <w:b/>
          <w:bCs/>
          <w:color w:val="auto"/>
          <w:kern w:val="0"/>
          <w:sz w:val="24"/>
          <w:highlight w:val="none"/>
        </w:rPr>
      </w:pPr>
      <w:bookmarkStart w:id="18" w:name="_Toc35393633"/>
      <w:bookmarkStart w:id="19" w:name="_Toc35393802"/>
      <w:bookmarkStart w:id="20" w:name="_Toc28359093"/>
      <w:bookmarkStart w:id="21" w:name="_Toc28359016"/>
      <w:r>
        <w:rPr>
          <w:rFonts w:hint="eastAsia" w:ascii="仿宋_GB2312" w:hAnsi="仿宋_GB2312" w:eastAsia="仿宋_GB2312" w:cs="仿宋_GB2312"/>
          <w:b/>
          <w:bCs/>
          <w:color w:val="auto"/>
          <w:kern w:val="0"/>
          <w:sz w:val="24"/>
          <w:highlight w:val="none"/>
        </w:rPr>
        <w:t>五、响应文件开启</w:t>
      </w:r>
      <w:bookmarkEnd w:id="18"/>
      <w:bookmarkEnd w:id="19"/>
      <w:bookmarkEnd w:id="20"/>
      <w:bookmarkEnd w:id="21"/>
    </w:p>
    <w:p>
      <w:pPr>
        <w:spacing w:line="312" w:lineRule="auto"/>
        <w:ind w:firstLine="480"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u w:val="single"/>
        </w:rPr>
        <w:t>2024</w:t>
      </w:r>
      <w:r>
        <w:rPr>
          <w:rFonts w:hint="eastAsia" w:ascii="仿宋_GB2312" w:hAnsi="仿宋_GB2312" w:eastAsia="仿宋_GB2312" w:cs="仿宋_GB2312"/>
          <w:bCs/>
          <w:color w:val="auto"/>
          <w:sz w:val="24"/>
          <w:highlight w:val="none"/>
          <w:u w:val="single"/>
        </w:rPr>
        <w:t>年</w:t>
      </w:r>
      <w:r>
        <w:rPr>
          <w:rFonts w:hint="eastAsia" w:ascii="仿宋_GB2312" w:hAnsi="仿宋_GB2312" w:eastAsia="仿宋_GB2312" w:cs="仿宋_GB2312"/>
          <w:bCs/>
          <w:color w:val="auto"/>
          <w:sz w:val="24"/>
          <w:highlight w:val="none"/>
          <w:u w:val="single"/>
          <w:lang w:val="en-US" w:eastAsia="zh-CN"/>
        </w:rPr>
        <w:t>11</w:t>
      </w:r>
      <w:r>
        <w:rPr>
          <w:rFonts w:hint="eastAsia" w:ascii="仿宋_GB2312" w:hAnsi="仿宋_GB2312" w:eastAsia="仿宋_GB2312" w:cs="仿宋_GB2312"/>
          <w:bCs/>
          <w:color w:val="auto"/>
          <w:sz w:val="24"/>
          <w:highlight w:val="none"/>
          <w:u w:val="single"/>
        </w:rPr>
        <w:t>月</w:t>
      </w:r>
      <w:r>
        <w:rPr>
          <w:rFonts w:hint="eastAsia" w:ascii="仿宋_GB2312" w:hAnsi="仿宋_GB2312" w:eastAsia="仿宋_GB2312" w:cs="仿宋_GB2312"/>
          <w:bCs/>
          <w:color w:val="auto"/>
          <w:sz w:val="24"/>
          <w:highlight w:val="none"/>
          <w:u w:val="single"/>
          <w:lang w:val="en-US" w:eastAsia="zh-CN"/>
        </w:rPr>
        <w:t>25</w:t>
      </w:r>
      <w:r>
        <w:rPr>
          <w:rFonts w:hint="eastAsia" w:ascii="仿宋_GB2312" w:hAnsi="仿宋_GB2312" w:eastAsia="仿宋_GB2312" w:cs="仿宋_GB2312"/>
          <w:bCs/>
          <w:color w:val="auto"/>
          <w:sz w:val="24"/>
          <w:highlight w:val="none"/>
          <w:u w:val="single"/>
        </w:rPr>
        <w:t>日</w:t>
      </w:r>
      <w:r>
        <w:rPr>
          <w:rFonts w:hint="eastAsia" w:ascii="仿宋_GB2312" w:hAnsi="仿宋_GB2312" w:eastAsia="仿宋_GB2312" w:cs="仿宋_GB2312"/>
          <w:bCs/>
          <w:color w:val="auto"/>
          <w:sz w:val="24"/>
          <w:highlight w:val="none"/>
          <w:u w:val="single"/>
          <w:lang w:val="en-US" w:eastAsia="zh-CN"/>
        </w:rPr>
        <w:t>09</w:t>
      </w:r>
      <w:r>
        <w:rPr>
          <w:rFonts w:hint="eastAsia" w:ascii="仿宋_GB2312" w:hAnsi="仿宋_GB2312" w:eastAsia="仿宋_GB2312" w:cs="仿宋_GB2312"/>
          <w:bCs/>
          <w:color w:val="auto"/>
          <w:sz w:val="24"/>
          <w:highlight w:val="none"/>
          <w:u w:val="single"/>
        </w:rPr>
        <w:t>点</w:t>
      </w:r>
      <w:r>
        <w:rPr>
          <w:rFonts w:hint="eastAsia" w:ascii="仿宋_GB2312" w:hAnsi="仿宋_GB2312" w:eastAsia="仿宋_GB2312" w:cs="仿宋_GB2312"/>
          <w:bCs/>
          <w:color w:val="auto"/>
          <w:sz w:val="24"/>
          <w:highlight w:val="none"/>
          <w:u w:val="single"/>
          <w:lang w:val="en-US" w:eastAsia="zh-CN"/>
        </w:rPr>
        <w:t>00</w:t>
      </w:r>
      <w:r>
        <w:rPr>
          <w:rFonts w:hint="eastAsia" w:ascii="仿宋_GB2312" w:hAnsi="仿宋_GB2312" w:eastAsia="仿宋_GB2312" w:cs="仿宋_GB2312"/>
          <w:bCs/>
          <w:color w:val="auto"/>
          <w:sz w:val="24"/>
          <w:highlight w:val="none"/>
          <w:u w:val="single"/>
        </w:rPr>
        <w:t>分00秒</w:t>
      </w:r>
      <w:r>
        <w:rPr>
          <w:rFonts w:hint="eastAsia" w:ascii="仿宋_GB2312" w:hAnsi="仿宋_GB2312" w:eastAsia="仿宋_GB2312" w:cs="仿宋_GB2312"/>
          <w:bCs/>
          <w:color w:val="auto"/>
          <w:sz w:val="24"/>
          <w:highlight w:val="none"/>
        </w:rPr>
        <w:t>（北京时间）</w:t>
      </w:r>
    </w:p>
    <w:p>
      <w:pPr>
        <w:spacing w:line="312" w:lineRule="auto"/>
        <w:ind w:firstLine="480"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b w:val="0"/>
          <w:bCs/>
          <w:color w:val="auto"/>
          <w:sz w:val="24"/>
          <w:highlight w:val="none"/>
        </w:rPr>
        <w:t>政采云平台（</w:t>
      </w:r>
      <w:r>
        <w:rPr>
          <w:rFonts w:hint="eastAsia" w:ascii="仿宋_GB2312" w:hAnsi="仿宋_GB2312" w:eastAsia="仿宋_GB2312" w:cs="仿宋_GB2312"/>
          <w:b w:val="0"/>
          <w:bCs/>
          <w:color w:val="auto"/>
          <w:highlight w:val="none"/>
        </w:rPr>
        <w:fldChar w:fldCharType="begin"/>
      </w:r>
      <w:r>
        <w:rPr>
          <w:rFonts w:hint="eastAsia" w:ascii="仿宋_GB2312" w:hAnsi="仿宋_GB2312" w:eastAsia="仿宋_GB2312" w:cs="仿宋_GB2312"/>
          <w:b w:val="0"/>
          <w:bCs/>
          <w:color w:val="auto"/>
          <w:highlight w:val="none"/>
        </w:rPr>
        <w:instrText xml:space="preserve"> HYPERLINK "https://www.zcygov.cn/" </w:instrText>
      </w:r>
      <w:r>
        <w:rPr>
          <w:rFonts w:hint="eastAsia" w:ascii="仿宋_GB2312" w:hAnsi="仿宋_GB2312" w:eastAsia="仿宋_GB2312" w:cs="仿宋_GB2312"/>
          <w:b w:val="0"/>
          <w:bCs/>
          <w:color w:val="auto"/>
          <w:highlight w:val="none"/>
        </w:rPr>
        <w:fldChar w:fldCharType="separate"/>
      </w:r>
      <w:r>
        <w:rPr>
          <w:rStyle w:val="63"/>
          <w:rFonts w:hint="eastAsia" w:ascii="仿宋_GB2312" w:hAnsi="仿宋_GB2312" w:eastAsia="仿宋_GB2312" w:cs="仿宋_GB2312"/>
          <w:b w:val="0"/>
          <w:bCs/>
          <w:color w:val="auto"/>
          <w:sz w:val="24"/>
          <w:highlight w:val="none"/>
        </w:rPr>
        <w:t>https://www.zcygov.cn/</w:t>
      </w:r>
      <w:r>
        <w:rPr>
          <w:rStyle w:val="63"/>
          <w:rFonts w:hint="eastAsia" w:ascii="仿宋_GB2312" w:hAnsi="仿宋_GB2312" w:eastAsia="仿宋_GB2312" w:cs="仿宋_GB2312"/>
          <w:b w:val="0"/>
          <w:bCs/>
          <w:color w:val="auto"/>
          <w:sz w:val="24"/>
          <w:highlight w:val="none"/>
        </w:rPr>
        <w:fldChar w:fldCharType="end"/>
      </w:r>
      <w:r>
        <w:rPr>
          <w:rFonts w:hint="eastAsia" w:ascii="仿宋_GB2312" w:hAnsi="仿宋_GB2312" w:eastAsia="仿宋_GB2312" w:cs="仿宋_GB2312"/>
          <w:b w:val="0"/>
          <w:bCs/>
          <w:color w:val="auto"/>
          <w:sz w:val="24"/>
          <w:highlight w:val="none"/>
        </w:rPr>
        <w:t>）。</w:t>
      </w:r>
    </w:p>
    <w:p>
      <w:pPr>
        <w:spacing w:line="312" w:lineRule="auto"/>
        <w:rPr>
          <w:rFonts w:hint="eastAsia" w:ascii="仿宋_GB2312" w:hAnsi="仿宋_GB2312" w:eastAsia="仿宋_GB2312" w:cs="仿宋_GB2312"/>
          <w:b/>
          <w:bCs/>
          <w:color w:val="auto"/>
          <w:kern w:val="0"/>
          <w:sz w:val="24"/>
          <w:highlight w:val="none"/>
        </w:rPr>
      </w:pPr>
      <w:bookmarkStart w:id="22" w:name="_Toc28359017"/>
      <w:bookmarkStart w:id="23" w:name="_Toc28359094"/>
      <w:bookmarkStart w:id="24" w:name="_Toc35393803"/>
      <w:bookmarkStart w:id="25" w:name="_Toc35393634"/>
      <w:r>
        <w:rPr>
          <w:rFonts w:hint="eastAsia" w:ascii="仿宋_GB2312" w:hAnsi="仿宋_GB2312" w:eastAsia="仿宋_GB2312" w:cs="仿宋_GB2312"/>
          <w:b/>
          <w:bCs/>
          <w:color w:val="auto"/>
          <w:kern w:val="0"/>
          <w:sz w:val="24"/>
          <w:highlight w:val="none"/>
        </w:rPr>
        <w:t>六、采购意向公开链接：</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https://zfcg.czt.zj.gov.cn/luban/detail?parentId=600007&amp;articleId=BCH/AjX4HFHtaELGP7g0Mg==&amp;utm=web-micro-app-back-front.7cd522fb.0.0.b1e5d0b0a0c311ef8fcf25d0fdb3cbf8</w:t>
      </w:r>
    </w:p>
    <w:p>
      <w:pPr>
        <w:spacing w:line="312" w:lineRule="auto"/>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七、公告期限</w:t>
      </w:r>
      <w:bookmarkEnd w:id="22"/>
      <w:bookmarkEnd w:id="23"/>
      <w:bookmarkEnd w:id="24"/>
      <w:bookmarkEnd w:id="25"/>
    </w:p>
    <w:p>
      <w:pPr>
        <w:spacing w:line="312"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自本公告发布之日起3个工作日。</w:t>
      </w:r>
    </w:p>
    <w:p>
      <w:pPr>
        <w:spacing w:line="312" w:lineRule="auto"/>
        <w:rPr>
          <w:rFonts w:hint="eastAsia" w:ascii="仿宋_GB2312" w:hAnsi="仿宋_GB2312" w:eastAsia="仿宋_GB2312" w:cs="仿宋_GB2312"/>
          <w:b/>
          <w:bCs/>
          <w:color w:val="auto"/>
          <w:kern w:val="0"/>
          <w:sz w:val="24"/>
          <w:highlight w:val="none"/>
        </w:rPr>
      </w:pPr>
      <w:bookmarkStart w:id="26" w:name="_Toc35393635"/>
      <w:bookmarkStart w:id="27" w:name="_Toc35393804"/>
      <w:r>
        <w:rPr>
          <w:rFonts w:hint="eastAsia" w:ascii="仿宋_GB2312" w:hAnsi="仿宋_GB2312" w:eastAsia="仿宋_GB2312" w:cs="仿宋_GB2312"/>
          <w:b/>
          <w:bCs/>
          <w:color w:val="auto"/>
          <w:kern w:val="0"/>
          <w:sz w:val="24"/>
          <w:highlight w:val="none"/>
        </w:rPr>
        <w:t>八、其他补充事宜</w:t>
      </w:r>
      <w:bookmarkEnd w:id="26"/>
      <w:bookmarkEnd w:id="27"/>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1.《浙江省财政厅关于进一步发挥政府采购政策功能全力推动经济稳进提质的通知》 （浙财采监</w:t>
      </w:r>
      <w:r>
        <w:rPr>
          <w:rFonts w:hint="eastAsia" w:ascii="仿宋_GB2312" w:hAnsi="仿宋_GB2312" w:eastAsia="仿宋_GB2312" w:cs="仿宋_GB2312"/>
          <w:color w:val="auto"/>
          <w:sz w:val="24"/>
          <w:highlight w:val="none"/>
          <w:lang w:eastAsia="zh-CN"/>
        </w:rPr>
        <w:t>〔2022〕3号</w:t>
      </w:r>
      <w:r>
        <w:rPr>
          <w:rFonts w:hint="eastAsia" w:ascii="仿宋_GB2312" w:hAnsi="仿宋_GB2312" w:eastAsia="仿宋_GB2312" w:cs="仿宋_GB2312"/>
          <w:color w:val="auto"/>
          <w:sz w:val="24"/>
          <w:highlight w:val="none"/>
        </w:rPr>
        <w:t>）、《浙江省财政厅关于进一步促进政府采购公平竞争打造最优营商环境的通知》（浙财采监</w:t>
      </w:r>
      <w:r>
        <w:rPr>
          <w:rFonts w:hint="eastAsia" w:ascii="仿宋_GB2312" w:hAnsi="仿宋_GB2312" w:eastAsia="仿宋_GB2312" w:cs="仿宋_GB2312"/>
          <w:color w:val="auto"/>
          <w:sz w:val="24"/>
          <w:highlight w:val="none"/>
          <w:lang w:eastAsia="zh-CN"/>
        </w:rPr>
        <w:t>〔2021〕22号</w:t>
      </w:r>
      <w:r>
        <w:rPr>
          <w:rFonts w:hint="eastAsia" w:ascii="仿宋_GB2312" w:hAnsi="仿宋_GB2312" w:eastAsia="仿宋_GB2312" w:cs="仿宋_GB2312"/>
          <w:color w:val="auto"/>
          <w:sz w:val="24"/>
          <w:highlight w:val="none"/>
        </w:rPr>
        <w:t>））、《浙江省财政厅关于进一步加大政府采购支持中小企业力度助力扎实稳住经济的通知》 （浙财采监</w:t>
      </w:r>
      <w:r>
        <w:rPr>
          <w:rFonts w:hint="eastAsia" w:ascii="仿宋_GB2312" w:hAnsi="仿宋_GB2312" w:eastAsia="仿宋_GB2312" w:cs="仿宋_GB2312"/>
          <w:color w:val="auto"/>
          <w:sz w:val="24"/>
          <w:highlight w:val="none"/>
          <w:lang w:eastAsia="zh-CN"/>
        </w:rPr>
        <w:t>〔2022〕8号</w:t>
      </w:r>
      <w:r>
        <w:rPr>
          <w:rFonts w:hint="eastAsia" w:ascii="仿宋_GB2312" w:hAnsi="仿宋_GB2312" w:eastAsia="仿宋_GB2312" w:cs="仿宋_GB2312"/>
          <w:color w:val="auto"/>
          <w:sz w:val="24"/>
          <w:highlight w:val="none"/>
        </w:rPr>
        <w:t>）已分别于2022年1月29日、2022年2月1日和2022年7月1日开始实施，此前有关规定与上述文件内容不一致的，按上述文件要求执行。</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2.根据《浙江省财政厅关于进一步促进政府采购公平竞争打造最优营商环境的通知》（浙财采监</w:t>
      </w:r>
      <w:r>
        <w:rPr>
          <w:rFonts w:hint="eastAsia" w:ascii="仿宋_GB2312" w:hAnsi="仿宋_GB2312" w:eastAsia="仿宋_GB2312" w:cs="仿宋_GB2312"/>
          <w:color w:val="auto"/>
          <w:sz w:val="24"/>
          <w:highlight w:val="none"/>
          <w:lang w:eastAsia="zh-CN"/>
        </w:rPr>
        <w:t>〔2021〕22号</w:t>
      </w:r>
      <w:r>
        <w:rPr>
          <w:rFonts w:hint="eastAsia" w:ascii="仿宋_GB2312" w:hAnsi="仿宋_GB2312" w:eastAsia="仿宋_GB2312" w:cs="仿宋_GB2312"/>
          <w:color w:val="auto"/>
          <w:sz w:val="24"/>
          <w:highlight w:val="none"/>
        </w:rPr>
        <w:t>）文件关于“健全行政裁决机制”要求，鼓励供应商在线提起询问，路径为：政采云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项目采购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询问质疑投诉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询问列表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鼓励供应商在线提起质疑，路径为：政采云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项目采购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询问质疑投诉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质疑列表。质疑供应商对在线质疑答复不满意的，可在线提起投诉，路径为：浙江政府服务网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政府采购投诉处理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在线办理。</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12"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4. 其他事项：（1）需要落实的政府采购政策：</w:t>
      </w:r>
      <w:r>
        <w:rPr>
          <w:rFonts w:hint="eastAsia" w:ascii="仿宋_GB2312" w:hAnsi="仿宋_GB2312" w:eastAsia="仿宋_GB2312" w:cs="仿宋_GB2312"/>
          <w:color w:val="auto"/>
          <w:kern w:val="0"/>
          <w:sz w:val="24"/>
          <w:highlight w:val="none"/>
        </w:rPr>
        <w:t>包括节约资源、保护环境、</w:t>
      </w:r>
      <w:r>
        <w:rPr>
          <w:rFonts w:hint="eastAsia" w:ascii="仿宋_GB2312" w:hAnsi="仿宋_GB2312" w:eastAsia="仿宋_GB2312" w:cs="仿宋_GB2312"/>
          <w:color w:val="auto"/>
          <w:sz w:val="24"/>
          <w:highlight w:val="none"/>
        </w:rPr>
        <w:t>支持创新、</w:t>
      </w:r>
      <w:r>
        <w:rPr>
          <w:rFonts w:hint="eastAsia" w:ascii="仿宋_GB2312" w:hAnsi="仿宋_GB2312" w:eastAsia="仿宋_GB2312" w:cs="仿宋_GB2312"/>
          <w:color w:val="auto"/>
          <w:kern w:val="0"/>
          <w:sz w:val="24"/>
          <w:highlight w:val="none"/>
        </w:rPr>
        <w:t>促进中小企业发展等，详见磋商文件第二章。</w:t>
      </w:r>
      <w:r>
        <w:rPr>
          <w:rFonts w:hint="eastAsia" w:ascii="仿宋_GB2312" w:hAnsi="仿宋_GB2312" w:eastAsia="仿宋_GB2312" w:cs="仿宋_GB2312"/>
          <w:b/>
          <w:bCs/>
          <w:color w:val="auto"/>
          <w:kern w:val="0"/>
          <w:sz w:val="24"/>
          <w:highlight w:val="none"/>
        </w:rPr>
        <w:t>（2）未按采购公告规定获取采购文件的潜在供应商不得对采购文件提出质疑，其磋商响应文件将被拒绝，通过本公告下方“游客，浏览采购文件”下载的采购文件仅供浏览，不视作依法获取采购文件；</w:t>
      </w:r>
      <w:r>
        <w:rPr>
          <w:rFonts w:hint="eastAsia" w:ascii="仿宋_GB2312" w:hAnsi="仿宋_GB2312" w:eastAsia="仿宋_GB2312" w:cs="仿宋_GB2312"/>
          <w:b/>
          <w:color w:val="auto"/>
          <w:kern w:val="0"/>
          <w:sz w:val="24"/>
          <w:highlight w:val="none"/>
        </w:rPr>
        <w:t>（3）</w:t>
      </w:r>
      <w:r>
        <w:rPr>
          <w:rFonts w:hint="eastAsia" w:ascii="仿宋_GB2312" w:hAnsi="仿宋_GB2312" w:eastAsia="仿宋_GB2312" w:cs="仿宋_GB2312"/>
          <w:b/>
          <w:color w:val="auto"/>
          <w:sz w:val="24"/>
          <w:highlight w:val="none"/>
        </w:rPr>
        <w:t>电子交易的说明</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①</w:t>
      </w:r>
      <w:r>
        <w:rPr>
          <w:rFonts w:hint="eastAsia" w:ascii="仿宋_GB2312" w:hAnsi="仿宋_GB2312" w:eastAsia="仿宋_GB2312" w:cs="仿宋_GB2312"/>
          <w:b/>
          <w:color w:val="auto"/>
          <w:sz w:val="24"/>
          <w:highlight w:val="none"/>
        </w:rPr>
        <w:t>电子交易：</w:t>
      </w:r>
      <w:r>
        <w:rPr>
          <w:rFonts w:hint="eastAsia" w:ascii="仿宋_GB2312" w:hAnsi="仿宋_GB2312" w:eastAsia="仿宋_GB2312" w:cs="仿宋_GB2312"/>
          <w:color w:val="auto"/>
          <w:sz w:val="24"/>
          <w:highlight w:val="none"/>
        </w:rPr>
        <w:t>本项目以数据电文形式，依托“政府采购云平台（www.zcygov.cn）”进行采购活动，不接受纸质响应文件。</w:t>
      </w:r>
      <w:r>
        <w:rPr>
          <w:rFonts w:hint="eastAsia" w:ascii="仿宋_GB2312" w:hAnsi="仿宋_GB2312" w:eastAsia="仿宋_GB2312" w:cs="仿宋_GB2312"/>
          <w:b/>
          <w:color w:val="auto"/>
          <w:sz w:val="24"/>
          <w:highlight w:val="none"/>
          <w:lang w:val="en-US" w:eastAsia="zh-CN"/>
        </w:rPr>
        <w:t>②</w:t>
      </w:r>
      <w:r>
        <w:rPr>
          <w:rFonts w:hint="eastAsia" w:ascii="仿宋_GB2312" w:hAnsi="仿宋_GB2312" w:eastAsia="仿宋_GB2312" w:cs="仿宋_GB2312"/>
          <w:b/>
          <w:color w:val="auto"/>
          <w:sz w:val="24"/>
          <w:highlight w:val="none"/>
        </w:rPr>
        <w:t>响应准备：</w:t>
      </w:r>
      <w:r>
        <w:rPr>
          <w:rFonts w:hint="eastAsia" w:ascii="仿宋_GB2312" w:hAnsi="仿宋_GB2312" w:eastAsia="仿宋_GB2312" w:cs="仿宋_GB2312"/>
          <w:color w:val="auto"/>
          <w:sz w:val="24"/>
          <w:highlight w:val="none"/>
        </w:rPr>
        <w:t>注册账号</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点击“商家入驻”，进行政府采购供应商资料填写；申领CA数字证书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申领流程详见“浙江政府采购网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下载专区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电子交易客户端</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CA驱动和申领流程”；安装“政采云电子交易客户端”</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前往“浙江政府采购网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下载专区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电子交易客户端”进行下载并安装。</w:t>
      </w:r>
      <w:r>
        <w:rPr>
          <w:rFonts w:hint="eastAsia" w:ascii="仿宋_GB2312" w:hAnsi="仿宋_GB2312" w:eastAsia="仿宋_GB2312" w:cs="仿宋_GB2312"/>
          <w:b/>
          <w:color w:val="auto"/>
          <w:sz w:val="24"/>
          <w:highlight w:val="none"/>
          <w:lang w:val="en-US" w:eastAsia="zh-CN"/>
        </w:rPr>
        <w:t>③</w:t>
      </w:r>
      <w:r>
        <w:rPr>
          <w:rFonts w:hint="eastAsia" w:ascii="仿宋_GB2312" w:hAnsi="仿宋_GB2312" w:eastAsia="仿宋_GB2312" w:cs="仿宋_GB2312"/>
          <w:b/>
          <w:color w:val="auto"/>
          <w:sz w:val="24"/>
          <w:highlight w:val="none"/>
        </w:rPr>
        <w:t>磋商文件的获取：</w:t>
      </w:r>
      <w:r>
        <w:rPr>
          <w:rFonts w:hint="eastAsia" w:ascii="仿宋_GB2312" w:hAnsi="仿宋_GB2312" w:eastAsia="仿宋_GB2312" w:cs="仿宋_GB2312"/>
          <w:color w:val="auto"/>
          <w:sz w:val="24"/>
          <w:highlight w:val="none"/>
        </w:rPr>
        <w:t>使用账号登录或者使用CA登录政采云平台；进入“项目采购”应用，在获取采购文件菜单中选择项目，获取磋商文件。</w:t>
      </w:r>
      <w:r>
        <w:rPr>
          <w:rFonts w:hint="eastAsia" w:ascii="仿宋_GB2312" w:hAnsi="仿宋_GB2312" w:eastAsia="仿宋_GB2312" w:cs="仿宋_GB2312"/>
          <w:b/>
          <w:color w:val="auto"/>
          <w:sz w:val="24"/>
          <w:highlight w:val="none"/>
          <w:lang w:val="en-US" w:eastAsia="zh-CN"/>
        </w:rPr>
        <w:t>④</w:t>
      </w:r>
      <w:r>
        <w:rPr>
          <w:rFonts w:hint="eastAsia" w:ascii="仿宋_GB2312" w:hAnsi="仿宋_GB2312" w:eastAsia="仿宋_GB2312" w:cs="仿宋_GB2312"/>
          <w:b/>
          <w:color w:val="auto"/>
          <w:sz w:val="24"/>
          <w:highlight w:val="none"/>
        </w:rPr>
        <w:t>响应文件的制作：</w:t>
      </w:r>
      <w:r>
        <w:rPr>
          <w:rFonts w:hint="eastAsia" w:ascii="仿宋_GB2312" w:hAnsi="仿宋_GB2312" w:eastAsia="仿宋_GB2312" w:cs="仿宋_GB2312"/>
          <w:color w:val="auto"/>
          <w:sz w:val="24"/>
          <w:highlight w:val="none"/>
        </w:rPr>
        <w:t>在“政采云电子交易客户端”中完成“填写基本信息</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导入投标文件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标书关联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标书检查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生成电子标书”等操作。</w:t>
      </w:r>
      <w:r>
        <w:rPr>
          <w:rFonts w:hint="eastAsia" w:ascii="仿宋_GB2312" w:hAnsi="仿宋_GB2312" w:eastAsia="仿宋_GB2312" w:cs="仿宋_GB2312"/>
          <w:b/>
          <w:color w:val="auto"/>
          <w:sz w:val="24"/>
          <w:highlight w:val="none"/>
          <w:lang w:val="en-US" w:eastAsia="zh-CN"/>
        </w:rPr>
        <w:t>⑤</w:t>
      </w:r>
      <w:r>
        <w:rPr>
          <w:rFonts w:hint="eastAsia" w:ascii="仿宋_GB2312" w:hAnsi="仿宋_GB2312" w:eastAsia="仿宋_GB2312" w:cs="仿宋_GB2312"/>
          <w:color w:val="auto"/>
          <w:sz w:val="24"/>
          <w:highlight w:val="none"/>
        </w:rPr>
        <w:t>采购人、采购机构将依托政采云平台完成本项目的电子交易活动，平台不接受未按本公告约定方式获取磋商文件的供应商进行响应活动；</w:t>
      </w:r>
      <w:r>
        <w:rPr>
          <w:rFonts w:hint="eastAsia" w:ascii="仿宋_GB2312" w:hAnsi="仿宋_GB2312" w:eastAsia="仿宋_GB2312" w:cs="仿宋_GB2312"/>
          <w:b/>
          <w:color w:val="auto"/>
          <w:sz w:val="24"/>
          <w:highlight w:val="none"/>
          <w:lang w:val="en-US" w:eastAsia="zh-CN"/>
        </w:rPr>
        <w:t>⑥</w:t>
      </w:r>
      <w:r>
        <w:rPr>
          <w:rFonts w:hint="eastAsia" w:ascii="仿宋_GB2312" w:hAnsi="仿宋_GB2312" w:eastAsia="仿宋_GB2312" w:cs="仿宋_GB2312"/>
          <w:color w:val="auto"/>
          <w:sz w:val="24"/>
          <w:highlight w:val="none"/>
        </w:rPr>
        <w:t>对未按上述方式获取磋商文件的供应商对该文件提出的质疑，采购人或采购代理机构将不予处理</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⑦</w:t>
      </w:r>
      <w:r>
        <w:rPr>
          <w:rFonts w:hint="eastAsia" w:ascii="仿宋_GB2312" w:hAnsi="仿宋_GB2312" w:eastAsia="仿宋_GB2312" w:cs="仿宋_GB2312"/>
          <w:color w:val="auto"/>
          <w:sz w:val="24"/>
          <w:highlight w:val="none"/>
        </w:rPr>
        <w:t>不提供磋商文件纸质版；</w:t>
      </w:r>
      <w:r>
        <w:rPr>
          <w:rFonts w:hint="eastAsia" w:ascii="仿宋_GB2312" w:hAnsi="仿宋_GB2312" w:eastAsia="仿宋_GB2312" w:cs="仿宋_GB2312"/>
          <w:b/>
          <w:color w:val="auto"/>
          <w:sz w:val="24"/>
          <w:highlight w:val="none"/>
          <w:lang w:val="en-US" w:eastAsia="zh-CN"/>
        </w:rPr>
        <w:t>⑧</w:t>
      </w:r>
      <w:r>
        <w:rPr>
          <w:rFonts w:hint="eastAsia" w:ascii="仿宋_GB2312" w:hAnsi="仿宋_GB2312" w:eastAsia="仿宋_GB2312" w:cs="仿宋_GB2312"/>
          <w:b/>
          <w:color w:val="auto"/>
          <w:sz w:val="24"/>
          <w:highlight w:val="none"/>
        </w:rPr>
        <w:t>响应文件的传输提交：</w:t>
      </w:r>
      <w:r>
        <w:rPr>
          <w:rFonts w:hint="eastAsia" w:ascii="仿宋_GB2312" w:hAnsi="仿宋_GB2312" w:eastAsia="仿宋_GB2312" w:cs="仿宋_GB2312"/>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章“备份响应文件”；</w:t>
      </w:r>
      <w:r>
        <w:rPr>
          <w:rFonts w:hint="eastAsia" w:ascii="仿宋_GB2312" w:hAnsi="仿宋_GB2312" w:eastAsia="仿宋_GB2312" w:cs="仿宋_GB2312"/>
          <w:b/>
          <w:color w:val="auto"/>
          <w:sz w:val="24"/>
          <w:highlight w:val="none"/>
          <w:lang w:val="en-US" w:eastAsia="zh-CN"/>
        </w:rPr>
        <w:t>⑨</w:t>
      </w:r>
      <w:r>
        <w:rPr>
          <w:rFonts w:hint="eastAsia" w:ascii="仿宋_GB2312" w:hAnsi="仿宋_GB2312" w:eastAsia="仿宋_GB2312" w:cs="仿宋_GB2312"/>
          <w:b/>
          <w:color w:val="auto"/>
          <w:sz w:val="24"/>
          <w:highlight w:val="none"/>
        </w:rPr>
        <w:t>响应文件的解密：</w:t>
      </w:r>
      <w:r>
        <w:rPr>
          <w:rFonts w:hint="eastAsia" w:ascii="仿宋_GB2312" w:hAnsi="仿宋_GB2312" w:eastAsia="仿宋_GB2312" w:cs="仿宋_GB2312"/>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_GB2312" w:hAnsi="仿宋_GB2312" w:eastAsia="仿宋_GB2312" w:cs="仿宋_GB2312"/>
          <w:color w:val="auto"/>
          <w:sz w:val="24"/>
          <w:highlight w:val="none"/>
          <w:lang w:val="en-US" w:eastAsia="zh-CN"/>
        </w:rPr>
        <w:t>⑩</w:t>
      </w:r>
      <w:r>
        <w:rPr>
          <w:rFonts w:hint="eastAsia" w:ascii="仿宋_GB2312" w:hAnsi="仿宋_GB2312" w:eastAsia="仿宋_GB2312" w:cs="仿宋_GB2312"/>
          <w:b/>
          <w:color w:val="auto"/>
          <w:sz w:val="24"/>
          <w:highlight w:val="none"/>
        </w:rPr>
        <w:t>具体操作指南</w:t>
      </w:r>
      <w:r>
        <w:rPr>
          <w:rFonts w:hint="eastAsia" w:ascii="仿宋_GB2312" w:hAnsi="仿宋_GB2312" w:eastAsia="仿宋_GB2312" w:cs="仿宋_GB2312"/>
          <w:color w:val="auto"/>
          <w:sz w:val="24"/>
          <w:highlight w:val="none"/>
        </w:rPr>
        <w:t>：详见政采云平台“服务中心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帮助文档</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项目采购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操作流程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电子招投标</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政府采购项目电子交易管理操作指南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供应商”。（</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）本磋商文件公告期限为本公告发布之日起5个工作日。</w:t>
      </w:r>
    </w:p>
    <w:p>
      <w:pPr>
        <w:spacing w:line="312" w:lineRule="auto"/>
        <w:rPr>
          <w:rFonts w:hint="eastAsia" w:ascii="仿宋_GB2312" w:hAnsi="仿宋_GB2312" w:eastAsia="仿宋_GB2312" w:cs="仿宋_GB2312"/>
          <w:b/>
          <w:bCs/>
          <w:color w:val="auto"/>
          <w:kern w:val="0"/>
          <w:sz w:val="24"/>
          <w:highlight w:val="none"/>
        </w:rPr>
      </w:pPr>
      <w:bookmarkStart w:id="28" w:name="_Toc28359095"/>
      <w:bookmarkStart w:id="29" w:name="_Toc35393636"/>
      <w:bookmarkStart w:id="30" w:name="_Toc28359018"/>
      <w:bookmarkStart w:id="31" w:name="_Toc35393805"/>
      <w:r>
        <w:rPr>
          <w:rFonts w:hint="eastAsia" w:ascii="仿宋_GB2312" w:hAnsi="仿宋_GB2312" w:eastAsia="仿宋_GB2312" w:cs="仿宋_GB2312"/>
          <w:b/>
          <w:bCs/>
          <w:color w:val="auto"/>
          <w:kern w:val="0"/>
          <w:sz w:val="24"/>
          <w:highlight w:val="none"/>
        </w:rPr>
        <w:t>九、凡对本次采购提出询问、质疑、投诉，请按以下方式联系</w:t>
      </w:r>
      <w:bookmarkEnd w:id="28"/>
      <w:bookmarkEnd w:id="29"/>
      <w:bookmarkEnd w:id="30"/>
      <w:bookmarkEnd w:id="31"/>
    </w:p>
    <w:p>
      <w:pPr>
        <w:adjustRightInd w:val="0"/>
        <w:spacing w:line="312" w:lineRule="auto"/>
        <w:rPr>
          <w:rFonts w:hint="eastAsia" w:ascii="仿宋_GB2312" w:hAnsi="仿宋_GB2312" w:eastAsia="仿宋_GB2312" w:cs="仿宋_GB2312"/>
          <w:b/>
          <w:bCs/>
          <w:color w:val="auto"/>
          <w:sz w:val="24"/>
          <w:highlight w:val="none"/>
        </w:rPr>
      </w:pPr>
      <w:bookmarkStart w:id="32" w:name="_Toc35393806"/>
      <w:bookmarkStart w:id="33" w:name="_Toc35393637"/>
      <w:bookmarkStart w:id="34" w:name="_Toc28359096"/>
      <w:bookmarkStart w:id="35" w:name="_Toc28359019"/>
      <w:r>
        <w:rPr>
          <w:rFonts w:hint="eastAsia" w:ascii="仿宋_GB2312" w:hAnsi="仿宋_GB2312" w:eastAsia="仿宋_GB2312" w:cs="仿宋_GB2312"/>
          <w:b/>
          <w:bCs/>
          <w:color w:val="auto"/>
          <w:sz w:val="24"/>
          <w:highlight w:val="none"/>
        </w:rPr>
        <w:t>1.采购人信息</w:t>
      </w:r>
      <w:bookmarkEnd w:id="32"/>
      <w:bookmarkEnd w:id="33"/>
      <w:bookmarkEnd w:id="34"/>
      <w:bookmarkEnd w:id="35"/>
      <w:r>
        <w:rPr>
          <w:rFonts w:hint="eastAsia" w:ascii="仿宋_GB2312" w:hAnsi="仿宋_GB2312" w:eastAsia="仿宋_GB2312" w:cs="仿宋_GB2312"/>
          <w:b/>
          <w:bCs/>
          <w:color w:val="auto"/>
          <w:sz w:val="24"/>
          <w:highlight w:val="none"/>
        </w:rPr>
        <w:t>：</w:t>
      </w:r>
    </w:p>
    <w:p>
      <w:pPr>
        <w:adjustRightInd w:val="0"/>
        <w:spacing w:line="312" w:lineRule="auto"/>
        <w:ind w:firstLine="480" w:firstLineChars="200"/>
        <w:rPr>
          <w:rFonts w:hint="eastAsia" w:ascii="仿宋_GB2312" w:hAnsi="仿宋_GB2312" w:eastAsia="仿宋_GB2312" w:cs="仿宋_GB2312"/>
          <w:color w:val="auto"/>
          <w:sz w:val="24"/>
          <w:highlight w:val="none"/>
        </w:rPr>
      </w:pPr>
      <w:bookmarkStart w:id="36" w:name="_Toc35393807"/>
      <w:bookmarkStart w:id="37" w:name="_Toc35393638"/>
      <w:bookmarkStart w:id="38" w:name="_Toc28359020"/>
      <w:bookmarkStart w:id="39" w:name="_Toc28359097"/>
      <w:r>
        <w:rPr>
          <w:rFonts w:hint="eastAsia" w:ascii="仿宋_GB2312" w:hAnsi="仿宋_GB2312" w:eastAsia="仿宋_GB2312" w:cs="仿宋_GB2312"/>
          <w:color w:val="auto"/>
          <w:sz w:val="24"/>
          <w:highlight w:val="none"/>
        </w:rPr>
        <w:t>名  称：浙江文学院（</w:t>
      </w:r>
      <w:r>
        <w:rPr>
          <w:rFonts w:hint="eastAsia" w:ascii="仿宋_GB2312" w:hAnsi="仿宋_GB2312" w:eastAsia="仿宋_GB2312" w:cs="仿宋_GB2312"/>
          <w:color w:val="auto"/>
          <w:sz w:val="24"/>
          <w:highlight w:val="none"/>
          <w:lang w:eastAsia="zh-CN"/>
        </w:rPr>
        <w:t>浙江文学</w:t>
      </w:r>
      <w:r>
        <w:rPr>
          <w:rFonts w:hint="eastAsia" w:ascii="仿宋_GB2312" w:hAnsi="仿宋_GB2312" w:eastAsia="仿宋_GB2312" w:cs="仿宋_GB2312"/>
          <w:color w:val="auto"/>
          <w:sz w:val="24"/>
          <w:highlight w:val="none"/>
        </w:rPr>
        <w:t>馆）</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址：浙江省杭州市西湖区江涵路300号</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pPr>
        <w:adjustRightInd w:val="0"/>
        <w:spacing w:line="312"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梁老师</w:t>
      </w:r>
    </w:p>
    <w:p>
      <w:pPr>
        <w:adjustRightInd w:val="0"/>
        <w:spacing w:line="312"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项目联系方式（询问）：0571-88960113</w:t>
      </w:r>
    </w:p>
    <w:p>
      <w:pPr>
        <w:adjustRightInd w:val="0"/>
        <w:spacing w:line="312"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质疑联系人：</w:t>
      </w:r>
      <w:r>
        <w:rPr>
          <w:rFonts w:hint="eastAsia" w:ascii="仿宋_GB2312" w:hAnsi="仿宋_GB2312" w:eastAsia="仿宋_GB2312" w:cs="仿宋_GB2312"/>
          <w:color w:val="auto"/>
          <w:sz w:val="24"/>
          <w:highlight w:val="none"/>
          <w:lang w:val="en-US" w:eastAsia="zh-CN"/>
        </w:rPr>
        <w:t>尹</w:t>
      </w:r>
      <w:r>
        <w:rPr>
          <w:rFonts w:hint="eastAsia" w:ascii="仿宋_GB2312" w:hAnsi="仿宋_GB2312" w:eastAsia="仿宋_GB2312" w:cs="仿宋_GB2312"/>
          <w:color w:val="auto"/>
          <w:sz w:val="24"/>
          <w:highlight w:val="none"/>
          <w:lang w:eastAsia="zh-CN"/>
        </w:rPr>
        <w:t>老师</w:t>
      </w:r>
    </w:p>
    <w:p>
      <w:pPr>
        <w:adjustRightInd w:val="0"/>
        <w:spacing w:line="312" w:lineRule="auto"/>
        <w:ind w:firstLine="480" w:firstLineChars="200"/>
        <w:rPr>
          <w:rFonts w:hint="eastAsia" w:ascii="仿宋_GB2312" w:hAnsi="仿宋_GB2312" w:eastAsia="仿宋_GB2312" w:cs="仿宋_GB2312"/>
          <w:bCs/>
          <w:i/>
          <w:iCs/>
          <w:color w:val="auto"/>
          <w:sz w:val="24"/>
          <w:szCs w:val="24"/>
          <w:highlight w:val="none"/>
          <w:lang w:eastAsia="zh-CN"/>
        </w:rPr>
      </w:pPr>
      <w:r>
        <w:rPr>
          <w:rFonts w:hint="eastAsia" w:ascii="仿宋_GB2312" w:hAnsi="仿宋_GB2312" w:eastAsia="仿宋_GB2312" w:cs="仿宋_GB2312"/>
          <w:color w:val="auto"/>
          <w:sz w:val="24"/>
          <w:highlight w:val="none"/>
        </w:rPr>
        <w:t>质疑联系方式：</w:t>
      </w:r>
      <w:r>
        <w:rPr>
          <w:rFonts w:hint="eastAsia" w:ascii="仿宋_GB2312" w:hAnsi="仿宋_GB2312" w:eastAsia="仿宋_GB2312" w:cs="仿宋_GB2312"/>
          <w:bCs/>
          <w:szCs w:val="21"/>
        </w:rPr>
        <w:t>0571</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889602</w:t>
      </w:r>
      <w:bookmarkStart w:id="175" w:name="_GoBack"/>
      <w:bookmarkEnd w:id="175"/>
      <w:r>
        <w:rPr>
          <w:rFonts w:hint="eastAsia" w:ascii="仿宋_GB2312" w:hAnsi="仿宋_GB2312" w:eastAsia="仿宋_GB2312" w:cs="仿宋_GB2312"/>
          <w:bCs/>
          <w:szCs w:val="21"/>
        </w:rPr>
        <w:t>26</w:t>
      </w:r>
    </w:p>
    <w:p>
      <w:pPr>
        <w:adjustRightInd w:val="0"/>
        <w:spacing w:line="312"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2.采购代理机构信息</w:t>
      </w:r>
      <w:bookmarkEnd w:id="36"/>
      <w:bookmarkEnd w:id="37"/>
      <w:bookmarkEnd w:id="38"/>
      <w:bookmarkEnd w:id="39"/>
      <w:r>
        <w:rPr>
          <w:rFonts w:hint="eastAsia" w:ascii="仿宋_GB2312" w:hAnsi="仿宋_GB2312" w:eastAsia="仿宋_GB2312" w:cs="仿宋_GB2312"/>
          <w:b/>
          <w:bCs/>
          <w:color w:val="auto"/>
          <w:sz w:val="24"/>
          <w:highlight w:val="none"/>
        </w:rPr>
        <w:t>：</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称：浙江国际招投标有限公司</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址：杭州市文三路90号东部软件园1号楼3楼317室</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项目联系人（询问）：沈建平</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项目联系方式（询问）：0571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81061840,18005883302</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质疑联系人：董福利</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质疑联系方式：0571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81061818</w:t>
      </w:r>
    </w:p>
    <w:p>
      <w:pPr>
        <w:adjustRightInd w:val="0"/>
        <w:spacing w:line="312" w:lineRule="auto"/>
        <w:ind w:firstLine="482" w:firstLineChars="200"/>
        <w:rPr>
          <w:rFonts w:hint="eastAsia" w:ascii="仿宋_GB2312" w:hAnsi="仿宋_GB2312" w:eastAsia="仿宋_GB2312" w:cs="仿宋_GB2312"/>
          <w:b/>
          <w:bCs/>
          <w:color w:val="auto"/>
          <w:sz w:val="24"/>
          <w:highlight w:val="none"/>
        </w:rPr>
      </w:pPr>
      <w:bookmarkStart w:id="40" w:name="_Toc28359021"/>
      <w:bookmarkStart w:id="41" w:name="_Toc35393639"/>
      <w:bookmarkStart w:id="42" w:name="_Toc28359098"/>
      <w:bookmarkStart w:id="43" w:name="_Toc35393808"/>
      <w:r>
        <w:rPr>
          <w:rFonts w:hint="eastAsia" w:ascii="仿宋_GB2312" w:hAnsi="仿宋_GB2312" w:eastAsia="仿宋_GB2312" w:cs="仿宋_GB2312"/>
          <w:b/>
          <w:bCs/>
          <w:color w:val="auto"/>
          <w:sz w:val="24"/>
          <w:highlight w:val="none"/>
        </w:rPr>
        <w:t>3.</w:t>
      </w:r>
      <w:bookmarkEnd w:id="40"/>
      <w:bookmarkEnd w:id="41"/>
      <w:bookmarkEnd w:id="42"/>
      <w:bookmarkEnd w:id="43"/>
      <w:r>
        <w:rPr>
          <w:rFonts w:hint="eastAsia" w:ascii="仿宋_GB2312" w:hAnsi="仿宋_GB2312" w:eastAsia="仿宋_GB2312" w:cs="仿宋_GB2312"/>
          <w:b/>
          <w:bCs/>
          <w:color w:val="auto"/>
          <w:sz w:val="24"/>
          <w:highlight w:val="none"/>
        </w:rPr>
        <w:t>该项目由采购人处理采购争议。质疑环节，采购人委托采购代理机构处理的，可由采购代理机构答复。对质疑答复不满意的，向采购人内部设置的采购监督机构反映。</w:t>
      </w:r>
    </w:p>
    <w:p>
      <w:pPr>
        <w:adjustRightInd w:val="0"/>
        <w:spacing w:line="312"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政策咨询：何一平、冯华，0571</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rPr>
        <w:t>87058424、87055741</w:t>
      </w:r>
    </w:p>
    <w:p>
      <w:pPr>
        <w:adjustRightInd w:val="0"/>
        <w:spacing w:line="312"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预算金额未达100万元的采购项目，由采购人处理采购争议。</w:t>
      </w:r>
    </w:p>
    <w:p>
      <w:pPr>
        <w:adjustRightInd w:val="0"/>
        <w:spacing w:line="312" w:lineRule="auto"/>
        <w:ind w:firstLine="480" w:firstLineChars="200"/>
        <w:rPr>
          <w:rFonts w:hint="eastAsia" w:ascii="仿宋_GB2312" w:hAnsi="仿宋_GB2312" w:eastAsia="仿宋_GB2312" w:cs="仿宋_GB2312"/>
          <w:color w:val="auto"/>
          <w:sz w:val="24"/>
          <w:highlight w:val="none"/>
        </w:rPr>
      </w:pP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adjustRightInd w:val="0"/>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888</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4636；天谷CA 400</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087</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8198。</w:t>
      </w:r>
    </w:p>
    <w:p>
      <w:pPr>
        <w:spacing w:line="312" w:lineRule="auto"/>
        <w:ind w:firstLine="480" w:firstLineChars="200"/>
        <w:rPr>
          <w:rFonts w:hint="eastAsia" w:ascii="仿宋_GB2312" w:hAnsi="仿宋_GB2312" w:eastAsia="仿宋_GB2312" w:cs="仿宋_GB2312"/>
          <w:color w:val="auto"/>
          <w:kern w:val="0"/>
          <w:sz w:val="24"/>
          <w:highlight w:val="none"/>
          <w:u w:val="single"/>
        </w:rPr>
      </w:pPr>
    </w:p>
    <w:p>
      <w:pPr>
        <w:spacing w:line="312" w:lineRule="auto"/>
        <w:ind w:firstLine="480" w:firstLineChars="200"/>
        <w:rPr>
          <w:rFonts w:hint="eastAsia" w:ascii="仿宋_GB2312" w:hAnsi="仿宋_GB2312" w:eastAsia="仿宋_GB2312" w:cs="仿宋_GB2312"/>
          <w:color w:val="auto"/>
          <w:kern w:val="0"/>
          <w:sz w:val="24"/>
          <w:highlight w:val="none"/>
          <w:u w:val="singl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bookmarkStart w:id="44" w:name="_Toc362940020"/>
      <w:bookmarkStart w:id="45" w:name="_Toc272129958"/>
    </w:p>
    <w:p>
      <w:pPr>
        <w:rPr>
          <w:rFonts w:hint="eastAsia" w:ascii="仿宋_GB2312" w:hAnsi="仿宋_GB2312" w:eastAsia="仿宋_GB2312" w:cs="仿宋_GB2312"/>
          <w:color w:val="auto"/>
          <w:highlight w:val="none"/>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color w:val="auto"/>
          <w:szCs w:val="21"/>
          <w:highlight w:val="none"/>
        </w:rPr>
      </w:pPr>
      <w:bookmarkStart w:id="46" w:name="_Toc8326"/>
      <w:r>
        <w:rPr>
          <w:rFonts w:hint="eastAsia" w:ascii="仿宋_GB2312" w:hAnsi="仿宋_GB2312" w:eastAsia="仿宋_GB2312" w:cs="仿宋_GB2312"/>
          <w:b/>
          <w:color w:val="auto"/>
          <w:sz w:val="30"/>
          <w:szCs w:val="30"/>
          <w:highlight w:val="none"/>
        </w:rPr>
        <w:t>第二</w:t>
      </w:r>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磋商</w:t>
      </w:r>
      <w:bookmarkEnd w:id="44"/>
      <w:r>
        <w:rPr>
          <w:rFonts w:hint="eastAsia" w:ascii="仿宋_GB2312" w:hAnsi="仿宋_GB2312" w:eastAsia="仿宋_GB2312" w:cs="仿宋_GB2312"/>
          <w:b/>
          <w:color w:val="auto"/>
          <w:sz w:val="30"/>
          <w:szCs w:val="30"/>
          <w:highlight w:val="none"/>
        </w:rPr>
        <w:t>须知及前附表</w:t>
      </w:r>
      <w:bookmarkEnd w:id="46"/>
    </w:p>
    <w:p>
      <w:pPr>
        <w:pStyle w:val="3"/>
        <w:adjustRightInd/>
        <w:rPr>
          <w:rFonts w:hint="eastAsia" w:ascii="仿宋_GB2312" w:hAnsi="仿宋_GB2312" w:eastAsia="仿宋_GB2312" w:cs="仿宋_GB2312"/>
          <w:color w:val="auto"/>
          <w:kern w:val="0"/>
          <w:sz w:val="28"/>
          <w:szCs w:val="28"/>
          <w:highlight w:val="none"/>
        </w:rPr>
      </w:pPr>
      <w:bookmarkStart w:id="47" w:name="_Toc24463"/>
      <w:r>
        <w:rPr>
          <w:rFonts w:hint="eastAsia" w:ascii="仿宋_GB2312" w:hAnsi="仿宋_GB2312" w:eastAsia="仿宋_GB2312" w:cs="仿宋_GB2312"/>
          <w:color w:val="auto"/>
          <w:kern w:val="0"/>
          <w:sz w:val="28"/>
          <w:szCs w:val="28"/>
          <w:highlight w:val="none"/>
          <w:lang w:val="en-US" w:eastAsia="zh-CN"/>
        </w:rPr>
        <w:t>磋商须知</w:t>
      </w:r>
      <w:r>
        <w:rPr>
          <w:rFonts w:hint="eastAsia" w:ascii="仿宋_GB2312" w:hAnsi="仿宋_GB2312" w:eastAsia="仿宋_GB2312" w:cs="仿宋_GB2312"/>
          <w:color w:val="auto"/>
          <w:kern w:val="0"/>
          <w:sz w:val="28"/>
          <w:szCs w:val="28"/>
          <w:highlight w:val="none"/>
        </w:rPr>
        <w:t>前附表</w:t>
      </w:r>
      <w:bookmarkEnd w:id="45"/>
      <w:bookmarkEnd w:id="47"/>
    </w:p>
    <w:tbl>
      <w:tblPr>
        <w:tblStyle w:val="5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29"/>
        <w:gridCol w:w="2067"/>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7" w:hRule="atLeast"/>
          <w:tblHeader/>
          <w:jc w:val="center"/>
        </w:trPr>
        <w:tc>
          <w:tcPr>
            <w:tcW w:w="629"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282"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282" w:type="dxa"/>
            <w:vAlign w:val="center"/>
          </w:tcPr>
          <w:p>
            <w:pPr>
              <w:pStyle w:val="9"/>
              <w:adjustRightInd w:val="0"/>
              <w:spacing w:line="264" w:lineRule="auto"/>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5"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采购标的对应的中小企业划分标准所属行业</w:t>
            </w:r>
          </w:p>
        </w:tc>
        <w:tc>
          <w:tcPr>
            <w:tcW w:w="6282" w:type="dxa"/>
            <w:vAlign w:val="center"/>
          </w:tcPr>
          <w:p>
            <w:pPr>
              <w:pStyle w:val="23"/>
              <w:spacing w:line="264"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采购标的：</w:t>
            </w:r>
            <w:r>
              <w:rPr>
                <w:rFonts w:hint="eastAsia" w:ascii="仿宋_GB2312" w:hAnsi="仿宋_GB2312" w:eastAsia="仿宋_GB2312" w:cs="仿宋_GB2312"/>
                <w:color w:val="auto"/>
                <w:szCs w:val="24"/>
                <w:highlight w:val="none"/>
                <w:u w:val="single"/>
              </w:rPr>
              <w:t xml:space="preserve"> 浙江文化数据库内容建设项目（红色经典文学数据资源） </w:t>
            </w:r>
            <w:r>
              <w:rPr>
                <w:rFonts w:hint="eastAsia" w:ascii="仿宋_GB2312" w:hAnsi="仿宋_GB2312" w:eastAsia="仿宋_GB2312" w:cs="仿宋_GB2312"/>
                <w:color w:val="auto"/>
                <w:szCs w:val="24"/>
                <w:highlight w:val="none"/>
              </w:rPr>
              <w:t>，所属行业：</w:t>
            </w:r>
            <w:r>
              <w:rPr>
                <w:rFonts w:hint="eastAsia" w:ascii="仿宋_GB2312" w:hAnsi="仿宋_GB2312" w:eastAsia="仿宋_GB2312" w:cs="仿宋_GB2312"/>
                <w:color w:val="auto"/>
                <w:szCs w:val="24"/>
                <w:highlight w:val="none"/>
                <w:u w:val="single"/>
              </w:rPr>
              <w:t xml:space="preserve"> 软件和信息技术服务业 </w:t>
            </w:r>
            <w:r>
              <w:rPr>
                <w:rFonts w:hint="eastAsia" w:ascii="仿宋_GB2312" w:hAnsi="仿宋_GB2312" w:eastAsia="仿宋_GB2312" w:cs="仿宋_GB2312"/>
                <w:color w:val="auto"/>
                <w:szCs w:val="24"/>
                <w:highlight w:val="none"/>
              </w:rPr>
              <w:t>。</w:t>
            </w:r>
          </w:p>
          <w:p>
            <w:pPr>
              <w:pStyle w:val="23"/>
              <w:spacing w:line="264"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注：</w:t>
            </w:r>
            <w:r>
              <w:rPr>
                <w:rFonts w:hint="eastAsia" w:ascii="仿宋_GB2312" w:hAnsi="仿宋_GB2312" w:eastAsia="仿宋_GB2312" w:cs="仿宋_GB2312"/>
                <w:b/>
                <w:bCs/>
                <w:color w:val="auto"/>
                <w:szCs w:val="24"/>
                <w:highlight w:val="none"/>
                <w:lang w:val="en-US" w:eastAsia="zh-CN"/>
              </w:rPr>
              <w:t xml:space="preserve">根据《中小企业划型标准规定》（工信部联企业〔2011〕300号）规定，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4"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282" w:type="dxa"/>
            <w:vAlign w:val="center"/>
          </w:tcPr>
          <w:p>
            <w:pPr>
              <w:adjustRightInd w:val="0"/>
              <w:spacing w:line="264"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282" w:type="dxa"/>
            <w:vAlign w:val="center"/>
          </w:tcPr>
          <w:p>
            <w:pPr>
              <w:adjustRightInd w:val="0"/>
              <w:spacing w:line="264"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 xml:space="preserve">不允许分包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响应文件开启前答疑会或现场考察</w:t>
            </w:r>
          </w:p>
        </w:tc>
        <w:tc>
          <w:tcPr>
            <w:tcW w:w="6282" w:type="dxa"/>
            <w:vAlign w:val="center"/>
          </w:tcPr>
          <w:p>
            <w:pPr>
              <w:pStyle w:val="9"/>
              <w:adjustRightInd w:val="0"/>
              <w:spacing w:line="264" w:lineRule="auto"/>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282" w:type="dxa"/>
            <w:vAlign w:val="center"/>
          </w:tcPr>
          <w:p>
            <w:pPr>
              <w:adjustRightInd w:val="0"/>
              <w:spacing w:line="264" w:lineRule="auto"/>
              <w:rPr>
                <w:rFonts w:hint="eastAsia" w:ascii="仿宋_GB2312" w:hAnsi="仿宋_GB2312" w:eastAsia="仿宋_GB2312" w:cs="仿宋_GB2312"/>
                <w:b/>
                <w:color w:val="auto"/>
                <w:highlight w:val="none"/>
                <w:lang w:eastAsia="en-US"/>
              </w:rPr>
            </w:pPr>
            <w:r>
              <w:rPr>
                <w:rFonts w:hint="eastAsia" w:ascii="仿宋_GB2312" w:hAnsi="仿宋_GB2312" w:eastAsia="仿宋_GB2312" w:cs="仿宋_GB2312"/>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2067" w:type="dxa"/>
            <w:vAlign w:val="center"/>
          </w:tcPr>
          <w:p>
            <w:pPr>
              <w:adjustRightInd w:val="0"/>
              <w:spacing w:line="264" w:lineRule="auto"/>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282" w:type="dxa"/>
            <w:vAlign w:val="center"/>
          </w:tcPr>
          <w:p>
            <w:pPr>
              <w:adjustRightInd w:val="0"/>
              <w:spacing w:line="264" w:lineRule="auto"/>
              <w:rPr>
                <w:rFonts w:hint="eastAsia" w:ascii="仿宋_GB2312" w:hAnsi="仿宋_GB2312" w:eastAsia="仿宋_GB2312" w:cs="仿宋_GB2312"/>
                <w:b/>
                <w:color w:val="auto"/>
                <w:sz w:val="24"/>
                <w:highlight w:val="none"/>
                <w:lang w:eastAsia="en-US"/>
              </w:rPr>
            </w:pPr>
            <w:r>
              <w:rPr>
                <w:rFonts w:hint="eastAsia" w:ascii="仿宋_GB2312" w:hAnsi="仿宋_GB2312" w:eastAsia="仿宋_GB2312" w:cs="仿宋_GB2312"/>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0" w:hRule="atLeast"/>
          <w:jc w:val="center"/>
        </w:trPr>
        <w:tc>
          <w:tcPr>
            <w:tcW w:w="629" w:type="dxa"/>
            <w:vMerge w:val="restart"/>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2067" w:type="dxa"/>
            <w:vMerge w:val="restart"/>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供应商应当提供的资格、资信证明文件</w:t>
            </w:r>
          </w:p>
        </w:tc>
        <w:tc>
          <w:tcPr>
            <w:tcW w:w="6282" w:type="dxa"/>
            <w:vAlign w:val="center"/>
          </w:tcPr>
          <w:p>
            <w:pPr>
              <w:adjustRightInd w:val="0"/>
              <w:spacing w:line="264"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（1）资格证明文件：见磋商文件第二章11.1。</w:t>
            </w:r>
          </w:p>
          <w:p>
            <w:pPr>
              <w:adjustRightInd w:val="0"/>
              <w:spacing w:line="264"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kern w:val="0"/>
                <w:sz w:val="24"/>
                <w:highlight w:val="none"/>
                <w:lang w:val="zh-CN"/>
              </w:rPr>
              <w:t>供应商未提供有效的资格证明文件的，视为供应</w:t>
            </w:r>
            <w:r>
              <w:rPr>
                <w:rFonts w:hint="eastAsia" w:ascii="仿宋_GB2312" w:hAnsi="仿宋_GB2312" w:eastAsia="仿宋_GB2312" w:cs="仿宋_GB2312"/>
                <w:b/>
                <w:bCs/>
                <w:color w:val="auto"/>
                <w:sz w:val="24"/>
                <w:highlight w:val="none"/>
              </w:rPr>
              <w:t>商不具备磋商文件中规定的资格要求，响应无效</w:t>
            </w:r>
            <w:r>
              <w:rPr>
                <w:rFonts w:hint="eastAsia" w:ascii="仿宋_GB2312" w:hAnsi="仿宋_GB2312" w:eastAsia="仿宋_GB2312" w:cs="仿宋_GB2312"/>
                <w:b/>
                <w:bCs/>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0" w:hRule="atLeast"/>
          <w:jc w:val="center"/>
        </w:trPr>
        <w:tc>
          <w:tcPr>
            <w:tcW w:w="629" w:type="dxa"/>
            <w:vMerge w:val="continue"/>
            <w:vAlign w:val="center"/>
          </w:tcPr>
          <w:p>
            <w:pPr>
              <w:tabs>
                <w:tab w:val="left" w:pos="0"/>
                <w:tab w:val="center" w:pos="368"/>
              </w:tabs>
              <w:adjustRightInd w:val="0"/>
              <w:spacing w:line="264" w:lineRule="auto"/>
              <w:rPr>
                <w:rFonts w:hint="eastAsia" w:ascii="仿宋_GB2312" w:hAnsi="仿宋_GB2312" w:eastAsia="仿宋_GB2312" w:cs="仿宋_GB2312"/>
                <w:color w:val="auto"/>
                <w:sz w:val="24"/>
                <w:highlight w:val="none"/>
              </w:rPr>
            </w:pPr>
          </w:p>
        </w:tc>
        <w:tc>
          <w:tcPr>
            <w:tcW w:w="2067" w:type="dxa"/>
            <w:vMerge w:val="continue"/>
            <w:vAlign w:val="center"/>
          </w:tcPr>
          <w:p>
            <w:pPr>
              <w:adjustRightInd w:val="0"/>
              <w:spacing w:line="264" w:lineRule="auto"/>
              <w:jc w:val="center"/>
              <w:rPr>
                <w:rFonts w:hint="eastAsia" w:ascii="仿宋_GB2312" w:hAnsi="仿宋_GB2312" w:eastAsia="仿宋_GB2312" w:cs="仿宋_GB2312"/>
                <w:b/>
                <w:color w:val="auto"/>
                <w:sz w:val="24"/>
                <w:highlight w:val="none"/>
              </w:rPr>
            </w:pPr>
          </w:p>
        </w:tc>
        <w:tc>
          <w:tcPr>
            <w:tcW w:w="6282" w:type="dxa"/>
            <w:vAlign w:val="center"/>
          </w:tcPr>
          <w:p>
            <w:pPr>
              <w:adjustRightInd w:val="0"/>
              <w:spacing w:line="264"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（2）资信证明文件：根据磋商文件第四</w:t>
            </w:r>
            <w:r>
              <w:rPr>
                <w:rFonts w:hint="eastAsia" w:ascii="仿宋_GB2312" w:hAnsi="仿宋_GB2312" w:eastAsia="仿宋_GB2312" w:cs="仿宋_GB2312"/>
                <w:color w:val="auto"/>
                <w:sz w:val="24"/>
                <w:highlight w:val="none"/>
                <w:lang w:val="en-US" w:eastAsia="zh-CN"/>
              </w:rPr>
              <w:t>章评审方法及评审标准的要求</w:t>
            </w:r>
            <w:r>
              <w:rPr>
                <w:rFonts w:hint="eastAsia" w:ascii="仿宋_GB2312" w:hAnsi="仿宋_GB2312" w:eastAsia="仿宋_GB2312" w:cs="仿宋_GB2312"/>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6"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w:t>
            </w:r>
          </w:p>
        </w:tc>
        <w:tc>
          <w:tcPr>
            <w:tcW w:w="6282" w:type="dxa"/>
            <w:vAlign w:val="center"/>
          </w:tcPr>
          <w:p>
            <w:pPr>
              <w:adjustRightInd w:val="0"/>
              <w:spacing w:line="264"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6"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最后报价要求</w:t>
            </w:r>
          </w:p>
        </w:tc>
        <w:tc>
          <w:tcPr>
            <w:tcW w:w="6282" w:type="dxa"/>
            <w:vAlign w:val="center"/>
          </w:tcPr>
          <w:p>
            <w:pPr>
              <w:adjustRightInd w:val="0"/>
              <w:spacing w:line="264"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w:t>
            </w:r>
            <w:r>
              <w:rPr>
                <w:rFonts w:hint="eastAsia" w:ascii="仿宋_GB2312" w:hAnsi="仿宋_GB2312" w:eastAsia="仿宋_GB2312" w:cs="仿宋_GB2312"/>
                <w:color w:val="auto"/>
                <w:sz w:val="24"/>
                <w:highlight w:val="none"/>
              </w:rPr>
              <w:t>全部</w:t>
            </w:r>
            <w:r>
              <w:rPr>
                <w:rFonts w:hint="eastAsia" w:ascii="仿宋_GB2312" w:hAnsi="仿宋_GB2312" w:eastAsia="仿宋_GB2312" w:cs="仿宋_GB2312"/>
                <w:color w:val="auto"/>
                <w:kern w:val="0"/>
                <w:sz w:val="24"/>
                <w:highlight w:val="none"/>
                <w:lang w:val="zh-CN"/>
              </w:rPr>
              <w:t>费用（含税费）均计入最后报价。</w:t>
            </w:r>
            <w:r>
              <w:rPr>
                <w:rFonts w:hint="eastAsia" w:ascii="仿宋_GB2312" w:hAnsi="仿宋_GB2312" w:eastAsia="仿宋_GB2312" w:cs="仿宋_GB2312"/>
                <w:color w:val="auto"/>
                <w:sz w:val="24"/>
                <w:highlight w:val="none"/>
              </w:rPr>
              <w:t>《最后报价一览表》是报价的唯一载体</w:t>
            </w:r>
            <w:r>
              <w:rPr>
                <w:rFonts w:hint="eastAsia" w:ascii="仿宋_GB2312" w:hAnsi="仿宋_GB2312" w:eastAsia="仿宋_GB2312" w:cs="仿宋_GB2312"/>
                <w:color w:val="auto"/>
                <w:kern w:val="0"/>
                <w:sz w:val="24"/>
                <w:highlight w:val="none"/>
                <w:lang w:val="zh-CN"/>
              </w:rPr>
              <w:t>。响应文件中价格全部采用人民币报价。磋商文件未列明，而供应商认为必需的费用也需列入最后报价。</w:t>
            </w:r>
            <w:r>
              <w:rPr>
                <w:rFonts w:hint="eastAsia" w:ascii="仿宋_GB2312" w:hAnsi="仿宋_GB2312" w:eastAsia="仿宋_GB2312" w:cs="仿宋_GB2312"/>
                <w:b/>
                <w:color w:val="auto"/>
                <w:kern w:val="0"/>
                <w:sz w:val="24"/>
                <w:highlight w:val="none"/>
                <w:lang w:val="zh-CN"/>
              </w:rPr>
              <w:t>提醒：若最终报价与初始报价不一致，且未递交最终分项报价，则分项报价将进行同比例调整。</w:t>
            </w:r>
          </w:p>
          <w:p>
            <w:pPr>
              <w:adjustRightInd w:val="0"/>
              <w:spacing w:line="264" w:lineRule="auto"/>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最后报价出现下列情形的，响应无效：</w:t>
            </w:r>
          </w:p>
          <w:p>
            <w:pPr>
              <w:adjustRightInd w:val="0"/>
              <w:spacing w:line="264" w:lineRule="auto"/>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kern w:val="0"/>
                <w:sz w:val="24"/>
                <w:highlight w:val="none"/>
                <w:lang w:val="zh-CN"/>
              </w:rPr>
              <w:t>出现不是唯一的、有选择性最后报价的；</w:t>
            </w:r>
          </w:p>
          <w:p>
            <w:pPr>
              <w:adjustRightInd w:val="0"/>
              <w:spacing w:line="264"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
                <w:color w:val="auto"/>
                <w:sz w:val="24"/>
                <w:highlight w:val="none"/>
              </w:rPr>
              <w:t>▲最后报价高于本项目采购预算</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lang w:val="en-US" w:eastAsia="zh-CN"/>
              </w:rPr>
              <w:t>或最高限价</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的</w:t>
            </w:r>
            <w:r>
              <w:rPr>
                <w:rFonts w:hint="eastAsia" w:ascii="仿宋_GB2312" w:hAnsi="仿宋_GB2312" w:eastAsia="仿宋_GB2312" w:cs="仿宋_GB2312"/>
                <w:b/>
                <w:color w:val="auto"/>
                <w:sz w:val="24"/>
                <w:highlight w:val="none"/>
                <w:lang w:eastAsia="zh-CN"/>
              </w:rPr>
              <w:t>；</w:t>
            </w:r>
          </w:p>
          <w:p>
            <w:pPr>
              <w:adjustRightInd w:val="0"/>
              <w:spacing w:line="264"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▲最后</w:t>
            </w:r>
            <w:r>
              <w:rPr>
                <w:rFonts w:hint="eastAsia" w:ascii="仿宋_GB2312" w:hAnsi="仿宋_GB2312" w:eastAsia="仿宋_GB2312" w:cs="仿宋_GB2312"/>
                <w:b/>
                <w:color w:val="auto"/>
                <w:kern w:val="0"/>
                <w:sz w:val="24"/>
                <w:highlight w:val="none"/>
              </w:rPr>
              <w:t>报价明显低于其他供应商的最后报价，有可能影响产品质量或者不能诚信履约，且未能按要求提供书面说明或者提交相关证明材料，不能证明其报价合理性的</w:t>
            </w:r>
            <w:r>
              <w:rPr>
                <w:rFonts w:hint="eastAsia" w:ascii="仿宋_GB2312" w:hAnsi="仿宋_GB2312" w:eastAsia="仿宋_GB2312" w:cs="仿宋_GB2312"/>
                <w:b/>
                <w:color w:val="auto"/>
                <w:kern w:val="0"/>
                <w:sz w:val="24"/>
                <w:highlight w:val="none"/>
                <w:lang w:eastAsia="zh-CN"/>
              </w:rPr>
              <w:t>；</w:t>
            </w:r>
          </w:p>
          <w:p>
            <w:pPr>
              <w:adjustRightInd w:val="0"/>
              <w:spacing w:line="264" w:lineRule="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b/>
                <w:color w:val="auto"/>
                <w:sz w:val="24"/>
                <w:highlight w:val="none"/>
              </w:rPr>
              <w:t>▲《最后报价一览表》填写不完整或字迹不能辨认或有漏项的；</w:t>
            </w:r>
          </w:p>
          <w:p>
            <w:pPr>
              <w:adjustRightInd w:val="0"/>
              <w:spacing w:line="264"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▲供应商对根据修正原则修正后的报价不确认的</w:t>
            </w:r>
            <w:r>
              <w:rPr>
                <w:rFonts w:hint="eastAsia" w:ascii="仿宋_GB2312" w:hAnsi="仿宋_GB2312" w:eastAsia="仿宋_GB2312" w:cs="仿宋_GB2312"/>
                <w:b/>
                <w:color w:val="auto"/>
                <w:sz w:val="24"/>
                <w:highlight w:val="none"/>
              </w:rPr>
              <w:t>。</w:t>
            </w:r>
          </w:p>
          <w:p>
            <w:pPr>
              <w:adjustRightInd w:val="0"/>
              <w:spacing w:line="264" w:lineRule="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kern w:val="0"/>
                <w:szCs w:val="21"/>
                <w:highlight w:val="none"/>
                <w:lang w:val="zh-CN"/>
              </w:rPr>
              <w:t>特别说明：▲供应商的最后报价低于项目预算50%的，应当在报价文件中详细阐述不影响产品质量或者诚信履约的具体原因。</w:t>
            </w:r>
            <w:r>
              <w:rPr>
                <w:rFonts w:hint="eastAsia" w:ascii="仿宋_GB2312" w:hAnsi="仿宋_GB2312" w:eastAsia="仿宋_GB2312" w:cs="仿宋_GB2312"/>
                <w:b/>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78"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282" w:type="dxa"/>
            <w:vAlign w:val="center"/>
          </w:tcPr>
          <w:p>
            <w:pPr>
              <w:adjustRightInd w:val="0"/>
              <w:spacing w:line="264"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w:t>
            </w:r>
            <w:r>
              <w:rPr>
                <w:rFonts w:hint="eastAsia" w:ascii="仿宋_GB2312" w:hAnsi="仿宋_GB2312" w:eastAsia="仿宋_GB2312" w:cs="仿宋_GB2312"/>
                <w:snapToGrid w:val="0"/>
                <w:color w:val="auto"/>
                <w:kern w:val="28"/>
                <w:sz w:val="24"/>
                <w:highlight w:val="none"/>
                <w:lang w:eastAsia="zh-CN"/>
              </w:rPr>
              <w:t>—</w:t>
            </w:r>
            <w:r>
              <w:rPr>
                <w:rFonts w:hint="eastAsia" w:ascii="仿宋_GB2312" w:hAnsi="仿宋_GB2312" w:eastAsia="仿宋_GB2312" w:cs="仿宋_GB2312"/>
                <w:snapToGrid w:val="0"/>
                <w:color w:val="auto"/>
                <w:kern w:val="28"/>
                <w:sz w:val="24"/>
                <w:highlight w:val="none"/>
              </w:rPr>
              <w:t>金融服务中心</w:t>
            </w:r>
            <w:r>
              <w:rPr>
                <w:rFonts w:hint="eastAsia" w:ascii="仿宋_GB2312" w:hAnsi="仿宋_GB2312" w:eastAsia="仿宋_GB2312" w:cs="仿宋_GB2312"/>
                <w:snapToGrid w:val="0"/>
                <w:color w:val="auto"/>
                <w:kern w:val="28"/>
                <w:sz w:val="24"/>
                <w:highlight w:val="none"/>
                <w:lang w:eastAsia="zh-CN"/>
              </w:rPr>
              <w:t>—</w:t>
            </w:r>
            <w:r>
              <w:rPr>
                <w:rFonts w:hint="eastAsia" w:ascii="仿宋_GB2312" w:hAnsi="仿宋_GB2312" w:eastAsia="仿宋_GB2312" w:cs="仿宋_GB2312"/>
                <w:snapToGrid w:val="0"/>
                <w:color w:val="auto"/>
                <w:kern w:val="28"/>
                <w:sz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78"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备份响应文件送达地点和签收人员 </w:t>
            </w:r>
          </w:p>
        </w:tc>
        <w:tc>
          <w:tcPr>
            <w:tcW w:w="6282" w:type="dxa"/>
            <w:vAlign w:val="center"/>
          </w:tcPr>
          <w:p>
            <w:pPr>
              <w:pStyle w:val="9"/>
              <w:adjustRightInd w:val="0"/>
              <w:spacing w:line="264"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8"/>
                <w:sz w:val="24"/>
                <w:szCs w:val="24"/>
                <w:highlight w:val="none"/>
              </w:rPr>
              <w:t>备份响应文件送达地点：</w:t>
            </w:r>
            <w:r>
              <w:rPr>
                <w:rFonts w:hint="eastAsia" w:ascii="仿宋_GB2312" w:hAnsi="仿宋_GB2312" w:eastAsia="仿宋_GB2312" w:cs="仿宋_GB2312"/>
                <w:color w:val="auto"/>
                <w:sz w:val="24"/>
                <w:highlight w:val="none"/>
                <w:u w:val="single"/>
              </w:rPr>
              <w:t>杭州市文三路90号东部软件园1号楼317室</w:t>
            </w:r>
            <w:r>
              <w:rPr>
                <w:rFonts w:hint="eastAsia" w:ascii="仿宋_GB2312" w:hAnsi="仿宋_GB2312" w:eastAsia="仿宋_GB2312" w:cs="仿宋_GB2312"/>
                <w:color w:val="auto"/>
                <w:kern w:val="28"/>
                <w:sz w:val="24"/>
                <w:szCs w:val="24"/>
                <w:highlight w:val="none"/>
              </w:rPr>
              <w:t>；备份响应文件签收联系人：</w:t>
            </w:r>
            <w:r>
              <w:rPr>
                <w:rFonts w:hint="eastAsia" w:ascii="仿宋_GB2312" w:hAnsi="仿宋_GB2312" w:eastAsia="仿宋_GB2312" w:cs="仿宋_GB2312"/>
                <w:color w:val="auto"/>
                <w:kern w:val="28"/>
                <w:sz w:val="24"/>
                <w:szCs w:val="24"/>
                <w:highlight w:val="none"/>
                <w:u w:val="single"/>
              </w:rPr>
              <w:t xml:space="preserve"> 沈建平 </w:t>
            </w:r>
            <w:r>
              <w:rPr>
                <w:rFonts w:hint="eastAsia" w:ascii="仿宋_GB2312" w:hAnsi="仿宋_GB2312" w:eastAsia="仿宋_GB2312" w:cs="仿宋_GB2312"/>
                <w:color w:val="auto"/>
                <w:kern w:val="28"/>
                <w:sz w:val="24"/>
                <w:szCs w:val="24"/>
                <w:highlight w:val="none"/>
              </w:rPr>
              <w:t>；联系电话：</w:t>
            </w:r>
            <w:r>
              <w:rPr>
                <w:rFonts w:hint="eastAsia" w:ascii="仿宋_GB2312" w:hAnsi="仿宋_GB2312" w:eastAsia="仿宋_GB2312" w:cs="仿宋_GB2312"/>
                <w:color w:val="auto"/>
                <w:sz w:val="24"/>
                <w:highlight w:val="none"/>
                <w:u w:val="single"/>
              </w:rPr>
              <w:t xml:space="preserve"> 0571</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81061840,18005883302</w:t>
            </w:r>
            <w:r>
              <w:rPr>
                <w:rFonts w:hint="eastAsia" w:ascii="仿宋_GB2312" w:hAnsi="仿宋_GB2312" w:eastAsia="仿宋_GB2312" w:cs="仿宋_GB2312"/>
                <w:color w:val="auto"/>
                <w:sz w:val="24"/>
                <w:szCs w:val="24"/>
                <w:highlight w:val="none"/>
              </w:rPr>
              <w:t>。</w:t>
            </w:r>
          </w:p>
          <w:p>
            <w:pPr>
              <w:pStyle w:val="9"/>
              <w:adjustRightInd w:val="0"/>
              <w:spacing w:line="264" w:lineRule="auto"/>
              <w:rPr>
                <w:rFonts w:hint="eastAsia" w:ascii="仿宋_GB2312" w:hAnsi="仿宋_GB2312" w:eastAsia="仿宋_GB2312" w:cs="仿宋_GB2312"/>
                <w:color w:val="auto"/>
                <w:kern w:val="28"/>
                <w:sz w:val="24"/>
                <w:szCs w:val="20"/>
                <w:highlight w:val="none"/>
              </w:rPr>
            </w:pPr>
            <w:r>
              <w:rPr>
                <w:rFonts w:hint="eastAsia" w:ascii="仿宋_GB2312" w:hAnsi="仿宋_GB2312" w:eastAsia="仿宋_GB2312" w:cs="仿宋_GB2312"/>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78"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采购代理服务费</w:t>
            </w:r>
          </w:p>
        </w:tc>
        <w:tc>
          <w:tcPr>
            <w:tcW w:w="6282" w:type="dxa"/>
            <w:vAlign w:val="center"/>
          </w:tcPr>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本项目的采购代理服务费由成交供应商支付。</w:t>
            </w:r>
          </w:p>
          <w:p>
            <w:pPr>
              <w:adjustRightInd w:val="0"/>
              <w:spacing w:line="264"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8"/>
                <w:sz w:val="24"/>
                <w:highlight w:val="none"/>
              </w:rPr>
              <w:t>1.</w:t>
            </w:r>
            <w:r>
              <w:rPr>
                <w:rFonts w:hint="eastAsia" w:ascii="仿宋_GB2312" w:hAnsi="仿宋_GB2312" w:eastAsia="仿宋_GB2312" w:cs="仿宋_GB2312"/>
                <w:color w:val="auto"/>
                <w:sz w:val="24"/>
                <w:highlight w:val="none"/>
              </w:rPr>
              <w:t>采购代理服务费以成交金额为计费基准，费率为1.2%，不足8000.00元按8000.00元收取。</w:t>
            </w:r>
          </w:p>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2.结算方式及时间为：成交结果公示之日起5个工作日之内，成交供应商</w:t>
            </w:r>
            <w:r>
              <w:rPr>
                <w:rFonts w:hint="eastAsia" w:ascii="仿宋_GB2312" w:hAnsi="仿宋_GB2312" w:eastAsia="仿宋_GB2312" w:cs="仿宋_GB2312"/>
                <w:color w:val="auto"/>
                <w:kern w:val="0"/>
                <w:sz w:val="24"/>
                <w:szCs w:val="24"/>
                <w:highlight w:val="none"/>
              </w:rPr>
              <w:t>可按成交结果公告上的服务费金额缴纳</w:t>
            </w:r>
            <w:r>
              <w:rPr>
                <w:rFonts w:hint="eastAsia" w:ascii="仿宋_GB2312" w:hAnsi="仿宋_GB2312" w:eastAsia="仿宋_GB2312" w:cs="仿宋_GB2312"/>
                <w:color w:val="auto"/>
                <w:kern w:val="28"/>
                <w:sz w:val="24"/>
                <w:szCs w:val="24"/>
                <w:highlight w:val="none"/>
              </w:rPr>
              <w:t>至如下账号：</w:t>
            </w:r>
          </w:p>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 xml:space="preserve">账户名称：浙江国际招投标有限公司 </w:t>
            </w:r>
          </w:p>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开户银行：工商银行杭州武林支行</w:t>
            </w:r>
          </w:p>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账号： 1202021209906782015</w:t>
            </w:r>
          </w:p>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汇款备注栏请注明“项目编号＋服务费”</w:t>
            </w:r>
          </w:p>
          <w:p>
            <w:pPr>
              <w:pStyle w:val="9"/>
              <w:adjustRightInd w:val="0"/>
              <w:spacing w:line="264" w:lineRule="auto"/>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kern w:val="28"/>
                <w:sz w:val="24"/>
                <w:szCs w:val="24"/>
                <w:highlight w:val="none"/>
              </w:rPr>
              <w:t xml:space="preserve">说明：中标、成交供应商放弃中标、成交资格导致重新采购的，应当承担支付代理费和专家评审费等费用在内的赔偿责任。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78" w:hRule="atLeast"/>
          <w:jc w:val="center"/>
        </w:trPr>
        <w:tc>
          <w:tcPr>
            <w:tcW w:w="629" w:type="dxa"/>
            <w:vMerge w:val="restart"/>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2067" w:type="dxa"/>
            <w:vMerge w:val="restart"/>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联合体投标说明</w:t>
            </w:r>
          </w:p>
        </w:tc>
        <w:tc>
          <w:tcPr>
            <w:tcW w:w="6282" w:type="dxa"/>
            <w:vAlign w:val="center"/>
          </w:tcPr>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业绩证明材料</w:t>
            </w:r>
          </w:p>
          <w:p>
            <w:pPr>
              <w:pStyle w:val="9"/>
              <w:adjustRightInd w:val="0"/>
              <w:spacing w:line="264" w:lineRule="auto"/>
              <w:rPr>
                <w:rFonts w:hint="eastAsia" w:ascii="仿宋_GB2312" w:hAnsi="仿宋_GB2312" w:eastAsia="仿宋_GB2312" w:cs="仿宋_GB2312"/>
                <w:snapToGrid w:val="0"/>
                <w:color w:val="auto"/>
                <w:kern w:val="28"/>
                <w:sz w:val="24"/>
                <w:szCs w:val="24"/>
                <w:highlight w:val="none"/>
                <w:u w:val="single"/>
              </w:rPr>
            </w:pPr>
            <w:r>
              <w:rPr>
                <w:rFonts w:hint="eastAsia" w:ascii="仿宋_GB2312" w:hAnsi="仿宋_GB2312" w:eastAsia="仿宋_GB2312" w:cs="仿宋_GB2312"/>
                <w:color w:val="auto"/>
                <w:kern w:val="28"/>
                <w:sz w:val="24"/>
                <w:szCs w:val="24"/>
                <w:highlight w:val="none"/>
              </w:rPr>
              <w:t>联合体投标的，由联合体牵头方出具相应的业绩证明材料。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629" w:type="dxa"/>
            <w:vMerge w:val="continue"/>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p>
        </w:tc>
        <w:tc>
          <w:tcPr>
            <w:tcW w:w="2067" w:type="dxa"/>
            <w:vMerge w:val="continue"/>
            <w:vAlign w:val="center"/>
          </w:tcPr>
          <w:p>
            <w:pPr>
              <w:adjustRightInd w:val="0"/>
              <w:spacing w:line="264" w:lineRule="auto"/>
              <w:jc w:val="center"/>
              <w:rPr>
                <w:rFonts w:hint="eastAsia" w:ascii="仿宋_GB2312" w:hAnsi="仿宋_GB2312" w:eastAsia="仿宋_GB2312" w:cs="仿宋_GB2312"/>
                <w:b/>
                <w:color w:val="auto"/>
                <w:sz w:val="24"/>
                <w:highlight w:val="none"/>
              </w:rPr>
            </w:pPr>
          </w:p>
        </w:tc>
        <w:tc>
          <w:tcPr>
            <w:tcW w:w="6282" w:type="dxa"/>
            <w:vAlign w:val="center"/>
          </w:tcPr>
          <w:p>
            <w:pPr>
              <w:pStyle w:val="9"/>
              <w:adjustRightInd w:val="0"/>
              <w:spacing w:line="264" w:lineRule="auto"/>
              <w:rPr>
                <w:rFonts w:hint="eastAsia" w:ascii="仿宋_GB2312" w:hAnsi="仿宋_GB2312" w:eastAsia="仿宋_GB2312" w:cs="仿宋_GB2312"/>
                <w:color w:val="auto"/>
                <w:kern w:val="28"/>
                <w:sz w:val="24"/>
                <w:szCs w:val="24"/>
                <w:highlight w:val="none"/>
              </w:rPr>
            </w:pPr>
            <w:r>
              <w:rPr>
                <w:rFonts w:hint="eastAsia" w:ascii="仿宋_GB2312" w:hAnsi="仿宋_GB2312" w:eastAsia="仿宋_GB2312" w:cs="仿宋_GB2312"/>
                <w:color w:val="auto"/>
                <w:kern w:val="28"/>
                <w:sz w:val="24"/>
                <w:szCs w:val="24"/>
                <w:highlight w:val="none"/>
              </w:rPr>
              <w:t>其他资信证明材料</w:t>
            </w:r>
          </w:p>
          <w:p>
            <w:pPr>
              <w:pStyle w:val="9"/>
              <w:adjustRightInd w:val="0"/>
              <w:spacing w:line="264" w:lineRule="auto"/>
              <w:rPr>
                <w:rFonts w:hint="eastAsia" w:ascii="仿宋_GB2312" w:hAnsi="仿宋_GB2312" w:eastAsia="仿宋_GB2312" w:cs="仿宋_GB2312"/>
                <w:snapToGrid w:val="0"/>
                <w:color w:val="auto"/>
                <w:kern w:val="28"/>
                <w:sz w:val="24"/>
                <w:szCs w:val="24"/>
                <w:highlight w:val="none"/>
              </w:rPr>
            </w:pPr>
            <w:r>
              <w:rPr>
                <w:rFonts w:hint="eastAsia" w:ascii="仿宋_GB2312" w:hAnsi="仿宋_GB2312" w:eastAsia="仿宋_GB2312" w:cs="仿宋_GB2312"/>
                <w:color w:val="auto"/>
                <w:kern w:val="28"/>
                <w:sz w:val="24"/>
                <w:szCs w:val="24"/>
                <w:highlight w:val="none"/>
              </w:rPr>
              <w:t>联合体投标的，联合体牵头方或者联合体成员根据分工按采购文件第四章评审标准要求提供资信证明文件的，视为</w:t>
            </w:r>
            <w:r>
              <w:rPr>
                <w:rFonts w:hint="eastAsia" w:ascii="仿宋_GB2312" w:hAnsi="仿宋_GB2312" w:eastAsia="仿宋_GB2312" w:cs="仿宋_GB2312"/>
                <w:color w:val="auto"/>
                <w:kern w:val="28"/>
                <w:sz w:val="24"/>
                <w:szCs w:val="24"/>
                <w:highlight w:val="none"/>
                <w:lang w:eastAsia="zh-CN"/>
              </w:rPr>
              <w:t>符合</w:t>
            </w:r>
            <w:r>
              <w:rPr>
                <w:rFonts w:hint="eastAsia" w:ascii="仿宋_GB2312" w:hAnsi="仿宋_GB2312" w:eastAsia="仿宋_GB2312" w:cs="仿宋_GB2312"/>
                <w:color w:val="auto"/>
                <w:kern w:val="28"/>
                <w:sz w:val="24"/>
                <w:szCs w:val="24"/>
                <w:highlight w:val="none"/>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629" w:type="dxa"/>
            <w:vAlign w:val="center"/>
          </w:tcPr>
          <w:p>
            <w:pPr>
              <w:tabs>
                <w:tab w:val="left" w:pos="0"/>
                <w:tab w:val="center" w:pos="368"/>
              </w:tabs>
              <w:adjustRightInd w:val="0"/>
              <w:spacing w:line="264"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2067" w:type="dxa"/>
            <w:vAlign w:val="center"/>
          </w:tcPr>
          <w:p>
            <w:pPr>
              <w:adjustRightInd w:val="0"/>
              <w:spacing w:line="264"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282" w:type="dxa"/>
            <w:vAlign w:val="center"/>
          </w:tcPr>
          <w:p>
            <w:pPr>
              <w:adjustRightInd w:val="0"/>
              <w:spacing w:line="264" w:lineRule="auto"/>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b w:val="0"/>
                <w:bCs/>
                <w:color w:val="auto"/>
                <w:kern w:val="0"/>
                <w:sz w:val="24"/>
                <w:highlight w:val="none"/>
                <w:lang w:val="en-US" w:eastAsia="zh-CN"/>
              </w:rPr>
              <w:t>联合体参与本项目投标（响应）的，建议不超过两家单位组成联合体参与投标（响应）。</w:t>
            </w:r>
          </w:p>
        </w:tc>
      </w:tr>
    </w:tbl>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bookmarkStart w:id="48" w:name="_Toc183786415"/>
      <w:bookmarkStart w:id="49" w:name="_Toc338147400"/>
    </w:p>
    <w:p>
      <w:pPr>
        <w:pStyle w:val="3"/>
        <w:adjustRightInd/>
        <w:rPr>
          <w:rFonts w:hint="eastAsia" w:ascii="仿宋_GB2312" w:hAnsi="仿宋_GB2312" w:eastAsia="仿宋_GB2312" w:cs="仿宋_GB2312"/>
          <w:color w:val="auto"/>
          <w:kern w:val="0"/>
          <w:sz w:val="28"/>
          <w:szCs w:val="28"/>
          <w:highlight w:val="none"/>
        </w:rPr>
      </w:pPr>
      <w:bookmarkStart w:id="50" w:name="_Toc20200"/>
      <w:bookmarkStart w:id="51" w:name="_Toc31832"/>
      <w:bookmarkStart w:id="52" w:name="_Toc25443"/>
      <w:r>
        <w:rPr>
          <w:rFonts w:hint="eastAsia" w:ascii="仿宋_GB2312" w:hAnsi="仿宋_GB2312" w:eastAsia="仿宋_GB2312" w:cs="仿宋_GB2312"/>
          <w:color w:val="auto"/>
          <w:kern w:val="0"/>
          <w:sz w:val="28"/>
          <w:szCs w:val="28"/>
          <w:highlight w:val="none"/>
        </w:rPr>
        <w:t>一、总则</w:t>
      </w:r>
      <w:bookmarkEnd w:id="50"/>
      <w:bookmarkEnd w:id="51"/>
      <w:bookmarkEnd w:id="52"/>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本磋商文件适用于该项目的邀请、响应、开启响应文件、信用信息查询、</w:t>
      </w:r>
      <w:r>
        <w:rPr>
          <w:rFonts w:hint="eastAsia" w:ascii="仿宋_GB2312" w:hAnsi="仿宋_GB2312" w:eastAsia="仿宋_GB2312" w:cs="仿宋_GB2312"/>
          <w:color w:val="auto"/>
          <w:sz w:val="24"/>
          <w:highlight w:val="none"/>
          <w:lang w:eastAsia="zh-CN"/>
        </w:rPr>
        <w:t>资格</w:t>
      </w:r>
      <w:r>
        <w:rPr>
          <w:rFonts w:hint="eastAsia" w:ascii="仿宋_GB2312" w:hAnsi="仿宋_GB2312" w:eastAsia="仿宋_GB2312" w:cs="仿宋_GB2312"/>
          <w:color w:val="auto"/>
          <w:sz w:val="24"/>
          <w:highlight w:val="none"/>
        </w:rPr>
        <w:t>审查、评审、成交、合同、验收等行为（</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另有规定的，从其规定）。</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2.定义</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2.1“采购人”系指磋商邀请公告中载明的本项目的采购人。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2.2“采购代理机构”系指磋商邀请公告中载明的本项目的采购代理机构。</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2.3“供应商”系指响应磋商、参加本次竞争的法人、其他组织或自然人。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2.4“负责人”系指法人企业的法定负责人，或其他组织为法律、行政法规规定代表单位行使职权的主要负责人，或自然人本人。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2.5“成交供应商”系指经评审确定的成交供应商。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2.6“响应文件”系指供应商提交的商务技术文件。供应商提交最后报价后，最后报价是供应商响应文件的有效组成部分。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2.7“电子交易平台”是指本项目政府采购活动所依托的政府采购云平台（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"https://www.zcygov.cn/"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24"/>
          <w:highlight w:val="none"/>
        </w:rPr>
        <w:t>https://www.zcygov.cn/</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仿宋_GB2312" w:hAnsi="仿宋_GB2312" w:eastAsia="仿宋_GB2312" w:cs="仿宋_GB2312"/>
          <w:color w:val="auto"/>
          <w:sz w:val="24"/>
          <w:highlight w:val="none"/>
          <w:lang w:val="en-US" w:eastAsia="zh-CN"/>
        </w:rPr>
        <w:t>详见第七章</w:t>
      </w:r>
      <w:r>
        <w:rPr>
          <w:rFonts w:hint="eastAsia" w:ascii="仿宋_GB2312" w:hAnsi="仿宋_GB2312" w:eastAsia="仿宋_GB2312" w:cs="仿宋_GB2312"/>
          <w:color w:val="auto"/>
          <w:sz w:val="24"/>
          <w:highlight w:val="none"/>
        </w:rPr>
        <w:t>附件1）。</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2.9“▲”系指实质性要求条款，“</w:t>
      </w:r>
      <w:r>
        <w:rPr>
          <w:rFonts w:hint="eastAsia" w:ascii="仿宋_GB2312" w:hAnsi="仿宋_GB2312" w:eastAsia="仿宋_GB2312" w:cs="仿宋_GB2312"/>
          <w:b/>
          <w:bCs/>
          <w:color w:val="auto"/>
          <w:sz w:val="24"/>
          <w:highlight w:val="none"/>
        </w:rPr>
        <w:sym w:font="Wingdings 2" w:char="0052"/>
      </w:r>
      <w:r>
        <w:rPr>
          <w:rFonts w:hint="eastAsia" w:ascii="仿宋_GB2312" w:hAnsi="仿宋_GB2312" w:eastAsia="仿宋_GB2312" w:cs="仿宋_GB2312"/>
          <w:b/>
          <w:bCs/>
          <w:color w:val="auto"/>
          <w:sz w:val="24"/>
          <w:highlight w:val="none"/>
        </w:rPr>
        <w:t>” 系指适用本项目的要求，“☐”系指不适用本项目的要求。</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3.采购项目需要落实的政府采购政策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3.2支持绿色发展</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仿宋_GB2312" w:hAnsi="仿宋_GB2312" w:eastAsia="仿宋_GB2312" w:cs="仿宋_GB2312"/>
          <w:b/>
          <w:bCs/>
          <w:color w:val="auto"/>
          <w:sz w:val="24"/>
          <w:highlight w:val="none"/>
        </w:rPr>
        <w:t>（本项目不适用）</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▲采购人拟采购的产品属于政府强制采购的节能产品品目清单范围的，供应商未按磋商文件要求提供国家确定的认证机构出具的、处于有效期之内的节能产品认证证书的，响应无效。（本项目不适用）</w:t>
      </w:r>
    </w:p>
    <w:p>
      <w:pPr>
        <w:adjustRightInd w:val="0"/>
        <w:spacing w:line="312" w:lineRule="auto"/>
        <w:ind w:firstLine="480"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3.2.2修缮、装修类项目采购建材的，采购人应将绿色建筑和绿色建材性能、指标等作为实质性条件纳入磋商文件和合同。</w:t>
      </w:r>
      <w:r>
        <w:rPr>
          <w:rFonts w:hint="eastAsia" w:ascii="仿宋_GB2312" w:hAnsi="仿宋_GB2312" w:eastAsia="仿宋_GB2312" w:cs="仿宋_GB2312"/>
          <w:b/>
          <w:bCs/>
          <w:color w:val="auto"/>
          <w:sz w:val="24"/>
          <w:highlight w:val="none"/>
        </w:rPr>
        <w:t>（本项目不适用）</w:t>
      </w:r>
    </w:p>
    <w:p>
      <w:pPr>
        <w:adjustRightInd w:val="0"/>
        <w:spacing w:line="312" w:lineRule="auto"/>
        <w:ind w:firstLine="480"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快递包装政府采购需求标准（试行）》。</w:t>
      </w:r>
      <w:r>
        <w:rPr>
          <w:rFonts w:hint="eastAsia" w:ascii="仿宋_GB2312" w:hAnsi="仿宋_GB2312" w:eastAsia="仿宋_GB2312" w:cs="仿宋_GB2312"/>
          <w:b/>
          <w:bCs/>
          <w:color w:val="auto"/>
          <w:sz w:val="24"/>
          <w:highlight w:val="none"/>
        </w:rPr>
        <w:t>（本项目不适用）</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3.3.2在政府采购活动中，供应商提供的货物、工程或者服务符合下列情形的，享受中小企业扶持政策：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3.3.2.1在货物采购项目中，货物由中小企业制造，即货物由中小企业生产且使用该中小企业商号或者注册商标；</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3.3.2.2在工程采购项目中，工程由中小企业承建，即工程施工单位为中小企业；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3.3.2.3在服务采购项目中，服务由中小企业承接，即提供服务的人员为中小企业依照《中华人民共和国劳动合同法》订立劳动合同的从业人员。</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在货物采购项目中，供应商提供的货物既有中小企业制造货物，也有大型企业制造货物的，不享受中小企业扶持政策。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以联合体形式参加政府采购活动，联合体各方均为中小企业的，联合体视同中小企业。其中，联合体各方均为小微企业的，联合体视同小微企业。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3.3.3对于未预留份额专门面向中小企业的政府采购服务项目，以及预留份额政府采购服务项目中的非预留部分标项，对小型和微型企业的最后报价给予10%～20%（磋商文件第</w:t>
      </w:r>
      <w:r>
        <w:rPr>
          <w:rFonts w:hint="eastAsia" w:ascii="仿宋_GB2312" w:hAnsi="仿宋_GB2312" w:eastAsia="仿宋_GB2312" w:cs="仿宋_GB2312"/>
          <w:color w:val="auto"/>
          <w:sz w:val="24"/>
          <w:highlight w:val="none"/>
          <w:lang w:val="en-US" w:eastAsia="zh-CN"/>
        </w:rPr>
        <w:t>四章评审办法及评审标准应</w:t>
      </w:r>
      <w:r>
        <w:rPr>
          <w:rFonts w:hint="eastAsia" w:ascii="仿宋_GB2312" w:hAnsi="仿宋_GB2312" w:eastAsia="仿宋_GB2312" w:cs="仿宋_GB2312"/>
          <w:color w:val="auto"/>
          <w:sz w:val="24"/>
          <w:highlight w:val="none"/>
        </w:rPr>
        <w:t>明确具体的扣除比例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未明确的，给予20%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磋商文件第</w:t>
      </w:r>
      <w:r>
        <w:rPr>
          <w:rFonts w:hint="eastAsia" w:ascii="仿宋_GB2312" w:hAnsi="仿宋_GB2312" w:eastAsia="仿宋_GB2312" w:cs="仿宋_GB2312"/>
          <w:color w:val="auto"/>
          <w:sz w:val="24"/>
          <w:highlight w:val="none"/>
          <w:lang w:val="en-US" w:eastAsia="zh-CN"/>
        </w:rPr>
        <w:t>四章评审办法及评审标准应</w:t>
      </w:r>
      <w:r>
        <w:rPr>
          <w:rFonts w:hint="eastAsia" w:ascii="仿宋_GB2312" w:hAnsi="仿宋_GB2312" w:eastAsia="仿宋_GB2312" w:cs="仿宋_GB2312"/>
          <w:color w:val="auto"/>
          <w:sz w:val="24"/>
          <w:highlight w:val="none"/>
        </w:rPr>
        <w:t>明确具体的扣除比例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未明确的，给予6%的扣除）的扣除，用扣除后的价格参加评审。组成联合体或者接受分包的小微企业与联合体内其他企业、分包企业之间存在直接控股、管理关系的，不享受价格扣除优惠政策。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3.3.4符合《关于促进残疾人就业政府采购政策的通知》（财库〔2017〕141号）规定的条件并提供《残疾人福利性单位声明函》的残疾人福利性单位视同小型、微型企业；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w:t>
      </w:r>
      <w:r>
        <w:rPr>
          <w:rFonts w:hint="eastAsia" w:ascii="仿宋_GB2312" w:hAnsi="仿宋_GB2312" w:eastAsia="仿宋_GB2312" w:cs="仿宋_GB2312"/>
          <w:color w:val="auto"/>
          <w:sz w:val="24"/>
          <w:highlight w:val="none"/>
          <w:lang w:eastAsia="zh-CN"/>
        </w:rPr>
        <w:t>〔2014〕68号</w:t>
      </w:r>
      <w:r>
        <w:rPr>
          <w:rFonts w:hint="eastAsia" w:ascii="仿宋_GB2312" w:hAnsi="仿宋_GB2312" w:eastAsia="仿宋_GB2312" w:cs="仿宋_GB2312"/>
          <w:color w:val="auto"/>
          <w:sz w:val="24"/>
          <w:highlight w:val="none"/>
        </w:rPr>
        <w:t>）规定的监狱企业并提供由省级以上监狱管理局、戒毒管理局（含新疆生产建设兵团）出具的属于监狱企业证明文件的，视同为小型、微型企业。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3.4支持创新发展</w:t>
      </w:r>
    </w:p>
    <w:p>
      <w:pPr>
        <w:adjustRightInd w:val="0"/>
        <w:spacing w:line="312" w:lineRule="auto"/>
        <w:ind w:firstLine="480"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r>
        <w:rPr>
          <w:rFonts w:hint="eastAsia" w:ascii="仿宋_GB2312" w:hAnsi="仿宋_GB2312" w:eastAsia="仿宋_GB2312" w:cs="仿宋_GB2312"/>
          <w:b/>
          <w:bCs/>
          <w:color w:val="auto"/>
          <w:sz w:val="24"/>
          <w:highlight w:val="none"/>
        </w:rPr>
        <w:t>（本项目不适用）</w:t>
      </w:r>
    </w:p>
    <w:p>
      <w:pPr>
        <w:adjustRightInd w:val="0"/>
        <w:spacing w:line="312" w:lineRule="auto"/>
        <w:ind w:firstLine="480"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3.4.2对省级以上主管部门认定的首台套产品，自纳入《省推广应用指导目录》起三年内参加政府采购活动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视同已具备相应销售业绩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业绩分为满分。产品核心技术高于国内领先水平，并具有明晰自主知识产权的“制造精品”产品，自认定之日起2年内视同已具备相应销售业绩，参加政府采购活动时业绩分值为满分。</w:t>
      </w:r>
      <w:r>
        <w:rPr>
          <w:rFonts w:hint="eastAsia" w:ascii="仿宋_GB2312" w:hAnsi="仿宋_GB2312" w:eastAsia="仿宋_GB2312" w:cs="仿宋_GB2312"/>
          <w:b/>
          <w:bCs/>
          <w:color w:val="auto"/>
          <w:sz w:val="24"/>
          <w:highlight w:val="none"/>
        </w:rPr>
        <w:t>（本项目不适用）</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3.5平等对待内外资企业和符合条件的破产重整企业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平等对待内外资企业和符合条件的破产重整企业，切实保障企业公平竞争，平等维护企业的合法利益。</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4.询问、质疑、投诉</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4.1</w:t>
      </w:r>
      <w:r>
        <w:rPr>
          <w:rFonts w:hint="eastAsia" w:ascii="仿宋_GB2312" w:hAnsi="仿宋_GB2312" w:eastAsia="仿宋_GB2312" w:cs="仿宋_GB2312"/>
          <w:color w:val="auto"/>
          <w:sz w:val="24"/>
          <w:highlight w:val="none"/>
          <w:lang w:val="zh-CN"/>
        </w:rPr>
        <w:t>供应商询问</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w:t>
      </w:r>
      <w:r>
        <w:rPr>
          <w:rFonts w:hint="eastAsia" w:ascii="仿宋_GB2312" w:hAnsi="仿宋_GB2312" w:eastAsia="仿宋_GB2312" w:cs="仿宋_GB2312"/>
          <w:color w:val="auto"/>
          <w:sz w:val="24"/>
          <w:highlight w:val="none"/>
          <w:lang w:val="zh-CN"/>
        </w:rPr>
        <w:t>供应商质疑</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4.2.1提出质疑的供应商应当是参与所质疑项目采购活动的供应商。潜在供应商已依法获取其可质疑的磋商文件的，可以对该文件提出质疑。</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4.2.2.1对磋商文件提出质疑的，质疑期限为供应商获得磋商文件之日或者磋商公告期限届满之日起计算。</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4.2.2.2对采购过程提出质疑的，质疑期限为各采购程序环节结束之日起计算。</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4.2.2.3对采购结果提出质疑的，质疑期限自采购结果公告期限届满之日起计算。</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4.2.3供应商提出质疑应当提交质疑函和必要的证明材料。质疑函应当包括下列内容：</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4.2.3.1</w:t>
      </w:r>
      <w:r>
        <w:rPr>
          <w:rFonts w:hint="eastAsia" w:ascii="仿宋_GB2312" w:hAnsi="仿宋_GB2312" w:eastAsia="仿宋_GB2312" w:cs="仿宋_GB2312"/>
          <w:color w:val="auto"/>
          <w:sz w:val="24"/>
          <w:highlight w:val="none"/>
          <w:lang w:val="zh-CN"/>
        </w:rPr>
        <w:t>供应商的姓名或者名称、地址、邮编、联系人及联系电话；</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4.2.3.2</w:t>
      </w:r>
      <w:r>
        <w:rPr>
          <w:rFonts w:hint="eastAsia" w:ascii="仿宋_GB2312" w:hAnsi="仿宋_GB2312" w:eastAsia="仿宋_GB2312" w:cs="仿宋_GB2312"/>
          <w:color w:val="auto"/>
          <w:sz w:val="24"/>
          <w:highlight w:val="none"/>
          <w:lang w:val="zh-CN"/>
        </w:rPr>
        <w:t>质疑项目的名称、编号；</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4.2.3.3</w:t>
      </w:r>
      <w:r>
        <w:rPr>
          <w:rFonts w:hint="eastAsia" w:ascii="仿宋_GB2312" w:hAnsi="仿宋_GB2312" w:eastAsia="仿宋_GB2312" w:cs="仿宋_GB2312"/>
          <w:color w:val="auto"/>
          <w:sz w:val="24"/>
          <w:highlight w:val="none"/>
          <w:lang w:val="zh-CN"/>
        </w:rPr>
        <w:t>具体、明确的质疑事项和与质疑事项相关的请求；</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4.2.3.4</w:t>
      </w:r>
      <w:r>
        <w:rPr>
          <w:rFonts w:hint="eastAsia" w:ascii="仿宋_GB2312" w:hAnsi="仿宋_GB2312" w:eastAsia="仿宋_GB2312" w:cs="仿宋_GB2312"/>
          <w:color w:val="auto"/>
          <w:sz w:val="24"/>
          <w:highlight w:val="none"/>
          <w:lang w:val="zh-CN"/>
        </w:rPr>
        <w:t>事实依据；</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4.2.3.5</w:t>
      </w:r>
      <w:r>
        <w:rPr>
          <w:rFonts w:hint="eastAsia" w:ascii="仿宋_GB2312" w:hAnsi="仿宋_GB2312" w:eastAsia="仿宋_GB2312" w:cs="仿宋_GB2312"/>
          <w:color w:val="auto"/>
          <w:sz w:val="24"/>
          <w:highlight w:val="none"/>
          <w:lang w:val="zh-CN"/>
        </w:rPr>
        <w:t>必要的法律依据；</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4.2.3.6</w:t>
      </w:r>
      <w:r>
        <w:rPr>
          <w:rFonts w:hint="eastAsia" w:ascii="仿宋_GB2312" w:hAnsi="仿宋_GB2312" w:eastAsia="仿宋_GB2312" w:cs="仿宋_GB2312"/>
          <w:color w:val="auto"/>
          <w:sz w:val="24"/>
          <w:highlight w:val="none"/>
          <w:lang w:val="zh-CN"/>
        </w:rPr>
        <w:t>提出质疑的日期。</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质疑函范本及制作说明详见第七章附件</w:t>
      </w:r>
      <w:r>
        <w:rPr>
          <w:rFonts w:hint="eastAsia" w:ascii="仿宋_GB2312" w:hAnsi="仿宋_GB2312" w:eastAsia="仿宋_GB2312" w:cs="仿宋_GB2312"/>
          <w:b/>
          <w:bCs/>
          <w:color w:val="auto"/>
          <w:sz w:val="24"/>
          <w:highlight w:val="none"/>
          <w:lang w:val="en-US" w:eastAsia="zh-CN"/>
        </w:rPr>
        <w:t>6</w:t>
      </w:r>
      <w:r>
        <w:rPr>
          <w:rFonts w:hint="eastAsia" w:ascii="仿宋_GB2312" w:hAnsi="仿宋_GB2312" w:eastAsia="仿宋_GB2312" w:cs="仿宋_GB2312"/>
          <w:b/>
          <w:bCs/>
          <w:color w:val="auto"/>
          <w:sz w:val="24"/>
          <w:highlight w:val="none"/>
        </w:rPr>
        <w:t>。</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4.2.4</w:t>
      </w:r>
      <w:r>
        <w:rPr>
          <w:rFonts w:hint="eastAsia" w:ascii="仿宋_GB2312" w:hAnsi="仿宋_GB2312" w:eastAsia="仿宋_GB2312" w:cs="仿宋_GB2312"/>
          <w:color w:val="auto"/>
          <w:sz w:val="24"/>
          <w:highlight w:val="none"/>
          <w:lang w:val="zh-CN"/>
        </w:rPr>
        <w:t>对同一采购程序环节的质疑，供应商须在法定质疑期内一次性提出。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4.2.6询问或者质疑事项可能影响采购结果的，采购人应当暂停签订合同，已经签订合同的，应当中止履行合同。</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4.3</w:t>
      </w:r>
      <w:r>
        <w:rPr>
          <w:rFonts w:hint="eastAsia" w:ascii="仿宋_GB2312" w:hAnsi="仿宋_GB2312" w:eastAsia="仿宋_GB2312" w:cs="仿宋_GB2312"/>
          <w:color w:val="auto"/>
          <w:sz w:val="24"/>
          <w:highlight w:val="none"/>
          <w:lang w:val="zh-CN"/>
        </w:rPr>
        <w:t>供应商投诉</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4.3.2供应商投诉的事项不得超出已质疑事项的范围，基于质疑答复内容提出的投诉事项除外。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4.3.3供应商投诉应当有明确的请求和必要的证明材料。</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4.3.4以联合体形式参加政府采购活动的，其投诉应当由组成联合体的所有供应商共同提出。</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投诉书范本及制作说明详见第七章附件</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p>
    <w:p>
      <w:pPr>
        <w:pStyle w:val="3"/>
        <w:adjustRightInd/>
        <w:rPr>
          <w:rFonts w:hint="eastAsia" w:ascii="仿宋_GB2312" w:hAnsi="仿宋_GB2312" w:eastAsia="仿宋_GB2312" w:cs="仿宋_GB2312"/>
          <w:color w:val="auto"/>
          <w:kern w:val="0"/>
          <w:sz w:val="28"/>
          <w:szCs w:val="28"/>
          <w:highlight w:val="none"/>
        </w:rPr>
      </w:pPr>
      <w:bookmarkStart w:id="53" w:name="_Toc17446"/>
      <w:bookmarkStart w:id="54" w:name="_Toc27700"/>
      <w:bookmarkStart w:id="55" w:name="_Toc24043"/>
      <w:bookmarkStart w:id="56" w:name="_Toc11724"/>
      <w:r>
        <w:rPr>
          <w:rFonts w:hint="eastAsia" w:ascii="仿宋_GB2312" w:hAnsi="仿宋_GB2312" w:eastAsia="仿宋_GB2312" w:cs="仿宋_GB2312"/>
          <w:color w:val="auto"/>
          <w:kern w:val="0"/>
          <w:sz w:val="28"/>
          <w:szCs w:val="28"/>
          <w:highlight w:val="none"/>
        </w:rPr>
        <w:t>二、磋商文件构成、修改、解释</w:t>
      </w:r>
      <w:bookmarkEnd w:id="53"/>
      <w:bookmarkEnd w:id="54"/>
      <w:bookmarkEnd w:id="55"/>
      <w:bookmarkEnd w:id="56"/>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5.磋商文件的构成</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5.1磋商文件包括下列文件及附件</w:t>
      </w:r>
    </w:p>
    <w:p>
      <w:pPr>
        <w:adjustRightInd w:val="0"/>
        <w:spacing w:line="312" w:lineRule="auto"/>
        <w:ind w:firstLine="900" w:firstLineChars="375"/>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5.1.1供应商邀请</w:t>
      </w:r>
    </w:p>
    <w:p>
      <w:pPr>
        <w:adjustRightInd w:val="0"/>
        <w:spacing w:line="312" w:lineRule="auto"/>
        <w:ind w:firstLine="900" w:firstLineChars="375"/>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5.1.2</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须知</w:t>
      </w:r>
      <w:r>
        <w:rPr>
          <w:rFonts w:hint="eastAsia" w:ascii="仿宋_GB2312" w:hAnsi="仿宋_GB2312" w:eastAsia="仿宋_GB2312" w:cs="仿宋_GB2312"/>
          <w:color w:val="auto"/>
          <w:sz w:val="24"/>
          <w:highlight w:val="none"/>
          <w:lang w:val="en-US" w:eastAsia="zh-CN"/>
        </w:rPr>
        <w:t>及前附表</w:t>
      </w:r>
    </w:p>
    <w:p>
      <w:pPr>
        <w:adjustRightInd w:val="0"/>
        <w:spacing w:line="312" w:lineRule="auto"/>
        <w:ind w:firstLine="900" w:firstLineChars="375"/>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采购需求</w:t>
      </w:r>
    </w:p>
    <w:p>
      <w:pPr>
        <w:adjustRightInd w:val="0"/>
        <w:spacing w:line="312" w:lineRule="auto"/>
        <w:ind w:firstLine="900" w:firstLineChars="375"/>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评审方法及评审标准</w:t>
      </w:r>
    </w:p>
    <w:p>
      <w:pPr>
        <w:adjustRightInd w:val="0"/>
        <w:spacing w:line="312" w:lineRule="auto"/>
        <w:ind w:firstLine="900" w:firstLineChars="375"/>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拟签订的合同文本</w:t>
      </w:r>
    </w:p>
    <w:p>
      <w:pPr>
        <w:adjustRightInd w:val="0"/>
        <w:spacing w:line="312" w:lineRule="auto"/>
        <w:ind w:firstLine="900" w:firstLineChars="375"/>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应提交的有关</w:t>
      </w:r>
      <w:r>
        <w:rPr>
          <w:rFonts w:hint="eastAsia" w:ascii="仿宋_GB2312" w:hAnsi="仿宋_GB2312" w:eastAsia="仿宋_GB2312" w:cs="仿宋_GB2312"/>
          <w:color w:val="auto"/>
          <w:sz w:val="24"/>
          <w:highlight w:val="none"/>
          <w:lang w:val="en-US" w:eastAsia="zh-CN"/>
        </w:rPr>
        <w:t>响应文件</w:t>
      </w:r>
      <w:r>
        <w:rPr>
          <w:rFonts w:hint="eastAsia" w:ascii="仿宋_GB2312" w:hAnsi="仿宋_GB2312" w:eastAsia="仿宋_GB2312" w:cs="仿宋_GB2312"/>
          <w:color w:val="auto"/>
          <w:sz w:val="24"/>
          <w:highlight w:val="none"/>
        </w:rPr>
        <w:t>格式范例</w:t>
      </w:r>
    </w:p>
    <w:p>
      <w:pPr>
        <w:adjustRightInd w:val="0"/>
        <w:spacing w:line="312" w:lineRule="auto"/>
        <w:ind w:firstLine="900" w:firstLineChars="375"/>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5.1.7其他 </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5.2与本项目有关的澄清或者修改的内容为磋商文件的组成部分。</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6.磋商文件的澄清、修改</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6.1已获取磋商文件的潜在供应商，若有问题需要澄清，应于提交首次响应文件截止时间前，以书面形式向采购代理机构提出。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▲响应文件未按磋商文件的澄清、修改的内容编制，又不符合实质性要求的，响应无效。</w:t>
      </w:r>
    </w:p>
    <w:p>
      <w:pPr>
        <w:pStyle w:val="3"/>
        <w:adjustRightInd/>
        <w:rPr>
          <w:rFonts w:hint="eastAsia" w:ascii="仿宋_GB2312" w:hAnsi="仿宋_GB2312" w:eastAsia="仿宋_GB2312" w:cs="仿宋_GB2312"/>
          <w:color w:val="auto"/>
          <w:kern w:val="0"/>
          <w:sz w:val="28"/>
          <w:szCs w:val="28"/>
          <w:highlight w:val="none"/>
        </w:rPr>
      </w:pPr>
      <w:bookmarkStart w:id="57" w:name="_Toc12904"/>
      <w:bookmarkStart w:id="58" w:name="_Toc29837"/>
      <w:bookmarkStart w:id="59" w:name="_Toc1782"/>
      <w:bookmarkStart w:id="60" w:name="_Toc6549"/>
      <w:r>
        <w:rPr>
          <w:rFonts w:hint="eastAsia" w:ascii="仿宋_GB2312" w:hAnsi="仿宋_GB2312" w:eastAsia="仿宋_GB2312" w:cs="仿宋_GB2312"/>
          <w:color w:val="auto"/>
          <w:kern w:val="0"/>
          <w:sz w:val="28"/>
          <w:szCs w:val="28"/>
          <w:highlight w:val="none"/>
        </w:rPr>
        <w:t>三、响应文件的编制</w:t>
      </w:r>
      <w:bookmarkEnd w:id="57"/>
      <w:bookmarkEnd w:id="58"/>
      <w:bookmarkEnd w:id="59"/>
      <w:bookmarkEnd w:id="60"/>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7.磋商文件的获取</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详见竞争性磋商公告中获取磋商文件的时间期限、地点、方式。</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8.磋商前答疑会或现场考察</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采购人组织潜在供应商现场考察或者召开磋商前答疑会的，潜在供应商按第二章供应商须知前附表的规定参加现场考察或者开标前答疑会。</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9.磋商保证金</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本项目不需缴纳磋商保证金。</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10.响应文件的语言</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响应文件及供应商与采购有关的来往通知、函件和文件均应使用中文。</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11.响应文件的组成</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响应文件应当包括以下主要内容：</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11.1资格文件：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（2）落实政府采购政策需满足的资格要求；（本项目不适用）</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（3）本项目的特定资格要求；（本项目不适用）</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（4）联合协议。（如有）</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rPr>
        <w:t>11.2商务技术</w:t>
      </w:r>
      <w:r>
        <w:rPr>
          <w:rFonts w:hint="eastAsia" w:ascii="仿宋_GB2312" w:hAnsi="仿宋_GB2312" w:eastAsia="仿宋_GB2312" w:cs="仿宋_GB2312"/>
          <w:b/>
          <w:bCs/>
          <w:color w:val="auto"/>
          <w:sz w:val="24"/>
          <w:highlight w:val="none"/>
          <w:lang w:val="zh-CN"/>
        </w:rPr>
        <w:t>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（1）响应函；</w:t>
      </w:r>
      <w:r>
        <w:rPr>
          <w:rFonts w:hint="eastAsia" w:ascii="仿宋_GB2312" w:hAnsi="仿宋_GB2312" w:eastAsia="仿宋_GB2312" w:cs="仿宋_GB2312"/>
          <w:color w:val="auto"/>
          <w:sz w:val="24"/>
          <w:highlight w:val="none"/>
          <w:lang w:val="zh-CN"/>
        </w:rPr>
        <w:t xml:space="preserve"> </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（2）授权委托书或法定代表人（单位负责人、自然人本人）身份证明；</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（3）分包意向协议；（</w:t>
      </w:r>
      <w:r>
        <w:rPr>
          <w:rFonts w:hint="eastAsia" w:ascii="仿宋_GB2312" w:hAnsi="仿宋_GB2312" w:eastAsia="仿宋_GB2312" w:cs="仿宋_GB2312"/>
          <w:color w:val="auto"/>
          <w:sz w:val="24"/>
          <w:highlight w:val="none"/>
          <w:lang w:val="en-US" w:eastAsia="zh-CN"/>
        </w:rPr>
        <w:t>本项目不适用</w:t>
      </w:r>
      <w:r>
        <w:rPr>
          <w:rFonts w:hint="eastAsia" w:ascii="仿宋_GB2312" w:hAnsi="仿宋_GB2312" w:eastAsia="仿宋_GB2312" w:cs="仿宋_GB2312"/>
          <w:color w:val="auto"/>
          <w:sz w:val="24"/>
          <w:highlight w:val="none"/>
        </w:rPr>
        <w:t>）</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）符合性审查资料；</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）评标标准相应的商务技术资料；</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sz w:val="24"/>
          <w:szCs w:val="24"/>
          <w:highlight w:val="none"/>
        </w:rPr>
        <w:t>标的清单</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商务技术偏离表；</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lang w:val="zh-CN"/>
        </w:rPr>
        <w:t>）政府采购供应商廉洁自律承诺书。</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rPr>
        <w:t>11.3</w:t>
      </w:r>
      <w:r>
        <w:rPr>
          <w:rFonts w:hint="eastAsia" w:ascii="仿宋_GB2312" w:hAnsi="仿宋_GB2312" w:eastAsia="仿宋_GB2312" w:cs="仿宋_GB2312"/>
          <w:b/>
          <w:bCs/>
          <w:color w:val="auto"/>
          <w:sz w:val="24"/>
          <w:highlight w:val="none"/>
          <w:lang w:val="zh-CN"/>
        </w:rPr>
        <w:t>报价文件：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（1）初始报价一览表；</w:t>
      </w:r>
    </w:p>
    <w:p>
      <w:pPr>
        <w:spacing w:line="312" w:lineRule="auto"/>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（2）报价情况说明（如供应商报价低于项目预算50%的，应当提交本文档，详细阐述不影响产品质量或者诚信履约的具体原因）（如果有）；</w:t>
      </w:r>
    </w:p>
    <w:p>
      <w:pPr>
        <w:adjustRightInd w:val="0"/>
        <w:spacing w:line="312" w:lineRule="auto"/>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r>
        <w:rPr>
          <w:rFonts w:hint="eastAsia" w:ascii="仿宋_GB2312" w:hAnsi="仿宋_GB2312" w:eastAsia="仿宋_GB2312" w:cs="仿宋_GB2312"/>
          <w:color w:val="auto"/>
          <w:sz w:val="24"/>
          <w:highlight w:val="none"/>
        </w:rPr>
        <w:t>中小企业声明函（如有）</w:t>
      </w:r>
      <w:r>
        <w:rPr>
          <w:rFonts w:hint="eastAsia" w:ascii="仿宋_GB2312" w:hAnsi="仿宋_GB2312" w:eastAsia="仿宋_GB2312" w:cs="仿宋_GB2312"/>
          <w:color w:val="auto"/>
          <w:sz w:val="24"/>
          <w:highlight w:val="none"/>
          <w:lang w:val="zh-CN"/>
        </w:rPr>
        <w:t>；</w:t>
      </w:r>
    </w:p>
    <w:p>
      <w:pPr>
        <w:spacing w:line="312" w:lineRule="auto"/>
        <w:ind w:firstLine="480" w:firstLineChars="200"/>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4</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rPr>
        <w:t>中标服务费支付承诺书和中标服务费结算信息表</w:t>
      </w:r>
      <w:r>
        <w:rPr>
          <w:rFonts w:hint="eastAsia" w:ascii="仿宋_GB2312" w:hAnsi="仿宋_GB2312" w:eastAsia="仿宋_GB2312" w:cs="仿宋_GB2312"/>
          <w:bCs/>
          <w:sz w:val="24"/>
          <w:highlight w:val="none"/>
          <w:lang w:eastAsia="zh-CN"/>
        </w:rPr>
        <w:t>。</w:t>
      </w:r>
    </w:p>
    <w:p>
      <w:pPr>
        <w:adjustRightInd w:val="0"/>
        <w:spacing w:line="312" w:lineRule="auto"/>
        <w:ind w:firstLine="482"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4"/>
          <w:highlight w:val="none"/>
        </w:rPr>
        <w:t>响应文件含有采购人不能接受的附加条件的，磋商无效；供应商提供虚假材料响应的，磋商无效。</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12.响应文件的编制</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12.1</w:t>
      </w:r>
      <w:r>
        <w:rPr>
          <w:rFonts w:hint="eastAsia" w:ascii="仿宋_GB2312" w:hAnsi="仿宋_GB2312" w:eastAsia="仿宋_GB2312" w:cs="仿宋_GB2312"/>
          <w:color w:val="auto"/>
          <w:sz w:val="24"/>
          <w:highlight w:val="none"/>
          <w:lang w:val="zh-CN"/>
        </w:rPr>
        <w:t>响应文件分为资格文件、商务技术文件、报价文件三部分。各供应商在编制响应文件时请按照磋商文件第六章规定的格式进行，混乱的编排导致响应文件被误读或磋商小组查找不到有效文件是供应商的风险。</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12.2</w:t>
      </w:r>
      <w:r>
        <w:rPr>
          <w:rFonts w:hint="eastAsia" w:ascii="仿宋_GB2312" w:hAnsi="仿宋_GB2312" w:eastAsia="仿宋_GB2312" w:cs="仿宋_GB2312"/>
          <w:color w:val="auto"/>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pPr>
        <w:adjustRightInd w:val="0"/>
        <w:spacing w:line="312" w:lineRule="auto"/>
        <w:ind w:firstLine="480" w:firstLineChars="200"/>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12.3</w:t>
      </w:r>
      <w:r>
        <w:rPr>
          <w:rFonts w:hint="eastAsia" w:ascii="仿宋_GB2312" w:hAnsi="仿宋_GB2312" w:eastAsia="仿宋_GB2312" w:cs="仿宋_GB2312"/>
          <w:color w:val="auto"/>
          <w:sz w:val="24"/>
          <w:highlight w:val="none"/>
          <w:lang w:val="zh-CN"/>
        </w:rPr>
        <w:t>使用“政采云电子交易客户端”需要提前申领CA数字证书，申领流程请自行前往“浙江政府采购网—下载专区—电子交易客户端—CA驱动和申领流程”进行查阅。</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13.响应文件的签署、盖章</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13.1响应文件按照磋商文件第六章格式要求进行签署、盖章。</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▲供应商的响应文件未按照磋商文件要求签署、盖章的，其磋商无效。</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13.2为确保网上操作合法、有效和安全，供应商应当在响应截止时间前完成在“政府采购云平台”的身份认证，确保在电子交易过程中能够对相关数据电文进行加密和使用电子签名。</w:t>
      </w:r>
    </w:p>
    <w:p>
      <w:pPr>
        <w:adjustRightInd w:val="0"/>
        <w:spacing w:line="312" w:lineRule="auto"/>
        <w:ind w:firstLine="48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13.3磋商文件对响应文件签署、盖章的要求适用于电子签名。</w:t>
      </w:r>
    </w:p>
    <w:p>
      <w:pPr>
        <w:pStyle w:val="3"/>
        <w:adjustRightInd/>
        <w:rPr>
          <w:rFonts w:hint="eastAsia" w:ascii="仿宋_GB2312" w:hAnsi="仿宋_GB2312" w:eastAsia="仿宋_GB2312" w:cs="仿宋_GB2312"/>
          <w:color w:val="auto"/>
          <w:kern w:val="0"/>
          <w:sz w:val="28"/>
          <w:szCs w:val="28"/>
          <w:highlight w:val="none"/>
        </w:rPr>
      </w:pPr>
      <w:bookmarkStart w:id="61" w:name="_Toc17082"/>
      <w:bookmarkStart w:id="62" w:name="_Toc9812"/>
      <w:bookmarkStart w:id="63" w:name="_Toc20033"/>
      <w:r>
        <w:rPr>
          <w:rFonts w:hint="eastAsia" w:ascii="仿宋_GB2312" w:hAnsi="仿宋_GB2312" w:eastAsia="仿宋_GB2312" w:cs="仿宋_GB2312"/>
          <w:color w:val="auto"/>
          <w:kern w:val="0"/>
          <w:sz w:val="28"/>
          <w:szCs w:val="28"/>
          <w:highlight w:val="none"/>
        </w:rPr>
        <w:t>四、响应文件的提交和备份</w:t>
      </w:r>
      <w:bookmarkEnd w:id="61"/>
      <w:bookmarkEnd w:id="62"/>
      <w:bookmarkEnd w:id="63"/>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14.响应文件的提交、补充、修改、撤回</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14.2在提交“最后报价一览表”后，供应商不能退出磋商。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14.3电子交易平台收到响应文件，将妥善保存并即时向供应商发出确认回执通知。在响应截止时间前，除供应商补充、修改或者撤回响应文件外，任何单位和个人不得解密或提取响应文件。</w:t>
      </w:r>
    </w:p>
    <w:p>
      <w:pPr>
        <w:adjustRightInd w:val="0"/>
        <w:spacing w:line="312" w:lineRule="auto"/>
        <w:ind w:firstLine="48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14.4采购人、采购代理机构可以视情况延长响应文件提交的截止时间。在上述情况下，采购代理机构与供应商以前在响应截止期方面的全部权利、责任和义务，将适用于延长至新的响应截止期。</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15.备份响应文件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15.1供应商在电子交易平台传输提交响应文件后，还可以在响应截止时间前直接提交或者以邮政快递方式递交备份响应文件1份，</w:t>
      </w:r>
      <w:r>
        <w:rPr>
          <w:rFonts w:hint="eastAsia" w:ascii="仿宋_GB2312" w:hAnsi="仿宋_GB2312" w:eastAsia="仿宋_GB2312" w:cs="仿宋_GB2312"/>
          <w:b/>
          <w:bCs/>
          <w:color w:val="auto"/>
          <w:sz w:val="24"/>
          <w:highlight w:val="none"/>
        </w:rPr>
        <w:t>但采购人、采购代理机构不强制或变相强制供应商提交备份响应文件。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_GB2312" w:eastAsia="仿宋_GB2312" w:cs="仿宋_GB2312"/>
          <w:b/>
          <w:bCs/>
          <w:color w:val="auto"/>
          <w:sz w:val="24"/>
          <w:highlight w:val="none"/>
        </w:rPr>
        <w:t>不符合上述制作、存储、密封规定的备份响应文件将被视为无效或者被拒绝接收。</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15.3直接提交备份响应文件的，供应商应于响应截止时间前在磋商公告中载明的开启响应文件的地点将备份响应文件提交给采购代理机构，采购代理机构将拒绝接受逾期送达的备份响应文件。</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15.4以邮政快递方式递交备份响应文件的，供应商应先将备份响应文件按要求密封和标记，再进行邮政快递包装后邮寄。备份响应文件须在提交响应文件截止时间之前送达磋商文件第二章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15.5供应商仅提交备份响应文件，未在电子交易平台传输提交响应文件的，响应无效。</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16.响应文件的无效</w:t>
      </w:r>
      <w:r>
        <w:rPr>
          <w:rFonts w:hint="eastAsia" w:ascii="仿宋_GB2312" w:hAnsi="仿宋_GB2312" w:eastAsia="仿宋_GB2312" w:cs="仿宋_GB2312"/>
          <w:color w:val="auto"/>
          <w:sz w:val="24"/>
          <w:szCs w:val="24"/>
          <w:highlight w:val="none"/>
          <w:lang w:val="en-US" w:eastAsia="zh-CN"/>
        </w:rPr>
        <w:t>情形</w:t>
      </w:r>
    </w:p>
    <w:p>
      <w:pPr>
        <w:pStyle w:val="25"/>
        <w:adjustRightInd/>
        <w:ind w:firstLine="480" w:firstLineChars="20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color w:val="auto"/>
          <w:szCs w:val="21"/>
          <w:highlight w:val="none"/>
          <w:lang w:val="en-US" w:eastAsia="zh-CN"/>
        </w:rPr>
        <w:t>详见</w:t>
      </w:r>
      <w:r>
        <w:rPr>
          <w:rFonts w:hint="eastAsia" w:ascii="仿宋_GB2312" w:hAnsi="仿宋_GB2312" w:eastAsia="仿宋_GB2312" w:cs="仿宋_GB2312"/>
          <w:color w:val="auto"/>
          <w:szCs w:val="21"/>
          <w:highlight w:val="none"/>
        </w:rPr>
        <w:t>磋商文件第四</w:t>
      </w:r>
      <w:r>
        <w:rPr>
          <w:rFonts w:hint="eastAsia" w:ascii="仿宋_GB2312" w:hAnsi="仿宋_GB2312" w:eastAsia="仿宋_GB2312" w:cs="仿宋_GB2312"/>
          <w:color w:val="auto"/>
          <w:szCs w:val="21"/>
          <w:highlight w:val="none"/>
          <w:lang w:val="en-US" w:eastAsia="zh-CN"/>
        </w:rPr>
        <w:t>章评审办法及评审标准</w:t>
      </w:r>
      <w:r>
        <w:rPr>
          <w:rFonts w:hint="eastAsia" w:ascii="仿宋_GB2312" w:hAnsi="仿宋_GB2312" w:eastAsia="仿宋_GB2312" w:cs="仿宋_GB2312"/>
          <w:color w:val="auto"/>
          <w:szCs w:val="21"/>
          <w:highlight w:val="none"/>
        </w:rPr>
        <w:t>。</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17.响应有效期</w:t>
      </w:r>
    </w:p>
    <w:p>
      <w:pPr>
        <w:pStyle w:val="25"/>
        <w:adjustRightInd/>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17.1响应</w:t>
      </w:r>
      <w:r>
        <w:rPr>
          <w:rFonts w:hint="eastAsia" w:ascii="仿宋_GB2312" w:hAnsi="仿宋_GB2312" w:eastAsia="仿宋_GB2312" w:cs="仿宋_GB2312"/>
          <w:color w:val="auto"/>
          <w:szCs w:val="21"/>
          <w:highlight w:val="none"/>
          <w:lang w:val="en-US" w:eastAsia="zh-CN"/>
        </w:rPr>
        <w:t>文件</w:t>
      </w:r>
      <w:r>
        <w:rPr>
          <w:rFonts w:hint="eastAsia" w:ascii="仿宋_GB2312" w:hAnsi="仿宋_GB2312" w:eastAsia="仿宋_GB2312" w:cs="仿宋_GB2312"/>
          <w:color w:val="auto"/>
          <w:szCs w:val="21"/>
          <w:highlight w:val="none"/>
        </w:rPr>
        <w:t>有效期为从提交响应文件的截止之日起90天。</w:t>
      </w:r>
    </w:p>
    <w:p>
      <w:pPr>
        <w:pStyle w:val="25"/>
        <w:adjustRightInd/>
        <w:ind w:firstLine="482" w:firstLineChars="20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▲供应商的响应文件中承诺的响应有效期少于磋商文件中载明的响应有效期的，响应无效。</w:t>
      </w:r>
    </w:p>
    <w:p>
      <w:pPr>
        <w:pStyle w:val="25"/>
        <w:adjustRightInd/>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17.2响应文件合格投递后，自响应截止日期起，在响应有效期内有效。</w:t>
      </w:r>
    </w:p>
    <w:p>
      <w:pPr>
        <w:pStyle w:val="25"/>
        <w:adjustRightInd/>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pPr>
        <w:pStyle w:val="3"/>
        <w:adjustRightInd/>
        <w:rPr>
          <w:rFonts w:hint="eastAsia" w:ascii="仿宋_GB2312" w:hAnsi="仿宋_GB2312" w:eastAsia="仿宋_GB2312" w:cs="仿宋_GB2312"/>
          <w:color w:val="auto"/>
          <w:kern w:val="0"/>
          <w:sz w:val="28"/>
          <w:szCs w:val="28"/>
          <w:highlight w:val="none"/>
        </w:rPr>
      </w:pPr>
      <w:bookmarkStart w:id="64" w:name="_Toc7898"/>
      <w:bookmarkStart w:id="65" w:name="_Toc21657"/>
      <w:bookmarkStart w:id="66" w:name="_Toc10303"/>
      <w:r>
        <w:rPr>
          <w:rFonts w:hint="eastAsia" w:ascii="仿宋_GB2312" w:hAnsi="仿宋_GB2312" w:eastAsia="仿宋_GB2312" w:cs="仿宋_GB2312"/>
          <w:color w:val="auto"/>
          <w:kern w:val="0"/>
          <w:sz w:val="28"/>
          <w:szCs w:val="28"/>
          <w:highlight w:val="none"/>
        </w:rPr>
        <w:t>五、开启响应文件、资格审查与信用信息查询</w:t>
      </w:r>
      <w:bookmarkEnd w:id="64"/>
      <w:bookmarkEnd w:id="65"/>
      <w:bookmarkEnd w:id="66"/>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18.开启响应文件</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18.1采购代理机构按照磋商文件规定的时间通过电子交易平台组织响应文件开启，所有供应商均应当准时在线参加。</w:t>
      </w:r>
      <w:r>
        <w:rPr>
          <w:rFonts w:hint="eastAsia" w:ascii="仿宋_GB2312" w:hAnsi="仿宋_GB2312" w:eastAsia="仿宋_GB2312" w:cs="仿宋_GB2312"/>
          <w:b/>
          <w:bCs/>
          <w:color w:val="auto"/>
          <w:szCs w:val="21"/>
          <w:highlight w:val="none"/>
        </w:rPr>
        <w:t>供应商数量不符合规定的，不得开启响应文件。</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18.2开启响应文件时，电子交易平台按开启响应文件时间自动提取所有响应文件。采购代理机构依托电子交易平台发起开始解密指令，供应商按照平台提示和磋商文件的规定在半小时内完成在线解密。</w:t>
      </w:r>
    </w:p>
    <w:p>
      <w:pPr>
        <w:pStyle w:val="25"/>
        <w:adjustRightInd/>
        <w:spacing w:line="312" w:lineRule="auto"/>
        <w:ind w:firstLine="48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18.3响应文件未在规定时间内成功解密的供应商，如提交了备份响应文件的，以备份响应文件作为依据，否则视为响应文件撤回。响应文件解密成功的供应商，其备份响应文件自动失效。</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19.资格审查</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19.1响应截止后，采购人或采购代理机构将依法对供应商的资格进行审查。</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19.2采购人或采购代理机构依据法律法规和磋商文件的规定，对供应商的基本资格条件、特定资格条件进行审查。</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19.3供应商未按照磋商文件要求提供与基本资格条件、特定资格条件相应的有效资格证明材料的，视为供应商不具备磋商文件中规定的资格要求，其响应无效。</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19.4对未通过资格审查的供应商，采购人或采购代理机构告知其未通过的原因。</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19.5合格供应商不足3家的，不再磋商。</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20.信用信息查询</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20.1信用信息查询渠道及截止时间：采购代理机构将通过“信用中国”网站(</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"http://www.creditchina.gov.cn"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Cs w:val="21"/>
          <w:highlight w:val="none"/>
        </w:rPr>
        <w:t>www.creditchina.gov.cn</w:t>
      </w:r>
      <w:r>
        <w:rPr>
          <w:rFonts w:hint="eastAsia"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)、中国政府采购网(www.ccgp.gov.cn)渠道查询供应商响应截止时间前的信用记录。</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20.2信用信息查询记录和证据留存的具体方式：现场查询的供应商的信用记录、查询结果经确认后将与磋商文件一起存档。</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20.3信用信息的使用规则：经查询列入失信被执行人名单、重大税收违法案件当事人名单、政府采购严重违法失信行为记录名单的供应商将被拒绝参与政府采购活动。</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adjustRightInd/>
        <w:rPr>
          <w:rFonts w:hint="eastAsia" w:ascii="仿宋_GB2312" w:hAnsi="仿宋_GB2312" w:eastAsia="仿宋_GB2312" w:cs="仿宋_GB2312"/>
          <w:color w:val="auto"/>
          <w:kern w:val="0"/>
          <w:sz w:val="28"/>
          <w:szCs w:val="28"/>
          <w:highlight w:val="none"/>
        </w:rPr>
      </w:pPr>
      <w:bookmarkStart w:id="67" w:name="_Toc11894"/>
      <w:bookmarkStart w:id="68" w:name="_Toc13936"/>
      <w:bookmarkStart w:id="69" w:name="_Toc7459"/>
      <w:bookmarkStart w:id="70" w:name="_Toc20762"/>
      <w:r>
        <w:rPr>
          <w:rFonts w:hint="eastAsia" w:ascii="仿宋_GB2312" w:hAnsi="仿宋_GB2312" w:eastAsia="仿宋_GB2312" w:cs="仿宋_GB2312"/>
          <w:color w:val="auto"/>
          <w:kern w:val="0"/>
          <w:sz w:val="28"/>
          <w:szCs w:val="28"/>
          <w:highlight w:val="none"/>
        </w:rPr>
        <w:t>六、提交最后报价</w:t>
      </w:r>
      <w:bookmarkEnd w:id="67"/>
      <w:bookmarkEnd w:id="68"/>
      <w:bookmarkEnd w:id="69"/>
      <w:bookmarkEnd w:id="70"/>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21.</w:t>
      </w:r>
      <w:r>
        <w:rPr>
          <w:rFonts w:hint="eastAsia" w:ascii="仿宋_GB2312" w:hAnsi="仿宋_GB2312" w:eastAsia="仿宋_GB2312" w:cs="仿宋_GB2312"/>
          <w:color w:val="auto"/>
          <w:sz w:val="24"/>
          <w:szCs w:val="24"/>
          <w:highlight w:val="none"/>
          <w:lang w:val="zh-CN"/>
        </w:rPr>
        <w:t>提交最后报价</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供应商应在规定时间内提交最后报价。</w:t>
      </w:r>
      <w:r>
        <w:rPr>
          <w:rFonts w:hint="eastAsia" w:ascii="仿宋_GB2312" w:hAnsi="仿宋_GB2312" w:eastAsia="仿宋_GB2312" w:cs="仿宋_GB2312"/>
          <w:color w:val="auto"/>
          <w:szCs w:val="21"/>
          <w:highlight w:val="none"/>
        </w:rPr>
        <w:t>逾期未提交的按第一轮初始报价作为最后报价。</w:t>
      </w:r>
    </w:p>
    <w:p>
      <w:pPr>
        <w:pStyle w:val="3"/>
        <w:adjustRightInd/>
        <w:rPr>
          <w:rFonts w:hint="eastAsia" w:ascii="仿宋_GB2312" w:hAnsi="仿宋_GB2312" w:eastAsia="仿宋_GB2312" w:cs="仿宋_GB2312"/>
          <w:color w:val="auto"/>
          <w:kern w:val="0"/>
          <w:sz w:val="28"/>
          <w:szCs w:val="28"/>
          <w:highlight w:val="none"/>
        </w:rPr>
      </w:pPr>
      <w:bookmarkStart w:id="71" w:name="_Toc24121"/>
      <w:bookmarkStart w:id="72" w:name="_Toc5465"/>
      <w:bookmarkStart w:id="73" w:name="_Toc29714"/>
      <w:bookmarkStart w:id="74" w:name="_Toc22196"/>
      <w:r>
        <w:rPr>
          <w:rFonts w:hint="eastAsia" w:ascii="仿宋_GB2312" w:hAnsi="仿宋_GB2312" w:eastAsia="仿宋_GB2312" w:cs="仿宋_GB2312"/>
          <w:color w:val="auto"/>
          <w:kern w:val="0"/>
          <w:sz w:val="28"/>
          <w:szCs w:val="28"/>
          <w:highlight w:val="none"/>
        </w:rPr>
        <w:t>七、评审</w:t>
      </w:r>
      <w:bookmarkEnd w:id="71"/>
      <w:bookmarkEnd w:id="72"/>
      <w:bookmarkEnd w:id="73"/>
      <w:bookmarkEnd w:id="74"/>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zh-CN"/>
        </w:rPr>
        <w:t>评审</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en-US" w:eastAsia="zh-CN"/>
        </w:rPr>
        <w:t>22.1</w:t>
      </w:r>
      <w:r>
        <w:rPr>
          <w:rFonts w:hint="eastAsia" w:ascii="仿宋_GB2312" w:hAnsi="仿宋_GB2312" w:eastAsia="仿宋_GB2312" w:cs="仿宋_GB2312"/>
          <w:color w:val="auto"/>
          <w:szCs w:val="21"/>
          <w:highlight w:val="none"/>
          <w:lang w:val="zh-CN"/>
        </w:rPr>
        <w:t>评审方法：详见磋商文件第</w:t>
      </w:r>
      <w:r>
        <w:rPr>
          <w:rFonts w:hint="eastAsia" w:ascii="仿宋_GB2312" w:hAnsi="仿宋_GB2312" w:eastAsia="仿宋_GB2312" w:cs="仿宋_GB2312"/>
          <w:color w:val="auto"/>
          <w:szCs w:val="21"/>
          <w:highlight w:val="none"/>
          <w:lang w:val="en-US" w:eastAsia="zh-CN"/>
        </w:rPr>
        <w:t>四章</w:t>
      </w:r>
      <w:r>
        <w:rPr>
          <w:rFonts w:hint="eastAsia" w:ascii="仿宋_GB2312" w:hAnsi="仿宋_GB2312" w:eastAsia="仿宋_GB2312" w:cs="仿宋_GB2312"/>
          <w:color w:val="auto"/>
          <w:szCs w:val="21"/>
          <w:highlight w:val="none"/>
          <w:lang w:val="zh-CN"/>
        </w:rPr>
        <w:t>“评审方法及评审标准”。</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en-US" w:eastAsia="zh-CN"/>
        </w:rPr>
        <w:t>22.2</w:t>
      </w:r>
      <w:r>
        <w:rPr>
          <w:rFonts w:hint="eastAsia" w:ascii="仿宋_GB2312" w:hAnsi="仿宋_GB2312" w:eastAsia="仿宋_GB2312" w:cs="仿宋_GB2312"/>
          <w:color w:val="auto"/>
          <w:szCs w:val="21"/>
          <w:highlight w:val="none"/>
          <w:lang w:val="zh-CN"/>
        </w:rPr>
        <w:t>价格分计算方法：低价优先法。</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en-US" w:eastAsia="zh-CN"/>
        </w:rPr>
        <w:t>22.3</w:t>
      </w:r>
      <w:r>
        <w:rPr>
          <w:rFonts w:hint="eastAsia" w:ascii="仿宋_GB2312" w:hAnsi="仿宋_GB2312" w:eastAsia="仿宋_GB2312" w:cs="仿宋_GB2312"/>
          <w:color w:val="auto"/>
          <w:szCs w:val="21"/>
          <w:highlight w:val="none"/>
          <w:lang w:val="zh-CN"/>
        </w:rPr>
        <w:t>评审要求：详见磋商文件第</w:t>
      </w:r>
      <w:r>
        <w:rPr>
          <w:rFonts w:hint="eastAsia" w:ascii="仿宋_GB2312" w:hAnsi="仿宋_GB2312" w:eastAsia="仿宋_GB2312" w:cs="仿宋_GB2312"/>
          <w:color w:val="auto"/>
          <w:szCs w:val="21"/>
          <w:highlight w:val="none"/>
          <w:lang w:val="en-US" w:eastAsia="zh-CN"/>
        </w:rPr>
        <w:t>四章</w:t>
      </w:r>
      <w:r>
        <w:rPr>
          <w:rFonts w:hint="eastAsia" w:ascii="仿宋_GB2312" w:hAnsi="仿宋_GB2312" w:eastAsia="仿宋_GB2312" w:cs="仿宋_GB2312"/>
          <w:color w:val="auto"/>
          <w:szCs w:val="21"/>
          <w:highlight w:val="none"/>
          <w:lang w:val="zh-CN"/>
        </w:rPr>
        <w:t>“评审方法及评审标准”。</w:t>
      </w:r>
    </w:p>
    <w:p>
      <w:pPr>
        <w:pStyle w:val="3"/>
        <w:adjustRightInd/>
        <w:rPr>
          <w:rFonts w:hint="eastAsia" w:ascii="仿宋_GB2312" w:hAnsi="仿宋_GB2312" w:eastAsia="仿宋_GB2312" w:cs="仿宋_GB2312"/>
          <w:color w:val="auto"/>
          <w:kern w:val="0"/>
          <w:sz w:val="28"/>
          <w:szCs w:val="28"/>
          <w:highlight w:val="none"/>
        </w:rPr>
      </w:pPr>
      <w:bookmarkStart w:id="75" w:name="_Toc21820"/>
      <w:bookmarkStart w:id="76" w:name="_Toc662"/>
      <w:bookmarkStart w:id="77" w:name="_Toc27725"/>
      <w:bookmarkStart w:id="78" w:name="_Toc4811"/>
      <w:r>
        <w:rPr>
          <w:rFonts w:hint="eastAsia" w:ascii="仿宋_GB2312" w:hAnsi="仿宋_GB2312" w:eastAsia="仿宋_GB2312" w:cs="仿宋_GB2312"/>
          <w:color w:val="auto"/>
          <w:kern w:val="0"/>
          <w:sz w:val="28"/>
          <w:szCs w:val="28"/>
          <w:highlight w:val="none"/>
        </w:rPr>
        <w:t>八、成交</w:t>
      </w:r>
      <w:bookmarkEnd w:id="75"/>
      <w:bookmarkEnd w:id="76"/>
      <w:bookmarkEnd w:id="77"/>
      <w:bookmarkEnd w:id="78"/>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23.</w:t>
      </w:r>
      <w:r>
        <w:rPr>
          <w:rFonts w:hint="eastAsia" w:ascii="仿宋_GB2312" w:hAnsi="仿宋_GB2312" w:eastAsia="仿宋_GB2312" w:cs="仿宋_GB2312"/>
          <w:color w:val="auto"/>
          <w:sz w:val="24"/>
          <w:szCs w:val="24"/>
          <w:highlight w:val="none"/>
          <w:lang w:val="zh-CN"/>
        </w:rPr>
        <w:t>推荐成交候选供应商</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b w:val="0"/>
          <w:bCs/>
          <w:color w:val="auto"/>
          <w:sz w:val="24"/>
          <w:szCs w:val="24"/>
          <w:highlight w:val="none"/>
          <w:lang w:val="en-US" w:eastAsia="zh-CN"/>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z w:val="24"/>
          <w:szCs w:val="24"/>
          <w:highlight w:val="none"/>
          <w:lang w:val="zh-CN"/>
        </w:rPr>
        <w:t>确定成交供应商</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25.</w:t>
      </w:r>
      <w:r>
        <w:rPr>
          <w:rFonts w:hint="eastAsia" w:ascii="仿宋_GB2312" w:hAnsi="仿宋_GB2312" w:eastAsia="仿宋_GB2312" w:cs="仿宋_GB2312"/>
          <w:color w:val="auto"/>
          <w:sz w:val="24"/>
          <w:szCs w:val="24"/>
          <w:highlight w:val="none"/>
          <w:lang w:val="zh-CN"/>
        </w:rPr>
        <w:t>成交通知及成交结果公告</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25.1</w:t>
      </w:r>
      <w:r>
        <w:rPr>
          <w:rFonts w:hint="eastAsia" w:ascii="仿宋_GB2312" w:hAnsi="仿宋_GB2312" w:eastAsia="仿宋_GB2312" w:cs="仿宋_GB2312"/>
          <w:color w:val="auto"/>
          <w:szCs w:val="21"/>
          <w:highlight w:val="none"/>
          <w:lang w:val="zh-CN"/>
        </w:rPr>
        <w:t>采购代理机构将在自成交供应商确定之日起2个工作日内，通过电子交易平台向成交供应商发出成交通知书，向未成交供应商发出成交结果通知书，同时在省级以上财政部门指定的政府采购信息发布媒体上公告成交结果。成交结果公告内容包括采购人及其委托的采购代理机构的名称、地址、联系方式，项目名称和项目编号，成交供应商名称、地址和成交金额，主要成交标的的名称、规格型号、数量、单价、服务要求，成交公告期限以及评审专家名单、评分汇总及明细等。采购代理机构也可以以纸质形式进行成交通知。</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25.2</w:t>
      </w:r>
      <w:r>
        <w:rPr>
          <w:rFonts w:hint="eastAsia" w:ascii="仿宋_GB2312" w:hAnsi="仿宋_GB2312" w:eastAsia="仿宋_GB2312" w:cs="仿宋_GB2312"/>
          <w:color w:val="auto"/>
          <w:szCs w:val="21"/>
          <w:highlight w:val="none"/>
          <w:lang w:val="zh-CN"/>
        </w:rPr>
        <w:t>公告期限为1个工作日。</w:t>
      </w:r>
    </w:p>
    <w:p>
      <w:pPr>
        <w:pStyle w:val="3"/>
        <w:adjustRightInd/>
        <w:rPr>
          <w:rFonts w:hint="eastAsia" w:ascii="仿宋_GB2312" w:hAnsi="仿宋_GB2312" w:eastAsia="仿宋_GB2312" w:cs="仿宋_GB2312"/>
          <w:color w:val="auto"/>
          <w:kern w:val="0"/>
          <w:sz w:val="28"/>
          <w:szCs w:val="28"/>
          <w:highlight w:val="none"/>
        </w:rPr>
      </w:pPr>
      <w:bookmarkStart w:id="79" w:name="_Toc19536"/>
      <w:bookmarkStart w:id="80" w:name="_Toc18829"/>
      <w:bookmarkStart w:id="81" w:name="_Toc11131"/>
      <w:r>
        <w:rPr>
          <w:rFonts w:hint="eastAsia" w:ascii="仿宋_GB2312" w:hAnsi="仿宋_GB2312" w:eastAsia="仿宋_GB2312" w:cs="仿宋_GB2312"/>
          <w:color w:val="auto"/>
          <w:kern w:val="0"/>
          <w:sz w:val="28"/>
          <w:szCs w:val="28"/>
          <w:highlight w:val="none"/>
        </w:rPr>
        <w:t>九、合同授予</w:t>
      </w:r>
      <w:bookmarkEnd w:id="79"/>
      <w:bookmarkEnd w:id="80"/>
      <w:bookmarkEnd w:id="81"/>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26.</w:t>
      </w:r>
      <w:r>
        <w:rPr>
          <w:rFonts w:hint="eastAsia" w:ascii="仿宋_GB2312" w:hAnsi="仿宋_GB2312" w:eastAsia="仿宋_GB2312" w:cs="仿宋_GB2312"/>
          <w:color w:val="auto"/>
          <w:sz w:val="24"/>
          <w:szCs w:val="24"/>
          <w:highlight w:val="none"/>
          <w:lang w:val="zh-CN"/>
        </w:rPr>
        <w:t>合同授予</w:t>
      </w:r>
    </w:p>
    <w:p>
      <w:pPr>
        <w:pStyle w:val="25"/>
        <w:adjustRightInd/>
        <w:spacing w:line="312" w:lineRule="auto"/>
        <w:ind w:firstLine="480" w:firstLineChars="200"/>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合同主要条款详见第五章</w:t>
      </w:r>
      <w:r>
        <w:rPr>
          <w:rFonts w:hint="eastAsia" w:ascii="仿宋_GB2312" w:hAnsi="仿宋_GB2312" w:eastAsia="仿宋_GB2312" w:cs="仿宋_GB2312"/>
          <w:color w:val="auto"/>
          <w:szCs w:val="21"/>
          <w:highlight w:val="none"/>
          <w:lang w:val="en-US" w:eastAsia="zh-CN"/>
        </w:rPr>
        <w:t>拟签订的合同文本</w:t>
      </w:r>
      <w:r>
        <w:rPr>
          <w:rFonts w:hint="eastAsia" w:ascii="仿宋_GB2312" w:hAnsi="仿宋_GB2312" w:eastAsia="仿宋_GB2312" w:cs="仿宋_GB2312"/>
          <w:color w:val="auto"/>
          <w:szCs w:val="21"/>
          <w:highlight w:val="none"/>
        </w:rPr>
        <w:t>。</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27.</w:t>
      </w:r>
      <w:r>
        <w:rPr>
          <w:rFonts w:hint="eastAsia" w:ascii="仿宋_GB2312" w:hAnsi="仿宋_GB2312" w:eastAsia="仿宋_GB2312" w:cs="仿宋_GB2312"/>
          <w:color w:val="auto"/>
          <w:sz w:val="24"/>
          <w:szCs w:val="24"/>
          <w:highlight w:val="none"/>
          <w:lang w:val="zh-CN"/>
        </w:rPr>
        <w:t>合同的签订</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27.1采购人与成交供应商应当通过电子交易平台在成交通知书发出之日起三十日内，按照磋商文件确定的事项签订政府采购合同，并在签订之日起2个工作日内将政府采购合同在浙江政府采购网上公告。</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27.2成交供应商按规定的日期、时间、地点，由法定代表人或其授权代表与采购人代表签订合同。如成交供应商为联合体的，由联合体成员各方法定代表人或其授权代表与采购人代表签订合同。</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27.3如签订合同并生效后，供应商无故拒绝或延期，除按照合同条款处理外，列入不良行为记录一次，并给予通报。</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27.4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27.5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25"/>
        <w:adjustRightInd/>
        <w:spacing w:line="312" w:lineRule="auto"/>
        <w:ind w:firstLine="480" w:firstLineChars="20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szCs w:val="21"/>
          <w:highlight w:val="none"/>
        </w:rPr>
        <w:t>27.6采购合同由采购人与成交供应商根据磋商文件、响应文件等内容通过政府采购电子交易平台在线签订，自动备案。</w:t>
      </w:r>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28.</w:t>
      </w:r>
      <w:r>
        <w:rPr>
          <w:rFonts w:hint="eastAsia" w:ascii="仿宋_GB2312" w:hAnsi="仿宋_GB2312" w:eastAsia="仿宋_GB2312" w:cs="仿宋_GB2312"/>
          <w:color w:val="auto"/>
          <w:sz w:val="24"/>
          <w:szCs w:val="24"/>
          <w:highlight w:val="none"/>
          <w:lang w:val="zh-CN"/>
        </w:rPr>
        <w:t>履约保证金</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bookmarkStart w:id="82" w:name="_Toc16800"/>
      <w:bookmarkStart w:id="83" w:name="_Toc17937"/>
      <w:bookmarkStart w:id="84" w:name="_Toc9145"/>
      <w:r>
        <w:rPr>
          <w:rFonts w:hint="eastAsia" w:ascii="仿宋_GB2312" w:hAnsi="仿宋_GB2312" w:eastAsia="仿宋_GB2312" w:cs="仿宋_GB2312"/>
          <w:color w:val="auto"/>
          <w:szCs w:val="21"/>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供应商可登录政采云平台</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903</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9583。</w:t>
      </w:r>
    </w:p>
    <w:p>
      <w:pPr>
        <w:pStyle w:val="3"/>
        <w:adjustRightInd/>
        <w:rPr>
          <w:rFonts w:hint="eastAsia" w:ascii="仿宋_GB2312" w:hAnsi="仿宋_GB2312" w:eastAsia="仿宋_GB2312" w:cs="仿宋_GB2312"/>
          <w:color w:val="auto"/>
          <w:kern w:val="0"/>
          <w:sz w:val="28"/>
          <w:szCs w:val="28"/>
          <w:highlight w:val="none"/>
        </w:rPr>
      </w:pPr>
      <w:bookmarkStart w:id="85" w:name="_Toc25578"/>
      <w:r>
        <w:rPr>
          <w:rFonts w:hint="eastAsia" w:ascii="仿宋_GB2312" w:hAnsi="仿宋_GB2312" w:eastAsia="仿宋_GB2312" w:cs="仿宋_GB2312"/>
          <w:color w:val="auto"/>
          <w:kern w:val="0"/>
          <w:sz w:val="28"/>
          <w:szCs w:val="28"/>
          <w:highlight w:val="none"/>
        </w:rPr>
        <w:t>十、电子交易活动的中止</w:t>
      </w:r>
      <w:bookmarkEnd w:id="82"/>
      <w:bookmarkEnd w:id="83"/>
      <w:bookmarkEnd w:id="84"/>
      <w:bookmarkEnd w:id="85"/>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29.</w:t>
      </w:r>
      <w:r>
        <w:rPr>
          <w:rFonts w:hint="eastAsia" w:ascii="仿宋_GB2312" w:hAnsi="仿宋_GB2312" w:eastAsia="仿宋_GB2312" w:cs="仿宋_GB2312"/>
          <w:color w:val="auto"/>
          <w:sz w:val="24"/>
          <w:szCs w:val="24"/>
          <w:highlight w:val="none"/>
          <w:lang w:val="zh-CN"/>
        </w:rPr>
        <w:t>电子交易活动的中止。</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29.1采购过程中出现以下情形，导致电子交易平台无法正常运行，或者无法保证电子交易的公平、公正和安全时，采购代理机构可中止电子交易活动：</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（1）电子交易平台发生故障而无法登录访问的； </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（2）电子交易平台应用或数据库出现错误，不能进行正常操作的；</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（3）电子交易平台发现严重安全漏洞，有潜在泄密危险的；</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（4）病毒发作导致不能进行正常操作的； </w:t>
      </w:r>
    </w:p>
    <w:p>
      <w:pPr>
        <w:pStyle w:val="25"/>
        <w:adjustRightInd/>
        <w:spacing w:line="312" w:lineRule="auto"/>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（5）其他无法保证电子交易的公平、公正和安全的情况。</w:t>
      </w:r>
    </w:p>
    <w:p>
      <w:pPr>
        <w:adjustRightInd w:val="0"/>
        <w:spacing w:line="312" w:lineRule="auto"/>
        <w:ind w:firstLine="482" w:firstLineChars="200"/>
        <w:jc w:val="left"/>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rPr>
        <w:t>29.2</w:t>
      </w:r>
      <w:r>
        <w:rPr>
          <w:rFonts w:hint="eastAsia" w:ascii="仿宋_GB2312" w:hAnsi="仿宋_GB2312" w:eastAsia="仿宋_GB2312" w:cs="仿宋_GB2312"/>
          <w:b/>
          <w:bCs/>
          <w:color w:val="auto"/>
          <w:sz w:val="24"/>
          <w:highlight w:val="none"/>
          <w:lang w:val="zh-CN"/>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adjustRightInd/>
        <w:rPr>
          <w:rFonts w:hint="eastAsia" w:ascii="仿宋_GB2312" w:hAnsi="仿宋_GB2312" w:eastAsia="仿宋_GB2312" w:cs="仿宋_GB2312"/>
          <w:color w:val="auto"/>
          <w:kern w:val="0"/>
          <w:sz w:val="28"/>
          <w:szCs w:val="28"/>
          <w:highlight w:val="none"/>
        </w:rPr>
      </w:pPr>
      <w:bookmarkStart w:id="86" w:name="_Toc20861"/>
      <w:bookmarkStart w:id="87" w:name="_Toc17768"/>
      <w:bookmarkStart w:id="88" w:name="_Toc13608"/>
      <w:r>
        <w:rPr>
          <w:rFonts w:hint="eastAsia" w:ascii="仿宋_GB2312" w:hAnsi="仿宋_GB2312" w:eastAsia="仿宋_GB2312" w:cs="仿宋_GB2312"/>
          <w:color w:val="auto"/>
          <w:kern w:val="0"/>
          <w:sz w:val="28"/>
          <w:szCs w:val="28"/>
          <w:highlight w:val="none"/>
        </w:rPr>
        <w:t>十一、验收</w:t>
      </w:r>
      <w:bookmarkEnd w:id="86"/>
      <w:bookmarkEnd w:id="87"/>
      <w:bookmarkEnd w:id="88"/>
    </w:p>
    <w:p>
      <w:pPr>
        <w:pStyle w:val="4"/>
        <w:keepLines w:val="0"/>
        <w:tabs>
          <w:tab w:val="left" w:pos="1275"/>
        </w:tabs>
        <w:spacing w:before="0" w:after="0" w:line="312"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30.</w:t>
      </w:r>
      <w:r>
        <w:rPr>
          <w:rFonts w:hint="eastAsia" w:ascii="仿宋_GB2312" w:hAnsi="仿宋_GB2312" w:eastAsia="仿宋_GB2312" w:cs="仿宋_GB2312"/>
          <w:color w:val="auto"/>
          <w:sz w:val="24"/>
          <w:szCs w:val="24"/>
          <w:highlight w:val="none"/>
          <w:lang w:val="zh-CN"/>
        </w:rPr>
        <w:t>验收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30.2采购人可以邀请参加本项目的其他供应商或者第三方机构参与验收。参与验收的供应商或者第三方机构的意见作为验收书的参考资料一并存档。</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2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89" w:name="_Toc31835"/>
      <w:bookmarkStart w:id="90" w:name="_Toc15703"/>
      <w:r>
        <w:rPr>
          <w:rFonts w:hint="eastAsia" w:ascii="仿宋_GB2312" w:hAnsi="仿宋_GB2312" w:eastAsia="仿宋_GB2312" w:cs="仿宋_GB2312"/>
          <w:color w:val="auto"/>
          <w:kern w:val="0"/>
          <w:szCs w:val="32"/>
          <w:highlight w:val="none"/>
        </w:rPr>
        <w:t>附件：竞争性磋商流程</w:t>
      </w:r>
      <w:bookmarkEnd w:id="89"/>
      <w:bookmarkEnd w:id="90"/>
    </w:p>
    <w:p>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rPr>
        <w:t>竞争性磋商流程</w:t>
      </w:r>
    </w:p>
    <w:p>
      <w:pPr>
        <w:pStyle w:val="4"/>
        <w:keepLines w:val="0"/>
        <w:tabs>
          <w:tab w:val="left" w:pos="1275"/>
        </w:tabs>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1.征集供应商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1.1邀请供应商。</w:t>
      </w:r>
    </w:p>
    <w:p>
      <w:pPr>
        <w:adjustRightInd w:val="0"/>
        <w:spacing w:line="312" w:lineRule="auto"/>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本项目采用公告方式邀请供应商</w:t>
      </w:r>
      <w:r>
        <w:rPr>
          <w:rFonts w:hint="eastAsia" w:ascii="仿宋_GB2312" w:hAnsi="仿宋_GB2312" w:eastAsia="仿宋_GB2312" w:cs="仿宋_GB2312"/>
          <w:color w:val="auto"/>
          <w:sz w:val="24"/>
          <w:highlight w:val="none"/>
        </w:rPr>
        <w:t>。由采购人、采购代理机构在省级以上人民政府财政部门指定的政府采购信息发布媒体上发布磋商公告，邀请符合相应资格条件的供应商参与竞争性磋商采购活动。</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1.2供应商获取磋商文件。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1.3组织现场考察或召开答疑会（如果有）。</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1.4发布更正（延期）公告，澄清或修改磋商文件（如果有）。</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1.5供应商按磋商文件要求编制响应文件。</w:t>
      </w:r>
    </w:p>
    <w:p>
      <w:pPr>
        <w:pStyle w:val="4"/>
        <w:keepLines w:val="0"/>
        <w:tabs>
          <w:tab w:val="left" w:pos="1275"/>
        </w:tabs>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2.响应文件开启与信用信息查询</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2.1供应商依据“提交响应文件的截止时间与地点”通过政采云平台在线提交响应文件。供应商在提交响应文件的截止时间前，可以补充、修改或撤回响应文件。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2.2采购代理机构将通过“信用中国”网站(</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"http://www.creditchina.gov.cn"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24"/>
          <w:highlight w:val="none"/>
        </w:rPr>
        <w:t>www.creditchina.gov.cn</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)和中国政府采购网(www.ccgp.gov.cn)渠道查询供应商响应截止时间当日的信用记录。</w:t>
      </w:r>
    </w:p>
    <w:p>
      <w:pPr>
        <w:pStyle w:val="4"/>
        <w:keepLines w:val="0"/>
        <w:tabs>
          <w:tab w:val="left" w:pos="1275"/>
        </w:tabs>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3.磋商与评审</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3.1磋商小组签到。</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3.2采购代理机构宣布有关纪律以及磋商、评审工作程序。</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3.3磋商小组审查确认磋商文件。磋商文件内容违反国家有关强制性规定的，磋商小组应当停止评审并向采购代理机构说明情况。</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3.4采购人或采购代理机构对供应商的资格进行审查。</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3.5磋商小组审查响应文件。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3.6对于未实质性响应磋商文件的响应文件由磋商小组认定响应无效，并告知该供应商。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磋商形式：</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3.9经磋商确定磋商文件的变动情况。对磋商文件作出的实质性变动是磋商文件的有效组成部分，磋商小组应当及时通过政采云平台通知所有参加磋商的供应商。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3.11磋商小组按照下列方式确定提交最后报价的供应商，有特殊规定的从其规定：</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3.12确定进入最后报价的供应商在规定时间内提交最后报价。</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3.14磋商小组应当根据综合评分情况，按照评审得分由高到低顺序推荐1名成交候选供应商，并编写评审报告。</w:t>
      </w:r>
    </w:p>
    <w:p>
      <w:pPr>
        <w:pStyle w:val="4"/>
        <w:keepLines w:val="0"/>
        <w:tabs>
          <w:tab w:val="left" w:pos="1275"/>
        </w:tabs>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4.成交</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4.1采购代理机构应当在评审结束后2个工作日内，将评审报告送采购人确认。</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pPr>
        <w:adjustRightInd w:val="0"/>
        <w:spacing w:line="312"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
        <w:keepLines w:val="0"/>
        <w:tabs>
          <w:tab w:val="left" w:pos="1275"/>
        </w:tabs>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5.竞争性磋商流程图</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drawing>
          <wp:inline distT="0" distB="0" distL="0" distR="0">
            <wp:extent cx="5652135" cy="2276475"/>
            <wp:effectExtent l="0" t="0" r="5715" b="9525"/>
            <wp:docPr id="1027" name="ECB019B1-382A-4266-B25C-5B523AA43C14-1" descr="C:/Users/Administrator/AppData/Local/Temp/wps.hNBePfwps"/>
            <wp:cNvGraphicFramePr/>
            <a:graphic xmlns:a="http://schemas.openxmlformats.org/drawingml/2006/main">
              <a:graphicData uri="http://schemas.openxmlformats.org/drawingml/2006/picture">
                <pic:pic xmlns:pic="http://schemas.openxmlformats.org/drawingml/2006/picture">
                  <pic:nvPicPr>
                    <pic:cNvPr id="1027" name="ECB019B1-382A-4266-B25C-5B523AA43C14-1" descr="C:/Users/Administrator/AppData/Local/Temp/wps.hNBePfwps"/>
                    <pic:cNvPicPr/>
                  </pic:nvPicPr>
                  <pic:blipFill>
                    <a:blip r:embed="rId13" cstate="print"/>
                    <a:srcRect/>
                    <a:stretch>
                      <a:fillRect/>
                    </a:stretch>
                  </pic:blipFill>
                  <pic:spPr>
                    <a:xfrm>
                      <a:off x="0" y="0"/>
                      <a:ext cx="5652135" cy="2276475"/>
                    </a:xfrm>
                    <a:prstGeom prst="rect">
                      <a:avLst/>
                    </a:prstGeom>
                    <a:ln>
                      <a:noFill/>
                    </a:ln>
                  </pic:spPr>
                </pic:pic>
              </a:graphicData>
            </a:graphic>
          </wp:inline>
        </w:drawing>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bookmarkEnd w:id="48"/>
    <w:bookmarkEnd w:id="49"/>
    <w:p>
      <w:pPr>
        <w:rPr>
          <w:rFonts w:hint="eastAsia" w:ascii="仿宋_GB2312" w:hAnsi="仿宋_GB2312" w:eastAsia="仿宋_GB2312" w:cs="仿宋_GB2312"/>
          <w:color w:val="auto"/>
          <w:highlight w:val="none"/>
        </w:rPr>
      </w:pPr>
      <w:bookmarkStart w:id="91" w:name="_Toc83616202"/>
      <w:bookmarkStart w:id="92" w:name="_Toc242012796"/>
      <w:bookmarkStart w:id="93" w:name="_Toc268774733"/>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b/>
          <w:color w:val="auto"/>
          <w:sz w:val="30"/>
          <w:szCs w:val="30"/>
          <w:highlight w:val="none"/>
        </w:rPr>
      </w:pPr>
      <w:bookmarkStart w:id="94" w:name="_Toc25132"/>
      <w:r>
        <w:rPr>
          <w:rFonts w:hint="eastAsia" w:ascii="仿宋_GB2312" w:hAnsi="仿宋_GB2312" w:eastAsia="仿宋_GB2312" w:cs="仿宋_GB2312"/>
          <w:b/>
          <w:color w:val="auto"/>
          <w:sz w:val="30"/>
          <w:szCs w:val="30"/>
          <w:highlight w:val="none"/>
        </w:rPr>
        <w:t>第三</w:t>
      </w:r>
      <w:bookmarkEnd w:id="91"/>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采购需求</w:t>
      </w:r>
      <w:bookmarkEnd w:id="92"/>
      <w:bookmarkEnd w:id="93"/>
      <w:r>
        <w:rPr>
          <w:rFonts w:hint="eastAsia" w:ascii="仿宋_GB2312" w:hAnsi="仿宋_GB2312" w:eastAsia="仿宋_GB2312" w:cs="仿宋_GB2312"/>
          <w:b/>
          <w:color w:val="auto"/>
          <w:sz w:val="30"/>
          <w:szCs w:val="30"/>
          <w:highlight w:val="none"/>
        </w:rPr>
        <w:t>书</w:t>
      </w:r>
      <w:bookmarkEnd w:id="94"/>
    </w:p>
    <w:p>
      <w:pPr>
        <w:pStyle w:val="38"/>
        <w:rPr>
          <w:rFonts w:hint="default"/>
          <w:highlight w:val="none"/>
          <w:lang w:val="en-US" w:eastAsia="zh-CN"/>
        </w:rPr>
      </w:pPr>
      <w:bookmarkStart w:id="95" w:name="_Toc337896129"/>
      <w:bookmarkStart w:id="96" w:name="_Toc245736963"/>
      <w:bookmarkStart w:id="97" w:name="_Toc5296"/>
      <w:bookmarkStart w:id="98" w:name="_Toc268792887"/>
      <w:bookmarkStart w:id="99" w:name="_Toc194380337"/>
      <w:bookmarkStart w:id="100" w:name="_Toc205610319"/>
      <w:bookmarkStart w:id="101" w:name="_Toc224873967"/>
      <w:bookmarkStart w:id="102" w:name="_Toc81102411"/>
    </w:p>
    <w:p>
      <w:pPr>
        <w:pStyle w:val="3"/>
        <w:spacing w:before="0" w:after="0" w:line="360" w:lineRule="auto"/>
        <w:jc w:val="left"/>
        <w:rPr>
          <w:rFonts w:hint="eastAsia" w:ascii="仿宋_GB2312" w:hAnsi="仿宋_GB2312" w:eastAsia="仿宋_GB2312" w:cs="仿宋_GB2312"/>
          <w:color w:val="auto"/>
          <w:sz w:val="28"/>
          <w:szCs w:val="28"/>
          <w:highlight w:val="none"/>
          <w:lang w:eastAsia="zh-CN"/>
        </w:rPr>
      </w:pPr>
      <w:bookmarkStart w:id="103" w:name="_Toc31215"/>
      <w:bookmarkStart w:id="104" w:name="_Toc22333"/>
      <w:r>
        <w:rPr>
          <w:rFonts w:hint="eastAsia" w:ascii="仿宋_GB2312" w:hAnsi="仿宋_GB2312" w:eastAsia="仿宋_GB2312" w:cs="仿宋_GB2312"/>
          <w:color w:val="auto"/>
          <w:sz w:val="28"/>
          <w:szCs w:val="28"/>
          <w:highlight w:val="none"/>
          <w:lang w:eastAsia="zh-CN"/>
        </w:rPr>
        <w:t>一、服务需求</w:t>
      </w:r>
      <w:bookmarkEnd w:id="103"/>
      <w:bookmarkEnd w:id="104"/>
    </w:p>
    <w:p>
      <w:pPr>
        <w:spacing w:line="312" w:lineRule="auto"/>
        <w:ind w:firstLine="482" w:firstLineChars="200"/>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（一）制作左翼作家知识图谱</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1.制作一套左翼作家知识图谱，包括鲁迅、冯雪峰、殷夫、柔石等至少50名作家。</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通过该知识图谱，可快速、准确获得关于左联作家的相关信息，并能更全面地理解包括但不限于左联作家群、作品创作时间、创作地点、创作内容等相关信息，并在时间与空间之中，可不断进行知识的扩展与连接。</w:t>
      </w:r>
    </w:p>
    <w:p>
      <w:pPr>
        <w:spacing w:line="312" w:lineRule="auto"/>
        <w:ind w:firstLine="420" w:firstLineChars="200"/>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bCs/>
          <w:color w:val="auto"/>
          <w:sz w:val="24"/>
          <w:highlight w:val="none"/>
          <w:lang w:val="en-US" w:eastAsia="zh-CN"/>
        </w:rPr>
        <w:t>该</w:t>
      </w:r>
      <w:r>
        <w:rPr>
          <w:rFonts w:hint="default" w:ascii="仿宋_GB2312" w:hAnsi="仿宋_GB2312" w:eastAsia="仿宋_GB2312" w:cs="仿宋_GB2312"/>
          <w:bCs/>
          <w:color w:val="auto"/>
          <w:sz w:val="24"/>
          <w:highlight w:val="none"/>
          <w:lang w:eastAsia="zh-CN"/>
        </w:rPr>
        <w:t>知识</w:t>
      </w:r>
      <w:r>
        <w:rPr>
          <w:rFonts w:hint="eastAsia" w:ascii="仿宋_GB2312" w:hAnsi="仿宋_GB2312" w:eastAsia="仿宋_GB2312" w:cs="仿宋_GB2312"/>
          <w:bCs/>
          <w:color w:val="auto"/>
          <w:sz w:val="24"/>
          <w:highlight w:val="none"/>
          <w:lang w:val="en-US" w:eastAsia="zh-CN"/>
        </w:rPr>
        <w:t>图谱</w:t>
      </w:r>
      <w:r>
        <w:rPr>
          <w:rFonts w:hint="default" w:ascii="仿宋_GB2312" w:hAnsi="仿宋_GB2312" w:eastAsia="仿宋_GB2312" w:cs="仿宋_GB2312"/>
          <w:bCs/>
          <w:color w:val="auto"/>
          <w:sz w:val="24"/>
          <w:highlight w:val="none"/>
          <w:lang w:eastAsia="zh-CN"/>
        </w:rPr>
        <w:t>的数据和应用</w:t>
      </w:r>
      <w:r>
        <w:rPr>
          <w:rFonts w:hint="eastAsia" w:ascii="仿宋_GB2312" w:hAnsi="仿宋_GB2312" w:eastAsia="仿宋_GB2312" w:cs="仿宋_GB2312"/>
          <w:bCs/>
          <w:color w:val="auto"/>
          <w:sz w:val="24"/>
          <w:highlight w:val="none"/>
          <w:lang w:val="en-US" w:eastAsia="zh-CN"/>
        </w:rPr>
        <w:t>需</w:t>
      </w:r>
      <w:r>
        <w:rPr>
          <w:rFonts w:hint="default" w:ascii="仿宋_GB2312" w:hAnsi="仿宋_GB2312" w:eastAsia="仿宋_GB2312" w:cs="仿宋_GB2312"/>
          <w:bCs/>
          <w:color w:val="auto"/>
          <w:sz w:val="24"/>
          <w:highlight w:val="none"/>
          <w:lang w:eastAsia="zh-CN"/>
        </w:rPr>
        <w:t>集成到</w:t>
      </w:r>
      <w:r>
        <w:rPr>
          <w:rFonts w:hint="eastAsia" w:ascii="仿宋_GB2312" w:hAnsi="仿宋_GB2312" w:eastAsia="仿宋_GB2312" w:cs="仿宋_GB2312"/>
          <w:bCs/>
          <w:color w:val="auto"/>
          <w:sz w:val="24"/>
          <w:highlight w:val="none"/>
          <w:lang w:val="en-US" w:eastAsia="zh-CN"/>
        </w:rPr>
        <w:t>中国新时代文学大数据中心、文学馆智慧场馆系统、文学馆的展陈空间（尤其数字体验厅）、文学馆网站、小程序应用等</w:t>
      </w:r>
      <w:r>
        <w:rPr>
          <w:rFonts w:hint="default" w:ascii="仿宋_GB2312" w:hAnsi="仿宋_GB2312" w:eastAsia="仿宋_GB2312" w:cs="仿宋_GB2312"/>
          <w:bCs/>
          <w:color w:val="auto"/>
          <w:sz w:val="24"/>
          <w:highlight w:val="none"/>
          <w:lang w:eastAsia="zh-CN"/>
        </w:rPr>
        <w:t>现有系统和应用</w:t>
      </w:r>
      <w:r>
        <w:rPr>
          <w:rFonts w:hint="eastAsia" w:ascii="仿宋_GB2312" w:hAnsi="仿宋_GB2312" w:eastAsia="仿宋_GB2312" w:cs="仿宋_GB2312"/>
          <w:bCs/>
          <w:color w:val="auto"/>
          <w:sz w:val="24"/>
          <w:highlight w:val="none"/>
          <w:lang w:val="en-US" w:eastAsia="zh-CN"/>
        </w:rPr>
        <w:t>。</w:t>
      </w:r>
    </w:p>
    <w:p>
      <w:pPr>
        <w:spacing w:line="312" w:lineRule="auto"/>
        <w:ind w:firstLine="482" w:firstLineChars="200"/>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（二）数据资料采购及收集</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依据本章附件1所列的红色经典文学资源和浙江文学地标相关的手稿、图片、文献、美术作品等，完成其数字化采集，要求扫描图像清晰，不透字。扫描后的图像文件，没有重页、缺页、错页、折页等情况（原书缺页、错页除外）。补扫缺页图像要与同册图像文件的大小一致，颜色接近。选用的红色经典文学资源和浙江文学地标相关的手稿、图片、文献、美术作品等要求如下：</w:t>
      </w:r>
    </w:p>
    <w:p>
      <w:pPr>
        <w:spacing w:line="312" w:lineRule="auto"/>
        <w:ind w:firstLine="482"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Cs/>
          <w:color w:val="auto"/>
          <w:sz w:val="24"/>
          <w:highlight w:val="none"/>
          <w:lang w:val="en-US" w:eastAsia="zh-CN"/>
        </w:rPr>
        <w:t>（1）本章附件1所列的红色经典文学资源和浙江文学地标相关的手稿、图片、文献、美术作品等中，第1</w:t>
      </w:r>
      <w:r>
        <w:rPr>
          <w:rFonts w:hint="eastAsia" w:ascii="仿宋" w:hAnsi="仿宋" w:eastAsia="仿宋" w:cs="仿宋"/>
          <w:bCs/>
          <w:color w:val="auto"/>
          <w:sz w:val="24"/>
          <w:highlight w:val="none"/>
          <w:lang w:val="en-US" w:eastAsia="zh-CN"/>
        </w:rPr>
        <w:t>～</w:t>
      </w:r>
      <w:r>
        <w:rPr>
          <w:rFonts w:hint="eastAsia" w:ascii="仿宋_GB2312" w:hAnsi="仿宋_GB2312" w:eastAsia="仿宋_GB2312" w:cs="仿宋_GB2312"/>
          <w:bCs/>
          <w:color w:val="auto"/>
          <w:sz w:val="24"/>
          <w:highlight w:val="none"/>
          <w:lang w:val="en-US" w:eastAsia="zh-CN"/>
        </w:rPr>
        <w:t>60项为必须采购和收集；</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（2）除前述第（1）项外，供应商也可以在剩余的红色经典文学资源和浙江文学地标相关的手稿、图片、文献、美术作品等中，提供更多的内容采购和收集。</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w:t>
      </w:r>
      <w:r>
        <w:rPr>
          <w:rFonts w:hint="default" w:ascii="仿宋_GB2312" w:hAnsi="仿宋_GB2312" w:eastAsia="仿宋_GB2312" w:cs="仿宋_GB2312"/>
          <w:bCs/>
          <w:color w:val="auto"/>
          <w:sz w:val="24"/>
          <w:highlight w:val="none"/>
          <w:lang w:val="en-US" w:eastAsia="zh-CN"/>
        </w:rPr>
        <w:t>扫描设备要求：</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供应商</w:t>
      </w:r>
      <w:r>
        <w:rPr>
          <w:rFonts w:hint="default" w:ascii="仿宋_GB2312" w:hAnsi="仿宋_GB2312" w:eastAsia="仿宋_GB2312" w:cs="仿宋_GB2312"/>
          <w:bCs/>
          <w:color w:val="auto"/>
          <w:sz w:val="24"/>
          <w:highlight w:val="none"/>
          <w:lang w:val="en-US" w:eastAsia="zh-CN"/>
        </w:rPr>
        <w:t>须</w:t>
      </w:r>
      <w:r>
        <w:rPr>
          <w:rFonts w:hint="eastAsia" w:ascii="仿宋_GB2312" w:hAnsi="仿宋_GB2312" w:eastAsia="仿宋_GB2312" w:cs="仿宋_GB2312"/>
          <w:bCs/>
          <w:color w:val="auto"/>
          <w:sz w:val="24"/>
          <w:highlight w:val="none"/>
          <w:lang w:val="en-US" w:eastAsia="zh-CN"/>
        </w:rPr>
        <w:t>提供并</w:t>
      </w:r>
      <w:r>
        <w:rPr>
          <w:rFonts w:hint="default" w:ascii="仿宋_GB2312" w:hAnsi="仿宋_GB2312" w:eastAsia="仿宋_GB2312" w:cs="仿宋_GB2312"/>
          <w:bCs/>
          <w:color w:val="auto"/>
          <w:sz w:val="24"/>
          <w:highlight w:val="none"/>
          <w:lang w:val="en-US" w:eastAsia="zh-CN"/>
        </w:rPr>
        <w:t>使用非接触式高清冷光扫描仪，不低于24位彩色扫描，不低于600DPI</w:t>
      </w:r>
      <w:r>
        <w:rPr>
          <w:rFonts w:hint="eastAsia" w:ascii="仿宋_GB2312" w:hAnsi="仿宋_GB2312" w:eastAsia="仿宋_GB2312" w:cs="仿宋_GB2312"/>
          <w:bCs/>
          <w:color w:val="auto"/>
          <w:sz w:val="24"/>
          <w:highlight w:val="none"/>
          <w:lang w:val="en-US" w:eastAsia="zh-CN"/>
        </w:rPr>
        <w:t>X</w:t>
      </w:r>
      <w:r>
        <w:rPr>
          <w:rFonts w:hint="default" w:ascii="仿宋_GB2312" w:hAnsi="仿宋_GB2312" w:eastAsia="仿宋_GB2312" w:cs="仿宋_GB2312"/>
          <w:bCs/>
          <w:color w:val="auto"/>
          <w:sz w:val="24"/>
          <w:highlight w:val="none"/>
          <w:lang w:val="en-US" w:eastAsia="zh-CN"/>
        </w:rPr>
        <w:t>600DPI 光学分辨率。数字图像制作规格为档案典藏级：TIFF</w:t>
      </w:r>
      <w:r>
        <w:rPr>
          <w:rFonts w:hint="eastAsia" w:ascii="仿宋_GB2312" w:hAnsi="仿宋_GB2312" w:eastAsia="仿宋_GB2312" w:cs="仿宋_GB2312"/>
          <w:bCs/>
          <w:color w:val="auto"/>
          <w:sz w:val="24"/>
          <w:highlight w:val="none"/>
          <w:lang w:val="en-US" w:eastAsia="zh-CN"/>
        </w:rPr>
        <w:t>，</w:t>
      </w:r>
      <w:r>
        <w:rPr>
          <w:rFonts w:hint="default" w:ascii="仿宋_GB2312" w:hAnsi="仿宋_GB2312" w:eastAsia="仿宋_GB2312" w:cs="仿宋_GB2312"/>
          <w:bCs/>
          <w:color w:val="auto"/>
          <w:sz w:val="24"/>
          <w:highlight w:val="none"/>
          <w:lang w:val="en-US" w:eastAsia="zh-CN"/>
        </w:rPr>
        <w:t>600DPI</w:t>
      </w:r>
      <w:r>
        <w:rPr>
          <w:rFonts w:hint="eastAsia" w:ascii="仿宋_GB2312" w:hAnsi="仿宋_GB2312" w:eastAsia="仿宋_GB2312" w:cs="仿宋_GB2312"/>
          <w:bCs/>
          <w:color w:val="auto"/>
          <w:sz w:val="24"/>
          <w:highlight w:val="none"/>
          <w:lang w:val="en-US" w:eastAsia="zh-CN"/>
        </w:rPr>
        <w:t>，</w:t>
      </w:r>
      <w:r>
        <w:rPr>
          <w:rFonts w:hint="default" w:ascii="仿宋_GB2312" w:hAnsi="仿宋_GB2312" w:eastAsia="仿宋_GB2312" w:cs="仿宋_GB2312"/>
          <w:bCs/>
          <w:color w:val="auto"/>
          <w:sz w:val="24"/>
          <w:highlight w:val="none"/>
          <w:lang w:val="en-US" w:eastAsia="zh-CN"/>
        </w:rPr>
        <w:t>无压缩彩色扫描。</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default" w:ascii="仿宋_GB2312" w:hAnsi="仿宋_GB2312" w:eastAsia="仿宋_GB2312" w:cs="仿宋_GB2312"/>
          <w:bCs/>
          <w:color w:val="auto"/>
          <w:sz w:val="24"/>
          <w:highlight w:val="none"/>
          <w:lang w:val="en-US" w:eastAsia="zh-CN"/>
        </w:rPr>
        <w:t>扫描幅面＞640mmX 420mm</w:t>
      </w:r>
      <w:r>
        <w:rPr>
          <w:rFonts w:hint="eastAsia" w:ascii="仿宋_GB2312" w:hAnsi="仿宋_GB2312" w:eastAsia="仿宋_GB2312" w:cs="仿宋_GB2312"/>
          <w:bCs/>
          <w:color w:val="auto"/>
          <w:sz w:val="24"/>
          <w:highlight w:val="none"/>
          <w:lang w:val="en-US" w:eastAsia="zh-CN"/>
        </w:rPr>
        <w:t>；</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输</w:t>
      </w:r>
      <w:r>
        <w:rPr>
          <w:rFonts w:hint="default" w:ascii="仿宋_GB2312" w:hAnsi="仿宋_GB2312" w:eastAsia="仿宋_GB2312" w:cs="仿宋_GB2312"/>
          <w:bCs/>
          <w:color w:val="auto"/>
          <w:sz w:val="24"/>
          <w:highlight w:val="none"/>
          <w:lang w:val="en-US" w:eastAsia="zh-CN"/>
        </w:rPr>
        <w:t>出模式＜36-bit（彩</w:t>
      </w:r>
      <w:r>
        <w:rPr>
          <w:rFonts w:hint="eastAsia" w:ascii="仿宋_GB2312" w:hAnsi="仿宋_GB2312" w:eastAsia="仿宋_GB2312" w:cs="仿宋_GB2312"/>
          <w:bCs/>
          <w:color w:val="auto"/>
          <w:sz w:val="24"/>
          <w:highlight w:val="none"/>
          <w:lang w:val="en-US" w:eastAsia="zh-CN"/>
        </w:rPr>
        <w:t>色</w:t>
      </w:r>
      <w:r>
        <w:rPr>
          <w:rFonts w:hint="default" w:ascii="仿宋_GB2312" w:hAnsi="仿宋_GB2312" w:eastAsia="仿宋_GB2312" w:cs="仿宋_GB2312"/>
          <w:bCs/>
          <w:color w:val="auto"/>
          <w:sz w:val="24"/>
          <w:highlight w:val="none"/>
          <w:lang w:val="en-US" w:eastAsia="zh-CN"/>
        </w:rPr>
        <w:t>）12-bit（</w:t>
      </w:r>
      <w:r>
        <w:rPr>
          <w:rFonts w:hint="eastAsia" w:ascii="仿宋_GB2312" w:hAnsi="仿宋_GB2312" w:eastAsia="仿宋_GB2312" w:cs="仿宋_GB2312"/>
          <w:bCs/>
          <w:color w:val="auto"/>
          <w:sz w:val="24"/>
          <w:highlight w:val="none"/>
          <w:lang w:val="en-US" w:eastAsia="zh-CN"/>
        </w:rPr>
        <w:t>灰度</w:t>
      </w:r>
      <w:r>
        <w:rPr>
          <w:rFonts w:hint="default" w:ascii="仿宋_GB2312" w:hAnsi="仿宋_GB2312" w:eastAsia="仿宋_GB2312" w:cs="仿宋_GB2312"/>
          <w:bCs/>
          <w:color w:val="auto"/>
          <w:sz w:val="24"/>
          <w:highlight w:val="none"/>
          <w:lang w:val="en-US" w:eastAsia="zh-CN"/>
        </w:rPr>
        <w:t>）1-bit（</w:t>
      </w:r>
      <w:r>
        <w:rPr>
          <w:rFonts w:hint="eastAsia" w:ascii="仿宋_GB2312" w:hAnsi="仿宋_GB2312" w:eastAsia="仿宋_GB2312" w:cs="仿宋_GB2312"/>
          <w:bCs/>
          <w:color w:val="auto"/>
          <w:sz w:val="24"/>
          <w:highlight w:val="none"/>
          <w:lang w:val="en-US" w:eastAsia="zh-CN"/>
        </w:rPr>
        <w:t>黑白</w:t>
      </w:r>
      <w:r>
        <w:rPr>
          <w:rFonts w:hint="default" w:ascii="仿宋_GB2312" w:hAnsi="仿宋_GB2312" w:eastAsia="仿宋_GB2312" w:cs="仿宋_GB2312"/>
          <w:bCs/>
          <w:color w:val="auto"/>
          <w:sz w:val="24"/>
          <w:highlight w:val="none"/>
          <w:lang w:val="en-US" w:eastAsia="zh-CN"/>
        </w:rPr>
        <w:t>）</w:t>
      </w:r>
      <w:r>
        <w:rPr>
          <w:rFonts w:hint="eastAsia" w:ascii="仿宋_GB2312" w:hAnsi="仿宋_GB2312" w:eastAsia="仿宋_GB2312" w:cs="仿宋_GB2312"/>
          <w:bCs/>
          <w:color w:val="auto"/>
          <w:sz w:val="24"/>
          <w:highlight w:val="none"/>
          <w:lang w:val="en-US" w:eastAsia="zh-CN"/>
        </w:rPr>
        <w:t>；</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default" w:ascii="仿宋_GB2312" w:hAnsi="仿宋_GB2312" w:eastAsia="仿宋_GB2312" w:cs="仿宋_GB2312"/>
          <w:bCs/>
          <w:color w:val="auto"/>
          <w:sz w:val="24"/>
          <w:highlight w:val="none"/>
          <w:lang w:val="en-US" w:eastAsia="zh-CN"/>
        </w:rPr>
        <w:t>嵌入式图像增强处理，包括纠偏、曲线修正、指印消除、色彩平衡、白平衡、曝光修正等；</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default" w:ascii="仿宋_GB2312" w:hAnsi="仿宋_GB2312" w:eastAsia="仿宋_GB2312" w:cs="仿宋_GB2312"/>
          <w:bCs/>
          <w:color w:val="auto"/>
          <w:sz w:val="24"/>
          <w:highlight w:val="none"/>
          <w:lang w:val="en-US" w:eastAsia="zh-CN"/>
        </w:rPr>
        <w:t>图像格式：非压缩 TIFF，TIFF LZW,PNG, TIFF G4（黑白）、JPEG、PDF、BMP 等；</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default" w:ascii="仿宋_GB2312" w:hAnsi="仿宋_GB2312" w:eastAsia="仿宋_GB2312" w:cs="仿宋_GB2312"/>
          <w:bCs/>
          <w:color w:val="auto"/>
          <w:sz w:val="24"/>
          <w:highlight w:val="none"/>
          <w:lang w:val="en-US" w:eastAsia="zh-CN"/>
        </w:rPr>
        <w:t>设备须符合主要参数要求，采购人发现设备不符合要求，且不能及时更换设备者，</w:t>
      </w:r>
      <w:r>
        <w:rPr>
          <w:rFonts w:hint="eastAsia" w:ascii="仿宋_GB2312" w:hAnsi="仿宋_GB2312" w:eastAsia="仿宋_GB2312" w:cs="仿宋_GB2312"/>
          <w:bCs/>
          <w:color w:val="auto"/>
          <w:sz w:val="24"/>
          <w:highlight w:val="none"/>
          <w:lang w:val="en-US" w:eastAsia="zh-CN"/>
        </w:rPr>
        <w:t>采购人</w:t>
      </w:r>
      <w:r>
        <w:rPr>
          <w:rFonts w:hint="default" w:ascii="仿宋_GB2312" w:hAnsi="仿宋_GB2312" w:eastAsia="仿宋_GB2312" w:cs="仿宋_GB2312"/>
          <w:bCs/>
          <w:color w:val="auto"/>
          <w:sz w:val="24"/>
          <w:highlight w:val="none"/>
          <w:lang w:val="en-US" w:eastAsia="zh-CN"/>
        </w:rPr>
        <w:t>有权终止合同。</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3.提供所采集的数据资源的实物作为备用资料，以确保数据资源的真实性。</w:t>
      </w:r>
    </w:p>
    <w:p>
      <w:pPr>
        <w:spacing w:line="312" w:lineRule="auto"/>
        <w:ind w:firstLine="482" w:firstLineChars="200"/>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（三）开展线上展览</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设计制作1套指定的实体展相同主题、内容的数字虚拟展。</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具体要求：</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1.完成包括手稿、档案、书籍、革命文物等重要展品的扫描和数据处理。</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2.完成数字展厅云上运行环境部署配置，与本地服务器线下运行环境进行对接，并就部署配置过程对采购人相关人员进行培训，向采购人交付两个过程的部署配置技术文档。</w:t>
      </w:r>
    </w:p>
    <w:p>
      <w:pPr>
        <w:spacing w:line="312" w:lineRule="auto"/>
        <w:ind w:firstLine="480" w:firstLineChars="200"/>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Cs/>
          <w:color w:val="auto"/>
          <w:sz w:val="24"/>
          <w:highlight w:val="none"/>
          <w:lang w:val="en-US" w:eastAsia="zh-CN"/>
        </w:rPr>
        <w:t>3.完成详尽的基于本展览的虚拟展厅制作规范或描述类文件。</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p>
    <w:p>
      <w:pPr>
        <w:pStyle w:val="3"/>
        <w:spacing w:before="0" w:after="0" w:line="360" w:lineRule="auto"/>
        <w:jc w:val="left"/>
        <w:rPr>
          <w:rFonts w:hint="eastAsia" w:ascii="仿宋_GB2312" w:hAnsi="仿宋_GB2312" w:eastAsia="仿宋_GB2312" w:cs="仿宋_GB2312"/>
          <w:color w:val="auto"/>
          <w:sz w:val="28"/>
          <w:szCs w:val="28"/>
          <w:highlight w:val="none"/>
          <w:lang w:eastAsia="zh-CN"/>
        </w:rPr>
      </w:pPr>
      <w:bookmarkStart w:id="105" w:name="_Toc26926"/>
      <w:bookmarkStart w:id="106" w:name="_Toc9392"/>
      <w:r>
        <w:rPr>
          <w:rFonts w:hint="eastAsia" w:ascii="仿宋_GB2312" w:hAnsi="仿宋_GB2312" w:eastAsia="仿宋_GB2312" w:cs="仿宋_GB2312"/>
          <w:color w:val="auto"/>
          <w:sz w:val="28"/>
          <w:szCs w:val="28"/>
          <w:highlight w:val="none"/>
          <w:lang w:eastAsia="zh-CN"/>
        </w:rPr>
        <w:t>二、服务要求</w:t>
      </w:r>
      <w:bookmarkEnd w:id="105"/>
      <w:bookmarkEnd w:id="106"/>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1.服务期限：</w:t>
      </w:r>
      <w:r>
        <w:rPr>
          <w:rFonts w:hint="eastAsia" w:ascii="仿宋_GB2312" w:hAnsi="仿宋_GB2312" w:eastAsia="仿宋_GB2312" w:cs="仿宋_GB2312"/>
          <w:bCs/>
          <w:sz w:val="24"/>
          <w:highlight w:val="none"/>
          <w:lang w:val="en-US" w:eastAsia="zh-CN"/>
        </w:rPr>
        <w:t>2024年12月10日完成并交付</w:t>
      </w:r>
      <w:r>
        <w:rPr>
          <w:rFonts w:hint="eastAsia" w:ascii="仿宋_GB2312" w:hAnsi="仿宋_GB2312" w:eastAsia="仿宋_GB2312" w:cs="仿宋_GB2312"/>
          <w:bCs/>
          <w:sz w:val="24"/>
          <w:highlight w:val="none"/>
        </w:rPr>
        <w:t>。</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2.实施地点：采购人指定地点。</w:t>
      </w:r>
    </w:p>
    <w:p>
      <w:pPr>
        <w:spacing w:line="312"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3.拟派团队要求</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供应商应组建满足服务要求的项目团队，成立合理的组织机构，建立健全保障项目顺利实施的各项管理制度和质量保证体系。项目团队人员配置科学合理、分工明确，至少应包括网络系统建设人员、系统集成人员、系统分析人员、数据库设计人员、系统架构设计人员、软件开发人员、测试人员、配置管理员、用户培训人员、部署实施人员、运行维护人员等角色。</w:t>
      </w:r>
    </w:p>
    <w:p>
      <w:pPr>
        <w:spacing w:line="312" w:lineRule="auto"/>
        <w:ind w:firstLine="480" w:firstLineChars="200"/>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4.源代码、知识产权和国产化要求</w:t>
      </w:r>
    </w:p>
    <w:p>
      <w:pPr>
        <w:spacing w:line="312" w:lineRule="auto"/>
        <w:ind w:firstLine="42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 w:eastAsia="仿宋_GB2312"/>
          <w:bCs/>
          <w:color w:val="auto"/>
          <w:sz w:val="24"/>
          <w:highlight w:val="none"/>
          <w:lang w:val="en-US" w:eastAsia="zh-CN"/>
        </w:rPr>
        <w:t>4.1</w:t>
      </w:r>
      <w:r>
        <w:rPr>
          <w:rFonts w:hint="eastAsia" w:ascii="仿宋_GB2312" w:hAnsi="仿宋" w:eastAsia="仿宋_GB2312"/>
          <w:bCs/>
          <w:color w:val="auto"/>
          <w:sz w:val="24"/>
          <w:highlight w:val="none"/>
        </w:rPr>
        <w:t>采购人定制开发的所有源代码无条件提交给采购人且符合标准允许二次开发，所涉及的数据项、数据接口必须遵循上级部门制定的相关数据标准和规范且必须无条件开放共享；中标人所交付的产品中，不得含有任何可以自动终止或妨碍系统正常运行的软件。</w:t>
      </w:r>
    </w:p>
    <w:p>
      <w:pPr>
        <w:spacing w:line="312" w:lineRule="auto"/>
        <w:ind w:firstLine="480" w:firstLineChars="200"/>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4.2</w:t>
      </w:r>
      <w:r>
        <w:rPr>
          <w:rFonts w:hint="eastAsia" w:ascii="仿宋_GB2312" w:hAnsi="仿宋_GB2312" w:eastAsia="仿宋_GB2312" w:cs="仿宋_GB2312"/>
          <w:bCs/>
          <w:color w:val="auto"/>
          <w:sz w:val="24"/>
          <w:highlight w:val="none"/>
          <w:lang w:val="en-US" w:eastAsia="zh-CN"/>
        </w:rPr>
        <w:t>本项目产生的所有软件知识产权归采购人所有。中标人应保证提供服务过程中不会侵犯任何第三方的知识产权。</w:t>
      </w:r>
    </w:p>
    <w:p>
      <w:pPr>
        <w:spacing w:line="312" w:lineRule="auto"/>
        <w:ind w:firstLine="480" w:firstLineChars="200"/>
        <w:rPr>
          <w:rFonts w:hint="default" w:ascii="仿宋_GB2312" w:eastAsia="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4.3软件系统国产化要求。本项目软件系统要求在采购人国产化应用平台上的开发部署，系统支持国产化服务器系统和操作系统，与国产服务器、操作系统，以及与国产化数据库等中间件适配。</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5.与原有系统的无缝对接：因本项目中涉及浙江文学院（馆）原有系统的延续性开发，需由中标人协调原有系统开发商的研发人员进行处理，或派遣自有研发人员处理，在保证所开发的功能能够与原有系统无缝衔接的前提下，完成招标需求要求的功能实现。协调原厂开发商处理问题的所有费用由中标人提供，甲方不再提供任何费用。</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6.培训</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6.1</w:t>
      </w:r>
      <w:r>
        <w:rPr>
          <w:rFonts w:hint="eastAsia" w:ascii="仿宋_GB2312" w:eastAsia="仿宋_GB2312"/>
          <w:bCs/>
          <w:color w:val="auto"/>
          <w:sz w:val="24"/>
          <w:highlight w:val="none"/>
        </w:rPr>
        <w:t>培训对象：针对系统管理人员、技术维护人员、操作人员展开培训。</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6.2</w:t>
      </w:r>
      <w:r>
        <w:rPr>
          <w:rFonts w:hint="eastAsia" w:ascii="仿宋_GB2312" w:eastAsia="仿宋_GB2312"/>
          <w:bCs/>
          <w:color w:val="auto"/>
          <w:sz w:val="24"/>
          <w:highlight w:val="none"/>
        </w:rPr>
        <w:t>培训地点：用户指定地点。</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6.3</w:t>
      </w:r>
      <w:r>
        <w:rPr>
          <w:rFonts w:hint="eastAsia" w:ascii="仿宋_GB2312" w:eastAsia="仿宋_GB2312"/>
          <w:bCs/>
          <w:color w:val="auto"/>
          <w:sz w:val="24"/>
          <w:highlight w:val="none"/>
        </w:rPr>
        <w:t>培训起止时间：项目准备阶段至维护阶段。</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6.4</w:t>
      </w:r>
      <w:r>
        <w:rPr>
          <w:rFonts w:hint="eastAsia" w:ascii="仿宋_GB2312" w:eastAsia="仿宋_GB2312"/>
          <w:bCs/>
          <w:color w:val="auto"/>
          <w:sz w:val="24"/>
          <w:highlight w:val="none"/>
        </w:rPr>
        <w:t>培训内容：操作系统、数据库、中间件等运行环境的安装及配置；系统应用软件模块的详细操作；系统的运行原则及操作；系统常见故障的排除及日常维护方法；系统功能模块详细描述；系统的日常运行操作及熟练训练等。</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hAnsi="仿宋_GB2312" w:eastAsia="仿宋_GB2312" w:cs="仿宋_GB2312"/>
          <w:bCs/>
          <w:color w:val="auto"/>
          <w:sz w:val="24"/>
          <w:highlight w:val="none"/>
          <w:lang w:val="en-US" w:eastAsia="zh-CN"/>
        </w:rPr>
        <w:t>供应商应根据维护和使用的需要提供包括认证培训、技术培训、操作培训和现场指导，制定详细的培训方案，培训方案应说明培训内容、时间（列日程表）、地点、培训设备及资料、负责培训人员等情况，并与实施计划相配套。</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7.验收</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7.1</w:t>
      </w:r>
      <w:r>
        <w:rPr>
          <w:rFonts w:hint="eastAsia" w:ascii="仿宋_GB2312" w:eastAsia="仿宋_GB2312"/>
          <w:bCs/>
          <w:color w:val="auto"/>
          <w:sz w:val="24"/>
          <w:highlight w:val="none"/>
        </w:rPr>
        <w:t>验收按国家有关规范标准（国家无验收规范标准的按双方合同规定的要求）进行。采购人保留邀请参加本项目的其他</w:t>
      </w:r>
      <w:r>
        <w:rPr>
          <w:rFonts w:hint="eastAsia" w:ascii="仿宋_GB2312" w:eastAsia="仿宋_GB2312"/>
          <w:bCs/>
          <w:color w:val="auto"/>
          <w:sz w:val="24"/>
          <w:highlight w:val="none"/>
          <w:lang w:eastAsia="zh-CN"/>
        </w:rPr>
        <w:t>供应商</w:t>
      </w:r>
      <w:r>
        <w:rPr>
          <w:rFonts w:hint="eastAsia" w:ascii="仿宋_GB2312" w:eastAsia="仿宋_GB2312"/>
          <w:bCs/>
          <w:color w:val="auto"/>
          <w:sz w:val="24"/>
          <w:highlight w:val="none"/>
        </w:rPr>
        <w:t>或者第三方机构或相关技术专家参与验收的权利。采购人按照采购合同规定的技术、服务、标准以及</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的投标文件、本项目</w:t>
      </w:r>
      <w:r>
        <w:rPr>
          <w:rFonts w:hint="eastAsia" w:ascii="仿宋_GB2312" w:eastAsia="仿宋_GB2312"/>
          <w:bCs/>
          <w:color w:val="auto"/>
          <w:sz w:val="24"/>
          <w:highlight w:val="none"/>
          <w:lang w:eastAsia="zh-CN"/>
        </w:rPr>
        <w:t>招标</w:t>
      </w:r>
      <w:r>
        <w:rPr>
          <w:rFonts w:hint="eastAsia" w:ascii="仿宋_GB2312" w:eastAsia="仿宋_GB2312"/>
          <w:bCs/>
          <w:color w:val="auto"/>
          <w:sz w:val="24"/>
          <w:highlight w:val="none"/>
        </w:rPr>
        <w:t>文件等要求，组织对</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履约情况进行验收，参与验收的</w:t>
      </w:r>
      <w:r>
        <w:rPr>
          <w:rFonts w:hint="eastAsia" w:ascii="仿宋_GB2312" w:eastAsia="仿宋_GB2312"/>
          <w:bCs/>
          <w:color w:val="auto"/>
          <w:sz w:val="24"/>
          <w:highlight w:val="none"/>
          <w:lang w:eastAsia="zh-CN"/>
        </w:rPr>
        <w:t>供应商</w:t>
      </w:r>
      <w:r>
        <w:rPr>
          <w:rFonts w:hint="eastAsia" w:ascii="仿宋_GB2312" w:eastAsia="仿宋_GB2312"/>
          <w:bCs/>
          <w:color w:val="auto"/>
          <w:sz w:val="24"/>
          <w:highlight w:val="none"/>
        </w:rPr>
        <w:t>或者第三方机构的意见作为验收书的参考资料一并存档。并出具验收合格书。</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7.2</w:t>
      </w:r>
      <w:r>
        <w:rPr>
          <w:rFonts w:hint="eastAsia" w:ascii="仿宋_GB2312" w:eastAsia="仿宋_GB2312"/>
          <w:bCs/>
          <w:color w:val="auto"/>
          <w:sz w:val="24"/>
          <w:highlight w:val="none"/>
        </w:rPr>
        <w:t>验收标准</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1</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完成项目的进度符合进度计划；</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2</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已按</w:t>
      </w:r>
      <w:r>
        <w:rPr>
          <w:rFonts w:hint="eastAsia" w:ascii="仿宋_GB2312" w:eastAsia="仿宋_GB2312"/>
          <w:bCs/>
          <w:color w:val="auto"/>
          <w:sz w:val="24"/>
          <w:highlight w:val="none"/>
          <w:lang w:eastAsia="zh-CN"/>
        </w:rPr>
        <w:t>招标</w:t>
      </w:r>
      <w:r>
        <w:rPr>
          <w:rFonts w:hint="eastAsia" w:ascii="仿宋_GB2312" w:eastAsia="仿宋_GB2312"/>
          <w:bCs/>
          <w:color w:val="auto"/>
          <w:sz w:val="24"/>
          <w:highlight w:val="none"/>
        </w:rPr>
        <w:t>文件要求及合同约定的服务内容提交了工作成果；</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提供的实际服务符合</w:t>
      </w:r>
      <w:r>
        <w:rPr>
          <w:rFonts w:hint="eastAsia" w:ascii="仿宋_GB2312" w:eastAsia="仿宋_GB2312"/>
          <w:bCs/>
          <w:color w:val="auto"/>
          <w:sz w:val="24"/>
          <w:highlight w:val="none"/>
          <w:lang w:eastAsia="zh-CN"/>
        </w:rPr>
        <w:t>招标</w:t>
      </w:r>
      <w:r>
        <w:rPr>
          <w:rFonts w:hint="eastAsia" w:ascii="仿宋_GB2312" w:eastAsia="仿宋_GB2312"/>
          <w:bCs/>
          <w:color w:val="auto"/>
          <w:sz w:val="24"/>
          <w:highlight w:val="none"/>
        </w:rPr>
        <w:t>文件要求；</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提供的项目成果资料符合</w:t>
      </w:r>
      <w:r>
        <w:rPr>
          <w:rFonts w:hint="eastAsia" w:ascii="仿宋_GB2312" w:eastAsia="仿宋_GB2312"/>
          <w:bCs/>
          <w:color w:val="auto"/>
          <w:sz w:val="24"/>
          <w:highlight w:val="none"/>
          <w:lang w:eastAsia="zh-CN"/>
        </w:rPr>
        <w:t>招标</w:t>
      </w:r>
      <w:r>
        <w:rPr>
          <w:rFonts w:hint="eastAsia" w:ascii="仿宋_GB2312" w:eastAsia="仿宋_GB2312"/>
          <w:bCs/>
          <w:color w:val="auto"/>
          <w:sz w:val="24"/>
          <w:highlight w:val="none"/>
        </w:rPr>
        <w:t>文件及合同约定要求。</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8.售后服务</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lang w:val="en-GB"/>
        </w:rPr>
      </w:pPr>
      <w:r>
        <w:rPr>
          <w:rFonts w:hint="eastAsia" w:ascii="仿宋_GB2312" w:eastAsia="仿宋_GB2312"/>
          <w:bCs/>
          <w:color w:val="auto"/>
          <w:sz w:val="24"/>
          <w:highlight w:val="none"/>
          <w:lang w:val="en-US" w:eastAsia="zh-CN"/>
        </w:rPr>
        <w:t>8.1</w:t>
      </w:r>
      <w:r>
        <w:rPr>
          <w:rFonts w:hint="eastAsia" w:ascii="仿宋_GB2312" w:eastAsia="仿宋_GB2312"/>
          <w:bCs/>
          <w:color w:val="auto"/>
          <w:sz w:val="24"/>
          <w:highlight w:val="none"/>
          <w:lang w:val="en-GB"/>
        </w:rPr>
        <w:t>项目维保期要求：本项目在验收合格后，提供</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lang w:val="en-GB"/>
        </w:rPr>
        <w:t>年维保服务，包含本项目提出的功能需求的技术服务支持，软件版本升级及系统功能完善服务。</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lang w:val="en-GB"/>
        </w:rPr>
      </w:pPr>
      <w:r>
        <w:rPr>
          <w:rFonts w:hint="eastAsia" w:ascii="仿宋_GB2312" w:eastAsia="仿宋_GB2312"/>
          <w:bCs/>
          <w:color w:val="auto"/>
          <w:sz w:val="24"/>
          <w:highlight w:val="none"/>
          <w:lang w:val="en-US" w:eastAsia="zh-CN"/>
        </w:rPr>
        <w:t>8.2</w:t>
      </w:r>
      <w:r>
        <w:rPr>
          <w:rFonts w:hint="eastAsia" w:ascii="仿宋_GB2312" w:eastAsia="仿宋_GB2312"/>
          <w:bCs/>
          <w:color w:val="auto"/>
          <w:sz w:val="24"/>
          <w:highlight w:val="none"/>
          <w:lang w:val="en-GB"/>
        </w:rPr>
        <w:t>售后技术服务要求：在维保期内，如遇软件产品更新、升级、改版，需提供更新、升级、改版服务。</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lang w:val="en-GB"/>
        </w:rPr>
      </w:pPr>
      <w:r>
        <w:rPr>
          <w:rFonts w:hint="eastAsia" w:ascii="仿宋_GB2312" w:eastAsia="仿宋_GB2312"/>
          <w:bCs/>
          <w:color w:val="auto"/>
          <w:sz w:val="24"/>
          <w:highlight w:val="none"/>
          <w:lang w:val="en-US" w:eastAsia="zh-CN"/>
        </w:rPr>
        <w:t>8.3售后</w:t>
      </w:r>
      <w:r>
        <w:rPr>
          <w:rFonts w:hint="eastAsia" w:ascii="仿宋_GB2312" w:eastAsia="仿宋_GB2312"/>
          <w:bCs/>
          <w:color w:val="auto"/>
          <w:sz w:val="24"/>
          <w:highlight w:val="none"/>
          <w:lang w:val="en-GB"/>
        </w:rPr>
        <w:t>服务响应时间：</w:t>
      </w:r>
      <w:r>
        <w:rPr>
          <w:rFonts w:hint="eastAsia" w:ascii="仿宋_GB2312" w:eastAsia="仿宋_GB2312"/>
          <w:bCs/>
          <w:color w:val="auto"/>
          <w:sz w:val="24"/>
          <w:highlight w:val="none"/>
          <w:lang w:val="en-US" w:eastAsia="zh-CN"/>
        </w:rPr>
        <w:t>供应商须提供过程咨询服务，解答采购人相关问题。供应商需提供7*24小时的技术支持服务，且技术支持保障人员须在接到问题电话后24小时内赶到丽水学院校内，提供不间断的技术服务直到修复为止。小故障在12 小时内修复完毕，重大故障应在24小时内处理完毕。若24小时内无法解决，供应商应在48小时内提供对应备选的技术服务解决方案。</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9.付款方式</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rPr>
        <w:t>（1）履约保证金为合同价款的1%。合同签订之日起5个工作日内，</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向</w:t>
      </w:r>
      <w:r>
        <w:rPr>
          <w:rFonts w:hint="eastAsia" w:ascii="仿宋_GB2312" w:eastAsia="仿宋_GB2312"/>
          <w:bCs/>
          <w:color w:val="auto"/>
          <w:sz w:val="24"/>
          <w:highlight w:val="none"/>
          <w:lang w:eastAsia="zh-CN"/>
        </w:rPr>
        <w:t>采购人</w:t>
      </w:r>
      <w:r>
        <w:rPr>
          <w:rFonts w:hint="eastAsia" w:ascii="仿宋_GB2312" w:eastAsia="仿宋_GB2312"/>
          <w:bCs/>
          <w:color w:val="auto"/>
          <w:sz w:val="24"/>
          <w:highlight w:val="none"/>
        </w:rPr>
        <w:t>提交履约保证金。履约保证金可通过提供金融机构保函形式缴纳。</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rPr>
        <w:t>（2）合同签订后</w:t>
      </w:r>
      <w:r>
        <w:rPr>
          <w:rFonts w:hint="eastAsia" w:ascii="仿宋_GB2312" w:eastAsia="仿宋_GB2312"/>
          <w:bCs/>
          <w:color w:val="auto"/>
          <w:sz w:val="24"/>
          <w:highlight w:val="none"/>
          <w:lang w:eastAsia="zh-CN"/>
        </w:rPr>
        <w:t>且</w:t>
      </w:r>
      <w:r>
        <w:rPr>
          <w:rFonts w:hint="eastAsia" w:ascii="仿宋_GB2312" w:eastAsia="仿宋_GB2312"/>
          <w:bCs/>
          <w:color w:val="auto"/>
          <w:sz w:val="24"/>
          <w:highlight w:val="none"/>
        </w:rPr>
        <w:t>具备实施条件</w:t>
      </w:r>
      <w:r>
        <w:rPr>
          <w:rFonts w:hint="eastAsia" w:ascii="仿宋_GB2312" w:eastAsia="仿宋_GB2312"/>
          <w:bCs/>
          <w:color w:val="auto"/>
          <w:sz w:val="24"/>
          <w:highlight w:val="none"/>
          <w:lang w:eastAsia="zh-CN"/>
        </w:rPr>
        <w:t>，采购人</w:t>
      </w:r>
      <w:r>
        <w:rPr>
          <w:rFonts w:hint="eastAsia" w:ascii="仿宋_GB2312" w:eastAsia="仿宋_GB2312"/>
          <w:bCs/>
          <w:color w:val="auto"/>
          <w:sz w:val="24"/>
          <w:highlight w:val="none"/>
        </w:rPr>
        <w:t>收到</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提供的正规发票之日起7个工作日内，</w:t>
      </w:r>
      <w:r>
        <w:rPr>
          <w:rFonts w:hint="eastAsia" w:ascii="仿宋_GB2312" w:eastAsia="仿宋_GB2312"/>
          <w:bCs/>
          <w:color w:val="auto"/>
          <w:sz w:val="24"/>
          <w:highlight w:val="none"/>
          <w:lang w:eastAsia="zh-CN"/>
        </w:rPr>
        <w:t>向中标人</w:t>
      </w:r>
      <w:r>
        <w:rPr>
          <w:rFonts w:hint="eastAsia" w:ascii="仿宋_GB2312" w:eastAsia="仿宋_GB2312"/>
          <w:bCs/>
          <w:color w:val="auto"/>
          <w:sz w:val="24"/>
          <w:highlight w:val="none"/>
        </w:rPr>
        <w:t>支付合同金额的</w:t>
      </w:r>
      <w:r>
        <w:rPr>
          <w:rFonts w:hint="eastAsia" w:ascii="仿宋_GB2312" w:eastAsia="仿宋_GB2312"/>
          <w:bCs/>
          <w:color w:val="auto"/>
          <w:sz w:val="24"/>
          <w:highlight w:val="none"/>
          <w:lang w:val="en-US" w:eastAsia="zh-CN"/>
        </w:rPr>
        <w:t>6</w:t>
      </w:r>
      <w:r>
        <w:rPr>
          <w:rFonts w:hint="eastAsia" w:ascii="仿宋_GB2312" w:eastAsia="仿宋_GB2312"/>
          <w:bCs/>
          <w:color w:val="auto"/>
          <w:sz w:val="24"/>
          <w:highlight w:val="none"/>
        </w:rPr>
        <w:t>0%。</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rPr>
        <w:t>（3）</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完成</w:t>
      </w:r>
      <w:r>
        <w:rPr>
          <w:rFonts w:hint="eastAsia" w:ascii="仿宋_GB2312" w:eastAsia="仿宋_GB2312"/>
          <w:bCs/>
          <w:color w:val="auto"/>
          <w:sz w:val="24"/>
          <w:highlight w:val="none"/>
          <w:lang w:eastAsia="zh-CN"/>
        </w:rPr>
        <w:t>合同约定的全部工作</w:t>
      </w:r>
      <w:r>
        <w:rPr>
          <w:rFonts w:hint="eastAsia" w:ascii="仿宋_GB2312" w:eastAsia="仿宋_GB2312"/>
          <w:bCs/>
          <w:color w:val="auto"/>
          <w:sz w:val="24"/>
          <w:highlight w:val="none"/>
        </w:rPr>
        <w:t>并完成试运行后，由</w:t>
      </w:r>
      <w:r>
        <w:rPr>
          <w:rFonts w:hint="eastAsia" w:ascii="仿宋_GB2312" w:eastAsia="仿宋_GB2312"/>
          <w:bCs/>
          <w:color w:val="auto"/>
          <w:sz w:val="24"/>
          <w:highlight w:val="none"/>
          <w:lang w:eastAsia="zh-CN"/>
        </w:rPr>
        <w:t>采购人</w:t>
      </w:r>
      <w:r>
        <w:rPr>
          <w:rFonts w:hint="eastAsia" w:ascii="仿宋_GB2312" w:eastAsia="仿宋_GB2312"/>
          <w:bCs/>
          <w:color w:val="auto"/>
          <w:sz w:val="24"/>
          <w:highlight w:val="none"/>
        </w:rPr>
        <w:t>组织专家开展项目终验。通过验收后，</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提提供正规发票且采购人完成财政资金审批手续后7个工作日内，甲方支付合同尾款，即合同金额的</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rPr>
        <w:t>0%。</w:t>
      </w:r>
    </w:p>
    <w:p>
      <w:pPr>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rPr>
        <w:t>）返还履约保证金。</w:t>
      </w:r>
      <w:r>
        <w:rPr>
          <w:rFonts w:hint="eastAsia" w:ascii="仿宋_GB2312" w:eastAsia="仿宋_GB2312"/>
          <w:bCs/>
          <w:color w:val="auto"/>
          <w:sz w:val="24"/>
          <w:highlight w:val="none"/>
          <w:lang w:eastAsia="zh-CN"/>
        </w:rPr>
        <w:t>采购人</w:t>
      </w:r>
      <w:r>
        <w:rPr>
          <w:rFonts w:hint="eastAsia" w:ascii="仿宋_GB2312" w:eastAsia="仿宋_GB2312"/>
          <w:bCs/>
          <w:color w:val="auto"/>
          <w:sz w:val="24"/>
          <w:highlight w:val="none"/>
        </w:rPr>
        <w:t>自项目终验通过后7个工作日内，将</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缴纳的履约保证金无息返还</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w:t>
      </w:r>
    </w:p>
    <w:p>
      <w:pPr>
        <w:spacing w:line="312" w:lineRule="auto"/>
        <w:ind w:firstLine="482" w:firstLineChars="200"/>
        <w:rPr>
          <w:rFonts w:hint="eastAsia" w:ascii="仿宋_GB2312" w:hAnsi="仿宋_GB2312" w:eastAsia="仿宋" w:cs="仿宋_GB2312"/>
          <w:bCs/>
          <w:color w:val="auto"/>
          <w:sz w:val="24"/>
          <w:highlight w:val="none"/>
          <w:lang w:val="en-US" w:eastAsia="zh-CN"/>
        </w:rPr>
      </w:pPr>
      <w:r>
        <w:rPr>
          <w:rFonts w:hint="eastAsia" w:ascii="仿宋" w:hAnsi="仿宋" w:eastAsia="仿宋" w:cs="仿宋"/>
          <w:b/>
          <w:bCs/>
          <w:color w:val="auto"/>
          <w:sz w:val="24"/>
          <w:highlight w:val="none"/>
          <w:lang w:val="en-US" w:eastAsia="zh-CN"/>
        </w:rPr>
        <w:t>注：①</w:t>
      </w:r>
      <w:r>
        <w:rPr>
          <w:rFonts w:hint="eastAsia" w:ascii="仿宋" w:hAnsi="仿宋" w:eastAsia="仿宋" w:cs="仿宋"/>
          <w:b/>
          <w:bCs/>
          <w:color w:val="auto"/>
          <w:sz w:val="24"/>
          <w:highlight w:val="none"/>
        </w:rPr>
        <w:t>因本合同项目为政府财政资金项目，合同款支付还应符合政府财政支付计划，若财政支付计划发生调整，则从其调整。</w:t>
      </w:r>
      <w:r>
        <w:rPr>
          <w:rFonts w:hint="eastAsia" w:ascii="仿宋" w:hAnsi="仿宋" w:eastAsia="仿宋" w:cs="仿宋"/>
          <w:b/>
          <w:bCs/>
          <w:color w:val="auto"/>
          <w:sz w:val="24"/>
          <w:highlight w:val="none"/>
          <w:lang w:eastAsia="zh-CN"/>
        </w:rPr>
        <w:t>②以上付款时间是指采购人（甲方）完成向财政部门申报支付手续的时间，财政部门审查及实际支付可能造成的时间延误不视为采购人（甲方）违约。</w:t>
      </w:r>
    </w:p>
    <w:p>
      <w:pPr>
        <w:rPr>
          <w:rFonts w:hint="eastAsia" w:eastAsia="宋体" w:cs="Times New Roman"/>
          <w:highlight w:val="none"/>
          <w:lang w:val="en-US" w:eastAsia="zh-CN"/>
        </w:rPr>
      </w:pPr>
    </w:p>
    <w:p>
      <w:pPr>
        <w:rPr>
          <w:rFonts w:hint="eastAsia" w:eastAsia="宋体" w:cs="Times New Roman"/>
          <w:highlight w:val="none"/>
          <w:lang w:val="en-US" w:eastAsia="zh-CN"/>
        </w:rPr>
      </w:pPr>
      <w:r>
        <w:rPr>
          <w:rFonts w:hint="eastAsia" w:eastAsia="宋体" w:cs="Times New Roman"/>
          <w:highlight w:val="none"/>
          <w:lang w:val="en-US" w:eastAsia="zh-CN"/>
        </w:rPr>
        <w:br w:type="page"/>
      </w:r>
    </w:p>
    <w:p>
      <w:pPr>
        <w:rPr>
          <w:rFonts w:hint="eastAsia" w:eastAsia="宋体"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w:t>
      </w:r>
    </w:p>
    <w:tbl>
      <w:tblPr>
        <w:tblStyle w:val="56"/>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2815"/>
        <w:gridCol w:w="210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highlight w:val="none"/>
                <w:u w:val="none"/>
                <w:lang w:val="en-US" w:eastAsia="zh-CN" w:bidi="ar"/>
              </w:rPr>
            </w:pPr>
            <w:r>
              <w:rPr>
                <w:rFonts w:hint="eastAsia" w:ascii="宋体" w:hAnsi="宋体" w:eastAsia="宋体" w:cs="宋体"/>
                <w:b/>
                <w:bCs/>
                <w:i w:val="0"/>
                <w:color w:val="000000"/>
                <w:kern w:val="0"/>
                <w:sz w:val="22"/>
                <w:szCs w:val="22"/>
                <w:highlight w:val="none"/>
                <w:u w:val="none"/>
                <w:lang w:val="en-US" w:eastAsia="zh-CN" w:bidi="ar"/>
              </w:rPr>
              <w:t>序号</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highlight w:val="none"/>
                <w:u w:val="none"/>
                <w:lang w:val="en-US" w:eastAsia="zh-CN" w:bidi="ar"/>
              </w:rPr>
            </w:pPr>
            <w:r>
              <w:rPr>
                <w:rFonts w:hint="eastAsia" w:ascii="宋体" w:hAnsi="宋体" w:eastAsia="宋体" w:cs="宋体"/>
                <w:b/>
                <w:bCs/>
                <w:i w:val="0"/>
                <w:color w:val="000000"/>
                <w:kern w:val="0"/>
                <w:sz w:val="22"/>
                <w:szCs w:val="22"/>
                <w:highlight w:val="none"/>
                <w:u w:val="none"/>
                <w:lang w:val="en-US" w:eastAsia="zh-CN" w:bidi="ar"/>
              </w:rPr>
              <w:t>名称</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highlight w:val="none"/>
                <w:u w:val="none"/>
                <w:lang w:val="en-US" w:eastAsia="zh-CN" w:bidi="ar"/>
              </w:rPr>
            </w:pPr>
            <w:r>
              <w:rPr>
                <w:rFonts w:hint="eastAsia" w:ascii="宋体" w:hAnsi="宋体" w:eastAsia="宋体" w:cs="宋体"/>
                <w:b/>
                <w:bCs/>
                <w:i w:val="0"/>
                <w:color w:val="000000"/>
                <w:kern w:val="0"/>
                <w:sz w:val="22"/>
                <w:szCs w:val="22"/>
                <w:highlight w:val="none"/>
                <w:u w:val="none"/>
                <w:lang w:val="en-US" w:eastAsia="zh-CN" w:bidi="ar"/>
              </w:rPr>
              <w:t>类型</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highlight w:val="none"/>
                <w:u w:val="none"/>
                <w:lang w:val="en-US" w:eastAsia="zh-CN" w:bidi="ar"/>
              </w:rPr>
            </w:pPr>
            <w:r>
              <w:rPr>
                <w:rFonts w:hint="eastAsia" w:ascii="宋体" w:hAnsi="宋体" w:eastAsia="宋体" w:cs="宋体"/>
                <w:b/>
                <w:bCs/>
                <w:i w:val="0"/>
                <w:color w:val="000000"/>
                <w:kern w:val="0"/>
                <w:sz w:val="22"/>
                <w:szCs w:val="22"/>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9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614"/>
              </w:tabs>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color w:val="000000"/>
                <w:kern w:val="0"/>
                <w:sz w:val="21"/>
                <w:szCs w:val="21"/>
                <w:highlight w:val="none"/>
                <w:u w:val="none"/>
                <w:lang w:val="en-US" w:eastAsia="zh-CN" w:bidi="ar"/>
              </w:rPr>
              <w:t>必购清单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柔石《希望》</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稀见珍品，新文学珍本，民国19年7月初版，民国22年1月印行，国难后第一版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巴金《秋》</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孤本民国新文学珍本，文学泰斗巴金经典著作，激流三部曲之一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艾青《写作生涯五十年》</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名人墨迹 &gt; 手稿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中国现代著名作家、诗人艾青的重要文稿之一，圆珠笔原迹，十九页全，永久保真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左联《前哨》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期刊 &gt; 文学小说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1931-04 总第1期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柔石《为奴隶的母亲》戏单</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商品分类：收藏杂项 &gt; 票证标牌章 &gt; 票证单据 &gt; 节目单</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五六十年代戏单，根据柔石的同名小说改编，上海市勤艺泸剧团演出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柔石《为奴隶的母亲》插图</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收藏杂项 &gt; 其他杂项</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共三幅，樊海中作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《文艺月报 1-3全，含创刊号、第二号、第三号（3册全）》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1959年根据民国22年原版影印，北平左联机关刊物，中国现代文学史资料丛书（乙种）【至高品相 收藏佳品】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左联五烈士《李伟森》木刻版画</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版画宣传画 &gt; 版画原作</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著名版画家、原中国版画家协会主席李桦木刻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大公报上海版（1951年2月25日）</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报纸 &gt; 综合日报 &gt; 上海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大公画刊记住日本帝国主义侵略中国的罪行，柔石胡也频白莽李伟森冯铿五烈士殉难二十周年纪念特刊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大公报上海版（1951年2月26日）</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报纸 &gt; 综合日报 &gt; 上海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和平理事会发表演说中国日本代表大受欢迎郭沫若演讲全文，柔石等五烈士殉难廿周年文艺界昨集会沉痛悼念潘汉年号召完成未竟事业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纪念左联五烈士殉难六十周年明信片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邮票税票 &gt; 封片简 &gt; 新中国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早期明信片，1991年2月7日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冯铿老照片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【银盐老照片】冯铿（广东潮州人）左联五烈士之一 尺寸：约9.7厘米*7.3厘米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柔石《为奴隶的母亲》</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1947年2月初版，世界英语编译社出版，汉英对照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70年代原打印谱</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印谱 &gt; 手拓</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中共烈士--顾正红、柔石、王孝和、邹韬奋、孙炳文、杨贤江、欧阳立安等46人名印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《为奴隶的母亲》连环画</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连环画 &gt; 绘画版</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木刻本40开， 上海人民美术出版社1980年9月印刷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《朝花旬刊》原版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第三期，鲁迅，柔石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民国初版一印现代中国文学丛刊《现代中国小说选、现代中国小说续选》</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赵景深编著，32开平装二册全。北新书局民国三十五年（1946）四月，初版一印白纸精印刊行。内录“鲁迅、茅盾、叶绍钧、俞平伯、冰心、沈从文、郭沫若、柔石、田军、萧干“等多位名家著作，汉英全译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中国现代文学选集 月报付き / 《中国现代文学选集》 20卷全 【初版多数】</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外文古旧书 &gt; 日文书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日文原版，32开精装本，检索：梁启超、王国维、鲁迅、叶圣陶、倪焕之、瞿秋白、茅盾《子夜》、郭沫若、郁达夫、老舍、曹禺、柔石、丁玲、艾芜、萧红、巴金、赵树理、曲波《林海雪原》、周亦萍、冯志等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柔石老照片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【银盐老照片】柔石（浙江宁海人）左联五烈士之一 尺寸：约10.3厘米*7.5厘米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李求实老照片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【银盐老照片】李求实（湖北武昌人）左联五烈士之一 尺寸：约10.3厘米*7.5厘米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新文学精品:《现代创作小说精选》</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选郁达夫、丁玲、蓬子、胡也频、沈从文、巴金、非兆等14家，民国二十四年（1935年）11月经纬书局版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沈从文《记胡也频》</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完整一册，十分少见，光华书局1932年1月出版，32开本，品好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《胡也频选集》</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线装古籍 &gt; 历史</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一册全，盖有中南军政委员会图书章，1951年初版，仅印5000册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胡也频老照片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胡也频（出生于福建福州，祖籍江西省新建县）左联五烈士之一，尺寸：约10.3厘米*7.5厘米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《前哨》创刊新华社新闻展览照片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超大尺寸：1931年4月25日，中国左翼作家联盟机关杂志《前哨》创刊，纪念战死者专号”抗议国民党屠杀李伟森、胡也频、柔石、殷夫、冯铿和宗晖的暴行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诗人殷夫的生平及其作品；丁景唐、陈长歌签名本</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名人墨迹 &gt; 签名本</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文学类收藏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丁景唐编《殷夫集》一册</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名人墨迹 &gt; 签名本</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丁景唐钤章、毛笔签赠本，平装32开一版，品好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殷夫老照片</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照片影像 &gt; 老照片 &gt; 原照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【银盐老照片】殷夫（浙江省象山县怀珠乡大徐村，今大徐镇大徐村人）左联五烈士之一，尺寸：约10.3厘米*7.6厘米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中国现代文艺资料丛刊 “左联”成立50周年纪念特辑签赠本</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收藏与鉴赏 &gt; 特装限量本</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1980年一版一印，书票一枚，丁景唐签名钤印赠给王观泉夫妇，三枚印：永保革命青春、丁景唐、景唐汉玉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端木蕻良手写实寄封</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邮票税票 &gt; 封片简 &gt; 新中国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1980年著名学者左联成员作家协会副主席端木蕻良,手写实寄封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《文学》第九卷第一期</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左联旗下生活书店1937年出版，王任叔、臧克家、端木蕻良、王统照、沙汀、艾芜、老舍、矛盾、傅东华等著文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《征兵委员》</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涛汇出版社1940年初版，徐盈、彭慧、骆滨基、周冷、丁乙、李励文、端木蕻良、寒波、易丹等人的文章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稀见民国老版“精品新文学珍本”《遥远的风砂》</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开明文学新刊，老舍 等着，32开平装一册全。“三联出版社”民国老板繁体竖排刊行，内录“老舍、端木蕻良、严文井、刘白羽、夏衍、白尘、萧干”等多位名家，精品短文多篇。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鲁迅，许寿裳等《二三事》</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1937年初版，民国二十六年新文学，鲁迅许寿裳茅盾端木蕻良等着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《文学》第九卷第一期</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内含茅盾、傅东华、沙汀、荒煤刘白羽、碧野、端木蕻良、臧克家、王任书等作品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茅盾《宿莽》</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新文学毛边善本，1931年初版本，包括三部短篇小说：《色盲》、《泥泞》、《陀螺》，另收随笔七篇，一册全，罕见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1934年初版《我与文学》</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郑振铎、洪为法、刘大杰、茅盾、林庚等着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创刊号：《萌芽》（全套）</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39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茅盾《三人行》初版本</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1931年开明书店出版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《随笔与短评》初版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小开本特殊，收录鲁迅、茅盾、周作人三家作品，民国新文学，三通书局发行，少见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创刊号《新世纪·第一卷第一期 (纯文艺月刊）》1946年原版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收有茅盾：《五十年代是“人民的世纪”》、周钢鸣：《战后文艺运动的一个轮廓：谈民主科学革命的大众文艺》、黄药眠：《论文艺上的肃奸运动及其他》、骆宾基：《新诗和诗人》……（封底有昆明北门出版社条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《茅盾自选集》</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茅盾唯一一部自选集，道林纸精印，前有茅盾早期照片一幅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43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珍稀民国期刊：《小说月刊》</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期刊 &gt; 文学小说 &gt; 小说</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茅盾、巴人等编，第一卷第一期至第二卷第五期合11册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茅盾《炮火的洗礼》（1939初版）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红色文献 &gt; 红色文献</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孤本珍品，收录《站上各自的岗位》（即《呐喊》的创刊献词！）、《烽火小丛书》之六等【超高品相 收藏佳品】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《现代散文集》第一本</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民国孤本，1936年经济书店初版，内有周作人、老舍、巴金、沈从文、郁达夫、茅盾等散文，分为春辑、夏辑、秋辑、冬辑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巴金《爱底十字架》</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稀见民国老版“精品新文学珍本”，32开平装一册全，“文化生活出版社”民国三十八年（1949）五月，繁体竖排刊行，版本罕见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巴金《将军》</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极稀见民国老版“精品新文学珍本”，32开平装一册全，“文化生活出版社”民国三十八年（1949）三月，繁体竖排刊行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2开电影海报：祝福（1956年上映）</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版画宣传画 &gt; 新中国宣传画</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民国新文学精品：徐沉泗 叶忘忧编选《现代创作文库》二十辑全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二十五年四月上海万象书屋初版，即1936年，精选二十位该时期著名作家作品集）鲁迅，郭沫若，郁达夫，周作人，叶绍钧，徐志摩，王独清，张资平，冰心，庐隐，郑振铎，王统照，田汉，老舍，沈从文，茅盾，鲁彦，巴金，丁玲，张天翼。基本囊括了当时的文坛巨星，此套书之后再无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稀见民国老版“精品红色文学”《谈文艺问题》</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周扬编，32开平装一册全，冀东新华书店，老版繁体竖排刊行，版本罕见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《延安版【文艺战线】第一卷第六号（终刊号）》</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红色文献 &gt; 红色文献</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边区文学、大生产运动、八路军大青山支队、八路军129师。收：《对旧形式利用在文学上的一个看法》周扬、《一家人》严文井、《在黄河的一弯上》刘白羽、《过来人》孔厥、《我们跟下原弥熊师团》魏伯、《七一五团和大青山》何其芳、《一二九师的理发员》野蕻、《一支工人分队的出发》刘亚洛、《宣传的范畴以外》梅行、《开荒素描》骆方、《关于文协工作的建议》老舍 周扬、焦心河木刻、陕北的丰收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新文学珍本《黎明》</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民国26年（1937）生活书店初版，胡风、艾青、端木蕻良等名家著，陈烟桥等精美木刻插画8幅，书品佳，外透明保护玻璃纸均完整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新文学珍本《第一年》</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民国27年（1938）末名书店初版谊社编选，1厚册全，新文学珍本，稀有原版极美品，茅盾、艾青、臧克家、巴金、郭沫若等短篇集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丁玲《也频诗选》</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综合性图书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民国红黑出版社1929年处刊本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民国三十八年三版 《 论民主革命的文艺运动 》</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冯雪峰著 封面古元木刻漂亮 作家书屋出版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毛边本：社会的作家论</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此书是冯雪峰翻译的左翼文学理论名作，道林纸印大毛边本，封面设计醒目，左翼特色鲜明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雪峯寓言</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（冯雪峰著，黄永玉木刻插图，作家出版社1956年1版1印）书脊处贴牛皮纸。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五六十年代 戏单—— 祥林嫂</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商品分类：收藏杂项 &gt; 票证标牌章 &gt; 票证单据 &gt; 节目单</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节目单 32开 浙江省文化局越剧祥林嫂演出队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《新文艺》月刊 （ 毛边本） 第二卷第一期</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 三月号</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期刊 &gt; 文学小说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民国十九年三月水沫书店初版发行——本期收施蛰存、戴望舒、徐霞村、杜衡、穆时英等作家作品——《黑旋风》、《花》、《自然的淘汰》等。左翼文学代表性刊物。罕见珍品。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郑振铎主编《小说月报》第二十卷第九、十、十二号 共三本合订一厚册全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小说</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内有大量早期新文学家著作 如老舍 赵景深 沈从文 郑振铎 戴望舒等人物著作</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出版社:  商务印书馆</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出版时间:  1929-12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89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选购清单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61</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东德最重要文学杂志《意义与形式（SINN UND FORM）》六册</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外文古旧书 &gt; 德文书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含中译德鲁迅《无题》、柔石《做奴隶的母亲》、朱素臣《十五贯》、毛泽东《长征》、老舍《月牙儿》等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62</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《活的中国》</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外文古旧书 &gt; 英文书 &gt; 历史</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1937年英文版斯诺作品，收录了鲁迅、柔石、郭沫若、茅盾等15位左翼作家的作品等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63</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茅盾《虹》日文版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外文古旧书 &gt; 日文书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首现孤本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64</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民国新文学、出版学文献期刊《出版消息第五六期合刊》</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出版消息”于1932年12月在上海创刊，停刊于1935年3月，共48期，由顾瑞民任编辑，由乐华图书公司发行，半月刊，属于图书出版信息刊物。号称“出版界的喉舌、文坛的情报者”，本期内容亮点有：周作人的“作家素描”，作家消息有关“高尔斯华绥、乔治摩尔、萧伯纳、辛克莱、孙伏园、顾凤城、黎烈文、台静农、袁殊、陈凝秋、徐悲鸿、老舍、阎折吾、陈瘦石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65</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《文艺月刊》四卷一期 特大号</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期刊 &gt; 文学小说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民国二十二年（1933）七月一日中国文艺社出版发行 【收录老舍鲁彦靳以臧克家卞之琳曹葆华等论文，小说，诗选等作品】 封面 陈之佛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66</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民国期刊《人间世》小品文半月刊 第一卷合订本</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创刊号一12期 民国23年（1934） 内有老舍徐志摩等文化名人照片及书法若干幅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67</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著名民国新文学刊物《宇宙风》</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1935年初版，林语堂、周作人、老舍、丰子恺等全名家文，总第六期，16开全一册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68</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新文学珍本《北平一顾》</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民国25年（1936）宇宙风社初版，周作人题名，周作人、老舍、废名等全名家文，全一册，品较好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69</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毛边本 民国十九年（1930）大江书铺初版《现代欧洲的艺术》1册全</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文学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，（匈）玛察著，冯雪峰译，系著名翻译家/鲁迅研究名家孙用旧藏（藏印剜去），内有其批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70</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新文学 晨报七周年增刊 闻一多徐志摩等文章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1925版</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民国旧书 &gt; 政治</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出版社:  晨报第六第七周年纪念增刊</w:t>
            </w:r>
          </w:p>
        </w:tc>
      </w:tr>
    </w:tbl>
    <w:p>
      <w:pPr>
        <w:rPr>
          <w:rFonts w:hint="default" w:eastAsia="宋体" w:cs="Times New Roman"/>
          <w:highlight w:val="none"/>
          <w:lang w:val="en-US" w:eastAsia="zh-CN"/>
        </w:rPr>
      </w:pPr>
      <w:r>
        <w:rPr>
          <w:rFonts w:hint="eastAsia" w:eastAsia="宋体" w:cs="Times New Roman"/>
          <w:highlight w:val="none"/>
          <w:lang w:val="en-US" w:eastAsia="zh-CN"/>
        </w:rPr>
        <w:t xml:space="preserve"> </w:t>
      </w: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bookmarkEnd w:id="95"/>
    <w:bookmarkEnd w:id="96"/>
    <w:p>
      <w:pPr>
        <w:rPr>
          <w:rFonts w:hint="eastAsia" w:ascii="仿宋_GB2312" w:hAnsi="仿宋_GB2312" w:eastAsia="仿宋_GB2312" w:cs="仿宋_GB2312"/>
          <w:color w:val="auto"/>
          <w:highlight w:val="none"/>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b/>
          <w:color w:val="auto"/>
          <w:sz w:val="30"/>
          <w:szCs w:val="30"/>
          <w:highlight w:val="none"/>
        </w:rPr>
      </w:pPr>
      <w:bookmarkStart w:id="107" w:name="_Toc9537"/>
      <w:r>
        <w:rPr>
          <w:rFonts w:hint="eastAsia" w:ascii="仿宋_GB2312" w:hAnsi="仿宋_GB2312" w:eastAsia="仿宋_GB2312" w:cs="仿宋_GB2312"/>
          <w:b/>
          <w:color w:val="auto"/>
          <w:sz w:val="30"/>
          <w:szCs w:val="30"/>
          <w:highlight w:val="none"/>
        </w:rPr>
        <w:t>第四</w:t>
      </w:r>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w:t>
      </w:r>
      <w:bookmarkEnd w:id="97"/>
      <w:r>
        <w:rPr>
          <w:rFonts w:hint="eastAsia" w:ascii="仿宋_GB2312" w:hAnsi="仿宋_GB2312" w:eastAsia="仿宋_GB2312" w:cs="仿宋_GB2312"/>
          <w:b/>
          <w:color w:val="auto"/>
          <w:sz w:val="30"/>
          <w:szCs w:val="30"/>
          <w:highlight w:val="none"/>
        </w:rPr>
        <w:t>评审方法及评审标准</w:t>
      </w:r>
      <w:bookmarkEnd w:id="107"/>
    </w:p>
    <w:p>
      <w:pPr>
        <w:pStyle w:val="3"/>
        <w:spacing w:before="120" w:beforeLines="50"/>
        <w:rPr>
          <w:rFonts w:hint="eastAsia" w:ascii="仿宋_GB2312" w:hAnsi="仿宋_GB2312" w:eastAsia="仿宋_GB2312" w:cs="仿宋_GB2312"/>
          <w:color w:val="auto"/>
          <w:sz w:val="28"/>
          <w:szCs w:val="28"/>
          <w:highlight w:val="none"/>
        </w:rPr>
      </w:pPr>
      <w:bookmarkStart w:id="108" w:name="_Toc23614"/>
      <w:bookmarkStart w:id="109" w:name="_Toc7638"/>
      <w:bookmarkStart w:id="110" w:name="_Toc8456"/>
      <w:bookmarkStart w:id="111" w:name="_Toc15773"/>
      <w:r>
        <w:rPr>
          <w:rFonts w:hint="eastAsia" w:ascii="仿宋_GB2312" w:hAnsi="仿宋_GB2312" w:eastAsia="仿宋_GB2312" w:cs="仿宋_GB2312"/>
          <w:color w:val="auto"/>
          <w:sz w:val="28"/>
          <w:szCs w:val="28"/>
          <w:highlight w:val="none"/>
        </w:rPr>
        <w:t>评审办法前附表</w:t>
      </w:r>
      <w:bookmarkEnd w:id="108"/>
      <w:bookmarkEnd w:id="109"/>
      <w:bookmarkEnd w:id="110"/>
      <w:bookmarkEnd w:id="111"/>
    </w:p>
    <w:p>
      <w:pPr>
        <w:rPr>
          <w:rFonts w:hint="eastAsia" w:ascii="仿宋_GB2312" w:hAnsi="仿宋_GB2312" w:eastAsia="仿宋_GB2312" w:cs="仿宋_GB2312"/>
          <w:color w:val="auto"/>
          <w:highlight w:val="none"/>
          <w:lang w:val="en-US" w:eastAsia="zh-CN"/>
        </w:rPr>
      </w:pPr>
    </w:p>
    <w:tbl>
      <w:tblPr>
        <w:tblStyle w:val="5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581"/>
        <w:gridCol w:w="733"/>
        <w:gridCol w:w="110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44" w:type="pct"/>
            <w:noWrap w:val="0"/>
            <w:vAlign w:val="center"/>
          </w:tcPr>
          <w:p>
            <w:pPr>
              <w:spacing w:line="264" w:lineRule="auto"/>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3013" w:type="pct"/>
            <w:noWrap w:val="0"/>
            <w:vAlign w:val="center"/>
          </w:tcPr>
          <w:p>
            <w:pPr>
              <w:spacing w:line="264" w:lineRule="auto"/>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评标标准</w:t>
            </w:r>
          </w:p>
        </w:tc>
        <w:tc>
          <w:tcPr>
            <w:tcW w:w="395" w:type="pct"/>
            <w:noWrap w:val="0"/>
            <w:vAlign w:val="center"/>
          </w:tcPr>
          <w:p>
            <w:pPr>
              <w:spacing w:line="264" w:lineRule="auto"/>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权重</w:t>
            </w:r>
          </w:p>
        </w:tc>
        <w:tc>
          <w:tcPr>
            <w:tcW w:w="598" w:type="pct"/>
            <w:noWrap w:val="0"/>
            <w:vAlign w:val="center"/>
          </w:tcPr>
          <w:p>
            <w:pPr>
              <w:spacing w:line="264" w:lineRule="auto"/>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主观分/客观分属性</w:t>
            </w:r>
          </w:p>
        </w:tc>
        <w:tc>
          <w:tcPr>
            <w:tcW w:w="647" w:type="pct"/>
            <w:noWrap w:val="0"/>
            <w:vAlign w:val="center"/>
          </w:tcPr>
          <w:p>
            <w:pPr>
              <w:spacing w:line="264" w:lineRule="auto"/>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自2021年1月1日（以合同签署日期为准）起至今，具有数据采集或数据资源建设的业绩，每提供1例业绩，得0.5分，本项最高得1分。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合同的复印件/扫描件。合同关键内容应无遮挡，须能清晰体现合同双方、签章、合同签订时间、合同内容。未提供证明材料或证明材料不符合评分要求的，不得分。</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具有有效的质量管理体系认证证书、</w:t>
            </w:r>
            <w:r>
              <w:rPr>
                <w:rFonts w:ascii="仿宋_GB2312" w:hAnsi="仿宋_GB2312" w:eastAsia="仿宋_GB2312" w:cs="仿宋_GB2312"/>
                <w:szCs w:val="21"/>
                <w:highlight w:val="none"/>
              </w:rPr>
              <w:t>信息安全管理体系认证证书、</w:t>
            </w:r>
            <w:r>
              <w:rPr>
                <w:rFonts w:hint="eastAsia" w:ascii="仿宋_GB2312" w:hAnsi="仿宋_GB2312" w:eastAsia="仿宋_GB2312" w:cs="仿宋_GB2312"/>
                <w:szCs w:val="21"/>
                <w:highlight w:val="none"/>
              </w:rPr>
              <w:t>信息技术服务管理体系认证证书、环境管理体系认证证书、职业健康安全管理体系认证证书，每提供一项得</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分。本项最高得</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评审依据/证明材料：同时提供</w:t>
            </w:r>
            <w:r>
              <w:rPr>
                <w:rFonts w:hint="eastAsia" w:ascii="仿宋_GB2312" w:hAnsi="仿宋_GB2312" w:eastAsia="仿宋_GB2312" w:cs="仿宋_GB2312"/>
                <w:kern w:val="0"/>
                <w:szCs w:val="21"/>
                <w:highlight w:val="none"/>
              </w:rPr>
              <w:t>①有效证书的复印件或扫描件；②证书在国家认证认可信息公共服务平台状态为有效，提供查询结果截图。</w:t>
            </w:r>
            <w:r>
              <w:rPr>
                <w:rFonts w:hint="eastAsia" w:ascii="仿宋_GB2312" w:hAnsi="仿宋_GB2312" w:eastAsia="仿宋_GB2312" w:cs="仿宋_GB2312"/>
                <w:szCs w:val="21"/>
                <w:highlight w:val="none"/>
              </w:rPr>
              <w:t>未提供证明材料或证明材料不全或证明材料不符合评分要求的，不得分。</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3</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具有数据应用、数据资产、数据智能化相关计算机软件著作权登记证书，每提供一个得</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分，本项最高</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（提供软件著作权登记证书相关证明材料复印件加盖公章）</w:t>
            </w:r>
          </w:p>
        </w:tc>
        <w:tc>
          <w:tcPr>
            <w:tcW w:w="395"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4</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具有知识图谱产品认证的，每有</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项，得</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分</w:t>
            </w:r>
            <w:r>
              <w:rPr>
                <w:rFonts w:hint="eastAsia" w:ascii="仿宋_GB2312" w:hAnsi="仿宋_GB2312" w:eastAsia="仿宋_GB2312" w:cs="仿宋_GB2312"/>
                <w:szCs w:val="21"/>
                <w:highlight w:val="none"/>
                <w:lang w:val="en-US" w:eastAsia="zh-CN"/>
              </w:rPr>
              <w:t>，最高得2分</w:t>
            </w:r>
            <w:r>
              <w:rPr>
                <w:rFonts w:hint="eastAsia" w:ascii="仿宋_GB2312" w:hAnsi="仿宋_GB2312" w:eastAsia="仿宋_GB2312" w:cs="仿宋_GB2312"/>
                <w:szCs w:val="21"/>
                <w:highlight w:val="none"/>
              </w:rPr>
              <w:t>。</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kern w:val="0"/>
                <w:szCs w:val="21"/>
                <w:highlight w:val="none"/>
              </w:rPr>
              <w:t>有效的认证证书的复印件或扫描件。</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5</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项目需求分析：</w:t>
            </w: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对本项目实施的总体整体认识和理解程度，包括但不限于实施目标、实施内容等。条理清晰，分析全面，情况表述完整性等。分值（</w:t>
            </w:r>
            <w:r>
              <w:rPr>
                <w:rFonts w:hint="eastAsia" w:ascii="仿宋_GB2312" w:hAnsi="仿宋_GB2312" w:eastAsia="仿宋_GB2312" w:cs="仿宋_GB2312"/>
                <w:szCs w:val="21"/>
                <w:highlight w:val="none"/>
                <w:lang w:val="en-US" w:eastAsia="zh-CN"/>
              </w:rPr>
              <w:t>5.0、</w:t>
            </w:r>
            <w:r>
              <w:rPr>
                <w:rFonts w:hint="eastAsia" w:ascii="仿宋_GB2312" w:hAnsi="仿宋_GB2312" w:eastAsia="仿宋_GB2312" w:cs="仿宋_GB2312"/>
                <w:szCs w:val="21"/>
                <w:highlight w:val="none"/>
              </w:rPr>
              <w:t>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项目需求分析。</w:t>
            </w:r>
          </w:p>
        </w:tc>
        <w:tc>
          <w:tcPr>
            <w:tcW w:w="395"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6</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项目组织实施方案：</w:t>
            </w: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针对本项目提供的项目管理、风险管理、验收管理、项目变更管理等内容完整、措施具体有效。分值（</w:t>
            </w:r>
            <w:r>
              <w:rPr>
                <w:rFonts w:hint="eastAsia" w:ascii="仿宋_GB2312" w:hAnsi="仿宋_GB2312" w:eastAsia="仿宋_GB2312" w:cs="仿宋_GB2312"/>
                <w:szCs w:val="21"/>
                <w:highlight w:val="none"/>
                <w:lang w:val="en-US" w:eastAsia="zh-CN"/>
              </w:rPr>
              <w:t>4.0、</w:t>
            </w:r>
            <w:r>
              <w:rPr>
                <w:rFonts w:hint="eastAsia" w:ascii="仿宋_GB2312" w:hAnsi="仿宋_GB2312" w:eastAsia="仿宋_GB2312" w:cs="仿宋_GB2312"/>
                <w:szCs w:val="21"/>
                <w:highlight w:val="none"/>
              </w:rPr>
              <w:t>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项目组织实施方案。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4</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4"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7</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左翼作家知识图谱建设方案：知识图谱构建的数据建模、数据构成、数据处理流程、数据呈现及可视化等技术方案，方案需要明确体现结构化数据和非结构化数据的采集、知识建模、知识抽取、知识消歧、知识融合等流程的完整设计，并按照采购需求提供和现有系统集成的技术方案。分值（5.0、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知识图谱建设方案。</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8</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针对第三章采购需求“（一）制作左翼作家知识图谱”要求第3条提供承诺的，得</w:t>
            </w:r>
            <w:r>
              <w:rPr>
                <w:rFonts w:ascii="仿宋_GB2312" w:hAnsi="仿宋_GB2312" w:eastAsia="仿宋_GB2312" w:cs="仿宋_GB2312"/>
                <w:szCs w:val="21"/>
                <w:highlight w:val="none"/>
              </w:rPr>
              <w:t>2</w:t>
            </w:r>
            <w:r>
              <w:rPr>
                <w:rFonts w:hint="eastAsia" w:ascii="仿宋_GB2312" w:hAnsi="仿宋_GB2312" w:eastAsia="仿宋_GB2312" w:cs="仿宋_GB2312"/>
                <w:szCs w:val="21"/>
                <w:highlight w:val="none"/>
              </w:rPr>
              <w:t>分。</w:t>
            </w:r>
          </w:p>
          <w:p>
            <w:pPr>
              <w:spacing w:line="264"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承诺书且承诺内容符合采购需求。承诺书格式自拟。</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ascii="仿宋_GB2312" w:hAnsi="仿宋_GB2312" w:eastAsia="仿宋_GB2312" w:cs="仿宋_GB2312"/>
                <w:szCs w:val="21"/>
                <w:highlight w:val="none"/>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9</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针对第三章采购需求“（二）红色经典文学数据资料采购及收集”要求</w:t>
            </w:r>
            <w:r>
              <w:rPr>
                <w:rFonts w:hint="eastAsia" w:ascii="仿宋_GB2312" w:hAnsi="仿宋_GB2312" w:eastAsia="仿宋_GB2312" w:cs="仿宋_GB2312"/>
                <w:szCs w:val="21"/>
                <w:highlight w:val="none"/>
                <w:lang w:eastAsia="zh-CN"/>
              </w:rPr>
              <w:t>第</w:t>
            </w:r>
            <w:r>
              <w:rPr>
                <w:rFonts w:hint="eastAsia" w:ascii="仿宋_GB2312" w:hAnsi="仿宋_GB2312" w:eastAsia="仿宋_GB2312" w:cs="仿宋_GB2312"/>
                <w:szCs w:val="21"/>
                <w:highlight w:val="none"/>
                <w:lang w:val="en-US" w:eastAsia="zh-CN"/>
              </w:rPr>
              <w:t>1条第（2）项</w:t>
            </w:r>
            <w:r>
              <w:rPr>
                <w:rFonts w:hint="eastAsia" w:ascii="仿宋_GB2312" w:hAnsi="仿宋_GB2312" w:eastAsia="仿宋_GB2312" w:cs="仿宋_GB2312"/>
                <w:szCs w:val="21"/>
                <w:highlight w:val="none"/>
              </w:rPr>
              <w:t>，承诺采购</w:t>
            </w:r>
            <w:r>
              <w:rPr>
                <w:rFonts w:hint="eastAsia" w:ascii="仿宋_GB2312" w:hAnsi="仿宋_GB2312" w:eastAsia="仿宋_GB2312" w:cs="仿宋_GB2312"/>
                <w:szCs w:val="21"/>
                <w:highlight w:val="none"/>
                <w:lang w:eastAsia="zh-CN"/>
              </w:rPr>
              <w:t>和收集的</w:t>
            </w:r>
            <w:r>
              <w:rPr>
                <w:rFonts w:hint="eastAsia" w:ascii="仿宋_GB2312" w:hAnsi="仿宋_GB2312" w:eastAsia="仿宋_GB2312" w:cs="仿宋_GB2312"/>
                <w:szCs w:val="21"/>
                <w:highlight w:val="none"/>
              </w:rPr>
              <w:t>红色经典文学资源和浙江文学地标相关的手稿、图片、文献、美术作品等</w:t>
            </w:r>
            <w:r>
              <w:rPr>
                <w:rFonts w:hint="eastAsia" w:ascii="仿宋_GB2312" w:hAnsi="仿宋_GB2312" w:eastAsia="仿宋_GB2312" w:cs="仿宋_GB2312"/>
                <w:szCs w:val="21"/>
                <w:highlight w:val="none"/>
                <w:lang w:val="en-US" w:eastAsia="zh-CN"/>
              </w:rPr>
              <w:t>1项的，得0.5分，最高</w:t>
            </w:r>
            <w:r>
              <w:rPr>
                <w:rFonts w:hint="eastAsia" w:ascii="仿宋_GB2312" w:hAnsi="仿宋_GB2312" w:eastAsia="仿宋_GB2312" w:cs="仿宋_GB2312"/>
                <w:szCs w:val="21"/>
                <w:highlight w:val="none"/>
              </w:rPr>
              <w:t>得</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分。</w:t>
            </w:r>
          </w:p>
          <w:p>
            <w:pPr>
              <w:spacing w:line="264"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承诺书且承诺内容符合采购需求。承诺书格式自拟。</w:t>
            </w:r>
            <w:r>
              <w:rPr>
                <w:rFonts w:hint="eastAsia" w:ascii="仿宋_GB2312" w:hAnsi="仿宋_GB2312" w:eastAsia="仿宋_GB2312" w:cs="仿宋_GB2312"/>
                <w:b/>
                <w:bCs/>
                <w:szCs w:val="21"/>
                <w:highlight w:val="none"/>
              </w:rPr>
              <w:t xml:space="preserve"> </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10</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针对第三章采购需求“（二）红色经典文学数据资料采购及收集”要求，承诺数字图像采集质量满足采购需求的，得</w:t>
            </w:r>
            <w:r>
              <w:rPr>
                <w:rFonts w:ascii="仿宋_GB2312" w:hAnsi="仿宋_GB2312" w:eastAsia="仿宋_GB2312" w:cs="仿宋_GB2312"/>
                <w:szCs w:val="21"/>
                <w:highlight w:val="none"/>
              </w:rPr>
              <w:t>2</w:t>
            </w:r>
            <w:r>
              <w:rPr>
                <w:rFonts w:hint="eastAsia" w:ascii="仿宋_GB2312" w:hAnsi="仿宋_GB2312" w:eastAsia="仿宋_GB2312" w:cs="仿宋_GB2312"/>
                <w:szCs w:val="21"/>
                <w:highlight w:val="none"/>
              </w:rPr>
              <w:t>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承诺书且承诺内容符合采购需求。承诺书格式自拟。</w:t>
            </w:r>
            <w:r>
              <w:rPr>
                <w:rFonts w:hint="eastAsia" w:ascii="仿宋_GB2312" w:hAnsi="仿宋_GB2312" w:eastAsia="仿宋_GB2312" w:cs="仿宋_GB2312"/>
                <w:b/>
                <w:bCs/>
                <w:szCs w:val="21"/>
                <w:highlight w:val="none"/>
              </w:rPr>
              <w:t xml:space="preserve"> </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ascii="仿宋_GB2312" w:hAnsi="仿宋_GB2312" w:eastAsia="仿宋_GB2312" w:cs="仿宋_GB2312"/>
                <w:szCs w:val="21"/>
                <w:highlight w:val="none"/>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11</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针对第三章采购需求“（二）红色经典文学数据资料采购及收集”要求，承诺数字图像采集设备满足采购需求的，得</w:t>
            </w:r>
            <w:r>
              <w:rPr>
                <w:rFonts w:ascii="仿宋_GB2312" w:hAnsi="仿宋_GB2312" w:eastAsia="仿宋_GB2312" w:cs="仿宋_GB2312"/>
                <w:szCs w:val="21"/>
                <w:highlight w:val="none"/>
              </w:rPr>
              <w:t>2</w:t>
            </w:r>
            <w:r>
              <w:rPr>
                <w:rFonts w:hint="eastAsia" w:ascii="仿宋_GB2312" w:hAnsi="仿宋_GB2312" w:eastAsia="仿宋_GB2312" w:cs="仿宋_GB2312"/>
                <w:szCs w:val="21"/>
                <w:highlight w:val="none"/>
              </w:rPr>
              <w:t>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承诺书且承诺内容符合采购需求。承诺书格式自拟。</w:t>
            </w:r>
            <w:r>
              <w:rPr>
                <w:rFonts w:hint="eastAsia" w:ascii="仿宋_GB2312" w:hAnsi="仿宋_GB2312" w:eastAsia="仿宋_GB2312" w:cs="仿宋_GB2312"/>
                <w:b/>
                <w:bCs/>
                <w:szCs w:val="21"/>
                <w:highlight w:val="none"/>
              </w:rPr>
              <w:t xml:space="preserve"> </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ascii="仿宋_GB2312" w:hAnsi="仿宋_GB2312" w:eastAsia="仿宋_GB2312" w:cs="仿宋_GB2312"/>
                <w:szCs w:val="21"/>
                <w:highlight w:val="none"/>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12</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线上展览所需的重要展品的扫描和数据处理方案的合理性、针对性等。分值（2.0、</w:t>
            </w:r>
            <w:r>
              <w:rPr>
                <w:rFonts w:hint="eastAsia" w:ascii="仿宋_GB2312" w:hAnsi="仿宋_GB2312" w:eastAsia="仿宋_GB2312" w:cs="仿宋_GB2312"/>
                <w:szCs w:val="21"/>
                <w:highlight w:val="none"/>
                <w:lang w:val="en-US" w:eastAsia="zh-CN"/>
              </w:rPr>
              <w:t>1.5、</w:t>
            </w:r>
            <w:r>
              <w:rPr>
                <w:rFonts w:hint="eastAsia" w:ascii="仿宋_GB2312" w:hAnsi="仿宋_GB2312" w:eastAsia="仿宋_GB2312" w:cs="仿宋_GB2312"/>
                <w:szCs w:val="21"/>
                <w:highlight w:val="none"/>
              </w:rPr>
              <w:t>1.0</w:t>
            </w:r>
            <w:r>
              <w:rPr>
                <w:rFonts w:hint="eastAsia" w:ascii="仿宋_GB2312" w:hAnsi="仿宋_GB2312" w:eastAsia="仿宋_GB2312" w:cs="仿宋_GB2312"/>
                <w:szCs w:val="21"/>
                <w:highlight w:val="none"/>
                <w:lang w:val="en-US" w:eastAsia="zh-CN"/>
              </w:rPr>
              <w:t>、0.5、</w:t>
            </w:r>
            <w:r>
              <w:rPr>
                <w:rFonts w:hint="eastAsia" w:ascii="仿宋_GB2312" w:hAnsi="仿宋_GB2312" w:eastAsia="仿宋_GB2312" w:cs="仿宋_GB2312"/>
                <w:szCs w:val="21"/>
                <w:highlight w:val="none"/>
              </w:rPr>
              <w:t>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重要展品的扫描和数据处理方案。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13</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针对采购需求拟定的数字展厅云上运行环境部署配置方案、运行环境等。分值（4.0、3.0、2.0、1.0、0）。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数字展厅云上运行环境部署配置方案。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4</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14</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针对采购需求拟定的线上展览成果（技术）文件交付方案的合理性、可行性等。分值（</w:t>
            </w:r>
            <w:r>
              <w:rPr>
                <w:rFonts w:hint="eastAsia" w:ascii="仿宋_GB2312" w:hAnsi="仿宋_GB2312" w:eastAsia="仿宋_GB2312" w:cs="仿宋_GB2312"/>
                <w:szCs w:val="21"/>
                <w:highlight w:val="none"/>
                <w:lang w:val="en-US" w:eastAsia="zh-CN"/>
              </w:rPr>
              <w:t>4.0、3.0、</w:t>
            </w:r>
            <w:r>
              <w:rPr>
                <w:rFonts w:hint="eastAsia" w:ascii="仿宋_GB2312" w:hAnsi="仿宋_GB2312" w:eastAsia="仿宋_GB2312" w:cs="仿宋_GB2312"/>
                <w:szCs w:val="21"/>
                <w:highlight w:val="none"/>
              </w:rPr>
              <w:t>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成果（技术）文件交付方案。</w:t>
            </w:r>
          </w:p>
        </w:tc>
        <w:tc>
          <w:tcPr>
            <w:tcW w:w="395"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15</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针对本项目全部需求，拟定的项目实施进度计划内容完整、进度安排具体合理、整体进度计划对采购人有利情况。分值（4.0、3.0、2.0、1.0、0）。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项目实施进度计划。</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16</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针对本项目的进程要求拟定的关键节点的控制措施，内容完整、措施具体有效，匹配项目进度要求。分值（5.0、4.0、3.0、2.0、1.0、0）。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关键节点控制措施。</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17</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针对第三章采购需求“二、服务要求”第4.1条的要求，承诺的源代码要求满足采购需求的，得3分。</w:t>
            </w:r>
          </w:p>
          <w:p>
            <w:pPr>
              <w:spacing w:line="264"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承诺书且承诺内容符合采购需求。承诺书格式自拟。</w:t>
            </w:r>
            <w:r>
              <w:rPr>
                <w:rFonts w:hint="eastAsia" w:ascii="仿宋_GB2312" w:hAnsi="仿宋_GB2312" w:eastAsia="仿宋_GB2312" w:cs="仿宋_GB2312"/>
                <w:b/>
                <w:bCs/>
                <w:szCs w:val="21"/>
                <w:highlight w:val="none"/>
              </w:rPr>
              <w:t xml:space="preserve"> </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shd w:val="clear" w:color="auto" w:fill="auto"/>
            <w:noWrap w:val="0"/>
            <w:vAlign w:val="center"/>
          </w:tcPr>
          <w:p>
            <w:pPr>
              <w:spacing w:line="264" w:lineRule="auto"/>
              <w:jc w:val="center"/>
              <w:rPr>
                <w:rFonts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18</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拟定的质量保证措施的保障及服务承诺情况，以及服务承诺的可行性、完整性以及服务承诺落实的保障措施等。分值（5.0、4.0、3.0、2.0、1.0、0）。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质量保证措施及服务承诺。</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19</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项目团队人员</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19</w:t>
            </w:r>
            <w:r>
              <w:rPr>
                <w:rFonts w:hint="eastAsia" w:ascii="仿宋_GB2312" w:hAnsi="仿宋_GB2312" w:eastAsia="仿宋_GB2312" w:cs="仿宋_GB2312"/>
                <w:szCs w:val="21"/>
                <w:highlight w:val="none"/>
              </w:rPr>
              <w:t>.1</w:t>
            </w:r>
          </w:p>
        </w:tc>
        <w:tc>
          <w:tcPr>
            <w:tcW w:w="3013" w:type="pct"/>
            <w:noWrap w:val="0"/>
            <w:vAlign w:val="center"/>
          </w:tcPr>
          <w:p>
            <w:pPr>
              <w:spacing w:line="264" w:lineRule="auto"/>
              <w:rPr>
                <w:rFonts w:ascii="仿宋_GB2312" w:hAnsi="仿宋_GB2312" w:eastAsia="仿宋_GB2312" w:cs="仿宋_GB2312"/>
                <w:b/>
                <w:bCs/>
                <w:szCs w:val="21"/>
                <w:highlight w:val="none"/>
              </w:rPr>
            </w:pPr>
            <w:r>
              <w:rPr>
                <w:rFonts w:hint="eastAsia" w:ascii="仿宋_GB2312" w:hAnsi="仿宋_GB2312" w:eastAsia="仿宋_GB2312" w:cs="仿宋_GB2312"/>
                <w:szCs w:val="21"/>
                <w:highlight w:val="none"/>
              </w:rPr>
              <w:t>项目负责人具有人力资源和社会保障部门颁发的高级信息系统项目管理师证书的得2分，不提供不得分；</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：提供相关专业技术能力认证证书和所在投标单位开标前近三个月任意一个月的社保证明材料复印件加盖</w:t>
            </w: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公章。未提供证明材料或提供的证明材料不符合评审要求的不得分。</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19</w:t>
            </w:r>
            <w:r>
              <w:rPr>
                <w:rFonts w:hint="eastAsia" w:ascii="仿宋_GB2312" w:hAnsi="仿宋_GB2312" w:eastAsia="仿宋_GB2312" w:cs="仿宋_GB2312"/>
                <w:szCs w:val="21"/>
                <w:highlight w:val="none"/>
              </w:rPr>
              <w:t>.2</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拟派项目团队（不含项目负责人和技术负责人）：</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（1）项目组文化专家人员：具有相关专业（新闻类、人文类、历史类）的副高级及以上职称，得1分，最高得3分。 同一人员具有多项证书的不得重复计分。</w:t>
            </w:r>
          </w:p>
          <w:p>
            <w:pPr>
              <w:spacing w:line="264" w:lineRule="auto"/>
              <w:rPr>
                <w:rFonts w:hint="eastAsia" w:ascii="仿宋_GB2312" w:hAnsi="仿宋_GB2312" w:eastAsia="仿宋_GB2312" w:cs="仿宋_GB2312"/>
                <w:szCs w:val="21"/>
                <w:highlight w:val="none"/>
              </w:rPr>
            </w:pPr>
          </w:p>
          <w:p>
            <w:pPr>
              <w:spacing w:line="264"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（2）具有信息系统项目管理师、系统架构师、系统分析师、软件设计师、信息技术等相关专业中级职称证书的得0.5分，具有高级及以上职称证书的得1分，本项最高得7分。同一人员按最高资格等级得分。</w:t>
            </w:r>
          </w:p>
          <w:p>
            <w:pPr>
              <w:spacing w:line="264"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评审依据：</w:t>
            </w:r>
            <w:r>
              <w:rPr>
                <w:rFonts w:hint="eastAsia" w:ascii="仿宋_GB2312" w:hAnsi="仿宋_GB2312" w:eastAsia="仿宋_GB2312" w:cs="仿宋_GB2312"/>
                <w:szCs w:val="21"/>
                <w:highlight w:val="none"/>
              </w:rPr>
              <w:t>项目负责人和项目组成员不可重复计分，提供以上人员相关专业技术能力认证证书和所在投标单位开标前近三个月任意一个月的社保证明材料复印件加盖</w:t>
            </w: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公章。</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20</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功能测试、试运行方案。提供功能测试、试运行方案，符合采购需求程度等。分值（4.0、3.0、2.0、1.0、0）。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功能测试、试运行方案。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21</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拟定的培训方案（包括培训内容、课时、培训工程师资质能力）的内容完整，与采购需求匹配成都。分值（3.0、2.5、2.0、1.5、1.0、0.5、0）。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培训方案。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22</w:t>
            </w:r>
          </w:p>
        </w:tc>
        <w:tc>
          <w:tcPr>
            <w:tcW w:w="3013" w:type="pct"/>
            <w:noWrap w:val="0"/>
            <w:vAlign w:val="center"/>
          </w:tcPr>
          <w:p>
            <w:pPr>
              <w:spacing w:line="264" w:lineRule="auto"/>
              <w:rPr>
                <w:rFonts w:hint="eastAsia"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供应商针对采购需求，保障红色经典文学数据资源丰富性、全面性提出的合理化建议或方案。分值（2.0、1.5、1.0、0.5、0）。</w:t>
            </w:r>
          </w:p>
          <w:p>
            <w:pPr>
              <w:spacing w:line="264" w:lineRule="auto"/>
              <w:rPr>
                <w:rFonts w:hint="default" w:ascii="仿宋_GB2312" w:hAnsi="仿宋_GB2312" w:eastAsia="仿宋_GB2312" w:cs="仿宋_GB2312"/>
                <w:b/>
                <w:bCs/>
                <w:szCs w:val="21"/>
                <w:highlight w:val="none"/>
                <w:lang w:val="en-US" w:eastAsia="zh-CN"/>
              </w:rPr>
            </w:pPr>
            <w:r>
              <w:rPr>
                <w:rFonts w:hint="eastAsia" w:ascii="仿宋_GB2312" w:hAnsi="仿宋_GB2312" w:eastAsia="仿宋_GB2312" w:cs="仿宋_GB2312"/>
                <w:b/>
                <w:bCs/>
                <w:szCs w:val="21"/>
                <w:highlight w:val="none"/>
                <w:lang w:val="en-US" w:eastAsia="zh-CN"/>
              </w:rPr>
              <w:t>评审依据/证明材料</w:t>
            </w:r>
            <w:r>
              <w:rPr>
                <w:rFonts w:hint="eastAsia" w:ascii="仿宋_GB2312" w:hAnsi="仿宋_GB2312" w:eastAsia="仿宋_GB2312" w:cs="仿宋_GB2312"/>
                <w:b w:val="0"/>
                <w:bCs w:val="0"/>
                <w:szCs w:val="21"/>
                <w:highlight w:val="none"/>
                <w:lang w:val="en-US" w:eastAsia="zh-CN"/>
              </w:rPr>
              <w:t>：合理化建议或方案。</w:t>
            </w:r>
            <w:r>
              <w:rPr>
                <w:rFonts w:hint="eastAsia" w:ascii="仿宋_GB2312" w:hAnsi="仿宋_GB2312" w:eastAsia="仿宋_GB2312" w:cs="仿宋_GB2312"/>
                <w:b/>
                <w:bCs/>
                <w:szCs w:val="21"/>
                <w:highlight w:val="none"/>
                <w:lang w:val="en-US" w:eastAsia="zh-CN"/>
              </w:rPr>
              <w:t xml:space="preserve"> </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w:t>
            </w:r>
          </w:p>
        </w:tc>
        <w:tc>
          <w:tcPr>
            <w:tcW w:w="598" w:type="pct"/>
            <w:noWrap w:val="0"/>
            <w:vAlign w:val="center"/>
          </w:tcPr>
          <w:p>
            <w:pPr>
              <w:spacing w:line="264" w:lineRule="auto"/>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23</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售后服务</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.1</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方案。包括但不限于满足服务响应时间的实施措施、故障解决方案、维护计划、服务承诺的可行性、完整性以及服务承诺落实的保障措施，质保期内外的技术支持（包括工程师回访）和维护能力情况。分值（3.0、2.5、2.0、1.5、1.0、0.5、0）。</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售后服务方案。</w:t>
            </w:r>
          </w:p>
        </w:tc>
        <w:tc>
          <w:tcPr>
            <w:tcW w:w="395" w:type="pct"/>
            <w:noWrap w:val="0"/>
            <w:vAlign w:val="center"/>
          </w:tcPr>
          <w:p>
            <w:pPr>
              <w:spacing w:line="264" w:lineRule="auto"/>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3</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4"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.2</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运维技术服务人员和驻点人员情况。分值（3.0、2.5、2.0、1.5、1.0、0.5、0）。</w:t>
            </w:r>
          </w:p>
          <w:p>
            <w:pPr>
              <w:spacing w:line="264" w:lineRule="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评审依据/证明材料：</w:t>
            </w:r>
            <w:r>
              <w:rPr>
                <w:rFonts w:hint="eastAsia" w:ascii="仿宋_GB2312" w:hAnsi="仿宋_GB2312" w:eastAsia="仿宋_GB2312" w:cs="仿宋_GB2312"/>
                <w:szCs w:val="21"/>
                <w:highlight w:val="none"/>
              </w:rPr>
              <w:t>技术服务人员和驻点人员</w:t>
            </w:r>
            <w:r>
              <w:rPr>
                <w:rFonts w:hint="eastAsia" w:ascii="仿宋_GB2312" w:hAnsi="仿宋_GB2312" w:eastAsia="仿宋_GB2312" w:cs="仿宋_GB2312"/>
                <w:highlight w:val="none"/>
              </w:rPr>
              <w:t>姓名、工作经验、资质证书。</w:t>
            </w:r>
          </w:p>
        </w:tc>
        <w:tc>
          <w:tcPr>
            <w:tcW w:w="395"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主观分</w:t>
            </w:r>
          </w:p>
        </w:tc>
        <w:tc>
          <w:tcPr>
            <w:tcW w:w="647" w:type="pct"/>
            <w:noWrap w:val="0"/>
            <w:vAlign w:val="center"/>
          </w:tcPr>
          <w:p>
            <w:pPr>
              <w:spacing w:line="264" w:lineRule="auto"/>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44" w:type="pct"/>
            <w:noWrap w:val="0"/>
            <w:vAlign w:val="center"/>
          </w:tcPr>
          <w:p>
            <w:pPr>
              <w:spacing w:line="264" w:lineRule="auto"/>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24</w:t>
            </w:r>
          </w:p>
        </w:tc>
        <w:tc>
          <w:tcPr>
            <w:tcW w:w="3013"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有效投标报价的最低价作为评标基准价，其最低报价为满分；按［投标报价得分=（评标基准价/投标报价）×权重］的计算公式计算。</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评标过程中，不得去掉报价中的最高报价和最低报价。</w:t>
            </w:r>
          </w:p>
          <w:p>
            <w:pPr>
              <w:spacing w:line="264" w:lineRule="auto"/>
              <w:rPr>
                <w:rFonts w:hint="eastAsia" w:ascii="仿宋_GB2312" w:hAnsi="仿宋_GB2312" w:eastAsia="仿宋_GB2312" w:cs="仿宋_GB2312"/>
                <w:color w:val="auto"/>
                <w:sz w:val="21"/>
                <w:szCs w:val="21"/>
                <w:highlight w:val="none"/>
              </w:rPr>
            </w:pPr>
            <w:bookmarkStart w:id="112" w:name="_Toc8202"/>
            <w:r>
              <w:rPr>
                <w:rFonts w:hint="eastAsia" w:ascii="仿宋_GB2312" w:hAnsi="仿宋_GB2312" w:eastAsia="仿宋_GB2312" w:cs="仿宋_GB2312"/>
                <w:b/>
                <w:szCs w:val="21"/>
                <w:highlight w:val="none"/>
              </w:rPr>
              <w:t>中小企业享受扶持政策</w:t>
            </w:r>
            <w:r>
              <w:rPr>
                <w:rFonts w:hint="eastAsia" w:ascii="仿宋_GB2312" w:hAnsi="仿宋_GB2312" w:eastAsia="仿宋_GB2312" w:cs="仿宋_GB2312"/>
                <w:b/>
                <w:szCs w:val="21"/>
                <w:highlight w:val="none"/>
                <w:lang w:val="en-US" w:eastAsia="zh-CN"/>
              </w:rPr>
              <w:t>说明：</w:t>
            </w:r>
          </w:p>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%的扣除，用扣除后的价格参加评审。</w:t>
            </w:r>
            <w:bookmarkEnd w:id="112"/>
            <w:r>
              <w:rPr>
                <w:rFonts w:hint="eastAsia" w:ascii="仿宋_GB2312" w:hAnsi="仿宋_GB2312" w:eastAsia="仿宋_GB2312" w:cs="仿宋_GB2312"/>
                <w:szCs w:val="21"/>
                <w:highlight w:val="none"/>
              </w:rPr>
              <w:t xml:space="preserve"> </w:t>
            </w:r>
          </w:p>
        </w:tc>
        <w:tc>
          <w:tcPr>
            <w:tcW w:w="395" w:type="pct"/>
            <w:noWrap w:val="0"/>
            <w:vAlign w:val="center"/>
          </w:tcPr>
          <w:p>
            <w:pPr>
              <w:spacing w:line="264"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598" w:type="pct"/>
            <w:noWrap w:val="0"/>
            <w:vAlign w:val="center"/>
          </w:tcPr>
          <w:p>
            <w:pPr>
              <w:spacing w:line="264"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客观分</w:t>
            </w:r>
          </w:p>
        </w:tc>
        <w:tc>
          <w:tcPr>
            <w:tcW w:w="647" w:type="pct"/>
            <w:noWrap w:val="0"/>
            <w:vAlign w:val="center"/>
          </w:tcPr>
          <w:p>
            <w:pPr>
              <w:spacing w:line="264"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r>
    </w:tbl>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3"/>
        <w:spacing w:before="120" w:beforeLines="50"/>
        <w:jc w:val="left"/>
        <w:rPr>
          <w:rFonts w:hint="eastAsia" w:ascii="仿宋_GB2312" w:hAnsi="仿宋_GB2312" w:eastAsia="仿宋_GB2312" w:cs="仿宋_GB2312"/>
          <w:color w:val="auto"/>
          <w:highlight w:val="none"/>
        </w:rPr>
      </w:pPr>
      <w:bookmarkStart w:id="113" w:name="_Toc7077"/>
      <w:bookmarkStart w:id="114" w:name="_Toc22966"/>
      <w:r>
        <w:rPr>
          <w:rFonts w:hint="eastAsia" w:ascii="仿宋_GB2312" w:hAnsi="仿宋_GB2312" w:eastAsia="仿宋_GB2312" w:cs="仿宋_GB2312"/>
          <w:color w:val="auto"/>
          <w:highlight w:val="none"/>
        </w:rPr>
        <w:t>一、评审方法</w:t>
      </w:r>
      <w:bookmarkEnd w:id="113"/>
      <w:bookmarkEnd w:id="114"/>
    </w:p>
    <w:p>
      <w:pPr>
        <w:spacing w:line="360" w:lineRule="auto"/>
        <w:ind w:firstLine="482"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综合评分法，是指响应文件满足磋商文件全部实质性要求，且按照评审因素的量化指标评审得分最高的供应商为成交候选人的评审方法。</w:t>
      </w:r>
    </w:p>
    <w:p>
      <w:pPr>
        <w:pStyle w:val="3"/>
        <w:spacing w:before="120" w:beforeLines="50"/>
        <w:jc w:val="left"/>
        <w:rPr>
          <w:rFonts w:hint="eastAsia" w:ascii="仿宋_GB2312" w:hAnsi="仿宋_GB2312" w:eastAsia="仿宋_GB2312" w:cs="仿宋_GB2312"/>
          <w:color w:val="auto"/>
          <w:highlight w:val="none"/>
        </w:rPr>
      </w:pPr>
      <w:bookmarkStart w:id="115" w:name="_Toc17672"/>
      <w:bookmarkStart w:id="116" w:name="_Toc21623"/>
      <w:r>
        <w:rPr>
          <w:rFonts w:hint="eastAsia" w:ascii="仿宋_GB2312" w:hAnsi="仿宋_GB2312" w:eastAsia="仿宋_GB2312" w:cs="仿宋_GB2312"/>
          <w:color w:val="auto"/>
          <w:highlight w:val="none"/>
        </w:rPr>
        <w:t>二、评</w:t>
      </w:r>
      <w:r>
        <w:rPr>
          <w:rFonts w:hint="eastAsia" w:ascii="仿宋_GB2312" w:hAnsi="仿宋_GB2312" w:eastAsia="仿宋_GB2312" w:cs="仿宋_GB2312"/>
          <w:color w:val="auto"/>
          <w:highlight w:val="none"/>
          <w:lang w:val="en-US" w:eastAsia="zh-CN"/>
        </w:rPr>
        <w:t>审</w:t>
      </w:r>
      <w:r>
        <w:rPr>
          <w:rFonts w:hint="eastAsia" w:ascii="仿宋_GB2312" w:hAnsi="仿宋_GB2312" w:eastAsia="仿宋_GB2312" w:cs="仿宋_GB2312"/>
          <w:color w:val="auto"/>
          <w:highlight w:val="none"/>
        </w:rPr>
        <w:t>标准</w:t>
      </w:r>
      <w:bookmarkEnd w:id="115"/>
      <w:bookmarkEnd w:id="116"/>
    </w:p>
    <w:p>
      <w:pPr>
        <w:spacing w:line="360" w:lineRule="auto"/>
        <w:ind w:left="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1.评</w:t>
      </w:r>
      <w:r>
        <w:rPr>
          <w:rFonts w:hint="eastAsia" w:ascii="仿宋_GB2312" w:hAnsi="仿宋_GB2312" w:eastAsia="仿宋_GB2312" w:cs="仿宋_GB2312"/>
          <w:b/>
          <w:bCs/>
          <w:color w:val="auto"/>
          <w:kern w:val="0"/>
          <w:sz w:val="24"/>
          <w:highlight w:val="none"/>
          <w:lang w:val="en-US" w:eastAsia="zh-CN"/>
        </w:rPr>
        <w:t>审</w:t>
      </w:r>
      <w:r>
        <w:rPr>
          <w:rFonts w:hint="eastAsia" w:ascii="仿宋_GB2312" w:hAnsi="仿宋_GB2312" w:eastAsia="仿宋_GB2312" w:cs="仿宋_GB2312"/>
          <w:b/>
          <w:bCs/>
          <w:color w:val="auto"/>
          <w:kern w:val="0"/>
          <w:sz w:val="24"/>
          <w:highlight w:val="none"/>
        </w:rPr>
        <w:t>标准：</w:t>
      </w:r>
      <w:r>
        <w:rPr>
          <w:rFonts w:hint="eastAsia" w:ascii="仿宋_GB2312" w:hAnsi="仿宋_GB2312" w:eastAsia="仿宋_GB2312" w:cs="仿宋_GB2312"/>
          <w:color w:val="auto"/>
          <w:kern w:val="0"/>
          <w:sz w:val="24"/>
          <w:highlight w:val="none"/>
        </w:rPr>
        <w:t>见评审办法前附表。</w:t>
      </w:r>
    </w:p>
    <w:p>
      <w:pPr>
        <w:pStyle w:val="3"/>
        <w:spacing w:before="120" w:beforeLines="50"/>
        <w:jc w:val="left"/>
        <w:rPr>
          <w:rFonts w:hint="eastAsia" w:ascii="仿宋_GB2312" w:hAnsi="仿宋_GB2312" w:eastAsia="仿宋_GB2312" w:cs="仿宋_GB2312"/>
          <w:color w:val="auto"/>
          <w:highlight w:val="none"/>
          <w:lang w:val="en-US" w:eastAsia="zh-CN"/>
        </w:rPr>
      </w:pPr>
      <w:bookmarkStart w:id="117" w:name="_Toc1272"/>
      <w:bookmarkStart w:id="118" w:name="_Toc5130"/>
      <w:r>
        <w:rPr>
          <w:rFonts w:hint="eastAsia" w:ascii="仿宋_GB2312" w:hAnsi="仿宋_GB2312" w:eastAsia="仿宋_GB2312" w:cs="仿宋_GB2312"/>
          <w:color w:val="auto"/>
          <w:highlight w:val="none"/>
          <w:lang w:val="en-US" w:eastAsia="zh-CN"/>
        </w:rPr>
        <w:t>三、磋商小组的组成</w:t>
      </w:r>
      <w:bookmarkEnd w:id="117"/>
      <w:bookmarkEnd w:id="118"/>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1.磋商小组的组成。</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2.磋商小组的组成人员的回避。</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在政府采购活动中，磋商小组的组成人员与供应商有下列利害关系之一的，应当回避：</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2.1参加采购活动前3年内与供应商存在劳动关系；</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2.2参加采购活动前3年内担任供应商的董事、监事；</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2.3参加采购活动前3年内是供应商的控股股东或者实际控制人；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2.4与供应商的法定代表人或者负责人有夫妻、直系血亲、三代以内旁系血亲或者近姻亲关系；</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2.5与供应商有其他可能影响政府采购活动公平、公正进行的关系。</w:t>
      </w:r>
    </w:p>
    <w:p>
      <w:pPr>
        <w:pStyle w:val="3"/>
        <w:spacing w:before="120" w:beforeLines="50"/>
        <w:jc w:val="left"/>
        <w:rPr>
          <w:rFonts w:hint="eastAsia" w:ascii="仿宋_GB2312" w:hAnsi="仿宋_GB2312" w:eastAsia="仿宋_GB2312" w:cs="仿宋_GB2312"/>
          <w:color w:val="auto"/>
          <w:highlight w:val="none"/>
          <w:lang w:val="en-US" w:eastAsia="zh-CN"/>
        </w:rPr>
      </w:pPr>
      <w:bookmarkStart w:id="119" w:name="_Toc32697"/>
      <w:bookmarkStart w:id="120" w:name="_Toc13620"/>
      <w:r>
        <w:rPr>
          <w:rFonts w:hint="eastAsia" w:ascii="仿宋_GB2312" w:hAnsi="仿宋_GB2312" w:eastAsia="仿宋_GB2312" w:cs="仿宋_GB2312"/>
          <w:color w:val="auto"/>
          <w:highlight w:val="none"/>
          <w:lang w:val="en-US" w:eastAsia="zh-CN"/>
        </w:rPr>
        <w:t>四、磋商小组的职责</w:t>
      </w:r>
      <w:bookmarkEnd w:id="119"/>
      <w:bookmarkEnd w:id="120"/>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1.磋商小组负责具体评审事务，并独立履行下列职责：</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1.1对响应文件的有效性、完整性和响应程度进行审查；</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1.2审查、评价响应文件是否符合磋商文件的商务、技术等实质性要求；</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1.3要求供应商对响应文件有关事项作出澄清、说明或者更正；</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1.4磋商小组集中与单一供应商分别进行磋商；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1.5确定磋商文件的变动情况，并确定提交最后报价的供应商；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1.6根据磋商文件确定的评审办法及评审标准对提交最后报价的供应商的响应文件和最后报价采用综合评分法进行综合评分；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1.7编制评审报告，确定成交候选人名单，以及根据采购人委托直接确定成交人；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1.8向采购人、采购代理机构或者有关部门报告评审中发现的违法行为；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1.9法律法规、规章、磋商文件等规定的其他事项。</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2.磋商小组及其成员不得有下列行为：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2.1确定参与本项目至评审结束前私自接触供应商；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2.2接受供应商提出的“超出响应文件的范围或者改变响应文件的实质性内容”的澄清、说明或者更正；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2.3违反评审纪律发表倾向性意见或者征询采购人的倾向性意见；</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2.4对需要专业判断的主观评审因素协商评分；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2.5在评审过程中擅离职守，影响评审程序正常进行的；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2.6记录、复制或者带走任何评审资料；</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2.7其他不遵守评审纪律的行为。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磋商小组成员有2.1—2.5行为之一的，其评审意见无效，并不得获取评审劳务报酬和报销异地评审差旅费。</w:t>
      </w:r>
    </w:p>
    <w:p>
      <w:pPr>
        <w:pStyle w:val="3"/>
        <w:spacing w:before="120" w:beforeLines="50"/>
        <w:jc w:val="left"/>
        <w:rPr>
          <w:rFonts w:hint="eastAsia" w:ascii="仿宋_GB2312" w:hAnsi="仿宋_GB2312" w:eastAsia="仿宋_GB2312" w:cs="仿宋_GB2312"/>
          <w:color w:val="auto"/>
          <w:highlight w:val="none"/>
          <w:lang w:val="en-US" w:eastAsia="zh-CN"/>
        </w:rPr>
      </w:pPr>
      <w:bookmarkStart w:id="121" w:name="_Toc19605"/>
      <w:bookmarkStart w:id="122" w:name="_Toc17402"/>
      <w:r>
        <w:rPr>
          <w:rFonts w:hint="eastAsia" w:ascii="仿宋_GB2312" w:hAnsi="仿宋_GB2312" w:eastAsia="仿宋_GB2312" w:cs="仿宋_GB2312"/>
          <w:color w:val="auto"/>
          <w:highlight w:val="none"/>
          <w:lang w:val="en-US" w:eastAsia="zh-CN"/>
        </w:rPr>
        <w:t>五、评审程序</w:t>
      </w:r>
      <w:bookmarkEnd w:id="121"/>
      <w:bookmarkEnd w:id="122"/>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详见磋商文件第二章“附件：竞争性磋商流程”。</w:t>
      </w:r>
    </w:p>
    <w:p>
      <w:pPr>
        <w:pStyle w:val="3"/>
        <w:spacing w:before="120" w:beforeLines="50"/>
        <w:jc w:val="left"/>
        <w:rPr>
          <w:rFonts w:hint="eastAsia" w:ascii="仿宋_GB2312" w:hAnsi="仿宋_GB2312" w:eastAsia="仿宋_GB2312" w:cs="仿宋_GB2312"/>
          <w:color w:val="auto"/>
          <w:highlight w:val="none"/>
          <w:lang w:val="en-US" w:eastAsia="zh-CN"/>
        </w:rPr>
      </w:pPr>
      <w:bookmarkStart w:id="123" w:name="_Toc4712"/>
      <w:bookmarkStart w:id="124" w:name="_Toc27897"/>
      <w:r>
        <w:rPr>
          <w:rFonts w:hint="eastAsia" w:ascii="仿宋_GB2312" w:hAnsi="仿宋_GB2312" w:eastAsia="仿宋_GB2312" w:cs="仿宋_GB2312"/>
          <w:color w:val="auto"/>
          <w:highlight w:val="none"/>
          <w:lang w:val="en-US" w:eastAsia="zh-CN"/>
        </w:rPr>
        <w:t>六、评审须知</w:t>
      </w:r>
      <w:bookmarkEnd w:id="123"/>
      <w:bookmarkEnd w:id="124"/>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1.响应文件的澄清</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2.最后报价的修正原则</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磋商小组对响应文件的最后报价进行审核，对发现计算、书写等错误的，按以下原则进行修正：</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2.1《最后报价一览表》内容与响应文件中响应内容不一致的，以《最后报价一览表》为准；</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2.2大写金额和小写金额不一致的，以大写金额为准；</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2.3单价金额小数点或者百分比有明显错位的，以《最后报价一览表》的总价为准，并修改单价；</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2.4总价金额与按单价汇总金额不一致的，以单价金额计算结果为准。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2.5同时出现两种以上不一致的，按照前款规定的顺序修正。</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2.6以修正后的总价作为最后报价。</w:t>
      </w:r>
    </w:p>
    <w:p>
      <w:pPr>
        <w:spacing w:line="360" w:lineRule="auto"/>
        <w:ind w:firstLine="480"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b/>
          <w:bCs/>
          <w:color w:val="auto"/>
          <w:sz w:val="24"/>
          <w:highlight w:val="none"/>
        </w:rPr>
        <w:t>供应商对根据修正原则修正后的最后报价不确认的，响应无效。</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3.响应无效</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有下列情况之一的，响应无效：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3.2为采购项目提供整体设计、规范编制或者项目管理、监理、检测等服务的供应商再参加该采购项目的其他采购活动的；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3.3供应商不具备磋商文件中规定的资格要求的（供应商未提供有效的资格证明文件的，视为供应商不具备磋商文件中规定的资格要求）；</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3.4如以联合体形式参加政府采购活动的，联合协议不符合磋商文件规定的联合协议要求的；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3.5响应文件未按磋商文件的澄清、修改的内容编制，又不符合实质性要求的；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3.6响应文件组成漏项，内容不全或内容字迹模糊辨认不清的；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3.7响应文件中法人授权书所载内容与本项目内容有异的；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3.8响应文件未按照磋商文件要求签署、盖章的；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3.9采购人拟采购的产品属于政府强制采购的节能产品品目清单范围的，供应商相应的响应产品未获得国家确定的认证机构出具的、处于有效期之内的节能产品认证证书的；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3.10响应文件含有采购人不能接受的附加条件的；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3.11响应文件中承诺的响应有效期少于磋商文件中载明的响应有效期的；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3.12供应商响应内容不符合磋商文件中实质性要求的；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3.13所提交的《最后报价一览表》中出现不是唯一的、有选择性的报价的；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3.14最后报价高于本项目采购预算或者最高限价的；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3.15最后报价明显低于其他供应商的最后报价，有可能影响产品质量或者不能诚信履约的，未能按要求提供书面说明或者提交相关证明材料，不能证明其报价合理性的；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3.16《最后报价一览表》填写不完整或字迹不能辨认或有漏项的；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3.17供应商对根据修正原则修正后的最后报价不确认的；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3.18供应商提供虚假材料响应的（包括但不限于以下情节）；</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(1)使用伪造、变造的许可证件；</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(2)提供虚假的财务状况或者业绩；</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(3)提供虚假的项目负责人或者主要技术人员简历、劳动关系证明；</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(4)提供虚假的信用状况；</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(5)其他弄虚作假的行为。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3.19供应商有恶意串通、妨碍其他供应商的竞争行为、损害采购人或者其他供应商的合法权益情形的。有下列情形之一的，属于或视为恶意串通，其响应无效：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(1)供应商直接或者间接从采购人或者采购代理机构处获得其他供应商的相关情况并修改其响应文件；</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(2)供应商按照采购人或者采购代理机构的授意撤换、修改投标文件或者响应文件；</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(3)供应商之间协商报价、技术方案等投标文件或者响应文件的实质性内容；</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(4)属于同一集团、协会、商会等组织成员的供应商按照该组织要求协同参加政府采购活动；</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(5)供应商之间事先约定由某一特定供应商中标、成交；</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(6)供应商之间商定部分供应商放弃参加政府采购活动或者放弃中标、成交；</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(7)供应商与采购人或者采购代理机构之间、供应商相互之间，为谋求特定供应商中标、成交或者排斥其他供应商的其他串通行为。</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(8)不同供应商的响应文件由同一单位或者个人编制；</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(9)不同供应商委托同一单位或者个人办理响应事宜；</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(10)不同供应商的响应文件载明的项目管理成员为同一人或者不同供应商联系人为同一人或不同供应商的不同联系人的联系电话一致，且无法合理解释的；</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(11)不同供应商的响应文件异常一致或者最后报价呈规律性差异；</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(12)不同供应商的响应文件相互混装；</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(13)参与同一个采购包（标段）的供应商存在下列情形之一的，属于或视为恶意串通，其投标（响应）文件无效：①不同供应商的电子投标（响应）文件上传计算机的IP地址、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3.20供应商仅提交备份响应文件，没有在电子交易平台传输提交响应文件的，响应无效；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3.21法律法规、规章（适用本省的）及省级以上规范性文件（适用本省的）规定的其他无效情形。</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4.重新开展采购活动</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出现下列情形之一的，采购代理机构应当终止竞争性磋商采购活动，通过电子交易平台发布项目终止公告并说明原因，重新开展采购活动：</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(1)因情况变化，不再符合规定的竞争性磋商采购方式适用情形的；</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(2)出现影响采购公正的违法、违规行为的；</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(3)在采购过程中符合要求的供应商或者最后报价未超过采购预算的供应商不足3家的（有特殊规定的从其规定）。</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5.终止采购活动</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在采购活动中因重大变故，采购任务取消的，采购代理机构将终止采购活动，通过电子交易平台通知所有参加采购活动的供应商，并将项目实施情况和采购任务取消原因报送本级财政部门。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
        <w:spacing w:before="120" w:beforeLines="50"/>
        <w:jc w:val="left"/>
        <w:rPr>
          <w:rFonts w:hint="eastAsia" w:ascii="仿宋_GB2312" w:hAnsi="仿宋_GB2312" w:eastAsia="仿宋_GB2312" w:cs="仿宋_GB2312"/>
          <w:color w:val="auto"/>
          <w:highlight w:val="none"/>
          <w:lang w:val="en-US" w:eastAsia="zh-CN"/>
        </w:rPr>
      </w:pPr>
      <w:bookmarkStart w:id="125" w:name="_Toc20604"/>
      <w:bookmarkStart w:id="126" w:name="_Toc11685"/>
      <w:r>
        <w:rPr>
          <w:rFonts w:hint="eastAsia" w:ascii="仿宋_GB2312" w:hAnsi="仿宋_GB2312" w:eastAsia="仿宋_GB2312" w:cs="仿宋_GB2312"/>
          <w:color w:val="auto"/>
          <w:highlight w:val="none"/>
          <w:lang w:val="en-US" w:eastAsia="zh-CN"/>
        </w:rPr>
        <w:t>七、评审过程的保密与录像</w:t>
      </w:r>
      <w:bookmarkEnd w:id="125"/>
      <w:bookmarkEnd w:id="126"/>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1.保密。</w:t>
      </w:r>
      <w:r>
        <w:rPr>
          <w:rFonts w:hint="eastAsia" w:ascii="仿宋_GB2312" w:hAnsi="仿宋_GB2312" w:eastAsia="仿宋_GB2312" w:cs="仿宋_GB2312"/>
          <w:b w:val="0"/>
          <w:bCs/>
          <w:color w:val="auto"/>
          <w:sz w:val="24"/>
          <w:szCs w:val="24"/>
          <w:highlight w:val="none"/>
          <w:lang w:val="en-US" w:eastAsia="zh-CN"/>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2.录音录像。</w:t>
      </w:r>
      <w:r>
        <w:rPr>
          <w:rFonts w:hint="eastAsia" w:ascii="仿宋_GB2312" w:hAnsi="仿宋_GB2312" w:eastAsia="仿宋_GB2312" w:cs="仿宋_GB2312"/>
          <w:b w:val="0"/>
          <w:bCs/>
          <w:color w:val="auto"/>
          <w:sz w:val="24"/>
          <w:szCs w:val="24"/>
          <w:highlight w:val="none"/>
          <w:lang w:val="en-US" w:eastAsia="zh-CN"/>
        </w:rPr>
        <w:t>采购代理机构对评审工作现场进行全过程录音录像，录音录像资料作为采购项目文件随其他文件一并存档。</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color w:val="auto"/>
          <w:sz w:val="36"/>
          <w:highlight w:val="none"/>
        </w:rPr>
      </w:pPr>
      <w:bookmarkStart w:id="127" w:name="_Toc8663"/>
      <w:r>
        <w:rPr>
          <w:rFonts w:hint="eastAsia" w:ascii="仿宋_GB2312" w:hAnsi="仿宋_GB2312" w:eastAsia="仿宋_GB2312" w:cs="仿宋_GB2312"/>
          <w:b/>
          <w:color w:val="auto"/>
          <w:sz w:val="30"/>
          <w:szCs w:val="30"/>
          <w:highlight w:val="none"/>
        </w:rPr>
        <w:t>第五</w:t>
      </w:r>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w:t>
      </w:r>
      <w:bookmarkEnd w:id="98"/>
      <w:bookmarkEnd w:id="99"/>
      <w:r>
        <w:rPr>
          <w:rFonts w:hint="eastAsia" w:ascii="仿宋_GB2312" w:hAnsi="仿宋_GB2312" w:eastAsia="仿宋_GB2312" w:cs="仿宋_GB2312"/>
          <w:b/>
          <w:color w:val="auto"/>
          <w:sz w:val="30"/>
          <w:szCs w:val="30"/>
          <w:highlight w:val="none"/>
        </w:rPr>
        <w:t>拟签订的合同文本</w:t>
      </w:r>
      <w:bookmarkEnd w:id="127"/>
    </w:p>
    <w:p>
      <w:pPr>
        <w:rPr>
          <w:rFonts w:hint="eastAsia" w:ascii="仿宋_GB2312" w:hAnsi="仿宋_GB2312" w:eastAsia="仿宋_GB2312" w:cs="仿宋_GB2312"/>
          <w:color w:val="auto"/>
          <w:highlight w:val="none"/>
        </w:rPr>
      </w:pPr>
    </w:p>
    <w:p>
      <w:pPr>
        <w:pStyle w:val="117"/>
        <w:snapToGrid w:val="0"/>
        <w:spacing w:line="312" w:lineRule="auto"/>
        <w:ind w:left="0" w:firstLine="420" w:firstLineChars="200"/>
        <w:rPr>
          <w:rFonts w:hint="eastAsia" w:ascii="仿宋_GB2312" w:hAnsi="仿宋_GB2312" w:eastAsia="仿宋_GB2312" w:cs="仿宋_GB2312"/>
          <w:color w:val="auto"/>
          <w:spacing w:val="0"/>
          <w:sz w:val="21"/>
          <w:szCs w:val="21"/>
          <w:highlight w:val="none"/>
        </w:rPr>
      </w:pPr>
      <w:r>
        <w:rPr>
          <w:rFonts w:hint="eastAsia" w:ascii="仿宋_GB2312" w:hAnsi="仿宋_GB2312" w:eastAsia="仿宋_GB2312" w:cs="仿宋_GB2312"/>
          <w:color w:val="auto"/>
          <w:spacing w:val="0"/>
          <w:sz w:val="21"/>
          <w:szCs w:val="21"/>
          <w:highlight w:val="none"/>
        </w:rPr>
        <w:t>合同将由采购人（以下简称甲方）与经评审最终确定的中标（成交）供应商（以下简称乙方）结合本项目具体情况协商后签订。以下为采购人提出涉及乙方的主要条款，供应商在磋商响应文件中应对其进行确认或拒绝。如供应商在其磋商响应文件中未做拒绝或提出修改要求的，招标人将视作认同。</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lang w:val="en-US" w:eastAsia="zh-CN"/>
        </w:rPr>
      </w:pPr>
    </w:p>
    <w:p>
      <w:pPr>
        <w:pStyle w:val="38"/>
        <w:rPr>
          <w:rFonts w:hint="eastAsia"/>
          <w:highlight w:val="none"/>
          <w:lang w:val="en-US" w:eastAsia="zh-CN"/>
        </w:rPr>
      </w:pPr>
    </w:p>
    <w:p>
      <w:pPr>
        <w:spacing w:line="360" w:lineRule="auto"/>
        <w:rPr>
          <w:rFonts w:hint="eastAsia" w:ascii="仿宋_GB2312" w:hAnsi="仿宋_GB2312" w:eastAsia="仿宋_GB2312" w:cs="仿宋_GB2312"/>
          <w:color w:val="auto"/>
          <w:sz w:val="24"/>
          <w:highlight w:val="none"/>
        </w:rPr>
      </w:pPr>
    </w:p>
    <w:p>
      <w:pPr>
        <w:spacing w:line="360" w:lineRule="auto"/>
        <w:jc w:val="left"/>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u w:val="single"/>
          <w:lang w:val="en-US" w:eastAsia="zh-CN"/>
        </w:rPr>
        <w:t xml:space="preserve">            </w:t>
      </w: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440" w:firstLineChars="400"/>
        <w:jc w:val="center"/>
        <w:textAlignment w:val="auto"/>
        <w:rPr>
          <w:rFonts w:hint="eastAsia" w:ascii="仿宋_GB2312" w:hAnsi="仿宋_GB2312" w:eastAsia="仿宋_GB2312" w:cs="仿宋_GB2312"/>
          <w:b/>
          <w:bCs/>
          <w:color w:val="auto"/>
          <w:sz w:val="36"/>
          <w:szCs w:val="36"/>
          <w:highlight w:val="none"/>
          <w:u w:val="single"/>
          <w:lang w:eastAsia="zh-CN"/>
        </w:rPr>
      </w:pPr>
      <w:r>
        <w:rPr>
          <w:rFonts w:hint="eastAsia" w:ascii="仿宋_GB2312" w:hAnsi="仿宋_GB2312" w:eastAsia="仿宋_GB2312" w:cs="仿宋_GB2312"/>
          <w:color w:val="auto"/>
          <w:sz w:val="36"/>
          <w:szCs w:val="36"/>
          <w:highlight w:val="none"/>
        </w:rPr>
        <w:t>项目名称：</w:t>
      </w:r>
      <w:r>
        <w:rPr>
          <w:rFonts w:hint="eastAsia" w:ascii="仿宋_GB2312" w:hAnsi="仿宋_GB2312" w:eastAsia="仿宋_GB2312" w:cs="仿宋_GB2312"/>
          <w:b/>
          <w:bCs/>
          <w:color w:val="auto"/>
          <w:sz w:val="36"/>
          <w:szCs w:val="36"/>
          <w:highlight w:val="none"/>
          <w:u w:val="single"/>
          <w:lang w:eastAsia="zh-CN"/>
        </w:rPr>
        <w:t>浙江文化数据库内容建设项目</w:t>
      </w:r>
    </w:p>
    <w:p>
      <w:pPr>
        <w:keepNext w:val="0"/>
        <w:keepLines w:val="0"/>
        <w:pageBreakBefore w:val="0"/>
        <w:widowControl w:val="0"/>
        <w:kinsoku/>
        <w:wordWrap/>
        <w:overflowPunct/>
        <w:topLinePunct w:val="0"/>
        <w:autoSpaceDE/>
        <w:autoSpaceDN/>
        <w:bidi w:val="0"/>
        <w:adjustRightInd/>
        <w:snapToGrid/>
        <w:spacing w:line="360" w:lineRule="auto"/>
        <w:ind w:firstLine="1446" w:firstLineChars="400"/>
        <w:jc w:val="center"/>
        <w:textAlignment w:val="auto"/>
        <w:rPr>
          <w:rFonts w:hint="eastAsia" w:ascii="仿宋_GB2312" w:hAnsi="仿宋_GB2312" w:eastAsia="仿宋_GB2312" w:cs="仿宋_GB2312"/>
          <w:color w:val="auto"/>
          <w:sz w:val="36"/>
          <w:szCs w:val="36"/>
          <w:highlight w:val="none"/>
          <w:u w:val="single"/>
          <w:lang w:eastAsia="zh-CN"/>
        </w:rPr>
      </w:pPr>
      <w:r>
        <w:rPr>
          <w:rFonts w:hint="eastAsia" w:ascii="仿宋_GB2312" w:hAnsi="仿宋_GB2312" w:eastAsia="仿宋_GB2312" w:cs="仿宋_GB2312"/>
          <w:b/>
          <w:bCs/>
          <w:color w:val="auto"/>
          <w:sz w:val="36"/>
          <w:szCs w:val="36"/>
          <w:highlight w:val="none"/>
          <w:u w:val="none"/>
          <w:lang w:val="en-US" w:eastAsia="zh-CN"/>
        </w:rPr>
        <w:t xml:space="preserve">        </w:t>
      </w:r>
      <w:r>
        <w:rPr>
          <w:rFonts w:hint="eastAsia" w:ascii="仿宋_GB2312" w:hAnsi="仿宋_GB2312" w:eastAsia="仿宋_GB2312" w:cs="仿宋_GB2312"/>
          <w:b/>
          <w:bCs/>
          <w:color w:val="auto"/>
          <w:sz w:val="36"/>
          <w:szCs w:val="36"/>
          <w:highlight w:val="none"/>
          <w:u w:val="single"/>
          <w:lang w:eastAsia="zh-CN"/>
        </w:rPr>
        <w:t>（红色经典文学数据资源）</w:t>
      </w: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spacing w:line="360" w:lineRule="auto"/>
        <w:ind w:left="1470" w:leftChars="7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u w:val="single"/>
        </w:rPr>
        <w:t>浙江文学院（</w:t>
      </w:r>
      <w:r>
        <w:rPr>
          <w:rFonts w:hint="eastAsia" w:ascii="仿宋_GB2312" w:hAnsi="仿宋_GB2312" w:eastAsia="仿宋_GB2312" w:cs="仿宋_GB2312"/>
          <w:color w:val="auto"/>
          <w:sz w:val="28"/>
          <w:szCs w:val="28"/>
          <w:highlight w:val="none"/>
          <w:u w:val="single"/>
          <w:lang w:eastAsia="zh-CN"/>
        </w:rPr>
        <w:t>浙江文学</w:t>
      </w:r>
      <w:r>
        <w:rPr>
          <w:rFonts w:hint="eastAsia" w:ascii="仿宋_GB2312" w:hAnsi="仿宋_GB2312" w:eastAsia="仿宋_GB2312" w:cs="仿宋_GB2312"/>
          <w:color w:val="auto"/>
          <w:sz w:val="28"/>
          <w:szCs w:val="28"/>
          <w:highlight w:val="none"/>
          <w:u w:val="single"/>
        </w:rPr>
        <w:t>馆）</w:t>
      </w:r>
    </w:p>
    <w:p>
      <w:pPr>
        <w:spacing w:line="360" w:lineRule="auto"/>
        <w:rPr>
          <w:rFonts w:hint="eastAsia" w:ascii="仿宋_GB2312" w:hAnsi="仿宋_GB2312" w:eastAsia="仿宋_GB2312" w:cs="仿宋_GB2312"/>
          <w:color w:val="auto"/>
          <w:sz w:val="24"/>
          <w:highlight w:val="none"/>
        </w:rPr>
      </w:pPr>
    </w:p>
    <w:p>
      <w:pPr>
        <w:spacing w:line="360" w:lineRule="auto"/>
        <w:ind w:left="1470" w:leftChars="7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4"/>
          <w:highlight w:val="none"/>
        </w:rPr>
      </w:pPr>
    </w:p>
    <w:p>
      <w:pPr>
        <w:pStyle w:val="38"/>
        <w:rPr>
          <w:rFonts w:hint="eastAsia" w:eastAsia="宋体" w:cs="Times New Roman"/>
          <w:highlight w:val="none"/>
          <w:lang w:val="en-US" w:eastAsia="zh-CN"/>
        </w:rPr>
      </w:pPr>
    </w:p>
    <w:p>
      <w:pPr>
        <w:pStyle w:val="38"/>
        <w:rPr>
          <w:rFonts w:hint="eastAsia" w:eastAsia="宋体" w:cs="Times New Roman"/>
          <w:highlight w:val="none"/>
          <w:lang w:val="en-US" w:eastAsia="zh-CN"/>
        </w:rPr>
      </w:pPr>
    </w:p>
    <w:p>
      <w:pPr>
        <w:pStyle w:val="38"/>
        <w:rPr>
          <w:rFonts w:hint="eastAsia" w:eastAsia="宋体" w:cs="Times New Roman"/>
          <w:highlight w:val="none"/>
          <w:lang w:val="en-US" w:eastAsia="zh-CN"/>
        </w:rPr>
      </w:pPr>
    </w:p>
    <w:p>
      <w:pPr>
        <w:pStyle w:val="38"/>
        <w:rPr>
          <w:rFonts w:hint="eastAsia" w:eastAsia="宋体" w:cs="Times New Roman"/>
          <w:highlight w:val="none"/>
          <w:lang w:val="en-US" w:eastAsia="zh-CN"/>
        </w:rPr>
      </w:pPr>
    </w:p>
    <w:p>
      <w:pPr>
        <w:pStyle w:val="38"/>
        <w:rPr>
          <w:rFonts w:hint="eastAsia" w:eastAsia="宋体" w:cs="Times New Roman"/>
          <w:highlight w:val="none"/>
          <w:lang w:val="en-US" w:eastAsia="zh-CN"/>
        </w:rPr>
      </w:pPr>
    </w:p>
    <w:p>
      <w:pPr>
        <w:pStyle w:val="38"/>
        <w:rPr>
          <w:rFonts w:hint="eastAsia" w:eastAsia="宋体" w:cs="Times New Roman"/>
          <w:highlight w:val="none"/>
          <w:lang w:val="en-US" w:eastAsia="zh-CN"/>
        </w:rPr>
      </w:pPr>
    </w:p>
    <w:p>
      <w:pPr>
        <w:spacing w:line="360" w:lineRule="auto"/>
        <w:ind w:left="1470" w:leftChars="70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签署日期：</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ind w:left="1470" w:leftChars="70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签署地点：</w:t>
      </w:r>
      <w:r>
        <w:rPr>
          <w:rFonts w:hint="eastAsia" w:ascii="仿宋_GB2312" w:hAnsi="仿宋_GB2312" w:eastAsia="仿宋_GB2312" w:cs="仿宋_GB2312"/>
          <w:color w:val="auto"/>
          <w:sz w:val="28"/>
          <w:szCs w:val="28"/>
          <w:highlight w:val="none"/>
          <w:u w:val="single"/>
          <w:lang w:val="en-US" w:eastAsia="zh-CN"/>
        </w:rPr>
        <w:t>2024年   月   日</w:t>
      </w:r>
    </w:p>
    <w:p>
      <w:pPr>
        <w:pStyle w:val="38"/>
        <w:rPr>
          <w:rFonts w:hint="eastAsia"/>
          <w:highlight w:val="none"/>
          <w:lang w:val="en-US" w:eastAsia="zh-CN"/>
        </w:rPr>
      </w:pPr>
    </w:p>
    <w:p>
      <w:pPr>
        <w:pStyle w:val="38"/>
        <w:rPr>
          <w:rFonts w:hint="eastAsia"/>
          <w:highlight w:val="none"/>
          <w:lang w:val="en-US" w:eastAsia="zh-CN"/>
        </w:rPr>
      </w:pPr>
      <w:r>
        <w:rPr>
          <w:rFonts w:hint="eastAsia"/>
          <w:highlight w:val="none"/>
          <w:lang w:val="en-US" w:eastAsia="zh-CN"/>
        </w:rPr>
        <w:br w:type="page"/>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lang w:eastAsia="zh-CN"/>
        </w:rPr>
        <w:t>浙江文学院（浙江文学馆）</w:t>
      </w: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浙江文化数据库内容建设项目（红色经典文学数据资源）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（项目名称）中所需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（标项内容）经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浙江文学院（浙江文学馆）</w:t>
      </w:r>
      <w:r>
        <w:rPr>
          <w:rFonts w:hint="eastAsia" w:ascii="仿宋_GB2312" w:hAnsi="仿宋_GB2312" w:eastAsia="仿宋_GB2312" w:cs="仿宋_GB2312"/>
          <w:color w:val="auto"/>
          <w:sz w:val="24"/>
          <w:highlight w:val="none"/>
          <w:u w:val="single"/>
        </w:rPr>
        <w:t>（采购人）</w:t>
      </w:r>
      <w:r>
        <w:rPr>
          <w:rFonts w:hint="eastAsia" w:ascii="仿宋_GB2312" w:hAnsi="仿宋_GB2312" w:eastAsia="仿宋_GB2312" w:cs="仿宋_GB2312"/>
          <w:color w:val="auto"/>
          <w:sz w:val="24"/>
          <w:highlight w:val="none"/>
        </w:rPr>
        <w:t>以采购文件（采购项目编号：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）进行公开招标。甲方确定</w:t>
      </w:r>
      <w:r>
        <w:rPr>
          <w:rFonts w:hint="eastAsia" w:ascii="仿宋_GB2312" w:hAnsi="仿宋_GB2312" w:eastAsia="仿宋_GB2312" w:cs="仿宋_GB2312"/>
          <w:color w:val="auto"/>
          <w:sz w:val="24"/>
          <w:highlight w:val="none"/>
          <w:u w:val="single"/>
        </w:rPr>
        <w:t xml:space="preserve">       （乙方）</w:t>
      </w:r>
      <w:r>
        <w:rPr>
          <w:rFonts w:hint="eastAsia" w:ascii="仿宋_GB2312" w:hAnsi="仿宋_GB2312" w:eastAsia="仿宋_GB2312" w:cs="仿宋_GB2312"/>
          <w:color w:val="auto"/>
          <w:sz w:val="24"/>
          <w:highlight w:val="none"/>
        </w:rPr>
        <w:t>为</w:t>
      </w:r>
      <w:r>
        <w:rPr>
          <w:rFonts w:hint="eastAsia" w:ascii="仿宋_GB2312" w:hAnsi="仿宋_GB2312" w:eastAsia="仿宋_GB2312" w:cs="仿宋_GB2312"/>
          <w:color w:val="auto"/>
          <w:sz w:val="24"/>
          <w:highlight w:val="none"/>
          <w:lang w:eastAsia="zh-CN"/>
        </w:rPr>
        <w:t>中标人</w:t>
      </w:r>
      <w:r>
        <w:rPr>
          <w:rFonts w:hint="eastAsia" w:ascii="仿宋_GB2312" w:hAnsi="仿宋_GB2312" w:eastAsia="仿宋_GB2312" w:cs="仿宋_GB2312"/>
          <w:color w:val="auto"/>
          <w:sz w:val="24"/>
          <w:highlight w:val="none"/>
        </w:rPr>
        <w:t>。甲、乙双方依据《中华人民共和国政府采购法》《中华人民共和国民法典》，在平等自愿的基础上，同意按照下面的条款和条件，签署本合同。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一、本合同的组成部分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以下文件为本合同的组成部分，且解释顺序及支配地位的次序如下：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本合同文书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中标通知书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采购文件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 投标文件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(5)合同补充条款或说明（如有的话）</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二、合同标的物</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i/>
          <w:iCs/>
          <w:color w:val="auto"/>
          <w:sz w:val="24"/>
          <w:highlight w:val="none"/>
          <w:u w:val="single"/>
        </w:rPr>
      </w:pPr>
      <w:r>
        <w:rPr>
          <w:rFonts w:hint="eastAsia" w:ascii="仿宋_GB2312" w:hAnsi="仿宋_GB2312" w:eastAsia="仿宋_GB2312" w:cs="仿宋_GB2312"/>
          <w:color w:val="auto"/>
          <w:sz w:val="24"/>
          <w:highlight w:val="none"/>
        </w:rPr>
        <w:t>本合同标的物名称及数量：</w:t>
      </w:r>
      <w:r>
        <w:rPr>
          <w:rFonts w:hint="eastAsia" w:ascii="仿宋_GB2312" w:hAnsi="仿宋_GB2312" w:eastAsia="仿宋_GB2312" w:cs="仿宋_GB2312"/>
          <w:i/>
          <w:iCs/>
          <w:color w:val="auto"/>
          <w:sz w:val="24"/>
          <w:highlight w:val="none"/>
          <w:u w:val="single"/>
        </w:rPr>
        <w:t>（服务内容可附后）</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乙方应本合同签订后</w:t>
      </w:r>
      <w:r>
        <w:rPr>
          <w:rFonts w:hint="eastAsia" w:ascii="仿宋_GB2312" w:hAnsi="仿宋_GB2312" w:eastAsia="仿宋_GB2312" w:cs="仿宋_GB2312"/>
          <w:color w:val="auto"/>
          <w:sz w:val="24"/>
          <w:highlight w:val="none"/>
          <w:lang w:val="en-US" w:eastAsia="zh-CN"/>
        </w:rPr>
        <w:t>4个月</w:t>
      </w:r>
      <w:r>
        <w:rPr>
          <w:rFonts w:hint="eastAsia" w:ascii="仿宋_GB2312" w:hAnsi="仿宋_GB2312" w:eastAsia="仿宋_GB2312" w:cs="仿宋_GB2312"/>
          <w:color w:val="auto"/>
          <w:sz w:val="24"/>
          <w:highlight w:val="none"/>
        </w:rPr>
        <w:t>内完成并交付，具体建设要求详见招标文件第三章采购需求书及乙方投标文件，二者不一致的，以标准较高者为准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三、合同总价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本项目为</w:t>
      </w:r>
      <w:r>
        <w:rPr>
          <w:rFonts w:hint="eastAsia" w:ascii="仿宋_GB2312" w:hAnsi="仿宋_GB2312" w:eastAsia="仿宋_GB2312" w:cs="仿宋_GB2312"/>
          <w:color w:val="auto"/>
          <w:sz w:val="24"/>
          <w:highlight w:val="none"/>
          <w:lang w:eastAsia="zh-CN"/>
        </w:rPr>
        <w:t>总价</w:t>
      </w:r>
      <w:r>
        <w:rPr>
          <w:rFonts w:hint="eastAsia" w:ascii="仿宋_GB2312" w:hAnsi="仿宋_GB2312" w:eastAsia="仿宋_GB2312" w:cs="仿宋_GB2312"/>
          <w:color w:val="auto"/>
          <w:sz w:val="24"/>
          <w:highlight w:val="none"/>
        </w:rPr>
        <w:t>包干项目，本合同总价为人民币</w:t>
      </w:r>
      <w:r>
        <w:rPr>
          <w:rFonts w:hint="eastAsia" w:ascii="仿宋_GB2312" w:hAnsi="仿宋_GB2312" w:eastAsia="仿宋_GB2312" w:cs="仿宋_GB2312"/>
          <w:color w:val="auto"/>
          <w:sz w:val="24"/>
          <w:highlight w:val="none"/>
          <w:lang w:eastAsia="zh-CN"/>
        </w:rPr>
        <w:t>（大写）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元，小写</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四、履约保证金及合同价款的支付</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bookmarkStart w:id="128" w:name="_Hlk111452501"/>
      <w:r>
        <w:rPr>
          <w:rFonts w:hint="eastAsia" w:ascii="仿宋_GB2312" w:hAnsi="仿宋_GB2312" w:eastAsia="仿宋_GB2312" w:cs="仿宋_GB2312"/>
          <w:color w:val="auto"/>
          <w:sz w:val="24"/>
          <w:highlight w:val="none"/>
        </w:rPr>
        <w:t>（1）履约保证金为合同价款的</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%。合同签订之日起5个工作日内，乙方向甲方提交履约保证金。履约保证金可通过提供金融机构保函形式缴纳。</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eastAsia="仿宋_GB2312"/>
          <w:bCs/>
          <w:color w:val="auto"/>
          <w:sz w:val="24"/>
          <w:highlight w:val="none"/>
        </w:rPr>
        <w:t>合同签订后</w:t>
      </w:r>
      <w:r>
        <w:rPr>
          <w:rFonts w:hint="eastAsia" w:ascii="仿宋_GB2312" w:eastAsia="仿宋_GB2312"/>
          <w:bCs/>
          <w:color w:val="auto"/>
          <w:sz w:val="24"/>
          <w:highlight w:val="none"/>
          <w:lang w:eastAsia="zh-CN"/>
        </w:rPr>
        <w:t>且</w:t>
      </w:r>
      <w:r>
        <w:rPr>
          <w:rFonts w:hint="eastAsia" w:ascii="仿宋_GB2312" w:eastAsia="仿宋_GB2312"/>
          <w:bCs/>
          <w:color w:val="auto"/>
          <w:sz w:val="24"/>
          <w:highlight w:val="none"/>
        </w:rPr>
        <w:t>具备实施条件</w:t>
      </w:r>
      <w:r>
        <w:rPr>
          <w:rFonts w:hint="eastAsia" w:ascii="仿宋_GB2312" w:eastAsia="仿宋_GB2312"/>
          <w:bCs/>
          <w:color w:val="auto"/>
          <w:sz w:val="24"/>
          <w:highlight w:val="none"/>
          <w:lang w:eastAsia="zh-CN"/>
        </w:rPr>
        <w:t>，甲方</w:t>
      </w:r>
      <w:r>
        <w:rPr>
          <w:rFonts w:hint="eastAsia" w:ascii="仿宋_GB2312" w:hAnsi="仿宋_GB2312" w:eastAsia="仿宋_GB2312" w:cs="仿宋_GB2312"/>
          <w:color w:val="auto"/>
          <w:sz w:val="24"/>
          <w:highlight w:val="none"/>
        </w:rPr>
        <w:t>收到乙方提供的正规发票之日起7个工作日内，</w:t>
      </w:r>
      <w:r>
        <w:rPr>
          <w:rFonts w:hint="eastAsia" w:ascii="仿宋_GB2312" w:hAnsi="仿宋_GB2312" w:eastAsia="仿宋_GB2312" w:cs="仿宋_GB2312"/>
          <w:color w:val="auto"/>
          <w:sz w:val="24"/>
          <w:highlight w:val="none"/>
          <w:lang w:eastAsia="zh-CN"/>
        </w:rPr>
        <w:t>向乙方</w:t>
      </w:r>
      <w:r>
        <w:rPr>
          <w:rFonts w:hint="eastAsia" w:ascii="仿宋_GB2312" w:hAnsi="仿宋_GB2312" w:eastAsia="仿宋_GB2312" w:cs="仿宋_GB2312"/>
          <w:color w:val="auto"/>
          <w:sz w:val="24"/>
          <w:highlight w:val="none"/>
        </w:rPr>
        <w:t>支付合同金额的</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0%</w:t>
      </w:r>
      <w:r>
        <w:rPr>
          <w:rFonts w:hint="eastAsia" w:ascii="仿宋_GB2312" w:hAnsi="仿宋_GB2312" w:eastAsia="仿宋_GB2312" w:cs="仿宋_GB2312"/>
          <w:color w:val="auto"/>
          <w:sz w:val="24"/>
          <w:highlight w:val="none"/>
          <w:lang w:eastAsia="zh-CN"/>
        </w:rPr>
        <w:t>，即人民币（大写）</w:t>
      </w:r>
      <w:r>
        <w:rPr>
          <w:rFonts w:hint="eastAsia" w:ascii="仿宋_GB2312" w:hAnsi="仿宋_GB2312" w:eastAsia="仿宋_GB2312" w:cs="仿宋_GB2312"/>
          <w:color w:val="auto"/>
          <w:sz w:val="24"/>
          <w:highlight w:val="none"/>
          <w:u w:val="single" w:color="auto"/>
          <w:lang w:val="en-US" w:eastAsia="zh-CN"/>
        </w:rPr>
        <w:t xml:space="preserve">       （¥       ）</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乙方完</w:t>
      </w:r>
      <w:r>
        <w:rPr>
          <w:rFonts w:hint="eastAsia" w:ascii="仿宋_GB2312" w:eastAsia="仿宋_GB2312"/>
          <w:bCs/>
          <w:color w:val="auto"/>
          <w:sz w:val="24"/>
          <w:highlight w:val="none"/>
        </w:rPr>
        <w:t>成</w:t>
      </w:r>
      <w:r>
        <w:rPr>
          <w:rFonts w:hint="eastAsia" w:ascii="仿宋_GB2312" w:eastAsia="仿宋_GB2312"/>
          <w:bCs/>
          <w:color w:val="auto"/>
          <w:sz w:val="24"/>
          <w:highlight w:val="none"/>
          <w:lang w:eastAsia="zh-CN"/>
        </w:rPr>
        <w:t>合同约定的全部工作</w:t>
      </w:r>
      <w:r>
        <w:rPr>
          <w:rFonts w:hint="eastAsia" w:ascii="仿宋_GB2312" w:eastAsia="仿宋_GB2312"/>
          <w:bCs/>
          <w:color w:val="auto"/>
          <w:sz w:val="24"/>
          <w:highlight w:val="none"/>
        </w:rPr>
        <w:t>并完成试运行后</w:t>
      </w:r>
      <w:r>
        <w:rPr>
          <w:rFonts w:hint="eastAsia" w:ascii="仿宋_GB2312" w:hAnsi="仿宋_GB2312" w:eastAsia="仿宋_GB2312" w:cs="仿宋_GB2312"/>
          <w:color w:val="auto"/>
          <w:sz w:val="24"/>
          <w:highlight w:val="none"/>
        </w:rPr>
        <w:t>，由甲方组织</w:t>
      </w:r>
      <w:r>
        <w:rPr>
          <w:rFonts w:hint="eastAsia" w:ascii="仿宋_GB2312" w:eastAsia="仿宋_GB2312"/>
          <w:bCs/>
          <w:color w:val="auto"/>
          <w:sz w:val="24"/>
          <w:highlight w:val="none"/>
        </w:rPr>
        <w:t>组织专家开展项目终验。通过验收后，</w:t>
      </w:r>
      <w:r>
        <w:rPr>
          <w:rFonts w:hint="eastAsia" w:ascii="仿宋_GB2312" w:eastAsia="仿宋_GB2312"/>
          <w:bCs/>
          <w:color w:val="auto"/>
          <w:sz w:val="24"/>
          <w:highlight w:val="none"/>
          <w:lang w:eastAsia="zh-CN"/>
        </w:rPr>
        <w:t>中标人</w:t>
      </w:r>
      <w:r>
        <w:rPr>
          <w:rFonts w:hint="eastAsia" w:ascii="仿宋_GB2312" w:eastAsia="仿宋_GB2312"/>
          <w:bCs/>
          <w:color w:val="auto"/>
          <w:sz w:val="24"/>
          <w:highlight w:val="none"/>
        </w:rPr>
        <w:t>提供正规发票且采购人完成财政资金审批手续后7个工作日内，甲方支付合同尾款，即合同金额的</w:t>
      </w:r>
      <w:r>
        <w:rPr>
          <w:rFonts w:hint="eastAsia" w:ascii="仿宋_GB2312" w:eastAsia="仿宋_GB2312"/>
          <w:bCs/>
          <w:color w:val="auto"/>
          <w:sz w:val="24"/>
          <w:highlight w:val="none"/>
          <w:lang w:val="en-US" w:eastAsia="zh-CN"/>
        </w:rPr>
        <w:t>4</w:t>
      </w:r>
      <w:r>
        <w:rPr>
          <w:rFonts w:hint="eastAsia" w:ascii="仿宋_GB2312" w:eastAsia="仿宋_GB2312"/>
          <w:bCs/>
          <w:color w:val="auto"/>
          <w:sz w:val="24"/>
          <w:highlight w:val="none"/>
        </w:rPr>
        <w:t>0%</w:t>
      </w:r>
      <w:r>
        <w:rPr>
          <w:rFonts w:hint="eastAsia" w:ascii="仿宋_GB2312" w:eastAsia="仿宋_GB2312"/>
          <w:bCs/>
          <w:color w:val="auto"/>
          <w:sz w:val="24"/>
          <w:highlight w:val="none"/>
          <w:lang w:eastAsia="zh-CN"/>
        </w:rPr>
        <w:t>，</w:t>
      </w:r>
      <w:r>
        <w:rPr>
          <w:rFonts w:hint="eastAsia" w:ascii="仿宋_GB2312" w:hAnsi="仿宋_GB2312" w:eastAsia="仿宋_GB2312" w:cs="仿宋_GB2312"/>
          <w:color w:val="auto"/>
          <w:sz w:val="24"/>
          <w:highlight w:val="none"/>
          <w:lang w:eastAsia="zh-CN"/>
        </w:rPr>
        <w:t>即人民币（大写）</w:t>
      </w:r>
      <w:r>
        <w:rPr>
          <w:rFonts w:hint="eastAsia" w:ascii="仿宋_GB2312" w:hAnsi="仿宋_GB2312" w:eastAsia="仿宋_GB2312" w:cs="仿宋_GB2312"/>
          <w:color w:val="auto"/>
          <w:sz w:val="24"/>
          <w:highlight w:val="none"/>
          <w:u w:val="single" w:color="auto"/>
          <w:lang w:val="en-US" w:eastAsia="zh-CN"/>
        </w:rPr>
        <w:t xml:space="preserve">   （¥   ）</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）返还履约保证金。甲方自项目终验</w:t>
      </w:r>
      <w:r>
        <w:rPr>
          <w:rFonts w:hint="eastAsia" w:ascii="仿宋_GB2312" w:hAnsi="仿宋_GB2312" w:eastAsia="仿宋_GB2312" w:cs="仿宋_GB2312"/>
          <w:color w:val="auto"/>
          <w:sz w:val="24"/>
          <w:highlight w:val="none"/>
          <w:lang w:val="zh-CN"/>
        </w:rPr>
        <w:t>通过后</w:t>
      </w:r>
      <w:r>
        <w:rPr>
          <w:rFonts w:hint="eastAsia" w:ascii="仿宋_GB2312" w:hAnsi="仿宋_GB2312" w:eastAsia="仿宋_GB2312" w:cs="仿宋_GB2312"/>
          <w:color w:val="auto"/>
          <w:sz w:val="24"/>
          <w:highlight w:val="none"/>
        </w:rPr>
        <w:t>7个工作日内，将乙方缴纳的履约保证金无息返还乙方。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）乙方提供发票的种类：增值税发票。产生的税费由乙方承担。</w:t>
      </w:r>
    </w:p>
    <w:bookmarkEnd w:id="128"/>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仿宋_GB2312" w:hAnsi="仿宋_GB2312" w:eastAsia="仿宋_GB2312" w:cs="仿宋_GB2312"/>
          <w:color w:val="auto"/>
          <w:sz w:val="24"/>
          <w:highlight w:val="none"/>
        </w:rPr>
      </w:pPr>
      <w:r>
        <w:rPr>
          <w:rFonts w:hint="eastAsia" w:ascii="仿宋" w:hAnsi="仿宋" w:eastAsia="仿宋" w:cs="仿宋"/>
          <w:b/>
          <w:bCs/>
          <w:color w:val="auto"/>
          <w:sz w:val="24"/>
          <w:highlight w:val="none"/>
          <w:lang w:val="en-US" w:eastAsia="zh-CN"/>
        </w:rPr>
        <w:t>注：①</w:t>
      </w:r>
      <w:r>
        <w:rPr>
          <w:rFonts w:hint="eastAsia" w:ascii="仿宋" w:hAnsi="仿宋" w:eastAsia="仿宋" w:cs="仿宋"/>
          <w:b/>
          <w:bCs/>
          <w:color w:val="auto"/>
          <w:sz w:val="24"/>
          <w:highlight w:val="none"/>
        </w:rPr>
        <w:t>因本合同项目为政府财政资金项目，合同款支付还应符合政府财政支付计划，若财政支付计划发生调整，则从其调整。</w:t>
      </w:r>
      <w:r>
        <w:rPr>
          <w:rFonts w:hint="eastAsia" w:ascii="仿宋" w:hAnsi="仿宋" w:eastAsia="仿宋" w:cs="仿宋"/>
          <w:b/>
          <w:bCs/>
          <w:color w:val="auto"/>
          <w:sz w:val="24"/>
          <w:highlight w:val="none"/>
          <w:lang w:eastAsia="zh-CN"/>
        </w:rPr>
        <w:t>②以上付款时间是指甲方完成向财政部门申报支付手续的时间，财政部门审查及实际支付可能造成的时间延误不视为甲方违约。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3.甲方将本合同的价款支付至乙方指定的如下银行账户：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开户名称：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    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五、本合同履行期限、地点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rPr>
        <w:t>履行期限</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rPr>
        <w:t>履行地点：</w:t>
      </w:r>
      <w:r>
        <w:rPr>
          <w:rFonts w:hint="eastAsia" w:ascii="仿宋_GB2312" w:hAnsi="仿宋_GB2312" w:eastAsia="仿宋_GB2312" w:cs="仿宋_GB2312"/>
          <w:color w:val="auto"/>
          <w:sz w:val="24"/>
          <w:highlight w:val="none"/>
          <w:u w:val="single"/>
          <w:lang w:eastAsia="zh-CN"/>
        </w:rPr>
        <w:t>甲方指定地点。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六、其他要求</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乙方</w:t>
      </w:r>
      <w:r>
        <w:rPr>
          <w:rFonts w:hint="eastAsia" w:ascii="仿宋_GB2312" w:hAnsi="仿宋_GB2312" w:eastAsia="仿宋_GB2312" w:cs="仿宋_GB2312"/>
          <w:color w:val="auto"/>
          <w:sz w:val="24"/>
          <w:highlight w:val="none"/>
          <w:lang w:eastAsia="zh-CN"/>
        </w:rPr>
        <w:t>应</w:t>
      </w:r>
      <w:r>
        <w:rPr>
          <w:rFonts w:hint="eastAsia" w:ascii="仿宋_GB2312" w:hAnsi="仿宋_GB2312" w:eastAsia="仿宋_GB2312" w:cs="仿宋_GB2312"/>
          <w:color w:val="auto"/>
          <w:sz w:val="24"/>
          <w:highlight w:val="none"/>
        </w:rPr>
        <w:t>自觉接受甲方和监理单位对项目实施全过程的检查和监督，并根据甲方和监理单位要求，及时提供相关资料。</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2.乙方需根据建设内容100%实施到位。采购文件中定义了初步业务需求，随着项目的推进或原型的迭代演化逐步明确定义用户需求和功能及非功能需求，乙方</w:t>
      </w:r>
      <w:r>
        <w:rPr>
          <w:rFonts w:hint="eastAsia" w:ascii="仿宋_GB2312" w:hAnsi="仿宋_GB2312" w:eastAsia="仿宋_GB2312" w:cs="仿宋_GB2312"/>
          <w:color w:val="auto"/>
          <w:sz w:val="24"/>
          <w:highlight w:val="none"/>
          <w:lang w:eastAsia="zh-CN"/>
        </w:rPr>
        <w:t>应</w:t>
      </w:r>
      <w:r>
        <w:rPr>
          <w:rFonts w:hint="eastAsia" w:ascii="仿宋_GB2312" w:hAnsi="仿宋_GB2312" w:eastAsia="仿宋_GB2312" w:cs="仿宋_GB2312"/>
          <w:color w:val="auto"/>
          <w:sz w:val="24"/>
          <w:highlight w:val="none"/>
        </w:rPr>
        <w:t>根据甲方定义的深化需求要求，免费做好设计开发和编码测试及上线部署等工作。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乙方应派出采购响应文件中指定资历和经验的专业服务人员提供本次服务。如甲方认为其资历和经验不足以保证本次服务的质量，甲方有权要求撤换不合格的服务人员。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 甲方组织专家组对数据资源</w:t>
      </w:r>
      <w:r>
        <w:rPr>
          <w:rFonts w:hint="eastAsia" w:ascii="仿宋_GB2312" w:hAnsi="仿宋_GB2312" w:eastAsia="仿宋_GB2312" w:cs="仿宋_GB2312"/>
          <w:color w:val="auto"/>
          <w:sz w:val="24"/>
          <w:highlight w:val="none"/>
          <w:lang w:eastAsia="zh-CN"/>
        </w:rPr>
        <w:t>成果进行</w:t>
      </w:r>
      <w:r>
        <w:rPr>
          <w:rFonts w:hint="eastAsia" w:ascii="仿宋_GB2312" w:hAnsi="仿宋_GB2312" w:eastAsia="仿宋_GB2312" w:cs="仿宋_GB2312"/>
          <w:color w:val="auto"/>
          <w:sz w:val="24"/>
          <w:highlight w:val="none"/>
        </w:rPr>
        <w:t>认定，乙方</w:t>
      </w:r>
      <w:r>
        <w:rPr>
          <w:rFonts w:hint="eastAsia" w:ascii="仿宋_GB2312" w:hAnsi="仿宋_GB2312" w:eastAsia="仿宋_GB2312" w:cs="仿宋_GB2312"/>
          <w:color w:val="auto"/>
          <w:sz w:val="24"/>
          <w:highlight w:val="none"/>
          <w:lang w:eastAsia="zh-CN"/>
        </w:rPr>
        <w:t>应</w:t>
      </w:r>
      <w:r>
        <w:rPr>
          <w:rFonts w:hint="eastAsia" w:ascii="仿宋_GB2312" w:hAnsi="仿宋_GB2312" w:eastAsia="仿宋_GB2312" w:cs="仿宋_GB2312"/>
          <w:color w:val="auto"/>
          <w:sz w:val="24"/>
          <w:highlight w:val="none"/>
        </w:rPr>
        <w:t>根据甲方要求，</w:t>
      </w:r>
      <w:r>
        <w:rPr>
          <w:rFonts w:hint="eastAsia" w:ascii="仿宋_GB2312" w:hAnsi="仿宋_GB2312" w:eastAsia="仿宋_GB2312" w:cs="仿宋_GB2312"/>
          <w:color w:val="auto"/>
          <w:sz w:val="24"/>
          <w:highlight w:val="none"/>
          <w:lang w:eastAsia="zh-CN"/>
        </w:rPr>
        <w:t>提供附件</w:t>
      </w:r>
      <w:r>
        <w:rPr>
          <w:rFonts w:hint="eastAsia" w:ascii="仿宋_GB2312" w:hAnsi="仿宋_GB2312" w:eastAsia="仿宋_GB2312" w:cs="仿宋_GB2312"/>
          <w:color w:val="auto"/>
          <w:sz w:val="24"/>
          <w:highlight w:val="none"/>
          <w:lang w:val="en-US" w:eastAsia="zh-CN"/>
        </w:rPr>
        <w:t>1清单中物品的实物</w:t>
      </w:r>
      <w:r>
        <w:rPr>
          <w:rFonts w:hint="eastAsia" w:ascii="仿宋_GB2312" w:hAnsi="仿宋_GB2312" w:eastAsia="仿宋_GB2312" w:cs="仿宋_GB2312"/>
          <w:bCs/>
          <w:color w:val="auto"/>
          <w:sz w:val="24"/>
          <w:highlight w:val="none"/>
          <w:lang w:val="en-US" w:eastAsia="zh-CN"/>
        </w:rPr>
        <w:t>作为备用资料提交甲方，同步</w:t>
      </w:r>
      <w:r>
        <w:rPr>
          <w:rFonts w:hint="eastAsia" w:ascii="仿宋_GB2312" w:hAnsi="仿宋_GB2312" w:eastAsia="仿宋_GB2312" w:cs="仿宋_GB2312"/>
          <w:color w:val="auto"/>
          <w:sz w:val="24"/>
          <w:highlight w:val="none"/>
        </w:rPr>
        <w:t>做好全馆馆内软硬件的数据归集和数据安全保障，并提供至少</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年的</w:t>
      </w:r>
      <w:r>
        <w:rPr>
          <w:rFonts w:hint="eastAsia" w:ascii="仿宋_GB2312" w:hAnsi="仿宋_GB2312" w:eastAsia="仿宋_GB2312" w:cs="仿宋_GB2312"/>
          <w:color w:val="auto"/>
          <w:sz w:val="24"/>
          <w:highlight w:val="none"/>
          <w:lang w:eastAsia="zh-CN"/>
        </w:rPr>
        <w:t>运维服务</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运维服务期限自</w:t>
      </w:r>
      <w:r>
        <w:rPr>
          <w:rFonts w:hint="eastAsia" w:ascii="仿宋_GB2312" w:hAnsi="仿宋_GB2312" w:eastAsia="仿宋_GB2312" w:cs="仿宋_GB2312"/>
          <w:color w:val="auto"/>
          <w:sz w:val="24"/>
          <w:highlight w:val="none"/>
        </w:rPr>
        <w:t>终验通过之日开始计算。</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.所有因本项目履行产生的软件所有权和著作权</w:t>
      </w:r>
      <w:r>
        <w:rPr>
          <w:rFonts w:hint="eastAsia" w:ascii="仿宋_GB2312" w:hAnsi="仿宋_GB2312" w:eastAsia="仿宋_GB2312" w:cs="仿宋_GB2312"/>
          <w:color w:val="auto"/>
          <w:sz w:val="24"/>
          <w:highlight w:val="none"/>
          <w:lang w:eastAsia="zh-CN"/>
        </w:rPr>
        <w:t>以及备用资料</w:t>
      </w:r>
      <w:r>
        <w:rPr>
          <w:rFonts w:hint="eastAsia" w:ascii="仿宋_GB2312" w:hAnsi="仿宋_GB2312" w:eastAsia="仿宋_GB2312" w:cs="仿宋_GB2312"/>
          <w:color w:val="auto"/>
          <w:sz w:val="24"/>
          <w:highlight w:val="none"/>
        </w:rPr>
        <w:t>归甲方所有（移交内容详见甲乙双方移交清单，在本项目合同生效前乙方已拥有的软件著作权仍归乙方所有）。乙方在收到甲方代表要求后3个工作内，向甲方提交所有与本项目相关的可编辑、可执行的完整源码及源码运行所需的相关环境信息库，并提交运行或激活相关系统的软硬件秘钥。乙方应保证所提供的服务成果或其中任何一部分均不会侵犯第三方的知识产权或其他合法权益。</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7.乙方应将甲方</w:t>
      </w:r>
      <w:r>
        <w:rPr>
          <w:rFonts w:hint="eastAsia" w:ascii="仿宋_GB2312" w:hAnsi="仿宋_GB2312" w:eastAsia="仿宋_GB2312" w:cs="仿宋_GB2312"/>
          <w:color w:val="auto"/>
          <w:sz w:val="24"/>
          <w:highlight w:val="none"/>
        </w:rPr>
        <w:t>定制开发的所有源代码无条件提交给</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且符合标准允许二次开发，所涉及的数据项、数据接口必须遵循上级部门制定的相关数据标准和规范且必须无条件开放共享；</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所交付的产品中，不得含有任何可以自动终止或妨碍系统正常运行的软件。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合同履行期间甲方有权不定时检查乙方履行情况，经检查发现存在问题的，乙方应立即予以整改，乙方未整改或未在规定时间内整改完毕的，乙方应当按照合同总额1%每次向甲方支付违约金，此类情形发生三次及以上的，甲方有权解除本合同，乙方应当按照合同总额的30%向甲方支付违约金，如造成甲方损失超过违约金的，超出部分由乙方继续承担赔偿责任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9.合同签订后15日内提供深化设计方案。经甲方确认符合需求后乙方可组织实施，如因深化设计方案不符合甲方需求而整改造成的工期延误，相关损失全部由乙方承担。</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甲乙双方指定代表，作为履行本合同服务事宜的主要联系人。</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甲方代表：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 xml:space="preserve">  电话：</w:t>
      </w:r>
      <w:r>
        <w:rPr>
          <w:rFonts w:hint="eastAsia" w:ascii="仿宋_GB2312" w:hAnsi="仿宋_GB2312" w:eastAsia="仿宋_GB2312" w:cs="仿宋_GB2312"/>
          <w:color w:val="auto"/>
          <w:sz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乙方项目负责人：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电话：</w:t>
      </w:r>
      <w:r>
        <w:rPr>
          <w:rFonts w:hint="eastAsia" w:ascii="仿宋_GB2312" w:hAnsi="仿宋_GB2312" w:eastAsia="仿宋_GB2312" w:cs="仿宋_GB2312"/>
          <w:color w:val="auto"/>
          <w:sz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七、服务考核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甲方对乙方服务质量进行客观评估</w:t>
      </w:r>
      <w:r>
        <w:rPr>
          <w:rFonts w:hint="eastAsia" w:ascii="仿宋_GB2312" w:hAnsi="仿宋_GB2312" w:eastAsia="仿宋_GB2312" w:cs="仿宋_GB2312"/>
          <w:color w:val="auto"/>
          <w:sz w:val="24"/>
          <w:highlight w:val="none"/>
          <w:lang w:eastAsia="zh-CN"/>
        </w:rPr>
        <w:t>并</w:t>
      </w:r>
      <w:r>
        <w:rPr>
          <w:rFonts w:hint="eastAsia" w:ascii="仿宋_GB2312" w:hAnsi="仿宋_GB2312" w:eastAsia="仿宋_GB2312" w:cs="仿宋_GB2312"/>
          <w:color w:val="auto"/>
          <w:sz w:val="24"/>
          <w:highlight w:val="none"/>
        </w:rPr>
        <w:t>考核。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乙方应及时向甲方发出书面履约完成通知。甲方在收到乙方履约完成通知后，应及时做好组织验收的准备工作，制定验收方案，组织实施验收和履约评价。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阶段验收、项目终验完成后，出具验收书。终验验收书应包括每一项技术、服务、数据归集、安全等履约情况。</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八、违约责任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现场安装、调试和验收期间，乙方的项目负责人、技术负责人、驻场人员应保证到位率，不低于22天/月，每天不低于8个小时，并按甲方或者监理人确定的时间和要求参加相关会议，到位履行相关职责。否则，每发生一次不到位、迟到或者未履行职责，乙方向甲方支付2000元/人</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次的违约金。</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2、除合同规定的不可抗力外，乙方逾期提供服务的，乙方应按逾期天数向甲方支付合同款项的每日万分之五违约金。乙方提供有瑕疵的服务 、未按照合同需求提供服务或其他行为导致甲方解除合同的，乙方应向甲方支付合同款项总额 30%的违约金，如造成甲方损失超过违约金的，超出部分由乙方继续承担赔偿责任。</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项目经验收不合格，乙方应予以返工或采取补救措施，直到符合约定标准，并承担返工的费用，工期不予顺延。如果通过返工无法补救，则甲方有权解除合同，另行组织施工。另行组织施工所发生的一切费用及由此给甲方造成的损失由乙方承担。没有明确的验收标准的内容，甲乙双方协商解决。</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7、如果出现政府采购监督管理部门在处理投诉事项期间，书面通知甲方暂停采购活动的情形，或者询问或质疑事项可能影响成交结果的，导致甲方中止履行合同的情形，均不视为甲方违约。</w:t>
      </w:r>
    </w:p>
    <w:p>
      <w:pPr>
        <w:pStyle w:val="2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8、其他违约条款双方协商确定。</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九、解决争议的方法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因合同履行中发生的争议，可通过合同当事人双方友好协商解决。如自协商开始之起15日内得不到解决，双方应将争议提交政府采购监管部门调解。调解不成的，可向合同签订所在地仲裁委员会申请仲裁。</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仲裁裁决为最终裁决，当事人一方在规定时间内不履行仲裁机构裁决的，另一方可以申请人民法院强制执行。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仲裁费用和诉讼费用除仲裁机构或法院另有裁决外，由败诉方负担。</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十、违约解除合同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1.如乙方发生如下违约情况，甲方可向乙方发出书面通知，部分或全部终止合同。同时保留向乙方追诉的权利：</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1.1乙方未能在合同规定的限期或甲方同意延长的限期内，提供全部或部分标的物的；</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1.2乙方未能履行合同规定的其它主要义务的；</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1.3甲方认为乙方在本合同履行过程中有腐败和欺诈行为的。</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1.3.1“腐败行为”和“欺诈行为”定义如下：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1.3.2“腐败行为”是指提供/给予/接受或索取任何有价值的东西来影响甲方在合同签定、履行过程中的行为。</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1.3.3“欺诈行为”是指为了影响合同签定、履行过程，故意以谎报事实的方法， 损害甲方的利益的行为。</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甲方根据上述第1条规定，全部或部分解除合同之后，应当遵循诚实信用原则，购买与未交付的标的物类似的标的物或服务，乙方应承担甲方购买类似标的物或服务而产生的额外支出。部分解除合同的，乙方应继续履行合同中未解除的部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十一、破产终止合同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十二、转让和分包</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1.政府采购合同不能转让。</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十三、合同修改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十四、通知</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十五、计量单位</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除技术规范中另有规定外，计量单位均使用国家法定计量单位。</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十六、不可抗力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1.如果双方中任何一方遭遇法律规定的不可抗力，致使合同履行受阻时，履行合同的期限应予延长，延长的期限应相当于不可抗力所影响的时间。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2.受事故影响的一方应在不可抗力的事故发生后尽快书面形式通知另一方，并在事故发生后合同规定时间内，将有关部门出具的证明文件送达另一方。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十七、适用法律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本合同应按照中华人民共和国的法律进行解释。</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十八、合同的生效及其他</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政府采购项目的采购合同内容的确定应以采购文件和响应文件为基础，不得违背其实质性内容。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本合同在双方签字且盖章并由乙方提交履约保证金后开始生效。授权代表签署的后附法定代表人授权书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十九、合同份数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本合同一式陆份，甲</w:t>
      </w:r>
      <w:r>
        <w:rPr>
          <w:rFonts w:hint="eastAsia" w:ascii="仿宋_GB2312" w:hAnsi="仿宋_GB2312" w:eastAsia="仿宋_GB2312" w:cs="仿宋_GB2312"/>
          <w:color w:val="auto"/>
          <w:sz w:val="24"/>
          <w:highlight w:val="none"/>
          <w:lang w:eastAsia="zh-CN"/>
        </w:rPr>
        <w:t>方执肆份，</w:t>
      </w:r>
      <w:r>
        <w:rPr>
          <w:rFonts w:hint="eastAsia" w:ascii="仿宋_GB2312" w:hAnsi="仿宋_GB2312" w:eastAsia="仿宋_GB2312" w:cs="仿宋_GB2312"/>
          <w:color w:val="auto"/>
          <w:sz w:val="24"/>
          <w:highlight w:val="none"/>
        </w:rPr>
        <w:t>乙方执</w:t>
      </w:r>
      <w:r>
        <w:rPr>
          <w:rFonts w:hint="eastAsia" w:ascii="仿宋_GB2312" w:hAnsi="仿宋_GB2312" w:eastAsia="仿宋_GB2312" w:cs="仿宋_GB2312"/>
          <w:color w:val="auto"/>
          <w:sz w:val="24"/>
          <w:highlight w:val="none"/>
          <w:lang w:eastAsia="zh-CN"/>
        </w:rPr>
        <w:t>贰</w:t>
      </w:r>
      <w:r>
        <w:rPr>
          <w:rFonts w:hint="eastAsia" w:ascii="仿宋_GB2312" w:hAnsi="仿宋_GB2312" w:eastAsia="仿宋_GB2312" w:cs="仿宋_GB2312"/>
          <w:color w:val="auto"/>
          <w:sz w:val="24"/>
          <w:highlight w:val="none"/>
        </w:rPr>
        <w:t>份，具有同等法律效力。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以下无正文。</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合同签署页。</w:t>
      </w:r>
    </w:p>
    <w:p>
      <w:pPr>
        <w:pStyle w:val="44"/>
        <w:rPr>
          <w:rFonts w:hint="eastAsia"/>
          <w:highlight w:val="none"/>
        </w:rPr>
      </w:pPr>
    </w:p>
    <w:tbl>
      <w:tblPr>
        <w:tblStyle w:val="56"/>
        <w:tblW w:w="0" w:type="auto"/>
        <w:jc w:val="center"/>
        <w:tblLayout w:type="fixed"/>
        <w:tblCellMar>
          <w:top w:w="0" w:type="dxa"/>
          <w:left w:w="108" w:type="dxa"/>
          <w:bottom w:w="0" w:type="dxa"/>
          <w:right w:w="108" w:type="dxa"/>
        </w:tblCellMar>
      </w:tblPr>
      <w:tblGrid>
        <w:gridCol w:w="5168"/>
        <w:gridCol w:w="4511"/>
      </w:tblGrid>
      <w:tr>
        <w:tblPrEx>
          <w:tblCellMar>
            <w:top w:w="0" w:type="dxa"/>
            <w:left w:w="108" w:type="dxa"/>
            <w:bottom w:w="0" w:type="dxa"/>
            <w:right w:w="108" w:type="dxa"/>
          </w:tblCellMar>
        </w:tblPrEx>
        <w:trPr>
          <w:trHeight w:val="416" w:hRule="atLeast"/>
          <w:jc w:val="center"/>
        </w:trPr>
        <w:tc>
          <w:tcPr>
            <w:tcW w:w="5168" w:type="dxa"/>
            <w:noWrap w:val="0"/>
            <w:vAlign w:val="top"/>
          </w:tcPr>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甲方：浙江文学院（</w:t>
            </w:r>
            <w:r>
              <w:rPr>
                <w:rFonts w:hint="eastAsia" w:ascii="仿宋_GB2312" w:hAnsi="仿宋_GB2312" w:eastAsia="仿宋_GB2312" w:cs="仿宋_GB2312"/>
                <w:color w:val="auto"/>
                <w:sz w:val="24"/>
                <w:szCs w:val="24"/>
                <w:highlight w:val="none"/>
                <w:lang w:eastAsia="zh-CN"/>
              </w:rPr>
              <w:t>浙江文学</w:t>
            </w:r>
            <w:r>
              <w:rPr>
                <w:rFonts w:hint="eastAsia" w:ascii="仿宋_GB2312" w:hAnsi="仿宋_GB2312" w:eastAsia="仿宋_GB2312" w:cs="仿宋_GB2312"/>
                <w:color w:val="auto"/>
                <w:sz w:val="24"/>
                <w:szCs w:val="24"/>
                <w:highlight w:val="none"/>
              </w:rPr>
              <w:t>馆）</w:t>
            </w:r>
          </w:p>
          <w:p>
            <w:pPr>
              <w:pStyle w:val="334"/>
              <w:adjustRightInd w:val="0"/>
              <w:snapToGrid w:val="0"/>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（盖章）：</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w:t>
            </w:r>
          </w:p>
          <w:p>
            <w:pPr>
              <w:pStyle w:val="334"/>
              <w:adjustRightInd w:val="0"/>
              <w:snapToGrid w:val="0"/>
              <w:spacing w:line="360" w:lineRule="auto"/>
              <w:ind w:firstLine="3120" w:firstLineChars="13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电话：0571-</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传真：0571-</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开户银行：</w:t>
            </w:r>
          </w:p>
          <w:p>
            <w:pPr>
              <w:pStyle w:val="334"/>
              <w:adjustRightInd w:val="0"/>
              <w:snapToGrid w:val="0"/>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账号：</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税号：</w:t>
            </w:r>
          </w:p>
        </w:tc>
        <w:tc>
          <w:tcPr>
            <w:tcW w:w="4511" w:type="dxa"/>
            <w:noWrap w:val="0"/>
            <w:vAlign w:val="top"/>
          </w:tcPr>
          <w:p>
            <w:pPr>
              <w:adjustRightInd w:val="0"/>
              <w:snapToGrid w:val="0"/>
              <w:spacing w:line="360" w:lineRule="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z w:val="24"/>
                <w:szCs w:val="24"/>
                <w:highlight w:val="none"/>
              </w:rPr>
              <w:t>乙方：</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（盖章）：</w:t>
            </w:r>
          </w:p>
          <w:p>
            <w:pPr>
              <w:adjustRightInd w:val="0"/>
              <w:snapToGrid w:val="0"/>
              <w:spacing w:line="360" w:lineRule="auto"/>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w:t>
            </w:r>
          </w:p>
          <w:p>
            <w:pPr>
              <w:adjustRightInd w:val="0"/>
              <w:snapToGrid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pPr>
              <w:adjustRightInd w:val="0"/>
              <w:snapToGrid w:val="0"/>
              <w:spacing w:line="360" w:lineRule="auto"/>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开户银行：</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账号： </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税号：</w:t>
            </w:r>
          </w:p>
        </w:tc>
      </w:tr>
    </w:tbl>
    <w:p>
      <w:pPr>
        <w:pStyle w:val="38"/>
        <w:rPr>
          <w:rFonts w:hint="default"/>
          <w:highlight w:val="none"/>
          <w:lang w:val="en-US" w:eastAsia="zh-CN"/>
        </w:rPr>
      </w:pPr>
      <w:r>
        <w:rPr>
          <w:rFonts w:hint="eastAsia"/>
          <w:highlight w:val="none"/>
          <w:lang w:val="en-US" w:eastAsia="zh-CN"/>
        </w:rPr>
        <w:t xml:space="preserve"> </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bookmarkEnd w:id="100"/>
      <w:bookmarkEnd w:id="101"/>
      <w:bookmarkEnd w:id="102"/>
      <w:bookmarkStart w:id="129" w:name="_Toc234764855"/>
      <w:bookmarkStart w:id="130" w:name="_Toc249760797"/>
      <w:bookmarkStart w:id="131" w:name="_Toc362940042"/>
      <w:bookmarkStart w:id="132" w:name="_Toc251566668"/>
    </w:p>
    <w:p>
      <w:pPr>
        <w:rPr>
          <w:rFonts w:hint="eastAsia" w:ascii="仿宋_GB2312" w:hAnsi="仿宋_GB2312" w:eastAsia="仿宋_GB2312" w:cs="仿宋_GB2312"/>
          <w:color w:val="auto"/>
          <w:highlight w:val="none"/>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b/>
          <w:bCs/>
          <w:color w:val="auto"/>
          <w:sz w:val="32"/>
          <w:szCs w:val="32"/>
          <w:highlight w:val="none"/>
        </w:rPr>
      </w:pPr>
      <w:bookmarkStart w:id="133" w:name="_Toc9997"/>
      <w:r>
        <w:rPr>
          <w:rFonts w:hint="eastAsia" w:ascii="仿宋_GB2312" w:hAnsi="仿宋_GB2312" w:eastAsia="仿宋_GB2312" w:cs="仿宋_GB2312"/>
          <w:b/>
          <w:color w:val="auto"/>
          <w:sz w:val="30"/>
          <w:szCs w:val="30"/>
          <w:highlight w:val="none"/>
        </w:rPr>
        <w:t>第六</w:t>
      </w:r>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响应文件格式</w:t>
      </w:r>
      <w:bookmarkEnd w:id="129"/>
      <w:bookmarkEnd w:id="130"/>
      <w:bookmarkEnd w:id="131"/>
      <w:bookmarkEnd w:id="132"/>
      <w:bookmarkEnd w:id="133"/>
    </w:p>
    <w:p>
      <w:pPr>
        <w:rPr>
          <w:rFonts w:hint="eastAsia" w:ascii="仿宋_GB2312" w:hAnsi="仿宋_GB2312" w:eastAsia="仿宋_GB2312" w:cs="仿宋_GB2312"/>
          <w:color w:val="auto"/>
          <w:kern w:val="0"/>
          <w:highlight w:val="none"/>
        </w:rPr>
      </w:pPr>
    </w:p>
    <w:p>
      <w:pPr>
        <w:pStyle w:val="3"/>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仿宋_GB2312" w:hAnsi="仿宋_GB2312" w:eastAsia="仿宋_GB2312" w:cs="仿宋_GB2312"/>
          <w:color w:val="auto"/>
          <w:sz w:val="28"/>
          <w:szCs w:val="28"/>
          <w:highlight w:val="none"/>
          <w:lang w:val="en-US" w:eastAsia="zh-CN"/>
        </w:rPr>
      </w:pPr>
      <w:bookmarkStart w:id="134" w:name="_Toc27483"/>
      <w:bookmarkStart w:id="135" w:name="_Toc9397"/>
      <w:bookmarkStart w:id="136" w:name="_Toc14164"/>
      <w:bookmarkStart w:id="137" w:name="_Toc1304"/>
      <w:r>
        <w:rPr>
          <w:rFonts w:hint="eastAsia" w:ascii="仿宋_GB2312" w:hAnsi="仿宋_GB2312" w:eastAsia="仿宋_GB2312" w:cs="仿宋_GB2312"/>
          <w:color w:val="auto"/>
          <w:sz w:val="28"/>
          <w:szCs w:val="28"/>
          <w:highlight w:val="none"/>
          <w:lang w:val="en-US" w:eastAsia="zh-CN"/>
        </w:rPr>
        <w:t>响应文件封面（供参考）</w:t>
      </w:r>
      <w:bookmarkEnd w:id="134"/>
      <w:bookmarkEnd w:id="135"/>
      <w:bookmarkEnd w:id="136"/>
      <w:bookmarkEnd w:id="137"/>
    </w:p>
    <w:p>
      <w:pPr>
        <w:spacing w:line="360" w:lineRule="auto"/>
        <w:jc w:val="left"/>
        <w:rPr>
          <w:rFonts w:hint="eastAsia" w:ascii="仿宋_GB2312" w:hAnsi="仿宋_GB2312" w:eastAsia="仿宋_GB2312" w:cs="仿宋_GB2312"/>
          <w:b/>
          <w:color w:val="auto"/>
          <w:sz w:val="24"/>
          <w:highlight w:val="none"/>
        </w:rPr>
      </w:pPr>
    </w:p>
    <w:p>
      <w:pPr>
        <w:spacing w:line="360" w:lineRule="auto"/>
        <w:jc w:val="center"/>
        <w:rPr>
          <w:rFonts w:hint="eastAsia" w:ascii="仿宋_GB2312" w:hAnsi="仿宋_GB2312" w:eastAsia="仿宋_GB2312" w:cs="仿宋_GB2312"/>
          <w:b/>
          <w:color w:val="auto"/>
          <w:sz w:val="48"/>
          <w:szCs w:val="48"/>
          <w:highlight w:val="none"/>
          <w:lang w:val="en-US" w:eastAsia="zh-CN"/>
        </w:rPr>
      </w:pPr>
      <w:r>
        <w:rPr>
          <w:rFonts w:hint="eastAsia" w:ascii="仿宋_GB2312" w:hAnsi="仿宋_GB2312" w:eastAsia="仿宋_GB2312" w:cs="仿宋_GB2312"/>
          <w:b/>
          <w:color w:val="auto"/>
          <w:sz w:val="48"/>
          <w:szCs w:val="48"/>
          <w:highlight w:val="none"/>
          <w:lang w:val="en-US" w:eastAsia="zh-CN"/>
        </w:rPr>
        <w:t>××××××（项目名称）</w:t>
      </w:r>
    </w:p>
    <w:p>
      <w:pPr>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32"/>
          <w:szCs w:val="36"/>
          <w:highlight w:val="none"/>
          <w:lang w:eastAsia="zh-CN"/>
        </w:rPr>
        <w:t>项目编号</w:t>
      </w:r>
      <w:r>
        <w:rPr>
          <w:rFonts w:hint="eastAsia" w:ascii="仿宋_GB2312" w:hAnsi="仿宋_GB2312" w:eastAsia="仿宋_GB2312" w:cs="仿宋_GB2312"/>
          <w:color w:val="auto"/>
          <w:sz w:val="32"/>
          <w:szCs w:val="36"/>
          <w:highlight w:val="none"/>
        </w:rPr>
        <w:t>：</w:t>
      </w:r>
    </w:p>
    <w:p>
      <w:pPr>
        <w:spacing w:line="360" w:lineRule="auto"/>
        <w:jc w:val="center"/>
        <w:rPr>
          <w:rFonts w:hint="eastAsia" w:ascii="仿宋_GB2312" w:hAnsi="仿宋_GB2312" w:eastAsia="仿宋_GB2312" w:cs="仿宋_GB2312"/>
          <w:b/>
          <w:color w:val="auto"/>
          <w:sz w:val="36"/>
          <w:szCs w:val="36"/>
          <w:highlight w:val="none"/>
        </w:rPr>
      </w:pPr>
    </w:p>
    <w:p>
      <w:pPr>
        <w:spacing w:line="36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（资格证明文件/商务技术文件/报价文件）</w:t>
      </w:r>
    </w:p>
    <w:p>
      <w:pPr>
        <w:jc w:val="center"/>
        <w:rPr>
          <w:rFonts w:hint="eastAsia" w:ascii="仿宋_GB2312" w:hAnsi="仿宋_GB2312" w:eastAsia="仿宋_GB2312" w:cs="仿宋_GB2312"/>
          <w:color w:val="auto"/>
          <w:sz w:val="84"/>
          <w:highlight w:val="none"/>
        </w:rPr>
      </w:pPr>
    </w:p>
    <w:p>
      <w:pPr>
        <w:jc w:val="center"/>
        <w:rPr>
          <w:rFonts w:hint="eastAsia" w:ascii="仿宋_GB2312" w:hAnsi="仿宋_GB2312" w:eastAsia="仿宋_GB2312" w:cs="仿宋_GB2312"/>
          <w:color w:val="auto"/>
          <w:sz w:val="84"/>
          <w:highlight w:val="none"/>
          <w:lang w:eastAsia="zh-CN"/>
        </w:rPr>
      </w:pPr>
      <w:r>
        <w:rPr>
          <w:rFonts w:hint="eastAsia" w:ascii="仿宋_GB2312" w:hAnsi="仿宋_GB2312" w:eastAsia="仿宋_GB2312" w:cs="仿宋_GB2312"/>
          <w:color w:val="auto"/>
          <w:sz w:val="84"/>
          <w:highlight w:val="none"/>
          <w:lang w:eastAsia="zh-CN"/>
        </w:rPr>
        <w:t>竞争性磋商响应文件</w:t>
      </w:r>
    </w:p>
    <w:p>
      <w:pPr>
        <w:jc w:val="center"/>
        <w:rPr>
          <w:rFonts w:hint="eastAsia" w:ascii="仿宋_GB2312" w:hAnsi="仿宋_GB2312" w:eastAsia="仿宋_GB2312" w:cs="仿宋_GB2312"/>
          <w:color w:val="auto"/>
          <w:sz w:val="84"/>
          <w:highlight w:val="none"/>
          <w:lang w:eastAsia="zh-CN"/>
        </w:rPr>
      </w:pPr>
    </w:p>
    <w:p>
      <w:pPr>
        <w:jc w:val="center"/>
        <w:rPr>
          <w:rFonts w:hint="eastAsia" w:ascii="仿宋_GB2312" w:hAnsi="仿宋_GB2312" w:eastAsia="仿宋_GB2312" w:cs="仿宋_GB2312"/>
          <w:color w:val="auto"/>
          <w:sz w:val="84"/>
          <w:highlight w:val="none"/>
          <w:lang w:eastAsia="zh-CN"/>
        </w:rPr>
      </w:pPr>
    </w:p>
    <w:p>
      <w:pPr>
        <w:spacing w:line="360" w:lineRule="auto"/>
        <w:jc w:val="center"/>
        <w:rPr>
          <w:rFonts w:hint="eastAsia" w:ascii="仿宋_GB2312" w:hAnsi="仿宋_GB2312" w:eastAsia="仿宋_GB2312" w:cs="仿宋_GB2312"/>
          <w:color w:val="auto"/>
          <w:highlight w:val="none"/>
        </w:rPr>
      </w:pPr>
    </w:p>
    <w:p>
      <w:pPr>
        <w:spacing w:line="360" w:lineRule="auto"/>
        <w:ind w:firstLine="960" w:firstLineChars="3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eastAsia="zh-CN"/>
        </w:rPr>
        <w:t>供应商</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u w:val="single"/>
        </w:rPr>
        <w:t xml:space="preserve">                      （电子签名）</w:t>
      </w:r>
    </w:p>
    <w:p>
      <w:pPr>
        <w:spacing w:line="360" w:lineRule="auto"/>
        <w:ind w:left="35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年  月  日</w:t>
      </w:r>
      <w:r>
        <w:rPr>
          <w:rFonts w:hint="eastAsia" w:ascii="仿宋_GB2312" w:hAnsi="仿宋_GB2312" w:eastAsia="仿宋_GB2312" w:cs="仿宋_GB2312"/>
          <w:color w:val="auto"/>
          <w:highlight w:val="none"/>
        </w:rPr>
        <w:t xml:space="preserve"> </w:t>
      </w:r>
    </w:p>
    <w:p>
      <w:pPr>
        <w:rPr>
          <w:rFonts w:hint="eastAsia" w:ascii="仿宋_GB2312" w:hAnsi="仿宋_GB2312" w:eastAsia="仿宋_GB2312" w:cs="仿宋_GB2312"/>
          <w:b/>
          <w:color w:val="auto"/>
          <w:highlight w:val="none"/>
        </w:rPr>
      </w:pPr>
    </w:p>
    <w:p>
      <w:pP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br w:type="page"/>
      </w:r>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bookmarkStart w:id="138" w:name="_Toc4174"/>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color w:val="auto"/>
          <w:sz w:val="28"/>
          <w:szCs w:val="28"/>
          <w:highlight w:val="none"/>
          <w:lang w:val="en-US" w:eastAsia="zh-CN"/>
        </w:rPr>
      </w:pPr>
      <w:bookmarkStart w:id="139" w:name="_Toc11219"/>
      <w:bookmarkStart w:id="140" w:name="_Toc16366"/>
      <w:r>
        <w:rPr>
          <w:rFonts w:hint="eastAsia" w:ascii="仿宋_GB2312" w:hAnsi="仿宋_GB2312" w:eastAsia="仿宋_GB2312" w:cs="仿宋_GB2312"/>
          <w:color w:val="auto"/>
          <w:sz w:val="28"/>
          <w:szCs w:val="28"/>
          <w:highlight w:val="none"/>
          <w:lang w:val="en-US" w:eastAsia="zh-CN"/>
        </w:rPr>
        <w:t>资格文件</w:t>
      </w:r>
      <w:bookmarkEnd w:id="139"/>
      <w:bookmarkEnd w:id="140"/>
    </w:p>
    <w:p>
      <w:pPr>
        <w:bidi w:val="0"/>
        <w:jc w:val="center"/>
        <w:rPr>
          <w:rFonts w:hint="eastAsia" w:ascii="仿宋_GB2312" w:hAnsi="仿宋_GB2312" w:eastAsia="仿宋_GB2312" w:cs="仿宋_GB2312"/>
          <w:color w:val="auto"/>
          <w:sz w:val="32"/>
          <w:szCs w:val="32"/>
          <w:highlight w:val="none"/>
        </w:rPr>
      </w:pPr>
    </w:p>
    <w:p>
      <w:pPr>
        <w:bidi w:val="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录</w:t>
      </w:r>
    </w:p>
    <w:p>
      <w:pPr>
        <w:bidi w:val="0"/>
        <w:rPr>
          <w:rFonts w:hint="eastAsia" w:ascii="仿宋_GB2312" w:hAnsi="仿宋_GB2312" w:eastAsia="仿宋_GB2312" w:cs="仿宋_GB2312"/>
          <w:color w:val="auto"/>
          <w:highlight w:val="none"/>
        </w:rPr>
      </w:pPr>
    </w:p>
    <w:p>
      <w:pPr>
        <w:pStyle w:val="25"/>
        <w:rPr>
          <w:rFonts w:hint="eastAsia" w:ascii="仿宋_GB2312" w:hAnsi="仿宋_GB2312" w:eastAsia="仿宋_GB2312" w:cs="仿宋_GB2312"/>
          <w:color w:val="auto"/>
          <w:highlight w:val="none"/>
        </w:rPr>
      </w:pP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符合参加政府采购活动应当具备的一般条件的承诺函……………（页码）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联合协议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落实政府采购政策需满足的资格要求</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如需要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…………………（页码）</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本项目的特定资格要求</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如需要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…………………………………（页码）</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bookmarkEnd w:id="138"/>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bidi w:val="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一、符合参加政府采购活动应当具备的一般条件的承诺函</w:t>
      </w:r>
    </w:p>
    <w:p>
      <w:pPr>
        <w:snapToGrid w:val="0"/>
        <w:spacing w:line="360" w:lineRule="auto"/>
        <w:rPr>
          <w:rFonts w:hint="eastAsia" w:ascii="仿宋_GB2312" w:hAnsi="仿宋_GB2312" w:eastAsia="仿宋_GB2312" w:cs="仿宋_GB2312"/>
          <w:color w:val="auto"/>
          <w:sz w:val="24"/>
          <w:highlight w:val="none"/>
          <w:u w:val="single"/>
        </w:rPr>
      </w:pP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（采购人）、（采购代理机构）</w:t>
      </w:r>
      <w:r>
        <w:rPr>
          <w:rFonts w:hint="eastAsia" w:ascii="仿宋_GB2312" w:hAnsi="仿宋_GB2312"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（项目名称）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项目</w:t>
      </w:r>
      <w:r>
        <w:rPr>
          <w:rFonts w:hint="eastAsia" w:ascii="仿宋_GB2312" w:hAnsi="仿宋_GB2312" w:eastAsia="仿宋_GB2312" w:cs="仿宋_GB2312"/>
          <w:color w:val="auto"/>
          <w:sz w:val="24"/>
          <w:highlight w:val="none"/>
        </w:rPr>
        <w:t>编号：</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】政府采购活动，郑重承诺：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zh-CN"/>
        </w:rPr>
        <w:t xml:space="preserve">日期：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val="zh-CN"/>
        </w:rPr>
        <w:t>年  月   日</w:t>
      </w:r>
    </w:p>
    <w:p>
      <w:pPr>
        <w:pStyle w:val="23"/>
        <w:rPr>
          <w:rFonts w:hint="eastAsia" w:ascii="仿宋_GB2312" w:hAnsi="仿宋_GB2312" w:eastAsia="仿宋_GB2312" w:cs="仿宋_GB231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szCs w:val="21"/>
          <w:highlight w:val="none"/>
        </w:rPr>
        <w:t>已完成信用修复的“缴纳税收和社会保障等方面的失信记录”不包含在上述第（二）点所述情形内（属于重大违法纪录情形的除外）。</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（2）以联合体形式参与磋商响应的，各成员均须提供本承诺函。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 xml:space="preserve">（3）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 </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bidi w:val="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二、联合协议（如果有）</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[以联合体形式投标的，提供联合协议（</w:t>
      </w:r>
      <w:r>
        <w:rPr>
          <w:rFonts w:hint="eastAsia" w:ascii="仿宋_GB2312" w:hAnsi="仿宋_GB2312" w:eastAsia="仿宋_GB2312" w:cs="仿宋_GB2312"/>
          <w:color w:val="auto"/>
          <w:sz w:val="24"/>
          <w:szCs w:val="24"/>
          <w:highlight w:val="none"/>
          <w:lang w:val="en-US" w:eastAsia="zh-CN"/>
        </w:rPr>
        <w:t>第七章</w:t>
      </w: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）；本项目不接受联合体投标或者</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不以联合体形式投标的，则不需要提供）]</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bidi w:val="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三</w:t>
      </w:r>
      <w:r>
        <w:rPr>
          <w:rFonts w:hint="eastAsia" w:ascii="仿宋_GB2312" w:hAnsi="仿宋_GB2312" w:eastAsia="仿宋_GB2312" w:cs="仿宋_GB2312"/>
          <w:b/>
          <w:bCs/>
          <w:color w:val="auto"/>
          <w:sz w:val="30"/>
          <w:szCs w:val="30"/>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（根据竞争性磋商公告落实政府采购政策需满足的资格要求选择提供相应的材料；未要求的，无需提供）</w:t>
      </w:r>
      <w:r>
        <w:rPr>
          <w:rFonts w:hint="eastAsia" w:ascii="仿宋_GB2312" w:hAnsi="仿宋_GB2312" w:eastAsia="仿宋_GB2312" w:cs="仿宋_GB2312"/>
          <w:b/>
          <w:bCs/>
          <w:color w:val="auto"/>
          <w:sz w:val="24"/>
          <w:szCs w:val="24"/>
          <w:highlight w:val="none"/>
          <w:lang w:val="en-US" w:eastAsia="zh-CN"/>
        </w:rPr>
        <w:t>本项目不需要提供</w:t>
      </w:r>
    </w:p>
    <w:p>
      <w:pPr>
        <w:snapToGrid w:val="0"/>
        <w:spacing w:before="50" w:after="50" w:line="360" w:lineRule="auto"/>
        <w:ind w:firstLine="472" w:firstLineChars="196"/>
        <w:jc w:val="left"/>
        <w:rPr>
          <w:rFonts w:hint="eastAsia" w:ascii="仿宋_GB2312" w:hAnsi="仿宋_GB2312" w:eastAsia="仿宋_GB2312" w:cs="仿宋_GB2312"/>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a</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val="0"/>
          <w:bCs w:val="0"/>
          <w:color w:val="auto"/>
          <w:sz w:val="24"/>
          <w:highlight w:val="none"/>
          <w:lang w:eastAsia="zh-CN"/>
        </w:rPr>
        <w:t>专门面向中小企业，服务全部由符合政策要求的中小企业（或小微企业）承接的，提供相应的中小企业声明函</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第七章附件2</w:t>
      </w:r>
      <w:r>
        <w:rPr>
          <w:rFonts w:hint="eastAsia" w:ascii="仿宋_GB2312" w:hAnsi="仿宋_GB2312"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b</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color w:val="auto"/>
          <w:sz w:val="24"/>
          <w:highlight w:val="none"/>
        </w:rPr>
        <w:t>要求以联合体形式参加的，提供联合协议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第七章</w:t>
      </w:r>
      <w:r>
        <w:rPr>
          <w:rFonts w:hint="eastAsia" w:ascii="仿宋_GB2312" w:hAnsi="仿宋_GB2312" w:eastAsia="仿宋_GB2312" w:cs="仿宋_GB2312"/>
          <w:color w:val="auto"/>
          <w:sz w:val="24"/>
          <w:highlight w:val="none"/>
          <w:lang w:eastAsia="zh-CN"/>
        </w:rPr>
        <w:t>附件</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和中小企业声明函（</w:t>
      </w:r>
      <w:r>
        <w:rPr>
          <w:rFonts w:hint="eastAsia" w:ascii="仿宋_GB2312" w:hAnsi="仿宋_GB2312" w:eastAsia="仿宋_GB2312" w:cs="仿宋_GB2312"/>
          <w:color w:val="auto"/>
          <w:sz w:val="24"/>
          <w:highlight w:val="none"/>
          <w:lang w:val="en-US" w:eastAsia="zh-CN"/>
        </w:rPr>
        <w:t>第七章附件2</w:t>
      </w:r>
      <w:r>
        <w:rPr>
          <w:rFonts w:hint="eastAsia" w:ascii="仿宋_GB2312" w:hAnsi="仿宋_GB2312" w:eastAsia="仿宋_GB2312" w:cs="仿宋_GB2312"/>
          <w:color w:val="auto"/>
          <w:sz w:val="24"/>
          <w:highlight w:val="none"/>
        </w:rPr>
        <w:t>），联合协议中中小企业合同金额应当达到竞争性磋商邀请公告载明的比例；如果供应商本身提供所有标的均由中小企业承</w:t>
      </w:r>
      <w:r>
        <w:rPr>
          <w:rFonts w:hint="eastAsia" w:ascii="仿宋_GB2312" w:hAnsi="仿宋_GB2312" w:eastAsia="仿宋_GB2312" w:cs="仿宋_GB2312"/>
          <w:color w:val="auto"/>
          <w:sz w:val="24"/>
          <w:highlight w:val="none"/>
          <w:lang w:eastAsia="zh-CN"/>
        </w:rPr>
        <w:t>建</w:t>
      </w:r>
      <w:r>
        <w:rPr>
          <w:rFonts w:hint="eastAsia" w:ascii="仿宋_GB2312" w:hAnsi="仿宋_GB2312" w:eastAsia="仿宋_GB2312" w:cs="仿宋_GB2312"/>
          <w:color w:val="auto"/>
          <w:sz w:val="24"/>
          <w:highlight w:val="none"/>
        </w:rPr>
        <w:t>的，并相应达到了前述比例要求，视同符合了资格条件，无需再与其他中小企业组成联合体参加政府采购活动，无需提供联合协议。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rPr>
        <w:t>c</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color w:val="auto"/>
          <w:sz w:val="24"/>
          <w:highlight w:val="none"/>
        </w:rPr>
        <w:t>要求合同分包的，提供分包意向协议</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第七章</w:t>
      </w:r>
      <w:r>
        <w:rPr>
          <w:rFonts w:hint="eastAsia" w:ascii="仿宋_GB2312" w:hAnsi="仿宋_GB2312" w:eastAsia="仿宋_GB2312" w:cs="仿宋_GB2312"/>
          <w:color w:val="auto"/>
          <w:sz w:val="24"/>
          <w:highlight w:val="none"/>
          <w:lang w:eastAsia="zh-CN"/>
        </w:rPr>
        <w:t>附件</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和中小企业声明函（</w:t>
      </w:r>
      <w:r>
        <w:rPr>
          <w:rFonts w:hint="eastAsia" w:ascii="仿宋_GB2312" w:hAnsi="仿宋_GB2312" w:eastAsia="仿宋_GB2312" w:cs="仿宋_GB2312"/>
          <w:color w:val="auto"/>
          <w:sz w:val="24"/>
          <w:highlight w:val="none"/>
          <w:lang w:val="en-US" w:eastAsia="zh-CN"/>
        </w:rPr>
        <w:t>第七章</w:t>
      </w:r>
      <w:r>
        <w:rPr>
          <w:rFonts w:hint="eastAsia" w:ascii="仿宋_GB2312" w:hAnsi="仿宋_GB2312" w:eastAsia="仿宋_GB2312" w:cs="仿宋_GB2312"/>
          <w:color w:val="auto"/>
          <w:sz w:val="24"/>
          <w:highlight w:val="none"/>
        </w:rPr>
        <w:t>附件</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），分包意向协议中中小企业合同金额应当达到竞争性磋商邀请公告载明的比例；如果供应商本身提供的所有标的均由中小企业承</w:t>
      </w:r>
      <w:r>
        <w:rPr>
          <w:rFonts w:hint="eastAsia" w:ascii="仿宋_GB2312" w:hAnsi="仿宋_GB2312" w:eastAsia="仿宋_GB2312" w:cs="仿宋_GB2312"/>
          <w:color w:val="auto"/>
          <w:sz w:val="24"/>
          <w:highlight w:val="none"/>
          <w:lang w:eastAsia="zh-CN"/>
        </w:rPr>
        <w:t>建</w:t>
      </w:r>
      <w:r>
        <w:rPr>
          <w:rFonts w:hint="eastAsia" w:ascii="仿宋_GB2312" w:hAnsi="仿宋_GB2312" w:eastAsia="仿宋_GB2312" w:cs="仿宋_GB2312"/>
          <w:color w:val="auto"/>
          <w:sz w:val="24"/>
          <w:highlight w:val="none"/>
        </w:rPr>
        <w:t>的，并相应达到了前述比例要求，视同符合了资格条件，无需再向中小企业分包，无需提供分包意向协议。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color w:val="auto"/>
          <w:sz w:val="28"/>
          <w:szCs w:val="28"/>
          <w:highlight w:val="none"/>
          <w:lang w:val="en-US" w:eastAsia="zh-CN"/>
        </w:rPr>
      </w:pPr>
      <w:bookmarkStart w:id="141" w:name="_Toc1255"/>
      <w:bookmarkStart w:id="142" w:name="_Toc24172"/>
      <w:r>
        <w:rPr>
          <w:rFonts w:hint="eastAsia" w:ascii="仿宋_GB2312" w:hAnsi="仿宋_GB2312" w:eastAsia="仿宋_GB2312" w:cs="仿宋_GB2312"/>
          <w:color w:val="auto"/>
          <w:sz w:val="28"/>
          <w:szCs w:val="28"/>
          <w:highlight w:val="none"/>
          <w:lang w:val="en-US" w:eastAsia="zh-CN"/>
        </w:rPr>
        <w:t>商务技术文件</w:t>
      </w:r>
      <w:bookmarkEnd w:id="141"/>
      <w:bookmarkEnd w:id="142"/>
    </w:p>
    <w:p>
      <w:pPr>
        <w:rPr>
          <w:rFonts w:hint="eastAsia" w:ascii="仿宋_GB2312" w:hAnsi="仿宋_GB2312" w:eastAsia="仿宋_GB2312" w:cs="仿宋_GB2312"/>
          <w:color w:val="auto"/>
          <w:highlight w:val="none"/>
          <w:lang w:val="en-US" w:eastAsia="zh-CN"/>
        </w:rPr>
      </w:pPr>
    </w:p>
    <w:p>
      <w:pPr>
        <w:bidi w:val="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目  录</w:t>
      </w: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评分索引表………………………………………………………………（页码）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响应函……………………………………………………………………（页码）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授权委托书或法定代表人（单位负责人、自然人本人）身份证明…（页码）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分包意向协议（</w:t>
      </w:r>
      <w:r>
        <w:rPr>
          <w:rFonts w:hint="eastAsia" w:ascii="仿宋_GB2312" w:hAnsi="仿宋_GB2312" w:eastAsia="仿宋_GB2312" w:cs="仿宋_GB2312"/>
          <w:color w:val="auto"/>
          <w:sz w:val="24"/>
          <w:highlight w:val="none"/>
          <w:lang w:val="en-US" w:eastAsia="zh-CN"/>
        </w:rPr>
        <w:t>本项目不适用</w:t>
      </w:r>
      <w:r>
        <w:rPr>
          <w:rFonts w:hint="eastAsia" w:ascii="仿宋_GB2312" w:hAnsi="仿宋_GB2312" w:eastAsia="仿宋_GB2312" w:cs="仿宋_GB2312"/>
          <w:color w:val="auto"/>
          <w:sz w:val="24"/>
          <w:highlight w:val="none"/>
        </w:rPr>
        <w:t>）………………………………………（页码）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符合性审查资料…………………………………………………………（页码）</w:t>
      </w:r>
    </w:p>
    <w:p>
      <w:pPr>
        <w:spacing w:line="360" w:lineRule="auto"/>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sz w:val="24"/>
          <w:szCs w:val="24"/>
          <w:highlight w:val="none"/>
        </w:rPr>
        <w:t>标的清单</w:t>
      </w:r>
      <w:r>
        <w:rPr>
          <w:rFonts w:hint="eastAsia" w:ascii="仿宋_GB2312" w:hAnsi="仿宋_GB2312" w:eastAsia="仿宋_GB2312" w:cs="仿宋_GB2312"/>
          <w:color w:val="auto"/>
          <w:sz w:val="24"/>
          <w:highlight w:val="none"/>
        </w:rPr>
        <w:t>…………………………………………………………………（页码）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评标标准相应的商务技术资料…………………………………………（页码）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商务技术偏离表…………………………………………………………（页码）</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sz w:val="24"/>
          <w:highlight w:val="none"/>
        </w:rPr>
        <w:t>………………………………………（页码）</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rPr>
        <w:t>评分索引表</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4763"/>
        <w:gridCol w:w="1260"/>
        <w:gridCol w:w="1226"/>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序号</w:t>
            </w:r>
          </w:p>
        </w:tc>
        <w:tc>
          <w:tcPr>
            <w:tcW w:w="4763" w:type="dxa"/>
            <w:vAlign w:val="center"/>
          </w:tcPr>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评分细则内容</w:t>
            </w: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磋商响应</w:t>
            </w:r>
          </w:p>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情况</w:t>
            </w: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证明材料所在页码</w:t>
            </w: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 w:val="24"/>
                <w:highlight w:val="none"/>
              </w:rPr>
            </w:pPr>
            <w:r>
              <w:rPr>
                <w:rFonts w:hint="eastAsia" w:ascii="仿宋_GB2312" w:hAnsi="仿宋_GB2312" w:eastAsia="仿宋_GB2312" w:cs="仿宋_GB2312"/>
                <w:b/>
                <w:snapToGrid w:val="0"/>
                <w:color w:val="auto"/>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snapToGrid w:val="0"/>
                <w:color w:val="auto"/>
                <w:kern w:val="0"/>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eastAsia" w:ascii="仿宋_GB2312" w:hAnsi="仿宋_GB2312" w:eastAsia="仿宋_GB2312" w:cs="仿宋_GB2312"/>
                <w:snapToGrid w:val="0"/>
                <w:color w:val="auto"/>
                <w:kern w:val="0"/>
                <w:szCs w:val="21"/>
                <w:highlight w:val="none"/>
              </w:rPr>
            </w:pPr>
          </w:p>
        </w:tc>
        <w:tc>
          <w:tcPr>
            <w:tcW w:w="4763" w:type="dxa"/>
            <w:vAlign w:val="center"/>
          </w:tcPr>
          <w:p>
            <w:pPr>
              <w:adjustRightInd w:val="0"/>
              <w:snapToGrid w:val="0"/>
              <w:rPr>
                <w:rFonts w:hint="eastAsia" w:ascii="仿宋_GB2312" w:hAnsi="仿宋_GB2312" w:eastAsia="仿宋_GB2312" w:cs="仿宋_GB2312"/>
                <w:color w:val="auto"/>
                <w:szCs w:val="21"/>
                <w:highlight w:val="none"/>
              </w:rPr>
            </w:pPr>
          </w:p>
        </w:tc>
        <w:tc>
          <w:tcPr>
            <w:tcW w:w="1260"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226"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c>
          <w:tcPr>
            <w:tcW w:w="1044" w:type="dxa"/>
            <w:vAlign w:val="center"/>
          </w:tcPr>
          <w:p>
            <w:pPr>
              <w:adjustRightInd w:val="0"/>
              <w:snapToGrid w:val="0"/>
              <w:jc w:val="center"/>
              <w:rPr>
                <w:rFonts w:hint="eastAsia" w:ascii="仿宋_GB2312" w:hAnsi="仿宋_GB2312" w:eastAsia="仿宋_GB2312" w:cs="仿宋_GB2312"/>
                <w:b/>
                <w:snapToGrid w:val="0"/>
                <w:color w:val="auto"/>
                <w:kern w:val="0"/>
                <w:szCs w:val="21"/>
                <w:highlight w:val="none"/>
              </w:rPr>
            </w:pPr>
          </w:p>
        </w:tc>
      </w:tr>
    </w:tbl>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rPr>
        <w:t>响应函</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浙江文学院（浙江文学馆）：</w:t>
      </w:r>
    </w:p>
    <w:p>
      <w:pPr>
        <w:spacing w:line="360" w:lineRule="auto"/>
        <w:rPr>
          <w:rFonts w:hint="eastAsia" w:ascii="仿宋_GB2312" w:hAnsi="仿宋_GB2312" w:eastAsia="仿宋_GB2312" w:cs="仿宋_GB2312"/>
          <w:color w:val="auto"/>
          <w:highlight w:val="none"/>
        </w:rPr>
      </w:pP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（项目名称）【项目编号：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】竞争性磋商的有关活动，并对此项目进行响应。为此：</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1、我方承诺响应有效期从提交响应文件的截止之日起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天（不少于90天），本响应文件在响应有效期满之前均具有约束力。</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2、我方的响应文件包括以下内容：</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(1)资格证明文件；</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(2)</w:t>
      </w:r>
      <w:r>
        <w:rPr>
          <w:rFonts w:hint="eastAsia" w:ascii="仿宋_GB2312" w:hAnsi="仿宋_GB2312" w:eastAsia="仿宋_GB2312" w:cs="仿宋_GB2312"/>
          <w:bCs/>
          <w:color w:val="auto"/>
          <w:kern w:val="0"/>
          <w:sz w:val="24"/>
          <w:highlight w:val="none"/>
          <w:lang w:val="zh-CN"/>
        </w:rPr>
        <w:t>技术</w:t>
      </w:r>
      <w:r>
        <w:rPr>
          <w:rFonts w:hint="eastAsia" w:ascii="仿宋_GB2312" w:hAnsi="仿宋_GB2312" w:eastAsia="仿宋_GB2312" w:cs="仿宋_GB2312"/>
          <w:bCs/>
          <w:color w:val="auto"/>
          <w:kern w:val="0"/>
          <w:sz w:val="24"/>
          <w:highlight w:val="none"/>
        </w:rPr>
        <w:t>商务</w:t>
      </w:r>
      <w:r>
        <w:rPr>
          <w:rFonts w:hint="eastAsia" w:ascii="仿宋_GB2312" w:hAnsi="仿宋_GB2312" w:eastAsia="仿宋_GB2312" w:cs="仿宋_GB2312"/>
          <w:bCs/>
          <w:color w:val="auto"/>
          <w:kern w:val="0"/>
          <w:sz w:val="24"/>
          <w:highlight w:val="none"/>
          <w:lang w:val="zh-CN"/>
        </w:rPr>
        <w:t>文件</w:t>
      </w:r>
      <w:r>
        <w:rPr>
          <w:rFonts w:hint="eastAsia" w:ascii="仿宋_GB2312" w:hAnsi="仿宋_GB2312" w:eastAsia="仿宋_GB2312" w:cs="仿宋_GB2312"/>
          <w:bCs/>
          <w:color w:val="auto"/>
          <w:kern w:val="0"/>
          <w:sz w:val="24"/>
          <w:highlight w:val="none"/>
        </w:rPr>
        <w:t>；</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(3)报价文件。</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我方承诺除商务技术偏离表列出的偏离外，我方响应</w:t>
      </w:r>
      <w:r>
        <w:rPr>
          <w:rFonts w:hint="eastAsia" w:ascii="仿宋_GB2312" w:hAnsi="仿宋_GB2312" w:eastAsia="仿宋_GB2312" w:cs="仿宋_GB2312"/>
          <w:bCs/>
          <w:color w:val="auto"/>
          <w:kern w:val="0"/>
          <w:sz w:val="24"/>
          <w:highlight w:val="none"/>
          <w:lang w:eastAsia="zh-CN"/>
        </w:rPr>
        <w:t>磋商</w:t>
      </w:r>
      <w:r>
        <w:rPr>
          <w:rFonts w:hint="eastAsia" w:ascii="仿宋_GB2312" w:hAnsi="仿宋_GB2312" w:eastAsia="仿宋_GB2312" w:cs="仿宋_GB2312"/>
          <w:bCs/>
          <w:color w:val="auto"/>
          <w:kern w:val="0"/>
          <w:sz w:val="24"/>
          <w:highlight w:val="none"/>
        </w:rPr>
        <w:t>文件的全部要求。</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lang w:val="en-US" w:eastAsia="zh-CN"/>
        </w:rPr>
        <w:t>3、</w:t>
      </w:r>
      <w:r>
        <w:rPr>
          <w:rFonts w:hint="eastAsia" w:ascii="仿宋_GB2312" w:hAnsi="仿宋_GB2312" w:eastAsia="仿宋_GB2312" w:cs="仿宋_GB2312"/>
          <w:bCs/>
          <w:color w:val="auto"/>
          <w:kern w:val="0"/>
          <w:sz w:val="24"/>
          <w:highlight w:val="none"/>
        </w:rPr>
        <w:t>如我方</w:t>
      </w:r>
      <w:r>
        <w:rPr>
          <w:rFonts w:hint="eastAsia" w:ascii="仿宋_GB2312" w:hAnsi="仿宋_GB2312" w:eastAsia="仿宋_GB2312" w:cs="仿宋_GB2312"/>
          <w:bCs/>
          <w:color w:val="auto"/>
          <w:kern w:val="0"/>
          <w:sz w:val="24"/>
          <w:highlight w:val="none"/>
          <w:lang w:eastAsia="zh-CN"/>
        </w:rPr>
        <w:t>成交</w:t>
      </w:r>
      <w:r>
        <w:rPr>
          <w:rFonts w:hint="eastAsia" w:ascii="仿宋_GB2312" w:hAnsi="仿宋_GB2312" w:eastAsia="仿宋_GB2312" w:cs="仿宋_GB2312"/>
          <w:bCs/>
          <w:color w:val="auto"/>
          <w:kern w:val="0"/>
          <w:sz w:val="24"/>
          <w:highlight w:val="none"/>
        </w:rPr>
        <w:t>，我方承诺：</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en-US" w:eastAsia="zh-CN"/>
        </w:rPr>
        <w:t>3.1</w:t>
      </w:r>
      <w:r>
        <w:rPr>
          <w:rFonts w:hint="eastAsia" w:ascii="仿宋_GB2312" w:hAnsi="仿宋_GB2312" w:eastAsia="仿宋_GB2312" w:cs="仿宋_GB2312"/>
          <w:bCs/>
          <w:color w:val="auto"/>
          <w:kern w:val="0"/>
          <w:sz w:val="24"/>
          <w:highlight w:val="none"/>
          <w:lang w:val="zh-CN"/>
        </w:rPr>
        <w:t>在收到</w:t>
      </w:r>
      <w:r>
        <w:rPr>
          <w:rFonts w:hint="eastAsia" w:ascii="仿宋_GB2312" w:hAnsi="仿宋_GB2312" w:eastAsia="仿宋_GB2312" w:cs="仿宋_GB2312"/>
          <w:bCs/>
          <w:color w:val="auto"/>
          <w:kern w:val="0"/>
          <w:sz w:val="24"/>
          <w:highlight w:val="none"/>
          <w:lang w:val="zh-CN" w:eastAsia="zh-CN"/>
        </w:rPr>
        <w:t>成交</w:t>
      </w:r>
      <w:r>
        <w:rPr>
          <w:rFonts w:hint="eastAsia" w:ascii="仿宋_GB2312" w:hAnsi="仿宋_GB2312" w:eastAsia="仿宋_GB2312" w:cs="仿宋_GB2312"/>
          <w:bCs/>
          <w:color w:val="auto"/>
          <w:kern w:val="0"/>
          <w:sz w:val="24"/>
          <w:highlight w:val="none"/>
          <w:lang w:val="zh-CN"/>
        </w:rPr>
        <w:t>通知书后，在</w:t>
      </w:r>
      <w:r>
        <w:rPr>
          <w:rFonts w:hint="eastAsia" w:ascii="仿宋_GB2312" w:hAnsi="仿宋_GB2312" w:eastAsia="仿宋_GB2312" w:cs="仿宋_GB2312"/>
          <w:bCs/>
          <w:color w:val="auto"/>
          <w:kern w:val="0"/>
          <w:sz w:val="24"/>
          <w:highlight w:val="none"/>
          <w:lang w:val="zh-CN" w:eastAsia="zh-CN"/>
        </w:rPr>
        <w:t>成交</w:t>
      </w:r>
      <w:r>
        <w:rPr>
          <w:rFonts w:hint="eastAsia" w:ascii="仿宋_GB2312" w:hAnsi="仿宋_GB2312" w:eastAsia="仿宋_GB2312" w:cs="仿宋_GB2312"/>
          <w:bCs/>
          <w:color w:val="auto"/>
          <w:kern w:val="0"/>
          <w:sz w:val="24"/>
          <w:highlight w:val="none"/>
          <w:lang w:val="zh-CN"/>
        </w:rPr>
        <w:t xml:space="preserve">通知书规定的期限内与你方签订合同； </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en-US" w:eastAsia="zh-CN"/>
        </w:rPr>
        <w:t>3.2</w:t>
      </w:r>
      <w:r>
        <w:rPr>
          <w:rFonts w:hint="eastAsia" w:ascii="仿宋_GB2312" w:hAnsi="仿宋_GB2312" w:eastAsia="仿宋_GB2312" w:cs="仿宋_GB2312"/>
          <w:bCs/>
          <w:color w:val="auto"/>
          <w:kern w:val="0"/>
          <w:sz w:val="24"/>
          <w:highlight w:val="none"/>
          <w:lang w:val="zh-CN"/>
        </w:rPr>
        <w:t xml:space="preserve">在签订合同时不向你方提出附加条件； </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en-US" w:eastAsia="zh-CN"/>
        </w:rPr>
        <w:t>3.3</w:t>
      </w:r>
      <w:r>
        <w:rPr>
          <w:rFonts w:hint="eastAsia" w:ascii="仿宋_GB2312" w:hAnsi="仿宋_GB2312" w:eastAsia="仿宋_GB2312" w:cs="仿宋_GB2312"/>
          <w:bCs/>
          <w:color w:val="auto"/>
          <w:kern w:val="0"/>
          <w:sz w:val="24"/>
          <w:highlight w:val="none"/>
          <w:lang w:val="zh-CN"/>
        </w:rPr>
        <w:t>按照</w:t>
      </w:r>
      <w:r>
        <w:rPr>
          <w:rFonts w:hint="eastAsia" w:ascii="仿宋_GB2312" w:hAnsi="仿宋_GB2312" w:eastAsia="仿宋_GB2312" w:cs="仿宋_GB2312"/>
          <w:bCs/>
          <w:color w:val="auto"/>
          <w:kern w:val="0"/>
          <w:sz w:val="24"/>
          <w:highlight w:val="none"/>
          <w:lang w:val="zh-CN" w:eastAsia="zh-CN"/>
        </w:rPr>
        <w:t>磋商</w:t>
      </w:r>
      <w:r>
        <w:rPr>
          <w:rFonts w:hint="eastAsia" w:ascii="仿宋_GB2312" w:hAnsi="仿宋_GB2312" w:eastAsia="仿宋_GB2312" w:cs="仿宋_GB2312"/>
          <w:bCs/>
          <w:color w:val="auto"/>
          <w:kern w:val="0"/>
          <w:sz w:val="24"/>
          <w:highlight w:val="none"/>
          <w:lang w:val="zh-CN"/>
        </w:rPr>
        <w:t>文件要求提交履约保证金（</w:t>
      </w:r>
      <w:r>
        <w:rPr>
          <w:rFonts w:hint="eastAsia" w:ascii="仿宋_GB2312" w:hAnsi="仿宋_GB2312" w:eastAsia="仿宋_GB2312" w:cs="仿宋_GB2312"/>
          <w:bCs/>
          <w:color w:val="auto"/>
          <w:kern w:val="0"/>
          <w:sz w:val="24"/>
          <w:highlight w:val="none"/>
          <w:lang w:val="en-US" w:eastAsia="zh-CN"/>
        </w:rPr>
        <w:t>如需要</w:t>
      </w:r>
      <w:r>
        <w:rPr>
          <w:rFonts w:hint="eastAsia" w:ascii="仿宋_GB2312" w:hAnsi="仿宋_GB2312" w:eastAsia="仿宋_GB2312" w:cs="仿宋_GB2312"/>
          <w:bCs/>
          <w:color w:val="auto"/>
          <w:kern w:val="0"/>
          <w:sz w:val="24"/>
          <w:highlight w:val="none"/>
          <w:lang w:val="zh-CN"/>
        </w:rPr>
        <w:t xml:space="preserve">）； </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en-US" w:eastAsia="zh-CN"/>
        </w:rPr>
        <w:t>3.4</w:t>
      </w:r>
      <w:r>
        <w:rPr>
          <w:rFonts w:hint="eastAsia" w:ascii="仿宋_GB2312" w:hAnsi="仿宋_GB2312" w:eastAsia="仿宋_GB2312" w:cs="仿宋_GB2312"/>
          <w:bCs/>
          <w:color w:val="auto"/>
          <w:kern w:val="0"/>
          <w:sz w:val="24"/>
          <w:highlight w:val="none"/>
          <w:lang w:val="zh-CN"/>
        </w:rPr>
        <w:t xml:space="preserve">在合同约定的期限内完成合同规定的全部义务。 </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lang w:val="en-US" w:eastAsia="zh-CN"/>
        </w:rPr>
        <w:t>4、</w:t>
      </w:r>
      <w:r>
        <w:rPr>
          <w:rFonts w:hint="eastAsia" w:ascii="仿宋_GB2312" w:hAnsi="仿宋_GB2312" w:eastAsia="仿宋_GB2312" w:cs="仿宋_GB2312"/>
          <w:bCs/>
          <w:color w:val="auto"/>
          <w:kern w:val="0"/>
          <w:sz w:val="24"/>
          <w:highlight w:val="none"/>
        </w:rPr>
        <w:t>其他补充说明</w:t>
      </w:r>
      <w:r>
        <w:rPr>
          <w:rFonts w:hint="eastAsia" w:ascii="仿宋_GB2312" w:hAnsi="仿宋_GB2312" w:eastAsia="仿宋_GB2312" w:cs="仿宋_GB2312"/>
          <w:bCs/>
          <w:color w:val="auto"/>
          <w:kern w:val="0"/>
          <w:sz w:val="24"/>
          <w:highlight w:val="none"/>
          <w:lang w:eastAsia="zh-CN"/>
        </w:rPr>
        <w:t>：</w:t>
      </w:r>
      <w:r>
        <w:rPr>
          <w:rFonts w:hint="eastAsia" w:ascii="仿宋_GB2312" w:hAnsi="仿宋_GB2312" w:eastAsia="仿宋_GB2312" w:cs="仿宋_GB2312"/>
          <w:bCs/>
          <w:color w:val="auto"/>
          <w:kern w:val="0"/>
          <w:sz w:val="24"/>
          <w:highlight w:val="none"/>
          <w:u w:val="single"/>
        </w:rPr>
        <w:t xml:space="preserve">                                        </w:t>
      </w:r>
      <w:r>
        <w:rPr>
          <w:rFonts w:hint="eastAsia" w:ascii="仿宋_GB2312" w:hAnsi="仿宋_GB2312" w:eastAsia="仿宋_GB2312" w:cs="仿宋_GB2312"/>
          <w:bCs/>
          <w:color w:val="auto"/>
          <w:kern w:val="0"/>
          <w:sz w:val="24"/>
          <w:highlight w:val="none"/>
        </w:rPr>
        <w:t>。</w:t>
      </w:r>
    </w:p>
    <w:p>
      <w:pPr>
        <w:autoSpaceDE w:val="0"/>
        <w:autoSpaceDN w:val="0"/>
        <w:spacing w:line="360" w:lineRule="auto"/>
        <w:ind w:firstLine="480" w:firstLineChars="200"/>
        <w:rPr>
          <w:rFonts w:hint="eastAsia" w:ascii="仿宋_GB2312" w:hAnsi="仿宋_GB2312" w:eastAsia="仿宋_GB2312" w:cs="仿宋_GB2312"/>
          <w:bCs/>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840" w:firstLineChars="1600"/>
        <w:textAlignment w:val="auto"/>
        <w:rPr>
          <w:rFonts w:hint="eastAsia"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kern w:val="0"/>
          <w:sz w:val="24"/>
          <w:highlight w:val="none"/>
          <w:lang w:val="zh-CN"/>
        </w:rPr>
        <w:t xml:space="preserve">供应商（电子签名）：  </w:t>
      </w:r>
    </w:p>
    <w:p>
      <w:pPr>
        <w:keepNext w:val="0"/>
        <w:keepLines w:val="0"/>
        <w:pageBreakBefore w:val="0"/>
        <w:widowControl w:val="0"/>
        <w:kinsoku/>
        <w:wordWrap/>
        <w:overflowPunct/>
        <w:topLinePunct w:val="0"/>
        <w:bidi w:val="0"/>
        <w:snapToGrid/>
        <w:spacing w:line="360" w:lineRule="auto"/>
        <w:ind w:firstLine="3840" w:firstLineChars="16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：年月日</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rPr>
        <w:t>三</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zh-CN"/>
        </w:rPr>
        <w:t>授权委托书或法定代表人</w:t>
      </w:r>
      <w:r>
        <w:rPr>
          <w:rFonts w:hint="eastAsia" w:ascii="仿宋_GB2312" w:hAnsi="仿宋_GB2312" w:eastAsia="仿宋_GB2312" w:cs="仿宋_GB2312"/>
          <w:b/>
          <w:color w:val="auto"/>
          <w:sz w:val="28"/>
          <w:szCs w:val="28"/>
          <w:highlight w:val="none"/>
          <w:lang w:val="en-US" w:eastAsia="zh-CN"/>
        </w:rPr>
        <w:t>(</w:t>
      </w:r>
      <w:r>
        <w:rPr>
          <w:rFonts w:hint="eastAsia" w:ascii="仿宋_GB2312" w:hAnsi="仿宋_GB2312" w:eastAsia="仿宋_GB2312" w:cs="仿宋_GB2312"/>
          <w:b/>
          <w:color w:val="auto"/>
          <w:sz w:val="28"/>
          <w:szCs w:val="28"/>
          <w:highlight w:val="none"/>
          <w:lang w:val="zh-CN"/>
        </w:rPr>
        <w:t>单位负责人、自然人本人</w:t>
      </w:r>
      <w:r>
        <w:rPr>
          <w:rFonts w:hint="eastAsia" w:ascii="仿宋_GB2312" w:hAnsi="仿宋_GB2312" w:eastAsia="仿宋_GB2312" w:cs="仿宋_GB2312"/>
          <w:b/>
          <w:color w:val="auto"/>
          <w:sz w:val="28"/>
          <w:szCs w:val="28"/>
          <w:highlight w:val="none"/>
          <w:lang w:val="en-US" w:eastAsia="zh-CN"/>
        </w:rPr>
        <w:t>)</w:t>
      </w:r>
      <w:r>
        <w:rPr>
          <w:rFonts w:hint="eastAsia" w:ascii="仿宋_GB2312" w:hAnsi="仿宋_GB2312" w:eastAsia="仿宋_GB2312" w:cs="仿宋_GB2312"/>
          <w:b/>
          <w:color w:val="auto"/>
          <w:sz w:val="28"/>
          <w:szCs w:val="28"/>
          <w:highlight w:val="none"/>
          <w:lang w:val="zh-CN"/>
        </w:rPr>
        <w:t>身份证明</w:t>
      </w: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zh-CN"/>
        </w:rPr>
        <w:t>授权委托书（适用于非联合体响应）</w:t>
      </w:r>
    </w:p>
    <w:p>
      <w:pPr>
        <w:snapToGrid w:val="0"/>
        <w:spacing w:line="360" w:lineRule="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sz w:val="24"/>
          <w:highlight w:val="none"/>
          <w:u w:val="single"/>
        </w:rPr>
        <w:t>（采购人）、（采购代理机构</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kern w:val="0"/>
          <w:sz w:val="24"/>
          <w:highlight w:val="none"/>
          <w:u w:val="singl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（项目名称）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项目</w:t>
      </w:r>
      <w:r>
        <w:rPr>
          <w:rFonts w:hint="eastAsia" w:ascii="仿宋_GB2312" w:hAnsi="仿宋_GB2312" w:eastAsia="仿宋_GB2312" w:cs="仿宋_GB2312"/>
          <w:color w:val="auto"/>
          <w:sz w:val="24"/>
          <w:highlight w:val="none"/>
        </w:rPr>
        <w:t>编号：</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政府采购响应的一切事项，其法律后果由我方承担。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特此告知。</w:t>
      </w:r>
    </w:p>
    <w:p>
      <w:pPr>
        <w:pStyle w:val="23"/>
        <w:spacing w:line="360" w:lineRule="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供应商名称(电子签名)：</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eastAsia="zh-CN"/>
        </w:rPr>
        <w:t>签发</w:t>
      </w:r>
      <w:r>
        <w:rPr>
          <w:rFonts w:hint="eastAsia" w:ascii="仿宋_GB2312" w:hAnsi="仿宋_GB2312" w:eastAsia="仿宋_GB2312" w:cs="仿宋_GB2312"/>
          <w:color w:val="auto"/>
          <w:sz w:val="24"/>
          <w:szCs w:val="24"/>
          <w:highlight w:val="none"/>
          <w:lang w:val="zh-CN"/>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zh-CN"/>
        </w:rPr>
        <w:t>年  月   日</w:t>
      </w:r>
    </w:p>
    <w:p>
      <w:pPr>
        <w:snapToGrid w:val="0"/>
        <w:spacing w:line="360" w:lineRule="auto"/>
        <w:rPr>
          <w:rFonts w:hint="eastAsia" w:ascii="仿宋_GB2312" w:hAnsi="仿宋_GB2312" w:eastAsia="仿宋_GB2312" w:cs="仿宋_GB2312"/>
          <w:color w:val="auto"/>
          <w:kern w:val="0"/>
          <w:sz w:val="24"/>
          <w:highlight w:val="none"/>
          <w:lang w:val="zh-CN"/>
        </w:rPr>
      </w:pPr>
    </w:p>
    <w:p>
      <w:pPr>
        <w:snapToGrid w:val="0"/>
        <w:spacing w:line="360" w:lineRule="auto"/>
        <w:rPr>
          <w:rFonts w:hint="eastAsia" w:ascii="仿宋_GB2312" w:hAnsi="仿宋_GB2312" w:eastAsia="仿宋_GB2312" w:cs="仿宋_GB2312"/>
          <w:color w:val="auto"/>
          <w:kern w:val="0"/>
          <w:sz w:val="24"/>
          <w:highlight w:val="none"/>
          <w:lang w:val="zh-CN"/>
        </w:rPr>
      </w:pPr>
    </w:p>
    <w:p>
      <w:pPr>
        <w:bidi w:val="0"/>
        <w:jc w:val="center"/>
        <w:rPr>
          <w:rFonts w:hint="eastAsia" w:ascii="仿宋_GB2312" w:hAnsi="仿宋_GB2312" w:eastAsia="仿宋_GB2312" w:cs="仿宋_GB2312"/>
          <w:b/>
          <w:bCs/>
          <w:color w:val="auto"/>
          <w:sz w:val="30"/>
          <w:szCs w:val="30"/>
          <w:highlight w:val="none"/>
          <w:lang w:val="zh-CN"/>
        </w:rPr>
      </w:pPr>
      <w:r>
        <w:rPr>
          <w:rFonts w:hint="eastAsia" w:ascii="仿宋_GB2312" w:hAnsi="仿宋_GB2312" w:eastAsia="仿宋_GB2312" w:cs="仿宋_GB2312"/>
          <w:b/>
          <w:bCs/>
          <w:color w:val="auto"/>
          <w:sz w:val="30"/>
          <w:szCs w:val="30"/>
          <w:highlight w:val="none"/>
          <w:lang w:val="zh-CN"/>
        </w:rPr>
        <w:t>授权委托书（适用于联合体响应）</w:t>
      </w:r>
    </w:p>
    <w:p>
      <w:pPr>
        <w:snapToGrid w:val="0"/>
        <w:spacing w:line="360" w:lineRule="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sz w:val="24"/>
          <w:highlight w:val="none"/>
          <w:u w:val="single"/>
        </w:rPr>
        <w:t>（采购人）、（采购代理机构）</w:t>
      </w:r>
      <w:r>
        <w:rPr>
          <w:rFonts w:hint="eastAsia" w:ascii="仿宋_GB2312" w:hAnsi="仿宋_GB2312" w:eastAsia="仿宋_GB2312" w:cs="仿宋_GB2312"/>
          <w:color w:val="auto"/>
          <w:kern w:val="0"/>
          <w:sz w:val="24"/>
          <w:highlight w:val="none"/>
          <w:u w:val="singl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（项目名称）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项目</w:t>
      </w:r>
      <w:r>
        <w:rPr>
          <w:rFonts w:hint="eastAsia" w:ascii="仿宋_GB2312" w:hAnsi="仿宋_GB2312" w:eastAsia="仿宋_GB2312" w:cs="仿宋_GB2312"/>
          <w:color w:val="auto"/>
          <w:sz w:val="24"/>
          <w:highlight w:val="none"/>
        </w:rPr>
        <w:t>编号：</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政府采购响应的一切事项，其法律后果由我方承担。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pPr>
        <w:spacing w:line="360" w:lineRule="auto"/>
        <w:jc w:val="center"/>
        <w:rPr>
          <w:rFonts w:hint="eastAsia" w:ascii="仿宋_GB2312" w:hAnsi="仿宋_GB2312" w:eastAsia="仿宋_GB2312" w:cs="仿宋_GB2312"/>
          <w:b/>
          <w:color w:val="auto"/>
          <w:kern w:val="0"/>
          <w:sz w:val="32"/>
          <w:szCs w:val="32"/>
          <w:highlight w:val="none"/>
        </w:rPr>
      </w:pPr>
    </w:p>
    <w:p>
      <w:pPr>
        <w:spacing w:line="360" w:lineRule="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zh-CN"/>
        </w:rPr>
        <w:t>年  月   日</w:t>
      </w: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rPr>
          <w:rFonts w:hint="eastAsia" w:ascii="仿宋_GB2312" w:hAnsi="仿宋_GB2312" w:eastAsia="仿宋_GB2312" w:cs="仿宋_GB2312"/>
          <w:color w:val="auto"/>
          <w:highlight w:val="none"/>
          <w:lang w:val="en-US" w:eastAsia="zh-CN"/>
        </w:rPr>
      </w:pP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zh-CN"/>
        </w:rPr>
        <w:t>法定代表人、单位负责人或自然人本人的身份证明（适用于法定代表人、单位负责人或者自然人本人代表</w:t>
      </w:r>
      <w:r>
        <w:rPr>
          <w:rFonts w:hint="eastAsia" w:ascii="仿宋_GB2312" w:hAnsi="仿宋_GB2312" w:eastAsia="仿宋_GB2312" w:cs="仿宋_GB2312"/>
          <w:b/>
          <w:color w:val="auto"/>
          <w:sz w:val="28"/>
          <w:szCs w:val="28"/>
          <w:highlight w:val="none"/>
          <w:lang w:val="zh-CN" w:eastAsia="zh-CN"/>
        </w:rPr>
        <w:t>供应商</w:t>
      </w:r>
      <w:r>
        <w:rPr>
          <w:rFonts w:hint="eastAsia" w:ascii="仿宋_GB2312" w:hAnsi="仿宋_GB2312" w:eastAsia="仿宋_GB2312" w:cs="仿宋_GB2312"/>
          <w:b/>
          <w:color w:val="auto"/>
          <w:sz w:val="28"/>
          <w:szCs w:val="28"/>
          <w:highlight w:val="none"/>
          <w:lang w:val="zh-CN"/>
        </w:rPr>
        <w:t>参加</w:t>
      </w:r>
      <w:r>
        <w:rPr>
          <w:rFonts w:hint="eastAsia" w:ascii="仿宋_GB2312" w:hAnsi="仿宋_GB2312" w:eastAsia="仿宋_GB2312" w:cs="仿宋_GB2312"/>
          <w:b/>
          <w:color w:val="auto"/>
          <w:sz w:val="28"/>
          <w:szCs w:val="28"/>
          <w:highlight w:val="none"/>
          <w:lang w:val="zh-CN" w:eastAsia="zh-CN"/>
        </w:rPr>
        <w:t>响应</w:t>
      </w:r>
      <w:r>
        <w:rPr>
          <w:rFonts w:hint="eastAsia" w:ascii="仿宋_GB2312" w:hAnsi="仿宋_GB2312" w:eastAsia="仿宋_GB2312" w:cs="仿宋_GB2312"/>
          <w:b/>
          <w:color w:val="auto"/>
          <w:sz w:val="28"/>
          <w:szCs w:val="28"/>
          <w:highlight w:val="none"/>
          <w:lang w:val="zh-CN"/>
        </w:rPr>
        <w:t>）</w:t>
      </w:r>
    </w:p>
    <w:p>
      <w:pPr>
        <w:pStyle w:val="434"/>
        <w:spacing w:line="360" w:lineRule="auto"/>
        <w:rPr>
          <w:rFonts w:hint="eastAsia" w:ascii="仿宋_GB2312" w:hAnsi="仿宋_GB2312" w:eastAsia="仿宋_GB2312" w:cs="仿宋_GB2312"/>
          <w:bCs/>
          <w:color w:val="auto"/>
          <w:sz w:val="24"/>
          <w:highlight w:val="none"/>
        </w:rPr>
      </w:pPr>
    </w:p>
    <w:p>
      <w:pPr>
        <w:pStyle w:val="434"/>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9207" w:type="dxa"/>
          </w:tcPr>
          <w:p>
            <w:pPr>
              <w:pStyle w:val="434"/>
              <w:adjustRightIn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434"/>
              <w:adjustRightInd w:val="0"/>
              <w:spacing w:line="360" w:lineRule="auto"/>
              <w:rPr>
                <w:rFonts w:hint="eastAsia" w:ascii="仿宋_GB2312" w:hAnsi="仿宋_GB2312" w:eastAsia="仿宋_GB2312" w:cs="仿宋_GB2312"/>
                <w:bCs/>
                <w:color w:val="auto"/>
                <w:sz w:val="24"/>
                <w:highlight w:val="none"/>
              </w:rPr>
            </w:pPr>
          </w:p>
        </w:tc>
      </w:tr>
    </w:tbl>
    <w:p>
      <w:pPr>
        <w:pStyle w:val="23"/>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800" w:firstLineChars="20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供应商名称(电子签名)：</w:t>
      </w:r>
    </w:p>
    <w:p>
      <w:pPr>
        <w:keepNext w:val="0"/>
        <w:keepLines w:val="0"/>
        <w:pageBreakBefore w:val="0"/>
        <w:widowControl w:val="0"/>
        <w:kinsoku/>
        <w:wordWrap/>
        <w:overflowPunct/>
        <w:topLinePunct w:val="0"/>
        <w:autoSpaceDE/>
        <w:autoSpaceDN/>
        <w:bidi w:val="0"/>
        <w:adjustRightInd/>
        <w:snapToGrid/>
        <w:spacing w:line="300" w:lineRule="auto"/>
        <w:ind w:firstLine="4800" w:firstLineChars="20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zh-CN"/>
        </w:rPr>
        <w:t>年  月   日</w:t>
      </w:r>
    </w:p>
    <w:p>
      <w:pPr>
        <w:pStyle w:val="23"/>
        <w:rPr>
          <w:rFonts w:hint="eastAsia" w:ascii="仿宋_GB2312" w:hAnsi="仿宋_GB2312" w:eastAsia="仿宋_GB2312" w:cs="仿宋_GB2312"/>
          <w:color w:val="auto"/>
          <w:highlight w:val="none"/>
          <w:lang w:val="en-US" w:eastAsia="zh-CN"/>
        </w:rPr>
      </w:pPr>
    </w:p>
    <w:p>
      <w:pPr>
        <w:bidi w:val="0"/>
        <w:jc w:val="center"/>
        <w:rPr>
          <w:rFonts w:hint="eastAsia" w:ascii="仿宋_GB2312" w:hAnsi="仿宋_GB2312" w:eastAsia="仿宋_GB2312" w:cs="仿宋_GB2312"/>
          <w:b/>
          <w:bCs/>
          <w:color w:val="auto"/>
          <w:sz w:val="30"/>
          <w:szCs w:val="30"/>
          <w:highlight w:val="none"/>
          <w:lang w:val="zh-CN"/>
        </w:rPr>
      </w:pPr>
      <w:r>
        <w:rPr>
          <w:rFonts w:hint="eastAsia" w:ascii="仿宋_GB2312" w:hAnsi="仿宋_GB2312" w:eastAsia="仿宋_GB2312" w:cs="仿宋_GB2312"/>
          <w:b/>
          <w:bCs/>
          <w:color w:val="auto"/>
          <w:sz w:val="30"/>
          <w:szCs w:val="30"/>
          <w:highlight w:val="none"/>
          <w:lang w:val="zh-CN"/>
        </w:rPr>
        <w:t>授权代表的身份证（复印件）</w:t>
      </w:r>
    </w:p>
    <w:p>
      <w:pPr>
        <w:pStyle w:val="434"/>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授权代表身份证件扫描件：</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pPr>
              <w:pStyle w:val="434"/>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434"/>
              <w:spacing w:line="360" w:lineRule="auto"/>
              <w:rPr>
                <w:rFonts w:hint="eastAsia" w:ascii="仿宋_GB2312" w:hAnsi="仿宋_GB2312" w:eastAsia="仿宋_GB2312" w:cs="仿宋_GB2312"/>
                <w:bCs/>
                <w:color w:val="auto"/>
                <w:sz w:val="24"/>
                <w:highlight w:val="none"/>
              </w:rPr>
            </w:pPr>
          </w:p>
        </w:tc>
      </w:tr>
    </w:tbl>
    <w:p>
      <w:pPr>
        <w:pStyle w:val="23"/>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800" w:firstLineChars="20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供应商名称(电子签名)：</w:t>
      </w:r>
    </w:p>
    <w:p>
      <w:pPr>
        <w:keepNext w:val="0"/>
        <w:keepLines w:val="0"/>
        <w:pageBreakBefore w:val="0"/>
        <w:widowControl w:val="0"/>
        <w:kinsoku/>
        <w:wordWrap/>
        <w:overflowPunct/>
        <w:topLinePunct w:val="0"/>
        <w:autoSpaceDE/>
        <w:autoSpaceDN/>
        <w:bidi w:val="0"/>
        <w:adjustRightInd/>
        <w:snapToGrid/>
        <w:spacing w:line="300" w:lineRule="auto"/>
        <w:ind w:firstLine="4800" w:firstLineChars="20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zh-CN"/>
        </w:rPr>
        <w:t>年  月   日</w:t>
      </w:r>
    </w:p>
    <w:p>
      <w:pPr>
        <w:keepNext w:val="0"/>
        <w:keepLines w:val="0"/>
        <w:pageBreakBefore w:val="0"/>
        <w:widowControl w:val="0"/>
        <w:kinsoku/>
        <w:wordWrap/>
        <w:overflowPunct/>
        <w:topLinePunct w:val="0"/>
        <w:autoSpaceDE w:val="0"/>
        <w:autoSpaceDN w:val="0"/>
        <w:bidi w:val="0"/>
        <w:adjustRightInd w:val="0"/>
        <w:snapToGrid/>
        <w:spacing w:line="264" w:lineRule="auto"/>
        <w:ind w:right="420"/>
        <w:textAlignment w:val="auto"/>
        <w:rPr>
          <w:rFonts w:hint="eastAsia" w:ascii="仿宋_GB2312" w:hAnsi="仿宋_GB2312" w:eastAsia="仿宋_GB2312" w:cs="仿宋_GB2312"/>
          <w:b/>
          <w:bCs w:val="0"/>
          <w:snapToGrid w:val="0"/>
          <w:color w:val="auto"/>
          <w:kern w:val="0"/>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264" w:lineRule="auto"/>
        <w:ind w:right="420"/>
        <w:textAlignment w:val="auto"/>
        <w:rPr>
          <w:rFonts w:hint="eastAsia" w:ascii="仿宋_GB2312" w:hAnsi="仿宋_GB2312" w:eastAsia="仿宋_GB2312" w:cs="仿宋_GB2312"/>
          <w:b/>
          <w:bCs w:val="0"/>
          <w:snapToGrid w:val="0"/>
          <w:color w:val="auto"/>
          <w:kern w:val="0"/>
          <w:szCs w:val="21"/>
          <w:highlight w:val="none"/>
          <w:lang w:val="en-US" w:eastAsia="zh-CN"/>
        </w:rPr>
      </w:pPr>
      <w:r>
        <w:rPr>
          <w:rFonts w:hint="eastAsia" w:ascii="仿宋_GB2312" w:hAnsi="仿宋_GB2312" w:eastAsia="仿宋_GB2312" w:cs="仿宋_GB2312"/>
          <w:b/>
          <w:bCs w:val="0"/>
          <w:snapToGrid w:val="0"/>
          <w:color w:val="auto"/>
          <w:kern w:val="0"/>
          <w:szCs w:val="21"/>
          <w:highlight w:val="none"/>
          <w:lang w:val="en-US" w:eastAsia="zh-CN"/>
        </w:rPr>
        <w:t>说明：</w:t>
      </w:r>
      <w:r>
        <w:rPr>
          <w:rFonts w:hint="eastAsia" w:ascii="仿宋_GB2312" w:hAnsi="仿宋_GB2312" w:eastAsia="仿宋_GB2312" w:cs="仿宋_GB2312"/>
          <w:b/>
          <w:bCs w:val="0"/>
          <w:color w:val="auto"/>
          <w:szCs w:val="21"/>
          <w:highlight w:val="none"/>
          <w:lang w:val="en-US" w:eastAsia="zh-CN"/>
        </w:rPr>
        <w:t xml:space="preserve">若为法定代表人授权代表参加投标（响应）活动，除提供授权委托书外，还需提供授权代表近一个月内在供应商单位缴纳社保的参保证明 </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四</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zh-CN"/>
        </w:rPr>
        <w:t>分包意向协议（</w:t>
      </w:r>
      <w:r>
        <w:rPr>
          <w:rFonts w:hint="eastAsia" w:ascii="仿宋_GB2312" w:hAnsi="仿宋_GB2312" w:eastAsia="仿宋_GB2312" w:cs="仿宋_GB2312"/>
          <w:b/>
          <w:color w:val="auto"/>
          <w:sz w:val="28"/>
          <w:szCs w:val="28"/>
          <w:highlight w:val="none"/>
          <w:lang w:val="en-US" w:eastAsia="zh-CN"/>
        </w:rPr>
        <w:t>本项目不适用</w:t>
      </w:r>
      <w:r>
        <w:rPr>
          <w:rFonts w:hint="eastAsia" w:ascii="仿宋_GB2312" w:hAnsi="仿宋_GB2312" w:eastAsia="仿宋_GB2312" w:cs="仿宋_GB2312"/>
          <w:b/>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_GB2312" w:hAnsi="仿宋_GB2312" w:eastAsia="仿宋_GB2312" w:cs="仿宋_GB2312"/>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eastAsia="zh-CN"/>
        </w:rPr>
        <w:t>成交</w:t>
      </w:r>
      <w:r>
        <w:rPr>
          <w:rFonts w:hint="eastAsia" w:ascii="仿宋_GB2312" w:hAnsi="仿宋_GB2312" w:eastAsia="仿宋_GB2312" w:cs="仿宋_GB2312"/>
          <w:b/>
          <w:bCs/>
          <w:color w:val="auto"/>
          <w:sz w:val="21"/>
          <w:szCs w:val="21"/>
          <w:highlight w:val="none"/>
        </w:rPr>
        <w:t>后以分包方式履行合同的，提供分包意向协议</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第七章</w:t>
      </w:r>
      <w:r>
        <w:rPr>
          <w:rFonts w:hint="eastAsia" w:ascii="仿宋_GB2312" w:hAnsi="仿宋_GB2312" w:eastAsia="仿宋_GB2312" w:cs="仿宋_GB2312"/>
          <w:b/>
          <w:bCs/>
          <w:color w:val="auto"/>
          <w:sz w:val="21"/>
          <w:szCs w:val="21"/>
          <w:highlight w:val="none"/>
          <w:lang w:eastAsia="zh-CN"/>
        </w:rPr>
        <w:t>附件</w:t>
      </w:r>
      <w:r>
        <w:rPr>
          <w:rFonts w:hint="eastAsia" w:ascii="仿宋_GB2312" w:hAnsi="仿宋_GB2312" w:eastAsia="仿宋_GB2312" w:cs="仿宋_GB2312"/>
          <w:b/>
          <w:bCs/>
          <w:color w:val="auto"/>
          <w:sz w:val="21"/>
          <w:szCs w:val="21"/>
          <w:highlight w:val="none"/>
          <w:lang w:val="en-US" w:eastAsia="zh-CN"/>
        </w:rPr>
        <w:t>5）</w:t>
      </w:r>
      <w:r>
        <w:rPr>
          <w:rFonts w:hint="eastAsia" w:ascii="仿宋_GB2312" w:hAnsi="仿宋_GB2312" w:eastAsia="仿宋_GB2312" w:cs="仿宋_GB2312"/>
          <w:b/>
          <w:bCs/>
          <w:color w:val="auto"/>
          <w:sz w:val="21"/>
          <w:szCs w:val="21"/>
          <w:highlight w:val="none"/>
        </w:rPr>
        <w:t>；采购人不同意分包或者</w:t>
      </w:r>
      <w:r>
        <w:rPr>
          <w:rFonts w:hint="eastAsia" w:ascii="仿宋_GB2312" w:hAnsi="仿宋_GB2312" w:eastAsia="仿宋_GB2312" w:cs="仿宋_GB2312"/>
          <w:b/>
          <w:bCs/>
          <w:color w:val="auto"/>
          <w:sz w:val="21"/>
          <w:szCs w:val="21"/>
          <w:highlight w:val="none"/>
          <w:lang w:eastAsia="zh-CN"/>
        </w:rPr>
        <w:t>供应商成交</w:t>
      </w:r>
      <w:r>
        <w:rPr>
          <w:rFonts w:hint="eastAsia" w:ascii="仿宋_GB2312" w:hAnsi="仿宋_GB2312" w:eastAsia="仿宋_GB2312" w:cs="仿宋_GB2312"/>
          <w:b/>
          <w:bCs/>
          <w:color w:val="auto"/>
          <w:sz w:val="21"/>
          <w:szCs w:val="21"/>
          <w:highlight w:val="none"/>
        </w:rPr>
        <w:t>后不以分包方式履行合同的，则不需要提供。）</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五</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zh-CN"/>
        </w:rPr>
        <w:t>符合性审查资料</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tbl>
      <w:tblPr>
        <w:tblStyle w:val="5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536"/>
        <w:gridCol w:w="321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4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3536"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实质性要求</w:t>
            </w:r>
          </w:p>
        </w:tc>
        <w:tc>
          <w:tcPr>
            <w:tcW w:w="3218"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需要提供的符合性审查资料</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响应</w:t>
            </w:r>
            <w:r>
              <w:rPr>
                <w:rFonts w:hint="eastAsia" w:ascii="仿宋_GB2312" w:hAnsi="仿宋_GB2312" w:eastAsia="仿宋_GB2312" w:cs="仿宋_GB2312"/>
                <w:b/>
                <w:color w:val="auto"/>
                <w:sz w:val="21"/>
                <w:szCs w:val="21"/>
                <w:highlight w:val="none"/>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4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w:t>
            </w:r>
          </w:p>
        </w:tc>
        <w:tc>
          <w:tcPr>
            <w:tcW w:w="3536"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文件按照</w:t>
            </w:r>
            <w:r>
              <w:rPr>
                <w:rFonts w:hint="eastAsia" w:ascii="仿宋_GB2312" w:hAnsi="仿宋_GB2312" w:eastAsia="仿宋_GB2312" w:cs="仿宋_GB2312"/>
                <w:color w:val="auto"/>
                <w:sz w:val="21"/>
                <w:szCs w:val="21"/>
                <w:highlight w:val="none"/>
                <w:lang w:eastAsia="zh-CN"/>
              </w:rPr>
              <w:t>磋商</w:t>
            </w:r>
            <w:r>
              <w:rPr>
                <w:rFonts w:hint="eastAsia" w:ascii="仿宋_GB2312" w:hAnsi="仿宋_GB2312" w:eastAsia="仿宋_GB2312" w:cs="仿宋_GB2312"/>
                <w:color w:val="auto"/>
                <w:sz w:val="21"/>
                <w:szCs w:val="21"/>
                <w:highlight w:val="none"/>
              </w:rPr>
              <w:t>文件要求签署、盖章。</w:t>
            </w:r>
          </w:p>
        </w:tc>
        <w:tc>
          <w:tcPr>
            <w:tcW w:w="3218"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需要使用电子签名或者签字盖章的</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文件的组成部分</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见</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w:t>
            </w:r>
          </w:p>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4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2</w:t>
            </w:r>
          </w:p>
        </w:tc>
        <w:tc>
          <w:tcPr>
            <w:tcW w:w="3536"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文件中承诺的</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有效期不少于</w:t>
            </w:r>
            <w:r>
              <w:rPr>
                <w:rFonts w:hint="eastAsia" w:ascii="仿宋_GB2312" w:hAnsi="仿宋_GB2312" w:eastAsia="仿宋_GB2312" w:cs="仿宋_GB2312"/>
                <w:color w:val="auto"/>
                <w:sz w:val="21"/>
                <w:szCs w:val="21"/>
                <w:highlight w:val="none"/>
                <w:lang w:eastAsia="zh-CN"/>
              </w:rPr>
              <w:t>磋商</w:t>
            </w:r>
            <w:r>
              <w:rPr>
                <w:rFonts w:hint="eastAsia" w:ascii="仿宋_GB2312" w:hAnsi="仿宋_GB2312" w:eastAsia="仿宋_GB2312" w:cs="仿宋_GB2312"/>
                <w:color w:val="auto"/>
                <w:sz w:val="21"/>
                <w:szCs w:val="21"/>
                <w:highlight w:val="none"/>
              </w:rPr>
              <w:t>文件中载明的</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有效期。</w:t>
            </w:r>
          </w:p>
        </w:tc>
        <w:tc>
          <w:tcPr>
            <w:tcW w:w="3218"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函</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见</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w:t>
            </w:r>
          </w:p>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64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val="en-US" w:eastAsia="zh-CN"/>
              </w:rPr>
              <w:t>3</w:t>
            </w:r>
          </w:p>
        </w:tc>
        <w:tc>
          <w:tcPr>
            <w:tcW w:w="3536"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文件满足</w:t>
            </w:r>
            <w:r>
              <w:rPr>
                <w:rFonts w:hint="eastAsia" w:ascii="仿宋_GB2312" w:hAnsi="仿宋_GB2312" w:eastAsia="仿宋_GB2312" w:cs="仿宋_GB2312"/>
                <w:color w:val="auto"/>
                <w:sz w:val="21"/>
                <w:szCs w:val="21"/>
                <w:highlight w:val="none"/>
                <w:lang w:eastAsia="zh-CN"/>
              </w:rPr>
              <w:t>磋商</w:t>
            </w:r>
            <w:r>
              <w:rPr>
                <w:rFonts w:hint="eastAsia" w:ascii="仿宋_GB2312" w:hAnsi="仿宋_GB2312" w:eastAsia="仿宋_GB2312" w:cs="仿宋_GB2312"/>
                <w:color w:val="auto"/>
                <w:sz w:val="21"/>
                <w:szCs w:val="21"/>
                <w:highlight w:val="none"/>
              </w:rPr>
              <w:t>文件</w:t>
            </w:r>
            <w:r>
              <w:rPr>
                <w:rFonts w:hint="eastAsia" w:ascii="仿宋_GB2312" w:hAnsi="仿宋_GB2312" w:eastAsia="仿宋_GB2312" w:cs="仿宋_GB2312"/>
                <w:color w:val="auto"/>
                <w:sz w:val="21"/>
                <w:szCs w:val="21"/>
                <w:highlight w:val="none"/>
                <w:lang w:eastAsia="zh-CN"/>
              </w:rPr>
              <w:t>的其他</w:t>
            </w:r>
            <w:r>
              <w:rPr>
                <w:rFonts w:hint="eastAsia" w:ascii="仿宋_GB2312" w:hAnsi="仿宋_GB2312" w:eastAsia="仿宋_GB2312" w:cs="仿宋_GB2312"/>
                <w:color w:val="auto"/>
                <w:sz w:val="21"/>
                <w:szCs w:val="21"/>
                <w:highlight w:val="none"/>
              </w:rPr>
              <w:t>实质性要求。</w:t>
            </w:r>
          </w:p>
        </w:tc>
        <w:tc>
          <w:tcPr>
            <w:tcW w:w="3218"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eastAsia="zh-CN"/>
              </w:rPr>
              <w:t>磋商</w:t>
            </w:r>
            <w:r>
              <w:rPr>
                <w:rFonts w:hint="eastAsia" w:ascii="仿宋_GB2312" w:hAnsi="仿宋_GB2312" w:eastAsia="仿宋_GB2312" w:cs="仿宋_GB2312"/>
                <w:color w:val="auto"/>
                <w:kern w:val="0"/>
                <w:sz w:val="21"/>
                <w:szCs w:val="21"/>
                <w:highlight w:val="none"/>
              </w:rPr>
              <w:t>文件</w:t>
            </w:r>
            <w:r>
              <w:rPr>
                <w:rFonts w:hint="eastAsia" w:ascii="仿宋_GB2312" w:hAnsi="仿宋_GB2312" w:eastAsia="仿宋_GB2312" w:cs="仿宋_GB2312"/>
                <w:color w:val="auto"/>
                <w:kern w:val="0"/>
                <w:sz w:val="21"/>
                <w:szCs w:val="21"/>
                <w:highlight w:val="none"/>
                <w:lang w:eastAsia="zh-CN"/>
              </w:rPr>
              <w:t>其他</w:t>
            </w:r>
            <w:r>
              <w:rPr>
                <w:rFonts w:hint="eastAsia" w:ascii="仿宋_GB2312" w:hAnsi="仿宋_GB2312" w:eastAsia="仿宋_GB2312" w:cs="仿宋_GB2312"/>
                <w:color w:val="auto"/>
                <w:kern w:val="0"/>
                <w:sz w:val="21"/>
                <w:szCs w:val="21"/>
                <w:highlight w:val="none"/>
              </w:rPr>
              <w:t>实质性要求相应的材料（“▲” 系指实质性要求条款，</w:t>
            </w:r>
            <w:r>
              <w:rPr>
                <w:rFonts w:hint="eastAsia" w:ascii="仿宋_GB2312" w:hAnsi="仿宋_GB2312" w:eastAsia="仿宋_GB2312" w:cs="仿宋_GB2312"/>
                <w:color w:val="auto"/>
                <w:kern w:val="0"/>
                <w:sz w:val="21"/>
                <w:szCs w:val="21"/>
                <w:highlight w:val="none"/>
                <w:lang w:eastAsia="zh-CN"/>
              </w:rPr>
              <w:t>磋商</w:t>
            </w:r>
            <w:r>
              <w:rPr>
                <w:rFonts w:hint="eastAsia" w:ascii="仿宋_GB2312" w:hAnsi="仿宋_GB2312" w:eastAsia="仿宋_GB2312" w:cs="仿宋_GB2312"/>
                <w:color w:val="auto"/>
                <w:kern w:val="0"/>
                <w:sz w:val="21"/>
                <w:szCs w:val="21"/>
                <w:highlight w:val="none"/>
              </w:rPr>
              <w:t>文件</w:t>
            </w:r>
            <w:r>
              <w:rPr>
                <w:rFonts w:hint="eastAsia" w:ascii="仿宋_GB2312" w:hAnsi="仿宋_GB2312" w:eastAsia="仿宋_GB2312" w:cs="仿宋_GB2312"/>
                <w:color w:val="auto"/>
                <w:kern w:val="0"/>
                <w:sz w:val="21"/>
                <w:szCs w:val="21"/>
                <w:highlight w:val="none"/>
                <w:lang w:eastAsia="zh-CN"/>
              </w:rPr>
              <w:t>无其他</w:t>
            </w:r>
            <w:r>
              <w:rPr>
                <w:rFonts w:hint="eastAsia" w:ascii="仿宋_GB2312" w:hAnsi="仿宋_GB2312" w:eastAsia="仿宋_GB2312" w:cs="仿宋_GB2312"/>
                <w:color w:val="auto"/>
                <w:kern w:val="0"/>
                <w:sz w:val="21"/>
                <w:szCs w:val="21"/>
                <w:highlight w:val="none"/>
              </w:rPr>
              <w:t>实质性要求的，无需提供）</w:t>
            </w:r>
          </w:p>
        </w:tc>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见</w:t>
            </w:r>
            <w:r>
              <w:rPr>
                <w:rFonts w:hint="eastAsia" w:ascii="仿宋_GB2312" w:hAnsi="仿宋_GB2312" w:eastAsia="仿宋_GB2312" w:cs="仿宋_GB2312"/>
                <w:color w:val="auto"/>
                <w:sz w:val="21"/>
                <w:szCs w:val="21"/>
                <w:highlight w:val="none"/>
                <w:lang w:eastAsia="zh-CN"/>
              </w:rPr>
              <w:t>响应</w:t>
            </w:r>
            <w:r>
              <w:rPr>
                <w:rFonts w:hint="eastAsia" w:ascii="仿宋_GB2312" w:hAnsi="仿宋_GB2312" w:eastAsia="仿宋_GB2312" w:cs="仿宋_GB2312"/>
                <w:color w:val="auto"/>
                <w:sz w:val="21"/>
                <w:szCs w:val="21"/>
                <w:highlight w:val="none"/>
              </w:rPr>
              <w:t>文件</w:t>
            </w:r>
          </w:p>
          <w:p>
            <w:pPr>
              <w:keepNext w:val="0"/>
              <w:keepLines w:val="0"/>
              <w:pageBreakBefore w:val="0"/>
              <w:widowControl w:val="0"/>
              <w:kinsoku/>
              <w:wordWrap/>
              <w:overflowPunct/>
              <w:topLinePunct w:val="0"/>
              <w:autoSpaceDE/>
              <w:autoSpaceDN/>
              <w:bidi w:val="0"/>
              <w:adjustRightInd w:val="0"/>
              <w:snapToGrid/>
              <w:spacing w:line="264" w:lineRule="auto"/>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第</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页</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rPr>
          <w:rFonts w:hint="eastAsia" w:ascii="仿宋_GB2312" w:hAnsi="仿宋_GB2312" w:eastAsia="仿宋_GB2312" w:cs="仿宋_GB2312"/>
          <w:color w:val="auto"/>
          <w:highlight w:val="none"/>
          <w:lang w:val="en-US" w:eastAsia="zh-CN"/>
        </w:rPr>
      </w:pP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lang w:val="zh-CN"/>
        </w:rPr>
        <w:t>、标的清单</w:t>
      </w:r>
    </w:p>
    <w:tbl>
      <w:tblPr>
        <w:tblStyle w:val="5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651"/>
        <w:gridCol w:w="16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服务要求</w:t>
            </w:r>
          </w:p>
        </w:tc>
        <w:tc>
          <w:tcPr>
            <w:tcW w:w="1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服务时间</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服务标准</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备注</w:t>
            </w:r>
            <w:r>
              <w:rPr>
                <w:rFonts w:hint="eastAsia" w:ascii="仿宋_GB2312" w:hAnsi="仿宋_GB2312" w:eastAsia="仿宋_GB2312" w:cs="仿宋_GB2312"/>
                <w:b/>
                <w:color w:val="auto"/>
                <w:sz w:val="21"/>
                <w:szCs w:val="21"/>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1"/>
                <w:szCs w:val="21"/>
                <w:highlight w:val="none"/>
              </w:rPr>
            </w:pPr>
          </w:p>
        </w:tc>
      </w:tr>
    </w:tbl>
    <w:p>
      <w:pPr>
        <w:spacing w:line="360" w:lineRule="auto"/>
        <w:ind w:right="4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pStyle w:val="55"/>
        <w:ind w:left="0" w:leftChars="0" w:firstLine="0" w:firstLineChars="0"/>
        <w:rPr>
          <w:rFonts w:hint="eastAsia" w:ascii="仿宋_GB2312" w:hAnsi="仿宋_GB2312" w:eastAsia="仿宋_GB2312" w:cs="仿宋_GB2312"/>
          <w:sz w:val="24"/>
          <w:highlight w:val="none"/>
        </w:rPr>
      </w:pPr>
    </w:p>
    <w:p>
      <w:pPr>
        <w:rPr>
          <w:rFonts w:hint="eastAsia" w:ascii="仿宋_GB2312" w:hAnsi="仿宋_GB2312" w:eastAsia="仿宋_GB2312" w:cs="仿宋_GB2312"/>
          <w:color w:val="auto"/>
          <w:highlight w:val="none"/>
        </w:rPr>
      </w:pPr>
    </w:p>
    <w:p>
      <w:pPr>
        <w:autoSpaceDE w:val="0"/>
        <w:autoSpaceDN w:val="0"/>
        <w:spacing w:line="360" w:lineRule="auto"/>
        <w:ind w:firstLine="3360" w:firstLineChars="14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供应商</w:t>
      </w: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kern w:val="0"/>
          <w:sz w:val="24"/>
          <w:highlight w:val="none"/>
          <w:lang w:val="zh-CN"/>
        </w:rPr>
        <w:t>（电子签名）：</w:t>
      </w:r>
    </w:p>
    <w:p>
      <w:pPr>
        <w:spacing w:line="360" w:lineRule="auto"/>
        <w:ind w:firstLine="3360" w:firstLineChars="1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日期：年  月   日</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lang w:val="zh-CN"/>
        </w:rPr>
        <w:t>、评标标准相应的商务技术资料</w:t>
      </w:r>
    </w:p>
    <w:p>
      <w:pPr>
        <w:snapToGrid w:val="0"/>
        <w:spacing w:line="360" w:lineRule="auto"/>
        <w:jc w:val="left"/>
        <w:rPr>
          <w:rFonts w:hint="eastAsia" w:ascii="仿宋_GB2312" w:hAnsi="仿宋_GB2312" w:eastAsia="仿宋_GB2312" w:cs="仿宋_GB2312"/>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（按</w:t>
      </w:r>
      <w:r>
        <w:rPr>
          <w:rFonts w:hint="eastAsia" w:ascii="仿宋_GB2312" w:hAnsi="仿宋_GB2312" w:eastAsia="仿宋_GB2312" w:cs="仿宋_GB2312"/>
          <w:b/>
          <w:bCs/>
          <w:color w:val="auto"/>
          <w:sz w:val="21"/>
          <w:szCs w:val="21"/>
          <w:highlight w:val="none"/>
          <w:lang w:eastAsia="zh-CN"/>
        </w:rPr>
        <w:t>磋商</w:t>
      </w:r>
      <w:r>
        <w:rPr>
          <w:rFonts w:hint="eastAsia" w:ascii="仿宋_GB2312" w:hAnsi="仿宋_GB2312" w:eastAsia="仿宋_GB2312" w:cs="仿宋_GB2312"/>
          <w:b/>
          <w:bCs/>
          <w:color w:val="auto"/>
          <w:sz w:val="21"/>
          <w:szCs w:val="21"/>
          <w:highlight w:val="none"/>
        </w:rPr>
        <w:t>文件</w:t>
      </w:r>
      <w:r>
        <w:rPr>
          <w:rFonts w:hint="eastAsia" w:ascii="仿宋_GB2312" w:hAnsi="仿宋_GB2312" w:eastAsia="仿宋_GB2312" w:cs="仿宋_GB2312"/>
          <w:b/>
          <w:bCs/>
          <w:color w:val="auto"/>
          <w:sz w:val="21"/>
          <w:szCs w:val="21"/>
          <w:highlight w:val="none"/>
          <w:lang w:val="en-US" w:eastAsia="zh-CN"/>
        </w:rPr>
        <w:t>第四章评审办法前附表</w:t>
      </w:r>
      <w:r>
        <w:rPr>
          <w:rFonts w:hint="eastAsia" w:ascii="仿宋_GB2312" w:hAnsi="仿宋_GB2312" w:eastAsia="仿宋_GB2312" w:cs="仿宋_GB2312"/>
          <w:b/>
          <w:bCs/>
          <w:color w:val="auto"/>
          <w:sz w:val="21"/>
          <w:szCs w:val="21"/>
          <w:highlight w:val="none"/>
        </w:rPr>
        <w:t>中“</w:t>
      </w:r>
      <w:r>
        <w:rPr>
          <w:rFonts w:hint="eastAsia" w:ascii="仿宋_GB2312" w:hAnsi="仿宋_GB2312" w:eastAsia="仿宋_GB2312" w:cs="仿宋_GB2312"/>
          <w:b/>
          <w:bCs/>
          <w:color w:val="auto"/>
          <w:sz w:val="21"/>
          <w:szCs w:val="21"/>
          <w:highlight w:val="none"/>
          <w:lang w:eastAsia="zh-CN"/>
        </w:rPr>
        <w:t>响应</w:t>
      </w:r>
      <w:r>
        <w:rPr>
          <w:rFonts w:hint="eastAsia" w:ascii="仿宋_GB2312" w:hAnsi="仿宋_GB2312" w:eastAsia="仿宋_GB2312" w:cs="仿宋_GB2312"/>
          <w:b/>
          <w:bCs/>
          <w:color w:val="auto"/>
          <w:sz w:val="21"/>
          <w:szCs w:val="21"/>
          <w:highlight w:val="none"/>
        </w:rPr>
        <w:t>文件中评标标准相应的商务技术资料目录”提供资料）</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23"/>
        <w:rPr>
          <w:rFonts w:hint="eastAsia" w:ascii="仿宋_GB2312" w:hAnsi="仿宋_GB2312" w:eastAsia="仿宋_GB2312" w:cs="仿宋_GB2312"/>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1、拟派项目团队配备情况表</w:t>
      </w:r>
    </w:p>
    <w:p>
      <w:pPr>
        <w:snapToGrid w:val="0"/>
        <w:spacing w:line="360" w:lineRule="auto"/>
        <w:jc w:val="center"/>
        <w:rPr>
          <w:rFonts w:hint="eastAsia" w:ascii="仿宋_GB2312" w:hAnsi="仿宋_GB2312" w:eastAsia="仿宋_GB2312" w:cs="仿宋_GB2312"/>
          <w:b/>
          <w:snapToGrid w:val="0"/>
          <w:color w:val="auto"/>
          <w:kern w:val="0"/>
          <w:sz w:val="24"/>
          <w:highlight w:val="none"/>
        </w:rPr>
      </w:pPr>
    </w:p>
    <w:p>
      <w:pPr>
        <w:pStyle w:val="9"/>
        <w:snapToGrid w:val="0"/>
        <w:spacing w:line="360" w:lineRule="auto"/>
        <w:jc w:val="center"/>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（1）拟派项目团队配备情况表</w:t>
      </w:r>
    </w:p>
    <w:tbl>
      <w:tblPr>
        <w:tblStyle w:val="56"/>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15"/>
        <w:gridCol w:w="1701"/>
        <w:gridCol w:w="749"/>
        <w:gridCol w:w="720"/>
        <w:gridCol w:w="720"/>
        <w:gridCol w:w="13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l2br w:val="nil"/>
              <w:tr2bl w:val="nil"/>
            </w:tcBorders>
            <w:vAlign w:val="center"/>
          </w:tcPr>
          <w:p>
            <w:pPr>
              <w:autoSpaceDE w:val="0"/>
              <w:autoSpaceDN w:val="0"/>
              <w:adjustRightIn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015" w:type="dxa"/>
            <w:tcBorders>
              <w:tl2br w:val="nil"/>
              <w:tr2bl w:val="nil"/>
            </w:tcBorders>
            <w:vAlign w:val="center"/>
          </w:tcPr>
          <w:p>
            <w:pPr>
              <w:autoSpaceDE w:val="0"/>
              <w:autoSpaceDN w:val="0"/>
              <w:adjustRightInd w:val="0"/>
              <w:jc w:val="center"/>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姓名</w:t>
            </w: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本项目拟任岗位</w:t>
            </w: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年龄</w:t>
            </w: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性别</w:t>
            </w: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CN"/>
              </w:rPr>
              <w:t>专业</w:t>
            </w: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资格或</w:t>
            </w:r>
            <w:r>
              <w:rPr>
                <w:rFonts w:hint="eastAsia" w:ascii="仿宋_GB2312" w:hAnsi="仿宋_GB2312" w:eastAsia="仿宋_GB2312" w:cs="仿宋_GB2312"/>
                <w:color w:val="auto"/>
                <w:szCs w:val="21"/>
                <w:highlight w:val="none"/>
                <w:lang w:val="zh-CN"/>
              </w:rPr>
              <w:t>职称</w:t>
            </w:r>
          </w:p>
        </w:tc>
        <w:tc>
          <w:tcPr>
            <w:tcW w:w="1134" w:type="dxa"/>
            <w:tcBorders>
              <w:tl2br w:val="nil"/>
              <w:tr2bl w:val="nil"/>
            </w:tcBorders>
            <w:vAlign w:val="center"/>
          </w:tcPr>
          <w:p>
            <w:pPr>
              <w:autoSpaceDE w:val="0"/>
              <w:autoSpaceDN w:val="0"/>
              <w:adjustRightInd w:val="0"/>
              <w:jc w:val="center"/>
              <w:rPr>
                <w:rFonts w:hint="eastAsia"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ind w:left="525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ind w:left="525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015" w:type="dxa"/>
            <w:tcBorders>
              <w:tl2br w:val="nil"/>
              <w:tr2bl w:val="nil"/>
            </w:tcBorders>
          </w:tcPr>
          <w:p>
            <w:pPr>
              <w:autoSpaceDE w:val="0"/>
              <w:autoSpaceDN w:val="0"/>
              <w:adjustRightInd w:val="0"/>
              <w:rPr>
                <w:rFonts w:hint="eastAsia" w:ascii="仿宋_GB2312" w:hAnsi="仿宋_GB2312" w:eastAsia="仿宋_GB2312" w:cs="仿宋_GB2312"/>
                <w:color w:val="auto"/>
                <w:szCs w:val="21"/>
                <w:highlight w:val="none"/>
              </w:rPr>
            </w:pPr>
          </w:p>
        </w:tc>
        <w:tc>
          <w:tcPr>
            <w:tcW w:w="1701"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49"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720"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34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c>
          <w:tcPr>
            <w:tcW w:w="1134" w:type="dxa"/>
            <w:tcBorders>
              <w:tl2br w:val="nil"/>
              <w:tr2bl w:val="nil"/>
            </w:tcBorders>
            <w:vAlign w:val="center"/>
          </w:tcPr>
          <w:p>
            <w:pPr>
              <w:autoSpaceDE w:val="0"/>
              <w:autoSpaceDN w:val="0"/>
              <w:adjustRightInd w:val="0"/>
              <w:rPr>
                <w:rFonts w:hint="eastAsia" w:ascii="仿宋_GB2312" w:hAnsi="仿宋_GB2312" w:eastAsia="仿宋_GB2312" w:cs="仿宋_GB2312"/>
                <w:color w:val="auto"/>
                <w:szCs w:val="21"/>
                <w:highlight w:val="none"/>
              </w:rPr>
            </w:pPr>
          </w:p>
        </w:tc>
      </w:tr>
    </w:tbl>
    <w:p>
      <w:pPr>
        <w:snapToGrid w:val="0"/>
        <w:spacing w:line="360" w:lineRule="auto"/>
        <w:rPr>
          <w:rFonts w:hint="eastAsia" w:ascii="仿宋_GB2312" w:hAnsi="仿宋_GB2312" w:eastAsia="仿宋_GB2312" w:cs="仿宋_GB2312"/>
          <w:b/>
          <w:snapToGrid w:val="0"/>
          <w:color w:val="auto"/>
          <w:kern w:val="0"/>
          <w:sz w:val="24"/>
          <w:highlight w:val="none"/>
        </w:rPr>
      </w:pPr>
    </w:p>
    <w:p>
      <w:pPr>
        <w:autoSpaceDE w:val="0"/>
        <w:autoSpaceDN w:val="0"/>
        <w:adjustRightInd w:val="0"/>
        <w:spacing w:line="360" w:lineRule="auto"/>
        <w:ind w:firstLine="3840" w:firstLineChars="16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供应商名称（电子签名）：</w:t>
      </w:r>
    </w:p>
    <w:p>
      <w:pPr>
        <w:autoSpaceDE w:val="0"/>
        <w:autoSpaceDN w:val="0"/>
        <w:adjustRightInd w:val="0"/>
        <w:spacing w:line="360" w:lineRule="auto"/>
        <w:ind w:firstLine="3840" w:firstLineChars="16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日期：年  月   日</w:t>
      </w:r>
    </w:p>
    <w:p>
      <w:pPr>
        <w:snapToGrid w:val="0"/>
        <w:spacing w:line="360" w:lineRule="auto"/>
        <w:ind w:firstLine="4200" w:firstLineChars="2000"/>
        <w:rPr>
          <w:rFonts w:hint="eastAsia" w:ascii="仿宋_GB2312" w:hAnsi="仿宋_GB2312" w:eastAsia="仿宋_GB2312" w:cs="仿宋_GB2312"/>
          <w:snapToGrid w:val="0"/>
          <w:color w:val="auto"/>
          <w:kern w:val="0"/>
          <w:szCs w:val="21"/>
          <w:highlight w:val="none"/>
        </w:rPr>
      </w:pPr>
    </w:p>
    <w:p>
      <w:pPr>
        <w:adjustRightInd w:val="0"/>
        <w:snapToGrid w:val="0"/>
        <w:spacing w:line="360" w:lineRule="auto"/>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br w:type="page"/>
      </w:r>
    </w:p>
    <w:p>
      <w:pPr>
        <w:pStyle w:val="23"/>
        <w:rPr>
          <w:rFonts w:hint="eastAsia" w:ascii="仿宋_GB2312" w:hAnsi="仿宋_GB2312" w:eastAsia="仿宋_GB2312" w:cs="仿宋_GB2312"/>
          <w:highlight w:val="none"/>
        </w:rPr>
      </w:pPr>
    </w:p>
    <w:p>
      <w:pPr>
        <w:pStyle w:val="9"/>
        <w:snapToGrid w:val="0"/>
        <w:spacing w:line="360" w:lineRule="auto"/>
        <w:jc w:val="center"/>
        <w:rPr>
          <w:rFonts w:hint="eastAsia" w:ascii="仿宋_GB2312" w:hAnsi="仿宋_GB2312" w:eastAsia="仿宋_GB2312" w:cs="仿宋_GB2312"/>
          <w:b/>
          <w:snapToGrid w:val="0"/>
          <w:color w:val="auto"/>
          <w:kern w:val="0"/>
          <w:sz w:val="28"/>
          <w:szCs w:val="28"/>
          <w:highlight w:val="none"/>
        </w:rPr>
      </w:pPr>
      <w:r>
        <w:rPr>
          <w:rFonts w:hint="eastAsia" w:ascii="仿宋_GB2312" w:hAnsi="仿宋_GB2312" w:eastAsia="仿宋_GB2312" w:cs="仿宋_GB2312"/>
          <w:b/>
          <w:snapToGrid w:val="0"/>
          <w:color w:val="auto"/>
          <w:kern w:val="0"/>
          <w:sz w:val="28"/>
          <w:szCs w:val="28"/>
          <w:highlight w:val="none"/>
        </w:rPr>
        <w:t>（2）项目</w:t>
      </w:r>
      <w:r>
        <w:rPr>
          <w:rFonts w:hint="eastAsia" w:ascii="仿宋_GB2312" w:hAnsi="仿宋_GB2312" w:eastAsia="仿宋_GB2312" w:cs="仿宋_GB2312"/>
          <w:b/>
          <w:snapToGrid w:val="0"/>
          <w:color w:val="auto"/>
          <w:kern w:val="0"/>
          <w:sz w:val="28"/>
          <w:szCs w:val="28"/>
          <w:highlight w:val="none"/>
          <w:lang w:eastAsia="zh-CN"/>
        </w:rPr>
        <w:t>人员</w:t>
      </w:r>
      <w:r>
        <w:rPr>
          <w:rFonts w:hint="eastAsia" w:ascii="仿宋_GB2312" w:hAnsi="仿宋_GB2312" w:eastAsia="仿宋_GB2312" w:cs="仿宋_GB2312"/>
          <w:b/>
          <w:snapToGrid w:val="0"/>
          <w:color w:val="auto"/>
          <w:kern w:val="0"/>
          <w:sz w:val="28"/>
          <w:szCs w:val="28"/>
          <w:highlight w:val="none"/>
        </w:rPr>
        <w:t>简历表</w:t>
      </w:r>
    </w:p>
    <w:tbl>
      <w:tblPr>
        <w:tblStyle w:val="56"/>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atLeast"/>
        </w:trPr>
        <w:tc>
          <w:tcPr>
            <w:tcW w:w="1474"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姓   名</w:t>
            </w:r>
          </w:p>
        </w:tc>
        <w:tc>
          <w:tcPr>
            <w:tcW w:w="1389" w:type="dxa"/>
            <w:vAlign w:val="center"/>
          </w:tcPr>
          <w:p>
            <w:pPr>
              <w:snapToGrid w:val="0"/>
              <w:spacing w:line="320" w:lineRule="atLeast"/>
              <w:jc w:val="center"/>
              <w:rPr>
                <w:rFonts w:hint="eastAsia" w:ascii="仿宋_GB2312" w:hAnsi="仿宋_GB2312" w:eastAsia="仿宋_GB2312" w:cs="仿宋_GB2312"/>
                <w:color w:val="auto"/>
                <w:highlight w:val="none"/>
              </w:rPr>
            </w:pPr>
          </w:p>
        </w:tc>
        <w:tc>
          <w:tcPr>
            <w:tcW w:w="1155" w:type="dxa"/>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年   龄</w:t>
            </w:r>
          </w:p>
        </w:tc>
        <w:tc>
          <w:tcPr>
            <w:tcW w:w="1260"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p>
        </w:tc>
        <w:tc>
          <w:tcPr>
            <w:tcW w:w="2092"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专   业</w:t>
            </w:r>
          </w:p>
        </w:tc>
        <w:tc>
          <w:tcPr>
            <w:tcW w:w="1270" w:type="dxa"/>
            <w:vAlign w:val="center"/>
          </w:tcPr>
          <w:p>
            <w:pPr>
              <w:snapToGrid w:val="0"/>
              <w:spacing w:line="320" w:lineRule="atLeast"/>
              <w:jc w:val="center"/>
              <w:rPr>
                <w:rFonts w:hint="eastAsia" w:ascii="仿宋_GB2312" w:hAnsi="仿宋_GB2312" w:eastAsia="仿宋_GB2312" w:cs="仿宋_GB2312"/>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职   称</w:t>
            </w:r>
          </w:p>
        </w:tc>
        <w:tc>
          <w:tcPr>
            <w:tcW w:w="1389" w:type="dxa"/>
            <w:vAlign w:val="center"/>
          </w:tcPr>
          <w:p>
            <w:pPr>
              <w:snapToGrid w:val="0"/>
              <w:spacing w:line="320" w:lineRule="atLeast"/>
              <w:jc w:val="center"/>
              <w:rPr>
                <w:rFonts w:hint="eastAsia" w:ascii="仿宋_GB2312" w:hAnsi="仿宋_GB2312" w:eastAsia="仿宋_GB2312" w:cs="仿宋_GB2312"/>
                <w:color w:val="auto"/>
                <w:highlight w:val="none"/>
              </w:rPr>
            </w:pPr>
          </w:p>
        </w:tc>
        <w:tc>
          <w:tcPr>
            <w:tcW w:w="1155" w:type="dxa"/>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职   务</w:t>
            </w:r>
          </w:p>
        </w:tc>
        <w:tc>
          <w:tcPr>
            <w:tcW w:w="1260"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p>
        </w:tc>
        <w:tc>
          <w:tcPr>
            <w:tcW w:w="2092"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拟在本合同</w:t>
            </w:r>
          </w:p>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项目担任职务</w:t>
            </w:r>
          </w:p>
        </w:tc>
        <w:tc>
          <w:tcPr>
            <w:tcW w:w="1270" w:type="dxa"/>
            <w:vAlign w:val="center"/>
          </w:tcPr>
          <w:p>
            <w:pPr>
              <w:snapToGrid w:val="0"/>
              <w:spacing w:line="320" w:lineRule="atLeast"/>
              <w:jc w:val="center"/>
              <w:rPr>
                <w:rFonts w:hint="eastAsia" w:ascii="仿宋_GB2312" w:hAnsi="仿宋_GB2312" w:eastAsia="仿宋_GB2312" w:cs="仿宋_GB2312"/>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毕业学校</w:t>
            </w:r>
          </w:p>
        </w:tc>
        <w:tc>
          <w:tcPr>
            <w:tcW w:w="7166" w:type="dxa"/>
            <w:gridSpan w:val="7"/>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年月毕业于学校系(科)，学制年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年   年</w:t>
            </w:r>
          </w:p>
        </w:tc>
        <w:tc>
          <w:tcPr>
            <w:tcW w:w="3600" w:type="dxa"/>
            <w:gridSpan w:val="4"/>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工作经历</w:t>
            </w:r>
          </w:p>
        </w:tc>
        <w:tc>
          <w:tcPr>
            <w:tcW w:w="2040"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担 任 何 职</w:t>
            </w:r>
          </w:p>
        </w:tc>
        <w:tc>
          <w:tcPr>
            <w:tcW w:w="1532"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vAlign w:val="center"/>
          </w:tcPr>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tc>
        <w:tc>
          <w:tcPr>
            <w:tcW w:w="3600" w:type="dxa"/>
            <w:gridSpan w:val="4"/>
            <w:vAlign w:val="center"/>
          </w:tcPr>
          <w:p>
            <w:pPr>
              <w:snapToGrid w:val="0"/>
              <w:spacing w:line="320" w:lineRule="atLeast"/>
              <w:jc w:val="center"/>
              <w:rPr>
                <w:rFonts w:hint="eastAsia" w:ascii="仿宋_GB2312" w:hAnsi="仿宋_GB2312" w:eastAsia="仿宋_GB2312" w:cs="仿宋_GB2312"/>
                <w:color w:val="auto"/>
                <w:highlight w:val="none"/>
              </w:rPr>
            </w:pPr>
          </w:p>
        </w:tc>
        <w:tc>
          <w:tcPr>
            <w:tcW w:w="2040"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p>
        </w:tc>
        <w:tc>
          <w:tcPr>
            <w:tcW w:w="1532" w:type="dxa"/>
            <w:gridSpan w:val="2"/>
            <w:vAlign w:val="center"/>
          </w:tcPr>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p>
            <w:pPr>
              <w:snapToGrid w:val="0"/>
              <w:spacing w:line="320" w:lineRule="atLeast"/>
              <w:jc w:val="center"/>
              <w:rPr>
                <w:rFonts w:hint="eastAsia" w:ascii="仿宋_GB2312" w:hAnsi="仿宋_GB2312" w:eastAsia="仿宋_GB2312" w:cs="仿宋_GB2312"/>
                <w:color w:val="auto"/>
                <w:highlight w:val="none"/>
              </w:rPr>
            </w:pPr>
          </w:p>
        </w:tc>
      </w:tr>
    </w:tbl>
    <w:p>
      <w:pPr>
        <w:snapToGrid w:val="0"/>
        <w:spacing w:line="312"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1、本表后附相关人员资格（资质）证书(如有)、社保证明、业绩证明材料</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如有</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p>
    <w:p>
      <w:pPr>
        <w:pStyle w:val="25"/>
        <w:rPr>
          <w:rFonts w:hint="eastAsia" w:ascii="仿宋_GB2312" w:hAnsi="仿宋_GB2312" w:eastAsia="仿宋_GB2312" w:cs="仿宋_GB2312"/>
          <w:color w:val="auto"/>
          <w:highlight w:val="none"/>
        </w:rPr>
      </w:pPr>
    </w:p>
    <w:p>
      <w:pPr>
        <w:autoSpaceDE w:val="0"/>
        <w:autoSpaceDN w:val="0"/>
        <w:adjustRightInd w:val="0"/>
        <w:spacing w:line="360" w:lineRule="auto"/>
        <w:ind w:firstLine="3840" w:firstLineChars="16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供应商名称（电子签名）：</w:t>
      </w:r>
    </w:p>
    <w:p>
      <w:pPr>
        <w:autoSpaceDE w:val="0"/>
        <w:autoSpaceDN w:val="0"/>
        <w:adjustRightInd w:val="0"/>
        <w:spacing w:line="360" w:lineRule="auto"/>
        <w:ind w:firstLine="3840" w:firstLineChars="16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日期：年  月   日</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highlight w:val="none"/>
        </w:rPr>
      </w:pPr>
    </w:p>
    <w:p>
      <w:pPr>
        <w:pStyle w:val="23"/>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八、</w:t>
      </w:r>
      <w:r>
        <w:rPr>
          <w:rFonts w:hint="eastAsia" w:ascii="仿宋_GB2312" w:hAnsi="仿宋_GB2312" w:eastAsia="仿宋_GB2312" w:cs="仿宋_GB2312"/>
          <w:b/>
          <w:color w:val="auto"/>
          <w:sz w:val="28"/>
          <w:szCs w:val="28"/>
          <w:highlight w:val="none"/>
        </w:rPr>
        <w:t>商务技术偏离表</w:t>
      </w:r>
    </w:p>
    <w:p>
      <w:pPr>
        <w:spacing w:line="360" w:lineRule="auto"/>
        <w:rPr>
          <w:rFonts w:hint="eastAsia" w:ascii="仿宋_GB2312" w:hAnsi="仿宋_GB2312" w:eastAsia="仿宋_GB2312" w:cs="仿宋_GB2312"/>
          <w:color w:val="auto"/>
          <w:sz w:val="24"/>
          <w:highlight w:val="none"/>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97"/>
        <w:gridCol w:w="300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序号</w:t>
            </w:r>
          </w:p>
        </w:tc>
        <w:tc>
          <w:tcPr>
            <w:tcW w:w="3297"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磋商文件商务条款</w:t>
            </w:r>
          </w:p>
        </w:tc>
        <w:tc>
          <w:tcPr>
            <w:tcW w:w="3003"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响应文件商务条款</w:t>
            </w:r>
          </w:p>
        </w:tc>
        <w:tc>
          <w:tcPr>
            <w:tcW w:w="1629"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8" w:type="dxa"/>
          </w:tcPr>
          <w:p>
            <w:pPr>
              <w:jc w:val="center"/>
              <w:rPr>
                <w:rFonts w:hint="eastAsia" w:ascii="仿宋_GB2312" w:hAnsi="仿宋_GB2312" w:eastAsia="仿宋_GB2312" w:cs="仿宋_GB2312"/>
                <w:color w:val="auto"/>
                <w:szCs w:val="21"/>
                <w:highlight w:val="none"/>
              </w:rPr>
            </w:pPr>
          </w:p>
        </w:tc>
        <w:tc>
          <w:tcPr>
            <w:tcW w:w="3297" w:type="dxa"/>
          </w:tcPr>
          <w:p>
            <w:pPr>
              <w:jc w:val="center"/>
              <w:rPr>
                <w:rFonts w:hint="eastAsia" w:ascii="仿宋_GB2312" w:hAnsi="仿宋_GB2312" w:eastAsia="仿宋_GB2312" w:cs="仿宋_GB2312"/>
                <w:color w:val="auto"/>
                <w:szCs w:val="21"/>
                <w:highlight w:val="none"/>
              </w:rPr>
            </w:pPr>
          </w:p>
        </w:tc>
        <w:tc>
          <w:tcPr>
            <w:tcW w:w="3003" w:type="dxa"/>
          </w:tcPr>
          <w:p>
            <w:pPr>
              <w:jc w:val="center"/>
              <w:rPr>
                <w:rFonts w:hint="eastAsia" w:ascii="仿宋_GB2312" w:hAnsi="仿宋_GB2312" w:eastAsia="仿宋_GB2312" w:cs="仿宋_GB2312"/>
                <w:color w:val="auto"/>
                <w:szCs w:val="21"/>
                <w:highlight w:val="none"/>
              </w:rPr>
            </w:pPr>
          </w:p>
        </w:tc>
        <w:tc>
          <w:tcPr>
            <w:tcW w:w="1629" w:type="dxa"/>
          </w:tcPr>
          <w:p>
            <w:pPr>
              <w:jc w:val="center"/>
              <w:rPr>
                <w:rFonts w:hint="eastAsia" w:ascii="仿宋_GB2312" w:hAnsi="仿宋_GB2312" w:eastAsia="仿宋_GB2312" w:cs="仿宋_GB2312"/>
                <w:color w:val="auto"/>
                <w:szCs w:val="21"/>
                <w:highlight w:val="none"/>
              </w:rPr>
            </w:pPr>
          </w:p>
        </w:tc>
      </w:tr>
    </w:tbl>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autoSpaceDE w:val="0"/>
        <w:autoSpaceDN w:val="0"/>
        <w:spacing w:line="360" w:lineRule="auto"/>
        <w:ind w:firstLine="3360" w:firstLineChars="14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供应商</w:t>
      </w: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kern w:val="0"/>
          <w:sz w:val="24"/>
          <w:highlight w:val="none"/>
          <w:lang w:val="zh-CN"/>
        </w:rPr>
        <w:t>（电子签名）：</w:t>
      </w:r>
    </w:p>
    <w:p>
      <w:pPr>
        <w:spacing w:line="360" w:lineRule="auto"/>
        <w:ind w:firstLine="3360" w:firstLineChars="1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日期：年  月   日</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九、</w:t>
      </w:r>
      <w:r>
        <w:rPr>
          <w:rFonts w:hint="eastAsia" w:ascii="仿宋_GB2312" w:hAnsi="仿宋_GB2312" w:eastAsia="仿宋_GB2312" w:cs="仿宋_GB2312"/>
          <w:b/>
          <w:color w:val="auto"/>
          <w:sz w:val="28"/>
          <w:szCs w:val="28"/>
          <w:highlight w:val="none"/>
          <w:lang w:val="zh-CN"/>
        </w:rPr>
        <w:t>政府采购供应商廉洁自律承诺书</w:t>
      </w:r>
    </w:p>
    <w:p>
      <w:pPr>
        <w:snapToGrid w:val="0"/>
        <w:spacing w:line="360" w:lineRule="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u w:val="single"/>
        </w:rPr>
        <w:t>（采购人）、（采购代理机构）</w:t>
      </w:r>
      <w:r>
        <w:rPr>
          <w:rFonts w:hint="eastAsia" w:ascii="仿宋_GB2312" w:hAnsi="仿宋_GB2312" w:eastAsia="仿宋_GB2312" w:cs="仿宋_GB2312"/>
          <w:color w:val="auto"/>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项目采购要求参加响应。在这次响应过程中和成交后，我们将严格遵守国家法律法规要求，并郑重承诺：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有权立即取消我单位响应、成交或在建项目的建设资格，有权拒绝我单位在一定时期内进入你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供应商名称(电子签名)：</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 xml:space="preserve">日期：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zh-CN"/>
        </w:rPr>
        <w:t>年  月   日</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bookmarkStart w:id="143" w:name="_Toc21950"/>
      <w:bookmarkStart w:id="144" w:name="_Toc41037314"/>
      <w:bookmarkStart w:id="145" w:name="_Toc50023522"/>
    </w:p>
    <w:p>
      <w:pPr>
        <w:pStyle w:val="3"/>
        <w:spacing w:before="120" w:beforeLines="50" w:after="120" w:afterLines="50"/>
        <w:rPr>
          <w:rFonts w:hint="eastAsia" w:ascii="仿宋_GB2312" w:hAnsi="仿宋_GB2312" w:eastAsia="仿宋_GB2312" w:cs="仿宋_GB2312"/>
          <w:bCs/>
          <w:color w:val="auto"/>
          <w:sz w:val="28"/>
          <w:szCs w:val="28"/>
          <w:highlight w:val="none"/>
        </w:rPr>
      </w:pPr>
      <w:bookmarkStart w:id="146" w:name="_Toc22070"/>
      <w:r>
        <w:rPr>
          <w:rFonts w:hint="eastAsia" w:ascii="仿宋_GB2312" w:hAnsi="仿宋_GB2312" w:eastAsia="仿宋_GB2312" w:cs="仿宋_GB2312"/>
          <w:bCs/>
          <w:color w:val="auto"/>
          <w:sz w:val="28"/>
          <w:szCs w:val="28"/>
          <w:highlight w:val="none"/>
        </w:rPr>
        <w:t>报价文件</w:t>
      </w:r>
      <w:bookmarkEnd w:id="143"/>
      <w:bookmarkEnd w:id="144"/>
      <w:bookmarkEnd w:id="145"/>
      <w:bookmarkEnd w:id="146"/>
    </w:p>
    <w:p>
      <w:pPr>
        <w:jc w:val="center"/>
        <w:rPr>
          <w:rFonts w:hint="eastAsia" w:ascii="仿宋_GB2312" w:hAnsi="仿宋_GB2312" w:eastAsia="仿宋_GB2312" w:cs="仿宋_GB2312"/>
          <w:b/>
          <w:bCs/>
          <w:color w:val="auto"/>
          <w:sz w:val="28"/>
          <w:szCs w:val="28"/>
          <w:highlight w:val="none"/>
        </w:rPr>
      </w:pPr>
    </w:p>
    <w:p>
      <w:pPr>
        <w:jc w:val="center"/>
        <w:rPr>
          <w:rFonts w:hint="eastAsia" w:ascii="仿宋_GB2312" w:hAnsi="仿宋_GB2312" w:eastAsia="仿宋_GB2312" w:cs="仿宋_GB2312"/>
          <w:b/>
          <w:bCs/>
          <w:color w:val="auto"/>
          <w:sz w:val="36"/>
          <w:szCs w:val="36"/>
          <w:highlight w:val="none"/>
          <w:lang w:val="en-US" w:eastAsia="zh-CN"/>
        </w:rPr>
      </w:pPr>
      <w:r>
        <w:rPr>
          <w:rFonts w:hint="eastAsia" w:ascii="仿宋_GB2312" w:hAnsi="仿宋_GB2312" w:eastAsia="仿宋_GB2312" w:cs="仿宋_GB2312"/>
          <w:b/>
          <w:bCs/>
          <w:color w:val="auto"/>
          <w:sz w:val="36"/>
          <w:szCs w:val="36"/>
          <w:highlight w:val="none"/>
          <w:lang w:val="en-US" w:eastAsia="zh-CN"/>
        </w:rPr>
        <w:t>目  录</w:t>
      </w:r>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1.初始报价一览表</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2.中小企业声明函（如有）</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3.报价情况说明（如果有）</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4.采购代理服务费支付承诺书</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（页码）</w:t>
      </w:r>
    </w:p>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rPr>
        <w:t>磋商响应初始报价一览表</w:t>
      </w:r>
    </w:p>
    <w:p>
      <w:pPr>
        <w:adjustRightInd w:val="0"/>
        <w:snapToGrid w:val="0"/>
        <w:spacing w:line="360" w:lineRule="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u w:val="single"/>
        </w:rPr>
        <w:t>（采购人）、（采购代理机构）</w:t>
      </w:r>
      <w:r>
        <w:rPr>
          <w:rFonts w:hint="eastAsia" w:ascii="仿宋_GB2312" w:hAnsi="仿宋_GB2312" w:eastAsia="仿宋_GB2312" w:cs="仿宋_GB2312"/>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（项目名称）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lang w:val="zh-CN" w:eastAsia="zh-CN"/>
        </w:rPr>
        <w:t>项目</w:t>
      </w:r>
      <w:r>
        <w:rPr>
          <w:rFonts w:hint="eastAsia" w:ascii="仿宋_GB2312" w:hAnsi="仿宋_GB2312" w:eastAsia="仿宋_GB2312" w:cs="仿宋_GB2312"/>
          <w:color w:val="auto"/>
          <w:kern w:val="0"/>
          <w:sz w:val="24"/>
          <w:highlight w:val="none"/>
          <w:lang w:val="zh-CN"/>
        </w:rPr>
        <w:t>编号：</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】的实施</w:t>
      </w:r>
      <w:r>
        <w:rPr>
          <w:rFonts w:hint="eastAsia" w:ascii="仿宋_GB2312" w:hAnsi="仿宋_GB2312" w:eastAsia="仿宋_GB2312" w:cs="仿宋_GB2312"/>
          <w:color w:val="auto"/>
          <w:kern w:val="0"/>
          <w:sz w:val="24"/>
          <w:highlight w:val="none"/>
          <w:lang w:val="zh-CN"/>
        </w:rPr>
        <w:t>。</w:t>
      </w:r>
    </w:p>
    <w:p>
      <w:pPr>
        <w:spacing w:line="360" w:lineRule="auto"/>
        <w:jc w:val="center"/>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初始报价一览表(单位均为人民币元)</w:t>
      </w:r>
    </w:p>
    <w:tbl>
      <w:tblPr>
        <w:tblStyle w:val="56"/>
        <w:tblW w:w="8925" w:type="dxa"/>
        <w:tblInd w:w="5" w:type="dxa"/>
        <w:tblLayout w:type="fixed"/>
        <w:tblCellMar>
          <w:top w:w="0" w:type="dxa"/>
          <w:left w:w="0" w:type="dxa"/>
          <w:bottom w:w="0" w:type="dxa"/>
          <w:right w:w="0" w:type="dxa"/>
        </w:tblCellMar>
      </w:tblPr>
      <w:tblGrid>
        <w:gridCol w:w="673"/>
        <w:gridCol w:w="1254"/>
        <w:gridCol w:w="1248"/>
        <w:gridCol w:w="770"/>
        <w:gridCol w:w="831"/>
        <w:gridCol w:w="1255"/>
        <w:gridCol w:w="1256"/>
        <w:gridCol w:w="1638"/>
      </w:tblGrid>
      <w:tr>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编号</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lang w:val="en-US" w:eastAsia="zh-CN"/>
              </w:rPr>
              <w:t>服务（</w:t>
            </w:r>
            <w:r>
              <w:rPr>
                <w:rFonts w:hint="eastAsia" w:ascii="仿宋_GB2312" w:hAnsi="仿宋_GB2312" w:eastAsia="仿宋_GB2312" w:cs="仿宋_GB2312"/>
                <w:b/>
                <w:color w:val="auto"/>
                <w:szCs w:val="21"/>
                <w:highlight w:val="none"/>
              </w:rPr>
              <w:t>费用</w:t>
            </w:r>
            <w:r>
              <w:rPr>
                <w:rFonts w:hint="eastAsia" w:ascii="仿宋_GB2312" w:hAnsi="仿宋_GB2312" w:eastAsia="仿宋_GB2312" w:cs="仿宋_GB2312"/>
                <w:b/>
                <w:color w:val="auto"/>
                <w:szCs w:val="21"/>
                <w:highlight w:val="none"/>
                <w:lang w:val="en-US" w:eastAsia="zh-CN"/>
              </w:rPr>
              <w:t>）</w:t>
            </w:r>
            <w:r>
              <w:rPr>
                <w:rFonts w:hint="eastAsia" w:ascii="仿宋_GB2312" w:hAnsi="仿宋_GB2312" w:eastAsia="仿宋_GB2312" w:cs="仿宋_GB2312"/>
                <w:b/>
                <w:color w:val="auto"/>
                <w:szCs w:val="21"/>
                <w:highlight w:val="none"/>
              </w:rPr>
              <w:t>名称</w:t>
            </w: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单位</w:t>
            </w: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数量</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单价（元）</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小计（元）</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备注</w:t>
            </w:r>
          </w:p>
        </w:tc>
      </w:tr>
      <w:tr>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46"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66"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_GB2312" w:hAnsi="仿宋_GB2312" w:eastAsia="仿宋_GB2312" w:cs="仿宋_GB2312"/>
                <w:color w:val="auto"/>
                <w:szCs w:val="21"/>
                <w:highlight w:val="none"/>
              </w:rPr>
            </w:pP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_GB2312" w:hAnsi="仿宋_GB2312" w:eastAsia="仿宋_GB2312" w:cs="仿宋_GB2312"/>
                <w:b/>
                <w:color w:val="auto"/>
                <w:sz w:val="24"/>
                <w:highlight w:val="none"/>
              </w:rPr>
            </w:pPr>
          </w:p>
        </w:tc>
        <w:tc>
          <w:tcPr>
            <w:tcW w:w="535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合计</w:t>
            </w: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_GB2312" w:hAnsi="仿宋_GB2312" w:eastAsia="仿宋_GB2312" w:cs="仿宋_GB2312"/>
                <w:color w:val="auto"/>
                <w:highlight w:val="none"/>
              </w:rPr>
            </w:pPr>
          </w:p>
        </w:tc>
      </w:tr>
      <w:tr>
        <w:tblPrEx>
          <w:tblCellMar>
            <w:top w:w="0" w:type="dxa"/>
            <w:left w:w="0" w:type="dxa"/>
            <w:bottom w:w="0" w:type="dxa"/>
            <w:right w:w="0" w:type="dxa"/>
          </w:tblCellMar>
        </w:tblPrEx>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初始报价</w:t>
            </w:r>
          </w:p>
        </w:tc>
        <w:tc>
          <w:tcPr>
            <w:tcW w:w="699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120" w:firstLineChars="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大写：</w:t>
            </w:r>
          </w:p>
        </w:tc>
      </w:tr>
    </w:tbl>
    <w:p>
      <w:pPr>
        <w:adjustRightInd w:val="0"/>
        <w:spacing w:line="264" w:lineRule="auto"/>
        <w:rPr>
          <w:rFonts w:hint="eastAsia" w:ascii="仿宋_GB2312" w:hAnsi="仿宋_GB2312" w:eastAsia="仿宋_GB2312" w:cs="仿宋_GB2312"/>
          <w:color w:val="auto"/>
          <w:kern w:val="0"/>
          <w:szCs w:val="21"/>
          <w:highlight w:val="none"/>
          <w:lang w:val="zh-CN"/>
        </w:rPr>
      </w:pPr>
      <w:r>
        <w:rPr>
          <w:rFonts w:hint="eastAsia" w:ascii="仿宋_GB2312" w:hAnsi="仿宋_GB2312" w:eastAsia="仿宋_GB2312" w:cs="仿宋_GB2312"/>
          <w:b/>
          <w:color w:val="auto"/>
          <w:kern w:val="0"/>
          <w:szCs w:val="21"/>
          <w:highlight w:val="none"/>
          <w:lang w:val="zh-CN"/>
        </w:rPr>
        <w:t>注：</w:t>
      </w:r>
      <w:r>
        <w:rPr>
          <w:rFonts w:hint="eastAsia" w:ascii="仿宋_GB2312" w:hAnsi="仿宋_GB2312" w:eastAsia="仿宋_GB2312" w:cs="仿宋_GB2312"/>
          <w:color w:val="auto"/>
          <w:kern w:val="0"/>
          <w:szCs w:val="21"/>
          <w:highlight w:val="none"/>
          <w:lang w:val="zh-CN"/>
        </w:rPr>
        <w:t>1、供应商需按本表格式填写，</w:t>
      </w:r>
      <w:r>
        <w:rPr>
          <w:rFonts w:hint="eastAsia" w:ascii="仿宋_GB2312" w:hAnsi="仿宋_GB2312" w:eastAsia="仿宋_GB2312" w:cs="仿宋_GB2312"/>
          <w:b/>
          <w:bCs/>
          <w:color w:val="auto"/>
          <w:kern w:val="0"/>
          <w:szCs w:val="21"/>
          <w:highlight w:val="none"/>
          <w:lang w:val="zh-CN"/>
        </w:rPr>
        <w:t>否则视为响应文件含有采购人不能接受的附加条件，响应无效。</w:t>
      </w:r>
    </w:p>
    <w:p>
      <w:pPr>
        <w:adjustRightInd w:val="0"/>
        <w:spacing w:line="264" w:lineRule="auto"/>
        <w:ind w:firstLine="420" w:firstLineChars="200"/>
        <w:rPr>
          <w:rFonts w:hint="eastAsia" w:ascii="仿宋_GB2312" w:hAnsi="仿宋_GB2312" w:eastAsia="仿宋_GB2312" w:cs="仿宋_GB2312"/>
          <w:color w:val="auto"/>
          <w:kern w:val="0"/>
          <w:szCs w:val="21"/>
          <w:highlight w:val="none"/>
          <w:lang w:val="zh-CN"/>
        </w:rPr>
      </w:pPr>
      <w:r>
        <w:rPr>
          <w:rFonts w:hint="eastAsia" w:ascii="仿宋_GB2312" w:hAnsi="仿宋_GB2312" w:eastAsia="仿宋_GB2312" w:cs="仿宋_GB2312"/>
          <w:color w:val="auto"/>
          <w:kern w:val="0"/>
          <w:szCs w:val="21"/>
          <w:highlight w:val="none"/>
          <w:lang w:val="zh-CN"/>
        </w:rPr>
        <w:t>2、有关本项目实施所涉及的一切费用均计入报价。响应总价不得为零，报价明细表中部分分项单价为零的，视作已包含在总价中。</w:t>
      </w:r>
      <w:r>
        <w:rPr>
          <w:rFonts w:hint="eastAsia" w:ascii="仿宋_GB2312" w:hAnsi="仿宋_GB2312" w:eastAsia="仿宋_GB2312" w:cs="仿宋_GB2312"/>
          <w:b/>
          <w:bCs/>
          <w:color w:val="auto"/>
          <w:kern w:val="0"/>
          <w:szCs w:val="21"/>
          <w:highlight w:val="none"/>
          <w:lang w:val="zh-CN"/>
        </w:rPr>
        <w:t>采购人将以合同形式有偿取得服务，不接受供应商给予的赠品、回扣或者与采购无关的其他商品、服务</w:t>
      </w:r>
      <w:r>
        <w:rPr>
          <w:rFonts w:hint="eastAsia" w:ascii="仿宋_GB2312" w:hAnsi="仿宋_GB2312" w:eastAsia="仿宋_GB2312" w:cs="仿宋_GB2312"/>
          <w:color w:val="auto"/>
          <w:kern w:val="0"/>
          <w:szCs w:val="21"/>
          <w:highlight w:val="none"/>
          <w:lang w:val="zh-CN"/>
        </w:rPr>
        <w:t>；采购内容未包含在《初始报价一览表》名称栏中，供应商不能作出合理解释的，</w:t>
      </w:r>
      <w:r>
        <w:rPr>
          <w:rFonts w:hint="eastAsia" w:ascii="仿宋_GB2312" w:hAnsi="仿宋_GB2312" w:eastAsia="仿宋_GB2312" w:cs="仿宋_GB2312"/>
          <w:b/>
          <w:bCs/>
          <w:color w:val="auto"/>
          <w:kern w:val="0"/>
          <w:szCs w:val="21"/>
          <w:highlight w:val="none"/>
          <w:lang w:val="zh-CN"/>
        </w:rPr>
        <w:t>否则视为响应文件含有采购人不能接受的附加条件的，响应无效。</w:t>
      </w:r>
    </w:p>
    <w:p>
      <w:pPr>
        <w:adjustRightInd w:val="0"/>
        <w:spacing w:line="264" w:lineRule="auto"/>
        <w:ind w:firstLine="420" w:firstLineChars="200"/>
        <w:jc w:val="left"/>
        <w:rPr>
          <w:rFonts w:hint="eastAsia" w:ascii="仿宋_GB2312" w:hAnsi="仿宋_GB2312" w:eastAsia="仿宋_GB2312" w:cs="仿宋_GB2312"/>
          <w:color w:val="auto"/>
          <w:kern w:val="0"/>
          <w:szCs w:val="21"/>
          <w:highlight w:val="none"/>
          <w:lang w:val="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zh-CN"/>
        </w:rPr>
        <w:t>、特别提示：采购代理机构将对项目名称和项目编号，成交供应商名称、地址和成交金额，服务期等予以公示。</w:t>
      </w:r>
    </w:p>
    <w:p>
      <w:pPr>
        <w:adjustRightInd w:val="0"/>
        <w:spacing w:line="288" w:lineRule="auto"/>
        <w:ind w:firstLine="422"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 w:val="21"/>
          <w:szCs w:val="21"/>
          <w:highlight w:val="none"/>
          <w:lang w:val="zh-CN"/>
        </w:rPr>
        <w:t>▲</w:t>
      </w:r>
      <w:r>
        <w:rPr>
          <w:rFonts w:hint="eastAsia" w:ascii="仿宋_GB2312" w:hAnsi="仿宋_GB2312" w:eastAsia="仿宋_GB2312" w:cs="仿宋_GB2312"/>
          <w:color w:val="auto"/>
          <w:kern w:val="0"/>
          <w:sz w:val="21"/>
          <w:szCs w:val="21"/>
          <w:highlight w:val="none"/>
          <w:lang w:val="en-US" w:eastAsia="zh-CN"/>
        </w:rPr>
        <w:t>4</w:t>
      </w:r>
      <w:r>
        <w:rPr>
          <w:rFonts w:hint="eastAsia" w:ascii="仿宋_GB2312" w:hAnsi="仿宋_GB2312" w:eastAsia="仿宋_GB2312" w:cs="仿宋_GB2312"/>
          <w:color w:val="auto"/>
          <w:kern w:val="0"/>
          <w:sz w:val="21"/>
          <w:szCs w:val="21"/>
          <w:highlight w:val="none"/>
          <w:lang w:val="zh-CN"/>
        </w:rPr>
        <w:t>、</w:t>
      </w:r>
      <w:r>
        <w:rPr>
          <w:rFonts w:hint="eastAsia" w:ascii="仿宋_GB2312" w:hAnsi="仿宋_GB2312" w:eastAsia="仿宋_GB2312" w:cs="仿宋_GB2312"/>
          <w:b/>
          <w:bCs/>
          <w:color w:val="auto"/>
          <w:kern w:val="0"/>
          <w:sz w:val="21"/>
          <w:szCs w:val="21"/>
          <w:highlight w:val="none"/>
          <w:lang w:val="zh-CN"/>
        </w:rPr>
        <w:t>特别说明：供应商报价低于项目预算50%的，应当在报价文件中详细阐述不影响产品质量或者诚信履约的具体原因。</w:t>
      </w:r>
    </w:p>
    <w:p>
      <w:pPr>
        <w:adjustRightInd w:val="0"/>
        <w:spacing w:line="288" w:lineRule="auto"/>
        <w:ind w:firstLine="420" w:firstLineChars="200"/>
        <w:rPr>
          <w:rFonts w:hint="eastAsia" w:ascii="仿宋_GB2312" w:hAnsi="仿宋_GB2312" w:eastAsia="仿宋_GB2312" w:cs="仿宋_GB2312"/>
          <w:color w:val="auto"/>
          <w:szCs w:val="21"/>
          <w:highlight w:val="none"/>
          <w:lang w:val="zh-CN"/>
        </w:rPr>
      </w:pPr>
    </w:p>
    <w:p>
      <w:pPr>
        <w:autoSpaceDE w:val="0"/>
        <w:autoSpaceDN w:val="0"/>
        <w:spacing w:line="360" w:lineRule="auto"/>
        <w:ind w:firstLine="3360" w:firstLineChars="14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供应商</w:t>
      </w: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val="zh-CN"/>
        </w:rPr>
        <w:t>（电子签名）</w:t>
      </w:r>
      <w:r>
        <w:rPr>
          <w:rFonts w:hint="eastAsia" w:ascii="仿宋_GB2312" w:hAnsi="仿宋_GB2312" w:eastAsia="仿宋_GB2312" w:cs="仿宋_GB2312"/>
          <w:color w:val="auto"/>
          <w:kern w:val="0"/>
          <w:sz w:val="24"/>
          <w:highlight w:val="none"/>
          <w:lang w:val="zh-CN"/>
        </w:rPr>
        <w:t>：</w:t>
      </w:r>
    </w:p>
    <w:p>
      <w:pPr>
        <w:spacing w:line="360" w:lineRule="auto"/>
        <w:ind w:firstLine="3360" w:firstLineChars="1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  月   日</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color w:val="auto"/>
          <w:kern w:val="0"/>
          <w:sz w:val="30"/>
          <w:szCs w:val="30"/>
          <w:highlight w:val="none"/>
          <w:lang w:val="zh-CN" w:eastAsia="zh-CN"/>
        </w:rPr>
      </w:pPr>
      <w:r>
        <w:rPr>
          <w:rFonts w:hint="eastAsia" w:ascii="仿宋_GB2312" w:hAnsi="仿宋_GB2312" w:eastAsia="仿宋_GB2312" w:cs="仿宋_GB2312"/>
          <w:b/>
          <w:color w:val="auto"/>
          <w:kern w:val="0"/>
          <w:sz w:val="30"/>
          <w:szCs w:val="30"/>
          <w:highlight w:val="none"/>
          <w:lang w:val="zh-CN" w:eastAsia="zh-CN"/>
        </w:rPr>
        <w:t>二、中小企业声明函（如果有）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val="0"/>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采购</w:t>
      </w:r>
      <w:r>
        <w:rPr>
          <w:rFonts w:hint="eastAsia" w:ascii="仿宋_GB2312" w:hAnsi="仿宋_GB2312" w:eastAsia="仿宋_GB2312" w:cs="仿宋_GB2312"/>
          <w:b/>
          <w:bCs/>
          <w:color w:val="auto"/>
          <w:sz w:val="24"/>
          <w:highlight w:val="none"/>
        </w:rPr>
        <w:t>公告</w:t>
      </w:r>
      <w:r>
        <w:rPr>
          <w:rFonts w:hint="eastAsia" w:ascii="仿宋_GB2312" w:hAnsi="仿宋_GB2312" w:eastAsia="仿宋_GB2312" w:cs="仿宋_GB2312"/>
          <w:b/>
          <w:bCs/>
          <w:color w:val="auto"/>
          <w:sz w:val="24"/>
          <w:highlight w:val="none"/>
          <w:lang w:val="en-US" w:eastAsia="zh-CN"/>
        </w:rPr>
        <w:t>中，</w:t>
      </w:r>
      <w:r>
        <w:rPr>
          <w:rFonts w:hint="eastAsia" w:ascii="仿宋_GB2312" w:hAnsi="仿宋_GB2312" w:eastAsia="仿宋_GB2312" w:cs="仿宋_GB2312"/>
          <w:b/>
          <w:bCs/>
          <w:color w:val="auto"/>
          <w:sz w:val="24"/>
          <w:highlight w:val="none"/>
        </w:rPr>
        <w:t>落实政府采购政策需满足的资格要求为“无”</w:t>
      </w:r>
      <w:r>
        <w:rPr>
          <w:rFonts w:hint="eastAsia" w:ascii="仿宋_GB2312" w:hAnsi="仿宋_GB2312" w:eastAsia="仿宋_GB2312" w:cs="仿宋_GB2312"/>
          <w:b/>
          <w:bCs/>
          <w:color w:val="auto"/>
          <w:sz w:val="24"/>
          <w:highlight w:val="none"/>
          <w:lang w:val="en-US" w:eastAsia="zh-CN"/>
        </w:rPr>
        <w:t>的，</w:t>
      </w:r>
      <w:r>
        <w:rPr>
          <w:rFonts w:hint="eastAsia" w:ascii="仿宋_GB2312" w:hAnsi="仿宋_GB2312" w:eastAsia="仿宋_GB2312" w:cs="仿宋_GB2312"/>
          <w:b/>
          <w:bCs/>
          <w:color w:val="auto"/>
          <w:sz w:val="24"/>
          <w:highlight w:val="none"/>
        </w:rPr>
        <w:t>即本项目或标项未预留份额专门面向中小企业时，符合《政府采购促进中小企业发展管理办法》规定的小微企业拟享受价格扣除政策的，需提供中小企业声明函（</w:t>
      </w:r>
      <w:r>
        <w:rPr>
          <w:rFonts w:hint="eastAsia" w:ascii="仿宋_GB2312" w:hAnsi="仿宋_GB2312" w:eastAsia="仿宋_GB2312" w:cs="仿宋_GB2312"/>
          <w:b/>
          <w:bCs/>
          <w:color w:val="auto"/>
          <w:sz w:val="24"/>
          <w:highlight w:val="none"/>
          <w:lang w:val="en-US" w:eastAsia="zh-CN"/>
        </w:rPr>
        <w:t>第七章</w:t>
      </w:r>
      <w:r>
        <w:rPr>
          <w:rFonts w:hint="eastAsia" w:ascii="仿宋_GB2312" w:hAnsi="仿宋_GB2312" w:eastAsia="仿宋_GB2312" w:cs="仿宋_GB2312"/>
          <w:b/>
          <w:bCs/>
          <w:color w:val="auto"/>
          <w:sz w:val="24"/>
          <w:highlight w:val="none"/>
        </w:rPr>
        <w:t>附件</w:t>
      </w:r>
      <w:r>
        <w:rPr>
          <w:rFonts w:hint="eastAsia" w:ascii="仿宋_GB2312" w:hAnsi="仿宋_GB2312" w:eastAsia="仿宋_GB2312" w:cs="仿宋_GB2312"/>
          <w:b/>
          <w:bCs/>
          <w:color w:val="auto"/>
          <w:sz w:val="24"/>
          <w:highlight w:val="none"/>
          <w:lang w:val="en-US"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color w:val="auto"/>
          <w:sz w:val="24"/>
          <w:highlight w:val="none"/>
          <w:lang w:val="en-US" w:eastAsia="zh-CN"/>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lang w:val="en-US" w:eastAsia="zh-CN"/>
        </w:rPr>
      </w:pPr>
      <w:bookmarkStart w:id="147" w:name="_Toc16774608"/>
      <w:bookmarkStart w:id="148" w:name="_Toc35510246"/>
      <w:bookmarkStart w:id="149" w:name="_Toc17466508"/>
    </w:p>
    <w:p>
      <w:pPr>
        <w:spacing w:line="360" w:lineRule="auto"/>
        <w:jc w:val="center"/>
        <w:rPr>
          <w:rFonts w:hint="eastAsia" w:ascii="仿宋_GB2312" w:hAnsi="仿宋_GB2312" w:eastAsia="仿宋_GB2312" w:cs="仿宋_GB2312"/>
          <w:b/>
          <w:color w:val="auto"/>
          <w:kern w:val="0"/>
          <w:sz w:val="30"/>
          <w:szCs w:val="30"/>
          <w:highlight w:val="none"/>
          <w:lang w:val="zh-CN"/>
        </w:rPr>
      </w:pPr>
      <w:r>
        <w:rPr>
          <w:rFonts w:hint="eastAsia" w:ascii="仿宋_GB2312" w:hAnsi="仿宋_GB2312" w:eastAsia="仿宋_GB2312" w:cs="仿宋_GB2312"/>
          <w:b/>
          <w:color w:val="auto"/>
          <w:kern w:val="0"/>
          <w:sz w:val="30"/>
          <w:szCs w:val="30"/>
          <w:highlight w:val="none"/>
          <w:lang w:val="zh-CN"/>
        </w:rPr>
        <w:t>三、报价情况说明（如果有）</w:t>
      </w:r>
    </w:p>
    <w:p>
      <w:pPr>
        <w:spacing w:line="312" w:lineRule="auto"/>
        <w:ind w:firstLine="480" w:firstLineChars="200"/>
        <w:rPr>
          <w:rFonts w:hint="eastAsia" w:ascii="仿宋_GB2312" w:hAnsi="仿宋_GB2312" w:eastAsia="仿宋_GB2312" w:cs="仿宋_GB2312"/>
          <w:color w:val="auto"/>
          <w:sz w:val="24"/>
          <w:highlight w:val="none"/>
        </w:rPr>
      </w:pPr>
    </w:p>
    <w:p>
      <w:pPr>
        <w:spacing w:line="312"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【如供应商报价低于项目预算50%的，应当提交本文档，详细阐述不影响服务质量或者诚信履约的具体原因】</w:t>
      </w:r>
    </w:p>
    <w:p>
      <w:pPr>
        <w:spacing w:line="312" w:lineRule="auto"/>
        <w:ind w:firstLine="482" w:firstLineChars="200"/>
        <w:rPr>
          <w:rFonts w:hint="eastAsia" w:ascii="仿宋_GB2312" w:hAnsi="仿宋_GB2312" w:eastAsia="仿宋_GB2312" w:cs="仿宋_GB2312"/>
          <w:b/>
          <w:bCs/>
          <w:color w:val="auto"/>
          <w:sz w:val="24"/>
          <w:highlight w:val="none"/>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p>
      <w:pPr>
        <w:spacing w:beforeLines="50" w:line="360" w:lineRule="auto"/>
        <w:jc w:val="center"/>
        <w:rPr>
          <w:rFonts w:hint="eastAsia" w:ascii="仿宋_GB2312" w:hAnsi="仿宋_GB2312" w:eastAsia="仿宋_GB2312" w:cs="仿宋_GB2312"/>
          <w:b/>
          <w:color w:val="auto"/>
          <w:sz w:val="28"/>
          <w:szCs w:val="28"/>
          <w:highlight w:val="none"/>
          <w:lang w:val="zh-CN" w:eastAsia="zh-CN"/>
        </w:rPr>
      </w:pPr>
      <w:r>
        <w:rPr>
          <w:rFonts w:hint="eastAsia" w:ascii="仿宋_GB2312" w:hAnsi="仿宋_GB2312" w:eastAsia="仿宋_GB2312" w:cs="仿宋_GB2312"/>
          <w:b/>
          <w:color w:val="auto"/>
          <w:sz w:val="28"/>
          <w:szCs w:val="28"/>
          <w:highlight w:val="none"/>
          <w:lang w:val="en-US" w:eastAsia="zh-CN"/>
        </w:rPr>
        <w:t>四、采购</w:t>
      </w:r>
      <w:r>
        <w:rPr>
          <w:rFonts w:hint="eastAsia" w:ascii="仿宋_GB2312" w:hAnsi="仿宋_GB2312" w:eastAsia="仿宋_GB2312" w:cs="仿宋_GB2312"/>
          <w:b/>
          <w:color w:val="auto"/>
          <w:sz w:val="28"/>
          <w:szCs w:val="28"/>
          <w:highlight w:val="none"/>
          <w:lang w:val="zh-CN" w:eastAsia="zh-CN"/>
        </w:rPr>
        <w:t>代理服务费支付承诺书</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b w:val="0"/>
          <w:bCs w:val="0"/>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_GB2312" w:hAnsi="仿宋_GB2312" w:eastAsia="仿宋_GB2312" w:cs="仿宋_GB2312"/>
          <w:b/>
          <w:color w:val="auto"/>
          <w:kern w:val="0"/>
          <w:sz w:val="30"/>
          <w:szCs w:val="30"/>
          <w:highlight w:val="none"/>
          <w:lang w:val="zh-CN" w:eastAsia="zh-CN"/>
        </w:rPr>
      </w:pPr>
      <w:r>
        <w:rPr>
          <w:rFonts w:hint="eastAsia" w:ascii="仿宋_GB2312" w:hAnsi="仿宋_GB2312" w:eastAsia="仿宋_GB2312" w:cs="仿宋_GB2312"/>
          <w:b/>
          <w:color w:val="auto"/>
          <w:kern w:val="0"/>
          <w:sz w:val="30"/>
          <w:szCs w:val="30"/>
          <w:highlight w:val="none"/>
          <w:lang w:val="zh-CN" w:eastAsia="zh-CN"/>
        </w:rPr>
        <w:t>采购代理服务费支付承诺书</w:t>
      </w:r>
    </w:p>
    <w:p>
      <w:pPr>
        <w:spacing w:line="312" w:lineRule="auto"/>
        <w:ind w:firstLine="480" w:firstLineChars="200"/>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u w:val="single"/>
        </w:rPr>
        <w:t>浙江国际招投标有限公司：</w:t>
      </w:r>
    </w:p>
    <w:p>
      <w:pPr>
        <w:spacing w:line="312" w:lineRule="auto"/>
        <w:ind w:firstLine="480" w:firstLineChars="200"/>
        <w:rPr>
          <w:rFonts w:hint="eastAsia" w:ascii="仿宋_GB2312" w:hAnsi="仿宋_GB2312" w:eastAsia="仿宋_GB2312" w:cs="仿宋_GB2312"/>
          <w:color w:val="auto"/>
          <w:sz w:val="24"/>
          <w:highlight w:val="none"/>
        </w:rPr>
      </w:pP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本单位在此承诺：如在本项目中标</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成交</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在</w:t>
      </w:r>
      <w:r>
        <w:rPr>
          <w:rFonts w:hint="eastAsia" w:ascii="仿宋_GB2312" w:hAnsi="仿宋_GB2312" w:eastAsia="仿宋_GB2312" w:cs="仿宋_GB2312"/>
          <w:color w:val="auto"/>
          <w:sz w:val="24"/>
          <w:highlight w:val="none"/>
        </w:rPr>
        <w:t>中标</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成交</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结果公告发布之日起7个工作日之内，向贵公司按采购文件约定支付采购代理服务费。</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特此承诺，否则将承担相应后果！</w:t>
      </w:r>
    </w:p>
    <w:p>
      <w:pPr>
        <w:spacing w:line="312" w:lineRule="auto"/>
        <w:ind w:firstLine="480" w:firstLineChars="200"/>
        <w:rPr>
          <w:rFonts w:hint="eastAsia" w:ascii="仿宋_GB2312" w:hAnsi="仿宋_GB2312" w:eastAsia="仿宋_GB2312" w:cs="仿宋_GB2312"/>
          <w:color w:val="auto"/>
          <w:sz w:val="24"/>
          <w:highlight w:val="none"/>
        </w:rPr>
      </w:pP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联系人：                   联系电话：               </w:t>
      </w:r>
    </w:p>
    <w:p>
      <w:pPr>
        <w:spacing w:line="312" w:lineRule="auto"/>
        <w:ind w:firstLine="480" w:firstLineChars="200"/>
        <w:rPr>
          <w:rFonts w:hint="eastAsia" w:ascii="仿宋_GB2312" w:hAnsi="仿宋_GB2312" w:eastAsia="仿宋_GB2312" w:cs="仿宋_GB2312"/>
          <w:color w:val="auto"/>
          <w:sz w:val="24"/>
          <w:highlight w:val="none"/>
        </w:rPr>
      </w:pPr>
    </w:p>
    <w:p>
      <w:pPr>
        <w:spacing w:line="360" w:lineRule="auto"/>
        <w:ind w:firstLine="3840" w:firstLineChars="1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名称（电子签名）：</w:t>
      </w:r>
    </w:p>
    <w:p>
      <w:pPr>
        <w:spacing w:line="360" w:lineRule="auto"/>
        <w:ind w:firstLine="3840" w:firstLineChars="1600"/>
        <w:jc w:val="center"/>
        <w:rPr>
          <w:rFonts w:hint="eastAsia" w:ascii="仿宋_GB2312" w:hAnsi="仿宋_GB2312" w:eastAsia="仿宋_GB2312" w:cs="仿宋_GB2312"/>
          <w:color w:val="auto"/>
          <w:kern w:val="0"/>
          <w:sz w:val="24"/>
          <w:highlight w:val="none"/>
          <w:u w:val="single"/>
          <w:lang w:val="zh-CN"/>
        </w:rPr>
      </w:pPr>
      <w:r>
        <w:rPr>
          <w:rFonts w:hint="eastAsia" w:ascii="仿宋_GB2312" w:hAnsi="仿宋_GB2312" w:eastAsia="仿宋_GB2312" w:cs="仿宋_GB2312"/>
          <w:color w:val="auto"/>
          <w:sz w:val="24"/>
          <w:highlight w:val="none"/>
        </w:rPr>
        <w:t>日期：</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日</w:t>
      </w:r>
    </w:p>
    <w:p>
      <w:pPr>
        <w:spacing w:line="264" w:lineRule="auto"/>
        <w:rPr>
          <w:rFonts w:hint="eastAsia" w:ascii="仿宋_GB2312" w:hAnsi="仿宋_GB2312" w:eastAsia="仿宋_GB2312" w:cs="仿宋_GB2312"/>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4" w:lineRule="auto"/>
        <w:ind w:firstLine="0" w:firstLineChars="0"/>
        <w:textAlignment w:val="auto"/>
        <w:rPr>
          <w:rFonts w:hint="eastAsia" w:ascii="仿宋_GB2312" w:hAnsi="仿宋_GB2312" w:eastAsia="仿宋_GB2312" w:cs="仿宋_GB2312"/>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0" w:firstLineChars="0"/>
        <w:textAlignment w:val="auto"/>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1.代理服务费计算方式详见磋商文件第二章磋商须知前附表，具体金额</w:t>
      </w:r>
      <w:r>
        <w:rPr>
          <w:rFonts w:hint="eastAsia" w:ascii="仿宋_GB2312" w:hAnsi="仿宋_GB2312" w:eastAsia="仿宋_GB2312" w:cs="仿宋_GB2312"/>
          <w:b/>
          <w:color w:val="auto"/>
          <w:szCs w:val="21"/>
          <w:highlight w:val="none"/>
        </w:rPr>
        <w:t>将在中标</w:t>
      </w:r>
      <w:r>
        <w:rPr>
          <w:rFonts w:hint="eastAsia" w:ascii="仿宋_GB2312" w:hAnsi="仿宋_GB2312" w:eastAsia="仿宋_GB2312" w:cs="仿宋_GB2312"/>
          <w:b/>
          <w:color w:val="auto"/>
          <w:szCs w:val="21"/>
          <w:highlight w:val="none"/>
          <w:lang w:eastAsia="zh-CN"/>
        </w:rPr>
        <w:t>（</w:t>
      </w:r>
      <w:r>
        <w:rPr>
          <w:rFonts w:hint="eastAsia" w:ascii="仿宋_GB2312" w:hAnsi="仿宋_GB2312" w:eastAsia="仿宋_GB2312" w:cs="仿宋_GB2312"/>
          <w:b/>
          <w:color w:val="auto"/>
          <w:szCs w:val="21"/>
          <w:highlight w:val="none"/>
          <w:lang w:val="en-US" w:eastAsia="zh-CN"/>
        </w:rPr>
        <w:t>成交</w:t>
      </w:r>
      <w:r>
        <w:rPr>
          <w:rFonts w:hint="eastAsia" w:ascii="仿宋_GB2312" w:hAnsi="仿宋_GB2312" w:eastAsia="仿宋_GB2312" w:cs="仿宋_GB2312"/>
          <w:b/>
          <w:color w:val="auto"/>
          <w:szCs w:val="21"/>
          <w:highlight w:val="none"/>
          <w:lang w:eastAsia="zh-CN"/>
        </w:rPr>
        <w:t>）</w:t>
      </w:r>
      <w:r>
        <w:rPr>
          <w:rFonts w:hint="eastAsia" w:ascii="仿宋_GB2312" w:hAnsi="仿宋_GB2312" w:eastAsia="仿宋_GB2312" w:cs="仿宋_GB2312"/>
          <w:b/>
          <w:color w:val="auto"/>
          <w:szCs w:val="21"/>
          <w:highlight w:val="none"/>
        </w:rPr>
        <w:t>结果公告网页上明示，采购代理机构不再另行通知。</w:t>
      </w:r>
      <w:r>
        <w:rPr>
          <w:rFonts w:hint="eastAsia" w:ascii="仿宋_GB2312" w:hAnsi="仿宋_GB2312" w:eastAsia="仿宋_GB2312" w:cs="仿宋_GB2312"/>
          <w:b/>
          <w:bCs w:val="0"/>
          <w:color w:val="auto"/>
          <w:sz w:val="21"/>
          <w:szCs w:val="21"/>
          <w:highlight w:val="none"/>
          <w:lang w:val="en-US" w:eastAsia="zh-CN"/>
        </w:rPr>
        <w:t>若不明确的，可与代理机构联系确认具体金额。</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sz w:val="21"/>
          <w:szCs w:val="21"/>
          <w:highlight w:val="none"/>
          <w:lang w:eastAsia="zh-CN"/>
        </w:rPr>
        <w:t>根据《中华人民共和国发票管理办法实施细则》（</w:t>
      </w:r>
      <w:r>
        <w:rPr>
          <w:rFonts w:hint="eastAsia" w:ascii="仿宋_GB2312" w:hAnsi="仿宋_GB2312" w:eastAsia="仿宋_GB2312" w:cs="仿宋_GB2312"/>
          <w:b/>
          <w:bCs/>
          <w:color w:val="auto"/>
          <w:sz w:val="21"/>
          <w:szCs w:val="21"/>
          <w:highlight w:val="none"/>
          <w:lang w:val="en-US" w:eastAsia="zh-CN"/>
        </w:rPr>
        <w:t>2024年1月15日修正</w:t>
      </w:r>
      <w:r>
        <w:rPr>
          <w:rFonts w:hint="eastAsia" w:ascii="仿宋_GB2312" w:hAnsi="仿宋_GB2312" w:eastAsia="仿宋_GB2312" w:cs="仿宋_GB2312"/>
          <w:b/>
          <w:bCs/>
          <w:color w:val="auto"/>
          <w:sz w:val="21"/>
          <w:szCs w:val="21"/>
          <w:highlight w:val="none"/>
          <w:lang w:eastAsia="zh-CN"/>
        </w:rPr>
        <w:t>）第二十四条“填开发票的单位和个人必须在发生经营业务确认营业收入时开具发票。未发生经营业务一律不准开具发票。”的规定，采购代理服务费发票将在代理机构确认收入后开具。</w:t>
      </w:r>
      <w:r>
        <w:rPr>
          <w:rFonts w:hint="eastAsia" w:ascii="仿宋_GB2312" w:hAnsi="仿宋_GB2312" w:eastAsia="仿宋_GB2312" w:cs="仿宋_GB2312"/>
          <w:b/>
          <w:bCs/>
          <w:color w:val="auto"/>
          <w:sz w:val="21"/>
          <w:szCs w:val="21"/>
          <w:highlight w:val="none"/>
          <w:lang w:val="en-US" w:eastAsia="zh-CN"/>
        </w:rPr>
        <w:t xml:space="preserve"> </w:t>
      </w:r>
    </w:p>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lang w:val="en-US" w:eastAsia="zh-CN"/>
        </w:rPr>
      </w:pP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rPr>
          <w:rFonts w:hint="eastAsia" w:ascii="仿宋_GB2312" w:hAnsi="仿宋_GB2312" w:eastAsia="仿宋_GB2312" w:cs="仿宋_GB2312"/>
          <w:color w:val="auto"/>
          <w:highlight w:val="none"/>
          <w:lang w:val="en-US" w:eastAsia="zh-CN"/>
        </w:rPr>
      </w:pPr>
    </w:p>
    <w:p>
      <w:pPr>
        <w:adjustRightInd w:val="0"/>
        <w:snapToGrid w:val="0"/>
        <w:spacing w:before="120" w:beforeLines="50" w:after="120" w:afterLines="50" w:line="360" w:lineRule="auto"/>
        <w:jc w:val="center"/>
        <w:outlineLvl w:val="0"/>
        <w:rPr>
          <w:rFonts w:hint="eastAsia" w:ascii="仿宋_GB2312" w:hAnsi="仿宋_GB2312" w:eastAsia="仿宋_GB2312" w:cs="仿宋_GB2312"/>
          <w:b/>
          <w:color w:val="auto"/>
          <w:sz w:val="30"/>
          <w:szCs w:val="30"/>
          <w:highlight w:val="none"/>
        </w:rPr>
      </w:pPr>
      <w:bookmarkStart w:id="150" w:name="_Toc9726"/>
      <w:bookmarkStart w:id="151" w:name="_Toc18885"/>
      <w:r>
        <w:rPr>
          <w:rFonts w:hint="eastAsia" w:ascii="仿宋_GB2312" w:hAnsi="仿宋_GB2312" w:eastAsia="仿宋_GB2312" w:cs="仿宋_GB2312"/>
          <w:b/>
          <w:color w:val="auto"/>
          <w:sz w:val="30"/>
          <w:szCs w:val="30"/>
          <w:highlight w:val="none"/>
        </w:rPr>
        <w:t>第七</w:t>
      </w:r>
      <w:r>
        <w:rPr>
          <w:rFonts w:hint="eastAsia" w:ascii="仿宋_GB2312" w:hAnsi="仿宋_GB2312" w:eastAsia="仿宋_GB2312" w:cs="仿宋_GB2312"/>
          <w:b/>
          <w:color w:val="auto"/>
          <w:sz w:val="30"/>
          <w:szCs w:val="30"/>
          <w:highlight w:val="none"/>
          <w:lang w:val="en-US" w:eastAsia="zh-CN"/>
        </w:rPr>
        <w:t>章</w:t>
      </w:r>
      <w:r>
        <w:rPr>
          <w:rFonts w:hint="eastAsia" w:ascii="仿宋_GB2312" w:hAnsi="仿宋_GB2312" w:eastAsia="仿宋_GB2312" w:cs="仿宋_GB2312"/>
          <w:b/>
          <w:color w:val="auto"/>
          <w:sz w:val="30"/>
          <w:szCs w:val="30"/>
          <w:highlight w:val="none"/>
        </w:rPr>
        <w:t xml:space="preserve">  其他</w:t>
      </w:r>
      <w:bookmarkEnd w:id="147"/>
      <w:bookmarkEnd w:id="148"/>
      <w:bookmarkEnd w:id="149"/>
      <w:bookmarkEnd w:id="150"/>
      <w:bookmarkEnd w:id="151"/>
    </w:p>
    <w:p>
      <w:pPr>
        <w:rPr>
          <w:rFonts w:hint="eastAsia" w:ascii="仿宋_GB2312" w:hAnsi="仿宋_GB2312" w:eastAsia="仿宋_GB2312" w:cs="仿宋_GB2312"/>
          <w:color w:val="auto"/>
          <w:highlight w:val="none"/>
        </w:rPr>
      </w:pP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1、业务专用章使用说明函</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2、中小企业划型标准规定</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3、残疾人福利性单位声明函</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4、</w:t>
      </w:r>
      <w:r>
        <w:rPr>
          <w:rFonts w:hint="eastAsia" w:ascii="仿宋_GB2312" w:hAnsi="仿宋_GB2312" w:eastAsia="仿宋_GB2312" w:cs="仿宋_GB2312"/>
          <w:bCs/>
          <w:color w:val="auto"/>
          <w:sz w:val="24"/>
          <w:highlight w:val="none"/>
        </w:rPr>
        <w:t>联合协议</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、分包意向协议</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6、</w:t>
      </w:r>
      <w:r>
        <w:rPr>
          <w:rFonts w:hint="eastAsia" w:ascii="仿宋_GB2312" w:hAnsi="仿宋_GB2312" w:eastAsia="仿宋_GB2312" w:cs="仿宋_GB2312"/>
          <w:bCs/>
          <w:color w:val="auto"/>
          <w:sz w:val="24"/>
          <w:highlight w:val="none"/>
        </w:rPr>
        <w:t>质疑函范本及制作说明</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7</w:t>
      </w:r>
      <w:r>
        <w:rPr>
          <w:rFonts w:hint="eastAsia" w:ascii="仿宋_GB2312" w:hAnsi="仿宋_GB2312" w:eastAsia="仿宋_GB2312" w:cs="仿宋_GB2312"/>
          <w:bCs/>
          <w:color w:val="auto"/>
          <w:sz w:val="24"/>
          <w:highlight w:val="none"/>
        </w:rPr>
        <w:t>、投诉书范本及制作说明</w:t>
      </w:r>
    </w:p>
    <w:p>
      <w:pPr>
        <w:spacing w:line="312"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8</w:t>
      </w:r>
      <w:r>
        <w:rPr>
          <w:rFonts w:hint="eastAsia" w:ascii="仿宋_GB2312" w:hAnsi="仿宋_GB2312" w:eastAsia="仿宋_GB2312" w:cs="仿宋_GB2312"/>
          <w:bCs/>
          <w:color w:val="auto"/>
          <w:sz w:val="24"/>
          <w:highlight w:val="none"/>
        </w:rPr>
        <w:t>、关于项目采购代理服务费支付的说明</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52" w:name="_Toc323"/>
      <w:bookmarkStart w:id="153" w:name="_Toc30217"/>
      <w:r>
        <w:rPr>
          <w:rFonts w:hint="eastAsia" w:ascii="仿宋_GB2312" w:hAnsi="仿宋_GB2312" w:eastAsia="仿宋_GB2312" w:cs="仿宋_GB2312"/>
          <w:color w:val="auto"/>
          <w:kern w:val="0"/>
          <w:szCs w:val="32"/>
          <w:highlight w:val="none"/>
        </w:rPr>
        <w:t>附件1：业务专用章使用说明函</w:t>
      </w:r>
      <w:bookmarkEnd w:id="152"/>
      <w:bookmarkEnd w:id="153"/>
    </w:p>
    <w:p>
      <w:pPr>
        <w:spacing w:before="120" w:beforeLines="50" w:line="360" w:lineRule="auto"/>
        <w:jc w:val="center"/>
        <w:rPr>
          <w:rFonts w:hint="eastAsia" w:ascii="仿宋_GB2312" w:hAnsi="仿宋_GB2312" w:eastAsia="仿宋_GB2312" w:cs="仿宋_GB2312"/>
          <w:b/>
          <w:color w:val="auto"/>
          <w:sz w:val="28"/>
          <w:szCs w:val="28"/>
          <w:highlight w:val="none"/>
        </w:rPr>
      </w:pPr>
    </w:p>
    <w:p>
      <w:pPr>
        <w:spacing w:before="120" w:beforeLines="50"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业务专用章使用说明函</w:t>
      </w: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（采购人）、（采购代理机构）</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供应商全称</w:t>
      </w:r>
      <w:r>
        <w:rPr>
          <w:rFonts w:hint="eastAsia" w:ascii="仿宋_GB2312" w:hAnsi="仿宋_GB2312" w:eastAsia="仿宋_GB2312" w:cs="仿宋_GB2312"/>
          <w:color w:val="auto"/>
          <w:sz w:val="24"/>
          <w:highlight w:val="none"/>
        </w:rPr>
        <w:t>)是中华人民共和国依法登记注册的合法企业，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w:t>
      </w:r>
      <w:r>
        <w:rPr>
          <w:rFonts w:hint="eastAsia" w:ascii="仿宋_GB2312" w:hAnsi="仿宋_GB2312" w:eastAsia="仿宋_GB2312" w:cs="仿宋_GB2312"/>
          <w:color w:val="auto"/>
          <w:sz w:val="24"/>
          <w:highlight w:val="none"/>
          <w:u w:val="single"/>
        </w:rPr>
        <w:t xml:space="preserve">            （项目名称）</w:t>
      </w:r>
      <w:r>
        <w:rPr>
          <w:rFonts w:hint="eastAsia" w:ascii="仿宋_GB2312" w:hAnsi="仿宋_GB2312" w:eastAsia="仿宋_GB2312" w:cs="仿宋_GB2312"/>
          <w:color w:val="auto"/>
          <w:sz w:val="24"/>
          <w:highlight w:val="none"/>
        </w:rPr>
        <w:t>项目（项目编号：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采购活动中作如下说明：</w:t>
      </w:r>
      <w:r>
        <w:rPr>
          <w:rFonts w:hint="eastAsia" w:ascii="仿宋_GB2312" w:hAnsi="仿宋_GB2312" w:eastAsia="仿宋_GB2312" w:cs="仿宋_GB2312"/>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3360" w:firstLineChars="14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供应商（法定名称章）：</w:t>
      </w:r>
    </w:p>
    <w:p>
      <w:pPr>
        <w:spacing w:line="360" w:lineRule="auto"/>
        <w:ind w:firstLine="3360" w:firstLineChars="14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pPr>
        <w:rPr>
          <w:rFonts w:hint="eastAsia" w:ascii="仿宋_GB2312" w:hAnsi="仿宋_GB2312" w:eastAsia="仿宋_GB2312" w:cs="仿宋_GB2312"/>
          <w:b/>
          <w:bCs/>
          <w:color w:val="auto"/>
          <w:sz w:val="24"/>
          <w:highlight w:val="none"/>
        </w:rPr>
      </w:pP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74" w:type="dxa"/>
            <w:vAlign w:val="center"/>
          </w:tcPr>
          <w:p>
            <w:pPr>
              <w:autoSpaceDE w:val="0"/>
              <w:autoSpaceDN w:val="0"/>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bCs/>
                <w:color w:val="auto"/>
                <w:sz w:val="24"/>
                <w:highlight w:val="none"/>
              </w:rPr>
              <w:t>供应商</w:t>
            </w:r>
            <w:r>
              <w:rPr>
                <w:rFonts w:hint="eastAsia" w:ascii="仿宋_GB2312" w:hAnsi="仿宋_GB2312" w:eastAsia="仿宋_GB2312" w:cs="仿宋_GB2312"/>
                <w:color w:val="auto"/>
                <w:sz w:val="24"/>
                <w:highlight w:val="none"/>
              </w:rPr>
              <w:t>法定名称章（印模）</w:t>
            </w:r>
          </w:p>
        </w:tc>
        <w:tc>
          <w:tcPr>
            <w:tcW w:w="4474" w:type="dxa"/>
            <w:vAlign w:val="center"/>
          </w:tcPr>
          <w:p>
            <w:pPr>
              <w:autoSpaceDE w:val="0"/>
              <w:autoSpaceDN w:val="0"/>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sz w:val="24"/>
                <w:highlight w:val="none"/>
              </w:rPr>
              <w:t>供应商“XX专用章”（印模）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474" w:type="dxa"/>
            <w:vAlign w:val="center"/>
          </w:tcPr>
          <w:p>
            <w:pPr>
              <w:autoSpaceDE w:val="0"/>
              <w:autoSpaceDN w:val="0"/>
              <w:jc w:val="center"/>
              <w:rPr>
                <w:rFonts w:hint="eastAsia" w:ascii="仿宋_GB2312" w:hAnsi="仿宋_GB2312" w:eastAsia="仿宋_GB2312" w:cs="仿宋_GB2312"/>
                <w:b/>
                <w:color w:val="auto"/>
                <w:spacing w:val="6"/>
                <w:sz w:val="32"/>
                <w:szCs w:val="32"/>
                <w:highlight w:val="none"/>
              </w:rPr>
            </w:pPr>
          </w:p>
        </w:tc>
        <w:tc>
          <w:tcPr>
            <w:tcW w:w="4474" w:type="dxa"/>
            <w:vAlign w:val="center"/>
          </w:tcPr>
          <w:p>
            <w:pPr>
              <w:autoSpaceDE w:val="0"/>
              <w:autoSpaceDN w:val="0"/>
              <w:jc w:val="center"/>
              <w:rPr>
                <w:rFonts w:hint="eastAsia" w:ascii="仿宋_GB2312" w:hAnsi="仿宋_GB2312" w:eastAsia="仿宋_GB2312" w:cs="仿宋_GB2312"/>
                <w:b/>
                <w:color w:val="auto"/>
                <w:spacing w:val="6"/>
                <w:sz w:val="32"/>
                <w:szCs w:val="32"/>
                <w:highlight w:val="none"/>
              </w:rPr>
            </w:pPr>
          </w:p>
        </w:tc>
      </w:tr>
    </w:tbl>
    <w:p>
      <w:pPr>
        <w:snapToGrid w:val="0"/>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b/>
          <w:color w:val="auto"/>
          <w:highlight w:val="none"/>
        </w:rPr>
      </w:pPr>
    </w:p>
    <w:p>
      <w:pPr>
        <w:pStyle w:val="3"/>
        <w:adjustRightInd/>
        <w:spacing w:line="240" w:lineRule="auto"/>
        <w:jc w:val="left"/>
        <w:rPr>
          <w:rFonts w:hint="eastAsia" w:ascii="仿宋_GB2312" w:hAnsi="仿宋_GB2312" w:eastAsia="仿宋_GB2312" w:cs="仿宋_GB2312"/>
          <w:color w:val="auto"/>
          <w:kern w:val="0"/>
          <w:szCs w:val="32"/>
          <w:highlight w:val="none"/>
          <w:lang w:val="en-US" w:eastAsia="zh-CN"/>
        </w:rPr>
      </w:pPr>
      <w:bookmarkStart w:id="154" w:name="_Toc31607"/>
      <w:bookmarkStart w:id="155" w:name="_Toc5925"/>
      <w:bookmarkStart w:id="156" w:name="_Toc28468"/>
      <w:r>
        <w:rPr>
          <w:rFonts w:hint="eastAsia" w:ascii="仿宋_GB2312" w:hAnsi="仿宋_GB2312" w:eastAsia="仿宋_GB2312" w:cs="仿宋_GB2312"/>
          <w:color w:val="auto"/>
          <w:kern w:val="0"/>
          <w:szCs w:val="32"/>
          <w:highlight w:val="none"/>
        </w:rPr>
        <w:t>附件2：</w:t>
      </w:r>
      <w:r>
        <w:rPr>
          <w:rFonts w:hint="eastAsia" w:ascii="仿宋_GB2312" w:hAnsi="仿宋_GB2312" w:eastAsia="仿宋_GB2312" w:cs="仿宋_GB2312"/>
          <w:color w:val="auto"/>
          <w:kern w:val="0"/>
          <w:szCs w:val="32"/>
          <w:highlight w:val="none"/>
          <w:lang w:val="en-US" w:eastAsia="zh-CN"/>
        </w:rPr>
        <w:t>中小企业声明函</w:t>
      </w:r>
      <w:bookmarkEnd w:id="154"/>
      <w:bookmarkEnd w:id="155"/>
    </w:p>
    <w:p>
      <w:pPr>
        <w:rPr>
          <w:rFonts w:hint="eastAsia" w:ascii="仿宋_GB2312" w:hAnsi="仿宋_GB2312" w:eastAsia="仿宋_GB2312" w:cs="仿宋_GB2312"/>
          <w:b/>
          <w:color w:val="auto"/>
          <w:highlight w:val="none"/>
          <w:lang w:val="en-US" w:eastAsia="zh-CN"/>
        </w:rPr>
      </w:pPr>
    </w:p>
    <w:p>
      <w:pPr>
        <w:jc w:val="center"/>
        <w:rPr>
          <w:rFonts w:hint="eastAsia" w:ascii="仿宋_GB2312" w:hAnsi="仿宋_GB2312" w:eastAsia="仿宋_GB2312" w:cs="仿宋_GB2312"/>
          <w:b/>
          <w:bCs/>
          <w:sz w:val="30"/>
          <w:szCs w:val="30"/>
          <w:highlight w:val="none"/>
          <w:lang w:val="zh-CN"/>
        </w:rPr>
      </w:pPr>
      <w:r>
        <w:rPr>
          <w:rFonts w:hint="eastAsia" w:ascii="仿宋_GB2312" w:hAnsi="仿宋_GB2312" w:eastAsia="仿宋_GB2312" w:cs="仿宋_GB2312"/>
          <w:b/>
          <w:bCs/>
          <w:sz w:val="30"/>
          <w:szCs w:val="30"/>
          <w:highlight w:val="none"/>
          <w:lang w:val="zh-CN"/>
        </w:rPr>
        <w:t>中小企业声明函（服务）</w:t>
      </w:r>
    </w:p>
    <w:p>
      <w:pPr>
        <w:snapToGrid w:val="0"/>
        <w:rPr>
          <w:rFonts w:hint="eastAsia" w:ascii="仿宋_GB2312" w:hAnsi="仿宋_GB2312" w:eastAsia="仿宋_GB2312" w:cs="仿宋_GB2312"/>
          <w:highlight w:val="none"/>
        </w:rPr>
      </w:pPr>
    </w:p>
    <w:p>
      <w:pPr>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sz w:val="24"/>
          <w:highlight w:val="none"/>
          <w:u w:val="single"/>
        </w:rPr>
        <w:t xml:space="preserve"> 浙江文学院（浙江文学馆）（采购人名称）</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eastAsia="zh-CN"/>
        </w:rPr>
        <w:t>浙江文化数据库内容建设项目（红色经典文学数据资源）</w:t>
      </w:r>
      <w:r>
        <w:rPr>
          <w:rFonts w:hint="eastAsia" w:ascii="仿宋_GB2312" w:hAnsi="仿宋_GB2312" w:eastAsia="仿宋_GB2312" w:cs="仿宋_GB2312"/>
          <w:sz w:val="24"/>
          <w:highlight w:val="none"/>
          <w:u w:val="single"/>
        </w:rPr>
        <w:t>（项目名称）</w:t>
      </w:r>
      <w:r>
        <w:rPr>
          <w:rFonts w:hint="eastAsia" w:ascii="仿宋_GB2312" w:hAnsi="仿宋_GB2312" w:eastAsia="仿宋_GB2312" w:cs="仿宋_GB2312"/>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eastAsia="zh-CN"/>
        </w:rPr>
        <w:t>浙江文化数据库内容建设项目（红色经典文学数据资源）</w:t>
      </w:r>
      <w:r>
        <w:rPr>
          <w:rFonts w:hint="eastAsia" w:ascii="仿宋_GB2312" w:hAnsi="仿宋_GB2312" w:eastAsia="仿宋_GB2312" w:cs="仿宋_GB2312"/>
          <w:sz w:val="24"/>
          <w:highlight w:val="none"/>
        </w:rPr>
        <w:t>，属于</w:t>
      </w:r>
      <w:r>
        <w:rPr>
          <w:rFonts w:hint="eastAsia" w:ascii="仿宋_GB2312" w:hAnsi="仿宋_GB2312" w:eastAsia="仿宋_GB2312" w:cs="仿宋_GB2312"/>
          <w:sz w:val="24"/>
          <w:highlight w:val="none"/>
          <w:u w:val="single"/>
        </w:rPr>
        <w:t xml:space="preserve"> 软件和信息技术服务业 </w:t>
      </w:r>
      <w:r>
        <w:rPr>
          <w:rFonts w:hint="eastAsia" w:ascii="仿宋_GB2312" w:hAnsi="仿宋_GB2312" w:eastAsia="仿宋_GB2312" w:cs="仿宋_GB2312"/>
          <w:sz w:val="24"/>
          <w:highlight w:val="none"/>
        </w:rPr>
        <w:t>；承接企业为</w:t>
      </w:r>
      <w:r>
        <w:rPr>
          <w:rFonts w:hint="eastAsia" w:ascii="仿宋_GB2312" w:hAnsi="仿宋_GB2312" w:eastAsia="仿宋_GB2312" w:cs="仿宋_GB2312"/>
          <w:sz w:val="24"/>
          <w:highlight w:val="none"/>
          <w:u w:val="single"/>
        </w:rPr>
        <w:t xml:space="preserve">      （企业名称）</w:t>
      </w:r>
      <w:r>
        <w:rPr>
          <w:rFonts w:hint="eastAsia" w:ascii="仿宋_GB2312" w:hAnsi="仿宋_GB2312" w:eastAsia="仿宋_GB2312" w:cs="仿宋_GB2312"/>
          <w:sz w:val="24"/>
          <w:highlight w:val="none"/>
        </w:rPr>
        <w:t>，从业人员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万元，属于</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color w:val="auto"/>
          <w:sz w:val="24"/>
          <w:highlight w:val="none"/>
          <w:u w:val="single"/>
          <w:lang w:eastAsia="zh-CN"/>
        </w:rPr>
        <w:t>根据所填写的数据、</w:t>
      </w:r>
      <w:r>
        <w:rPr>
          <w:rFonts w:hint="eastAsia" w:ascii="仿宋_GB2312" w:hAnsi="仿宋_GB2312" w:eastAsia="仿宋_GB2312" w:cs="仿宋_GB2312"/>
          <w:sz w:val="24"/>
          <w:highlight w:val="none"/>
          <w:u w:val="single"/>
        </w:rPr>
        <w:t>采购文件中明确的所属行业</w:t>
      </w:r>
      <w:r>
        <w:rPr>
          <w:rFonts w:hint="eastAsia" w:ascii="仿宋_GB2312" w:hAnsi="仿宋_GB2312" w:eastAsia="仿宋_GB2312" w:cs="仿宋_GB2312"/>
          <w:color w:val="auto"/>
          <w:sz w:val="24"/>
          <w:highlight w:val="none"/>
          <w:u w:val="single"/>
          <w:lang w:eastAsia="zh-CN"/>
        </w:rPr>
        <w:t>，结合《中小企业划型标准规定》（工信部联企业〔2011〕300号）</w:t>
      </w:r>
      <w:r>
        <w:rPr>
          <w:rFonts w:hint="eastAsia" w:ascii="仿宋_GB2312" w:hAnsi="仿宋_GB2312" w:eastAsia="仿宋_GB2312" w:cs="仿宋_GB2312"/>
          <w:sz w:val="24"/>
          <w:highlight w:val="none"/>
          <w:u w:val="single"/>
        </w:rPr>
        <w:t>的划型标准，</w:t>
      </w:r>
      <w:r>
        <w:rPr>
          <w:rFonts w:hint="eastAsia" w:ascii="仿宋_GB2312" w:hAnsi="仿宋_GB2312" w:eastAsia="仿宋_GB2312" w:cs="仿宋_GB2312"/>
          <w:sz w:val="24"/>
          <w:highlight w:val="none"/>
          <w:u w:val="single"/>
          <w:lang w:val="en-US" w:eastAsia="zh-CN"/>
        </w:rPr>
        <w:t>选择“</w:t>
      </w:r>
      <w:r>
        <w:rPr>
          <w:rFonts w:hint="eastAsia" w:ascii="仿宋_GB2312" w:hAnsi="仿宋_GB2312" w:eastAsia="仿宋_GB2312" w:cs="仿宋_GB2312"/>
          <w:sz w:val="24"/>
          <w:highlight w:val="none"/>
          <w:u w:val="single"/>
        </w:rPr>
        <w:t>中型企业</w:t>
      </w:r>
      <w:r>
        <w:rPr>
          <w:rFonts w:hint="eastAsia" w:ascii="仿宋_GB2312" w:hAnsi="仿宋_GB2312" w:eastAsia="仿宋_GB2312" w:cs="仿宋_GB2312"/>
          <w:sz w:val="24"/>
          <w:highlight w:val="none"/>
          <w:u w:val="single"/>
          <w:lang w:val="en-US" w:eastAsia="zh-CN"/>
        </w:rPr>
        <w:t>”</w:t>
      </w:r>
      <w:r>
        <w:rPr>
          <w:rFonts w:hint="eastAsia" w:ascii="仿宋_GB2312" w:hAnsi="仿宋_GB2312" w:eastAsia="仿宋_GB2312" w:cs="仿宋_GB2312"/>
          <w:sz w:val="24"/>
          <w:highlight w:val="none"/>
          <w:u w:val="single"/>
        </w:rPr>
        <w:t>或</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小型企业</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或“</w:t>
      </w:r>
      <w:r>
        <w:rPr>
          <w:rFonts w:hint="eastAsia" w:ascii="仿宋_GB2312" w:hAnsi="仿宋_GB2312" w:eastAsia="仿宋_GB2312" w:cs="仿宋_GB2312"/>
          <w:sz w:val="24"/>
          <w:highlight w:val="none"/>
          <w:u w:val="single"/>
        </w:rPr>
        <w:t>微型企业</w:t>
      </w:r>
      <w:r>
        <w:rPr>
          <w:rFonts w:hint="eastAsia" w:ascii="仿宋_GB2312" w:hAnsi="仿宋_GB2312" w:eastAsia="仿宋_GB2312" w:cs="仿宋_GB2312"/>
          <w:sz w:val="24"/>
          <w:highlight w:val="none"/>
          <w:u w:val="single"/>
          <w:lang w:val="en-US" w:eastAsia="zh-CN"/>
        </w:rPr>
        <w:t>”中的一种</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rPr>
        <w:t>；</w:t>
      </w:r>
    </w:p>
    <w:p>
      <w:pPr>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spacing w:line="360" w:lineRule="auto"/>
        <w:ind w:right="1760"/>
        <w:jc w:val="left"/>
        <w:rPr>
          <w:rFonts w:hint="eastAsia" w:ascii="仿宋_GB2312" w:hAnsi="仿宋_GB2312" w:eastAsia="仿宋_GB2312" w:cs="仿宋_GB2312"/>
          <w:sz w:val="24"/>
          <w:highlight w:val="none"/>
        </w:rPr>
      </w:pPr>
    </w:p>
    <w:p>
      <w:pPr>
        <w:spacing w:line="360" w:lineRule="auto"/>
        <w:ind w:firstLine="3360" w:firstLineChars="14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供应商</w:t>
      </w:r>
      <w:r>
        <w:rPr>
          <w:rFonts w:hint="eastAsia" w:ascii="仿宋_GB2312" w:hAnsi="仿宋_GB2312" w:eastAsia="仿宋_GB2312" w:cs="仿宋_GB2312"/>
          <w:sz w:val="24"/>
          <w:highlight w:val="none"/>
        </w:rPr>
        <w:t>名称（电子签名）：</w:t>
      </w:r>
    </w:p>
    <w:p>
      <w:pPr>
        <w:spacing w:line="360" w:lineRule="auto"/>
        <w:ind w:firstLine="3360" w:firstLineChars="140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 期：    年  月  日</w:t>
      </w:r>
    </w:p>
    <w:p>
      <w:pPr>
        <w:snapToGrid w:val="0"/>
        <w:ind w:firstLine="310" w:firstLineChars="147"/>
        <w:jc w:val="left"/>
        <w:rPr>
          <w:rFonts w:hint="eastAsia" w:ascii="仿宋_GB2312" w:hAnsi="仿宋_GB2312" w:eastAsia="仿宋_GB2312" w:cs="仿宋_GB2312"/>
          <w:b/>
          <w:szCs w:val="21"/>
          <w:highlight w:val="none"/>
        </w:rPr>
      </w:pPr>
    </w:p>
    <w:p>
      <w:pPr>
        <w:spacing w:line="264"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r>
        <w:rPr>
          <w:rFonts w:hint="eastAsia" w:ascii="仿宋_GB2312" w:hAnsi="仿宋_GB2312" w:eastAsia="仿宋_GB2312" w:cs="仿宋_GB2312"/>
          <w:b/>
          <w:bCs/>
          <w:szCs w:val="21"/>
          <w:highlight w:val="none"/>
        </w:rPr>
        <w:t>1、填写要求：①“标的名称</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rPr>
        <w:t>采购文件中明确的所属行业”依据</w:t>
      </w:r>
      <w:r>
        <w:rPr>
          <w:rFonts w:hint="eastAsia" w:ascii="仿宋_GB2312" w:hAnsi="仿宋_GB2312" w:eastAsia="仿宋_GB2312" w:cs="仿宋_GB2312"/>
          <w:b/>
          <w:bCs/>
          <w:color w:val="auto"/>
          <w:sz w:val="21"/>
          <w:szCs w:val="21"/>
          <w:highlight w:val="none"/>
          <w:lang w:eastAsia="zh-CN"/>
        </w:rPr>
        <w:t>磋商</w:t>
      </w:r>
      <w:r>
        <w:rPr>
          <w:rFonts w:hint="eastAsia" w:ascii="仿宋_GB2312" w:hAnsi="仿宋_GB2312" w:eastAsia="仿宋_GB2312" w:cs="仿宋_GB2312"/>
          <w:b/>
          <w:bCs/>
          <w:color w:val="auto"/>
          <w:sz w:val="21"/>
          <w:szCs w:val="21"/>
          <w:highlight w:val="none"/>
        </w:rPr>
        <w:t>文件</w:t>
      </w:r>
      <w:r>
        <w:rPr>
          <w:rFonts w:hint="eastAsia" w:ascii="仿宋_GB2312" w:hAnsi="仿宋_GB2312" w:eastAsia="仿宋_GB2312" w:cs="仿宋_GB2312"/>
          <w:b/>
          <w:bCs/>
          <w:szCs w:val="21"/>
          <w:highlight w:val="none"/>
        </w:rPr>
        <w:t>第二章</w:t>
      </w:r>
      <w:r>
        <w:rPr>
          <w:rFonts w:hint="eastAsia" w:ascii="仿宋_GB2312" w:hAnsi="仿宋_GB2312" w:eastAsia="仿宋_GB2312" w:cs="仿宋_GB2312"/>
          <w:b/>
          <w:bCs/>
          <w:color w:val="auto"/>
          <w:sz w:val="21"/>
          <w:szCs w:val="21"/>
          <w:highlight w:val="none"/>
          <w:lang w:val="en-US" w:eastAsia="zh-CN"/>
        </w:rPr>
        <w:t>磋商</w:t>
      </w:r>
      <w:r>
        <w:rPr>
          <w:rFonts w:hint="eastAsia" w:ascii="仿宋_GB2312" w:hAnsi="仿宋_GB2312" w:eastAsia="仿宋_GB2312" w:cs="仿宋_GB2312"/>
          <w:b/>
          <w:bCs/>
          <w:color w:val="auto"/>
          <w:sz w:val="21"/>
          <w:szCs w:val="21"/>
          <w:highlight w:val="none"/>
        </w:rPr>
        <w:t>须知前附表</w:t>
      </w:r>
      <w:r>
        <w:rPr>
          <w:rFonts w:hint="eastAsia" w:ascii="仿宋_GB2312" w:hAnsi="仿宋_GB2312" w:eastAsia="仿宋_GB2312" w:cs="仿宋_GB2312"/>
          <w:b/>
          <w:bCs/>
          <w:szCs w:val="21"/>
          <w:highlight w:val="none"/>
        </w:rPr>
        <w:t>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pPr>
        <w:spacing w:line="264" w:lineRule="auto"/>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w:t>
      </w:r>
      <w:r>
        <w:rPr>
          <w:rFonts w:hint="eastAsia" w:ascii="仿宋_GB2312" w:hAnsi="仿宋_GB2312" w:eastAsia="仿宋_GB2312" w:cs="仿宋_GB2312"/>
          <w:szCs w:val="21"/>
          <w:highlight w:val="none"/>
          <w:lang w:eastAsia="zh-CN"/>
        </w:rPr>
        <w:t>〔2014〕68号</w:t>
      </w:r>
      <w:r>
        <w:rPr>
          <w:rFonts w:hint="eastAsia" w:ascii="仿宋_GB2312" w:hAnsi="仿宋_GB2312" w:eastAsia="仿宋_GB2312" w:cs="仿宋_GB2312"/>
          <w:szCs w:val="21"/>
          <w:highlight w:val="none"/>
        </w:rPr>
        <w:t>）的规定，</w:t>
      </w:r>
      <w:r>
        <w:rPr>
          <w:rFonts w:hint="eastAsia" w:ascii="仿宋_GB2312" w:hAnsi="仿宋_GB2312" w:eastAsia="仿宋_GB2312" w:cs="仿宋_GB2312"/>
          <w:szCs w:val="21"/>
          <w:highlight w:val="none"/>
          <w:lang w:eastAsia="zh-CN"/>
        </w:rPr>
        <w:t>供应商</w:t>
      </w:r>
      <w:r>
        <w:rPr>
          <w:rFonts w:hint="eastAsia" w:ascii="仿宋_GB2312" w:hAnsi="仿宋_GB2312" w:eastAsia="仿宋_GB2312" w:cs="仿宋_GB2312"/>
          <w:szCs w:val="21"/>
          <w:highlight w:val="none"/>
        </w:rPr>
        <w:t>提供由省级以上监狱管理局、戒毒管理局（含新疆生产建设兵团）出具的属于监狱企业证明文件的，视同为小型和微型企业。</w:t>
      </w:r>
    </w:p>
    <w:p>
      <w:pPr>
        <w:rPr>
          <w:rFonts w:hint="eastAsia" w:ascii="仿宋_GB2312" w:hAnsi="仿宋_GB2312" w:eastAsia="仿宋_GB2312" w:cs="仿宋_GB2312"/>
          <w:b/>
          <w:color w:val="auto"/>
          <w:highlight w:val="none"/>
          <w:lang w:val="en-US" w:eastAsia="zh-CN"/>
        </w:rPr>
      </w:pPr>
    </w:p>
    <w:p>
      <w:pP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br w:type="page"/>
      </w:r>
    </w:p>
    <w:p>
      <w:pP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 xml:space="preserve"> </w:t>
      </w:r>
    </w:p>
    <w:p>
      <w:pPr>
        <w:pStyle w:val="432"/>
        <w:widowControl w:val="0"/>
        <w:spacing w:line="5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附：</w:t>
      </w:r>
      <w:r>
        <w:rPr>
          <w:rFonts w:hint="eastAsia" w:ascii="仿宋_GB2312" w:hAnsi="仿宋_GB2312" w:eastAsia="仿宋_GB2312" w:cs="仿宋_GB2312"/>
          <w:b/>
          <w:color w:val="auto"/>
          <w:sz w:val="28"/>
          <w:szCs w:val="28"/>
          <w:highlight w:val="none"/>
        </w:rPr>
        <w:t>中小企业划型标准规定</w:t>
      </w:r>
      <w:bookmarkEnd w:id="156"/>
    </w:p>
    <w:p>
      <w:pPr>
        <w:wordWrap w:val="0"/>
        <w:spacing w:line="312" w:lineRule="auto"/>
        <w:ind w:firstLine="420" w:firstLineChars="200"/>
        <w:rPr>
          <w:rFonts w:hint="eastAsia" w:ascii="仿宋_GB2312" w:hAnsi="仿宋_GB2312" w:eastAsia="仿宋_GB2312" w:cs="仿宋_GB2312"/>
          <w:color w:val="auto"/>
          <w:kern w:val="0"/>
          <w:szCs w:val="21"/>
          <w:highlight w:val="none"/>
          <w:lang w:val="zh-CN"/>
        </w:rPr>
      </w:pPr>
    </w:p>
    <w:p>
      <w:pPr>
        <w:wordWrap w:val="0"/>
        <w:spacing w:line="312"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zh-CN"/>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432"/>
        <w:widowControl w:val="0"/>
        <w:spacing w:line="5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中小企业划型标准规定</w:t>
      </w:r>
    </w:p>
    <w:p>
      <w:pPr>
        <w:pStyle w:val="432"/>
        <w:widowControl w:val="0"/>
        <w:spacing w:line="360" w:lineRule="auto"/>
        <w:ind w:firstLine="484" w:firstLineChars="200"/>
        <w:jc w:val="both"/>
        <w:rPr>
          <w:rFonts w:hint="eastAsia" w:ascii="仿宋_GB2312" w:hAnsi="仿宋_GB2312" w:eastAsia="仿宋_GB2312" w:cs="仿宋_GB2312"/>
          <w:color w:val="auto"/>
          <w:spacing w:val="6"/>
          <w:highlight w:val="none"/>
        </w:rPr>
      </w:pP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一、根据《中华人民共和国中小企业促进法》和《</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highlight w:val="none"/>
        </w:rPr>
        <w:t>国务院关于进一步促进中小企业发展的若干意见</w:t>
      </w:r>
      <w:r>
        <w:rPr>
          <w:rFonts w:hint="eastAsia" w:ascii="仿宋_GB2312" w:hAnsi="仿宋_GB2312" w:eastAsia="仿宋_GB2312" w:cs="仿宋_GB2312"/>
          <w:color w:val="auto"/>
          <w:spacing w:val="6"/>
          <w:highlight w:val="none"/>
        </w:rPr>
        <w:fldChar w:fldCharType="end"/>
      </w:r>
      <w:r>
        <w:rPr>
          <w:rFonts w:hint="eastAsia" w:ascii="仿宋_GB2312" w:hAnsi="仿宋_GB2312" w:eastAsia="仿宋_GB2312" w:cs="仿宋_GB2312"/>
          <w:color w:val="auto"/>
          <w:spacing w:val="6"/>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highlight w:val="none"/>
        </w:rPr>
        <w:t>国发〔2009〕36号</w:t>
      </w:r>
      <w:r>
        <w:rPr>
          <w:rFonts w:hint="eastAsia" w:ascii="仿宋_GB2312" w:hAnsi="仿宋_GB2312" w:eastAsia="仿宋_GB2312" w:cs="仿宋_GB2312"/>
          <w:color w:val="auto"/>
          <w:spacing w:val="6"/>
          <w:highlight w:val="none"/>
        </w:rPr>
        <w:fldChar w:fldCharType="end"/>
      </w:r>
      <w:r>
        <w:rPr>
          <w:rFonts w:hint="eastAsia" w:ascii="仿宋_GB2312" w:hAnsi="仿宋_GB2312" w:eastAsia="仿宋_GB2312" w:cs="仿宋_GB2312"/>
          <w:color w:val="auto"/>
          <w:spacing w:val="6"/>
          <w:highlight w:val="none"/>
        </w:rPr>
        <w:t>)，制定本规定。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二、中小企业划分为中型、小型、微型三种类型，具体标准根据企业从业人员、营业收入、资产总额等指标，结合行业特点制定。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四、各行业划型标准为：</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（一）农、林、牧、渔业。营业收入20000万元以下的为中小微型企业。其中，营业收入500万元及以上的为中型企业，营业收入50万元及以上的为小型企业，营业收入50万元以下的为微型企业。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b w:val="0"/>
          <w:bCs w:val="0"/>
          <w:color w:val="auto"/>
          <w:spacing w:val="6"/>
          <w:highlight w:val="none"/>
        </w:rPr>
      </w:pPr>
      <w:r>
        <w:rPr>
          <w:rFonts w:hint="eastAsia" w:ascii="仿宋_GB2312" w:hAnsi="仿宋_GB2312" w:eastAsia="仿宋_GB2312" w:cs="仿宋_GB2312"/>
          <w:b w:val="0"/>
          <w:bCs w:val="0"/>
          <w:color w:val="auto"/>
          <w:spacing w:val="6"/>
          <w:highlight w:val="none"/>
        </w:rPr>
        <w:t>（十六）其他未列明行业。从业人员300人以下的为中小微型企业。其中，从业人员100人及以上的为中型企业；从业人员10人及以上的为小型企业；从业人员10人以下的为微型企业。</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五、企业类型的划分以统计部门的统计数据为依据。</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六、本规定适用于在中华人民共和国境内依法设立的各类所有制和各种组织形式的企业。个体工商户和本规定以外的行业，参照本规定进行划型。</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八、本规定由工业和信息化部、国家统计局会同有关部门根据《国民经济行业分类》修订情况和企业发展变化情况适时修订。</w:t>
      </w:r>
    </w:p>
    <w:p>
      <w:pPr>
        <w:pStyle w:val="432"/>
        <w:widowControl w:val="0"/>
        <w:kinsoku/>
        <w:autoSpaceDE/>
        <w:autoSpaceDN/>
        <w:snapToGrid/>
        <w:spacing w:line="312" w:lineRule="auto"/>
        <w:ind w:firstLine="484" w:firstLineChars="200"/>
        <w:jc w:val="both"/>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九、本规定由工业和信息化部、国家统计局会同有关部门负责解释。</w:t>
      </w:r>
    </w:p>
    <w:p>
      <w:pPr>
        <w:wordWrap w:val="0"/>
        <w:spacing w:line="312" w:lineRule="auto"/>
        <w:ind w:firstLine="444"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十、本规定自发布之日起执行，原国家经贸委、原国家计委、财政部和国家统计局2003年颁布的《</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中小企业标准暂行规定</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国经贸中小企</w:t>
      </w:r>
      <w:r>
        <w:rPr>
          <w:rFonts w:hint="eastAsia" w:ascii="仿宋_GB2312" w:hAnsi="仿宋_GB2312" w:eastAsia="仿宋_GB2312" w:cs="仿宋_GB2312"/>
          <w:color w:val="auto"/>
          <w:spacing w:val="6"/>
          <w:szCs w:val="21"/>
          <w:highlight w:val="none"/>
          <w:lang w:eastAsia="zh-CN"/>
        </w:rPr>
        <w:t>〔2003〕143号</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同时废止。</w:t>
      </w:r>
    </w:p>
    <w:p>
      <w:pPr>
        <w:wordWrap w:val="0"/>
        <w:spacing w:line="312" w:lineRule="auto"/>
        <w:ind w:firstLine="420" w:firstLineChars="200"/>
        <w:rPr>
          <w:rFonts w:hint="eastAsia" w:ascii="仿宋_GB2312" w:hAnsi="仿宋_GB2312" w:eastAsia="仿宋_GB2312" w:cs="仿宋_GB2312"/>
          <w:color w:val="auto"/>
          <w:kern w:val="0"/>
          <w:szCs w:val="21"/>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napToGrid w:val="0"/>
        <w:rPr>
          <w:rFonts w:hint="eastAsia" w:ascii="仿宋_GB2312" w:hAnsi="仿宋_GB2312" w:eastAsia="仿宋_GB2312" w:cs="仿宋_GB2312"/>
          <w:color w:val="auto"/>
          <w:sz w:val="15"/>
          <w:szCs w:val="15"/>
          <w:highlight w:val="none"/>
        </w:rPr>
      </w:pPr>
      <w:r>
        <w:rPr>
          <w:rFonts w:hint="eastAsia" w:ascii="仿宋_GB2312" w:hAnsi="仿宋_GB2312" w:eastAsia="仿宋_GB2312" w:cs="仿宋_GB2312"/>
          <w:color w:val="auto"/>
          <w:sz w:val="15"/>
          <w:szCs w:val="15"/>
          <w:highlight w:val="none"/>
        </w:rPr>
        <w:t xml:space="preserve"> </w:t>
      </w:r>
    </w:p>
    <w:p>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drawing>
          <wp:inline distT="0" distB="0" distL="0" distR="0">
            <wp:extent cx="8703945" cy="5438140"/>
            <wp:effectExtent l="0" t="0" r="10160" b="1905"/>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4" cstate="print"/>
                    <a:srcRect/>
                    <a:stretch>
                      <a:fillRect/>
                    </a:stretch>
                  </pic:blipFill>
                  <pic:spPr>
                    <a:xfrm rot="16200000">
                      <a:off x="0" y="0"/>
                      <a:ext cx="8703945" cy="5438140"/>
                    </a:xfrm>
                    <a:prstGeom prst="rect">
                      <a:avLst/>
                    </a:prstGeom>
                    <a:ln>
                      <a:noFill/>
                    </a:ln>
                  </pic:spPr>
                </pic:pic>
              </a:graphicData>
            </a:graphic>
          </wp:inline>
        </w:drawing>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napToGrid w:val="0"/>
        <w:rPr>
          <w:rFonts w:hint="eastAsia" w:ascii="仿宋_GB2312" w:hAnsi="仿宋_GB2312" w:eastAsia="仿宋_GB2312" w:cs="仿宋_GB2312"/>
          <w:color w:val="auto"/>
          <w:highlight w:val="none"/>
          <w:lang w:val="en-US" w:eastAsia="zh-CN"/>
        </w:rPr>
      </w:pP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57" w:name="_Toc25926"/>
      <w:bookmarkStart w:id="158" w:name="_Toc18677"/>
      <w:r>
        <w:rPr>
          <w:rFonts w:hint="eastAsia" w:ascii="仿宋_GB2312" w:hAnsi="仿宋_GB2312" w:eastAsia="仿宋_GB2312" w:cs="仿宋_GB2312"/>
          <w:color w:val="auto"/>
          <w:kern w:val="0"/>
          <w:szCs w:val="32"/>
          <w:highlight w:val="none"/>
        </w:rPr>
        <w:t>附件</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：残疾人福利性单位声明函</w:t>
      </w:r>
      <w:bookmarkEnd w:id="157"/>
      <w:bookmarkEnd w:id="158"/>
    </w:p>
    <w:p>
      <w:pPr>
        <w:spacing w:line="360" w:lineRule="auto"/>
        <w:jc w:val="center"/>
        <w:rPr>
          <w:rFonts w:hint="eastAsia" w:ascii="仿宋_GB2312" w:hAnsi="仿宋_GB2312" w:eastAsia="仿宋_GB2312" w:cs="仿宋_GB2312"/>
          <w:b/>
          <w:spacing w:val="6"/>
          <w:sz w:val="32"/>
          <w:szCs w:val="32"/>
          <w:highlight w:val="none"/>
        </w:rPr>
      </w:pPr>
    </w:p>
    <w:p>
      <w:pPr>
        <w:spacing w:line="360" w:lineRule="auto"/>
        <w:jc w:val="center"/>
        <w:rPr>
          <w:rFonts w:hint="eastAsia"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残疾人福利性单位声明函</w:t>
      </w:r>
    </w:p>
    <w:p>
      <w:pPr>
        <w:spacing w:line="360" w:lineRule="auto"/>
        <w:rPr>
          <w:rFonts w:hint="eastAsia" w:ascii="仿宋_GB2312" w:hAnsi="仿宋_GB2312" w:eastAsia="仿宋_GB2312" w:cs="仿宋_GB2312"/>
          <w:b/>
          <w:spacing w:val="6"/>
          <w:sz w:val="30"/>
          <w:szCs w:val="30"/>
          <w:highlight w:val="none"/>
        </w:rPr>
      </w:pP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本单位郑重声明，根据《财政部 民政部 中国残疾人联合会关于促进残疾人就业政府采购政策的通知》（财库</w:t>
      </w:r>
      <w:r>
        <w:rPr>
          <w:rFonts w:hint="eastAsia" w:ascii="仿宋_GB2312" w:hAnsi="仿宋_GB2312" w:eastAsia="仿宋_GB2312" w:cs="仿宋_GB2312"/>
          <w:sz w:val="24"/>
          <w:highlight w:val="none"/>
          <w:lang w:eastAsia="zh-CN"/>
        </w:rPr>
        <w:t>〔2017〕141号</w:t>
      </w:r>
      <w:r>
        <w:rPr>
          <w:rFonts w:hint="eastAsia" w:ascii="仿宋_GB2312" w:hAnsi="仿宋_GB2312" w:eastAsia="仿宋_GB2312" w:cs="仿宋_GB2312"/>
          <w:sz w:val="24"/>
          <w:highlight w:val="none"/>
        </w:rPr>
        <w:t>）的规定，本单位为符合条件的残疾人福利性单位，且本单位参加</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单位的</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sz w:val="24"/>
          <w:highlight w:val="none"/>
        </w:rPr>
      </w:pPr>
    </w:p>
    <w:p>
      <w:pPr>
        <w:spacing w:line="360" w:lineRule="auto"/>
        <w:ind w:firstLine="480" w:firstLineChars="200"/>
        <w:rPr>
          <w:rFonts w:hint="eastAsia" w:ascii="仿宋_GB2312" w:hAnsi="仿宋_GB2312" w:eastAsia="仿宋_GB2312" w:cs="仿宋_GB2312"/>
          <w:sz w:val="24"/>
          <w:highlight w:val="none"/>
        </w:rPr>
      </w:pPr>
    </w:p>
    <w:p>
      <w:pPr>
        <w:tabs>
          <w:tab w:val="left" w:pos="4860"/>
        </w:tabs>
        <w:spacing w:line="360" w:lineRule="auto"/>
        <w:ind w:right="1560" w:firstLine="480" w:firstLineChars="20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kern w:val="0"/>
          <w:sz w:val="24"/>
          <w:highlight w:val="none"/>
          <w:lang w:val="zh-CN"/>
        </w:rPr>
        <w:t>供应商名称（电子签名）</w:t>
      </w:r>
      <w:r>
        <w:rPr>
          <w:rFonts w:hint="eastAsia" w:ascii="仿宋_GB2312" w:hAnsi="仿宋_GB2312" w:eastAsia="仿宋_GB2312" w:cs="仿宋_GB2312"/>
          <w:sz w:val="24"/>
          <w:highlight w:val="none"/>
        </w:rPr>
        <w:t>：</w:t>
      </w:r>
    </w:p>
    <w:p>
      <w:pPr>
        <w:tabs>
          <w:tab w:val="left" w:pos="4860"/>
        </w:tabs>
        <w:spacing w:line="360" w:lineRule="auto"/>
        <w:ind w:right="1560" w:firstLine="480" w:firstLineChars="20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日  期：</w:t>
      </w:r>
    </w:p>
    <w:p>
      <w:pPr>
        <w:pStyle w:val="23"/>
        <w:rPr>
          <w:rFonts w:hint="eastAsia" w:ascii="仿宋_GB2312" w:hAnsi="仿宋_GB2312" w:eastAsia="仿宋_GB2312" w:cs="仿宋_GB2312"/>
          <w:highlight w:val="none"/>
        </w:rPr>
      </w:pP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br w:type="page"/>
      </w:r>
    </w:p>
    <w:p>
      <w:pPr>
        <w:snapToGrid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59" w:name="_Toc12100"/>
      <w:bookmarkStart w:id="160" w:name="_Toc29129"/>
      <w:r>
        <w:rPr>
          <w:rFonts w:hint="eastAsia" w:ascii="仿宋_GB2312" w:hAnsi="仿宋_GB2312" w:eastAsia="仿宋_GB2312" w:cs="仿宋_GB2312"/>
          <w:color w:val="auto"/>
          <w:kern w:val="0"/>
          <w:szCs w:val="32"/>
          <w:highlight w:val="none"/>
        </w:rPr>
        <w:t>附件</w:t>
      </w: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rPr>
        <w:t>：联合协议</w:t>
      </w:r>
      <w:bookmarkEnd w:id="159"/>
      <w:bookmarkEnd w:id="160"/>
    </w:p>
    <w:p>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autoSpaceDE w:val="0"/>
        <w:autoSpaceDN w:val="0"/>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zh-CN"/>
        </w:rPr>
        <w:t>联合协议</w:t>
      </w:r>
    </w:p>
    <w:p>
      <w:pPr>
        <w:widowControl/>
        <w:spacing w:line="360" w:lineRule="auto"/>
        <w:ind w:firstLine="482" w:firstLineChars="200"/>
        <w:jc w:val="left"/>
        <w:rPr>
          <w:rFonts w:hint="eastAsia" w:ascii="仿宋_GB2312" w:hAnsi="仿宋_GB2312" w:eastAsia="仿宋_GB2312" w:cs="仿宋_GB2312"/>
          <w:b/>
          <w:color w:val="auto"/>
          <w:sz w:val="24"/>
          <w:highlight w:val="none"/>
        </w:rPr>
      </w:pPr>
    </w:p>
    <w:p>
      <w:pPr>
        <w:widowControl/>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pPr>
        <w:rPr>
          <w:rFonts w:hint="eastAsia" w:ascii="仿宋_GB2312" w:hAnsi="仿宋_GB2312" w:eastAsia="仿宋_GB2312" w:cs="仿宋_GB2312"/>
          <w:color w:val="auto"/>
          <w:highlight w:val="non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sz w:val="24"/>
          <w:highlight w:val="none"/>
          <w:u w:val="single"/>
        </w:rPr>
        <w:t>（项目名称）</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投标。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（联合体成员1）</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（联合体成员2）</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四、联合体成员中小企业合同份额。</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r>
        <w:rPr>
          <w:rFonts w:hint="eastAsia" w:ascii="仿宋_GB2312" w:hAnsi="仿宋_GB2312" w:eastAsia="仿宋_GB2312" w:cs="仿宋_GB2312"/>
          <w:color w:val="auto"/>
          <w:kern w:val="0"/>
          <w:sz w:val="24"/>
          <w:highlight w:val="none"/>
          <w:u w:val="single"/>
        </w:rPr>
        <w:t>（</w:t>
      </w:r>
      <w:bookmarkStart w:id="161" w:name="_Hlk101131882"/>
      <w:r>
        <w:rPr>
          <w:rFonts w:hint="eastAsia" w:ascii="仿宋_GB2312" w:hAnsi="仿宋_GB2312" w:eastAsia="仿宋_GB2312" w:cs="仿宋_GB2312"/>
          <w:color w:val="auto"/>
          <w:kern w:val="0"/>
          <w:sz w:val="24"/>
          <w:highlight w:val="none"/>
          <w:u w:val="single"/>
        </w:rPr>
        <w:t>联合体成员X,……</w:t>
      </w:r>
      <w:bookmarkEnd w:id="161"/>
      <w:r>
        <w:rPr>
          <w:rFonts w:hint="eastAsia" w:ascii="仿宋_GB2312" w:hAnsi="仿宋_GB2312" w:eastAsia="仿宋_GB2312" w:cs="仿宋_GB2312"/>
          <w:color w:val="auto"/>
          <w:kern w:val="0"/>
          <w:sz w:val="24"/>
          <w:highlight w:val="none"/>
          <w:u w:val="single"/>
        </w:rPr>
        <w:t>）</w:t>
      </w:r>
      <w:r>
        <w:rPr>
          <w:rFonts w:hint="eastAsia" w:ascii="仿宋_GB2312" w:hAnsi="仿宋_GB2312" w:eastAsia="仿宋_GB2312" w:cs="仿宋_GB2312"/>
          <w:color w:val="auto"/>
          <w:kern w:val="0"/>
          <w:sz w:val="24"/>
          <w:highlight w:val="none"/>
        </w:rPr>
        <w:t>提供的服务由小微企业承接，其合同份额占到合同总金额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w:t>
      </w:r>
      <w:bookmarkStart w:id="162" w:name="_Hlk101133598"/>
      <w:r>
        <w:rPr>
          <w:rFonts w:hint="eastAsia" w:ascii="仿宋_GB2312" w:hAnsi="仿宋_GB2312" w:eastAsia="仿宋_GB2312" w:cs="仿宋_GB2312"/>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bookmarkEnd w:id="162"/>
      <w:r>
        <w:rPr>
          <w:rFonts w:hint="eastAsia" w:ascii="仿宋_GB2312" w:hAnsi="仿宋_GB2312" w:eastAsia="仿宋_GB2312" w:cs="仿宋_GB2312"/>
          <w:b/>
          <w:color w:val="auto"/>
          <w:kern w:val="0"/>
          <w:sz w:val="24"/>
          <w:highlight w:val="none"/>
          <w:lang w:val="zh-CN"/>
        </w:rPr>
        <w:t>）</w:t>
      </w:r>
    </w:p>
    <w:p>
      <w:pPr>
        <w:spacing w:line="360" w:lineRule="auto"/>
        <w:ind w:firstLine="480" w:firstLineChars="200"/>
        <w:rPr>
          <w:rFonts w:hint="eastAsia"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w:t>
      </w:r>
      <w:bookmarkStart w:id="163" w:name="_Hlk101133173"/>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bookmarkEnd w:id="163"/>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right="960"/>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pPr>
        <w:snapToGrid w:val="0"/>
        <w:spacing w:line="360" w:lineRule="auto"/>
        <w:jc w:val="righ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  年  月   日</w:t>
      </w:r>
    </w:p>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pPr>
        <w:jc w:val="left"/>
        <w:rPr>
          <w:rFonts w:hint="eastAsia" w:ascii="仿宋_GB2312" w:hAnsi="仿宋_GB2312" w:eastAsia="仿宋_GB2312" w:cs="仿宋_GB2312"/>
          <w:color w:val="auto"/>
          <w:highlight w:val="none"/>
        </w:rPr>
      </w:pPr>
    </w:p>
    <w:p>
      <w:pPr>
        <w:snapToGrid w:val="0"/>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napToGrid w:val="0"/>
        <w:rPr>
          <w:rFonts w:hint="eastAsia" w:ascii="仿宋_GB2312" w:hAnsi="仿宋_GB2312" w:eastAsia="仿宋_GB2312" w:cs="仿宋_GB2312"/>
          <w:color w:val="auto"/>
          <w:highlight w:val="none"/>
        </w:rPr>
      </w:pPr>
    </w:p>
    <w:p>
      <w:pPr>
        <w:pStyle w:val="3"/>
        <w:adjustRightInd/>
        <w:spacing w:line="240" w:lineRule="auto"/>
        <w:jc w:val="left"/>
        <w:rPr>
          <w:rFonts w:hint="eastAsia" w:ascii="仿宋_GB2312" w:hAnsi="仿宋_GB2312" w:eastAsia="仿宋_GB2312" w:cs="仿宋_GB2312"/>
          <w:color w:val="auto"/>
          <w:kern w:val="0"/>
          <w:szCs w:val="32"/>
          <w:highlight w:val="none"/>
          <w:lang w:val="en-US" w:eastAsia="zh-CN"/>
        </w:rPr>
      </w:pPr>
      <w:bookmarkStart w:id="164" w:name="_Toc879"/>
      <w:bookmarkStart w:id="165" w:name="_Toc18682"/>
      <w:bookmarkStart w:id="166" w:name="_Toc675"/>
      <w:r>
        <w:rPr>
          <w:rFonts w:hint="eastAsia" w:ascii="仿宋_GB2312" w:hAnsi="仿宋_GB2312" w:eastAsia="仿宋_GB2312" w:cs="仿宋_GB2312"/>
          <w:color w:val="auto"/>
          <w:kern w:val="0"/>
          <w:szCs w:val="32"/>
          <w:highlight w:val="none"/>
          <w:lang w:val="zh-CN" w:eastAsia="zh-CN"/>
        </w:rPr>
        <w:t>附件</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lang w:val="zh-CN" w:eastAsia="zh-CN"/>
        </w:rPr>
        <w:t>分包意向协议</w:t>
      </w:r>
      <w:bookmarkEnd w:id="164"/>
      <w:bookmarkEnd w:id="165"/>
      <w:bookmarkEnd w:id="166"/>
    </w:p>
    <w:p>
      <w:pPr>
        <w:snapToGrid w:val="0"/>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分包意向协议</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（成交后以分包方式履行合同的，提供分包意向协议；采购人不同意分包或者供应商成交后不以分包方式履行合同的，则不需要提供）</w:t>
      </w:r>
    </w:p>
    <w:p>
      <w:pPr>
        <w:snapToGrid w:val="0"/>
        <w:spacing w:line="360" w:lineRule="auto"/>
        <w:ind w:firstLine="576"/>
        <w:rPr>
          <w:rFonts w:hint="eastAsia" w:ascii="仿宋_GB2312" w:hAnsi="仿宋_GB2312" w:eastAsia="仿宋_GB2312" w:cs="仿宋_GB2312"/>
          <w:color w:val="auto"/>
          <w:kern w:val="0"/>
          <w:sz w:val="24"/>
          <w:highlight w:val="none"/>
          <w:u w:val="singl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（供应商名称）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eastAsia="zh-CN"/>
        </w:rPr>
        <w:t>项目</w:t>
      </w: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的成交供应商，将依法采取分包方式履行合同。</w:t>
      </w:r>
      <w:r>
        <w:rPr>
          <w:rFonts w:hint="eastAsia" w:ascii="仿宋_GB2312" w:hAnsi="仿宋_GB2312" w:eastAsia="仿宋_GB2312" w:cs="仿宋_GB2312"/>
          <w:color w:val="auto"/>
          <w:kern w:val="0"/>
          <w:sz w:val="24"/>
          <w:highlight w:val="none"/>
          <w:u w:val="single"/>
        </w:rPr>
        <w:t>（供应商名称）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（供应商名称）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（分包供应商2名称），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snapToGrid w:val="0"/>
        <w:ind w:firstLine="576"/>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u w:val="single"/>
        </w:rPr>
        <w:t>……</w:t>
      </w:r>
    </w:p>
    <w:p>
      <w:pPr>
        <w:ind w:firstLine="30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二、分包供应商中小企业合同份额（如果有）</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（分包供应商X,……）提供的</w:t>
      </w:r>
      <w:r>
        <w:rPr>
          <w:rFonts w:hint="eastAsia" w:ascii="仿宋_GB2312" w:hAnsi="仿宋_GB2312" w:eastAsia="仿宋_GB2312" w:cs="仿宋_GB2312"/>
          <w:color w:val="auto"/>
          <w:kern w:val="0"/>
          <w:sz w:val="24"/>
          <w:highlight w:val="none"/>
          <w:u w:val="single"/>
          <w:lang w:eastAsia="zh-CN"/>
        </w:rPr>
        <w:t>工程</w:t>
      </w:r>
      <w:r>
        <w:rPr>
          <w:rFonts w:hint="eastAsia" w:ascii="仿宋_GB2312" w:hAnsi="仿宋_GB2312" w:eastAsia="仿宋_GB2312" w:cs="仿宋_GB2312"/>
          <w:color w:val="auto"/>
          <w:kern w:val="0"/>
          <w:sz w:val="24"/>
          <w:highlight w:val="none"/>
          <w:u w:val="single"/>
        </w:rPr>
        <w:t>全部由小微企业承</w:t>
      </w:r>
      <w:r>
        <w:rPr>
          <w:rFonts w:hint="eastAsia" w:ascii="仿宋_GB2312" w:hAnsi="仿宋_GB2312" w:eastAsia="仿宋_GB2312" w:cs="仿宋_GB2312"/>
          <w:color w:val="auto"/>
          <w:kern w:val="0"/>
          <w:sz w:val="24"/>
          <w:highlight w:val="none"/>
          <w:u w:val="single"/>
          <w:lang w:eastAsia="zh-CN"/>
        </w:rPr>
        <w:t>建</w:t>
      </w:r>
      <w:r>
        <w:rPr>
          <w:rFonts w:hint="eastAsia" w:ascii="仿宋_GB2312" w:hAnsi="仿宋_GB2312" w:eastAsia="仿宋_GB2312" w:cs="仿宋_GB2312"/>
          <w:color w:val="auto"/>
          <w:kern w:val="0"/>
          <w:sz w:val="24"/>
          <w:highlight w:val="none"/>
          <w:u w:val="single"/>
        </w:rPr>
        <w:t>，</w:t>
      </w:r>
      <w:r>
        <w:rPr>
          <w:rFonts w:hint="eastAsia" w:ascii="仿宋_GB2312" w:hAnsi="仿宋_GB2312" w:eastAsia="仿宋_GB2312" w:cs="仿宋_GB2312"/>
          <w:color w:val="auto"/>
          <w:kern w:val="0"/>
          <w:sz w:val="24"/>
          <w:highlight w:val="none"/>
        </w:rPr>
        <w:t>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pPr>
        <w:spacing w:line="360" w:lineRule="auto"/>
        <w:ind w:firstLine="480" w:firstLineChars="200"/>
        <w:rPr>
          <w:rFonts w:hint="eastAsia"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要求合同分包形式参加的项目或采购包，供应商按磋商文件第一部分竞争性磋商邀请公告申请人的资格要求中规定的</w:t>
      </w:r>
      <w:r>
        <w:rPr>
          <w:rFonts w:hint="eastAsia" w:ascii="仿宋_GB2312" w:hAnsi="仿宋_GB2312" w:eastAsia="仿宋_GB2312" w:cs="仿宋_GB2312"/>
          <w:b/>
          <w:color w:val="auto"/>
          <w:kern w:val="0"/>
          <w:sz w:val="24"/>
          <w:highlight w:val="none"/>
          <w:lang w:val="zh-CN"/>
        </w:rPr>
        <w:t>分包意向协议</w:t>
      </w:r>
      <w:r>
        <w:rPr>
          <w:rFonts w:hint="eastAsia" w:ascii="仿宋_GB2312" w:hAnsi="仿宋_GB2312" w:eastAsia="仿宋_GB2312" w:cs="仿宋_GB2312"/>
          <w:b/>
          <w:bCs/>
          <w:color w:val="auto"/>
          <w:sz w:val="24"/>
          <w:highlight w:val="none"/>
        </w:rPr>
        <w:t>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三、分包工作履行期限、地点、方式</w:t>
      </w:r>
    </w:p>
    <w:p>
      <w:pPr>
        <w:snapToGrid w:val="0"/>
        <w:spacing w:line="360" w:lineRule="auto"/>
        <w:ind w:firstLine="576"/>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四、质量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五、价款或者报酬</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六、违约责任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七、争议解决的办法</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八、其他</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中小企业合同金额达到</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%，小微企业合同金额达到</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lang w:val="zh-CN"/>
        </w:rPr>
        <w:t>%。</w:t>
      </w:r>
    </w:p>
    <w:p>
      <w:pPr>
        <w:snapToGrid w:val="0"/>
        <w:spacing w:line="360" w:lineRule="auto"/>
        <w:ind w:left="5758" w:leftChars="342" w:hanging="5040" w:hangingChars="2100"/>
        <w:rPr>
          <w:rFonts w:hint="eastAsia" w:ascii="仿宋_GB2312" w:hAnsi="仿宋_GB2312" w:eastAsia="仿宋_GB2312" w:cs="仿宋_GB2312"/>
          <w:color w:val="auto"/>
          <w:kern w:val="0"/>
          <w:sz w:val="24"/>
          <w:highlight w:val="none"/>
          <w:lang w:val="zh-CN"/>
        </w:rPr>
      </w:pPr>
    </w:p>
    <w:p>
      <w:pPr>
        <w:snapToGrid w:val="0"/>
        <w:spacing w:line="360" w:lineRule="auto"/>
        <w:ind w:left="5758" w:leftChars="342" w:hanging="5040" w:hangingChars="2100"/>
        <w:rPr>
          <w:rFonts w:hint="eastAsia" w:ascii="仿宋_GB2312" w:hAnsi="仿宋_GB2312" w:eastAsia="仿宋_GB2312" w:cs="仿宋_GB2312"/>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_GB2312" w:hAnsi="仿宋_GB2312" w:eastAsia="仿宋_GB2312" w:cs="仿宋_GB2312"/>
          <w:color w:val="auto"/>
          <w:ker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eastAsia="zh-CN"/>
        </w:rPr>
      </w:pPr>
    </w:p>
    <w:p>
      <w:pPr>
        <w:snapToGrid w:val="0"/>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67" w:name="_Toc24344"/>
      <w:bookmarkStart w:id="168" w:name="_Toc5450"/>
      <w:bookmarkStart w:id="169" w:name="_Toc10999"/>
      <w:r>
        <w:rPr>
          <w:rFonts w:hint="eastAsia" w:ascii="仿宋_GB2312" w:hAnsi="仿宋_GB2312" w:eastAsia="仿宋_GB2312" w:cs="仿宋_GB2312"/>
          <w:color w:val="auto"/>
          <w:kern w:val="0"/>
          <w:szCs w:val="32"/>
          <w:highlight w:val="none"/>
        </w:rPr>
        <w:t>附件</w:t>
      </w: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rPr>
        <w:t>：质疑函范本及制作说明</w:t>
      </w:r>
      <w:bookmarkEnd w:id="167"/>
      <w:bookmarkEnd w:id="168"/>
      <w:bookmarkEnd w:id="169"/>
    </w:p>
    <w:p>
      <w:pPr>
        <w:snapToGrid w:val="0"/>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pPr>
        <w:snapToGrid w:val="0"/>
        <w:spacing w:before="240"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spacing w:line="360" w:lineRule="auto"/>
        <w:jc w:val="center"/>
        <w:rPr>
          <w:rFonts w:hint="eastAsia" w:ascii="仿宋_GB2312" w:hAnsi="仿宋_GB2312" w:eastAsia="仿宋_GB2312" w:cs="仿宋_GB2312"/>
          <w:b/>
          <w:bCs/>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1.供应商提出质疑时，应提交质疑函和必要的证明材料。</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Cs w:val="21"/>
          <w:highlight w:val="none"/>
        </w:rPr>
        <w:t>供应商签署的授权委托书。授权委托书应载明代理人的姓名或者名称、代理事项、具体权限、期限和相关事项。</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3.质疑供应商若对项目的某一分包进行质疑，质疑函中应列明具体分包号。</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4.质疑函的质疑事项应具体、明确，并有必要的事实依据和法律依据。</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5.质疑函的质疑请求应与质疑事项相关。</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6.质疑供应商为自然人的，质疑函应由本人签字；质疑供应商为法人或者其他组织的，质疑函应由法定代表人、主要负责人，或者其授权代表签字或者盖章，并加盖公章。</w:t>
      </w:r>
    </w:p>
    <w:p>
      <w:pPr>
        <w:snapToGrid w:val="0"/>
        <w:rPr>
          <w:rFonts w:hint="eastAsia" w:ascii="仿宋_GB2312" w:hAnsi="仿宋_GB2312" w:eastAsia="仿宋_GB2312" w:cs="仿宋_GB2312"/>
          <w:color w:val="auto"/>
          <w:highlight w:val="none"/>
        </w:rPr>
      </w:pPr>
    </w:p>
    <w:p>
      <w:pPr>
        <w:snapToGrid w:val="0"/>
        <w:rPr>
          <w:rFonts w:hint="eastAsia" w:ascii="仿宋_GB2312" w:hAnsi="仿宋_GB2312" w:eastAsia="仿宋_GB2312" w:cs="仿宋_GB2312"/>
          <w:color w:val="auto"/>
          <w:highlight w:val="none"/>
        </w:rPr>
      </w:pPr>
    </w:p>
    <w:p>
      <w:pPr>
        <w:snapToGrid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snapToGrid w:val="0"/>
        <w:rPr>
          <w:rFonts w:hint="eastAsia" w:ascii="仿宋_GB2312" w:hAnsi="仿宋_GB2312" w:eastAsia="仿宋_GB2312" w:cs="仿宋_GB2312"/>
          <w:color w:val="auto"/>
          <w:highlight w:val="none"/>
        </w:rPr>
      </w:pP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70" w:name="_Toc2500"/>
      <w:bookmarkStart w:id="171" w:name="_Toc30643"/>
      <w:bookmarkStart w:id="172" w:name="_Toc29968"/>
      <w:r>
        <w:rPr>
          <w:rFonts w:hint="eastAsia" w:ascii="仿宋_GB2312" w:hAnsi="仿宋_GB2312" w:eastAsia="仿宋_GB2312" w:cs="仿宋_GB2312"/>
          <w:color w:val="auto"/>
          <w:kern w:val="0"/>
          <w:szCs w:val="32"/>
          <w:highlight w:val="none"/>
        </w:rPr>
        <w:t>附件</w:t>
      </w:r>
      <w:r>
        <w:rPr>
          <w:rFonts w:hint="eastAsia" w:ascii="仿宋_GB2312" w:hAnsi="仿宋_GB2312" w:eastAsia="仿宋_GB2312" w:cs="仿宋_GB2312"/>
          <w:color w:val="auto"/>
          <w:kern w:val="0"/>
          <w:szCs w:val="32"/>
          <w:highlight w:val="none"/>
          <w:lang w:val="en-US" w:eastAsia="zh-CN"/>
        </w:rPr>
        <w:t>7</w:t>
      </w:r>
      <w:r>
        <w:rPr>
          <w:rFonts w:hint="eastAsia" w:ascii="仿宋_GB2312" w:hAnsi="仿宋_GB2312" w:eastAsia="仿宋_GB2312" w:cs="仿宋_GB2312"/>
          <w:color w:val="auto"/>
          <w:kern w:val="0"/>
          <w:szCs w:val="32"/>
          <w:highlight w:val="none"/>
        </w:rPr>
        <w:t>：投诉书范本及制作说明</w:t>
      </w:r>
      <w:bookmarkEnd w:id="170"/>
      <w:bookmarkEnd w:id="171"/>
      <w:bookmarkEnd w:id="172"/>
    </w:p>
    <w:p>
      <w:pPr>
        <w:snapToGrid w:val="0"/>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tabs>
          <w:tab w:val="left" w:pos="6510"/>
        </w:tabs>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p>
    <w:p>
      <w:pPr>
        <w:tabs>
          <w:tab w:val="left" w:pos="6510"/>
        </w:tabs>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pPr>
        <w:spacing w:line="360" w:lineRule="auto"/>
        <w:ind w:firstLine="480" w:firstLineChars="200"/>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就质疑事项作出了答复/没有在法定期限内作出答复。</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pPr>
        <w:widowControl/>
        <w:spacing w:line="312"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1.投诉人提起投诉时，应当提交投诉书和必要的证明材料，并按照被投诉人和与投诉事项有关的供应商数量提供投诉书副本。</w:t>
      </w:r>
    </w:p>
    <w:p>
      <w:pPr>
        <w:widowControl/>
        <w:spacing w:line="312" w:lineRule="auto"/>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Cs w:val="21"/>
          <w:highlight w:val="none"/>
        </w:rPr>
        <w:t>投诉人签署的授权委托书。授权委托书应当载明代理人的姓名或者名称、代理事项、具体权限、期限和相关事项。</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3.投诉人若对项目的某一分包进行投诉，投诉书应列明具体分包号。</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4.投诉书应简要列明质疑事项，质疑函、质疑答复等作为附件材料提供。</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5.投诉书的投诉事项应具体、明确，并有必要的事实依据和法律依据。</w:t>
      </w:r>
    </w:p>
    <w:p>
      <w:pPr>
        <w:widowControl/>
        <w:spacing w:line="312"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6.投诉书的投诉请求应与投诉事项相关。</w:t>
      </w:r>
    </w:p>
    <w:p>
      <w:pPr>
        <w:widowControl/>
        <w:spacing w:line="312" w:lineRule="auto"/>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color w:val="auto"/>
          <w:sz w:val="24"/>
          <w:highlight w:val="none"/>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hint="eastAsia" w:ascii="仿宋_GB2312" w:hAnsi="仿宋_GB2312" w:eastAsia="仿宋_GB2312" w:cs="仿宋_GB2312"/>
          <w:color w:val="auto"/>
          <w:highlight w:val="none"/>
        </w:rPr>
      </w:pPr>
    </w:p>
    <w:p>
      <w:pPr>
        <w:pStyle w:val="3"/>
        <w:adjustRightInd/>
        <w:spacing w:line="240" w:lineRule="auto"/>
        <w:jc w:val="left"/>
        <w:rPr>
          <w:rFonts w:hint="eastAsia" w:ascii="仿宋_GB2312" w:hAnsi="仿宋_GB2312" w:eastAsia="仿宋_GB2312" w:cs="仿宋_GB2312"/>
          <w:color w:val="auto"/>
          <w:kern w:val="0"/>
          <w:szCs w:val="32"/>
          <w:highlight w:val="none"/>
        </w:rPr>
      </w:pPr>
      <w:bookmarkStart w:id="173" w:name="_Toc3659"/>
      <w:bookmarkStart w:id="174" w:name="_Toc29416"/>
      <w:r>
        <w:rPr>
          <w:rFonts w:hint="eastAsia" w:ascii="仿宋_GB2312" w:hAnsi="仿宋_GB2312" w:eastAsia="仿宋_GB2312" w:cs="仿宋_GB2312"/>
          <w:color w:val="auto"/>
          <w:kern w:val="0"/>
          <w:szCs w:val="32"/>
          <w:highlight w:val="none"/>
        </w:rPr>
        <w:t>附件</w:t>
      </w:r>
      <w:r>
        <w:rPr>
          <w:rFonts w:hint="eastAsia" w:ascii="仿宋_GB2312" w:hAnsi="仿宋_GB2312" w:eastAsia="仿宋_GB2312" w:cs="仿宋_GB2312"/>
          <w:color w:val="auto"/>
          <w:kern w:val="0"/>
          <w:szCs w:val="32"/>
          <w:highlight w:val="none"/>
          <w:lang w:val="en-US" w:eastAsia="zh-CN"/>
        </w:rPr>
        <w:t>8</w:t>
      </w:r>
      <w:r>
        <w:rPr>
          <w:rFonts w:hint="eastAsia" w:ascii="仿宋_GB2312" w:hAnsi="仿宋_GB2312" w:eastAsia="仿宋_GB2312" w:cs="仿宋_GB2312"/>
          <w:color w:val="auto"/>
          <w:kern w:val="0"/>
          <w:szCs w:val="32"/>
          <w:highlight w:val="none"/>
        </w:rPr>
        <w:t>：关于项目采购代理服务费支付的说明</w:t>
      </w:r>
      <w:bookmarkEnd w:id="173"/>
      <w:bookmarkEnd w:id="174"/>
    </w:p>
    <w:p>
      <w:pPr>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关于项目采购代理服务费支付的说明</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本项目采购代理服务费计费标准及金额详见</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须知前附表。中标（成交）供应商须在采购结果公告（通知）发布之日起5个工作日内向采购代理机构全额支付采购代理服务费。</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成交供应商</w:t>
      </w:r>
      <w:r>
        <w:rPr>
          <w:rFonts w:hint="eastAsia" w:ascii="仿宋_GB2312" w:hAnsi="仿宋_GB2312" w:eastAsia="仿宋_GB2312" w:cs="仿宋_GB2312"/>
          <w:color w:val="auto"/>
          <w:sz w:val="24"/>
          <w:highlight w:val="none"/>
        </w:rPr>
        <w:t>逾期支付代理服务费，须承担代理服务费每日</w:t>
      </w:r>
      <w:r>
        <w:rPr>
          <w:rFonts w:hint="eastAsia" w:ascii="仿宋_GB2312" w:hAnsi="仿宋_GB2312" w:eastAsia="仿宋_GB2312" w:cs="仿宋_GB2312"/>
          <w:color w:val="auto"/>
          <w:sz w:val="24"/>
          <w:highlight w:val="none"/>
          <w:lang w:eastAsia="zh-CN"/>
        </w:rPr>
        <w:t>3%</w:t>
      </w:r>
      <w:r>
        <w:rPr>
          <w:rFonts w:hint="eastAsia" w:ascii="仿宋_GB2312" w:hAnsi="仿宋_GB2312" w:eastAsia="仿宋_GB2312" w:cs="仿宋_GB2312"/>
          <w:color w:val="auto"/>
          <w:sz w:val="24"/>
          <w:highlight w:val="none"/>
        </w:rPr>
        <w:t>的违约金，逾期十日未支付的，采购代理机构有权向杭州仲裁委员会对</w:t>
      </w:r>
      <w:r>
        <w:rPr>
          <w:rFonts w:hint="eastAsia" w:ascii="仿宋_GB2312" w:hAnsi="仿宋_GB2312" w:eastAsia="仿宋_GB2312" w:cs="仿宋_GB2312"/>
          <w:color w:val="auto"/>
          <w:sz w:val="24"/>
          <w:highlight w:val="none"/>
          <w:lang w:eastAsia="zh-CN"/>
        </w:rPr>
        <w:t>成交供应商</w:t>
      </w:r>
      <w:r>
        <w:rPr>
          <w:rFonts w:hint="eastAsia" w:ascii="仿宋_GB2312" w:hAnsi="仿宋_GB2312" w:eastAsia="仿宋_GB2312" w:cs="仿宋_GB2312"/>
          <w:color w:val="auto"/>
          <w:sz w:val="24"/>
          <w:highlight w:val="none"/>
        </w:rPr>
        <w:t>提起仲裁，仲裁费用（包括仲裁受理费和仲裁处理费）均由</w:t>
      </w:r>
      <w:r>
        <w:rPr>
          <w:rFonts w:hint="eastAsia" w:ascii="仿宋_GB2312" w:hAnsi="仿宋_GB2312" w:eastAsia="仿宋_GB2312" w:cs="仿宋_GB2312"/>
          <w:color w:val="auto"/>
          <w:sz w:val="24"/>
          <w:highlight w:val="none"/>
          <w:lang w:eastAsia="zh-CN"/>
        </w:rPr>
        <w:t>成交供应商</w:t>
      </w:r>
      <w:r>
        <w:rPr>
          <w:rFonts w:hint="eastAsia" w:ascii="仿宋_GB2312" w:hAnsi="仿宋_GB2312" w:eastAsia="仿宋_GB2312" w:cs="仿宋_GB2312"/>
          <w:color w:val="auto"/>
          <w:sz w:val="24"/>
          <w:highlight w:val="none"/>
        </w:rPr>
        <w:t>承担。</w:t>
      </w:r>
    </w:p>
    <w:p>
      <w:pPr>
        <w:spacing w:line="312"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采购代理服务费可采用电汇或网银或现金。</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采购代理服务费收取账号如下：</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收款单位（户名）：浙江国际招投标有限公司</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开户银行：中国工商银行杭州武林支行</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银行账号：1202 0212 0990 6782 015</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汇款时，请在备注栏（用途栏）注明“项目编号＋服务费”。</w:t>
      </w:r>
    </w:p>
    <w:p>
      <w:pPr>
        <w:spacing w:line="312"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汇款完成后，请将下表填写完整后发邮箱2334178684@qq.com，便于代理机构及时开具发票并邮寄</w:t>
      </w:r>
      <w:r>
        <w:rPr>
          <w:rFonts w:hint="eastAsia" w:ascii="仿宋_GB2312" w:hAnsi="仿宋_GB2312" w:eastAsia="仿宋_GB2312" w:cs="仿宋_GB2312"/>
          <w:color w:val="auto"/>
          <w:kern w:val="0"/>
          <w:sz w:val="24"/>
          <w:highlight w:val="none"/>
          <w:lang w:eastAsia="zh-CN"/>
        </w:rPr>
        <w:t>成交供应商</w:t>
      </w:r>
      <w:r>
        <w:rPr>
          <w:rFonts w:hint="eastAsia" w:ascii="仿宋_GB2312" w:hAnsi="仿宋_GB2312" w:eastAsia="仿宋_GB2312" w:cs="仿宋_GB2312"/>
          <w:color w:val="auto"/>
          <w:kern w:val="0"/>
          <w:sz w:val="24"/>
          <w:highlight w:val="none"/>
        </w:rPr>
        <w:t>。</w:t>
      </w:r>
    </w:p>
    <w:tbl>
      <w:tblPr>
        <w:tblStyle w:val="56"/>
        <w:tblW w:w="0" w:type="auto"/>
        <w:tblInd w:w="0" w:type="dxa"/>
        <w:tblLayout w:type="fixed"/>
        <w:tblCellMar>
          <w:top w:w="0" w:type="dxa"/>
          <w:left w:w="108" w:type="dxa"/>
          <w:bottom w:w="0" w:type="dxa"/>
          <w:right w:w="108" w:type="dxa"/>
        </w:tblCellMar>
      </w:tblPr>
      <w:tblGrid>
        <w:gridCol w:w="3348"/>
        <w:gridCol w:w="5598"/>
      </w:tblGrid>
      <w:tr>
        <w:tblPrEx>
          <w:tblCellMar>
            <w:top w:w="0" w:type="dxa"/>
            <w:left w:w="108" w:type="dxa"/>
            <w:bottom w:w="0" w:type="dxa"/>
            <w:right w:w="108" w:type="dxa"/>
          </w:tblCellMar>
        </w:tblPrEx>
        <w:trPr>
          <w:trHeight w:val="770" w:hRule="atLeast"/>
        </w:trPr>
        <w:tc>
          <w:tcPr>
            <w:tcW w:w="33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项目编号</w:t>
            </w:r>
          </w:p>
        </w:tc>
        <w:tc>
          <w:tcPr>
            <w:tcW w:w="5598"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12" w:lineRule="auto"/>
              <w:rPr>
                <w:rFonts w:hint="eastAsia" w:ascii="仿宋_GB2312" w:hAnsi="仿宋_GB2312" w:eastAsia="仿宋_GB2312" w:cs="仿宋_GB2312"/>
                <w:color w:val="auto"/>
                <w:szCs w:val="21"/>
                <w:highlight w:val="none"/>
              </w:rPr>
            </w:pPr>
          </w:p>
        </w:tc>
      </w:tr>
      <w:tr>
        <w:tblPrEx>
          <w:tblCellMar>
            <w:top w:w="0" w:type="dxa"/>
            <w:left w:w="108" w:type="dxa"/>
            <w:bottom w:w="0" w:type="dxa"/>
            <w:right w:w="108" w:type="dxa"/>
          </w:tblCellMar>
        </w:tblPrEx>
        <w:trPr>
          <w:trHeight w:val="1858" w:hRule="atLeast"/>
        </w:trPr>
        <w:tc>
          <w:tcPr>
            <w:tcW w:w="33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开票信息</w:t>
            </w:r>
          </w:p>
          <w:p>
            <w:pPr>
              <w:autoSpaceDE w:val="0"/>
              <w:autoSpaceDN w:val="0"/>
              <w:adjustRightInd w:val="0"/>
              <w:spacing w:line="312"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（增值税普通发票仅需提供纳税识别号，增值税专用发票需提供经贵公司财务确认过的开票信息）</w:t>
            </w:r>
          </w:p>
        </w:tc>
        <w:tc>
          <w:tcPr>
            <w:tcW w:w="5598"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公司名称：</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纳税识别号：</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（税务部门备案的）地址：</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（税务部门备案的）电话：</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开户行：</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银行账号：</w:t>
            </w:r>
          </w:p>
        </w:tc>
      </w:tr>
      <w:tr>
        <w:tblPrEx>
          <w:tblCellMar>
            <w:top w:w="0" w:type="dxa"/>
            <w:left w:w="108" w:type="dxa"/>
            <w:bottom w:w="0" w:type="dxa"/>
            <w:right w:w="108" w:type="dxa"/>
          </w:tblCellMar>
        </w:tblPrEx>
        <w:trPr>
          <w:trHeight w:val="543" w:hRule="atLeast"/>
        </w:trPr>
        <w:tc>
          <w:tcPr>
            <w:tcW w:w="33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中标（成交）通知书、服务费发票快递接收地址、联系人、电话</w:t>
            </w:r>
          </w:p>
        </w:tc>
        <w:tc>
          <w:tcPr>
            <w:tcW w:w="5598"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地址：</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收件人：</w:t>
            </w:r>
          </w:p>
          <w:p>
            <w:pPr>
              <w:autoSpaceDE w:val="0"/>
              <w:autoSpaceDN w:val="0"/>
              <w:adjustRightInd w:val="0"/>
              <w:spacing w:line="312"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电话：</w:t>
            </w:r>
          </w:p>
          <w:p>
            <w:pPr>
              <w:autoSpaceDE w:val="0"/>
              <w:autoSpaceDN w:val="0"/>
              <w:adjustRightInd w:val="0"/>
              <w:spacing w:line="312" w:lineRule="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邮箱：（用于增值税普通发票二维码接收）</w:t>
            </w:r>
          </w:p>
        </w:tc>
      </w:tr>
    </w:tbl>
    <w:p>
      <w:pPr>
        <w:pStyle w:val="23"/>
        <w:rPr>
          <w:rFonts w:hint="eastAsia" w:ascii="仿宋_GB2312" w:hAnsi="仿宋_GB2312" w:eastAsia="仿宋_GB2312" w:cs="仿宋_GB2312"/>
          <w:color w:val="auto"/>
          <w:highlight w:val="none"/>
          <w:lang w:val="zh-CN"/>
        </w:rPr>
      </w:pPr>
    </w:p>
    <w:p>
      <w:pP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 </w:t>
      </w:r>
    </w:p>
    <w:p>
      <w:pP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 </w:t>
      </w:r>
    </w:p>
    <w:sectPr>
      <w:headerReference r:id="rId10" w:type="default"/>
      <w:footerReference r:id="rId11" w:type="default"/>
      <w:pgSz w:w="11906" w:h="16838"/>
      <w:pgMar w:top="1418" w:right="1588" w:bottom="1134" w:left="1588" w:header="851" w:footer="737"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8BAD45C-4E31-4B0D-BBF0-55EDE39C8B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方正楷体_GB2312">
    <w:panose1 w:val="02000000000000000000"/>
    <w:charset w:val="86"/>
    <w:family w:val="auto"/>
    <w:pitch w:val="default"/>
    <w:sig w:usb0="A00002BF" w:usb1="184F6CFA"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汉仪雅酷黑简">
    <w:panose1 w:val="00020600040101010101"/>
    <w:charset w:val="86"/>
    <w:family w:val="auto"/>
    <w:pitch w:val="default"/>
    <w:sig w:usb0="A00002BF" w:usb1="1AC17CFA" w:usb2="00000016" w:usb3="00000000" w:csb0="0004009F" w:csb1="DFD7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FAC65A19-ACF5-4D81-93A6-009B4043B2DE}"/>
  </w:font>
  <w:font w:name="仿宋_GB2312">
    <w:panose1 w:val="02010609030101010101"/>
    <w:charset w:val="86"/>
    <w:family w:val="modern"/>
    <w:pitch w:val="default"/>
    <w:sig w:usb0="00000001" w:usb1="080E0000" w:usb2="00000000" w:usb3="00000000" w:csb0="00040000" w:csb1="00000000"/>
    <w:embedRegular r:id="rId3" w:fontKey="{243D07A7-11B4-4B8C-BF5C-A3EC10B9174F}"/>
  </w:font>
  <w:font w:name="Wingdings 2">
    <w:panose1 w:val="05020102010507070707"/>
    <w:charset w:val="02"/>
    <w:family w:val="roman"/>
    <w:pitch w:val="default"/>
    <w:sig w:usb0="00000000" w:usb1="00000000" w:usb2="00000000" w:usb3="00000000" w:csb0="80000000" w:csb1="00000000"/>
    <w:embedRegular r:id="rId4" w:fontKey="{071C2636-4C88-48C4-915B-192BDD2F690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rPr>
        <w:rStyle w:val="60"/>
      </w:rPr>
      <w:t>1</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Fonts w:ascii="仿宋" w:hAnsi="仿宋" w:eastAsia="仿宋"/>
      </w:rPr>
    </w:pPr>
    <w:r>
      <w:rPr>
        <w:rFonts w:ascii="仿宋" w:hAnsi="仿宋" w:eastAsia="仿宋"/>
      </w:rPr>
      <w:fldChar w:fldCharType="begin"/>
    </w:r>
    <w:r>
      <w:rPr>
        <w:rStyle w:val="60"/>
        <w:rFonts w:ascii="仿宋" w:hAnsi="仿宋" w:eastAsia="仿宋"/>
      </w:rPr>
      <w:instrText xml:space="preserve">PAGE  </w:instrText>
    </w:r>
    <w:r>
      <w:rPr>
        <w:rFonts w:ascii="仿宋" w:hAnsi="仿宋" w:eastAsia="仿宋"/>
      </w:rPr>
      <w:fldChar w:fldCharType="separate"/>
    </w:r>
    <w:r>
      <w:rPr>
        <w:rStyle w:val="60"/>
        <w:rFonts w:ascii="仿宋" w:hAnsi="仿宋" w:eastAsia="仿宋"/>
      </w:rPr>
      <w:t>37</w:t>
    </w:r>
    <w:r>
      <w:rPr>
        <w:rFonts w:ascii="仿宋" w:hAnsi="仿宋" w:eastAsia="仿宋"/>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ascii="仿宋" w:hAnsi="仿宋" w:eastAsia="仿宋" w:cs="仿宋"/>
      </w:rPr>
      <w:t>浙江文学院（浙江文学馆）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cs="Arial"/>
        <w:bCs/>
        <w:szCs w:val="21"/>
      </w:rPr>
    </w:pPr>
    <w:r>
      <w:rPr>
        <w:rFonts w:hint="eastAsia" w:ascii="仿宋" w:hAnsi="仿宋" w:eastAsia="仿宋" w:cs="仿宋"/>
      </w:rPr>
      <w:t>浙江文学院（浙江文学馆）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13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japaneseCounting"/>
      <w:pStyle w:val="173"/>
      <w:lvlText w:val="%1、"/>
      <w:lvlJc w:val="left"/>
      <w:pPr>
        <w:tabs>
          <w:tab w:val="left" w:pos="836"/>
        </w:tabs>
        <w:ind w:left="836" w:hanging="420"/>
      </w:pPr>
      <w:rPr>
        <w:rFonts w:hint="default"/>
      </w:rPr>
    </w:lvl>
    <w:lvl w:ilvl="1" w:tentative="0">
      <w:start w:val="1"/>
      <w:numFmt w:val="lowerLetter"/>
      <w:lvlText w:val="%2)"/>
      <w:lvlJc w:val="left"/>
      <w:pPr>
        <w:tabs>
          <w:tab w:val="left" w:pos="1256"/>
        </w:tabs>
        <w:ind w:left="1256" w:hanging="420"/>
      </w:p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abstractNum w:abstractNumId="2">
    <w:nsid w:val="00000003"/>
    <w:multiLevelType w:val="multilevel"/>
    <w:tmpl w:val="00000003"/>
    <w:lvl w:ilvl="0" w:tentative="0">
      <w:start w:val="8"/>
      <w:numFmt w:val="decimal"/>
      <w:pStyle w:val="255"/>
      <w:lvlText w:val=""/>
      <w:lvlJc w:val="left"/>
      <w:pPr>
        <w:tabs>
          <w:tab w:val="left" w:pos="360"/>
        </w:tabs>
        <w:ind w:left="360" w:hanging="360"/>
      </w:pPr>
      <w:rPr>
        <w:rFonts w:hint="default" w:ascii="Times New Roman" w:hAnsi="Times New Roman"/>
      </w:r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multilevel"/>
    <w:tmpl w:val="00000004"/>
    <w:lvl w:ilvl="0" w:tentative="0">
      <w:start w:val="1"/>
      <w:numFmt w:val="bullet"/>
      <w:lvlText w:val="1"/>
      <w:lvlJc w:val="left"/>
      <w:pPr>
        <w:tabs>
          <w:tab w:val="left" w:pos="1197"/>
        </w:tabs>
        <w:ind w:left="1254" w:hanging="204"/>
      </w:pPr>
      <w:rPr>
        <w:rFonts w:hint="eastAsia" w:ascii="宋体" w:hAnsi="宋体" w:eastAsia="宋体"/>
        <w:sz w:val="24"/>
        <w:szCs w:val="24"/>
      </w:rPr>
    </w:lvl>
    <w:lvl w:ilvl="1" w:tentative="0">
      <w:start w:val="1"/>
      <w:numFmt w:val="bullet"/>
      <w:pStyle w:val="276"/>
      <w:lvlText w:val=""/>
      <w:lvlJc w:val="left"/>
      <w:pPr>
        <w:tabs>
          <w:tab w:val="left" w:pos="1470"/>
        </w:tabs>
        <w:ind w:left="1470" w:hanging="420"/>
      </w:pPr>
      <w:rPr>
        <w:rFonts w:hint="default" w:ascii="Wingdings" w:hAnsi="Wingdings"/>
        <w:sz w:val="24"/>
        <w:szCs w:val="24"/>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4">
    <w:nsid w:val="00000005"/>
    <w:multiLevelType w:val="multilevel"/>
    <w:tmpl w:val="00000005"/>
    <w:lvl w:ilvl="0" w:tentative="0">
      <w:start w:val="1"/>
      <w:numFmt w:val="decimalEnclosedCircle"/>
      <w:pStyle w:val="283"/>
      <w:lvlText w:val="%1"/>
      <w:lvlJc w:val="left"/>
      <w:pPr>
        <w:tabs>
          <w:tab w:val="left" w:pos="714"/>
        </w:tabs>
        <w:ind w:left="714" w:hanging="360"/>
      </w:pPr>
      <w:rPr>
        <w:rFonts w:hint="default"/>
      </w:rPr>
    </w:lvl>
    <w:lvl w:ilvl="1" w:tentative="0">
      <w:start w:val="1"/>
      <w:numFmt w:val="lowerLetter"/>
      <w:pStyle w:val="381"/>
      <w:lvlText w:val="%2)"/>
      <w:lvlJc w:val="left"/>
      <w:pPr>
        <w:tabs>
          <w:tab w:val="left" w:pos="1194"/>
        </w:tabs>
        <w:ind w:left="1194" w:hanging="420"/>
      </w:pPr>
    </w:lvl>
    <w:lvl w:ilvl="2" w:tentative="0">
      <w:start w:val="1"/>
      <w:numFmt w:val="lowerRoman"/>
      <w:pStyle w:val="241"/>
      <w:lvlText w:val="%3."/>
      <w:lvlJc w:val="right"/>
      <w:pPr>
        <w:tabs>
          <w:tab w:val="left" w:pos="1614"/>
        </w:tabs>
        <w:ind w:left="1614" w:hanging="420"/>
      </w:pPr>
    </w:lvl>
    <w:lvl w:ilvl="3" w:tentative="0">
      <w:start w:val="1"/>
      <w:numFmt w:val="decimal"/>
      <w:pStyle w:val="155"/>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5">
    <w:nsid w:val="00000006"/>
    <w:multiLevelType w:val="multilevel"/>
    <w:tmpl w:val="00000006"/>
    <w:lvl w:ilvl="0" w:tentative="0">
      <w:start w:val="1"/>
      <w:numFmt w:val="decimal"/>
      <w:pStyle w:val="166"/>
      <w:lvlText w:val="%1)"/>
      <w:lvlJc w:val="left"/>
      <w:pPr>
        <w:tabs>
          <w:tab w:val="left" w:pos="420"/>
        </w:tabs>
        <w:ind w:left="420" w:hanging="420"/>
      </w:pPr>
    </w:lvl>
    <w:lvl w:ilvl="1" w:tentative="0">
      <w:start w:val="1"/>
      <w:numFmt w:val="lowerLetter"/>
      <w:pStyle w:val="216"/>
      <w:lvlText w:val="%2)"/>
      <w:lvlJc w:val="left"/>
      <w:pPr>
        <w:tabs>
          <w:tab w:val="left" w:pos="840"/>
        </w:tabs>
        <w:ind w:left="840" w:hanging="420"/>
      </w:pPr>
    </w:lvl>
    <w:lvl w:ilvl="2" w:tentative="0">
      <w:start w:val="1"/>
      <w:numFmt w:val="lowerRoman"/>
      <w:pStyle w:val="180"/>
      <w:lvlText w:val="%3."/>
      <w:lvlJc w:val="right"/>
      <w:pPr>
        <w:tabs>
          <w:tab w:val="left" w:pos="1260"/>
        </w:tabs>
        <w:ind w:left="1260" w:hanging="420"/>
      </w:pPr>
    </w:lvl>
    <w:lvl w:ilvl="3" w:tentative="0">
      <w:start w:val="1"/>
      <w:numFmt w:val="decimal"/>
      <w:pStyle w:val="32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pStyle w:val="41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00000008"/>
    <w:multiLevelType w:val="singleLevel"/>
    <w:tmpl w:val="00000008"/>
    <w:lvl w:ilvl="0" w:tentative="0">
      <w:start w:val="1"/>
      <w:numFmt w:val="decimalEnclosedCircle"/>
      <w:pStyle w:val="16"/>
      <w:lvlText w:val="%1"/>
      <w:lvlJc w:val="left"/>
      <w:pPr>
        <w:tabs>
          <w:tab w:val="left" w:pos="675"/>
        </w:tabs>
        <w:ind w:left="675" w:hanging="240"/>
      </w:pPr>
      <w:rPr>
        <w:rFonts w:hint="eastAsia"/>
      </w:rPr>
    </w:lvl>
  </w:abstractNum>
  <w:abstractNum w:abstractNumId="8">
    <w:nsid w:val="00000009"/>
    <w:multiLevelType w:val="multilevel"/>
    <w:tmpl w:val="00000009"/>
    <w:lvl w:ilvl="0" w:tentative="0">
      <w:start w:val="1"/>
      <w:numFmt w:val="bullet"/>
      <w:lvlText w:val=""/>
      <w:lvlJc w:val="left"/>
      <w:pPr>
        <w:tabs>
          <w:tab w:val="left" w:pos="1403"/>
        </w:tabs>
        <w:ind w:left="1403" w:hanging="420"/>
      </w:pPr>
      <w:rPr>
        <w:rFonts w:hint="default" w:ascii="Wingdings" w:hAnsi="Wingdings"/>
        <w:kern w:val="2"/>
        <w:sz w:val="28"/>
      </w:rPr>
    </w:lvl>
    <w:lvl w:ilvl="1" w:tentative="0">
      <w:start w:val="1"/>
      <w:numFmt w:val="bullet"/>
      <w:lvlText w:val=""/>
      <w:lvlJc w:val="left"/>
      <w:pPr>
        <w:tabs>
          <w:tab w:val="left" w:pos="840"/>
        </w:tabs>
        <w:ind w:left="840" w:hanging="420"/>
      </w:pPr>
      <w:rPr>
        <w:rFonts w:hint="default" w:ascii="Wingdings" w:hAnsi="Wingdings"/>
        <w:b w:val="0"/>
        <w:i w:val="0"/>
        <w:kern w:val="2"/>
        <w:sz w:val="24"/>
        <w:szCs w:val="24"/>
      </w:rPr>
    </w:lvl>
    <w:lvl w:ilvl="2" w:tentative="0">
      <w:start w:val="1"/>
      <w:numFmt w:val="bullet"/>
      <w:pStyle w:val="410"/>
      <w:lvlText w:val=""/>
      <w:lvlJc w:val="left"/>
      <w:pPr>
        <w:tabs>
          <w:tab w:val="left" w:pos="1500"/>
        </w:tabs>
        <w:ind w:left="1500" w:hanging="420"/>
      </w:pPr>
      <w:rPr>
        <w:rFonts w:hint="default" w:ascii="Wingdings" w:hAnsi="Wingdings"/>
        <w:b w:val="0"/>
        <w:i w:val="0"/>
        <w:kern w:val="2"/>
        <w:sz w:val="24"/>
        <w:szCs w:val="24"/>
      </w:rPr>
    </w:lvl>
    <w:lvl w:ilvl="3" w:tentative="0">
      <w:start w:val="1"/>
      <w:numFmt w:val="decimal"/>
      <w:lvlText w:val="%4."/>
      <w:lvlJc w:val="left"/>
      <w:pPr>
        <w:tabs>
          <w:tab w:val="left" w:pos="2663"/>
        </w:tabs>
        <w:ind w:left="2663" w:hanging="420"/>
      </w:pPr>
      <w:rPr>
        <w:rFonts w:hint="eastAsia"/>
      </w:rPr>
    </w:lvl>
    <w:lvl w:ilvl="4" w:tentative="0">
      <w:start w:val="1"/>
      <w:numFmt w:val="lowerLetter"/>
      <w:lvlText w:val="%5)"/>
      <w:lvlJc w:val="left"/>
      <w:pPr>
        <w:tabs>
          <w:tab w:val="left" w:pos="3083"/>
        </w:tabs>
        <w:ind w:left="3083" w:hanging="420"/>
      </w:pPr>
      <w:rPr>
        <w:rFonts w:hint="eastAsia"/>
      </w:rPr>
    </w:lvl>
    <w:lvl w:ilvl="5" w:tentative="0">
      <w:start w:val="1"/>
      <w:numFmt w:val="lowerRoman"/>
      <w:lvlText w:val="%6."/>
      <w:lvlJc w:val="right"/>
      <w:pPr>
        <w:tabs>
          <w:tab w:val="left" w:pos="3503"/>
        </w:tabs>
        <w:ind w:left="3503" w:hanging="420"/>
      </w:pPr>
      <w:rPr>
        <w:rFonts w:hint="eastAsia"/>
      </w:rPr>
    </w:lvl>
    <w:lvl w:ilvl="6" w:tentative="0">
      <w:start w:val="1"/>
      <w:numFmt w:val="decimal"/>
      <w:lvlText w:val="%7."/>
      <w:lvlJc w:val="left"/>
      <w:pPr>
        <w:tabs>
          <w:tab w:val="left" w:pos="3923"/>
        </w:tabs>
        <w:ind w:left="3923" w:hanging="420"/>
      </w:pPr>
      <w:rPr>
        <w:rFonts w:hint="eastAsia"/>
      </w:rPr>
    </w:lvl>
    <w:lvl w:ilvl="7" w:tentative="0">
      <w:start w:val="1"/>
      <w:numFmt w:val="lowerLetter"/>
      <w:lvlText w:val="%8)"/>
      <w:lvlJc w:val="left"/>
      <w:pPr>
        <w:tabs>
          <w:tab w:val="left" w:pos="4343"/>
        </w:tabs>
        <w:ind w:left="4343" w:hanging="420"/>
      </w:pPr>
      <w:rPr>
        <w:rFonts w:hint="eastAsia"/>
      </w:rPr>
    </w:lvl>
    <w:lvl w:ilvl="8" w:tentative="0">
      <w:start w:val="1"/>
      <w:numFmt w:val="lowerRoman"/>
      <w:lvlText w:val="%9."/>
      <w:lvlJc w:val="right"/>
      <w:pPr>
        <w:tabs>
          <w:tab w:val="left" w:pos="4763"/>
        </w:tabs>
        <w:ind w:left="4763" w:hanging="420"/>
      </w:pPr>
      <w:rPr>
        <w:rFonts w:hint="eastAsia"/>
      </w:rPr>
    </w:lvl>
  </w:abstractNum>
  <w:abstractNum w:abstractNumId="9">
    <w:nsid w:val="0000000A"/>
    <w:multiLevelType w:val="multilevel"/>
    <w:tmpl w:val="0000000A"/>
    <w:lvl w:ilvl="0" w:tentative="0">
      <w:start w:val="1"/>
      <w:numFmt w:val="decimal"/>
      <w:lvlText w:val="%1."/>
      <w:lvlJc w:val="left"/>
      <w:pPr>
        <w:tabs>
          <w:tab w:val="left" w:pos="420"/>
        </w:tabs>
        <w:ind w:left="420" w:hanging="420"/>
      </w:pPr>
      <w:rPr>
        <w:rFonts w:hint="default"/>
      </w:rPr>
    </w:lvl>
    <w:lvl w:ilvl="1" w:tentative="0">
      <w:start w:val="6"/>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pStyle w:val="228"/>
      <w:isLgl/>
      <w:lvlText w:val="%1.%2.%3.%4.%5.%6"/>
      <w:lvlJc w:val="left"/>
      <w:pPr>
        <w:tabs>
          <w:tab w:val="left" w:pos="480"/>
        </w:tabs>
        <w:ind w:left="480" w:hanging="480"/>
      </w:pPr>
      <w:rPr>
        <w:rFonts w:hint="default"/>
      </w:rPr>
    </w:lvl>
    <w:lvl w:ilvl="6" w:tentative="0">
      <w:start w:val="1"/>
      <w:numFmt w:val="decimal"/>
      <w:pStyle w:val="235"/>
      <w:isLgl/>
      <w:lvlText w:val="%1.%2.%3.%4.%5.%6.%7"/>
      <w:lvlJc w:val="left"/>
      <w:pPr>
        <w:tabs>
          <w:tab w:val="left" w:pos="480"/>
        </w:tabs>
        <w:ind w:left="480" w:hanging="480"/>
      </w:pPr>
      <w:rPr>
        <w:rFonts w:hint="default"/>
      </w:rPr>
    </w:lvl>
    <w:lvl w:ilvl="7" w:tentative="0">
      <w:start w:val="1"/>
      <w:numFmt w:val="decimal"/>
      <w:pStyle w:val="404"/>
      <w:isLgl/>
      <w:lvlText w:val="%1.%2.%3.%4.%5.%6.%7.%8"/>
      <w:lvlJc w:val="left"/>
      <w:pPr>
        <w:tabs>
          <w:tab w:val="left" w:pos="480"/>
        </w:tabs>
        <w:ind w:left="480" w:hanging="480"/>
      </w:pPr>
      <w:rPr>
        <w:rFonts w:hint="default"/>
      </w:rPr>
    </w:lvl>
    <w:lvl w:ilvl="8" w:tentative="0">
      <w:start w:val="1"/>
      <w:numFmt w:val="decimal"/>
      <w:pStyle w:val="183"/>
      <w:isLgl/>
      <w:lvlText w:val="%1.%2.%3.%4.%5.%6.%7.%8.%9"/>
      <w:lvlJc w:val="left"/>
      <w:pPr>
        <w:tabs>
          <w:tab w:val="left" w:pos="480"/>
        </w:tabs>
        <w:ind w:left="480" w:hanging="480"/>
      </w:pPr>
      <w:rPr>
        <w:rFonts w:hint="default"/>
      </w:rPr>
    </w:lvl>
  </w:abstractNum>
  <w:abstractNum w:abstractNumId="10">
    <w:nsid w:val="0000000B"/>
    <w:multiLevelType w:val="multilevel"/>
    <w:tmpl w:val="0000000B"/>
    <w:lvl w:ilvl="0" w:tentative="0">
      <w:start w:val="1"/>
      <w:numFmt w:val="lowerLetter"/>
      <w:lvlText w:val="%1."/>
      <w:lvlJc w:val="left"/>
      <w:pPr>
        <w:tabs>
          <w:tab w:val="left" w:pos="1157"/>
        </w:tabs>
        <w:ind w:left="1157" w:hanging="360"/>
      </w:pPr>
      <w:rPr>
        <w:rFonts w:hint="eastAsia"/>
      </w:rPr>
    </w:lvl>
    <w:lvl w:ilvl="1" w:tentative="0">
      <w:start w:val="1"/>
      <w:numFmt w:val="lowerLetter"/>
      <w:lvlText w:val="%2)"/>
      <w:lvlJc w:val="left"/>
      <w:pPr>
        <w:tabs>
          <w:tab w:val="left" w:pos="1637"/>
        </w:tabs>
        <w:ind w:left="1637" w:hanging="420"/>
      </w:pPr>
    </w:lvl>
    <w:lvl w:ilvl="2" w:tentative="0">
      <w:start w:val="1"/>
      <w:numFmt w:val="lowerRoman"/>
      <w:pStyle w:val="244"/>
      <w:lvlText w:val="%3."/>
      <w:lvlJc w:val="right"/>
      <w:pPr>
        <w:tabs>
          <w:tab w:val="left" w:pos="2057"/>
        </w:tabs>
        <w:ind w:left="2057" w:hanging="420"/>
      </w:pPr>
    </w:lvl>
    <w:lvl w:ilvl="3" w:tentative="0">
      <w:start w:val="1"/>
      <w:numFmt w:val="decimal"/>
      <w:lvlText w:val="%4."/>
      <w:lvlJc w:val="left"/>
      <w:pPr>
        <w:tabs>
          <w:tab w:val="left" w:pos="2477"/>
        </w:tabs>
        <w:ind w:left="2477" w:hanging="420"/>
      </w:pPr>
    </w:lvl>
    <w:lvl w:ilvl="4" w:tentative="0">
      <w:start w:val="1"/>
      <w:numFmt w:val="lowerLetter"/>
      <w:lvlText w:val="%5)"/>
      <w:lvlJc w:val="left"/>
      <w:pPr>
        <w:tabs>
          <w:tab w:val="left" w:pos="2897"/>
        </w:tabs>
        <w:ind w:left="2897" w:hanging="420"/>
      </w:pPr>
    </w:lvl>
    <w:lvl w:ilvl="5" w:tentative="0">
      <w:start w:val="1"/>
      <w:numFmt w:val="lowerRoman"/>
      <w:lvlText w:val="%6."/>
      <w:lvlJc w:val="right"/>
      <w:pPr>
        <w:tabs>
          <w:tab w:val="left" w:pos="3317"/>
        </w:tabs>
        <w:ind w:left="3317" w:hanging="420"/>
      </w:pPr>
    </w:lvl>
    <w:lvl w:ilvl="6" w:tentative="0">
      <w:start w:val="1"/>
      <w:numFmt w:val="decimal"/>
      <w:lvlText w:val="%7."/>
      <w:lvlJc w:val="left"/>
      <w:pPr>
        <w:tabs>
          <w:tab w:val="left" w:pos="3737"/>
        </w:tabs>
        <w:ind w:left="3737" w:hanging="420"/>
      </w:pPr>
    </w:lvl>
    <w:lvl w:ilvl="7" w:tentative="0">
      <w:start w:val="1"/>
      <w:numFmt w:val="lowerLetter"/>
      <w:lvlText w:val="%8)"/>
      <w:lvlJc w:val="left"/>
      <w:pPr>
        <w:tabs>
          <w:tab w:val="left" w:pos="4157"/>
        </w:tabs>
        <w:ind w:left="4157" w:hanging="420"/>
      </w:pPr>
    </w:lvl>
    <w:lvl w:ilvl="8" w:tentative="0">
      <w:start w:val="1"/>
      <w:numFmt w:val="lowerRoman"/>
      <w:lvlText w:val="%9."/>
      <w:lvlJc w:val="right"/>
      <w:pPr>
        <w:tabs>
          <w:tab w:val="left" w:pos="4577"/>
        </w:tabs>
        <w:ind w:left="4577" w:hanging="420"/>
      </w:pPr>
    </w:lvl>
  </w:abstractNum>
  <w:abstractNum w:abstractNumId="11">
    <w:nsid w:val="0000000C"/>
    <w:multiLevelType w:val="multilevel"/>
    <w:tmpl w:val="0000000C"/>
    <w:lvl w:ilvl="0" w:tentative="0">
      <w:start w:val="1"/>
      <w:numFmt w:val="decimal"/>
      <w:lvlText w:val="（%1）"/>
      <w:lvlJc w:val="left"/>
      <w:pPr>
        <w:tabs>
          <w:tab w:val="left" w:pos="1140"/>
        </w:tabs>
        <w:ind w:left="-5" w:firstLine="425"/>
      </w:pPr>
      <w:rPr>
        <w:rFonts w:hint="eastAsia"/>
      </w:rPr>
    </w:lvl>
    <w:lvl w:ilvl="1" w:tentative="0">
      <w:start w:val="1"/>
      <w:numFmt w:val="decimal"/>
      <w:lvlText w:val="（%2）"/>
      <w:lvlJc w:val="left"/>
      <w:pPr>
        <w:tabs>
          <w:tab w:val="left" w:pos="1135"/>
        </w:tabs>
        <w:ind w:left="1135" w:hanging="720"/>
      </w:pPr>
      <w:rPr>
        <w:rFonts w:hint="eastAsia"/>
      </w:rPr>
    </w:lvl>
    <w:lvl w:ilvl="2" w:tentative="0">
      <w:start w:val="1"/>
      <w:numFmt w:val="lowerRoman"/>
      <w:pStyle w:val="220"/>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2">
    <w:nsid w:val="0000000D"/>
    <w:multiLevelType w:val="singleLevel"/>
    <w:tmpl w:val="0000000D"/>
    <w:lvl w:ilvl="0" w:tentative="0">
      <w:start w:val="1"/>
      <w:numFmt w:val="decimal"/>
      <w:pStyle w:val="22"/>
      <w:lvlText w:val="（%1）"/>
      <w:lvlJc w:val="left"/>
      <w:pPr>
        <w:tabs>
          <w:tab w:val="left" w:pos="705"/>
        </w:tabs>
        <w:ind w:left="705" w:hanging="705"/>
      </w:pPr>
    </w:lvl>
  </w:abstractNum>
  <w:abstractNum w:abstractNumId="13">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pStyle w:val="294"/>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19690CEC"/>
    <w:multiLevelType w:val="multilevel"/>
    <w:tmpl w:val="19690CEC"/>
    <w:lvl w:ilvl="0" w:tentative="0">
      <w:start w:val="1"/>
      <w:numFmt w:val="decimal"/>
      <w:lvlText w:val="（%1）"/>
      <w:lvlJc w:val="left"/>
      <w:pPr>
        <w:tabs>
          <w:tab w:val="left" w:pos="1200"/>
        </w:tabs>
        <w:ind w:left="1200" w:hanging="720"/>
      </w:pPr>
      <w:rPr>
        <w:rFonts w:hint="default"/>
      </w:rPr>
    </w:lvl>
    <w:lvl w:ilvl="1" w:tentative="0">
      <w:start w:val="1"/>
      <w:numFmt w:val="lowerLetter"/>
      <w:pStyle w:val="305"/>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6"/>
  </w:num>
  <w:num w:numId="2">
    <w:abstractNumId w:val="7"/>
  </w:num>
  <w:num w:numId="3">
    <w:abstractNumId w:val="12"/>
  </w:num>
  <w:num w:numId="4">
    <w:abstractNumId w:val="0"/>
  </w:num>
  <w:num w:numId="5">
    <w:abstractNumId w:val="4"/>
  </w:num>
  <w:num w:numId="6">
    <w:abstractNumId w:val="5"/>
  </w:num>
  <w:num w:numId="7">
    <w:abstractNumId w:val="1"/>
  </w:num>
  <w:num w:numId="8">
    <w:abstractNumId w:val="9"/>
  </w:num>
  <w:num w:numId="9">
    <w:abstractNumId w:val="11"/>
  </w:num>
  <w:num w:numId="10">
    <w:abstractNumId w:val="10"/>
  </w:num>
  <w:num w:numId="11">
    <w:abstractNumId w:val="2"/>
  </w:num>
  <w:num w:numId="12">
    <w:abstractNumId w:val="3"/>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ZmQ2ZWU5MGE2Njc4YjQyMzk3NjY4MmEzZTNiMmMifQ=="/>
    <w:docVar w:name="KSO_WPS_MARK_KEY" w:val="fd024c39-4c5b-4275-aca6-10a35742190f"/>
  </w:docVars>
  <w:rsids>
    <w:rsidRoot w:val="00AD12BC"/>
    <w:rsid w:val="00142625"/>
    <w:rsid w:val="004679EA"/>
    <w:rsid w:val="00480686"/>
    <w:rsid w:val="0054082E"/>
    <w:rsid w:val="0059288A"/>
    <w:rsid w:val="008A4BBD"/>
    <w:rsid w:val="008F1870"/>
    <w:rsid w:val="0090726D"/>
    <w:rsid w:val="00912D2F"/>
    <w:rsid w:val="009B7EDB"/>
    <w:rsid w:val="00AD12BC"/>
    <w:rsid w:val="00B043D1"/>
    <w:rsid w:val="00B11D95"/>
    <w:rsid w:val="00B6121A"/>
    <w:rsid w:val="00C8620D"/>
    <w:rsid w:val="00D54031"/>
    <w:rsid w:val="00D62914"/>
    <w:rsid w:val="00E23577"/>
    <w:rsid w:val="00F2277B"/>
    <w:rsid w:val="035E0DBD"/>
    <w:rsid w:val="043B7FCA"/>
    <w:rsid w:val="07C94B2E"/>
    <w:rsid w:val="09B10AC3"/>
    <w:rsid w:val="0A79563F"/>
    <w:rsid w:val="0B626B98"/>
    <w:rsid w:val="0BC37BEF"/>
    <w:rsid w:val="0C2846EE"/>
    <w:rsid w:val="0C727DC9"/>
    <w:rsid w:val="0E7B3C95"/>
    <w:rsid w:val="0FB102D7"/>
    <w:rsid w:val="108C054B"/>
    <w:rsid w:val="137E45A5"/>
    <w:rsid w:val="16297009"/>
    <w:rsid w:val="16B63FCC"/>
    <w:rsid w:val="1C167B2B"/>
    <w:rsid w:val="1CCF8A78"/>
    <w:rsid w:val="1F10525A"/>
    <w:rsid w:val="20747541"/>
    <w:rsid w:val="20AA1134"/>
    <w:rsid w:val="21D24EF9"/>
    <w:rsid w:val="23081905"/>
    <w:rsid w:val="24BB732B"/>
    <w:rsid w:val="24EC6AC8"/>
    <w:rsid w:val="29A07442"/>
    <w:rsid w:val="2A8324E9"/>
    <w:rsid w:val="2A8B68C3"/>
    <w:rsid w:val="2B406345"/>
    <w:rsid w:val="2CDA6E57"/>
    <w:rsid w:val="2E843473"/>
    <w:rsid w:val="30E81B43"/>
    <w:rsid w:val="31AD25A5"/>
    <w:rsid w:val="34296706"/>
    <w:rsid w:val="34DF45DF"/>
    <w:rsid w:val="357207F2"/>
    <w:rsid w:val="36A8259F"/>
    <w:rsid w:val="38DE3B84"/>
    <w:rsid w:val="3B48601B"/>
    <w:rsid w:val="3D705EFB"/>
    <w:rsid w:val="3DC54CCD"/>
    <w:rsid w:val="41546DDA"/>
    <w:rsid w:val="45AD11AC"/>
    <w:rsid w:val="47DD7786"/>
    <w:rsid w:val="4BAC5EBD"/>
    <w:rsid w:val="4DFD592F"/>
    <w:rsid w:val="4E0D2791"/>
    <w:rsid w:val="4E56DC32"/>
    <w:rsid w:val="4F1105E8"/>
    <w:rsid w:val="55DFEB50"/>
    <w:rsid w:val="57040B55"/>
    <w:rsid w:val="57A852D8"/>
    <w:rsid w:val="5A5A55A1"/>
    <w:rsid w:val="5B165DD4"/>
    <w:rsid w:val="5C2B2BEE"/>
    <w:rsid w:val="5C2C3133"/>
    <w:rsid w:val="5DD76917"/>
    <w:rsid w:val="5F451D7D"/>
    <w:rsid w:val="5FF60956"/>
    <w:rsid w:val="61E6318E"/>
    <w:rsid w:val="67786039"/>
    <w:rsid w:val="6A2254E1"/>
    <w:rsid w:val="6C3429F8"/>
    <w:rsid w:val="6C465BC5"/>
    <w:rsid w:val="70E92C5C"/>
    <w:rsid w:val="71CD3D94"/>
    <w:rsid w:val="7358162B"/>
    <w:rsid w:val="736D72EF"/>
    <w:rsid w:val="739F1E45"/>
    <w:rsid w:val="77724C53"/>
    <w:rsid w:val="77F76E23"/>
    <w:rsid w:val="78715FDB"/>
    <w:rsid w:val="78E508F4"/>
    <w:rsid w:val="7A701976"/>
    <w:rsid w:val="7BF32717"/>
    <w:rsid w:val="7D2D6B0F"/>
    <w:rsid w:val="7EDF30E0"/>
    <w:rsid w:val="7F26E4C6"/>
    <w:rsid w:val="7FBCAC11"/>
    <w:rsid w:val="7FDDBB3A"/>
    <w:rsid w:val="7FDF230C"/>
    <w:rsid w:val="7FF66840"/>
    <w:rsid w:val="7FFB2A18"/>
    <w:rsid w:val="957C4916"/>
    <w:rsid w:val="AADF0D99"/>
    <w:rsid w:val="BBCC8C38"/>
    <w:rsid w:val="D9BED5E8"/>
    <w:rsid w:val="DBA52EBF"/>
    <w:rsid w:val="DCFF9CA9"/>
    <w:rsid w:val="DFBBA9BE"/>
    <w:rsid w:val="E9436316"/>
    <w:rsid w:val="EB0E7D5B"/>
    <w:rsid w:val="F3DDFBF4"/>
    <w:rsid w:val="F7FBDB26"/>
    <w:rsid w:val="F8D76B7C"/>
    <w:rsid w:val="FF7FF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
    <w:pPr>
      <w:keepNext/>
      <w:keepLines/>
      <w:adjustRightInd w:val="0"/>
      <w:spacing w:before="340" w:after="330" w:line="576" w:lineRule="auto"/>
      <w:jc w:val="center"/>
      <w:outlineLvl w:val="0"/>
    </w:pPr>
    <w:rPr>
      <w:b/>
      <w:bCs/>
      <w:kern w:val="44"/>
      <w:sz w:val="30"/>
      <w:szCs w:val="44"/>
    </w:rPr>
  </w:style>
  <w:style w:type="paragraph" w:styleId="3">
    <w:name w:val="heading 2"/>
    <w:basedOn w:val="1"/>
    <w:next w:val="1"/>
    <w:link w:val="71"/>
    <w:autoRedefine/>
    <w:unhideWhenUsed/>
    <w:qFormat/>
    <w:uiPriority w:val="9"/>
    <w:pPr>
      <w:keepNext/>
      <w:keepLines/>
      <w:adjustRightInd w:val="0"/>
      <w:snapToGrid w:val="0"/>
      <w:spacing w:line="360" w:lineRule="auto"/>
      <w:jc w:val="center"/>
      <w:outlineLvl w:val="1"/>
    </w:pPr>
    <w:rPr>
      <w:rFonts w:ascii="宋体" w:hAnsi="宋体"/>
      <w:b/>
      <w:color w:val="000000"/>
      <w:sz w:val="24"/>
    </w:rPr>
  </w:style>
  <w:style w:type="paragraph" w:styleId="4">
    <w:name w:val="heading 3"/>
    <w:basedOn w:val="1"/>
    <w:next w:val="1"/>
    <w:link w:val="72"/>
    <w:autoRedefine/>
    <w:unhideWhenUsed/>
    <w:qFormat/>
    <w:uiPriority w:val="9"/>
    <w:pPr>
      <w:keepNext/>
      <w:keepLines/>
      <w:spacing w:before="260" w:after="260" w:line="413" w:lineRule="auto"/>
      <w:outlineLvl w:val="2"/>
    </w:pPr>
    <w:rPr>
      <w:b/>
      <w:bCs/>
      <w:sz w:val="32"/>
      <w:szCs w:val="32"/>
    </w:rPr>
  </w:style>
  <w:style w:type="paragraph" w:styleId="5">
    <w:name w:val="heading 4"/>
    <w:basedOn w:val="1"/>
    <w:next w:val="1"/>
    <w:autoRedefine/>
    <w:semiHidden/>
    <w:unhideWhenUsed/>
    <w:qFormat/>
    <w:uiPriority w:val="9"/>
    <w:pPr>
      <w:spacing w:before="160" w:after="160" w:line="600" w:lineRule="exact"/>
      <w:jc w:val="left"/>
      <w:outlineLvl w:val="3"/>
    </w:pPr>
    <w:rPr>
      <w:rFonts w:ascii="宋体" w:hAnsi="宋体"/>
      <w:color w:val="000000"/>
      <w:spacing w:val="10"/>
      <w:kern w:val="24"/>
      <w:sz w:val="24"/>
    </w:rPr>
  </w:style>
  <w:style w:type="paragraph" w:styleId="6">
    <w:name w:val="heading 5"/>
    <w:basedOn w:val="1"/>
    <w:next w:val="1"/>
    <w:semiHidden/>
    <w:unhideWhenUsed/>
    <w:qFormat/>
    <w:uiPriority w:val="9"/>
    <w:pPr>
      <w:widowControl/>
      <w:spacing w:before="240" w:after="60"/>
      <w:jc w:val="left"/>
      <w:outlineLvl w:val="4"/>
    </w:pPr>
    <w:rPr>
      <w:rFonts w:ascii="楷体" w:eastAsia="楷体"/>
      <w:kern w:val="0"/>
      <w:sz w:val="24"/>
      <w:szCs w:val="20"/>
    </w:rPr>
  </w:style>
  <w:style w:type="paragraph" w:styleId="7">
    <w:name w:val="heading 6"/>
    <w:basedOn w:val="1"/>
    <w:next w:val="8"/>
    <w:semiHidden/>
    <w:unhideWhenUsed/>
    <w:qFormat/>
    <w:uiPriority w:val="9"/>
    <w:pPr>
      <w:keepNext/>
      <w:keepLines/>
      <w:numPr>
        <w:ilvl w:val="5"/>
        <w:numId w:val="1"/>
      </w:numPr>
      <w:spacing w:before="240" w:after="64" w:line="317" w:lineRule="auto"/>
      <w:jc w:val="left"/>
      <w:outlineLvl w:val="5"/>
    </w:pPr>
    <w:rPr>
      <w:rFonts w:ascii="Arial" w:hAnsi="Arial" w:eastAsia="黑体"/>
      <w:b/>
      <w:bCs/>
      <w:spacing w:val="6"/>
      <w:sz w:val="24"/>
    </w:rPr>
  </w:style>
  <w:style w:type="paragraph" w:styleId="10">
    <w:name w:val="heading 7"/>
    <w:basedOn w:val="1"/>
    <w:next w:val="8"/>
    <w:qFormat/>
    <w:uiPriority w:val="0"/>
    <w:pPr>
      <w:keepNext/>
      <w:keepLines/>
      <w:numPr>
        <w:ilvl w:val="6"/>
        <w:numId w:val="1"/>
      </w:numPr>
      <w:spacing w:before="240" w:after="64" w:line="317" w:lineRule="auto"/>
      <w:jc w:val="left"/>
      <w:outlineLvl w:val="6"/>
    </w:pPr>
    <w:rPr>
      <w:b/>
      <w:bCs/>
      <w:spacing w:val="6"/>
      <w:sz w:val="24"/>
    </w:rPr>
  </w:style>
  <w:style w:type="paragraph" w:styleId="11">
    <w:name w:val="heading 8"/>
    <w:basedOn w:val="1"/>
    <w:next w:val="8"/>
    <w:autoRedefine/>
    <w:qFormat/>
    <w:uiPriority w:val="0"/>
    <w:pPr>
      <w:keepNext/>
      <w:keepLines/>
      <w:numPr>
        <w:ilvl w:val="7"/>
        <w:numId w:val="1"/>
      </w:numPr>
      <w:spacing w:before="240" w:after="64" w:line="317" w:lineRule="auto"/>
      <w:jc w:val="left"/>
      <w:outlineLvl w:val="7"/>
    </w:pPr>
    <w:rPr>
      <w:rFonts w:ascii="Arial" w:hAnsi="Arial" w:eastAsia="黑体"/>
      <w:spacing w:val="6"/>
      <w:sz w:val="24"/>
    </w:rPr>
  </w:style>
  <w:style w:type="paragraph" w:styleId="12">
    <w:name w:val="heading 9"/>
    <w:basedOn w:val="1"/>
    <w:next w:val="8"/>
    <w:autoRedefine/>
    <w:qFormat/>
    <w:uiPriority w:val="0"/>
    <w:pPr>
      <w:keepNext/>
      <w:keepLines/>
      <w:numPr>
        <w:ilvl w:val="8"/>
        <w:numId w:val="1"/>
      </w:numPr>
      <w:spacing w:before="240" w:after="64" w:line="317" w:lineRule="auto"/>
      <w:jc w:val="left"/>
      <w:outlineLvl w:val="8"/>
    </w:pPr>
    <w:rPr>
      <w:rFonts w:ascii="Arial" w:hAnsi="Arial" w:eastAsia="黑体"/>
      <w:spacing w:val="6"/>
      <w:sz w:val="24"/>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9"/>
    <w:link w:val="73"/>
    <w:qFormat/>
    <w:uiPriority w:val="0"/>
    <w:pPr>
      <w:spacing w:line="460" w:lineRule="exact"/>
      <w:ind w:firstLine="420"/>
    </w:pPr>
    <w:rPr>
      <w:spacing w:val="14"/>
      <w:kern w:val="24"/>
      <w:sz w:val="24"/>
      <w:szCs w:val="20"/>
    </w:rPr>
  </w:style>
  <w:style w:type="paragraph" w:styleId="9">
    <w:name w:val="Plain Text"/>
    <w:basedOn w:val="1"/>
    <w:link w:val="78"/>
    <w:autoRedefine/>
    <w:qFormat/>
    <w:uiPriority w:val="0"/>
    <w:rPr>
      <w:rFonts w:ascii="宋体" w:hAnsi="Courier New" w:cs="Courier New"/>
      <w:szCs w:val="21"/>
    </w:rPr>
  </w:style>
  <w:style w:type="paragraph" w:styleId="13">
    <w:name w:val="toc 7"/>
    <w:basedOn w:val="1"/>
    <w:next w:val="1"/>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5">
    <w:name w:val="caption"/>
    <w:basedOn w:val="1"/>
    <w:next w:val="1"/>
    <w:qFormat/>
    <w:uiPriority w:val="0"/>
    <w:rPr>
      <w:rFonts w:ascii="Arial" w:hAnsi="Arial" w:eastAsia="黑体"/>
      <w:sz w:val="20"/>
      <w:szCs w:val="20"/>
    </w:rPr>
  </w:style>
  <w:style w:type="paragraph" w:styleId="16">
    <w:name w:val="List Bullet"/>
    <w:basedOn w:val="1"/>
    <w:autoRedefine/>
    <w:qFormat/>
    <w:uiPriority w:val="0"/>
    <w:pPr>
      <w:numPr>
        <w:ilvl w:val="0"/>
        <w:numId w:val="2"/>
      </w:numPr>
      <w:tabs>
        <w:tab w:val="clear" w:pos="675"/>
      </w:tabs>
    </w:pPr>
    <w:rPr>
      <w:szCs w:val="20"/>
    </w:rPr>
  </w:style>
  <w:style w:type="paragraph" w:styleId="17">
    <w:name w:val="Document Map"/>
    <w:basedOn w:val="1"/>
    <w:link w:val="74"/>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cs="Arial"/>
      <w:sz w:val="24"/>
    </w:rPr>
  </w:style>
  <w:style w:type="paragraph" w:styleId="19">
    <w:name w:val="annotation text"/>
    <w:basedOn w:val="1"/>
    <w:link w:val="75"/>
    <w:autoRedefine/>
    <w:qFormat/>
    <w:uiPriority w:val="0"/>
    <w:pPr>
      <w:jc w:val="left"/>
    </w:pPr>
  </w:style>
  <w:style w:type="paragraph" w:styleId="20">
    <w:name w:val="Salutation"/>
    <w:basedOn w:val="1"/>
    <w:next w:val="1"/>
    <w:qFormat/>
    <w:uiPriority w:val="0"/>
    <w:rPr>
      <w:sz w:val="24"/>
    </w:rPr>
  </w:style>
  <w:style w:type="paragraph" w:styleId="21">
    <w:name w:val="Body Text 3"/>
    <w:basedOn w:val="1"/>
    <w:link w:val="76"/>
    <w:qFormat/>
    <w:uiPriority w:val="0"/>
    <w:pPr>
      <w:spacing w:line="360" w:lineRule="auto"/>
      <w:jc w:val="center"/>
    </w:pPr>
    <w:rPr>
      <w:rFonts w:ascii="宋体" w:hAnsi="Courier New"/>
      <w:kern w:val="0"/>
      <w:szCs w:val="20"/>
    </w:rPr>
  </w:style>
  <w:style w:type="paragraph" w:styleId="22">
    <w:name w:val="List Bullet 3"/>
    <w:basedOn w:val="1"/>
    <w:autoRedefine/>
    <w:qFormat/>
    <w:uiPriority w:val="0"/>
    <w:pPr>
      <w:numPr>
        <w:ilvl w:val="0"/>
        <w:numId w:val="3"/>
      </w:numPr>
      <w:tabs>
        <w:tab w:val="clear" w:pos="705"/>
      </w:tabs>
      <w:spacing w:line="360" w:lineRule="auto"/>
    </w:pPr>
    <w:rPr>
      <w:sz w:val="24"/>
      <w:szCs w:val="20"/>
    </w:rPr>
  </w:style>
  <w:style w:type="paragraph" w:styleId="23">
    <w:name w:val="Body Text"/>
    <w:basedOn w:val="1"/>
    <w:next w:val="24"/>
    <w:link w:val="77"/>
    <w:qFormat/>
    <w:uiPriority w:val="0"/>
    <w:pPr>
      <w:adjustRightInd w:val="0"/>
      <w:jc w:val="left"/>
    </w:pPr>
    <w:rPr>
      <w:rFonts w:ascii="宋体" w:hAnsi="宋体"/>
      <w:sz w:val="24"/>
      <w:szCs w:val="20"/>
    </w:rPr>
  </w:style>
  <w:style w:type="paragraph" w:styleId="24">
    <w:name w:val="Body Text First Indent"/>
    <w:basedOn w:val="23"/>
    <w:qFormat/>
    <w:uiPriority w:val="0"/>
    <w:pPr>
      <w:ind w:firstLine="420" w:firstLineChars="100"/>
    </w:pPr>
    <w:rPr>
      <w:sz w:val="28"/>
    </w:rPr>
  </w:style>
  <w:style w:type="paragraph" w:styleId="25">
    <w:name w:val="Body Text Indent"/>
    <w:basedOn w:val="1"/>
    <w:next w:val="1"/>
    <w:link w:val="69"/>
    <w:qFormat/>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7">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autoRedefine/>
    <w:qFormat/>
    <w:uiPriority w:val="0"/>
    <w:pPr>
      <w:ind w:left="840"/>
      <w:jc w:val="left"/>
    </w:pPr>
    <w:rPr>
      <w:sz w:val="18"/>
      <w:szCs w:val="18"/>
    </w:rPr>
  </w:style>
  <w:style w:type="paragraph" w:styleId="29">
    <w:name w:val="toc 3"/>
    <w:basedOn w:val="1"/>
    <w:next w:val="1"/>
    <w:autoRedefine/>
    <w:qFormat/>
    <w:uiPriority w:val="0"/>
    <w:pPr>
      <w:ind w:left="420"/>
      <w:jc w:val="left"/>
    </w:pPr>
    <w:rPr>
      <w:i/>
      <w:iCs/>
      <w:sz w:val="20"/>
      <w:szCs w:val="20"/>
    </w:rPr>
  </w:style>
  <w:style w:type="paragraph" w:styleId="30">
    <w:name w:val="toc 8"/>
    <w:basedOn w:val="1"/>
    <w:next w:val="1"/>
    <w:autoRedefine/>
    <w:qFormat/>
    <w:uiPriority w:val="0"/>
    <w:pPr>
      <w:ind w:left="1470"/>
      <w:jc w:val="left"/>
    </w:pPr>
    <w:rPr>
      <w:sz w:val="18"/>
      <w:szCs w:val="18"/>
    </w:rPr>
  </w:style>
  <w:style w:type="paragraph" w:styleId="31">
    <w:name w:val="Date"/>
    <w:basedOn w:val="1"/>
    <w:next w:val="1"/>
    <w:autoRedefine/>
    <w:qFormat/>
    <w:uiPriority w:val="0"/>
    <w:pPr>
      <w:ind w:left="2500" w:leftChars="2500"/>
    </w:pPr>
    <w:rPr>
      <w:rFonts w:hint="eastAsia" w:ascii="宋体" w:hAnsi="宋体"/>
      <w:sz w:val="24"/>
    </w:rPr>
  </w:style>
  <w:style w:type="paragraph" w:styleId="32">
    <w:name w:val="Body Text Indent 2"/>
    <w:basedOn w:val="1"/>
    <w:autoRedefine/>
    <w:qFormat/>
    <w:uiPriority w:val="0"/>
    <w:pPr>
      <w:adjustRightInd w:val="0"/>
      <w:spacing w:line="360" w:lineRule="auto"/>
      <w:ind w:firstLine="504" w:firstLineChars="210"/>
      <w:jc w:val="left"/>
    </w:pPr>
    <w:rPr>
      <w:rFonts w:hint="eastAsia" w:ascii="宋体" w:hAnsi="宋体"/>
      <w:sz w:val="24"/>
      <w:szCs w:val="20"/>
    </w:rPr>
  </w:style>
  <w:style w:type="paragraph" w:styleId="33">
    <w:name w:val="endnote text"/>
    <w:basedOn w:val="1"/>
    <w:autoRedefine/>
    <w:qFormat/>
    <w:uiPriority w:val="99"/>
    <w:pPr>
      <w:snapToGrid w:val="0"/>
      <w:jc w:val="left"/>
    </w:pPr>
  </w:style>
  <w:style w:type="paragraph" w:styleId="34">
    <w:name w:val="Balloon Text"/>
    <w:basedOn w:val="1"/>
    <w:autoRedefine/>
    <w:qFormat/>
    <w:uiPriority w:val="0"/>
    <w:rPr>
      <w:rFonts w:ascii="Arial" w:hAnsi="Arial" w:cs="Arial"/>
      <w:sz w:val="18"/>
      <w:szCs w:val="18"/>
    </w:rPr>
  </w:style>
  <w:style w:type="paragraph" w:styleId="35">
    <w:name w:val="footer"/>
    <w:basedOn w:val="1"/>
    <w:link w:val="79"/>
    <w:autoRedefine/>
    <w:qFormat/>
    <w:uiPriority w:val="0"/>
    <w:pPr>
      <w:tabs>
        <w:tab w:val="center" w:pos="4153"/>
        <w:tab w:val="right" w:pos="8306"/>
      </w:tabs>
      <w:snapToGrid w:val="0"/>
      <w:jc w:val="left"/>
    </w:pPr>
    <w:rPr>
      <w:sz w:val="18"/>
      <w:szCs w:val="18"/>
    </w:rPr>
  </w:style>
  <w:style w:type="paragraph" w:styleId="36">
    <w:name w:val="header"/>
    <w:basedOn w:val="1"/>
    <w:link w:val="80"/>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81"/>
    <w:autoRedefine/>
    <w:qFormat/>
    <w:uiPriority w:val="0"/>
    <w:pPr>
      <w:ind w:left="100" w:leftChars="2100"/>
    </w:pPr>
    <w:rPr>
      <w:szCs w:val="20"/>
    </w:rPr>
  </w:style>
  <w:style w:type="paragraph" w:styleId="38">
    <w:name w:val="toc 1"/>
    <w:basedOn w:val="1"/>
    <w:next w:val="1"/>
    <w:autoRedefine/>
    <w:qFormat/>
    <w:uiPriority w:val="39"/>
    <w:pPr>
      <w:spacing w:before="120" w:after="120"/>
      <w:jc w:val="left"/>
    </w:pPr>
    <w:rPr>
      <w:b/>
      <w:bCs/>
      <w:caps/>
      <w:sz w:val="20"/>
      <w:szCs w:val="20"/>
    </w:rPr>
  </w:style>
  <w:style w:type="paragraph" w:styleId="39">
    <w:name w:val="toc 4"/>
    <w:basedOn w:val="1"/>
    <w:next w:val="1"/>
    <w:qFormat/>
    <w:uiPriority w:val="0"/>
    <w:pPr>
      <w:ind w:left="630"/>
      <w:jc w:val="left"/>
    </w:pPr>
    <w:rPr>
      <w:sz w:val="18"/>
      <w:szCs w:val="18"/>
    </w:rPr>
  </w:style>
  <w:style w:type="paragraph" w:styleId="40">
    <w:name w:val="index heading"/>
    <w:basedOn w:val="1"/>
    <w:next w:val="41"/>
    <w:qFormat/>
    <w:uiPriority w:val="0"/>
    <w:rPr>
      <w:sz w:val="28"/>
      <w:szCs w:val="20"/>
    </w:rPr>
  </w:style>
  <w:style w:type="paragraph" w:styleId="41">
    <w:name w:val="index 1"/>
    <w:basedOn w:val="18"/>
    <w:next w:val="1"/>
    <w:autoRedefine/>
    <w:qFormat/>
    <w:uiPriority w:val="0"/>
  </w:style>
  <w:style w:type="paragraph" w:styleId="42">
    <w:name w:val="List"/>
    <w:basedOn w:val="1"/>
    <w:qFormat/>
    <w:uiPriority w:val="0"/>
    <w:pPr>
      <w:ind w:left="420" w:hanging="420"/>
    </w:pPr>
    <w:rPr>
      <w:szCs w:val="20"/>
    </w:rPr>
  </w:style>
  <w:style w:type="paragraph" w:styleId="43">
    <w:name w:val="footnote text"/>
    <w:basedOn w:val="1"/>
    <w:qFormat/>
    <w:uiPriority w:val="0"/>
    <w:pPr>
      <w:snapToGrid w:val="0"/>
      <w:jc w:val="left"/>
    </w:pPr>
    <w:rPr>
      <w:rFonts w:eastAsia="方正仿宋_GB2312"/>
      <w:sz w:val="18"/>
      <w:szCs w:val="20"/>
    </w:rPr>
  </w:style>
  <w:style w:type="paragraph" w:styleId="44">
    <w:name w:val="toc 6"/>
    <w:basedOn w:val="1"/>
    <w:next w:val="1"/>
    <w:autoRedefine/>
    <w:qFormat/>
    <w:uiPriority w:val="0"/>
    <w:pPr>
      <w:ind w:left="1050"/>
      <w:jc w:val="left"/>
    </w:pPr>
    <w:rPr>
      <w:sz w:val="18"/>
      <w:szCs w:val="18"/>
    </w:rPr>
  </w:style>
  <w:style w:type="paragraph" w:styleId="45">
    <w:name w:val="List 5"/>
    <w:basedOn w:val="1"/>
    <w:qFormat/>
    <w:uiPriority w:val="0"/>
    <w:pPr>
      <w:ind w:left="100" w:leftChars="800" w:hanging="200" w:hangingChars="200"/>
    </w:pPr>
    <w:rPr>
      <w:szCs w:val="20"/>
    </w:rPr>
  </w:style>
  <w:style w:type="paragraph" w:styleId="46">
    <w:name w:val="Body Text Indent 3"/>
    <w:basedOn w:val="1"/>
    <w:autoRedefine/>
    <w:qFormat/>
    <w:uiPriority w:val="0"/>
    <w:pPr>
      <w:adjustRightInd w:val="0"/>
      <w:snapToGrid w:val="0"/>
      <w:spacing w:line="360" w:lineRule="auto"/>
      <w:ind w:firstLine="480" w:firstLineChars="200"/>
    </w:pPr>
    <w:rPr>
      <w:rFonts w:ascii="宋体" w:hAnsi="宋体"/>
      <w:sz w:val="24"/>
    </w:rPr>
  </w:style>
  <w:style w:type="paragraph" w:styleId="47">
    <w:name w:val="table of figures"/>
    <w:basedOn w:val="1"/>
    <w:next w:val="1"/>
    <w:qFormat/>
    <w:uiPriority w:val="0"/>
    <w:pPr>
      <w:ind w:left="840" w:leftChars="200" w:hanging="420" w:hangingChars="200"/>
    </w:pPr>
    <w:rPr>
      <w:rFonts w:eastAsia="方正仿宋_GB2312"/>
      <w:sz w:val="32"/>
      <w:szCs w:val="20"/>
    </w:rPr>
  </w:style>
  <w:style w:type="paragraph" w:styleId="48">
    <w:name w:val="toc 2"/>
    <w:basedOn w:val="1"/>
    <w:next w:val="1"/>
    <w:autoRedefine/>
    <w:qFormat/>
    <w:uiPriority w:val="39"/>
    <w:pPr>
      <w:ind w:left="210"/>
      <w:jc w:val="left"/>
    </w:pPr>
    <w:rPr>
      <w:smallCaps/>
      <w:sz w:val="20"/>
      <w:szCs w:val="20"/>
    </w:rPr>
  </w:style>
  <w:style w:type="paragraph" w:styleId="49">
    <w:name w:val="toc 9"/>
    <w:basedOn w:val="1"/>
    <w:next w:val="1"/>
    <w:autoRedefine/>
    <w:qFormat/>
    <w:uiPriority w:val="0"/>
    <w:pPr>
      <w:ind w:left="1680"/>
      <w:jc w:val="left"/>
    </w:pPr>
    <w:rPr>
      <w:sz w:val="18"/>
      <w:szCs w:val="18"/>
    </w:rPr>
  </w:style>
  <w:style w:type="paragraph" w:styleId="50">
    <w:name w:val="Body Text 2"/>
    <w:basedOn w:val="1"/>
    <w:autoRedefine/>
    <w:qFormat/>
    <w:uiPriority w:val="0"/>
    <w:pPr>
      <w:spacing w:after="120" w:line="480" w:lineRule="auto"/>
    </w:pPr>
  </w:style>
  <w:style w:type="paragraph" w:styleId="51">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2">
    <w:name w:val="Normal (Web)"/>
    <w:basedOn w:val="1"/>
    <w:qFormat/>
    <w:uiPriority w:val="0"/>
    <w:pPr>
      <w:widowControl/>
      <w:spacing w:before="100" w:beforeAutospacing="1" w:after="100" w:afterAutospacing="1"/>
      <w:jc w:val="left"/>
    </w:pPr>
    <w:rPr>
      <w:rFonts w:ascii="宋体"/>
      <w:kern w:val="0"/>
      <w:sz w:val="18"/>
      <w:szCs w:val="18"/>
      <w:lang w:eastAsia="en-US"/>
    </w:rPr>
  </w:style>
  <w:style w:type="paragraph" w:styleId="53">
    <w:name w:val="Title"/>
    <w:basedOn w:val="1"/>
    <w:qFormat/>
    <w:uiPriority w:val="10"/>
    <w:pPr>
      <w:outlineLvl w:val="0"/>
    </w:pPr>
    <w:rPr>
      <w:rFonts w:ascii="黑体" w:hAnsi="Cambria" w:eastAsia="黑体"/>
      <w:bCs/>
      <w:sz w:val="30"/>
      <w:szCs w:val="32"/>
    </w:rPr>
  </w:style>
  <w:style w:type="paragraph" w:styleId="54">
    <w:name w:val="annotation subject"/>
    <w:basedOn w:val="19"/>
    <w:next w:val="19"/>
    <w:qFormat/>
    <w:uiPriority w:val="0"/>
    <w:rPr>
      <w:rFonts w:ascii="Arial" w:hAnsi="Arial" w:cs="Arial"/>
      <w:b/>
      <w:bCs/>
    </w:rPr>
  </w:style>
  <w:style w:type="paragraph" w:styleId="55">
    <w:name w:val="Body Text First Indent 2"/>
    <w:basedOn w:val="25"/>
    <w:autoRedefine/>
    <w:qFormat/>
    <w:uiPriority w:val="0"/>
    <w:pPr>
      <w:adjustRightInd/>
      <w:spacing w:after="120" w:line="240" w:lineRule="auto"/>
      <w:ind w:left="420" w:leftChars="200" w:firstLine="210"/>
    </w:pPr>
    <w:rPr>
      <w:sz w:val="21"/>
    </w:rPr>
  </w:style>
  <w:style w:type="table" w:styleId="57">
    <w:name w:val="Table Grid"/>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autoRedefine/>
    <w:qFormat/>
    <w:uiPriority w:val="0"/>
    <w:rPr>
      <w:b/>
    </w:rPr>
  </w:style>
  <w:style w:type="character" w:styleId="60">
    <w:name w:val="page number"/>
    <w:basedOn w:val="58"/>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color w:val="CC0033"/>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qFormat/>
    <w:uiPriority w:val="0"/>
    <w:rPr>
      <w:vertAlign w:val="superscript"/>
    </w:rPr>
  </w:style>
  <w:style w:type="character" w:styleId="66">
    <w:name w:val="HTML Sample"/>
    <w:basedOn w:val="58"/>
    <w:autoRedefine/>
    <w:semiHidden/>
    <w:unhideWhenUsed/>
    <w:qFormat/>
    <w:uiPriority w:val="99"/>
    <w:rPr>
      <w:rFonts w:ascii="Courier New" w:hAnsi="Courier New"/>
    </w:rPr>
  </w:style>
  <w:style w:type="paragraph" w:customStyle="1" w:styleId="67">
    <w:name w:val="Normal_de606998-058d-4ae5-8f9b-049149abfcb8"/>
    <w:next w:val="68"/>
    <w:autoRedefine/>
    <w:qFormat/>
    <w:uiPriority w:val="0"/>
    <w:pPr>
      <w:kinsoku w:val="0"/>
      <w:autoSpaceDE w:val="0"/>
      <w:autoSpaceDN w:val="0"/>
      <w:adjustRightInd w:val="0"/>
      <w:snapToGrid w:val="0"/>
      <w:textAlignment w:val="baseline"/>
    </w:pPr>
    <w:rPr>
      <w:rFonts w:ascii="Arial" w:hAnsi="Arial" w:eastAsia="宋体" w:cs="Times New Roman"/>
      <w:snapToGrid w:val="0"/>
      <w:color w:val="000000"/>
      <w:sz w:val="23"/>
      <w:szCs w:val="21"/>
      <w:lang w:val="en-US" w:eastAsia="zh-CN" w:bidi="ar-SA"/>
    </w:rPr>
  </w:style>
  <w:style w:type="paragraph" w:customStyle="1" w:styleId="68">
    <w:name w:val="标题 11"/>
    <w:basedOn w:val="67"/>
    <w:next w:val="67"/>
    <w:qFormat/>
    <w:uiPriority w:val="9"/>
    <w:pPr>
      <w:keepNext/>
      <w:spacing w:beforeLines="150"/>
      <w:jc w:val="center"/>
      <w:outlineLvl w:val="0"/>
    </w:pPr>
    <w:rPr>
      <w:rFonts w:ascii="Times New Roman" w:hAnsi="Times New Roman"/>
      <w:b/>
      <w:bCs/>
      <w:kern w:val="44"/>
      <w:sz w:val="44"/>
      <w:szCs w:val="44"/>
    </w:rPr>
  </w:style>
  <w:style w:type="character" w:customStyle="1" w:styleId="69">
    <w:name w:val="正文文本缩进 字符"/>
    <w:link w:val="25"/>
    <w:autoRedefine/>
    <w:qFormat/>
    <w:uiPriority w:val="0"/>
    <w:rPr>
      <w:rFonts w:ascii="宋体" w:hAnsi="宋体" w:eastAsia="宋体"/>
      <w:kern w:val="2"/>
      <w:sz w:val="24"/>
      <w:lang w:val="en-US" w:eastAsia="zh-CN" w:bidi="ar-SA"/>
    </w:rPr>
  </w:style>
  <w:style w:type="character" w:customStyle="1" w:styleId="70">
    <w:name w:val="标题 1 字符"/>
    <w:link w:val="2"/>
    <w:autoRedefine/>
    <w:qFormat/>
    <w:uiPriority w:val="0"/>
    <w:rPr>
      <w:rFonts w:eastAsia="宋体"/>
      <w:b/>
      <w:bCs/>
      <w:kern w:val="44"/>
      <w:sz w:val="30"/>
      <w:szCs w:val="44"/>
      <w:lang w:val="en-US" w:eastAsia="zh-CN" w:bidi="ar-SA"/>
    </w:rPr>
  </w:style>
  <w:style w:type="character" w:customStyle="1" w:styleId="71">
    <w:name w:val="标题 2 字符"/>
    <w:link w:val="3"/>
    <w:autoRedefine/>
    <w:qFormat/>
    <w:uiPriority w:val="0"/>
    <w:rPr>
      <w:rFonts w:ascii="宋体" w:hAnsi="宋体" w:eastAsia="宋体"/>
      <w:b/>
      <w:color w:val="000000"/>
      <w:kern w:val="2"/>
      <w:sz w:val="24"/>
      <w:szCs w:val="24"/>
      <w:lang w:val="en-US" w:eastAsia="zh-CN" w:bidi="ar-SA"/>
    </w:rPr>
  </w:style>
  <w:style w:type="character" w:customStyle="1" w:styleId="72">
    <w:name w:val="标题 3 字符"/>
    <w:link w:val="4"/>
    <w:autoRedefine/>
    <w:qFormat/>
    <w:uiPriority w:val="0"/>
    <w:rPr>
      <w:rFonts w:eastAsia="宋体"/>
      <w:b/>
      <w:bCs/>
      <w:kern w:val="2"/>
      <w:sz w:val="32"/>
      <w:szCs w:val="32"/>
      <w:lang w:val="en-US" w:eastAsia="zh-CN" w:bidi="ar-SA"/>
    </w:rPr>
  </w:style>
  <w:style w:type="character" w:customStyle="1" w:styleId="73">
    <w:name w:val="正文缩进 字符"/>
    <w:link w:val="8"/>
    <w:qFormat/>
    <w:uiPriority w:val="0"/>
    <w:rPr>
      <w:rFonts w:eastAsia="宋体"/>
      <w:spacing w:val="14"/>
      <w:kern w:val="24"/>
      <w:sz w:val="24"/>
      <w:lang w:val="en-US" w:eastAsia="zh-CN" w:bidi="ar-SA"/>
    </w:rPr>
  </w:style>
  <w:style w:type="character" w:customStyle="1" w:styleId="74">
    <w:name w:val="文档结构图 字符"/>
    <w:link w:val="17"/>
    <w:qFormat/>
    <w:uiPriority w:val="0"/>
    <w:rPr>
      <w:rFonts w:eastAsia="宋体"/>
      <w:kern w:val="2"/>
      <w:sz w:val="21"/>
      <w:szCs w:val="24"/>
      <w:lang w:val="en-US" w:eastAsia="zh-CN" w:bidi="ar-SA"/>
    </w:rPr>
  </w:style>
  <w:style w:type="character" w:customStyle="1" w:styleId="75">
    <w:name w:val="批注文字 字符"/>
    <w:link w:val="19"/>
    <w:qFormat/>
    <w:uiPriority w:val="0"/>
    <w:rPr>
      <w:rFonts w:eastAsia="宋体"/>
      <w:kern w:val="2"/>
      <w:sz w:val="21"/>
      <w:szCs w:val="24"/>
      <w:lang w:val="en-US" w:eastAsia="zh-CN" w:bidi="ar-SA"/>
    </w:rPr>
  </w:style>
  <w:style w:type="character" w:customStyle="1" w:styleId="76">
    <w:name w:val="正文文本 3 字符"/>
    <w:link w:val="21"/>
    <w:autoRedefine/>
    <w:qFormat/>
    <w:uiPriority w:val="0"/>
    <w:rPr>
      <w:rFonts w:ascii="宋体" w:hAnsi="Courier New" w:eastAsia="宋体"/>
      <w:sz w:val="21"/>
      <w:lang w:val="en-US" w:eastAsia="zh-CN" w:bidi="ar-SA"/>
    </w:rPr>
  </w:style>
  <w:style w:type="character" w:customStyle="1" w:styleId="77">
    <w:name w:val="正文文本 字符"/>
    <w:link w:val="23"/>
    <w:autoRedefine/>
    <w:qFormat/>
    <w:uiPriority w:val="0"/>
    <w:rPr>
      <w:rFonts w:ascii="宋体" w:hAnsi="宋体" w:eastAsia="宋体"/>
      <w:kern w:val="2"/>
      <w:sz w:val="24"/>
      <w:lang w:val="en-US" w:eastAsia="zh-CN" w:bidi="ar-SA"/>
    </w:rPr>
  </w:style>
  <w:style w:type="character" w:customStyle="1" w:styleId="78">
    <w:name w:val="纯文本 字符"/>
    <w:link w:val="9"/>
    <w:autoRedefine/>
    <w:qFormat/>
    <w:uiPriority w:val="0"/>
    <w:rPr>
      <w:rFonts w:ascii="宋体" w:hAnsi="Courier New" w:eastAsia="宋体" w:cs="Courier New"/>
      <w:kern w:val="2"/>
      <w:sz w:val="21"/>
      <w:szCs w:val="21"/>
      <w:lang w:val="en-US" w:eastAsia="zh-CN" w:bidi="ar-SA"/>
    </w:rPr>
  </w:style>
  <w:style w:type="character" w:customStyle="1" w:styleId="79">
    <w:name w:val="页脚 字符"/>
    <w:link w:val="35"/>
    <w:autoRedefine/>
    <w:qFormat/>
    <w:uiPriority w:val="0"/>
    <w:rPr>
      <w:rFonts w:eastAsia="宋体"/>
      <w:kern w:val="2"/>
      <w:sz w:val="18"/>
      <w:szCs w:val="18"/>
      <w:lang w:val="en-US" w:eastAsia="zh-CN" w:bidi="ar-SA"/>
    </w:rPr>
  </w:style>
  <w:style w:type="character" w:customStyle="1" w:styleId="80">
    <w:name w:val="页眉 字符"/>
    <w:link w:val="36"/>
    <w:autoRedefine/>
    <w:qFormat/>
    <w:uiPriority w:val="0"/>
    <w:rPr>
      <w:rFonts w:eastAsia="宋体"/>
      <w:kern w:val="2"/>
      <w:sz w:val="18"/>
      <w:szCs w:val="18"/>
      <w:lang w:val="en-US" w:eastAsia="zh-CN" w:bidi="ar-SA"/>
    </w:rPr>
  </w:style>
  <w:style w:type="character" w:customStyle="1" w:styleId="81">
    <w:name w:val="签名 字符"/>
    <w:link w:val="37"/>
    <w:autoRedefine/>
    <w:qFormat/>
    <w:uiPriority w:val="0"/>
    <w:rPr>
      <w:kern w:val="2"/>
      <w:sz w:val="21"/>
      <w:lang w:bidi="ar-SA"/>
    </w:rPr>
  </w:style>
  <w:style w:type="character" w:customStyle="1" w:styleId="82">
    <w:name w:val="标题 1 Char"/>
    <w:autoRedefine/>
    <w:qFormat/>
    <w:uiPriority w:val="0"/>
    <w:rPr>
      <w:rFonts w:eastAsia="宋体"/>
      <w:b/>
      <w:bCs/>
      <w:kern w:val="44"/>
      <w:sz w:val="30"/>
      <w:szCs w:val="44"/>
      <w:lang w:val="en-US" w:eastAsia="zh-CN" w:bidi="ar-SA"/>
    </w:rPr>
  </w:style>
  <w:style w:type="character" w:customStyle="1" w:styleId="83">
    <w:name w:val="签名 Char1"/>
    <w:autoRedefine/>
    <w:qFormat/>
    <w:uiPriority w:val="0"/>
    <w:rPr>
      <w:rFonts w:ascii="Arial" w:hAnsi="Arial" w:cs="Arial"/>
      <w:kern w:val="2"/>
      <w:sz w:val="21"/>
      <w:szCs w:val="24"/>
    </w:rPr>
  </w:style>
  <w:style w:type="character" w:customStyle="1" w:styleId="84">
    <w:name w:val="bulletintext1"/>
    <w:autoRedefine/>
    <w:qFormat/>
    <w:uiPriority w:val="0"/>
    <w:rPr>
      <w:color w:val="000000"/>
      <w:sz w:val="18"/>
    </w:rPr>
  </w:style>
  <w:style w:type="character" w:customStyle="1" w:styleId="85">
    <w:name w:val="line1"/>
    <w:autoRedefine/>
    <w:qFormat/>
    <w:uiPriority w:val="0"/>
    <w:rPr>
      <w:sz w:val="18"/>
    </w:rPr>
  </w:style>
  <w:style w:type="character" w:customStyle="1" w:styleId="86">
    <w:name w:val="Char Char20"/>
    <w:autoRedefine/>
    <w:qFormat/>
    <w:uiPriority w:val="0"/>
    <w:rPr>
      <w:rFonts w:ascii="宋体" w:hAnsi="Courier New" w:eastAsia="宋体"/>
      <w:kern w:val="2"/>
      <w:sz w:val="21"/>
      <w:lang w:val="en-US" w:eastAsia="zh-CN" w:bidi="ar-SA"/>
    </w:rPr>
  </w:style>
  <w:style w:type="character" w:customStyle="1" w:styleId="87">
    <w:name w:val="zbggtop11 style5"/>
    <w:basedOn w:val="58"/>
    <w:qFormat/>
    <w:uiPriority w:val="0"/>
  </w:style>
  <w:style w:type="character" w:customStyle="1" w:styleId="88">
    <w:name w:val="style4 style24"/>
    <w:basedOn w:val="58"/>
    <w:qFormat/>
    <w:uiPriority w:val="0"/>
  </w:style>
  <w:style w:type="character" w:customStyle="1" w:styleId="89">
    <w:name w:val="zbggmain style9"/>
    <w:autoRedefine/>
    <w:qFormat/>
    <w:uiPriority w:val="0"/>
    <w:rPr>
      <w:rFonts w:ascii="方正仿宋_GB2312" w:eastAsia="方正仿宋_GB2312"/>
      <w:b/>
      <w:kern w:val="2"/>
      <w:sz w:val="32"/>
      <w:szCs w:val="32"/>
      <w:lang w:val="en-US" w:eastAsia="zh-CN" w:bidi="ar-SA"/>
    </w:rPr>
  </w:style>
  <w:style w:type="character" w:customStyle="1" w:styleId="90">
    <w:name w:val="正文（新）"/>
    <w:qFormat/>
    <w:uiPriority w:val="0"/>
    <w:rPr>
      <w:rFonts w:ascii="Times New Roman" w:hAnsi="Times New Roman" w:eastAsia="宋体"/>
      <w:color w:val="000000"/>
      <w:kern w:val="0"/>
      <w:sz w:val="28"/>
      <w:szCs w:val="28"/>
    </w:rPr>
  </w:style>
  <w:style w:type="character" w:customStyle="1" w:styleId="91">
    <w:name w:val="+正文 Char4"/>
    <w:link w:val="92"/>
    <w:qFormat/>
    <w:uiPriority w:val="0"/>
    <w:rPr>
      <w:rFonts w:eastAsia="宋体"/>
      <w:kern w:val="2"/>
      <w:sz w:val="24"/>
      <w:lang w:val="en-US" w:eastAsia="zh-CN" w:bidi="ar-SA"/>
    </w:rPr>
  </w:style>
  <w:style w:type="paragraph" w:customStyle="1" w:styleId="92">
    <w:name w:val="+正文"/>
    <w:basedOn w:val="1"/>
    <w:link w:val="91"/>
    <w:autoRedefine/>
    <w:qFormat/>
    <w:uiPriority w:val="0"/>
    <w:pPr>
      <w:spacing w:line="360" w:lineRule="auto"/>
      <w:ind w:firstLine="200"/>
    </w:pPr>
    <w:rPr>
      <w:sz w:val="24"/>
      <w:szCs w:val="20"/>
    </w:rPr>
  </w:style>
  <w:style w:type="character" w:customStyle="1" w:styleId="93">
    <w:name w:val="纯文本 Char"/>
    <w:qFormat/>
    <w:uiPriority w:val="0"/>
    <w:rPr>
      <w:rFonts w:ascii="宋体" w:hAnsi="Courier New" w:eastAsia="宋体"/>
      <w:kern w:val="2"/>
      <w:sz w:val="21"/>
      <w:lang w:val="en-US" w:eastAsia="zh-CN" w:bidi="ar-SA"/>
    </w:rPr>
  </w:style>
  <w:style w:type="character" w:customStyle="1" w:styleId="94">
    <w:name w:val="Char Char7"/>
    <w:autoRedefine/>
    <w:qFormat/>
    <w:uiPriority w:val="0"/>
    <w:rPr>
      <w:rFonts w:ascii="Arial" w:hAnsi="Arial" w:eastAsia="宋体" w:cs="Arial"/>
      <w:b/>
      <w:bCs/>
      <w:kern w:val="44"/>
      <w:sz w:val="44"/>
      <w:szCs w:val="44"/>
      <w:lang w:val="en-US" w:eastAsia="zh-CN" w:bidi="ar-SA"/>
    </w:rPr>
  </w:style>
  <w:style w:type="character" w:customStyle="1" w:styleId="95">
    <w:name w:val="tpc_content1"/>
    <w:qFormat/>
    <w:uiPriority w:val="0"/>
    <w:rPr>
      <w:sz w:val="20"/>
      <w:szCs w:val="20"/>
    </w:rPr>
  </w:style>
  <w:style w:type="character" w:customStyle="1" w:styleId="96">
    <w:name w:val="普通文字 Char Char1"/>
    <w:autoRedefine/>
    <w:qFormat/>
    <w:uiPriority w:val="0"/>
    <w:rPr>
      <w:rFonts w:ascii="Century Gothic" w:hAnsi="方正楷体_GB2312" w:eastAsia="Century Gothic" w:cs="方正楷体_GB2312"/>
      <w:kern w:val="2"/>
      <w:sz w:val="21"/>
      <w:szCs w:val="21"/>
      <w:lang w:val="en-US" w:eastAsia="zh-CN" w:bidi="ar-SA"/>
    </w:rPr>
  </w:style>
  <w:style w:type="character" w:customStyle="1" w:styleId="97">
    <w:name w:val="style31"/>
    <w:autoRedefine/>
    <w:qFormat/>
    <w:uiPriority w:val="0"/>
    <w:rPr>
      <w:sz w:val="18"/>
      <w:szCs w:val="18"/>
    </w:rPr>
  </w:style>
  <w:style w:type="character" w:customStyle="1" w:styleId="98">
    <w:name w:val="FA正文 Char Char"/>
    <w:link w:val="99"/>
    <w:autoRedefine/>
    <w:qFormat/>
    <w:uiPriority w:val="0"/>
    <w:rPr>
      <w:rFonts w:hAnsi="宋体"/>
      <w:kern w:val="2"/>
      <w:sz w:val="24"/>
      <w:lang w:bidi="ar-SA"/>
    </w:rPr>
  </w:style>
  <w:style w:type="paragraph" w:customStyle="1" w:styleId="99">
    <w:name w:val="FA正文"/>
    <w:basedOn w:val="1"/>
    <w:link w:val="98"/>
    <w:autoRedefine/>
    <w:qFormat/>
    <w:uiPriority w:val="0"/>
    <w:pPr>
      <w:spacing w:line="360" w:lineRule="auto"/>
      <w:ind w:firstLine="480" w:firstLineChars="200"/>
    </w:pPr>
    <w:rPr>
      <w:rFonts w:hAnsi="宋体"/>
      <w:sz w:val="24"/>
      <w:szCs w:val="20"/>
    </w:rPr>
  </w:style>
  <w:style w:type="character" w:customStyle="1" w:styleId="100">
    <w:name w:val="Char Char12"/>
    <w:qFormat/>
    <w:uiPriority w:val="0"/>
    <w:rPr>
      <w:rFonts w:ascii="Century Gothic" w:hAnsi="方正楷体_GB2312" w:eastAsia="Century Gothic" w:cs="方正楷体_GB2312"/>
      <w:kern w:val="2"/>
      <w:sz w:val="21"/>
      <w:szCs w:val="21"/>
      <w:lang w:val="en-US" w:eastAsia="zh-CN" w:bidi="ar-SA"/>
    </w:rPr>
  </w:style>
  <w:style w:type="character" w:customStyle="1" w:styleId="101">
    <w:name w:val="bodyfont"/>
    <w:basedOn w:val="58"/>
    <w:qFormat/>
    <w:uiPriority w:val="0"/>
  </w:style>
  <w:style w:type="character" w:customStyle="1" w:styleId="102">
    <w:name w:val="正文文本 3 Char1"/>
    <w:qFormat/>
    <w:uiPriority w:val="0"/>
    <w:rPr>
      <w:rFonts w:ascii="Arial" w:hAnsi="Arial" w:cs="Arial"/>
      <w:kern w:val="2"/>
      <w:sz w:val="16"/>
      <w:szCs w:val="16"/>
    </w:rPr>
  </w:style>
  <w:style w:type="character" w:customStyle="1" w:styleId="103">
    <w:name w:val="正文文字 Char"/>
    <w:autoRedefine/>
    <w:qFormat/>
    <w:uiPriority w:val="0"/>
    <w:rPr>
      <w:rFonts w:eastAsia="宋体"/>
      <w:kern w:val="2"/>
      <w:sz w:val="21"/>
      <w:lang w:val="en-US" w:eastAsia="zh-CN"/>
    </w:rPr>
  </w:style>
  <w:style w:type="character" w:customStyle="1" w:styleId="104">
    <w:name w:val="td_space1"/>
    <w:autoRedefine/>
    <w:qFormat/>
    <w:uiPriority w:val="0"/>
    <w:rPr>
      <w:rFonts w:hint="eastAsia" w:ascii="宋体" w:hAnsi="宋体" w:eastAsia="宋体"/>
      <w:sz w:val="18"/>
      <w:szCs w:val="18"/>
      <w:u w:val="none"/>
    </w:rPr>
  </w:style>
  <w:style w:type="character" w:customStyle="1" w:styleId="105">
    <w:name w:val="内文 Char"/>
    <w:link w:val="106"/>
    <w:autoRedefine/>
    <w:qFormat/>
    <w:uiPriority w:val="0"/>
    <w:rPr>
      <w:rFonts w:ascii="Arial" w:hAnsi="Arial"/>
      <w:kern w:val="2"/>
      <w:sz w:val="21"/>
      <w:lang w:val="en-US" w:eastAsia="zh-CN" w:bidi="ar-SA"/>
    </w:rPr>
  </w:style>
  <w:style w:type="paragraph" w:customStyle="1" w:styleId="106">
    <w:name w:val="内文"/>
    <w:link w:val="105"/>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107">
    <w:name w:val="样式 黑色"/>
    <w:autoRedefine/>
    <w:qFormat/>
    <w:uiPriority w:val="0"/>
    <w:rPr>
      <w:color w:val="000000"/>
      <w:spacing w:val="4"/>
    </w:rPr>
  </w:style>
  <w:style w:type="character" w:customStyle="1" w:styleId="108">
    <w:name w:val="标书正文 Char"/>
    <w:autoRedefine/>
    <w:qFormat/>
    <w:uiPriority w:val="0"/>
    <w:rPr>
      <w:rFonts w:ascii="宋体" w:hAnsi="宋体" w:eastAsia="宋体"/>
      <w:color w:val="000000"/>
      <w:kern w:val="2"/>
      <w:sz w:val="24"/>
      <w:lang w:val="en-US" w:eastAsia="zh-CN"/>
    </w:rPr>
  </w:style>
  <w:style w:type="character" w:customStyle="1" w:styleId="109">
    <w:name w:val="Char Char21"/>
    <w:autoRedefine/>
    <w:qFormat/>
    <w:uiPriority w:val="0"/>
    <w:rPr>
      <w:rFonts w:eastAsia="Century Gothic"/>
      <w:b/>
      <w:bCs/>
      <w:kern w:val="44"/>
      <w:sz w:val="32"/>
      <w:szCs w:val="44"/>
      <w:lang w:val="en-US" w:eastAsia="zh-CN" w:bidi="ar-SA"/>
    </w:rPr>
  </w:style>
  <w:style w:type="character" w:customStyle="1" w:styleId="110">
    <w:name w:val="Char Char22"/>
    <w:autoRedefine/>
    <w:qFormat/>
    <w:uiPriority w:val="0"/>
    <w:rPr>
      <w:rFonts w:ascii="宋体" w:hAnsi="Courier New" w:eastAsia="宋体"/>
      <w:kern w:val="2"/>
      <w:sz w:val="21"/>
      <w:lang w:val="en-US" w:eastAsia="zh-CN" w:bidi="ar-SA"/>
    </w:rPr>
  </w:style>
  <w:style w:type="character" w:customStyle="1" w:styleId="111">
    <w:name w:val="style41"/>
    <w:autoRedefine/>
    <w:qFormat/>
    <w:uiPriority w:val="0"/>
    <w:rPr>
      <w:color w:val="4C79A2"/>
      <w:sz w:val="15"/>
      <w:szCs w:val="15"/>
    </w:rPr>
  </w:style>
  <w:style w:type="character" w:customStyle="1" w:styleId="112">
    <w:name w:val="标题 2 Char"/>
    <w:autoRedefine/>
    <w:qFormat/>
    <w:uiPriority w:val="0"/>
    <w:rPr>
      <w:rFonts w:ascii="Arial" w:hAnsi="Arial" w:eastAsia="黑体"/>
      <w:spacing w:val="2"/>
      <w:kern w:val="24"/>
      <w:sz w:val="32"/>
      <w:lang w:val="en-US" w:eastAsia="zh-CN"/>
    </w:rPr>
  </w:style>
  <w:style w:type="character" w:customStyle="1" w:styleId="113">
    <w:name w:val="style1"/>
    <w:basedOn w:val="58"/>
    <w:autoRedefine/>
    <w:qFormat/>
    <w:uiPriority w:val="0"/>
  </w:style>
  <w:style w:type="character" w:customStyle="1" w:styleId="114">
    <w:name w:val="纯文本 Char Char Char Char Char Char Char Char Char Char Char Char Char Char2"/>
    <w:autoRedefine/>
    <w:qFormat/>
    <w:uiPriority w:val="0"/>
    <w:rPr>
      <w:rFonts w:ascii="宋体" w:hAnsi="Courier New" w:eastAsia="宋体"/>
      <w:kern w:val="2"/>
      <w:sz w:val="21"/>
      <w:lang w:val="en-US" w:eastAsia="zh-CN" w:bidi="ar-SA"/>
    </w:rPr>
  </w:style>
  <w:style w:type="character" w:customStyle="1" w:styleId="115">
    <w:name w:val="普通文字1 Char1"/>
    <w:qFormat/>
    <w:uiPriority w:val="0"/>
    <w:rPr>
      <w:rFonts w:ascii="宋体" w:hAnsi="Courier New" w:eastAsia="宋体" w:cs="Courier New"/>
      <w:kern w:val="2"/>
      <w:sz w:val="21"/>
      <w:szCs w:val="21"/>
      <w:lang w:val="en-US" w:eastAsia="zh-CN" w:bidi="ar-SA"/>
    </w:rPr>
  </w:style>
  <w:style w:type="character" w:customStyle="1" w:styleId="116">
    <w:name w:val="正文2 Char"/>
    <w:link w:val="117"/>
    <w:qFormat/>
    <w:uiPriority w:val="0"/>
    <w:rPr>
      <w:rFonts w:eastAsia="宋体"/>
      <w:spacing w:val="20"/>
      <w:sz w:val="24"/>
      <w:lang w:val="en-US" w:eastAsia="zh-CN" w:bidi="ar-SA"/>
    </w:rPr>
  </w:style>
  <w:style w:type="paragraph" w:customStyle="1" w:styleId="117">
    <w:name w:val="正文2"/>
    <w:basedOn w:val="1"/>
    <w:link w:val="116"/>
    <w:autoRedefine/>
    <w:qFormat/>
    <w:uiPriority w:val="0"/>
    <w:pPr>
      <w:widowControl/>
      <w:suppressAutoHyphens/>
      <w:spacing w:line="560" w:lineRule="exact"/>
      <w:ind w:left="220" w:hanging="220" w:hangingChars="220"/>
      <w:jc w:val="left"/>
    </w:pPr>
    <w:rPr>
      <w:spacing w:val="20"/>
      <w:kern w:val="0"/>
      <w:sz w:val="24"/>
      <w:szCs w:val="20"/>
    </w:rPr>
  </w:style>
  <w:style w:type="character" w:customStyle="1" w:styleId="118">
    <w:name w:val="Char Char10"/>
    <w:qFormat/>
    <w:uiPriority w:val="0"/>
    <w:rPr>
      <w:rFonts w:ascii="宋体" w:hAnsi="Courier New"/>
      <w:snapToGrid/>
      <w:sz w:val="18"/>
    </w:rPr>
  </w:style>
  <w:style w:type="character" w:customStyle="1" w:styleId="119">
    <w:name w:val="纯文本 Char Char Char Char Char Char Char Char Char Char Char Char Char Char3"/>
    <w:qFormat/>
    <w:uiPriority w:val="0"/>
    <w:rPr>
      <w:rFonts w:ascii="宋体" w:hAnsi="Courier New"/>
      <w:snapToGrid/>
      <w:sz w:val="18"/>
    </w:rPr>
  </w:style>
  <w:style w:type="character" w:customStyle="1" w:styleId="120">
    <w:name w:val="章 Char"/>
    <w:link w:val="121"/>
    <w:autoRedefine/>
    <w:qFormat/>
    <w:uiPriority w:val="0"/>
    <w:rPr>
      <w:rFonts w:eastAsia="黑体"/>
      <w:kern w:val="44"/>
      <w:sz w:val="32"/>
      <w:lang w:bidi="ar-SA"/>
    </w:rPr>
  </w:style>
  <w:style w:type="paragraph" w:customStyle="1" w:styleId="121">
    <w:name w:val="章"/>
    <w:basedOn w:val="2"/>
    <w:link w:val="120"/>
    <w:qFormat/>
    <w:uiPriority w:val="0"/>
    <w:pPr>
      <w:adjustRightInd/>
      <w:spacing w:before="0" w:after="0" w:line="600" w:lineRule="exact"/>
    </w:pPr>
    <w:rPr>
      <w:rFonts w:eastAsia="黑体"/>
      <w:b w:val="0"/>
      <w:bCs w:val="0"/>
      <w:sz w:val="32"/>
      <w:szCs w:val="20"/>
    </w:rPr>
  </w:style>
  <w:style w:type="paragraph" w:customStyle="1" w:styleId="122">
    <w:name w:val="xl120"/>
    <w:basedOn w:val="1"/>
    <w:autoRedefine/>
    <w:qFormat/>
    <w:uiPriority w:val="0"/>
    <w:pPr>
      <w:widowControl/>
      <w:spacing w:before="100" w:after="100" w:line="360" w:lineRule="auto"/>
      <w:jc w:val="left"/>
      <w:textAlignment w:val="center"/>
    </w:pPr>
    <w:rPr>
      <w:rFonts w:ascii="宋体" w:hAnsi="宋体"/>
      <w:kern w:val="0"/>
      <w:sz w:val="20"/>
      <w:szCs w:val="20"/>
    </w:rPr>
  </w:style>
  <w:style w:type="paragraph" w:customStyle="1" w:styleId="123">
    <w:name w:val="xl80"/>
    <w:basedOn w:val="1"/>
    <w:autoRedefine/>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124">
    <w:name w:val="xl1230"/>
    <w:basedOn w:val="1"/>
    <w:autoRedefine/>
    <w:qFormat/>
    <w:uiPriority w:val="0"/>
    <w:pPr>
      <w:widowControl/>
      <w:spacing w:before="100" w:after="100" w:line="360" w:lineRule="auto"/>
      <w:jc w:val="center"/>
      <w:textAlignment w:val="center"/>
    </w:pPr>
    <w:rPr>
      <w:rFonts w:ascii="Arial Unicode MS" w:hAnsi="Arial Unicode MS" w:eastAsia="Arial Unicode MS"/>
      <w:kern w:val="0"/>
      <w:sz w:val="20"/>
      <w:szCs w:val="20"/>
    </w:rPr>
  </w:style>
  <w:style w:type="paragraph" w:customStyle="1" w:styleId="1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126">
    <w:name w:val="xl123"/>
    <w:basedOn w:val="1"/>
    <w:qFormat/>
    <w:uiPriority w:val="0"/>
    <w:pPr>
      <w:widowControl/>
      <w:pBdr>
        <w:left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12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8">
    <w:name w:val="xl74"/>
    <w:basedOn w:val="1"/>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129">
    <w:name w:val="Style1"/>
    <w:basedOn w:val="1"/>
    <w:autoRedefine/>
    <w:qFormat/>
    <w:uiPriority w:val="0"/>
    <w:pPr>
      <w:widowControl/>
      <w:overflowPunct w:val="0"/>
      <w:autoSpaceDE w:val="0"/>
      <w:autoSpaceDN w:val="0"/>
      <w:adjustRightInd w:val="0"/>
      <w:spacing w:line="360" w:lineRule="auto"/>
      <w:jc w:val="left"/>
      <w:textAlignment w:val="baseline"/>
    </w:pPr>
    <w:rPr>
      <w:rFonts w:ascii="宋体"/>
      <w:spacing w:val="6"/>
      <w:kern w:val="0"/>
      <w:sz w:val="24"/>
      <w:szCs w:val="20"/>
    </w:rPr>
  </w:style>
  <w:style w:type="paragraph" w:customStyle="1" w:styleId="130">
    <w:name w:val="xl47"/>
    <w:basedOn w:val="1"/>
    <w:autoRedefine/>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131">
    <w:name w:val="xl115"/>
    <w:basedOn w:val="1"/>
    <w:autoRedefine/>
    <w:qFormat/>
    <w:uiPriority w:val="0"/>
    <w:pPr>
      <w:widowControl/>
      <w:pBdr>
        <w:top w:val="single" w:color="auto" w:sz="4" w:space="0"/>
        <w:left w:val="single" w:color="auto" w:sz="4" w:space="0"/>
        <w:right w:val="single" w:color="auto" w:sz="8" w:space="0"/>
      </w:pBdr>
      <w:spacing w:before="100" w:after="100" w:line="360" w:lineRule="auto"/>
      <w:jc w:val="left"/>
      <w:textAlignment w:val="center"/>
    </w:pPr>
    <w:rPr>
      <w:kern w:val="0"/>
      <w:sz w:val="20"/>
      <w:szCs w:val="20"/>
    </w:rPr>
  </w:style>
  <w:style w:type="paragraph" w:customStyle="1" w:styleId="132">
    <w:name w:val="xl42"/>
    <w:basedOn w:val="1"/>
    <w:autoRedefine/>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华文细黑" w:hAnsi="华文细黑" w:eastAsia="华文细黑"/>
      <w:b/>
      <w:bCs/>
      <w:color w:val="000000"/>
      <w:kern w:val="0"/>
      <w:sz w:val="20"/>
      <w:szCs w:val="20"/>
    </w:rPr>
  </w:style>
  <w:style w:type="paragraph" w:customStyle="1" w:styleId="133">
    <w:name w:val="xl111"/>
    <w:basedOn w:val="1"/>
    <w:autoRedefine/>
    <w:qFormat/>
    <w:uiPriority w:val="0"/>
    <w:pPr>
      <w:widowControl/>
      <w:pBdr>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134">
    <w:name w:val="+●"/>
    <w:autoRedefine/>
    <w:qFormat/>
    <w:uiPriority w:val="0"/>
    <w:pPr>
      <w:numPr>
        <w:ilvl w:val="0"/>
        <w:numId w:val="4"/>
      </w:numPr>
      <w:tabs>
        <w:tab w:val="clear" w:pos="420"/>
      </w:tabs>
    </w:pPr>
    <w:rPr>
      <w:rFonts w:ascii="Times New Roman" w:hAnsi="Times New Roman" w:eastAsia="宋体" w:cs="Times New Roman"/>
      <w:lang w:val="en-US" w:eastAsia="zh-CN" w:bidi="ar-SA"/>
    </w:rPr>
  </w:style>
  <w:style w:type="paragraph" w:customStyle="1" w:styleId="135">
    <w:name w:val="标书标题4"/>
    <w:basedOn w:val="5"/>
    <w:autoRedefine/>
    <w:qFormat/>
    <w:uiPriority w:val="0"/>
    <w:pPr>
      <w:adjustRightInd w:val="0"/>
      <w:snapToGrid w:val="0"/>
      <w:spacing w:before="0" w:after="0" w:line="300" w:lineRule="auto"/>
      <w:jc w:val="both"/>
    </w:pPr>
    <w:rPr>
      <w:rFonts w:ascii="Arial Narrow" w:hAnsi="Arial Narrow" w:eastAsia="方正仿宋_GB2312"/>
      <w:spacing w:val="0"/>
      <w:kern w:val="0"/>
      <w:sz w:val="28"/>
    </w:rPr>
  </w:style>
  <w:style w:type="paragraph" w:customStyle="1" w:styleId="136">
    <w:name w:val="xl95"/>
    <w:basedOn w:val="1"/>
    <w:autoRedefine/>
    <w:qFormat/>
    <w:uiPriority w:val="0"/>
    <w:pPr>
      <w:widowControl/>
      <w:pBdr>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137">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138">
    <w:name w:val="xl118"/>
    <w:basedOn w:val="1"/>
    <w:autoRedefine/>
    <w:qFormat/>
    <w:uiPriority w:val="0"/>
    <w:pPr>
      <w:widowControl/>
      <w:spacing w:before="100" w:after="100" w:line="360" w:lineRule="auto"/>
      <w:jc w:val="left"/>
      <w:textAlignment w:val="center"/>
    </w:pPr>
    <w:rPr>
      <w:rFonts w:ascii="宋体" w:hAnsi="宋体"/>
      <w:kern w:val="0"/>
      <w:sz w:val="20"/>
      <w:szCs w:val="20"/>
    </w:rPr>
  </w:style>
  <w:style w:type="paragraph" w:customStyle="1" w:styleId="139">
    <w:name w:val="样式5"/>
    <w:basedOn w:val="5"/>
    <w:qFormat/>
    <w:uiPriority w:val="0"/>
    <w:pPr>
      <w:spacing w:before="280" w:after="290" w:line="372" w:lineRule="auto"/>
      <w:jc w:val="center"/>
    </w:pPr>
    <w:rPr>
      <w:bCs/>
      <w:color w:val="auto"/>
      <w:spacing w:val="0"/>
      <w:kern w:val="2"/>
      <w:sz w:val="32"/>
    </w:rPr>
  </w:style>
  <w:style w:type="paragraph" w:customStyle="1" w:styleId="140">
    <w:name w:val="xl135"/>
    <w:basedOn w:val="1"/>
    <w:qFormat/>
    <w:uiPriority w:val="0"/>
    <w:pPr>
      <w:widowControl/>
      <w:pBdr>
        <w:left w:val="single" w:color="auto" w:sz="8" w:space="0"/>
      </w:pBdr>
      <w:spacing w:before="100" w:after="100" w:line="360" w:lineRule="auto"/>
      <w:jc w:val="center"/>
      <w:textAlignment w:val="center"/>
    </w:pPr>
    <w:rPr>
      <w:rFonts w:ascii="宋体" w:hAnsi="宋体"/>
      <w:kern w:val="0"/>
      <w:sz w:val="20"/>
      <w:szCs w:val="20"/>
    </w:rPr>
  </w:style>
  <w:style w:type="paragraph" w:customStyle="1" w:styleId="141">
    <w:name w:val="Char Char Char"/>
    <w:basedOn w:val="1"/>
    <w:autoRedefine/>
    <w:qFormat/>
    <w:uiPriority w:val="0"/>
    <w:rPr>
      <w:sz w:val="24"/>
    </w:rPr>
  </w:style>
  <w:style w:type="paragraph" w:customStyle="1" w:styleId="142">
    <w:name w:val="xl1265"/>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143">
    <w:name w:val="xl1259"/>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144">
    <w:name w:val="表"/>
    <w:basedOn w:val="1"/>
    <w:qFormat/>
    <w:uiPriority w:val="0"/>
    <w:pPr>
      <w:spacing w:line="360" w:lineRule="auto"/>
      <w:jc w:val="center"/>
    </w:pPr>
    <w:rPr>
      <w:sz w:val="24"/>
      <w:szCs w:val="20"/>
    </w:rPr>
  </w:style>
  <w:style w:type="paragraph" w:customStyle="1" w:styleId="145">
    <w:name w:val="xl1231"/>
    <w:basedOn w:val="1"/>
    <w:qFormat/>
    <w:uiPriority w:val="0"/>
    <w:pPr>
      <w:widowControl/>
      <w:pBdr>
        <w:left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146">
    <w:name w:val="xl1244"/>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b/>
      <w:kern w:val="0"/>
      <w:sz w:val="20"/>
      <w:szCs w:val="20"/>
    </w:rPr>
  </w:style>
  <w:style w:type="paragraph" w:customStyle="1" w:styleId="147">
    <w:name w:val="yyn3"/>
    <w:basedOn w:val="148"/>
    <w:autoRedefine/>
    <w:qFormat/>
    <w:uiPriority w:val="0"/>
    <w:pPr>
      <w:keepLines/>
      <w:spacing w:before="156" w:line="240" w:lineRule="auto"/>
      <w:ind w:left="-48"/>
      <w:jc w:val="both"/>
    </w:pPr>
    <w:rPr>
      <w:rFonts w:ascii="宋体" w:hAnsi="宋体" w:eastAsia="宋体"/>
      <w:sz w:val="24"/>
    </w:rPr>
  </w:style>
  <w:style w:type="paragraph" w:customStyle="1" w:styleId="148">
    <w:name w:val="yyn2"/>
    <w:basedOn w:val="1"/>
    <w:autoRedefine/>
    <w:qFormat/>
    <w:uiPriority w:val="0"/>
    <w:pPr>
      <w:keepNext/>
      <w:widowControl/>
      <w:overflowPunct w:val="0"/>
      <w:autoSpaceDE w:val="0"/>
      <w:autoSpaceDN w:val="0"/>
      <w:adjustRightInd w:val="0"/>
      <w:spacing w:before="60" w:line="360" w:lineRule="auto"/>
      <w:jc w:val="center"/>
      <w:textAlignment w:val="baseline"/>
    </w:pPr>
    <w:rPr>
      <w:rFonts w:ascii="方正楷体_GB2312" w:eastAsia="方正楷体_GB2312"/>
      <w:kern w:val="16"/>
      <w:szCs w:val="20"/>
    </w:rPr>
  </w:style>
  <w:style w:type="paragraph" w:customStyle="1" w:styleId="149">
    <w:name w:val="xl1224"/>
    <w:basedOn w:val="1"/>
    <w:autoRedefine/>
    <w:qFormat/>
    <w:uiPriority w:val="0"/>
    <w:pPr>
      <w:widowControl/>
      <w:pBdr>
        <w:top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150">
    <w:name w:val="p0"/>
    <w:basedOn w:val="1"/>
    <w:autoRedefine/>
    <w:qFormat/>
    <w:uiPriority w:val="0"/>
    <w:pPr>
      <w:widowControl/>
      <w:jc w:val="left"/>
    </w:pPr>
    <w:rPr>
      <w:kern w:val="0"/>
      <w:szCs w:val="21"/>
    </w:rPr>
  </w:style>
  <w:style w:type="paragraph" w:customStyle="1" w:styleId="151">
    <w:name w:val="xl6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52">
    <w:name w:val="xl117"/>
    <w:basedOn w:val="1"/>
    <w:autoRedefine/>
    <w:qFormat/>
    <w:uiPriority w:val="0"/>
    <w:pPr>
      <w:widowControl/>
      <w:pBdr>
        <w:left w:val="single" w:color="auto" w:sz="4" w:space="0"/>
      </w:pBdr>
      <w:spacing w:before="100" w:after="100" w:line="360" w:lineRule="auto"/>
      <w:jc w:val="left"/>
      <w:textAlignment w:val="center"/>
    </w:pPr>
    <w:rPr>
      <w:rFonts w:ascii="宋体" w:hAnsi="宋体"/>
      <w:kern w:val="0"/>
      <w:sz w:val="20"/>
      <w:szCs w:val="20"/>
    </w:rPr>
  </w:style>
  <w:style w:type="paragraph" w:customStyle="1" w:styleId="153">
    <w:name w:val="正文文本 21"/>
    <w:basedOn w:val="1"/>
    <w:autoRedefine/>
    <w:qFormat/>
    <w:uiPriority w:val="0"/>
    <w:pPr>
      <w:adjustRightInd w:val="0"/>
      <w:spacing w:line="300" w:lineRule="auto"/>
      <w:jc w:val="center"/>
    </w:pPr>
    <w:rPr>
      <w:rFonts w:hint="eastAsia" w:ascii="宋体" w:hAnsi="宋体"/>
      <w:sz w:val="24"/>
      <w:szCs w:val="20"/>
    </w:rPr>
  </w:style>
  <w:style w:type="paragraph" w:customStyle="1" w:styleId="154">
    <w:name w:val="_Style 11"/>
    <w:basedOn w:val="1"/>
    <w:autoRedefine/>
    <w:qFormat/>
    <w:uiPriority w:val="0"/>
    <w:pPr>
      <w:ind w:firstLine="200" w:firstLineChars="200"/>
    </w:pPr>
  </w:style>
  <w:style w:type="paragraph" w:customStyle="1" w:styleId="155">
    <w:name w:val="+标题4"/>
    <w:basedOn w:val="5"/>
    <w:autoRedefine/>
    <w:qFormat/>
    <w:uiPriority w:val="0"/>
    <w:pPr>
      <w:numPr>
        <w:ilvl w:val="3"/>
        <w:numId w:val="5"/>
      </w:numPr>
      <w:tabs>
        <w:tab w:val="clear" w:pos="2034"/>
      </w:tabs>
      <w:adjustRightInd w:val="0"/>
      <w:snapToGrid w:val="0"/>
      <w:spacing w:before="0" w:after="0" w:line="360" w:lineRule="auto"/>
    </w:pPr>
    <w:rPr>
      <w:rFonts w:ascii="黑体" w:hAnsi="Times New Roman" w:eastAsia="黑体"/>
      <w:color w:val="auto"/>
      <w:spacing w:val="0"/>
      <w:kern w:val="0"/>
      <w:szCs w:val="20"/>
    </w:rPr>
  </w:style>
  <w:style w:type="paragraph" w:customStyle="1" w:styleId="156">
    <w:name w:val="Char1"/>
    <w:basedOn w:val="1"/>
    <w:autoRedefine/>
    <w:qFormat/>
    <w:uiPriority w:val="0"/>
    <w:pPr>
      <w:widowControl/>
      <w:jc w:val="left"/>
    </w:pPr>
    <w:rPr>
      <w:rFonts w:ascii="Tahoma" w:hAnsi="Tahoma" w:cs="宋体"/>
      <w:kern w:val="0"/>
      <w:sz w:val="24"/>
    </w:rPr>
  </w:style>
  <w:style w:type="paragraph" w:customStyle="1" w:styleId="157">
    <w:name w:val="xl105"/>
    <w:basedOn w:val="1"/>
    <w:autoRedefine/>
    <w:qFormat/>
    <w:uiPriority w:val="0"/>
    <w:pPr>
      <w:widowControl/>
      <w:pBdr>
        <w:top w:val="single" w:color="auto" w:sz="4" w:space="0"/>
        <w:left w:val="single" w:color="auto" w:sz="4" w:space="0"/>
        <w:bottom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158">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59">
    <w:name w:val="xl102"/>
    <w:basedOn w:val="1"/>
    <w:qFormat/>
    <w:uiPriority w:val="0"/>
    <w:pPr>
      <w:widowControl/>
      <w:pBdr>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160">
    <w:name w:val="xl61"/>
    <w:basedOn w:val="1"/>
    <w:autoRedefine/>
    <w:qFormat/>
    <w:uiPriority w:val="0"/>
    <w:pPr>
      <w:widowControl/>
      <w:pBdr>
        <w:top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161">
    <w:name w:val="xl113"/>
    <w:basedOn w:val="1"/>
    <w:qFormat/>
    <w:uiPriority w:val="0"/>
    <w:pPr>
      <w:widowControl/>
      <w:pBdr>
        <w:top w:val="single" w:color="auto" w:sz="4" w:space="0"/>
        <w:left w:val="single" w:color="auto" w:sz="8" w:space="0"/>
        <w:right w:val="single" w:color="auto" w:sz="4" w:space="0"/>
      </w:pBdr>
      <w:spacing w:before="100" w:after="100" w:line="360" w:lineRule="auto"/>
      <w:jc w:val="left"/>
      <w:textAlignment w:val="center"/>
    </w:pPr>
    <w:rPr>
      <w:kern w:val="0"/>
      <w:sz w:val="20"/>
      <w:szCs w:val="20"/>
    </w:rPr>
  </w:style>
  <w:style w:type="paragraph" w:customStyle="1" w:styleId="162">
    <w:name w:val="小节"/>
    <w:basedOn w:val="4"/>
    <w:qFormat/>
    <w:uiPriority w:val="0"/>
    <w:pPr>
      <w:spacing w:before="200" w:after="200" w:line="560" w:lineRule="exact"/>
      <w:jc w:val="left"/>
    </w:pPr>
    <w:rPr>
      <w:rFonts w:ascii="宋体" w:hAnsi="宋体"/>
      <w:bCs w:val="0"/>
      <w:color w:val="000000"/>
      <w:spacing w:val="10"/>
      <w:kern w:val="24"/>
      <w:sz w:val="28"/>
    </w:rPr>
  </w:style>
  <w:style w:type="paragraph" w:customStyle="1" w:styleId="163">
    <w:name w:val="样式10"/>
    <w:basedOn w:val="1"/>
    <w:autoRedefine/>
    <w:qFormat/>
    <w:uiPriority w:val="0"/>
    <w:pPr>
      <w:spacing w:line="480" w:lineRule="exact"/>
      <w:jc w:val="left"/>
    </w:pPr>
    <w:rPr>
      <w:b/>
      <w:spacing w:val="6"/>
      <w:sz w:val="24"/>
      <w:szCs w:val="20"/>
    </w:rPr>
  </w:style>
  <w:style w:type="paragraph" w:customStyle="1" w:styleId="16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5">
    <w:name w:val="xl96"/>
    <w:basedOn w:val="1"/>
    <w:autoRedefine/>
    <w:qFormat/>
    <w:uiPriority w:val="0"/>
    <w:pPr>
      <w:widowControl/>
      <w:pBdr>
        <w:top w:val="single" w:color="auto" w:sz="4" w:space="0"/>
        <w:bottom w:val="single" w:color="auto" w:sz="4" w:space="0"/>
        <w:right w:val="single" w:color="auto" w:sz="8" w:space="0"/>
      </w:pBdr>
      <w:spacing w:before="100" w:after="100" w:line="360" w:lineRule="auto"/>
      <w:jc w:val="left"/>
      <w:textAlignment w:val="center"/>
    </w:pPr>
    <w:rPr>
      <w:kern w:val="0"/>
      <w:sz w:val="20"/>
      <w:szCs w:val="20"/>
    </w:rPr>
  </w:style>
  <w:style w:type="paragraph" w:customStyle="1" w:styleId="166">
    <w:name w:val="样式 标题 1 + 段前: 0.5 行 段后: 0.5 行"/>
    <w:basedOn w:val="2"/>
    <w:autoRedefine/>
    <w:qFormat/>
    <w:uiPriority w:val="0"/>
    <w:pPr>
      <w:keepLines w:val="0"/>
      <w:pageBreakBefore/>
      <w:widowControl/>
      <w:numPr>
        <w:ilvl w:val="0"/>
        <w:numId w:val="6"/>
      </w:numPr>
      <w:tabs>
        <w:tab w:val="clear" w:pos="420"/>
      </w:tabs>
      <w:adjustRightInd/>
      <w:spacing w:before="156" w:after="156" w:line="480" w:lineRule="auto"/>
    </w:pPr>
    <w:rPr>
      <w:rFonts w:eastAsia="黑体"/>
      <w:bCs w:val="0"/>
      <w:szCs w:val="20"/>
    </w:rPr>
  </w:style>
  <w:style w:type="paragraph" w:customStyle="1" w:styleId="167">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68">
    <w:name w:val="font9"/>
    <w:basedOn w:val="1"/>
    <w:autoRedefine/>
    <w:qFormat/>
    <w:uiPriority w:val="0"/>
    <w:pPr>
      <w:widowControl/>
      <w:spacing w:before="100" w:beforeAutospacing="1" w:after="100" w:afterAutospacing="1"/>
      <w:jc w:val="left"/>
    </w:pPr>
    <w:rPr>
      <w:b/>
      <w:bCs/>
      <w:kern w:val="0"/>
      <w:sz w:val="24"/>
    </w:rPr>
  </w:style>
  <w:style w:type="paragraph" w:customStyle="1" w:styleId="169">
    <w:name w:val="样式 标题 1 + (西文) Arial (中文) 黑体 四号 非加粗 居中 段前: 20 磅 段后: 0 磅 行..."/>
    <w:basedOn w:val="2"/>
    <w:autoRedefine/>
    <w:qFormat/>
    <w:uiPriority w:val="0"/>
    <w:pPr>
      <w:adjustRightInd/>
      <w:spacing w:before="400" w:after="0" w:line="360" w:lineRule="auto"/>
    </w:pPr>
    <w:rPr>
      <w:rFonts w:ascii="Arial" w:hAnsi="Arial" w:eastAsia="黑体"/>
      <w:bCs w:val="0"/>
      <w:sz w:val="28"/>
      <w:szCs w:val="20"/>
    </w:rPr>
  </w:style>
  <w:style w:type="paragraph" w:customStyle="1" w:styleId="170">
    <w:name w:val="xl137"/>
    <w:basedOn w:val="1"/>
    <w:qFormat/>
    <w:uiPriority w:val="0"/>
    <w:pPr>
      <w:widowControl/>
      <w:pBdr>
        <w:top w:val="single" w:color="auto" w:sz="8"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171">
    <w:name w:val="yydosmargin"/>
    <w:basedOn w:val="1"/>
    <w:qFormat/>
    <w:uiPriority w:val="0"/>
    <w:pPr>
      <w:widowControl/>
      <w:spacing w:before="150" w:after="180"/>
      <w:ind w:left="300" w:right="300"/>
      <w:jc w:val="left"/>
    </w:pPr>
    <w:rPr>
      <w:rFonts w:ascii="宋体" w:hAnsi="宋体"/>
      <w:kern w:val="0"/>
      <w:sz w:val="24"/>
    </w:rPr>
  </w:style>
  <w:style w:type="paragraph" w:customStyle="1" w:styleId="172">
    <w:name w:val="xl66"/>
    <w:basedOn w:val="1"/>
    <w:qFormat/>
    <w:uiPriority w:val="0"/>
    <w:pPr>
      <w:widowControl/>
      <w:pBdr>
        <w:top w:val="single" w:color="auto" w:sz="4" w:space="0"/>
        <w:left w:val="single" w:color="auto" w:sz="12"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173">
    <w:name w:val="标书标题1"/>
    <w:basedOn w:val="2"/>
    <w:autoRedefine/>
    <w:qFormat/>
    <w:uiPriority w:val="0"/>
    <w:pPr>
      <w:keepLines w:val="0"/>
      <w:widowControl/>
      <w:numPr>
        <w:ilvl w:val="0"/>
        <w:numId w:val="7"/>
      </w:numPr>
      <w:tabs>
        <w:tab w:val="clear" w:pos="836"/>
      </w:tabs>
      <w:snapToGrid w:val="0"/>
      <w:spacing w:before="240" w:after="0" w:line="360" w:lineRule="auto"/>
      <w:jc w:val="left"/>
    </w:pPr>
    <w:rPr>
      <w:rFonts w:ascii="Arial Narrow" w:hAnsi="Arial Narrow" w:eastAsia="黑体"/>
      <w:b w:val="0"/>
      <w:bCs w:val="0"/>
      <w:spacing w:val="20"/>
      <w:kern w:val="0"/>
      <w:szCs w:val="20"/>
    </w:rPr>
  </w:style>
  <w:style w:type="paragraph" w:customStyle="1" w:styleId="174">
    <w:name w:val="Char"/>
    <w:basedOn w:val="1"/>
    <w:autoRedefine/>
    <w:qFormat/>
    <w:uiPriority w:val="0"/>
    <w:rPr>
      <w:szCs w:val="20"/>
    </w:rPr>
  </w:style>
  <w:style w:type="paragraph" w:customStyle="1" w:styleId="175">
    <w:name w:val="+正文 Char"/>
    <w:basedOn w:val="1"/>
    <w:autoRedefine/>
    <w:qFormat/>
    <w:uiPriority w:val="0"/>
    <w:pPr>
      <w:spacing w:line="360" w:lineRule="auto"/>
      <w:ind w:firstLine="200" w:firstLineChars="200"/>
    </w:pPr>
    <w:rPr>
      <w:sz w:val="24"/>
      <w:szCs w:val="28"/>
    </w:rPr>
  </w:style>
  <w:style w:type="paragraph" w:customStyle="1" w:styleId="176">
    <w:name w:val="w2"/>
    <w:basedOn w:val="1"/>
    <w:autoRedefine/>
    <w:qFormat/>
    <w:uiPriority w:val="0"/>
    <w:pPr>
      <w:keepNext/>
      <w:keepLines/>
      <w:tabs>
        <w:tab w:val="left" w:pos="675"/>
        <w:tab w:val="left" w:pos="1679"/>
      </w:tabs>
      <w:spacing w:before="96" w:line="360" w:lineRule="auto"/>
      <w:ind w:left="675" w:hanging="240"/>
    </w:pPr>
    <w:rPr>
      <w:rFonts w:eastAsia="黑体"/>
      <w:b/>
      <w:sz w:val="28"/>
      <w:szCs w:val="20"/>
    </w:rPr>
  </w:style>
  <w:style w:type="paragraph" w:customStyle="1" w:styleId="177">
    <w:name w:val="xl127"/>
    <w:basedOn w:val="1"/>
    <w:autoRedefine/>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right"/>
      <w:textAlignment w:val="center"/>
    </w:pPr>
    <w:rPr>
      <w:kern w:val="0"/>
      <w:sz w:val="24"/>
      <w:szCs w:val="20"/>
    </w:rPr>
  </w:style>
  <w:style w:type="paragraph" w:customStyle="1" w:styleId="178">
    <w:name w:val="目录"/>
    <w:basedOn w:val="1"/>
    <w:autoRedefine/>
    <w:qFormat/>
    <w:uiPriority w:val="0"/>
    <w:pPr>
      <w:keepNext/>
      <w:adjustRightInd w:val="0"/>
      <w:spacing w:line="360" w:lineRule="atLeast"/>
      <w:jc w:val="left"/>
      <w:textAlignment w:val="baseline"/>
    </w:pPr>
    <w:rPr>
      <w:rFonts w:ascii="汉仪雅酷黑简" w:hAnsi="汉仪雅酷黑简"/>
      <w:kern w:val="0"/>
      <w:sz w:val="28"/>
      <w:szCs w:val="20"/>
    </w:rPr>
  </w:style>
  <w:style w:type="paragraph" w:customStyle="1" w:styleId="179">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pPr>
    <w:rPr>
      <w:kern w:val="0"/>
      <w:sz w:val="24"/>
      <w:szCs w:val="20"/>
    </w:rPr>
  </w:style>
  <w:style w:type="paragraph" w:customStyle="1" w:styleId="180">
    <w:name w:val="样式 样式 标题 3 + 段前: 0.5 行 段后: 0.5 行 + 段前: 0.5 行 段后: 0.5 行"/>
    <w:basedOn w:val="1"/>
    <w:autoRedefine/>
    <w:qFormat/>
    <w:uiPriority w:val="0"/>
    <w:pPr>
      <w:widowControl/>
      <w:numPr>
        <w:ilvl w:val="2"/>
        <w:numId w:val="6"/>
      </w:numPr>
      <w:tabs>
        <w:tab w:val="clear" w:pos="1260"/>
      </w:tabs>
      <w:spacing w:before="156" w:after="156" w:line="360" w:lineRule="auto"/>
    </w:pPr>
    <w:rPr>
      <w:rFonts w:eastAsia="黑体"/>
      <w:b/>
      <w:sz w:val="28"/>
      <w:szCs w:val="20"/>
    </w:rPr>
  </w:style>
  <w:style w:type="paragraph" w:customStyle="1" w:styleId="181">
    <w:name w:val="-正文 Char"/>
    <w:basedOn w:val="1"/>
    <w:autoRedefine/>
    <w:qFormat/>
    <w:uiPriority w:val="0"/>
    <w:pPr>
      <w:widowControl/>
      <w:overflowPunct w:val="0"/>
      <w:autoSpaceDE w:val="0"/>
      <w:autoSpaceDN w:val="0"/>
      <w:adjustRightInd w:val="0"/>
      <w:spacing w:line="360" w:lineRule="auto"/>
      <w:ind w:firstLine="200"/>
      <w:jc w:val="left"/>
      <w:textAlignment w:val="baseline"/>
    </w:pPr>
    <w:rPr>
      <w:rFonts w:ascii="Arial" w:hAnsi="Arial"/>
      <w:kern w:val="0"/>
      <w:sz w:val="24"/>
      <w:szCs w:val="20"/>
    </w:rPr>
  </w:style>
  <w:style w:type="paragraph" w:customStyle="1" w:styleId="182">
    <w:name w:val="xl1250"/>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183">
    <w:name w:val="i"/>
    <w:basedOn w:val="1"/>
    <w:qFormat/>
    <w:uiPriority w:val="0"/>
    <w:pPr>
      <w:widowControl/>
      <w:numPr>
        <w:ilvl w:val="8"/>
        <w:numId w:val="8"/>
      </w:numPr>
      <w:tabs>
        <w:tab w:val="clear" w:pos="480"/>
      </w:tabs>
      <w:spacing w:before="120" w:after="120" w:line="264" w:lineRule="auto"/>
      <w:ind w:left="150" w:leftChars="150" w:firstLine="5" w:firstLineChars="5"/>
      <w:jc w:val="center"/>
    </w:pPr>
    <w:rPr>
      <w:rFonts w:ascii="宋体" w:hAnsi="宋体"/>
      <w:sz w:val="22"/>
      <w:szCs w:val="20"/>
    </w:rPr>
  </w:style>
  <w:style w:type="paragraph" w:customStyle="1" w:styleId="184">
    <w:name w:val="xl75"/>
    <w:basedOn w:val="1"/>
    <w:qFormat/>
    <w:uiPriority w:val="0"/>
    <w:pPr>
      <w:widowControl/>
      <w:pBdr>
        <w:top w:val="single" w:color="auto" w:sz="8" w:space="0"/>
        <w:left w:val="single" w:color="auto" w:sz="4"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185">
    <w:name w:val="xl141"/>
    <w:basedOn w:val="1"/>
    <w:autoRedefine/>
    <w:qFormat/>
    <w:uiPriority w:val="0"/>
    <w:pPr>
      <w:widowControl/>
      <w:pBdr>
        <w:top w:val="single" w:color="auto" w:sz="4" w:space="0"/>
        <w:left w:val="single" w:color="auto" w:sz="4" w:space="0"/>
        <w:bottom w:val="single" w:color="auto" w:sz="4" w:space="0"/>
        <w:right w:val="single" w:color="auto" w:sz="8" w:space="0"/>
      </w:pBdr>
      <w:spacing w:before="100" w:after="100" w:line="360" w:lineRule="auto"/>
      <w:jc w:val="center"/>
    </w:pPr>
    <w:rPr>
      <w:rFonts w:ascii="宋体" w:hAnsi="宋体"/>
      <w:kern w:val="0"/>
      <w:sz w:val="20"/>
      <w:szCs w:val="20"/>
    </w:rPr>
  </w:style>
  <w:style w:type="paragraph" w:customStyle="1" w:styleId="186">
    <w:name w:val="font12"/>
    <w:basedOn w:val="1"/>
    <w:qFormat/>
    <w:uiPriority w:val="0"/>
    <w:pPr>
      <w:widowControl/>
      <w:spacing w:before="100" w:after="100" w:line="360" w:lineRule="auto"/>
      <w:jc w:val="left"/>
    </w:pPr>
    <w:rPr>
      <w:rFonts w:hint="eastAsia" w:ascii="宋体" w:hAnsi="宋体"/>
      <w:b/>
      <w:kern w:val="0"/>
      <w:sz w:val="20"/>
      <w:szCs w:val="20"/>
    </w:rPr>
  </w:style>
  <w:style w:type="paragraph" w:customStyle="1" w:styleId="187">
    <w:name w:val="xl1237"/>
    <w:basedOn w:val="1"/>
    <w:qFormat/>
    <w:uiPriority w:val="0"/>
    <w:pPr>
      <w:widowControl/>
      <w:pBdr>
        <w:left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188">
    <w:name w:val="xl52"/>
    <w:basedOn w:val="1"/>
    <w:autoRedefine/>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9">
    <w:name w:val="样式 标题 3头 + 非加宽量 / 紧缩量"/>
    <w:basedOn w:val="4"/>
    <w:qFormat/>
    <w:uiPriority w:val="0"/>
    <w:pPr>
      <w:tabs>
        <w:tab w:val="left" w:pos="675"/>
        <w:tab w:val="left" w:pos="2099"/>
      </w:tabs>
      <w:spacing w:before="20" w:after="0" w:line="360" w:lineRule="auto"/>
      <w:ind w:left="675" w:firstLine="87" w:firstLineChars="87"/>
    </w:pPr>
    <w:rPr>
      <w:rFonts w:eastAsia="黑体"/>
      <w:bCs w:val="0"/>
      <w:color w:val="000000"/>
      <w:sz w:val="28"/>
      <w:szCs w:val="20"/>
    </w:rPr>
  </w:style>
  <w:style w:type="paragraph" w:customStyle="1" w:styleId="190">
    <w:name w:val="xl1222"/>
    <w:basedOn w:val="1"/>
    <w:autoRedefine/>
    <w:qFormat/>
    <w:uiPriority w:val="0"/>
    <w:pPr>
      <w:widowControl/>
      <w:pBdr>
        <w:top w:val="single" w:color="auto" w:sz="4" w:space="0"/>
        <w:left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191">
    <w:name w:val="xl1240"/>
    <w:basedOn w:val="1"/>
    <w:qFormat/>
    <w:uiPriority w:val="0"/>
    <w:pPr>
      <w:widowControl/>
      <w:pBdr>
        <w:left w:val="single" w:color="auto" w:sz="4" w:space="0"/>
        <w:bottom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192">
    <w:name w:val="font7"/>
    <w:basedOn w:val="1"/>
    <w:autoRedefine/>
    <w:qFormat/>
    <w:uiPriority w:val="0"/>
    <w:pPr>
      <w:widowControl/>
      <w:spacing w:before="100" w:beforeAutospacing="1" w:after="100" w:afterAutospacing="1"/>
      <w:jc w:val="left"/>
    </w:pPr>
    <w:rPr>
      <w:b/>
      <w:bCs/>
      <w:kern w:val="0"/>
      <w:sz w:val="20"/>
      <w:szCs w:val="20"/>
    </w:rPr>
  </w:style>
  <w:style w:type="paragraph" w:customStyle="1" w:styleId="193">
    <w:name w:val="xl126"/>
    <w:basedOn w:val="1"/>
    <w:autoRedefine/>
    <w:qFormat/>
    <w:uiPriority w:val="0"/>
    <w:pPr>
      <w:widowControl/>
      <w:pBdr>
        <w:top w:val="single" w:color="auto" w:sz="4" w:space="0"/>
        <w:left w:val="single" w:color="auto" w:sz="8" w:space="0"/>
        <w:bottom w:val="single" w:color="auto" w:sz="8" w:space="0"/>
        <w:right w:val="single" w:color="auto" w:sz="8" w:space="0"/>
      </w:pBdr>
      <w:spacing w:before="100" w:after="100" w:line="360" w:lineRule="auto"/>
      <w:jc w:val="left"/>
    </w:pPr>
    <w:rPr>
      <w:rFonts w:ascii="宋体" w:hAnsi="宋体"/>
      <w:kern w:val="0"/>
      <w:sz w:val="24"/>
      <w:szCs w:val="20"/>
    </w:rPr>
  </w:style>
  <w:style w:type="paragraph" w:customStyle="1" w:styleId="194">
    <w:name w:val="xl125"/>
    <w:basedOn w:val="1"/>
    <w:autoRedefine/>
    <w:qFormat/>
    <w:uiPriority w:val="0"/>
    <w:pPr>
      <w:widowControl/>
      <w:pBdr>
        <w:top w:val="single" w:color="auto" w:sz="4" w:space="0"/>
        <w:left w:val="single" w:color="auto" w:sz="4" w:space="0"/>
        <w:bottom w:val="single" w:color="auto" w:sz="4" w:space="0"/>
        <w:right w:val="single" w:color="auto" w:sz="8" w:space="0"/>
      </w:pBdr>
      <w:spacing w:before="100" w:after="100" w:line="360" w:lineRule="auto"/>
      <w:jc w:val="left"/>
    </w:pPr>
    <w:rPr>
      <w:rFonts w:ascii="宋体" w:hAnsi="宋体"/>
      <w:kern w:val="0"/>
      <w:sz w:val="24"/>
      <w:szCs w:val="20"/>
    </w:rPr>
  </w:style>
  <w:style w:type="paragraph" w:customStyle="1" w:styleId="195">
    <w:name w:val="+列表1"/>
    <w:basedOn w:val="1"/>
    <w:autoRedefine/>
    <w:qFormat/>
    <w:uiPriority w:val="0"/>
    <w:pPr>
      <w:spacing w:line="460" w:lineRule="exact"/>
      <w:jc w:val="center"/>
    </w:pPr>
    <w:rPr>
      <w:spacing w:val="6"/>
      <w:szCs w:val="20"/>
    </w:rPr>
  </w:style>
  <w:style w:type="paragraph" w:customStyle="1" w:styleId="196">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197">
    <w:name w:val="xl1232"/>
    <w:basedOn w:val="1"/>
    <w:qFormat/>
    <w:uiPriority w:val="0"/>
    <w:pPr>
      <w:widowControl/>
      <w:pBdr>
        <w:lef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198">
    <w:name w:val="xl38"/>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99">
    <w:name w:val="_Style 45"/>
    <w:basedOn w:val="1"/>
    <w:autoRedefine/>
    <w:qFormat/>
    <w:uiPriority w:val="0"/>
    <w:pPr>
      <w:ind w:firstLine="200" w:firstLineChars="200"/>
    </w:pPr>
  </w:style>
  <w:style w:type="paragraph" w:customStyle="1" w:styleId="200">
    <w:name w:val="样式 标题 1 + (西文) Arial (中文) 黑体 四号 非加粗 居中 段前: 20 磅 段后: 0 磅 行...3"/>
    <w:basedOn w:val="2"/>
    <w:autoRedefine/>
    <w:qFormat/>
    <w:uiPriority w:val="0"/>
    <w:pPr>
      <w:adjustRightInd/>
      <w:spacing w:before="400" w:after="0" w:line="360" w:lineRule="auto"/>
    </w:pPr>
    <w:rPr>
      <w:rFonts w:ascii="Arial" w:hAnsi="Arial" w:eastAsia="黑体"/>
      <w:bCs w:val="0"/>
      <w:sz w:val="28"/>
      <w:szCs w:val="20"/>
    </w:rPr>
  </w:style>
  <w:style w:type="paragraph" w:customStyle="1" w:styleId="201">
    <w:name w:val="xl134"/>
    <w:basedOn w:val="1"/>
    <w:autoRedefine/>
    <w:qFormat/>
    <w:uiPriority w:val="0"/>
    <w:pPr>
      <w:widowControl/>
      <w:pBdr>
        <w:top w:val="single" w:color="auto" w:sz="8" w:space="0"/>
        <w:left w:val="single" w:color="auto" w:sz="8" w:space="0"/>
      </w:pBdr>
      <w:spacing w:before="100" w:after="100" w:line="360" w:lineRule="auto"/>
      <w:jc w:val="center"/>
      <w:textAlignment w:val="center"/>
    </w:pPr>
    <w:rPr>
      <w:rFonts w:ascii="宋体" w:hAnsi="宋体"/>
      <w:kern w:val="0"/>
      <w:sz w:val="20"/>
      <w:szCs w:val="20"/>
    </w:rPr>
  </w:style>
  <w:style w:type="paragraph" w:customStyle="1" w:styleId="202">
    <w:name w:val="font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03">
    <w:name w:val="xl68"/>
    <w:basedOn w:val="1"/>
    <w:autoRedefine/>
    <w:qFormat/>
    <w:uiPriority w:val="0"/>
    <w:pPr>
      <w:widowControl/>
      <w:pBdr>
        <w:top w:val="single" w:color="auto" w:sz="4" w:space="0"/>
        <w:left w:val="single" w:color="auto" w:sz="4" w:space="0"/>
        <w:bottom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204">
    <w:name w:val="xl69"/>
    <w:basedOn w:val="1"/>
    <w:autoRedefine/>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05">
    <w:name w:val="xl98"/>
    <w:basedOn w:val="1"/>
    <w:autoRedefine/>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06">
    <w:name w:val="xl83"/>
    <w:basedOn w:val="1"/>
    <w:autoRedefine/>
    <w:qFormat/>
    <w:uiPriority w:val="0"/>
    <w:pPr>
      <w:widowControl/>
      <w:pBdr>
        <w:top w:val="single" w:color="auto" w:sz="4" w:space="0"/>
        <w:left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07">
    <w:name w:val="xl1229"/>
    <w:basedOn w:val="1"/>
    <w:autoRedefine/>
    <w:qFormat/>
    <w:uiPriority w:val="0"/>
    <w:pPr>
      <w:widowControl/>
      <w:pBdr>
        <w:top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08">
    <w:name w:val="xl1245"/>
    <w:basedOn w:val="1"/>
    <w:autoRedefine/>
    <w:qFormat/>
    <w:uiPriority w:val="0"/>
    <w:pPr>
      <w:widowControl/>
      <w:pBdr>
        <w:top w:val="single" w:color="auto" w:sz="4" w:space="0"/>
        <w:bottom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09">
    <w:name w:val="xl1267"/>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10">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pPr>
    <w:rPr>
      <w:rFonts w:ascii="Arial Unicode MS" w:hAnsi="Arial Unicode MS" w:eastAsia="Arial Unicode MS"/>
      <w:kern w:val="0"/>
      <w:sz w:val="20"/>
      <w:szCs w:val="20"/>
    </w:rPr>
  </w:style>
  <w:style w:type="paragraph" w:customStyle="1" w:styleId="211">
    <w:name w:val="xl1238"/>
    <w:basedOn w:val="1"/>
    <w:qFormat/>
    <w:uiPriority w:val="0"/>
    <w:pPr>
      <w:widowControl/>
      <w:pBdr>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1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b/>
      <w:bCs/>
      <w:color w:val="FFFFFF"/>
      <w:kern w:val="0"/>
      <w:sz w:val="24"/>
    </w:rPr>
  </w:style>
  <w:style w:type="paragraph" w:customStyle="1" w:styleId="213">
    <w:name w:val="xl100"/>
    <w:basedOn w:val="1"/>
    <w:qFormat/>
    <w:uiPriority w:val="0"/>
    <w:pPr>
      <w:widowControl/>
      <w:pBdr>
        <w:top w:val="single" w:color="auto" w:sz="4" w:space="0"/>
        <w:left w:val="single" w:color="auto" w:sz="4" w:space="0"/>
        <w:right w:val="single" w:color="auto" w:sz="4" w:space="0"/>
      </w:pBdr>
      <w:spacing w:before="100" w:after="100" w:line="360" w:lineRule="auto"/>
      <w:jc w:val="left"/>
      <w:textAlignment w:val="center"/>
    </w:pPr>
    <w:rPr>
      <w:kern w:val="0"/>
      <w:sz w:val="20"/>
      <w:szCs w:val="20"/>
    </w:rPr>
  </w:style>
  <w:style w:type="paragraph" w:customStyle="1" w:styleId="214">
    <w:name w:val="xl86"/>
    <w:basedOn w:val="1"/>
    <w:qFormat/>
    <w:uiPriority w:val="0"/>
    <w:pPr>
      <w:widowControl/>
      <w:pBdr>
        <w:top w:val="single" w:color="auto" w:sz="4" w:space="0"/>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216">
    <w:name w:val="标书标题2"/>
    <w:basedOn w:val="3"/>
    <w:qFormat/>
    <w:uiPriority w:val="0"/>
    <w:pPr>
      <w:keepLines w:val="0"/>
      <w:widowControl/>
      <w:numPr>
        <w:ilvl w:val="1"/>
        <w:numId w:val="6"/>
      </w:numPr>
      <w:spacing w:beforeLines="50" w:after="60" w:line="300" w:lineRule="auto"/>
    </w:pPr>
    <w:rPr>
      <w:rFonts w:ascii="Arial Narrow" w:hAnsi="Arial Narrow" w:eastAsia="方正仿宋_GB2312"/>
      <w:bCs/>
      <w:kern w:val="0"/>
      <w:szCs w:val="20"/>
    </w:rPr>
  </w:style>
  <w:style w:type="paragraph" w:customStyle="1" w:styleId="217">
    <w:name w:val="xl129"/>
    <w:basedOn w:val="1"/>
    <w:autoRedefine/>
    <w:qFormat/>
    <w:uiPriority w:val="0"/>
    <w:pPr>
      <w:widowControl/>
      <w:pBdr>
        <w:left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18">
    <w:name w:val="Char21"/>
    <w:basedOn w:val="1"/>
    <w:qFormat/>
    <w:uiPriority w:val="0"/>
  </w:style>
  <w:style w:type="paragraph" w:customStyle="1" w:styleId="21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20">
    <w:name w:val="+标题3"/>
    <w:basedOn w:val="4"/>
    <w:autoRedefine/>
    <w:qFormat/>
    <w:uiPriority w:val="0"/>
    <w:pPr>
      <w:keepNext w:val="0"/>
      <w:keepLines w:val="0"/>
      <w:numPr>
        <w:ilvl w:val="2"/>
        <w:numId w:val="9"/>
      </w:numPr>
      <w:tabs>
        <w:tab w:val="clear" w:pos="1255"/>
      </w:tabs>
      <w:adjustRightInd w:val="0"/>
      <w:snapToGrid w:val="0"/>
      <w:spacing w:before="0" w:after="0" w:line="360" w:lineRule="auto"/>
      <w:jc w:val="left"/>
    </w:pPr>
    <w:rPr>
      <w:rFonts w:ascii="黑体" w:eastAsia="黑体"/>
      <w:bCs w:val="0"/>
      <w:sz w:val="24"/>
      <w:szCs w:val="20"/>
    </w:rPr>
  </w:style>
  <w:style w:type="paragraph" w:customStyle="1" w:styleId="221">
    <w:name w:val="xl1219"/>
    <w:basedOn w:val="1"/>
    <w:autoRedefine/>
    <w:qFormat/>
    <w:uiPriority w:val="0"/>
    <w:pPr>
      <w:widowControl/>
      <w:spacing w:before="100" w:after="100" w:line="360" w:lineRule="auto"/>
      <w:jc w:val="left"/>
      <w:textAlignment w:val="center"/>
    </w:pPr>
    <w:rPr>
      <w:rFonts w:ascii="Arial Unicode MS" w:hAnsi="Arial Unicode MS" w:eastAsia="Arial Unicode MS"/>
      <w:kern w:val="0"/>
      <w:sz w:val="20"/>
      <w:szCs w:val="20"/>
    </w:rPr>
  </w:style>
  <w:style w:type="paragraph" w:customStyle="1" w:styleId="222">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223">
    <w:name w:val="样式 标题 3"/>
    <w:basedOn w:val="4"/>
    <w:qFormat/>
    <w:uiPriority w:val="0"/>
    <w:pPr>
      <w:tabs>
        <w:tab w:val="left" w:pos="1000"/>
      </w:tabs>
      <w:adjustRightInd w:val="0"/>
      <w:snapToGrid w:val="0"/>
      <w:spacing w:before="240" w:after="0" w:line="360" w:lineRule="auto"/>
      <w:ind w:firstLine="209" w:firstLineChars="87"/>
    </w:pPr>
    <w:rPr>
      <w:rFonts w:eastAsia="黑体"/>
      <w:bCs w:val="0"/>
      <w:color w:val="000000"/>
      <w:sz w:val="28"/>
      <w:szCs w:val="20"/>
    </w:rPr>
  </w:style>
  <w:style w:type="paragraph" w:customStyle="1" w:styleId="224">
    <w:name w:val="xl1253"/>
    <w:basedOn w:val="1"/>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25">
    <w:name w:val="正文文本缩进1"/>
    <w:basedOn w:val="1"/>
    <w:autoRedefine/>
    <w:qFormat/>
    <w:uiPriority w:val="0"/>
    <w:pPr>
      <w:spacing w:after="120"/>
      <w:ind w:left="420" w:leftChars="200"/>
    </w:pPr>
    <w:rPr>
      <w:sz w:val="24"/>
      <w:szCs w:val="21"/>
    </w:rPr>
  </w:style>
  <w:style w:type="paragraph" w:customStyle="1" w:styleId="226">
    <w:name w:val="xl144"/>
    <w:basedOn w:val="1"/>
    <w:autoRedefine/>
    <w:qFormat/>
    <w:uiPriority w:val="0"/>
    <w:pPr>
      <w:widowControl/>
      <w:pBdr>
        <w:top w:val="single" w:color="auto" w:sz="8" w:space="0"/>
        <w:left w:val="single" w:color="auto" w:sz="4" w:space="0"/>
        <w:bottom w:val="single" w:color="auto" w:sz="4" w:space="0"/>
        <w:right w:val="single" w:color="auto" w:sz="8" w:space="0"/>
      </w:pBdr>
      <w:spacing w:before="100" w:after="100" w:line="360" w:lineRule="auto"/>
      <w:jc w:val="center"/>
    </w:pPr>
    <w:rPr>
      <w:rFonts w:ascii="宋体" w:hAnsi="宋体"/>
      <w:kern w:val="0"/>
      <w:sz w:val="20"/>
      <w:szCs w:val="20"/>
    </w:rPr>
  </w:style>
  <w:style w:type="paragraph" w:customStyle="1" w:styleId="227">
    <w:name w:val="xl1217"/>
    <w:basedOn w:val="1"/>
    <w:autoRedefine/>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228">
    <w:name w:val="1."/>
    <w:basedOn w:val="1"/>
    <w:autoRedefine/>
    <w:qFormat/>
    <w:uiPriority w:val="0"/>
    <w:pPr>
      <w:widowControl/>
      <w:numPr>
        <w:ilvl w:val="5"/>
        <w:numId w:val="8"/>
      </w:numPr>
      <w:tabs>
        <w:tab w:val="clear" w:pos="480"/>
      </w:tabs>
      <w:spacing w:before="120" w:after="120" w:line="264" w:lineRule="auto"/>
      <w:ind w:left="150" w:leftChars="150" w:firstLine="5" w:firstLineChars="5"/>
      <w:jc w:val="center"/>
    </w:pPr>
    <w:rPr>
      <w:rFonts w:ascii="宋体" w:hAnsi="宋体"/>
      <w:sz w:val="22"/>
      <w:szCs w:val="20"/>
    </w:rPr>
  </w:style>
  <w:style w:type="paragraph" w:customStyle="1" w:styleId="229">
    <w:name w:val="xl59"/>
    <w:basedOn w:val="1"/>
    <w:autoRedefine/>
    <w:qFormat/>
    <w:uiPriority w:val="0"/>
    <w:pPr>
      <w:widowControl/>
      <w:pBdr>
        <w:top w:val="single" w:color="auto" w:sz="4" w:space="0"/>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230">
    <w:name w:val="xl72"/>
    <w:basedOn w:val="1"/>
    <w:autoRedefine/>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231">
    <w:name w:val="xl1264"/>
    <w:basedOn w:val="1"/>
    <w:autoRedefine/>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3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3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方正楷体_GB2312" w:hAnsi="方正楷体_GB2312" w:cs="Arial"/>
      <w:kern w:val="0"/>
      <w:sz w:val="20"/>
      <w:szCs w:val="20"/>
    </w:rPr>
  </w:style>
  <w:style w:type="paragraph" w:customStyle="1" w:styleId="234">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235">
    <w:name w:val="1)"/>
    <w:basedOn w:val="1"/>
    <w:autoRedefine/>
    <w:qFormat/>
    <w:uiPriority w:val="0"/>
    <w:pPr>
      <w:widowControl/>
      <w:numPr>
        <w:ilvl w:val="6"/>
        <w:numId w:val="8"/>
      </w:numPr>
      <w:tabs>
        <w:tab w:val="clear" w:pos="480"/>
      </w:tabs>
      <w:spacing w:before="120" w:after="120" w:line="264" w:lineRule="auto"/>
      <w:ind w:left="150" w:leftChars="150" w:firstLine="5" w:firstLineChars="5"/>
      <w:jc w:val="center"/>
    </w:pPr>
    <w:rPr>
      <w:rFonts w:ascii="宋体" w:hAnsi="宋体"/>
      <w:sz w:val="22"/>
      <w:szCs w:val="20"/>
    </w:rPr>
  </w:style>
  <w:style w:type="paragraph" w:customStyle="1" w:styleId="236">
    <w:name w:val="font6"/>
    <w:basedOn w:val="1"/>
    <w:qFormat/>
    <w:uiPriority w:val="0"/>
    <w:pPr>
      <w:widowControl/>
      <w:spacing w:before="100" w:beforeAutospacing="1" w:after="100" w:afterAutospacing="1"/>
      <w:jc w:val="left"/>
    </w:pPr>
    <w:rPr>
      <w:kern w:val="0"/>
      <w:sz w:val="18"/>
      <w:szCs w:val="20"/>
    </w:rPr>
  </w:style>
  <w:style w:type="paragraph" w:customStyle="1" w:styleId="237">
    <w:name w:val="样式4"/>
    <w:basedOn w:val="1"/>
    <w:qFormat/>
    <w:uiPriority w:val="0"/>
    <w:pPr>
      <w:tabs>
        <w:tab w:val="left" w:pos="420"/>
        <w:tab w:val="left" w:pos="900"/>
      </w:tabs>
      <w:spacing w:line="360" w:lineRule="auto"/>
      <w:ind w:left="420" w:hanging="420"/>
    </w:pPr>
    <w:rPr>
      <w:sz w:val="24"/>
    </w:rPr>
  </w:style>
  <w:style w:type="paragraph" w:customStyle="1" w:styleId="238">
    <w:name w:val="xl70"/>
    <w:basedOn w:val="1"/>
    <w:autoRedefine/>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39">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szCs w:val="20"/>
    </w:rPr>
  </w:style>
  <w:style w:type="paragraph" w:customStyle="1" w:styleId="240">
    <w:name w:val="xl116"/>
    <w:basedOn w:val="1"/>
    <w:autoRedefine/>
    <w:qFormat/>
    <w:uiPriority w:val="0"/>
    <w:pPr>
      <w:widowControl/>
      <w:pBdr>
        <w:left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41">
    <w:name w:val="样式 宋体 行距: 最小值 30 磅"/>
    <w:basedOn w:val="1"/>
    <w:qFormat/>
    <w:uiPriority w:val="0"/>
    <w:pPr>
      <w:numPr>
        <w:ilvl w:val="2"/>
        <w:numId w:val="5"/>
      </w:numPr>
      <w:adjustRightInd w:val="0"/>
      <w:spacing w:line="360" w:lineRule="auto"/>
      <w:textAlignment w:val="baseline"/>
    </w:pPr>
    <w:rPr>
      <w:rFonts w:ascii="宋体" w:hAnsi="宋体"/>
      <w:sz w:val="24"/>
    </w:rPr>
  </w:style>
  <w:style w:type="paragraph" w:customStyle="1" w:styleId="242">
    <w:name w:val="xl99"/>
    <w:basedOn w:val="1"/>
    <w:autoRedefine/>
    <w:qFormat/>
    <w:uiPriority w:val="0"/>
    <w:pPr>
      <w:widowControl/>
      <w:pBdr>
        <w:top w:val="single" w:color="auto" w:sz="4"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43">
    <w:name w:val="xl1258"/>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44">
    <w:name w:val="说明标题3"/>
    <w:basedOn w:val="1"/>
    <w:autoRedefine/>
    <w:qFormat/>
    <w:uiPriority w:val="0"/>
    <w:pPr>
      <w:numPr>
        <w:ilvl w:val="2"/>
        <w:numId w:val="10"/>
      </w:numPr>
      <w:tabs>
        <w:tab w:val="clear" w:pos="2057"/>
      </w:tabs>
    </w:pPr>
    <w:rPr>
      <w:sz w:val="28"/>
      <w:szCs w:val="20"/>
    </w:rPr>
  </w:style>
  <w:style w:type="paragraph" w:customStyle="1" w:styleId="245">
    <w:name w:val="xl90"/>
    <w:basedOn w:val="1"/>
    <w:autoRedefine/>
    <w:qFormat/>
    <w:uiPriority w:val="0"/>
    <w:pPr>
      <w:widowControl/>
      <w:pBdr>
        <w:top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246">
    <w:name w:val="简单回函地址"/>
    <w:basedOn w:val="1"/>
    <w:autoRedefine/>
    <w:qFormat/>
    <w:uiPriority w:val="0"/>
    <w:rPr>
      <w:rFonts w:eastAsia="方正仿宋_GB2312"/>
      <w:sz w:val="32"/>
      <w:szCs w:val="20"/>
    </w:rPr>
  </w:style>
  <w:style w:type="paragraph" w:customStyle="1" w:styleId="247">
    <w:name w:val="xl50"/>
    <w:basedOn w:val="1"/>
    <w:autoRedefine/>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b/>
      <w:bCs/>
      <w:kern w:val="0"/>
      <w:sz w:val="20"/>
      <w:szCs w:val="20"/>
    </w:rPr>
  </w:style>
  <w:style w:type="paragraph" w:customStyle="1" w:styleId="248">
    <w:name w:val="xl1256"/>
    <w:basedOn w:val="1"/>
    <w:qFormat/>
    <w:uiPriority w:val="0"/>
    <w:pPr>
      <w:widowControl/>
      <w:pBdr>
        <w:left w:val="single" w:color="auto" w:sz="4" w:space="0"/>
        <w:bottom w:val="single" w:color="auto" w:sz="4" w:space="0"/>
      </w:pBdr>
      <w:spacing w:before="100" w:after="100" w:line="360" w:lineRule="auto"/>
      <w:jc w:val="left"/>
      <w:textAlignment w:val="center"/>
    </w:pPr>
    <w:rPr>
      <w:rFonts w:hint="eastAsia" w:ascii="宋体" w:hAnsi="宋体"/>
      <w:kern w:val="0"/>
      <w:sz w:val="20"/>
      <w:szCs w:val="20"/>
    </w:rPr>
  </w:style>
  <w:style w:type="paragraph" w:customStyle="1" w:styleId="249">
    <w:name w:val="xl46"/>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pPr>
    <w:rPr>
      <w:rFonts w:hint="eastAsia" w:ascii="华文细黑" w:hAnsi="华文细黑" w:eastAsia="华文细黑"/>
      <w:b/>
      <w:bCs/>
      <w:kern w:val="0"/>
      <w:sz w:val="20"/>
      <w:szCs w:val="20"/>
    </w:rPr>
  </w:style>
  <w:style w:type="paragraph" w:customStyle="1" w:styleId="250">
    <w:name w:val="xl1251"/>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ascii="Arial Unicode MS" w:hAnsi="Arial Unicode MS" w:eastAsia="Arial Unicode MS"/>
      <w:b/>
      <w:kern w:val="0"/>
      <w:sz w:val="20"/>
      <w:szCs w:val="20"/>
    </w:rPr>
  </w:style>
  <w:style w:type="paragraph" w:customStyle="1" w:styleId="251">
    <w:name w:val="表格文字"/>
    <w:autoRedefine/>
    <w:qFormat/>
    <w:uiPriority w:val="0"/>
    <w:pPr>
      <w:adjustRightInd w:val="0"/>
      <w:snapToGrid w:val="0"/>
      <w:spacing w:line="300" w:lineRule="auto"/>
      <w:jc w:val="center"/>
    </w:pPr>
    <w:rPr>
      <w:rFonts w:ascii="Arial Narrow" w:hAnsi="Arial Narrow" w:eastAsia="方正仿宋_GB2312" w:cs="Times New Roman"/>
      <w:sz w:val="24"/>
      <w:lang w:val="en-US" w:eastAsia="zh-CN" w:bidi="ar-SA"/>
    </w:rPr>
  </w:style>
  <w:style w:type="paragraph" w:customStyle="1" w:styleId="252">
    <w:name w:val="xl71"/>
    <w:basedOn w:val="1"/>
    <w:autoRedefine/>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kern w:val="0"/>
      <w:sz w:val="20"/>
      <w:szCs w:val="20"/>
    </w:rPr>
  </w:style>
  <w:style w:type="paragraph" w:customStyle="1" w:styleId="253">
    <w:name w:val="xl1226"/>
    <w:basedOn w:val="1"/>
    <w:autoRedefine/>
    <w:qFormat/>
    <w:uiPriority w:val="0"/>
    <w:pPr>
      <w:widowControl/>
      <w:pBdr>
        <w:top w:val="single" w:color="auto" w:sz="4" w:space="0"/>
        <w:left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54">
    <w:name w:val="xl1236"/>
    <w:basedOn w:val="1"/>
    <w:autoRedefine/>
    <w:qFormat/>
    <w:uiPriority w:val="0"/>
    <w:pPr>
      <w:widowControl/>
      <w:pBdr>
        <w:left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55">
    <w:name w:val="+▲"/>
    <w:basedOn w:val="92"/>
    <w:autoRedefine/>
    <w:qFormat/>
    <w:uiPriority w:val="0"/>
    <w:pPr>
      <w:numPr>
        <w:ilvl w:val="0"/>
        <w:numId w:val="11"/>
      </w:numPr>
      <w:tabs>
        <w:tab w:val="clear" w:pos="360"/>
      </w:tabs>
    </w:pPr>
  </w:style>
  <w:style w:type="paragraph" w:customStyle="1" w:styleId="256">
    <w:name w:val="内文正文"/>
    <w:basedOn w:val="1"/>
    <w:autoRedefine/>
    <w:qFormat/>
    <w:uiPriority w:val="0"/>
    <w:pPr>
      <w:adjustRightInd w:val="0"/>
      <w:snapToGrid w:val="0"/>
      <w:spacing w:line="400" w:lineRule="atLeast"/>
      <w:ind w:firstLine="420" w:firstLineChars="200"/>
    </w:pPr>
    <w:rPr>
      <w:rFonts w:ascii="宋体"/>
    </w:rPr>
  </w:style>
  <w:style w:type="paragraph" w:customStyle="1" w:styleId="257">
    <w:name w:val="xl1227"/>
    <w:basedOn w:val="1"/>
    <w:autoRedefine/>
    <w:qFormat/>
    <w:uiPriority w:val="0"/>
    <w:pPr>
      <w:widowControl/>
      <w:pBdr>
        <w:top w:val="single" w:color="auto" w:sz="4" w:space="0"/>
        <w:bottom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58">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259">
    <w:name w:val="xl93"/>
    <w:basedOn w:val="1"/>
    <w:autoRedefine/>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260">
    <w:name w:val="xl107"/>
    <w:basedOn w:val="1"/>
    <w:autoRedefine/>
    <w:qFormat/>
    <w:uiPriority w:val="0"/>
    <w:pPr>
      <w:widowControl/>
      <w:pBdr>
        <w:top w:val="single" w:color="auto" w:sz="4" w:space="0"/>
        <w:left w:val="single" w:color="auto" w:sz="8"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261">
    <w:name w:val="xl1241"/>
    <w:basedOn w:val="1"/>
    <w:autoRedefine/>
    <w:qFormat/>
    <w:uiPriority w:val="0"/>
    <w:pPr>
      <w:widowControl/>
      <w:pBdr>
        <w:left w:val="single" w:color="auto" w:sz="4" w:space="0"/>
        <w:bottom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262">
    <w:name w:val="正文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63">
    <w:name w:val="正文首缩"/>
    <w:basedOn w:val="1"/>
    <w:next w:val="5"/>
    <w:qFormat/>
    <w:uiPriority w:val="0"/>
    <w:pPr>
      <w:adjustRightInd w:val="0"/>
      <w:spacing w:line="324" w:lineRule="auto"/>
      <w:ind w:firstLine="425"/>
      <w:textAlignment w:val="baseline"/>
    </w:pPr>
    <w:rPr>
      <w:kern w:val="0"/>
      <w:sz w:val="28"/>
      <w:szCs w:val="20"/>
    </w:rPr>
  </w:style>
  <w:style w:type="paragraph" w:customStyle="1" w:styleId="264">
    <w:name w:val="默认段落字体 Para Char Char Char Char Char"/>
    <w:basedOn w:val="1"/>
    <w:autoRedefine/>
    <w:qFormat/>
    <w:uiPriority w:val="0"/>
  </w:style>
  <w:style w:type="paragraph" w:customStyle="1" w:styleId="265">
    <w:name w:val="F00_02"/>
    <w:basedOn w:val="1"/>
    <w:qFormat/>
    <w:uiPriority w:val="0"/>
    <w:pPr>
      <w:spacing w:before="120" w:line="0" w:lineRule="atLeast"/>
      <w:ind w:firstLine="562" w:firstLineChars="200"/>
    </w:pPr>
    <w:rPr>
      <w:rFonts w:eastAsia="方正仿宋_GB2312"/>
      <w:b/>
      <w:sz w:val="28"/>
      <w:szCs w:val="20"/>
    </w:rPr>
  </w:style>
  <w:style w:type="paragraph" w:customStyle="1" w:styleId="266">
    <w:name w:val="xl1254"/>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267">
    <w:name w:val="xl53"/>
    <w:basedOn w:val="1"/>
    <w:autoRedefine/>
    <w:qFormat/>
    <w:uiPriority w:val="0"/>
    <w:pPr>
      <w:widowControl/>
      <w:pBdr>
        <w:left w:val="single" w:color="auto" w:sz="4"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268">
    <w:name w:val="正文文字格式"/>
    <w:basedOn w:val="1"/>
    <w:qFormat/>
    <w:uiPriority w:val="0"/>
    <w:pPr>
      <w:spacing w:line="460" w:lineRule="exact"/>
      <w:ind w:firstLine="505"/>
      <w:jc w:val="left"/>
    </w:pPr>
    <w:rPr>
      <w:rFonts w:ascii="宋体"/>
      <w:kern w:val="24"/>
      <w:sz w:val="24"/>
      <w:szCs w:val="20"/>
    </w:rPr>
  </w:style>
  <w:style w:type="paragraph" w:customStyle="1" w:styleId="269">
    <w:name w:val="TOC 标题1"/>
    <w:basedOn w:val="2"/>
    <w:next w:val="1"/>
    <w:autoRedefine/>
    <w:qFormat/>
    <w:uiPriority w:val="0"/>
    <w:pPr>
      <w:keepNext w:val="0"/>
      <w:keepLines w:val="0"/>
      <w:widowControl/>
      <w:adjustRightInd/>
      <w:spacing w:before="480" w:after="0" w:line="276" w:lineRule="auto"/>
      <w:jc w:val="left"/>
      <w:outlineLvl w:val="9"/>
    </w:pPr>
    <w:rPr>
      <w:rFonts w:ascii="Cambria" w:hAnsi="Cambria"/>
      <w:b w:val="0"/>
      <w:color w:val="365F91"/>
      <w:kern w:val="0"/>
      <w:sz w:val="28"/>
      <w:szCs w:val="28"/>
    </w:rPr>
  </w:style>
  <w:style w:type="paragraph" w:customStyle="1" w:styleId="270">
    <w:name w:val="xl1233"/>
    <w:basedOn w:val="1"/>
    <w:qFormat/>
    <w:uiPriority w:val="0"/>
    <w:pPr>
      <w:widowControl/>
      <w:pBdr>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271">
    <w:name w:val="xl43"/>
    <w:basedOn w:val="1"/>
    <w:autoRedefine/>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kern w:val="0"/>
      <w:sz w:val="20"/>
      <w:szCs w:val="20"/>
    </w:rPr>
  </w:style>
  <w:style w:type="paragraph" w:customStyle="1" w:styleId="272">
    <w:name w:val="xl1266"/>
    <w:basedOn w:val="1"/>
    <w:autoRedefine/>
    <w:qFormat/>
    <w:uiPriority w:val="0"/>
    <w:pPr>
      <w:widowControl/>
      <w:pBdr>
        <w:top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73">
    <w:name w:val="xl139"/>
    <w:basedOn w:val="1"/>
    <w:autoRedefine/>
    <w:qFormat/>
    <w:uiPriority w:val="0"/>
    <w:pPr>
      <w:widowControl/>
      <w:pBdr>
        <w:top w:val="single" w:color="auto" w:sz="4" w:space="0"/>
        <w:left w:val="single" w:color="auto" w:sz="8"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274">
    <w:name w:val="标书标题3"/>
    <w:basedOn w:val="4"/>
    <w:autoRedefine/>
    <w:qFormat/>
    <w:uiPriority w:val="0"/>
    <w:pPr>
      <w:keepLines w:val="0"/>
      <w:widowControl/>
      <w:adjustRightInd w:val="0"/>
      <w:snapToGrid w:val="0"/>
      <w:spacing w:before="120" w:after="60" w:line="300" w:lineRule="auto"/>
      <w:jc w:val="left"/>
    </w:pPr>
    <w:rPr>
      <w:rFonts w:ascii="Arial Narrow" w:hAnsi="Arial Narrow" w:eastAsia="方正仿宋_GB2312"/>
      <w:b w:val="0"/>
      <w:bCs w:val="0"/>
      <w:color w:val="000000"/>
      <w:kern w:val="0"/>
      <w:sz w:val="28"/>
    </w:rPr>
  </w:style>
  <w:style w:type="paragraph" w:customStyle="1" w:styleId="275">
    <w:name w:val="xl76"/>
    <w:basedOn w:val="1"/>
    <w:autoRedefine/>
    <w:qFormat/>
    <w:uiPriority w:val="0"/>
    <w:pPr>
      <w:widowControl/>
      <w:pBdr>
        <w:top w:val="single" w:color="auto" w:sz="4" w:space="0"/>
        <w:left w:val="single" w:color="auto" w:sz="4"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76">
    <w:name w:val="项目符号1"/>
    <w:basedOn w:val="1"/>
    <w:autoRedefine/>
    <w:qFormat/>
    <w:uiPriority w:val="0"/>
    <w:pPr>
      <w:numPr>
        <w:ilvl w:val="1"/>
        <w:numId w:val="12"/>
      </w:numPr>
      <w:tabs>
        <w:tab w:val="clear" w:pos="1470"/>
      </w:tabs>
    </w:pPr>
    <w:rPr>
      <w:szCs w:val="20"/>
    </w:rPr>
  </w:style>
  <w:style w:type="paragraph" w:customStyle="1" w:styleId="277">
    <w:name w:val="xl64"/>
    <w:basedOn w:val="1"/>
    <w:autoRedefine/>
    <w:qFormat/>
    <w:uiPriority w:val="0"/>
    <w:pPr>
      <w:widowControl/>
      <w:pBdr>
        <w:left w:val="single" w:color="auto" w:sz="4" w:space="0"/>
        <w:right w:val="single" w:color="auto" w:sz="12" w:space="0"/>
      </w:pBdr>
      <w:spacing w:before="100" w:beforeAutospacing="1" w:after="100" w:afterAutospacing="1"/>
      <w:jc w:val="center"/>
      <w:textAlignment w:val="center"/>
    </w:pPr>
    <w:rPr>
      <w:b/>
      <w:bCs/>
      <w:kern w:val="0"/>
      <w:sz w:val="24"/>
    </w:rPr>
  </w:style>
  <w:style w:type="paragraph" w:customStyle="1" w:styleId="278">
    <w:name w:val="F00"/>
    <w:basedOn w:val="1"/>
    <w:qFormat/>
    <w:uiPriority w:val="0"/>
    <w:pPr>
      <w:spacing w:before="50" w:line="0" w:lineRule="atLeast"/>
      <w:ind w:firstLine="200" w:firstLineChars="200"/>
    </w:pPr>
    <w:rPr>
      <w:rFonts w:eastAsia="方正仿宋_GB2312"/>
      <w:kern w:val="21"/>
      <w:sz w:val="28"/>
      <w:szCs w:val="20"/>
    </w:rPr>
  </w:style>
  <w:style w:type="paragraph" w:customStyle="1" w:styleId="279">
    <w:name w:val="xl7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280">
    <w:name w:val="xl1220"/>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281">
    <w:name w:val="xl1218"/>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282">
    <w:name w:val="xl142"/>
    <w:basedOn w:val="1"/>
    <w:autoRedefine/>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283">
    <w:name w:val="+标题1"/>
    <w:basedOn w:val="2"/>
    <w:qFormat/>
    <w:uiPriority w:val="0"/>
    <w:pPr>
      <w:keepNext w:val="0"/>
      <w:keepLines w:val="0"/>
      <w:numPr>
        <w:ilvl w:val="0"/>
        <w:numId w:val="5"/>
      </w:numPr>
      <w:tabs>
        <w:tab w:val="clear" w:pos="714"/>
      </w:tabs>
      <w:snapToGrid w:val="0"/>
      <w:spacing w:before="0" w:after="0" w:line="360" w:lineRule="auto"/>
      <w:jc w:val="left"/>
    </w:pPr>
    <w:rPr>
      <w:rFonts w:ascii="黑体" w:hAnsi="Arial" w:eastAsia="黑体"/>
      <w:bCs w:val="0"/>
      <w:sz w:val="32"/>
      <w:szCs w:val="20"/>
    </w:rPr>
  </w:style>
  <w:style w:type="paragraph" w:customStyle="1" w:styleId="284">
    <w:name w:val="d"/>
    <w:basedOn w:val="1"/>
    <w:qFormat/>
    <w:uiPriority w:val="0"/>
    <w:pPr>
      <w:adjustRightInd w:val="0"/>
      <w:snapToGrid w:val="0"/>
      <w:spacing w:line="360" w:lineRule="auto"/>
    </w:pPr>
    <w:rPr>
      <w:rFonts w:ascii="宋体" w:hAnsi="宋体"/>
      <w:b/>
      <w:snapToGrid w:val="0"/>
      <w:color w:val="000000"/>
      <w:kern w:val="0"/>
      <w:szCs w:val="20"/>
    </w:rPr>
  </w:style>
  <w:style w:type="paragraph" w:customStyle="1" w:styleId="285">
    <w:name w:val="xl138"/>
    <w:basedOn w:val="1"/>
    <w:qFormat/>
    <w:uiPriority w:val="0"/>
    <w:pPr>
      <w:widowControl/>
      <w:pBdr>
        <w:left w:val="single" w:color="auto" w:sz="8" w:space="0"/>
        <w:bottom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286">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287">
    <w:name w:val="xl27"/>
    <w:basedOn w:val="1"/>
    <w:qFormat/>
    <w:uiPriority w:val="0"/>
    <w:pPr>
      <w:widowControl/>
      <w:pBdr>
        <w:bottom w:val="single" w:color="auto" w:sz="4" w:space="0"/>
      </w:pBdr>
      <w:spacing w:before="100" w:beforeAutospacing="1" w:after="100" w:afterAutospacing="1"/>
      <w:jc w:val="center"/>
      <w:textAlignment w:val="center"/>
    </w:pPr>
    <w:rPr>
      <w:rFonts w:ascii="方正楷体_GB2312" w:hAnsi="宋体" w:eastAsia="方正楷体_GB2312"/>
      <w:kern w:val="0"/>
      <w:sz w:val="36"/>
      <w:szCs w:val="20"/>
    </w:rPr>
  </w:style>
  <w:style w:type="paragraph" w:customStyle="1" w:styleId="288">
    <w:name w:val="xl1234"/>
    <w:basedOn w:val="1"/>
    <w:autoRedefine/>
    <w:qFormat/>
    <w:uiPriority w:val="0"/>
    <w:pPr>
      <w:widowControl/>
      <w:pBdr>
        <w:top w:val="single" w:color="auto" w:sz="4" w:space="0"/>
        <w:left w:val="single" w:color="auto" w:sz="4" w:space="0"/>
        <w:righ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289">
    <w:name w:val="xl84"/>
    <w:basedOn w:val="1"/>
    <w:qFormat/>
    <w:uiPriority w:val="0"/>
    <w:pPr>
      <w:widowControl/>
      <w:pBdr>
        <w:top w:val="single" w:color="auto" w:sz="4" w:space="0"/>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290">
    <w:name w:val="xl4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hint="eastAsia" w:ascii="华文细黑" w:hAnsi="华文细黑" w:eastAsia="华文细黑"/>
      <w:b/>
      <w:bCs/>
      <w:color w:val="000000"/>
      <w:kern w:val="0"/>
      <w:sz w:val="20"/>
      <w:szCs w:val="20"/>
    </w:rPr>
  </w:style>
  <w:style w:type="paragraph" w:customStyle="1" w:styleId="291">
    <w:name w:val="Char1 Char Char Char Char Char Char"/>
    <w:basedOn w:val="1"/>
    <w:qFormat/>
    <w:uiPriority w:val="0"/>
    <w:pPr>
      <w:widowControl/>
      <w:jc w:val="left"/>
    </w:pPr>
    <w:rPr>
      <w:rFonts w:ascii="Tahoma" w:hAnsi="Tahoma" w:cs="宋体"/>
      <w:kern w:val="0"/>
      <w:sz w:val="24"/>
    </w:rPr>
  </w:style>
  <w:style w:type="paragraph" w:customStyle="1" w:styleId="292">
    <w:name w:val="+标题2"/>
    <w:basedOn w:val="3"/>
    <w:qFormat/>
    <w:uiPriority w:val="0"/>
    <w:pPr>
      <w:keepNext w:val="0"/>
      <w:keepLines w:val="0"/>
      <w:adjustRightInd/>
      <w:snapToGrid/>
      <w:spacing w:line="240" w:lineRule="auto"/>
      <w:jc w:val="both"/>
    </w:pPr>
    <w:rPr>
      <w:rFonts w:ascii="Arial" w:eastAsia="黑体"/>
      <w:color w:val="auto"/>
      <w:spacing w:val="2"/>
      <w:kern w:val="11"/>
      <w:sz w:val="21"/>
      <w:szCs w:val="20"/>
    </w:rPr>
  </w:style>
  <w:style w:type="paragraph" w:customStyle="1" w:styleId="293">
    <w:name w:val="xl91"/>
    <w:basedOn w:val="1"/>
    <w:autoRedefine/>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294">
    <w:name w:val="缺省文本"/>
    <w:basedOn w:val="1"/>
    <w:autoRedefine/>
    <w:qFormat/>
    <w:uiPriority w:val="0"/>
    <w:pPr>
      <w:numPr>
        <w:ilvl w:val="2"/>
        <w:numId w:val="13"/>
      </w:numPr>
      <w:autoSpaceDE w:val="0"/>
      <w:autoSpaceDN w:val="0"/>
      <w:adjustRightInd w:val="0"/>
      <w:spacing w:line="360" w:lineRule="auto"/>
      <w:jc w:val="left"/>
    </w:pPr>
    <w:rPr>
      <w:kern w:val="0"/>
      <w:sz w:val="24"/>
      <w:szCs w:val="20"/>
    </w:rPr>
  </w:style>
  <w:style w:type="paragraph" w:customStyle="1" w:styleId="295">
    <w:name w:val="xl1262"/>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296">
    <w:name w:val="xl1249"/>
    <w:basedOn w:val="1"/>
    <w:autoRedefine/>
    <w:qFormat/>
    <w:uiPriority w:val="0"/>
    <w:pPr>
      <w:widowControl/>
      <w:pBdr>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297">
    <w:name w:val="xl81"/>
    <w:basedOn w:val="1"/>
    <w:autoRedefine/>
    <w:qFormat/>
    <w:uiPriority w:val="0"/>
    <w:pPr>
      <w:widowControl/>
      <w:pBdr>
        <w:top w:val="single" w:color="auto" w:sz="4" w:space="0"/>
        <w:left w:val="single" w:color="auto" w:sz="4" w:space="0"/>
        <w:bottom w:val="single" w:color="auto" w:sz="8" w:space="0"/>
      </w:pBdr>
      <w:spacing w:before="100" w:after="100" w:line="360" w:lineRule="auto"/>
      <w:jc w:val="left"/>
      <w:textAlignment w:val="center"/>
    </w:pPr>
    <w:rPr>
      <w:rFonts w:ascii="宋体" w:hAnsi="宋体"/>
      <w:kern w:val="0"/>
      <w:sz w:val="20"/>
      <w:szCs w:val="20"/>
    </w:rPr>
  </w:style>
  <w:style w:type="paragraph" w:customStyle="1" w:styleId="298">
    <w:name w:val="xl143"/>
    <w:basedOn w:val="1"/>
    <w:autoRedefine/>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299">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0">
    <w:name w:val="标准段落"/>
    <w:basedOn w:val="1"/>
    <w:autoRedefine/>
    <w:qFormat/>
    <w:uiPriority w:val="0"/>
    <w:pPr>
      <w:topLinePunct/>
      <w:autoSpaceDE w:val="0"/>
      <w:autoSpaceDN w:val="0"/>
      <w:spacing w:line="360" w:lineRule="auto"/>
      <w:ind w:firstLine="480" w:firstLineChars="150"/>
    </w:pPr>
    <w:rPr>
      <w:rFonts w:ascii="宋体" w:hAnsi="宋体" w:cs="宋体"/>
      <w:kern w:val="0"/>
      <w:sz w:val="32"/>
      <w:szCs w:val="32"/>
      <w:lang w:bidi="th-TH"/>
    </w:rPr>
  </w:style>
  <w:style w:type="paragraph" w:customStyle="1" w:styleId="301">
    <w:name w:val="xl1261"/>
    <w:basedOn w:val="1"/>
    <w:qFormat/>
    <w:uiPriority w:val="0"/>
    <w:pPr>
      <w:widowControl/>
      <w:pBdr>
        <w:top w:val="single" w:color="auto" w:sz="4" w:space="0"/>
        <w:bottom w:val="single" w:color="auto" w:sz="4" w:space="0"/>
      </w:pBdr>
      <w:spacing w:before="100" w:after="100" w:line="360" w:lineRule="auto"/>
      <w:jc w:val="right"/>
      <w:textAlignment w:val="center"/>
    </w:pPr>
    <w:rPr>
      <w:rFonts w:ascii="Arial Unicode MS" w:hAnsi="Arial Unicode MS" w:eastAsia="Arial Unicode MS"/>
      <w:kern w:val="0"/>
      <w:sz w:val="20"/>
      <w:szCs w:val="20"/>
    </w:rPr>
  </w:style>
  <w:style w:type="paragraph" w:customStyle="1" w:styleId="302">
    <w:name w:val="xl124"/>
    <w:basedOn w:val="1"/>
    <w:autoRedefine/>
    <w:qFormat/>
    <w:uiPriority w:val="0"/>
    <w:pPr>
      <w:widowControl/>
      <w:pBdr>
        <w:top w:val="single" w:color="auto" w:sz="4" w:space="0"/>
        <w:left w:val="single" w:color="auto" w:sz="8" w:space="0"/>
        <w:bottom w:val="single" w:color="auto" w:sz="4" w:space="0"/>
        <w:right w:val="single" w:color="auto" w:sz="8" w:space="0"/>
      </w:pBdr>
      <w:spacing w:before="100" w:after="100" w:line="360" w:lineRule="auto"/>
      <w:jc w:val="left"/>
    </w:pPr>
    <w:rPr>
      <w:rFonts w:ascii="宋体" w:hAnsi="宋体"/>
      <w:kern w:val="0"/>
      <w:sz w:val="24"/>
      <w:szCs w:val="20"/>
    </w:rPr>
  </w:style>
  <w:style w:type="paragraph" w:customStyle="1" w:styleId="303">
    <w:name w:val="xl1243"/>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b/>
      <w:kern w:val="0"/>
      <w:sz w:val="20"/>
      <w:szCs w:val="20"/>
    </w:rPr>
  </w:style>
  <w:style w:type="paragraph" w:customStyle="1" w:styleId="304">
    <w:name w:val="xl45"/>
    <w:basedOn w:val="1"/>
    <w:autoRedefine/>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hint="eastAsia" w:ascii="华文细黑" w:hAnsi="华文细黑" w:eastAsia="华文细黑"/>
      <w:b/>
      <w:bCs/>
      <w:kern w:val="0"/>
      <w:sz w:val="20"/>
      <w:szCs w:val="20"/>
    </w:rPr>
  </w:style>
  <w:style w:type="paragraph" w:customStyle="1" w:styleId="305">
    <w:name w:val="标书正文（编号）"/>
    <w:basedOn w:val="23"/>
    <w:autoRedefine/>
    <w:qFormat/>
    <w:uiPriority w:val="0"/>
    <w:pPr>
      <w:numPr>
        <w:ilvl w:val="1"/>
        <w:numId w:val="14"/>
      </w:numPr>
      <w:tabs>
        <w:tab w:val="clear" w:pos="1320"/>
      </w:tabs>
      <w:snapToGrid w:val="0"/>
      <w:spacing w:line="460" w:lineRule="exact"/>
      <w:jc w:val="both"/>
    </w:pPr>
    <w:rPr>
      <w:rFonts w:eastAsia="方正仿宋_GB2312"/>
      <w:color w:val="000000"/>
    </w:rPr>
  </w:style>
  <w:style w:type="paragraph" w:customStyle="1" w:styleId="306">
    <w:name w:val="xl87"/>
    <w:basedOn w:val="1"/>
    <w:autoRedefine/>
    <w:qFormat/>
    <w:uiPriority w:val="0"/>
    <w:pPr>
      <w:widowControl/>
      <w:pBdr>
        <w:top w:val="single" w:color="auto" w:sz="4" w:space="0"/>
        <w:left w:val="single" w:color="auto" w:sz="4"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307">
    <w:name w:val="Char Char Char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308">
    <w:name w:val="xl49"/>
    <w:basedOn w:val="1"/>
    <w:autoRedefine/>
    <w:qFormat/>
    <w:uiPriority w:val="0"/>
    <w:pPr>
      <w:widowControl/>
      <w:pBdr>
        <w:top w:val="single" w:color="auto" w:sz="4" w:space="0"/>
        <w:left w:val="single" w:color="auto" w:sz="4" w:space="0"/>
        <w:bottom w:val="single" w:color="auto" w:sz="4" w:space="0"/>
        <w:right w:val="single" w:color="auto" w:sz="12" w:space="0"/>
      </w:pBdr>
      <w:shd w:val="clear" w:color="auto" w:fill="666699"/>
      <w:spacing w:before="100" w:beforeAutospacing="1" w:after="100" w:afterAutospacing="1"/>
      <w:jc w:val="center"/>
      <w:textAlignment w:val="center"/>
    </w:pPr>
    <w:rPr>
      <w:b/>
      <w:bCs/>
      <w:color w:val="FFFFFF"/>
      <w:kern w:val="0"/>
      <w:sz w:val="24"/>
    </w:rPr>
  </w:style>
  <w:style w:type="paragraph" w:customStyle="1" w:styleId="309">
    <w:name w:val="xl106"/>
    <w:basedOn w:val="1"/>
    <w:autoRedefine/>
    <w:qFormat/>
    <w:uiPriority w:val="0"/>
    <w:pPr>
      <w:widowControl/>
      <w:pBdr>
        <w:top w:val="single" w:color="auto" w:sz="8" w:space="0"/>
        <w:left w:val="single" w:color="auto" w:sz="8"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310">
    <w:name w:val="xl97"/>
    <w:basedOn w:val="1"/>
    <w:autoRedefine/>
    <w:qFormat/>
    <w:uiPriority w:val="0"/>
    <w:pPr>
      <w:widowControl/>
      <w:pBdr>
        <w:top w:val="single" w:color="auto" w:sz="4" w:space="0"/>
        <w:bottom w:val="single" w:color="auto" w:sz="8" w:space="0"/>
        <w:right w:val="single" w:color="auto" w:sz="4" w:space="0"/>
      </w:pBdr>
      <w:spacing w:before="100" w:after="100" w:line="360" w:lineRule="auto"/>
      <w:jc w:val="left"/>
      <w:textAlignment w:val="center"/>
    </w:pPr>
    <w:rPr>
      <w:kern w:val="0"/>
      <w:sz w:val="20"/>
      <w:szCs w:val="20"/>
    </w:rPr>
  </w:style>
  <w:style w:type="paragraph" w:customStyle="1" w:styleId="311">
    <w:name w:val="xl103"/>
    <w:basedOn w:val="1"/>
    <w:qFormat/>
    <w:uiPriority w:val="0"/>
    <w:pPr>
      <w:widowControl/>
      <w:pBdr>
        <w:top w:val="single" w:color="auto" w:sz="4" w:space="0"/>
        <w:left w:val="single" w:color="auto" w:sz="8" w:space="0"/>
        <w:bottom w:val="single" w:color="auto" w:sz="8" w:space="0"/>
        <w:right w:val="single" w:color="auto" w:sz="4" w:space="0"/>
      </w:pBdr>
      <w:spacing w:before="100" w:after="100" w:line="360" w:lineRule="auto"/>
      <w:jc w:val="left"/>
    </w:pPr>
    <w:rPr>
      <w:rFonts w:ascii="宋体" w:hAnsi="宋体"/>
      <w:kern w:val="0"/>
      <w:sz w:val="24"/>
      <w:szCs w:val="20"/>
    </w:rPr>
  </w:style>
  <w:style w:type="paragraph" w:customStyle="1" w:styleId="312">
    <w:name w:val="节"/>
    <w:basedOn w:val="3"/>
    <w:qFormat/>
    <w:uiPriority w:val="0"/>
    <w:pPr>
      <w:adjustRightInd/>
      <w:spacing w:before="160" w:after="160" w:line="720" w:lineRule="exact"/>
    </w:pPr>
    <w:rPr>
      <w:b w:val="0"/>
      <w:bCs/>
      <w:spacing w:val="14"/>
      <w:kern w:val="24"/>
      <w:szCs w:val="20"/>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314">
    <w:name w:val="xl140"/>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center"/>
    </w:pPr>
    <w:rPr>
      <w:rFonts w:ascii="宋体" w:hAnsi="宋体"/>
      <w:kern w:val="0"/>
      <w:sz w:val="20"/>
      <w:szCs w:val="20"/>
    </w:rPr>
  </w:style>
  <w:style w:type="paragraph" w:customStyle="1" w:styleId="315">
    <w:name w:val="xl119"/>
    <w:basedOn w:val="1"/>
    <w:autoRedefine/>
    <w:qFormat/>
    <w:uiPriority w:val="0"/>
    <w:pPr>
      <w:widowControl/>
      <w:spacing w:before="100" w:after="100" w:line="360" w:lineRule="auto"/>
      <w:jc w:val="left"/>
      <w:textAlignment w:val="center"/>
    </w:pPr>
    <w:rPr>
      <w:kern w:val="0"/>
      <w:sz w:val="20"/>
      <w:szCs w:val="20"/>
    </w:rPr>
  </w:style>
  <w:style w:type="paragraph" w:customStyle="1" w:styleId="316">
    <w:name w:val="默认段落字体 Para Char"/>
    <w:basedOn w:val="1"/>
    <w:qFormat/>
    <w:uiPriority w:val="0"/>
    <w:pPr>
      <w:spacing w:line="360" w:lineRule="auto"/>
    </w:pPr>
    <w:rPr>
      <w:rFonts w:ascii="Tahoma" w:hAnsi="Tahoma"/>
      <w:sz w:val="24"/>
      <w:szCs w:val="20"/>
    </w:rPr>
  </w:style>
  <w:style w:type="paragraph" w:customStyle="1" w:styleId="317">
    <w:name w:val="PP 行"/>
    <w:basedOn w:val="37"/>
    <w:autoRedefine/>
    <w:qFormat/>
    <w:uiPriority w:val="0"/>
  </w:style>
  <w:style w:type="paragraph" w:customStyle="1" w:styleId="318">
    <w:name w:val="xl130"/>
    <w:basedOn w:val="1"/>
    <w:qFormat/>
    <w:uiPriority w:val="0"/>
    <w:pPr>
      <w:widowControl/>
      <w:pBdr>
        <w:top w:val="single" w:color="auto" w:sz="8" w:space="0"/>
        <w:left w:val="single" w:color="auto" w:sz="8"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319">
    <w:name w:val="表格目录"/>
    <w:basedOn w:val="38"/>
    <w:next w:val="8"/>
    <w:qFormat/>
    <w:uiPriority w:val="0"/>
    <w:pPr>
      <w:tabs>
        <w:tab w:val="right" w:leader="dot" w:pos="8296"/>
      </w:tabs>
      <w:adjustRightInd w:val="0"/>
      <w:snapToGrid w:val="0"/>
      <w:spacing w:before="0" w:after="0" w:line="120" w:lineRule="atLeast"/>
      <w:jc w:val="center"/>
      <w:outlineLvl w:val="3"/>
    </w:pPr>
    <w:rPr>
      <w:rFonts w:ascii="宋体" w:hAnsi="宋体"/>
      <w:b w:val="0"/>
      <w:bCs w:val="0"/>
      <w:caps w:val="0"/>
      <w:sz w:val="28"/>
    </w:rPr>
  </w:style>
  <w:style w:type="paragraph" w:customStyle="1" w:styleId="320">
    <w:name w:val="xl110"/>
    <w:basedOn w:val="1"/>
    <w:autoRedefine/>
    <w:qFormat/>
    <w:uiPriority w:val="0"/>
    <w:pPr>
      <w:widowControl/>
      <w:pBdr>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21">
    <w:name w:val="样式 标题 4heading 4 + Indent: Left 0.5 in + 黑色"/>
    <w:basedOn w:val="5"/>
    <w:autoRedefine/>
    <w:qFormat/>
    <w:uiPriority w:val="0"/>
    <w:pPr>
      <w:spacing w:before="240" w:after="240"/>
    </w:pPr>
    <w:rPr>
      <w:rFonts w:ascii="Arial" w:hAnsi="Arial"/>
    </w:rPr>
  </w:style>
  <w:style w:type="paragraph" w:customStyle="1" w:styleId="322">
    <w:name w:val="正文-宋4行25"/>
    <w:basedOn w:val="1"/>
    <w:autoRedefine/>
    <w:qFormat/>
    <w:uiPriority w:val="0"/>
    <w:pPr>
      <w:adjustRightInd w:val="0"/>
      <w:snapToGrid w:val="0"/>
      <w:spacing w:line="500" w:lineRule="exact"/>
      <w:ind w:firstLine="567"/>
      <w:textAlignment w:val="baseline"/>
    </w:pPr>
    <w:rPr>
      <w:rFonts w:ascii="宋体"/>
      <w:kern w:val="0"/>
      <w:sz w:val="27"/>
      <w:szCs w:val="20"/>
    </w:rPr>
  </w:style>
  <w:style w:type="paragraph" w:customStyle="1" w:styleId="323">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324">
    <w:name w:val="xl58"/>
    <w:basedOn w:val="1"/>
    <w:qFormat/>
    <w:uiPriority w:val="0"/>
    <w:pPr>
      <w:widowControl/>
      <w:pBdr>
        <w:bottom w:val="single" w:color="auto" w:sz="4" w:space="0"/>
        <w:right w:val="single" w:color="auto" w:sz="12"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325">
    <w:name w:val="日期1"/>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326">
    <w:name w:val="xl101"/>
    <w:basedOn w:val="1"/>
    <w:qFormat/>
    <w:uiPriority w:val="0"/>
    <w:pPr>
      <w:widowControl/>
      <w:pBdr>
        <w:top w:val="single" w:color="auto" w:sz="4" w:space="0"/>
        <w:left w:val="single" w:color="auto" w:sz="4" w:space="0"/>
        <w:right w:val="single" w:color="auto" w:sz="8" w:space="0"/>
      </w:pBdr>
      <w:spacing w:before="100" w:after="100" w:line="360" w:lineRule="auto"/>
      <w:jc w:val="left"/>
      <w:textAlignment w:val="center"/>
    </w:pPr>
    <w:rPr>
      <w:kern w:val="0"/>
      <w:sz w:val="20"/>
      <w:szCs w:val="20"/>
    </w:rPr>
  </w:style>
  <w:style w:type="paragraph" w:customStyle="1" w:styleId="327">
    <w:name w:val="zmargin"/>
    <w:basedOn w:val="1"/>
    <w:qFormat/>
    <w:uiPriority w:val="0"/>
    <w:pPr>
      <w:widowControl/>
      <w:spacing w:before="150" w:after="30"/>
      <w:ind w:left="240" w:right="240"/>
      <w:jc w:val="left"/>
    </w:pPr>
    <w:rPr>
      <w:rFonts w:ascii="宋体" w:hAnsi="宋体"/>
      <w:kern w:val="0"/>
      <w:sz w:val="24"/>
    </w:rPr>
  </w:style>
  <w:style w:type="paragraph" w:customStyle="1" w:styleId="328">
    <w:name w:val="xl1248"/>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4"/>
      <w:szCs w:val="20"/>
    </w:rPr>
  </w:style>
  <w:style w:type="paragraph" w:customStyle="1" w:styleId="329">
    <w:name w:val="样式 样式 样式 标题 4 + 段前: 0.5 行 段后: 0.5 行 + 段前: 0.5 行 段后: 0.5 行 + 段前: ..."/>
    <w:basedOn w:val="1"/>
    <w:autoRedefine/>
    <w:qFormat/>
    <w:uiPriority w:val="0"/>
    <w:pPr>
      <w:widowControl/>
      <w:numPr>
        <w:ilvl w:val="3"/>
        <w:numId w:val="6"/>
      </w:numPr>
      <w:tabs>
        <w:tab w:val="clear" w:pos="1680"/>
      </w:tabs>
      <w:spacing w:before="156" w:after="156" w:line="360" w:lineRule="auto"/>
    </w:pPr>
    <w:rPr>
      <w:rFonts w:eastAsia="黑体"/>
      <w:b/>
      <w:sz w:val="28"/>
      <w:szCs w:val="20"/>
    </w:rPr>
  </w:style>
  <w:style w:type="paragraph" w:customStyle="1" w:styleId="330">
    <w:name w:val="xl4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hint="eastAsia" w:ascii="华文细黑" w:hAnsi="华文细黑" w:eastAsia="华文细黑"/>
      <w:b/>
      <w:bCs/>
      <w:color w:val="333399"/>
      <w:kern w:val="0"/>
      <w:sz w:val="20"/>
      <w:szCs w:val="20"/>
    </w:rPr>
  </w:style>
  <w:style w:type="paragraph" w:customStyle="1" w:styleId="331">
    <w:name w:val="首缩"/>
    <w:basedOn w:val="1"/>
    <w:autoRedefine/>
    <w:qFormat/>
    <w:uiPriority w:val="0"/>
    <w:pPr>
      <w:adjustRightInd w:val="0"/>
      <w:spacing w:line="312" w:lineRule="atLeast"/>
      <w:ind w:firstLine="454"/>
    </w:pPr>
    <w:rPr>
      <w:kern w:val="0"/>
      <w:sz w:val="18"/>
    </w:rPr>
  </w:style>
  <w:style w:type="paragraph" w:customStyle="1" w:styleId="332">
    <w:name w:val="正文段"/>
    <w:basedOn w:val="1"/>
    <w:qFormat/>
    <w:uiPriority w:val="0"/>
    <w:pPr>
      <w:widowControl/>
      <w:snapToGrid w:val="0"/>
      <w:spacing w:afterLines="50"/>
      <w:ind w:firstLine="200" w:firstLineChars="200"/>
    </w:pPr>
    <w:rPr>
      <w:rFonts w:ascii="Arial" w:hAnsi="Arial" w:cs="Arial"/>
      <w:kern w:val="0"/>
      <w:sz w:val="24"/>
      <w:szCs w:val="20"/>
    </w:rPr>
  </w:style>
  <w:style w:type="paragraph" w:customStyle="1" w:styleId="333">
    <w:name w:val="xl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334">
    <w:name w:val="样式1"/>
    <w:basedOn w:val="5"/>
    <w:autoRedefine/>
    <w:qFormat/>
    <w:uiPriority w:val="0"/>
    <w:pPr>
      <w:adjustRightInd w:val="0"/>
      <w:spacing w:before="120" w:after="0" w:line="360" w:lineRule="auto"/>
      <w:ind w:firstLine="560"/>
      <w:jc w:val="both"/>
    </w:pPr>
    <w:rPr>
      <w:rFonts w:ascii="Times New Roman" w:hAnsi="Times New Roman"/>
      <w:color w:val="auto"/>
      <w:spacing w:val="0"/>
      <w:kern w:val="2"/>
      <w:sz w:val="28"/>
      <w:szCs w:val="20"/>
    </w:rPr>
  </w:style>
  <w:style w:type="paragraph" w:customStyle="1" w:styleId="335">
    <w:name w:val="xl22"/>
    <w:basedOn w:val="1"/>
    <w:autoRedefine/>
    <w:qFormat/>
    <w:uiPriority w:val="0"/>
    <w:pPr>
      <w:widowControl/>
      <w:pBdr>
        <w:top w:val="single" w:color="auto" w:sz="4" w:space="0"/>
        <w:left w:val="single" w:color="auto" w:sz="4" w:space="0"/>
        <w:bottom w:val="single" w:color="auto" w:sz="4" w:space="0"/>
        <w:right w:val="double" w:color="auto" w:sz="6" w:space="0"/>
      </w:pBdr>
      <w:spacing w:before="100" w:after="100" w:line="360" w:lineRule="auto"/>
      <w:jc w:val="left"/>
    </w:pPr>
    <w:rPr>
      <w:rFonts w:ascii="Arial Unicode MS" w:hAnsi="Arial Unicode MS" w:eastAsia="Arial Unicode MS"/>
      <w:kern w:val="0"/>
      <w:sz w:val="24"/>
      <w:szCs w:val="20"/>
    </w:rPr>
  </w:style>
  <w:style w:type="paragraph" w:customStyle="1" w:styleId="336">
    <w:name w:val="xl132"/>
    <w:basedOn w:val="1"/>
    <w:autoRedefine/>
    <w:qFormat/>
    <w:uiPriority w:val="0"/>
    <w:pPr>
      <w:widowControl/>
      <w:pBdr>
        <w:top w:val="single" w:color="auto" w:sz="8" w:space="0"/>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337">
    <w:name w:val="font10"/>
    <w:basedOn w:val="1"/>
    <w:autoRedefine/>
    <w:qFormat/>
    <w:uiPriority w:val="0"/>
    <w:pPr>
      <w:widowControl/>
      <w:spacing w:before="100" w:after="100" w:line="360" w:lineRule="auto"/>
      <w:jc w:val="left"/>
    </w:pPr>
    <w:rPr>
      <w:rFonts w:hint="eastAsia" w:ascii="楷体" w:hAnsi="Arial Unicode MS" w:eastAsia="楷体"/>
      <w:color w:val="FF0000"/>
      <w:kern w:val="0"/>
      <w:sz w:val="20"/>
      <w:szCs w:val="20"/>
    </w:rPr>
  </w:style>
  <w:style w:type="paragraph" w:customStyle="1" w:styleId="338">
    <w:name w:val="xl121"/>
    <w:basedOn w:val="1"/>
    <w:autoRedefine/>
    <w:qFormat/>
    <w:uiPriority w:val="0"/>
    <w:pPr>
      <w:widowControl/>
      <w:pBdr>
        <w:top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39">
    <w:name w:val="_Style 791"/>
    <w:basedOn w:val="1"/>
    <w:autoRedefine/>
    <w:qFormat/>
    <w:uiPriority w:val="0"/>
    <w:pPr>
      <w:ind w:firstLine="200" w:firstLineChars="200"/>
    </w:pPr>
  </w:style>
  <w:style w:type="paragraph" w:customStyle="1" w:styleId="340">
    <w:name w:val="样式 样式 标题 2 + 段前: 0.5 行 段后: 0.5 行 + 段前: 0.5 行 段后: 0.5 行"/>
    <w:basedOn w:val="1"/>
    <w:qFormat/>
    <w:uiPriority w:val="0"/>
    <w:pPr>
      <w:widowControl/>
      <w:tabs>
        <w:tab w:val="left" w:pos="630"/>
      </w:tabs>
      <w:spacing w:before="156" w:after="156" w:line="360" w:lineRule="auto"/>
    </w:pPr>
    <w:rPr>
      <w:rFonts w:eastAsia="黑体"/>
      <w:b/>
      <w:sz w:val="28"/>
      <w:szCs w:val="20"/>
    </w:rPr>
  </w:style>
  <w:style w:type="paragraph" w:customStyle="1" w:styleId="341">
    <w:name w:val="xl1242"/>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right"/>
      <w:textAlignment w:val="center"/>
    </w:pPr>
    <w:rPr>
      <w:rFonts w:hint="eastAsia" w:ascii="宋体" w:hAnsi="宋体"/>
      <w:b/>
      <w:kern w:val="0"/>
      <w:sz w:val="24"/>
      <w:szCs w:val="20"/>
    </w:rPr>
  </w:style>
  <w:style w:type="paragraph" w:customStyle="1" w:styleId="342">
    <w:name w:val="样式 标题 2 + (符号) 宋体"/>
    <w:basedOn w:val="3"/>
    <w:qFormat/>
    <w:uiPriority w:val="0"/>
    <w:pPr>
      <w:autoSpaceDE w:val="0"/>
      <w:autoSpaceDN w:val="0"/>
      <w:snapToGrid/>
      <w:spacing w:before="100" w:after="100"/>
      <w:jc w:val="left"/>
      <w:textAlignment w:val="baseline"/>
    </w:pPr>
    <w:rPr>
      <w:color w:val="auto"/>
      <w:szCs w:val="20"/>
    </w:rPr>
  </w:style>
  <w:style w:type="paragraph" w:customStyle="1" w:styleId="343">
    <w:name w:val="xl1216"/>
    <w:basedOn w:val="1"/>
    <w:autoRedefine/>
    <w:qFormat/>
    <w:uiPriority w:val="0"/>
    <w:pPr>
      <w:widowControl/>
      <w:spacing w:before="100" w:after="100" w:line="360" w:lineRule="auto"/>
      <w:jc w:val="left"/>
      <w:textAlignment w:val="center"/>
    </w:pPr>
    <w:rPr>
      <w:rFonts w:hint="eastAsia" w:ascii="宋体" w:hAnsi="宋体"/>
      <w:b/>
      <w:kern w:val="0"/>
      <w:sz w:val="28"/>
      <w:szCs w:val="20"/>
    </w:rPr>
  </w:style>
  <w:style w:type="paragraph" w:customStyle="1" w:styleId="344">
    <w:name w:val="xl108"/>
    <w:basedOn w:val="1"/>
    <w:qFormat/>
    <w:uiPriority w:val="0"/>
    <w:pPr>
      <w:widowControl/>
      <w:pBdr>
        <w:top w:val="single" w:color="auto" w:sz="4" w:space="0"/>
        <w:left w:val="single" w:color="auto" w:sz="8" w:space="0"/>
        <w:bottom w:val="single" w:color="auto" w:sz="8" w:space="0"/>
      </w:pBdr>
      <w:spacing w:before="100" w:after="100" w:line="360" w:lineRule="auto"/>
      <w:jc w:val="left"/>
      <w:textAlignment w:val="center"/>
    </w:pPr>
    <w:rPr>
      <w:rFonts w:ascii="宋体" w:hAnsi="宋体"/>
      <w:kern w:val="0"/>
      <w:sz w:val="20"/>
      <w:szCs w:val="20"/>
    </w:rPr>
  </w:style>
  <w:style w:type="paragraph" w:customStyle="1" w:styleId="345">
    <w:name w:val="xl65"/>
    <w:basedOn w:val="1"/>
    <w:autoRedefine/>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b/>
      <w:bCs/>
      <w:kern w:val="0"/>
      <w:sz w:val="24"/>
    </w:rPr>
  </w:style>
  <w:style w:type="paragraph" w:customStyle="1" w:styleId="346">
    <w:name w:val="xl1257"/>
    <w:basedOn w:val="1"/>
    <w:qFormat/>
    <w:uiPriority w:val="0"/>
    <w:pPr>
      <w:widowControl/>
      <w:pBdr>
        <w:top w:val="single" w:color="auto" w:sz="4" w:space="0"/>
        <w:bottom w:val="single" w:color="auto" w:sz="4" w:space="0"/>
      </w:pBdr>
      <w:spacing w:before="100" w:after="100" w:line="360" w:lineRule="auto"/>
      <w:jc w:val="right"/>
      <w:textAlignment w:val="center"/>
    </w:pPr>
    <w:rPr>
      <w:rFonts w:ascii="Arial Unicode MS" w:hAnsi="Arial Unicode MS" w:eastAsia="Arial Unicode MS"/>
      <w:kern w:val="0"/>
      <w:sz w:val="20"/>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列表编号"/>
    <w:basedOn w:val="1"/>
    <w:qFormat/>
    <w:uiPriority w:val="0"/>
    <w:pPr>
      <w:tabs>
        <w:tab w:val="center" w:pos="4200"/>
        <w:tab w:val="right" w:pos="8400"/>
      </w:tabs>
      <w:spacing w:before="120" w:after="120" w:line="460" w:lineRule="exact"/>
      <w:jc w:val="center"/>
    </w:pPr>
    <w:rPr>
      <w:b/>
      <w:spacing w:val="6"/>
      <w:sz w:val="24"/>
      <w:szCs w:val="20"/>
    </w:rPr>
  </w:style>
  <w:style w:type="paragraph" w:customStyle="1" w:styleId="349">
    <w:name w:val="_Style 79"/>
    <w:basedOn w:val="1"/>
    <w:autoRedefine/>
    <w:qFormat/>
    <w:uiPriority w:val="0"/>
    <w:pPr>
      <w:ind w:firstLine="200" w:firstLineChars="200"/>
    </w:pPr>
  </w:style>
  <w:style w:type="paragraph" w:customStyle="1" w:styleId="350">
    <w:name w:val="Char2"/>
    <w:basedOn w:val="1"/>
    <w:autoRedefine/>
    <w:qFormat/>
    <w:uiPriority w:val="0"/>
    <w:rPr>
      <w:rFonts w:ascii="方正仿宋_GB2312" w:eastAsia="方正仿宋_GB2312"/>
      <w:b/>
      <w:sz w:val="32"/>
      <w:szCs w:val="32"/>
    </w:rPr>
  </w:style>
  <w:style w:type="paragraph" w:customStyle="1" w:styleId="351">
    <w:name w:val="xl1247"/>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352">
    <w:name w:val="xl1246"/>
    <w:basedOn w:val="1"/>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353">
    <w:name w:val="xl1223"/>
    <w:basedOn w:val="1"/>
    <w:qFormat/>
    <w:uiPriority w:val="0"/>
    <w:pPr>
      <w:widowControl/>
      <w:pBdr>
        <w:top w:val="single" w:color="auto" w:sz="4" w:space="0"/>
        <w:lef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54">
    <w:name w:val="xl122"/>
    <w:basedOn w:val="1"/>
    <w:autoRedefine/>
    <w:qFormat/>
    <w:uiPriority w:val="0"/>
    <w:pPr>
      <w:widowControl/>
      <w:pBdr>
        <w:top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55">
    <w:name w:val="xl57"/>
    <w:basedOn w:val="1"/>
    <w:autoRedefine/>
    <w:qFormat/>
    <w:uiPriority w:val="0"/>
    <w:pPr>
      <w:widowControl/>
      <w:pBdr>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356">
    <w:name w:val="xl85"/>
    <w:basedOn w:val="1"/>
    <w:qFormat/>
    <w:uiPriority w:val="0"/>
    <w:pPr>
      <w:widowControl/>
      <w:pBdr>
        <w:top w:val="single" w:color="auto" w:sz="4" w:space="0"/>
        <w:left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57">
    <w:name w:val="Char Char Char Char Char Char Char Char Char Char Char"/>
    <w:basedOn w:val="1"/>
    <w:qFormat/>
    <w:uiPriority w:val="0"/>
    <w:rPr>
      <w:rFonts w:ascii="Tahoma" w:hAnsi="Tahoma"/>
      <w:sz w:val="24"/>
      <w:szCs w:val="20"/>
    </w:rPr>
  </w:style>
  <w:style w:type="paragraph" w:customStyle="1" w:styleId="358">
    <w:name w:val="+正文 Char Char"/>
    <w:basedOn w:val="1"/>
    <w:autoRedefine/>
    <w:qFormat/>
    <w:uiPriority w:val="0"/>
    <w:pPr>
      <w:spacing w:line="360" w:lineRule="auto"/>
      <w:ind w:firstLine="200" w:firstLineChars="200"/>
    </w:pPr>
    <w:rPr>
      <w:sz w:val="24"/>
      <w:szCs w:val="20"/>
    </w:rPr>
  </w:style>
  <w:style w:type="paragraph" w:customStyle="1" w:styleId="359">
    <w:name w:val="xl78"/>
    <w:basedOn w:val="1"/>
    <w:autoRedefine/>
    <w:qFormat/>
    <w:uiPriority w:val="0"/>
    <w:pPr>
      <w:widowControl/>
      <w:pBdr>
        <w:top w:val="single" w:color="auto" w:sz="4" w:space="0"/>
        <w:left w:val="single" w:color="auto" w:sz="4"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60">
    <w:name w:val="xl89"/>
    <w:basedOn w:val="1"/>
    <w:autoRedefine/>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right"/>
      <w:textAlignment w:val="center"/>
    </w:pPr>
    <w:rPr>
      <w:rFonts w:ascii="宋体" w:hAnsi="宋体"/>
      <w:kern w:val="0"/>
      <w:sz w:val="20"/>
      <w:szCs w:val="20"/>
    </w:rPr>
  </w:style>
  <w:style w:type="paragraph" w:customStyle="1" w:styleId="361">
    <w:name w:val="Char Char Char Char"/>
    <w:basedOn w:val="1"/>
    <w:qFormat/>
    <w:uiPriority w:val="0"/>
    <w:pPr>
      <w:widowControl/>
      <w:spacing w:after="160" w:line="240" w:lineRule="exact"/>
      <w:jc w:val="left"/>
    </w:pPr>
  </w:style>
  <w:style w:type="paragraph" w:customStyle="1" w:styleId="362">
    <w:name w:val="xl1263"/>
    <w:basedOn w:val="1"/>
    <w:autoRedefine/>
    <w:qFormat/>
    <w:uiPriority w:val="0"/>
    <w:pPr>
      <w:widowControl/>
      <w:pBdr>
        <w:left w:val="single" w:color="auto" w:sz="4" w:space="0"/>
        <w:bottom w:val="single" w:color="auto" w:sz="4" w:space="0"/>
      </w:pBdr>
      <w:spacing w:before="100" w:after="100" w:line="360" w:lineRule="auto"/>
      <w:jc w:val="left"/>
      <w:textAlignment w:val="center"/>
    </w:pPr>
    <w:rPr>
      <w:rFonts w:ascii="Arial Unicode MS" w:hAnsi="Arial Unicode MS" w:eastAsia="Arial Unicode MS"/>
      <w:kern w:val="0"/>
      <w:sz w:val="20"/>
      <w:szCs w:val="20"/>
    </w:rPr>
  </w:style>
  <w:style w:type="paragraph" w:customStyle="1" w:styleId="363">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36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365">
    <w:name w:val="样式 标题 1 + 四号 居中 段前: 0 磅 行距: 2 倍行距"/>
    <w:basedOn w:val="2"/>
    <w:autoRedefine/>
    <w:qFormat/>
    <w:uiPriority w:val="0"/>
    <w:pPr>
      <w:tabs>
        <w:tab w:val="left" w:pos="360"/>
      </w:tabs>
      <w:adjustRightInd/>
      <w:spacing w:before="0" w:after="0" w:line="480" w:lineRule="auto"/>
      <w:ind w:left="675" w:hanging="240"/>
    </w:pPr>
    <w:rPr>
      <w:rFonts w:eastAsia="黑体"/>
      <w:bCs w:val="0"/>
      <w:sz w:val="28"/>
      <w:szCs w:val="20"/>
    </w:rPr>
  </w:style>
  <w:style w:type="paragraph" w:customStyle="1" w:styleId="366">
    <w:name w:val="xl1221"/>
    <w:basedOn w:val="1"/>
    <w:qFormat/>
    <w:uiPriority w:val="0"/>
    <w:pPr>
      <w:widowControl/>
      <w:spacing w:before="100" w:after="100" w:line="360" w:lineRule="auto"/>
      <w:jc w:val="left"/>
      <w:textAlignment w:val="center"/>
    </w:pPr>
    <w:rPr>
      <w:rFonts w:hint="eastAsia" w:ascii="宋体" w:hAnsi="宋体"/>
      <w:kern w:val="0"/>
      <w:sz w:val="20"/>
      <w:szCs w:val="20"/>
    </w:rPr>
  </w:style>
  <w:style w:type="paragraph" w:customStyle="1" w:styleId="367">
    <w:name w:val="xl92"/>
    <w:basedOn w:val="1"/>
    <w:autoRedefine/>
    <w:qFormat/>
    <w:uiPriority w:val="0"/>
    <w:pPr>
      <w:widowControl/>
      <w:pBdr>
        <w:top w:val="single" w:color="auto" w:sz="4" w:space="0"/>
        <w:bottom w:val="single" w:color="auto" w:sz="4"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368">
    <w:name w:val="xl94"/>
    <w:basedOn w:val="1"/>
    <w:qFormat/>
    <w:uiPriority w:val="0"/>
    <w:pPr>
      <w:widowControl/>
      <w:pBdr>
        <w:top w:val="single" w:color="auto" w:sz="8" w:space="0"/>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369">
    <w:name w:val="F07"/>
    <w:autoRedefine/>
    <w:qFormat/>
    <w:uiPriority w:val="0"/>
    <w:pPr>
      <w:widowControl w:val="0"/>
      <w:spacing w:line="0" w:lineRule="atLeast"/>
      <w:jc w:val="both"/>
    </w:pPr>
    <w:rPr>
      <w:rFonts w:ascii="宋体" w:hAnsi="宋体" w:eastAsia="宋体" w:cs="Times New Roman"/>
      <w:kern w:val="28"/>
      <w:sz w:val="28"/>
      <w:lang w:val="en-US" w:eastAsia="zh-CN" w:bidi="ar-SA"/>
    </w:rPr>
  </w:style>
  <w:style w:type="paragraph" w:customStyle="1" w:styleId="370">
    <w:name w:val="xl1228"/>
    <w:basedOn w:val="1"/>
    <w:autoRedefine/>
    <w:qFormat/>
    <w:uiPriority w:val="0"/>
    <w:pPr>
      <w:widowControl/>
      <w:pBdr>
        <w:top w:val="single" w:color="auto" w:sz="4" w:space="0"/>
        <w:bottom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371">
    <w:name w:val="xl1255"/>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72">
    <w:name w:val="xl56"/>
    <w:basedOn w:val="1"/>
    <w:qFormat/>
    <w:uiPriority w:val="0"/>
    <w:pPr>
      <w:widowControl/>
      <w:pBdr>
        <w:left w:val="single" w:color="auto" w:sz="12"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8"/>
      <w:szCs w:val="28"/>
    </w:rPr>
  </w:style>
  <w:style w:type="paragraph" w:customStyle="1" w:styleId="373">
    <w:name w:val="xl1215"/>
    <w:basedOn w:val="1"/>
    <w:qFormat/>
    <w:uiPriority w:val="0"/>
    <w:pPr>
      <w:widowControl/>
      <w:spacing w:before="100" w:after="100" w:line="360" w:lineRule="auto"/>
      <w:jc w:val="left"/>
      <w:textAlignment w:val="center"/>
    </w:pPr>
    <w:rPr>
      <w:rFonts w:ascii="Arial Unicode MS" w:hAnsi="Arial Unicode MS" w:eastAsia="Arial Unicode MS"/>
      <w:kern w:val="0"/>
      <w:sz w:val="24"/>
      <w:szCs w:val="20"/>
    </w:rPr>
  </w:style>
  <w:style w:type="paragraph" w:customStyle="1" w:styleId="374">
    <w:name w:val="xl77"/>
    <w:basedOn w:val="1"/>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left"/>
      <w:textAlignment w:val="center"/>
    </w:pPr>
    <w:rPr>
      <w:rFonts w:ascii="宋体" w:hAnsi="宋体"/>
      <w:kern w:val="0"/>
      <w:sz w:val="20"/>
      <w:szCs w:val="20"/>
    </w:rPr>
  </w:style>
  <w:style w:type="paragraph" w:customStyle="1" w:styleId="375">
    <w:name w:val="xl54"/>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376">
    <w:name w:val="xl88"/>
    <w:basedOn w:val="1"/>
    <w:qFormat/>
    <w:uiPriority w:val="0"/>
    <w:pPr>
      <w:widowControl/>
      <w:pBdr>
        <w:top w:val="single" w:color="auto" w:sz="4" w:space="0"/>
        <w:left w:val="single" w:color="auto" w:sz="4" w:space="0"/>
      </w:pBdr>
      <w:spacing w:before="100" w:after="100" w:line="360" w:lineRule="auto"/>
      <w:jc w:val="left"/>
      <w:textAlignment w:val="center"/>
    </w:pPr>
    <w:rPr>
      <w:rFonts w:ascii="宋体" w:hAnsi="宋体"/>
      <w:kern w:val="0"/>
      <w:sz w:val="20"/>
      <w:szCs w:val="20"/>
    </w:rPr>
  </w:style>
  <w:style w:type="paragraph" w:customStyle="1" w:styleId="377">
    <w:name w:val="模板普通正文"/>
    <w:basedOn w:val="25"/>
    <w:qFormat/>
    <w:uiPriority w:val="0"/>
    <w:pPr>
      <w:adjustRightInd/>
      <w:spacing w:beforeLines="50" w:after="10"/>
      <w:ind w:firstLine="175" w:firstLineChars="175"/>
    </w:pPr>
    <w:rPr>
      <w:rFonts w:ascii="Times New Roman" w:hAnsi="Times New Roman"/>
    </w:rPr>
  </w:style>
  <w:style w:type="paragraph" w:customStyle="1" w:styleId="378">
    <w:name w:val="xl1225"/>
    <w:basedOn w:val="1"/>
    <w:qFormat/>
    <w:uiPriority w:val="0"/>
    <w:pPr>
      <w:widowControl/>
      <w:pBdr>
        <w:top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79">
    <w:name w:val="样式 样式 标题 2节 + 四号 段前: 13 磅 段后: 13 磅 行距: 1.5 倍行距 + 段前: 0.6 行"/>
    <w:basedOn w:val="1"/>
    <w:qFormat/>
    <w:uiPriority w:val="0"/>
    <w:pPr>
      <w:keepNext/>
      <w:keepLines/>
      <w:tabs>
        <w:tab w:val="left" w:pos="675"/>
        <w:tab w:val="left" w:pos="2519"/>
      </w:tabs>
      <w:spacing w:before="120" w:line="360" w:lineRule="auto"/>
      <w:ind w:left="675" w:hanging="240"/>
    </w:pPr>
    <w:rPr>
      <w:rFonts w:eastAsia="黑体"/>
      <w:b/>
      <w:sz w:val="28"/>
      <w:szCs w:val="20"/>
    </w:rPr>
  </w:style>
  <w:style w:type="paragraph" w:customStyle="1" w:styleId="380">
    <w:name w:val="xl82"/>
    <w:basedOn w:val="1"/>
    <w:qFormat/>
    <w:uiPriority w:val="0"/>
    <w:pPr>
      <w:widowControl/>
      <w:pBdr>
        <w:top w:val="single" w:color="auto" w:sz="8" w:space="0"/>
        <w:left w:val="single" w:color="auto" w:sz="8" w:space="0"/>
        <w:bottom w:val="single" w:color="auto" w:sz="4"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81">
    <w:name w:val="说明标题2"/>
    <w:basedOn w:val="1"/>
    <w:qFormat/>
    <w:uiPriority w:val="0"/>
    <w:pPr>
      <w:numPr>
        <w:ilvl w:val="1"/>
        <w:numId w:val="5"/>
      </w:numPr>
      <w:tabs>
        <w:tab w:val="clear" w:pos="1194"/>
      </w:tabs>
    </w:pPr>
    <w:rPr>
      <w:sz w:val="28"/>
      <w:szCs w:val="20"/>
    </w:rPr>
  </w:style>
  <w:style w:type="paragraph" w:customStyle="1" w:styleId="382">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383">
    <w:name w:val="xl131"/>
    <w:basedOn w:val="1"/>
    <w:qFormat/>
    <w:uiPriority w:val="0"/>
    <w:pPr>
      <w:widowControl/>
      <w:pBdr>
        <w:top w:val="single" w:color="auto" w:sz="8" w:space="0"/>
        <w:left w:val="single" w:color="auto" w:sz="4" w:space="0"/>
        <w:bottom w:val="single" w:color="auto" w:sz="4" w:space="0"/>
        <w:right w:val="single" w:color="auto" w:sz="4" w:space="0"/>
      </w:pBdr>
      <w:spacing w:before="100" w:after="100" w:line="360" w:lineRule="auto"/>
      <w:jc w:val="left"/>
      <w:textAlignment w:val="center"/>
    </w:pPr>
    <w:rPr>
      <w:kern w:val="0"/>
      <w:sz w:val="20"/>
      <w:szCs w:val="20"/>
    </w:rPr>
  </w:style>
  <w:style w:type="paragraph" w:customStyle="1" w:styleId="384">
    <w:name w:val="xl44"/>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hint="eastAsia" w:ascii="华文细黑" w:hAnsi="华文细黑" w:eastAsia="华文细黑"/>
      <w:b/>
      <w:bCs/>
      <w:kern w:val="0"/>
      <w:sz w:val="20"/>
      <w:szCs w:val="20"/>
    </w:rPr>
  </w:style>
  <w:style w:type="paragraph" w:customStyle="1" w:styleId="3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0"/>
    </w:rPr>
  </w:style>
  <w:style w:type="paragraph" w:customStyle="1" w:styleId="386">
    <w:name w:val="xl1239"/>
    <w:basedOn w:val="1"/>
    <w:autoRedefine/>
    <w:qFormat/>
    <w:uiPriority w:val="0"/>
    <w:pPr>
      <w:widowControl/>
      <w:pBdr>
        <w:bottom w:val="single" w:color="auto" w:sz="4" w:space="0"/>
        <w:right w:val="single" w:color="auto" w:sz="4" w:space="0"/>
      </w:pBdr>
      <w:spacing w:before="100" w:after="100" w:line="360" w:lineRule="auto"/>
      <w:jc w:val="center"/>
      <w:textAlignment w:val="center"/>
    </w:pPr>
    <w:rPr>
      <w:rFonts w:ascii="Arial Unicode MS" w:hAnsi="Arial Unicode MS" w:eastAsia="Arial Unicode MS"/>
      <w:kern w:val="0"/>
      <w:sz w:val="20"/>
      <w:szCs w:val="20"/>
    </w:rPr>
  </w:style>
  <w:style w:type="paragraph" w:customStyle="1" w:styleId="387">
    <w:name w:val="xl1252"/>
    <w:basedOn w:val="1"/>
    <w:qFormat/>
    <w:uiPriority w:val="0"/>
    <w:pPr>
      <w:widowControl/>
      <w:pBdr>
        <w:left w:val="single" w:color="auto" w:sz="4" w:space="0"/>
        <w:bottom w:val="single" w:color="auto" w:sz="4" w:space="0"/>
      </w:pBdr>
      <w:spacing w:before="100" w:after="100" w:line="360" w:lineRule="auto"/>
      <w:jc w:val="left"/>
      <w:textAlignment w:val="center"/>
    </w:pPr>
    <w:rPr>
      <w:rFonts w:ascii="Arial Unicode MS" w:hAnsi="Arial Unicode MS" w:eastAsia="Arial Unicode MS"/>
      <w:b/>
      <w:kern w:val="0"/>
      <w:sz w:val="20"/>
      <w:szCs w:val="20"/>
    </w:rPr>
  </w:style>
  <w:style w:type="paragraph" w:customStyle="1" w:styleId="388">
    <w:name w:val="xl3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pPr>
    <w:rPr>
      <w:rFonts w:hint="eastAsia" w:ascii="华文细黑" w:hAnsi="华文细黑" w:eastAsia="华文细黑"/>
      <w:b/>
      <w:bCs/>
      <w:color w:val="333399"/>
      <w:kern w:val="0"/>
      <w:sz w:val="20"/>
      <w:szCs w:val="20"/>
    </w:rPr>
  </w:style>
  <w:style w:type="paragraph" w:customStyle="1" w:styleId="389">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390">
    <w:name w:val="xl1235"/>
    <w:basedOn w:val="1"/>
    <w:autoRedefine/>
    <w:qFormat/>
    <w:uiPriority w:val="0"/>
    <w:pPr>
      <w:widowControl/>
      <w:pBdr>
        <w:top w:val="single" w:color="auto" w:sz="4" w:space="0"/>
        <w:left w:val="single" w:color="auto" w:sz="4" w:space="0"/>
      </w:pBdr>
      <w:spacing w:before="100" w:after="100" w:line="360" w:lineRule="auto"/>
      <w:jc w:val="center"/>
      <w:textAlignment w:val="center"/>
    </w:pPr>
    <w:rPr>
      <w:rFonts w:hint="eastAsia" w:ascii="宋体" w:hAnsi="宋体"/>
      <w:kern w:val="0"/>
      <w:sz w:val="20"/>
      <w:szCs w:val="20"/>
    </w:rPr>
  </w:style>
  <w:style w:type="paragraph" w:customStyle="1" w:styleId="391">
    <w:name w:val="xl133"/>
    <w:basedOn w:val="1"/>
    <w:autoRedefine/>
    <w:qFormat/>
    <w:uiPriority w:val="0"/>
    <w:pPr>
      <w:widowControl/>
      <w:pBdr>
        <w:left w:val="single" w:color="auto" w:sz="8" w:space="0"/>
        <w:right w:val="single" w:color="auto" w:sz="8" w:space="0"/>
      </w:pBdr>
      <w:spacing w:before="100" w:after="100" w:line="360" w:lineRule="auto"/>
      <w:jc w:val="center"/>
      <w:textAlignment w:val="center"/>
    </w:pPr>
    <w:rPr>
      <w:rFonts w:ascii="宋体" w:hAnsi="宋体"/>
      <w:kern w:val="0"/>
      <w:sz w:val="20"/>
      <w:szCs w:val="20"/>
    </w:rPr>
  </w:style>
  <w:style w:type="paragraph" w:customStyle="1" w:styleId="392">
    <w:name w:val="xl1260"/>
    <w:basedOn w:val="1"/>
    <w:qFormat/>
    <w:uiPriority w:val="0"/>
    <w:pPr>
      <w:widowControl/>
      <w:pBdr>
        <w:top w:val="single" w:color="auto" w:sz="4" w:space="0"/>
        <w:left w:val="single" w:color="auto" w:sz="4" w:space="0"/>
        <w:bottom w:val="single" w:color="auto" w:sz="4" w:space="0"/>
      </w:pBdr>
      <w:spacing w:before="100" w:after="100" w:line="360" w:lineRule="auto"/>
      <w:jc w:val="left"/>
      <w:textAlignment w:val="center"/>
    </w:pPr>
    <w:rPr>
      <w:rFonts w:hint="eastAsia" w:ascii="宋体" w:hAnsi="宋体"/>
      <w:kern w:val="0"/>
      <w:sz w:val="20"/>
      <w:szCs w:val="20"/>
    </w:rPr>
  </w:style>
  <w:style w:type="paragraph" w:customStyle="1" w:styleId="393">
    <w:name w:val="xl112"/>
    <w:basedOn w:val="1"/>
    <w:autoRedefine/>
    <w:qFormat/>
    <w:uiPriority w:val="0"/>
    <w:pPr>
      <w:widowControl/>
      <w:pBdr>
        <w:left w:val="single" w:color="auto" w:sz="8" w:space="0"/>
        <w:bottom w:val="single" w:color="auto" w:sz="8" w:space="0"/>
        <w:right w:val="single" w:color="auto" w:sz="8" w:space="0"/>
      </w:pBdr>
      <w:spacing w:before="100" w:after="100" w:line="360" w:lineRule="auto"/>
      <w:jc w:val="left"/>
      <w:textAlignment w:val="center"/>
    </w:pPr>
    <w:rPr>
      <w:rFonts w:ascii="宋体" w:hAnsi="宋体"/>
      <w:kern w:val="0"/>
      <w:sz w:val="20"/>
      <w:szCs w:val="20"/>
    </w:rPr>
  </w:style>
  <w:style w:type="paragraph" w:customStyle="1" w:styleId="394">
    <w:name w:val="font5"/>
    <w:basedOn w:val="1"/>
    <w:autoRedefine/>
    <w:qFormat/>
    <w:uiPriority w:val="0"/>
    <w:pPr>
      <w:widowControl/>
      <w:spacing w:before="100" w:beforeAutospacing="1" w:after="100" w:afterAutospacing="1"/>
      <w:jc w:val="left"/>
    </w:pPr>
    <w:rPr>
      <w:rFonts w:ascii="宋体" w:hAnsi="宋体"/>
      <w:kern w:val="0"/>
      <w:sz w:val="18"/>
      <w:szCs w:val="20"/>
    </w:rPr>
  </w:style>
  <w:style w:type="paragraph" w:customStyle="1" w:styleId="395">
    <w:name w:val="xl55"/>
    <w:basedOn w:val="1"/>
    <w:qFormat/>
    <w:uiPriority w:val="0"/>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rFonts w:ascii="宋体" w:hAnsi="宋体"/>
      <w:b/>
      <w:bCs/>
      <w:kern w:val="0"/>
      <w:sz w:val="24"/>
    </w:rPr>
  </w:style>
  <w:style w:type="paragraph" w:customStyle="1" w:styleId="396">
    <w:name w:val="xl136"/>
    <w:basedOn w:val="1"/>
    <w:autoRedefine/>
    <w:qFormat/>
    <w:uiPriority w:val="0"/>
    <w:pPr>
      <w:widowControl/>
      <w:pBdr>
        <w:left w:val="single" w:color="auto" w:sz="8" w:space="0"/>
        <w:bottom w:val="single" w:color="auto" w:sz="8" w:space="0"/>
      </w:pBdr>
      <w:spacing w:before="100" w:after="100" w:line="360" w:lineRule="auto"/>
      <w:jc w:val="center"/>
      <w:textAlignment w:val="center"/>
    </w:pPr>
    <w:rPr>
      <w:rFonts w:ascii="宋体" w:hAnsi="宋体"/>
      <w:kern w:val="0"/>
      <w:sz w:val="20"/>
      <w:szCs w:val="20"/>
    </w:rPr>
  </w:style>
  <w:style w:type="paragraph" w:customStyle="1" w:styleId="397">
    <w:name w:val="xl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楷体_GB2312" w:hAnsi="宋体" w:eastAsia="方正楷体_GB2312"/>
      <w:kern w:val="0"/>
      <w:sz w:val="24"/>
      <w:szCs w:val="20"/>
    </w:rPr>
  </w:style>
  <w:style w:type="paragraph" w:customStyle="1" w:styleId="398">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399">
    <w:name w:val="xl60"/>
    <w:basedOn w:val="1"/>
    <w:autoRedefine/>
    <w:qFormat/>
    <w:uiPriority w:val="0"/>
    <w:pPr>
      <w:widowControl/>
      <w:pBdr>
        <w:top w:val="single" w:color="auto" w:sz="4" w:space="0"/>
        <w:bottom w:val="single" w:color="auto" w:sz="4" w:space="0"/>
      </w:pBdr>
      <w:shd w:val="clear" w:color="auto" w:fill="666699"/>
      <w:spacing w:before="100" w:beforeAutospacing="1" w:after="100" w:afterAutospacing="1"/>
      <w:jc w:val="center"/>
      <w:textAlignment w:val="center"/>
    </w:pPr>
    <w:rPr>
      <w:rFonts w:hint="eastAsia" w:ascii="华文细黑" w:hAnsi="华文细黑" w:eastAsia="华文细黑"/>
      <w:b/>
      <w:bCs/>
      <w:color w:val="FFFFFF"/>
      <w:kern w:val="0"/>
      <w:sz w:val="24"/>
    </w:rPr>
  </w:style>
  <w:style w:type="paragraph" w:customStyle="1" w:styleId="400">
    <w:name w:val="样式 标题 1 + (西文) Arial (中文) 黑体 四号 非加粗 居中 段前: 20 磅 段后: 0 磅 行...1"/>
    <w:basedOn w:val="2"/>
    <w:autoRedefine/>
    <w:qFormat/>
    <w:uiPriority w:val="0"/>
    <w:pPr>
      <w:adjustRightInd/>
      <w:spacing w:before="400" w:after="0" w:line="360" w:lineRule="auto"/>
    </w:pPr>
    <w:rPr>
      <w:rFonts w:ascii="Arial" w:hAnsi="Arial" w:eastAsia="黑体"/>
      <w:bCs w:val="0"/>
      <w:sz w:val="28"/>
      <w:szCs w:val="20"/>
    </w:rPr>
  </w:style>
  <w:style w:type="paragraph" w:customStyle="1" w:styleId="401">
    <w:name w:val="xl114"/>
    <w:basedOn w:val="1"/>
    <w:autoRedefine/>
    <w:qFormat/>
    <w:uiPriority w:val="0"/>
    <w:pPr>
      <w:widowControl/>
      <w:pBdr>
        <w:top w:val="single" w:color="auto" w:sz="4" w:space="0"/>
        <w:left w:val="single" w:color="auto" w:sz="4" w:space="0"/>
        <w:right w:val="single" w:color="auto" w:sz="4" w:space="0"/>
      </w:pBdr>
      <w:spacing w:before="100" w:after="100" w:line="360" w:lineRule="auto"/>
      <w:jc w:val="left"/>
      <w:textAlignment w:val="center"/>
    </w:pPr>
    <w:rPr>
      <w:kern w:val="0"/>
      <w:sz w:val="20"/>
      <w:szCs w:val="20"/>
    </w:rPr>
  </w:style>
  <w:style w:type="paragraph" w:customStyle="1" w:styleId="402">
    <w:name w:val="_Style 16"/>
    <w:basedOn w:val="1"/>
    <w:autoRedefine/>
    <w:qFormat/>
    <w:uiPriority w:val="0"/>
    <w:pPr>
      <w:widowControl/>
      <w:spacing w:after="160" w:line="360" w:lineRule="auto"/>
      <w:ind w:firstLine="200" w:firstLineChars="200"/>
      <w:jc w:val="left"/>
    </w:pPr>
    <w:rPr>
      <w:szCs w:val="20"/>
    </w:rPr>
  </w:style>
  <w:style w:type="paragraph" w:customStyle="1" w:styleId="403">
    <w:name w:val="font11"/>
    <w:basedOn w:val="1"/>
    <w:autoRedefine/>
    <w:qFormat/>
    <w:uiPriority w:val="0"/>
    <w:pPr>
      <w:widowControl/>
      <w:spacing w:before="100" w:after="100" w:line="360" w:lineRule="auto"/>
      <w:jc w:val="left"/>
    </w:pPr>
    <w:rPr>
      <w:rFonts w:hint="eastAsia" w:ascii="宋体" w:hAnsi="宋体"/>
      <w:kern w:val="0"/>
      <w:sz w:val="18"/>
      <w:szCs w:val="20"/>
    </w:rPr>
  </w:style>
  <w:style w:type="paragraph" w:customStyle="1" w:styleId="404">
    <w:name w:val="sm a"/>
    <w:basedOn w:val="1"/>
    <w:qFormat/>
    <w:uiPriority w:val="0"/>
    <w:pPr>
      <w:widowControl/>
      <w:numPr>
        <w:ilvl w:val="7"/>
        <w:numId w:val="8"/>
      </w:numPr>
      <w:tabs>
        <w:tab w:val="clear" w:pos="480"/>
      </w:tabs>
      <w:spacing w:before="120" w:after="120" w:line="264" w:lineRule="auto"/>
      <w:ind w:left="150" w:leftChars="150" w:firstLine="5" w:firstLineChars="5"/>
      <w:jc w:val="center"/>
    </w:pPr>
    <w:rPr>
      <w:rFonts w:ascii="宋体" w:hAnsi="宋体"/>
      <w:sz w:val="22"/>
      <w:szCs w:val="20"/>
    </w:rPr>
  </w:style>
  <w:style w:type="paragraph" w:customStyle="1" w:styleId="405">
    <w:name w:val="xl109"/>
    <w:basedOn w:val="1"/>
    <w:autoRedefine/>
    <w:qFormat/>
    <w:uiPriority w:val="0"/>
    <w:pPr>
      <w:widowControl/>
      <w:pBdr>
        <w:top w:val="single" w:color="auto" w:sz="4" w:space="0"/>
        <w:left w:val="single" w:color="auto" w:sz="8" w:space="0"/>
        <w:bottom w:val="single" w:color="auto" w:sz="8" w:space="0"/>
        <w:right w:val="single" w:color="auto" w:sz="4" w:space="0"/>
      </w:pBdr>
      <w:spacing w:before="100" w:after="100" w:line="360" w:lineRule="auto"/>
      <w:jc w:val="left"/>
      <w:textAlignment w:val="center"/>
    </w:pPr>
    <w:rPr>
      <w:kern w:val="0"/>
      <w:sz w:val="20"/>
      <w:szCs w:val="20"/>
    </w:rPr>
  </w:style>
  <w:style w:type="paragraph" w:customStyle="1" w:styleId="406">
    <w:name w:val="xl104"/>
    <w:basedOn w:val="1"/>
    <w:autoRedefine/>
    <w:qFormat/>
    <w:uiPriority w:val="0"/>
    <w:pPr>
      <w:widowControl/>
      <w:pBdr>
        <w:top w:val="single" w:color="auto" w:sz="4" w:space="0"/>
        <w:left w:val="single" w:color="auto" w:sz="4" w:space="0"/>
        <w:bottom w:val="single" w:color="auto" w:sz="8" w:space="0"/>
        <w:right w:val="single" w:color="auto" w:sz="4" w:space="0"/>
      </w:pBdr>
      <w:spacing w:before="100" w:after="100" w:line="360" w:lineRule="auto"/>
      <w:jc w:val="left"/>
    </w:pPr>
    <w:rPr>
      <w:rFonts w:ascii="宋体" w:hAnsi="宋体"/>
      <w:kern w:val="0"/>
      <w:sz w:val="24"/>
      <w:szCs w:val="20"/>
    </w:rPr>
  </w:style>
  <w:style w:type="paragraph" w:customStyle="1" w:styleId="407">
    <w:name w:val="xl79"/>
    <w:basedOn w:val="1"/>
    <w:qFormat/>
    <w:uiPriority w:val="0"/>
    <w:pPr>
      <w:widowControl/>
      <w:pBdr>
        <w:top w:val="single" w:color="auto" w:sz="8" w:space="0"/>
        <w:left w:val="single" w:color="auto" w:sz="4" w:space="0"/>
        <w:bottom w:val="single" w:color="auto" w:sz="4" w:space="0"/>
      </w:pBdr>
      <w:spacing w:before="100" w:after="100" w:line="360" w:lineRule="auto"/>
      <w:jc w:val="left"/>
      <w:textAlignment w:val="center"/>
    </w:pPr>
    <w:rPr>
      <w:rFonts w:ascii="宋体" w:hAnsi="宋体"/>
      <w:kern w:val="0"/>
      <w:sz w:val="20"/>
      <w:szCs w:val="20"/>
    </w:rPr>
  </w:style>
  <w:style w:type="paragraph" w:customStyle="1" w:styleId="408">
    <w:name w:val="Style2"/>
    <w:basedOn w:val="1"/>
    <w:autoRedefine/>
    <w:qFormat/>
    <w:uiPriority w:val="0"/>
    <w:pPr>
      <w:widowControl/>
      <w:overflowPunct w:val="0"/>
      <w:autoSpaceDE w:val="0"/>
      <w:autoSpaceDN w:val="0"/>
      <w:adjustRightInd w:val="0"/>
      <w:spacing w:line="360" w:lineRule="auto"/>
      <w:jc w:val="left"/>
      <w:textAlignment w:val="baseline"/>
    </w:pPr>
    <w:rPr>
      <w:rFonts w:ascii="宋体"/>
      <w:spacing w:val="10"/>
      <w:kern w:val="0"/>
      <w:sz w:val="28"/>
      <w:szCs w:val="20"/>
    </w:rPr>
  </w:style>
  <w:style w:type="paragraph" w:customStyle="1" w:styleId="409">
    <w:name w:val="样式 正文（首行缩进两字） + 首行缩进:  2 字符"/>
    <w:basedOn w:val="8"/>
    <w:autoRedefine/>
    <w:qFormat/>
    <w:uiPriority w:val="0"/>
    <w:pPr>
      <w:ind w:firstLine="536" w:firstLineChars="200"/>
    </w:pPr>
    <w:rPr>
      <w:spacing w:val="6"/>
    </w:rPr>
  </w:style>
  <w:style w:type="paragraph" w:customStyle="1" w:styleId="410">
    <w:name w:val="样式 标题 5五 +"/>
    <w:basedOn w:val="6"/>
    <w:next w:val="1"/>
    <w:autoRedefine/>
    <w:qFormat/>
    <w:uiPriority w:val="0"/>
    <w:pPr>
      <w:keepNext/>
      <w:keepLines/>
      <w:widowControl w:val="0"/>
      <w:numPr>
        <w:ilvl w:val="2"/>
        <w:numId w:val="15"/>
      </w:numPr>
      <w:tabs>
        <w:tab w:val="clear" w:pos="1500"/>
      </w:tabs>
      <w:adjustRightInd w:val="0"/>
      <w:spacing w:before="0" w:after="0" w:line="360" w:lineRule="auto"/>
      <w:ind w:left="420"/>
      <w:jc w:val="both"/>
      <w:textAlignment w:val="baseline"/>
    </w:pPr>
    <w:rPr>
      <w:rFonts w:ascii="Times New Roman" w:eastAsia="宋体"/>
      <w:b/>
      <w:bCs/>
      <w:sz w:val="28"/>
      <w:szCs w:val="28"/>
    </w:rPr>
  </w:style>
  <w:style w:type="paragraph" w:customStyle="1" w:styleId="411">
    <w:name w:val="Biao01"/>
    <w:autoRedefine/>
    <w:qFormat/>
    <w:uiPriority w:val="0"/>
    <w:pPr>
      <w:widowControl w:val="0"/>
      <w:numPr>
        <w:ilvl w:val="0"/>
        <w:numId w:val="1"/>
      </w:numPr>
      <w:tabs>
        <w:tab w:val="clear" w:pos="432"/>
      </w:tabs>
      <w:adjustRightInd w:val="0"/>
      <w:snapToGrid w:val="0"/>
      <w:spacing w:line="360" w:lineRule="auto"/>
      <w:jc w:val="both"/>
    </w:pPr>
    <w:rPr>
      <w:rFonts w:ascii="Times New Roman" w:hAnsi="Times New Roman" w:eastAsia="宋体" w:cs="Times New Roman"/>
      <w:kern w:val="2"/>
      <w:sz w:val="21"/>
      <w:lang w:val="en-US" w:eastAsia="zh-CN" w:bidi="ar-SA"/>
    </w:rPr>
  </w:style>
  <w:style w:type="paragraph" w:customStyle="1" w:styleId="412">
    <w:name w:val="样式 标题 1 + (西文) Arial (中文) 黑体 四号 非加粗 居中 段前: 20 磅 段后: 0 磅 行...2"/>
    <w:basedOn w:val="2"/>
    <w:autoRedefine/>
    <w:qFormat/>
    <w:uiPriority w:val="0"/>
    <w:pPr>
      <w:adjustRightInd/>
      <w:spacing w:before="400" w:after="0" w:line="360" w:lineRule="auto"/>
    </w:pPr>
    <w:rPr>
      <w:rFonts w:ascii="Arial" w:hAnsi="Arial" w:eastAsia="黑体"/>
      <w:bCs w:val="0"/>
      <w:sz w:val="28"/>
      <w:szCs w:val="20"/>
    </w:rPr>
  </w:style>
  <w:style w:type="paragraph" w:customStyle="1" w:styleId="413">
    <w:name w:val="xl5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b/>
      <w:bCs/>
      <w:kern w:val="0"/>
      <w:sz w:val="20"/>
      <w:szCs w:val="20"/>
    </w:rPr>
  </w:style>
  <w:style w:type="paragraph" w:customStyle="1" w:styleId="414">
    <w:name w:val="注"/>
    <w:basedOn w:val="1"/>
    <w:autoRedefine/>
    <w:qFormat/>
    <w:uiPriority w:val="0"/>
    <w:pPr>
      <w:adjustRightInd w:val="0"/>
      <w:spacing w:line="360" w:lineRule="atLeast"/>
      <w:ind w:left="840" w:hanging="420"/>
      <w:textAlignment w:val="baseline"/>
    </w:pPr>
    <w:rPr>
      <w:kern w:val="0"/>
      <w:szCs w:val="20"/>
    </w:rPr>
  </w:style>
  <w:style w:type="character" w:customStyle="1" w:styleId="415">
    <w:name w:val="NormalCharacter"/>
    <w:link w:val="416"/>
    <w:autoRedefine/>
    <w:qFormat/>
    <w:uiPriority w:val="0"/>
  </w:style>
  <w:style w:type="paragraph" w:customStyle="1" w:styleId="416">
    <w:name w:val="UserStyle_4"/>
    <w:basedOn w:val="1"/>
    <w:link w:val="415"/>
    <w:qFormat/>
    <w:uiPriority w:val="99"/>
  </w:style>
  <w:style w:type="character" w:customStyle="1" w:styleId="417">
    <w:name w:val="font21"/>
    <w:basedOn w:val="58"/>
    <w:autoRedefine/>
    <w:qFormat/>
    <w:uiPriority w:val="0"/>
    <w:rPr>
      <w:rFonts w:hint="eastAsia" w:ascii="宋体" w:hAnsi="宋体" w:eastAsia="宋体"/>
      <w:color w:val="000000"/>
      <w:sz w:val="24"/>
      <w:szCs w:val="24"/>
      <w:u w:val="none"/>
    </w:rPr>
  </w:style>
  <w:style w:type="character" w:customStyle="1" w:styleId="418">
    <w:name w:val="font31"/>
    <w:basedOn w:val="58"/>
    <w:autoRedefine/>
    <w:qFormat/>
    <w:uiPriority w:val="0"/>
    <w:rPr>
      <w:rFonts w:hint="eastAsia" w:ascii="宋体" w:hAnsi="宋体" w:eastAsia="宋体"/>
      <w:b/>
      <w:bCs/>
      <w:color w:val="FF0000"/>
      <w:sz w:val="24"/>
      <w:szCs w:val="24"/>
      <w:u w:val="none"/>
    </w:rPr>
  </w:style>
  <w:style w:type="character" w:customStyle="1" w:styleId="419">
    <w:name w:val="font81"/>
    <w:basedOn w:val="58"/>
    <w:qFormat/>
    <w:uiPriority w:val="0"/>
    <w:rPr>
      <w:rFonts w:hint="eastAsia" w:ascii="宋体" w:hAnsi="宋体" w:eastAsia="宋体"/>
      <w:color w:val="FF0000"/>
      <w:sz w:val="24"/>
      <w:szCs w:val="24"/>
      <w:u w:val="none"/>
    </w:rPr>
  </w:style>
  <w:style w:type="character" w:customStyle="1" w:styleId="420">
    <w:name w:val="font51"/>
    <w:basedOn w:val="58"/>
    <w:autoRedefine/>
    <w:qFormat/>
    <w:uiPriority w:val="0"/>
    <w:rPr>
      <w:rFonts w:hint="eastAsia" w:ascii="宋体" w:hAnsi="宋体" w:eastAsia="宋体"/>
      <w:b/>
      <w:bCs/>
      <w:color w:val="000000"/>
      <w:sz w:val="24"/>
      <w:szCs w:val="24"/>
      <w:u w:val="none"/>
    </w:rPr>
  </w:style>
  <w:style w:type="character" w:customStyle="1" w:styleId="421">
    <w:name w:val="font41"/>
    <w:basedOn w:val="58"/>
    <w:autoRedefine/>
    <w:qFormat/>
    <w:uiPriority w:val="0"/>
    <w:rPr>
      <w:rFonts w:hint="eastAsia" w:ascii="宋体" w:hAnsi="宋体" w:eastAsia="宋体" w:cs="宋体"/>
      <w:color w:val="000000"/>
      <w:sz w:val="16"/>
      <w:szCs w:val="16"/>
      <w:u w:val="none"/>
    </w:rPr>
  </w:style>
  <w:style w:type="character" w:customStyle="1" w:styleId="422">
    <w:name w:val="font101"/>
    <w:basedOn w:val="58"/>
    <w:qFormat/>
    <w:uiPriority w:val="0"/>
    <w:rPr>
      <w:rFonts w:hint="eastAsia" w:ascii="MingLiU" w:hAnsi="MingLiU" w:eastAsia="MingLiU" w:cs="MingLiU"/>
      <w:color w:val="000000"/>
      <w:sz w:val="16"/>
      <w:szCs w:val="16"/>
      <w:u w:val="none"/>
    </w:rPr>
  </w:style>
  <w:style w:type="character" w:customStyle="1" w:styleId="423">
    <w:name w:val="font61"/>
    <w:basedOn w:val="58"/>
    <w:autoRedefine/>
    <w:qFormat/>
    <w:uiPriority w:val="0"/>
    <w:rPr>
      <w:rFonts w:hint="default" w:ascii="Arial" w:hAnsi="Arial" w:cs="Arial"/>
      <w:color w:val="FF0000"/>
      <w:sz w:val="16"/>
      <w:szCs w:val="16"/>
      <w:u w:val="none"/>
    </w:rPr>
  </w:style>
  <w:style w:type="character" w:customStyle="1" w:styleId="424">
    <w:name w:val="font121"/>
    <w:basedOn w:val="58"/>
    <w:autoRedefine/>
    <w:qFormat/>
    <w:uiPriority w:val="0"/>
    <w:rPr>
      <w:rFonts w:hint="eastAsia" w:ascii="宋体" w:hAnsi="宋体" w:eastAsia="宋体" w:cs="宋体"/>
      <w:color w:val="FF0000"/>
      <w:sz w:val="16"/>
      <w:szCs w:val="16"/>
      <w:u w:val="none"/>
    </w:rPr>
  </w:style>
  <w:style w:type="character" w:customStyle="1" w:styleId="425">
    <w:name w:val="font131"/>
    <w:basedOn w:val="58"/>
    <w:autoRedefine/>
    <w:qFormat/>
    <w:uiPriority w:val="0"/>
    <w:rPr>
      <w:rFonts w:hint="eastAsia" w:ascii="宋体" w:hAnsi="宋体" w:eastAsia="宋体" w:cs="宋体"/>
      <w:color w:val="FF0000"/>
      <w:sz w:val="18"/>
      <w:szCs w:val="18"/>
      <w:u w:val="none"/>
    </w:rPr>
  </w:style>
  <w:style w:type="character" w:customStyle="1" w:styleId="426">
    <w:name w:val="font71"/>
    <w:basedOn w:val="58"/>
    <w:autoRedefine/>
    <w:qFormat/>
    <w:uiPriority w:val="0"/>
    <w:rPr>
      <w:rFonts w:hint="eastAsia" w:ascii="宋体" w:hAnsi="宋体" w:eastAsia="宋体"/>
      <w:color w:val="000000"/>
      <w:sz w:val="24"/>
      <w:szCs w:val="24"/>
      <w:u w:val="none"/>
    </w:rPr>
  </w:style>
  <w:style w:type="character" w:customStyle="1" w:styleId="427">
    <w:name w:val="font112"/>
    <w:basedOn w:val="58"/>
    <w:autoRedefine/>
    <w:qFormat/>
    <w:uiPriority w:val="0"/>
    <w:rPr>
      <w:rFonts w:hint="eastAsia" w:ascii="宋体" w:hAnsi="宋体" w:eastAsia="宋体" w:cs="宋体"/>
      <w:b/>
      <w:bCs/>
      <w:color w:val="FF0000"/>
      <w:sz w:val="18"/>
      <w:szCs w:val="18"/>
      <w:u w:val="none"/>
    </w:rPr>
  </w:style>
  <w:style w:type="paragraph" w:customStyle="1" w:styleId="428">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429">
    <w:name w:val="Normal Indent1"/>
    <w:basedOn w:val="1"/>
    <w:autoRedefine/>
    <w:qFormat/>
    <w:uiPriority w:val="0"/>
    <w:pPr>
      <w:ind w:firstLine="420" w:firstLineChars="200"/>
    </w:pPr>
  </w:style>
  <w:style w:type="paragraph" w:customStyle="1" w:styleId="430">
    <w:name w:val="*正文"/>
    <w:basedOn w:val="1"/>
    <w:autoRedefine/>
    <w:qFormat/>
    <w:uiPriority w:val="0"/>
    <w:pPr>
      <w:snapToGrid w:val="0"/>
      <w:spacing w:line="360" w:lineRule="auto"/>
      <w:ind w:firstLine="482"/>
      <w:jc w:val="left"/>
    </w:pPr>
    <w:rPr>
      <w:rFonts w:ascii="宋体" w:hAnsi="宋体"/>
      <w:kern w:val="0"/>
      <w:sz w:val="24"/>
      <w:szCs w:val="20"/>
    </w:rPr>
  </w:style>
  <w:style w:type="paragraph" w:customStyle="1" w:styleId="431">
    <w:name w:val="方案正本"/>
    <w:basedOn w:val="1"/>
    <w:qFormat/>
    <w:uiPriority w:val="0"/>
    <w:pPr>
      <w:spacing w:line="360" w:lineRule="auto"/>
      <w:ind w:firstLine="200" w:firstLineChars="200"/>
    </w:pPr>
    <w:rPr>
      <w:rFonts w:eastAsia="仿宋" w:cs="宋体"/>
      <w:sz w:val="28"/>
    </w:rPr>
  </w:style>
  <w:style w:type="paragraph" w:customStyle="1" w:styleId="432">
    <w:name w:val="Plain Text_5978ae41-0066-4dd9-b8b6-52f623ce13f7"/>
    <w:basedOn w:val="67"/>
    <w:autoRedefine/>
    <w:qFormat/>
    <w:uiPriority w:val="0"/>
    <w:rPr>
      <w:rFonts w:ascii="宋体" w:hAnsi="Courier New"/>
    </w:rPr>
  </w:style>
  <w:style w:type="paragraph" w:customStyle="1" w:styleId="43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34">
    <w:name w:val="纯文本_0_0"/>
    <w:basedOn w:val="1"/>
    <w:qFormat/>
    <w:uiPriority w:val="0"/>
    <w:pPr>
      <w:adjustRightInd/>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19581</Words>
  <Characters>20970</Characters>
  <Lines>382</Lines>
  <Paragraphs>107</Paragraphs>
  <TotalTime>0</TotalTime>
  <ScaleCrop>false</ScaleCrop>
  <LinksUpToDate>false</LinksUpToDate>
  <CharactersWithSpaces>21150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2024-04-13T23:57:00Z</dcterms:created>
  <dc:creator>Administrator</dc:creator>
  <cp:lastModifiedBy>小昕嘟嘟爹</cp:lastModifiedBy>
  <cp:lastPrinted>2024-06-07T00:16:00Z</cp:lastPrinted>
  <dcterms:modified xsi:type="dcterms:W3CDTF">2024-11-13T00:40:59Z</dcterms:modified>
  <dc:title>杭州经济技术开发区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44319FB849164511922F54AB0CBFB09A_13</vt:lpwstr>
  </property>
</Properties>
</file>