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5E45C">
      <w:pPr>
        <w:spacing w:line="360" w:lineRule="auto"/>
        <w:jc w:val="center"/>
        <w:rPr>
          <w:rFonts w:hint="eastAsia" w:ascii="宋体" w:hAnsi="宋体" w:cs="宋体"/>
          <w:b/>
          <w:color w:val="auto"/>
          <w:sz w:val="24"/>
          <w:highlight w:val="none"/>
        </w:rPr>
      </w:pPr>
    </w:p>
    <w:p w14:paraId="19E65B64">
      <w:pPr>
        <w:spacing w:line="360" w:lineRule="auto"/>
        <w:jc w:val="center"/>
        <w:rPr>
          <w:rFonts w:hint="eastAsia" w:ascii="宋体" w:hAnsi="宋体" w:cs="宋体"/>
          <w:b/>
          <w:color w:val="auto"/>
          <w:sz w:val="24"/>
          <w:highlight w:val="none"/>
        </w:rPr>
      </w:pPr>
    </w:p>
    <w:p w14:paraId="354CC71F">
      <w:pPr>
        <w:spacing w:line="360" w:lineRule="auto"/>
        <w:rPr>
          <w:rFonts w:hint="eastAsia" w:ascii="宋体" w:hAnsi="宋体" w:cs="宋体"/>
          <w:b/>
          <w:color w:val="auto"/>
          <w:sz w:val="44"/>
          <w:szCs w:val="44"/>
          <w:highlight w:val="none"/>
        </w:rPr>
      </w:pPr>
    </w:p>
    <w:p w14:paraId="5D7FC827">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杭州市第四人民医院（杭州市肿瘤医院）迁建工程桩基检测、基坑监测及沉降观测服务项目</w:t>
      </w:r>
      <w:r>
        <w:rPr>
          <w:rFonts w:ascii="宋体" w:hAnsi="宋体" w:cs="宋体"/>
          <w:color w:val="auto"/>
          <w:sz w:val="48"/>
          <w:szCs w:val="48"/>
          <w:highlight w:val="none"/>
        </w:rPr>
        <w:br w:type="textWrapping"/>
      </w:r>
    </w:p>
    <w:p w14:paraId="0A2E5C7C">
      <w:pPr>
        <w:adjustRightInd/>
        <w:spacing w:line="360" w:lineRule="auto"/>
        <w:jc w:val="center"/>
        <w:rPr>
          <w:rFonts w:hint="eastAsia" w:ascii="宋体" w:hAnsi="宋体" w:cs="宋体"/>
          <w:color w:val="auto"/>
          <w:sz w:val="48"/>
          <w:szCs w:val="48"/>
          <w:highlight w:val="none"/>
        </w:rPr>
      </w:pPr>
    </w:p>
    <w:p w14:paraId="2F9EAC22">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53E58D5">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3E2E454">
      <w:pPr>
        <w:snapToGrid w:val="0"/>
        <w:spacing w:line="360" w:lineRule="auto"/>
        <w:jc w:val="center"/>
        <w:rPr>
          <w:rFonts w:hint="eastAsia" w:ascii="宋体" w:hAnsi="宋体" w:cs="宋体"/>
          <w:color w:val="auto"/>
          <w:sz w:val="30"/>
          <w:szCs w:val="30"/>
          <w:highlight w:val="none"/>
        </w:rPr>
      </w:pPr>
    </w:p>
    <w:p w14:paraId="625E5B9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CTZB-2025010381</w:t>
      </w:r>
    </w:p>
    <w:p w14:paraId="58EC40B7">
      <w:pPr>
        <w:adjustRightInd/>
        <w:spacing w:line="360" w:lineRule="auto"/>
        <w:rPr>
          <w:rFonts w:hint="eastAsia" w:ascii="宋体" w:hAnsi="宋体" w:cs="宋体"/>
          <w:color w:val="auto"/>
          <w:sz w:val="28"/>
          <w:szCs w:val="20"/>
          <w:highlight w:val="none"/>
        </w:rPr>
      </w:pPr>
    </w:p>
    <w:p w14:paraId="7A7B814C">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F1C3220">
      <w:pPr>
        <w:spacing w:line="360" w:lineRule="auto"/>
        <w:rPr>
          <w:rFonts w:hint="eastAsia" w:ascii="宋体" w:hAnsi="宋体" w:cs="宋体"/>
          <w:color w:val="auto"/>
          <w:sz w:val="24"/>
          <w:highlight w:val="none"/>
        </w:rPr>
      </w:pPr>
    </w:p>
    <w:p w14:paraId="27BBD6A9">
      <w:pPr>
        <w:snapToGrid w:val="0"/>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采购单位：杭州市卫生健康事业发展中心</w:t>
      </w:r>
    </w:p>
    <w:p w14:paraId="6C26CD8F">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采购代理机构：浙江省成套招标代理有限公司</w:t>
      </w:r>
    </w:p>
    <w:p w14:paraId="27A8E1AF">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14E6BE6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3246337">
      <w:pPr>
        <w:pStyle w:val="21"/>
        <w:rPr>
          <w:color w:val="auto"/>
          <w:highlight w:val="none"/>
        </w:rPr>
      </w:pPr>
    </w:p>
    <w:p w14:paraId="55FF2C57">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3954ED15">
      <w:pPr>
        <w:spacing w:line="360" w:lineRule="auto"/>
        <w:rPr>
          <w:rFonts w:hint="eastAsia" w:ascii="宋体" w:hAnsi="宋体" w:cs="宋体"/>
          <w:color w:val="auto"/>
          <w:sz w:val="32"/>
          <w:szCs w:val="32"/>
          <w:highlight w:val="none"/>
        </w:rPr>
      </w:pPr>
    </w:p>
    <w:p w14:paraId="0A18128D">
      <w:pPr>
        <w:spacing w:line="360" w:lineRule="auto"/>
        <w:rPr>
          <w:rFonts w:hint="eastAsia" w:ascii="宋体" w:hAnsi="宋体" w:cs="宋体"/>
          <w:color w:val="auto"/>
          <w:sz w:val="32"/>
          <w:szCs w:val="32"/>
          <w:highlight w:val="none"/>
        </w:rPr>
      </w:pPr>
    </w:p>
    <w:p w14:paraId="588C6F7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E9DADB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1EB5E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F361A8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9A4167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FF9FC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7A0DA53">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0E47DDE">
      <w:pPr>
        <w:spacing w:line="360" w:lineRule="auto"/>
        <w:ind w:firstLine="549" w:firstLineChars="229"/>
        <w:rPr>
          <w:rFonts w:hint="eastAsia" w:ascii="宋体" w:hAnsi="宋体" w:cs="宋体"/>
          <w:color w:val="auto"/>
          <w:sz w:val="24"/>
          <w:highlight w:val="none"/>
        </w:rPr>
      </w:pPr>
    </w:p>
    <w:p w14:paraId="78BD6DB6">
      <w:pPr>
        <w:spacing w:line="360" w:lineRule="auto"/>
        <w:ind w:firstLine="549" w:firstLineChars="229"/>
        <w:rPr>
          <w:rFonts w:hint="eastAsia" w:ascii="宋体" w:hAnsi="宋体" w:cs="宋体"/>
          <w:color w:val="auto"/>
          <w:sz w:val="24"/>
          <w:highlight w:val="none"/>
        </w:rPr>
      </w:pPr>
    </w:p>
    <w:p w14:paraId="1626C493">
      <w:pPr>
        <w:spacing w:line="360" w:lineRule="auto"/>
        <w:ind w:firstLine="549" w:firstLineChars="229"/>
        <w:rPr>
          <w:rFonts w:hint="eastAsia" w:ascii="宋体" w:hAnsi="宋体" w:cs="宋体"/>
          <w:color w:val="auto"/>
          <w:sz w:val="24"/>
          <w:highlight w:val="none"/>
        </w:rPr>
      </w:pPr>
    </w:p>
    <w:p w14:paraId="684FECC7">
      <w:pPr>
        <w:spacing w:line="360" w:lineRule="auto"/>
        <w:ind w:firstLine="549" w:firstLineChars="229"/>
        <w:rPr>
          <w:rFonts w:hint="eastAsia" w:ascii="宋体" w:hAnsi="宋体" w:cs="宋体"/>
          <w:color w:val="auto"/>
          <w:sz w:val="24"/>
          <w:highlight w:val="none"/>
        </w:rPr>
      </w:pPr>
    </w:p>
    <w:p w14:paraId="5D3B8308">
      <w:pPr>
        <w:spacing w:line="360" w:lineRule="auto"/>
        <w:ind w:firstLine="549" w:firstLineChars="229"/>
        <w:rPr>
          <w:rFonts w:hint="eastAsia" w:ascii="宋体" w:hAnsi="宋体" w:cs="宋体"/>
          <w:color w:val="auto"/>
          <w:sz w:val="24"/>
          <w:highlight w:val="none"/>
        </w:rPr>
      </w:pPr>
    </w:p>
    <w:p w14:paraId="4F1EA398">
      <w:pPr>
        <w:spacing w:line="360" w:lineRule="auto"/>
        <w:ind w:firstLine="549" w:firstLineChars="229"/>
        <w:rPr>
          <w:rFonts w:hint="eastAsia" w:ascii="宋体" w:hAnsi="宋体" w:cs="宋体"/>
          <w:color w:val="auto"/>
          <w:sz w:val="24"/>
          <w:highlight w:val="none"/>
        </w:rPr>
      </w:pPr>
    </w:p>
    <w:p w14:paraId="6576E851">
      <w:pPr>
        <w:spacing w:line="360" w:lineRule="auto"/>
        <w:ind w:firstLine="549" w:firstLineChars="229"/>
        <w:rPr>
          <w:rFonts w:hint="eastAsia" w:ascii="宋体" w:hAnsi="宋体" w:cs="宋体"/>
          <w:color w:val="auto"/>
          <w:sz w:val="24"/>
          <w:highlight w:val="none"/>
        </w:rPr>
      </w:pPr>
    </w:p>
    <w:p w14:paraId="1DBB4D0F">
      <w:pPr>
        <w:spacing w:line="360" w:lineRule="auto"/>
        <w:ind w:firstLine="549" w:firstLineChars="229"/>
        <w:rPr>
          <w:rFonts w:hint="eastAsia" w:ascii="宋体" w:hAnsi="宋体" w:cs="宋体"/>
          <w:color w:val="auto"/>
          <w:sz w:val="24"/>
          <w:highlight w:val="none"/>
        </w:rPr>
      </w:pPr>
    </w:p>
    <w:p w14:paraId="358805ED">
      <w:pPr>
        <w:spacing w:line="360" w:lineRule="auto"/>
        <w:ind w:firstLine="549" w:firstLineChars="229"/>
        <w:rPr>
          <w:rFonts w:hint="eastAsia" w:ascii="宋体" w:hAnsi="宋体" w:cs="宋体"/>
          <w:color w:val="auto"/>
          <w:sz w:val="24"/>
          <w:highlight w:val="none"/>
        </w:rPr>
      </w:pPr>
    </w:p>
    <w:p w14:paraId="3E5827E5">
      <w:pPr>
        <w:spacing w:line="360" w:lineRule="auto"/>
        <w:ind w:firstLine="549" w:firstLineChars="229"/>
        <w:rPr>
          <w:rFonts w:hint="eastAsia" w:ascii="宋体" w:hAnsi="宋体" w:cs="宋体"/>
          <w:color w:val="auto"/>
          <w:sz w:val="24"/>
          <w:highlight w:val="none"/>
        </w:rPr>
      </w:pPr>
    </w:p>
    <w:p w14:paraId="56FF4B04">
      <w:pPr>
        <w:spacing w:line="360" w:lineRule="auto"/>
        <w:ind w:firstLine="549" w:firstLineChars="229"/>
        <w:rPr>
          <w:rFonts w:hint="eastAsia" w:ascii="宋体" w:hAnsi="宋体" w:cs="宋体"/>
          <w:color w:val="auto"/>
          <w:sz w:val="24"/>
          <w:highlight w:val="none"/>
        </w:rPr>
      </w:pPr>
    </w:p>
    <w:p w14:paraId="1AEDB597">
      <w:pPr>
        <w:spacing w:line="360" w:lineRule="auto"/>
        <w:ind w:firstLine="549" w:firstLineChars="229"/>
        <w:rPr>
          <w:rFonts w:hint="eastAsia" w:ascii="宋体" w:hAnsi="宋体" w:cs="宋体"/>
          <w:color w:val="auto"/>
          <w:sz w:val="24"/>
          <w:highlight w:val="none"/>
        </w:rPr>
      </w:pPr>
    </w:p>
    <w:p w14:paraId="2C5C333B">
      <w:pPr>
        <w:spacing w:line="360" w:lineRule="auto"/>
        <w:rPr>
          <w:rFonts w:hint="eastAsia" w:ascii="宋体" w:hAnsi="宋体" w:cs="宋体"/>
          <w:color w:val="auto"/>
          <w:sz w:val="24"/>
          <w:highlight w:val="none"/>
        </w:rPr>
      </w:pPr>
    </w:p>
    <w:p w14:paraId="68261BF3">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0B17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9A40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杭州市第四人民医院（杭州市肿瘤医院）迁建工程桩基检测、基坑监测及沉降观测服务项目</w:t>
      </w:r>
      <w:r>
        <w:rPr>
          <w:rFonts w:hint="eastAsia" w:ascii="宋体" w:hAnsi="宋体" w:cs="宋体"/>
          <w:color w:val="auto"/>
          <w:sz w:val="24"/>
          <w:highlight w:val="none"/>
        </w:rPr>
        <w:t>招标项目的潜在</w:t>
      </w:r>
      <w:r>
        <w:rPr>
          <w:rFonts w:hint="eastAsia" w:ascii="宋体" w:hAnsi="宋体" w:cs="宋体"/>
          <w:color w:val="auto"/>
          <w:kern w:val="0"/>
          <w:sz w:val="24"/>
          <w:highlight w:val="none"/>
          <w:lang w:val="zh-CN"/>
        </w:rPr>
        <w:t>供应商</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"https://www.zcygov.cn/）获取（下载）招标文件，并于2024年9月9日14点00分00%20秒" </w:instrText>
      </w:r>
      <w:r>
        <w:rPr>
          <w:color w:val="auto"/>
          <w:highlight w:val="none"/>
        </w:rPr>
        <w:fldChar w:fldCharType="separate"/>
      </w:r>
      <w:r>
        <w:rPr>
          <w:rStyle w:val="19"/>
          <w:rFonts w:ascii="宋体" w:hAnsi="宋体" w:eastAsia="宋体" w:cs="宋体"/>
          <w:snapToGrid/>
          <w:color w:val="auto"/>
          <w:kern w:val="2"/>
          <w:sz w:val="24"/>
          <w:szCs w:val="24"/>
          <w:highlight w:val="none"/>
        </w:rPr>
        <w:t>https://www.zcygov.cn/）获取（下载）招标文件，并于</w:t>
      </w:r>
      <w:r>
        <w:rPr>
          <w:rStyle w:val="19"/>
          <w:rFonts w:ascii="宋体" w:hAnsi="宋体" w:eastAsia="宋体" w:cs="宋体"/>
          <w:snapToGrid/>
          <w:color w:val="auto"/>
          <w:kern w:val="2"/>
          <w:sz w:val="24"/>
          <w:szCs w:val="24"/>
          <w:highlight w:val="none"/>
        </w:rPr>
        <w:t>202</w:t>
      </w:r>
      <w:r>
        <w:rPr>
          <w:rStyle w:val="19"/>
          <w:rFonts w:hint="eastAsia" w:ascii="宋体" w:hAnsi="宋体" w:cs="宋体"/>
          <w:snapToGrid/>
          <w:color w:val="auto"/>
          <w:kern w:val="2"/>
          <w:sz w:val="24"/>
          <w:szCs w:val="24"/>
          <w:highlight w:val="none"/>
          <w:lang w:val="en-US" w:eastAsia="zh-CN"/>
        </w:rPr>
        <w:t>5</w:t>
      </w:r>
      <w:r>
        <w:rPr>
          <w:rStyle w:val="19"/>
          <w:rFonts w:hint="eastAsia" w:ascii="宋体" w:hAnsi="宋体" w:eastAsia="宋体" w:cs="宋体"/>
          <w:snapToGrid/>
          <w:color w:val="auto"/>
          <w:kern w:val="2"/>
          <w:sz w:val="24"/>
          <w:szCs w:val="24"/>
          <w:highlight w:val="none"/>
        </w:rPr>
        <w:t>年</w:t>
      </w:r>
      <w:r>
        <w:rPr>
          <w:rStyle w:val="19"/>
          <w:rFonts w:hint="eastAsia" w:ascii="宋体" w:hAnsi="宋体" w:cs="宋体"/>
          <w:snapToGrid/>
          <w:color w:val="auto"/>
          <w:kern w:val="2"/>
          <w:sz w:val="24"/>
          <w:szCs w:val="24"/>
          <w:highlight w:val="none"/>
          <w:lang w:val="en-US" w:eastAsia="zh-CN"/>
        </w:rPr>
        <w:t>2</w:t>
      </w:r>
      <w:r>
        <w:rPr>
          <w:rStyle w:val="19"/>
          <w:rFonts w:hint="eastAsia" w:ascii="宋体" w:hAnsi="宋体" w:eastAsia="宋体" w:cs="宋体"/>
          <w:snapToGrid/>
          <w:color w:val="auto"/>
          <w:kern w:val="2"/>
          <w:sz w:val="24"/>
          <w:szCs w:val="24"/>
          <w:highlight w:val="none"/>
        </w:rPr>
        <w:t>月</w:t>
      </w:r>
      <w:r>
        <w:rPr>
          <w:rStyle w:val="19"/>
          <w:rFonts w:hint="eastAsia" w:ascii="宋体" w:hAnsi="宋体" w:cs="宋体"/>
          <w:snapToGrid/>
          <w:color w:val="auto"/>
          <w:kern w:val="2"/>
          <w:sz w:val="24"/>
          <w:szCs w:val="24"/>
          <w:highlight w:val="none"/>
          <w:lang w:val="en-US" w:eastAsia="zh-CN"/>
        </w:rPr>
        <w:t>17</w:t>
      </w:r>
      <w:r>
        <w:rPr>
          <w:rStyle w:val="19"/>
          <w:rFonts w:hint="eastAsia" w:ascii="宋体" w:hAnsi="宋体" w:eastAsia="宋体" w:cs="宋体"/>
          <w:snapToGrid/>
          <w:color w:val="auto"/>
          <w:kern w:val="2"/>
          <w:sz w:val="24"/>
          <w:szCs w:val="24"/>
          <w:highlight w:val="none"/>
        </w:rPr>
        <w:t>日</w:t>
      </w:r>
      <w:r>
        <w:rPr>
          <w:rStyle w:val="19"/>
          <w:rFonts w:hint="eastAsia" w:ascii="宋体" w:hAnsi="宋体" w:cs="宋体"/>
          <w:snapToGrid/>
          <w:color w:val="auto"/>
          <w:kern w:val="2"/>
          <w:sz w:val="24"/>
          <w:szCs w:val="24"/>
          <w:highlight w:val="none"/>
        </w:rPr>
        <w:t>14</w:t>
      </w:r>
      <w:r>
        <w:rPr>
          <w:rStyle w:val="19"/>
          <w:rFonts w:hint="eastAsia" w:ascii="宋体" w:hAnsi="宋体" w:eastAsia="宋体" w:cs="宋体"/>
          <w:snapToGrid/>
          <w:color w:val="auto"/>
          <w:kern w:val="2"/>
          <w:sz w:val="24"/>
          <w:szCs w:val="24"/>
          <w:highlight w:val="none"/>
        </w:rPr>
        <w:t>点00分00</w:t>
      </w:r>
      <w:r>
        <w:rPr>
          <w:rStyle w:val="19"/>
          <w:rFonts w:hint="eastAsia" w:ascii="宋体" w:hAnsi="宋体" w:cs="宋体"/>
          <w:bCs/>
          <w:snapToGrid/>
          <w:color w:val="auto"/>
          <w:kern w:val="2"/>
          <w:sz w:val="24"/>
          <w:szCs w:val="24"/>
          <w:highlight w:val="none"/>
        </w:rPr>
        <w:t xml:space="preserve"> </w:t>
      </w:r>
      <w:r>
        <w:rPr>
          <w:rStyle w:val="19"/>
          <w:rFonts w:hint="eastAsia" w:ascii="宋体" w:hAnsi="宋体" w:eastAsia="宋体" w:cs="宋体"/>
          <w:bCs/>
          <w:snapToGrid/>
          <w:color w:val="auto"/>
          <w:kern w:val="2"/>
          <w:sz w:val="24"/>
          <w:szCs w:val="24"/>
          <w:highlight w:val="none"/>
        </w:rPr>
        <w:t>秒</w:t>
      </w:r>
      <w:r>
        <w:rPr>
          <w:rStyle w:val="1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5E6985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A6E685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CTZB-2025010381</w:t>
      </w:r>
    </w:p>
    <w:p w14:paraId="78A6AB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杭州市第四人民医院（杭州市肿瘤医院）迁建工程桩基检测、基坑监测及沉降观测服务项目</w:t>
      </w:r>
    </w:p>
    <w:p w14:paraId="2D01AC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预算金额（元）：1352193</w:t>
      </w:r>
    </w:p>
    <w:p w14:paraId="344B104A">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最高限价（元）：1352193</w:t>
      </w:r>
    </w:p>
    <w:p w14:paraId="3EBCC8BD">
      <w:pPr>
        <w:spacing w:line="360" w:lineRule="auto"/>
        <w:ind w:firstLine="482" w:firstLineChars="200"/>
        <w:rPr>
          <w:rFonts w:hint="eastAsia" w:asciiTheme="minorEastAsia" w:hAnsiTheme="minorEastAsia" w:eastAsiaTheme="minorEastAsia"/>
          <w:color w:val="auto"/>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杭州市第四人民医院（杭州市肿瘤医院）迁建工程桩基检测、基坑监测及沉降观测服务项目，</w:t>
      </w:r>
      <w:r>
        <w:rPr>
          <w:rFonts w:hint="eastAsia" w:asciiTheme="minorEastAsia" w:hAnsiTheme="minorEastAsia" w:eastAsiaTheme="minorEastAsia"/>
          <w:color w:val="auto"/>
          <w:sz w:val="24"/>
          <w:highlight w:val="none"/>
        </w:rPr>
        <w:t>具体以招标文件“采购需求”为准，</w:t>
      </w:r>
      <w:r>
        <w:rPr>
          <w:rFonts w:hint="eastAsia" w:hAnsi="宋体" w:cs="宋体"/>
          <w:color w:val="auto"/>
          <w:kern w:val="0"/>
          <w:sz w:val="24"/>
          <w:highlight w:val="none"/>
          <w:lang w:val="zh-CN"/>
        </w:rPr>
        <w:t>供应商</w:t>
      </w:r>
      <w:r>
        <w:rPr>
          <w:rFonts w:hint="eastAsia" w:asciiTheme="minorEastAsia" w:hAnsiTheme="minorEastAsia" w:eastAsiaTheme="minorEastAsia"/>
          <w:color w:val="auto"/>
          <w:sz w:val="24"/>
          <w:highlight w:val="none"/>
        </w:rPr>
        <w:t>可点击本公告下方“浏览采购文件”查看采购需求。</w:t>
      </w:r>
    </w:p>
    <w:p w14:paraId="6B6DDD0A">
      <w:pPr>
        <w:spacing w:line="360" w:lineRule="auto"/>
        <w:ind w:firstLine="482" w:firstLineChars="200"/>
        <w:jc w:val="left"/>
        <w:rPr>
          <w:rFonts w:hint="eastAsia" w:ascii="宋体" w:hAnsi="宋体" w:cs="仿宋_GB2312"/>
          <w:color w:val="auto"/>
          <w:sz w:val="24"/>
          <w:highlight w:val="none"/>
        </w:rPr>
      </w:pPr>
      <w:r>
        <w:rPr>
          <w:rFonts w:hint="eastAsia" w:hAnsi="宋体" w:cs="宋体"/>
          <w:b/>
          <w:color w:val="auto"/>
          <w:sz w:val="24"/>
          <w:szCs w:val="18"/>
          <w:highlight w:val="none"/>
        </w:rPr>
        <w:t>合同履约期限：</w:t>
      </w:r>
      <w:r>
        <w:rPr>
          <w:rFonts w:hint="eastAsia" w:hAnsi="宋体" w:cs="宋体"/>
          <w:color w:val="auto"/>
          <w:sz w:val="24"/>
          <w:highlight w:val="none"/>
        </w:rPr>
        <w:t>详见采购文件要求</w:t>
      </w:r>
      <w:r>
        <w:rPr>
          <w:rFonts w:hint="eastAsia" w:hAnsi="宋体" w:cs="宋体"/>
          <w:color w:val="auto"/>
          <w:sz w:val="24"/>
          <w:highlight w:val="none"/>
          <w:lang w:val="zh-CN"/>
        </w:rPr>
        <w:t>。</w:t>
      </w:r>
    </w:p>
    <w:p w14:paraId="70C5B56D">
      <w:pPr>
        <w:pStyle w:val="6"/>
        <w:spacing w:line="360" w:lineRule="auto"/>
        <w:ind w:firstLine="480"/>
        <w:rPr>
          <w:rFonts w:hint="eastAsia" w:hAnsi="宋体" w:cs="宋体"/>
          <w:b/>
          <w:bCs/>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int="eastAsia" w:ascii="Wingdings" w:hAnsi="Wingdings" w:cs="Segoe UI Symbol"/>
              <w:color w:val="auto"/>
              <w:kern w:val="0"/>
              <w:sz w:val="24"/>
              <w:highlight w:val="none"/>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CE0CE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5AD2194A">
      <w:pPr>
        <w:spacing w:line="360" w:lineRule="auto"/>
        <w:ind w:firstLine="480"/>
        <w:rPr>
          <w:rFonts w:hint="eastAsia" w:ascii="宋体" w:hAnsi="宋体" w:cs="宋体"/>
          <w:snapToGrid w:val="0"/>
          <w:color w:val="auto"/>
          <w:kern w:val="28"/>
          <w:sz w:val="24"/>
          <w:szCs w:val="20"/>
          <w:highlight w:val="none"/>
        </w:rPr>
      </w:pPr>
      <w:bookmarkStart w:id="11" w:name="_Hlk161174625"/>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9211335">
      <w:pPr>
        <w:spacing w:line="360" w:lineRule="auto"/>
        <w:ind w:firstLine="480" w:firstLineChars="200"/>
        <w:rPr>
          <w:rFonts w:ascii="Segoe UI Symbol" w:hAnsi="Segoe UI Symbol" w:cs="Segoe UI Symbol"/>
          <w:color w:val="auto"/>
          <w:sz w:val="24"/>
          <w:highlight w:val="none"/>
        </w:rPr>
      </w:pPr>
      <w:r>
        <w:rPr>
          <w:rFonts w:hint="eastAsia" w:ascii="宋体" w:hAnsi="宋体" w:cs="宋体"/>
          <w:snapToGrid w:val="0"/>
          <w:color w:val="auto"/>
          <w:kern w:val="28"/>
          <w:sz w:val="24"/>
          <w:highlight w:val="none"/>
        </w:rPr>
        <w:t>2.落实政府采购政策需满足的资格要求：</w:t>
      </w:r>
    </w:p>
    <w:p w14:paraId="14EAC49A">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FE"/>
      </w:r>
      <w:r>
        <w:rPr>
          <w:rFonts w:hint="eastAsia" w:ascii="宋体" w:hAnsi="宋体" w:cs="宋体"/>
          <w:color w:val="auto"/>
          <w:sz w:val="24"/>
          <w:highlight w:val="none"/>
        </w:rPr>
        <w:t>无；</w:t>
      </w:r>
    </w:p>
    <w:p w14:paraId="0D851473">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专门面向中小企业</w:t>
      </w:r>
    </w:p>
    <w:p w14:paraId="456E44B6">
      <w:pPr>
        <w:spacing w:line="360" w:lineRule="auto"/>
        <w:ind w:firstLine="720" w:firstLineChars="300"/>
        <w:rPr>
          <w:rFonts w:hint="eastAsia"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324ED827">
      <w:pPr>
        <w:spacing w:line="360" w:lineRule="auto"/>
        <w:ind w:firstLine="720" w:firstLineChars="300"/>
        <w:rPr>
          <w:rFonts w:hint="eastAsia"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15C72870">
      <w:pPr>
        <w:spacing w:line="360" w:lineRule="auto"/>
        <w:ind w:firstLine="480" w:firstLineChars="200"/>
        <w:rPr>
          <w:rFonts w:hint="eastAsia" w:ascii="宋体" w:hAnsi="宋体" w:cs="宋体"/>
          <w:color w:val="auto"/>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要求以联合体形式参加，提供联合协议和中小企业声明函，联合协议中要求小微企业合同金额应当达到</w:t>
      </w:r>
      <w:r>
        <w:rPr>
          <w:rFonts w:ascii="宋体" w:hAnsi="宋体" w:cs="宋体"/>
          <w:color w:val="auto"/>
          <w:sz w:val="24"/>
          <w:highlight w:val="none"/>
        </w:rPr>
        <w:t xml:space="preserve">  %;</w:t>
      </w:r>
      <w:r>
        <w:rPr>
          <w:rFonts w:hint="eastAsia" w:ascii="宋体" w:hAnsi="宋体" w:cs="宋体"/>
          <w:color w:val="auto"/>
          <w:sz w:val="24"/>
          <w:highlight w:val="none"/>
        </w:rPr>
        <w:t>如果供应商本身提供所有标的均由小微企业制造、承建或承接，视同符合了资格条件，无需再与其他企业组成联合体参加政府采购活动，无需提供联合协议；</w:t>
      </w:r>
    </w:p>
    <w:p w14:paraId="1467031E">
      <w:pPr>
        <w:spacing w:line="360" w:lineRule="auto"/>
        <w:ind w:firstLine="480" w:firstLineChars="200"/>
        <w:rPr>
          <w:rFonts w:hint="eastAsia" w:ascii="宋体" w:hAnsi="宋体" w:cs="宋体"/>
          <w:color w:val="auto"/>
          <w:spacing w:val="8"/>
          <w:kern w:val="0"/>
          <w:sz w:val="24"/>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ascii="宋体" w:hAnsi="宋体" w:cs="宋体"/>
          <w:color w:val="auto"/>
          <w:sz w:val="24"/>
          <w:highlight w:val="none"/>
        </w:rPr>
        <w:t xml:space="preserve">  % </w:t>
      </w:r>
      <w:r>
        <w:rPr>
          <w:rFonts w:hint="eastAsia" w:ascii="宋体" w:hAnsi="宋体" w:cs="宋体"/>
          <w:color w:val="auto"/>
          <w:sz w:val="24"/>
          <w:highlight w:val="none"/>
        </w:rPr>
        <w:t>，小微企业合同金额应当达到</w:t>
      </w:r>
      <w:r>
        <w:rPr>
          <w:rFonts w:ascii="宋体" w:hAnsi="宋体" w:cs="宋体"/>
          <w:color w:val="auto"/>
          <w:sz w:val="24"/>
          <w:highlight w:val="none"/>
        </w:rPr>
        <w:t xml:space="preserve"> % ;</w:t>
      </w:r>
      <w:r>
        <w:rPr>
          <w:rFonts w:hint="eastAsia" w:ascii="宋体" w:hAnsi="宋体" w:cs="宋体"/>
          <w:color w:val="auto"/>
          <w:sz w:val="24"/>
          <w:highlight w:val="none"/>
        </w:rPr>
        <w:t>如果供应商本身提供所有标的均由中小企业制造、承建或承接，视同符合了资格条件，无需再向中小企业分包，无需提供分包意向协议；</w:t>
      </w:r>
    </w:p>
    <w:p w14:paraId="4EEF52B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E4609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投标人应同时具备以下两项资质：</w:t>
      </w:r>
    </w:p>
    <w:p w14:paraId="6FE2B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①基坑监测和沉降观测：具有建设行政主管部门核发的工程勘察综合甲级资质，或同时具有岩土工程专业甲级、工程测量专业甲级资质；</w:t>
      </w:r>
    </w:p>
    <w:p w14:paraId="688FD3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②桩基检测：具有建设行政主管部门核发的地基基础检测专项资质或综合资质。</w:t>
      </w:r>
    </w:p>
    <w:bookmarkEnd w:id="11"/>
    <w:p w14:paraId="70BDFF4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3F6EE0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3176FD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52991D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6CDF60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66502A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C228CE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日14点00分00秒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484D03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3494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日14点00分00秒</w:t>
      </w:r>
      <w:r>
        <w:rPr>
          <w:rFonts w:hint="eastAsia" w:ascii="宋体" w:hAnsi="宋体" w:cs="宋体"/>
          <w:bCs/>
          <w:color w:val="auto"/>
          <w:sz w:val="24"/>
          <w:highlight w:val="none"/>
        </w:rPr>
        <w:t xml:space="preserve"> ； </w:t>
      </w:r>
    </w:p>
    <w:p w14:paraId="7A2B969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53CCF2E">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38E51E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8BEF32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082E0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7EB9D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0D47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7136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773E4D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2C367D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417787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（3）电子招投标的说明：</w:t>
      </w:r>
    </w:p>
    <w:p w14:paraId="21833697">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41D1F0AF">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E0B3B66">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7FF27904">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14197ACD">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3088D720">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0CB1B980">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⑦不提供招标文件纸质版；</w:t>
      </w:r>
    </w:p>
    <w:p w14:paraId="192612EF">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64B10D79">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75ED310">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0BD413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61FE390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0DE753E">
      <w:pPr>
        <w:spacing w:line="360" w:lineRule="auto"/>
        <w:ind w:firstLine="482" w:firstLineChars="200"/>
        <w:rPr>
          <w:rFonts w:hint="eastAsia" w:cs="宋体" w:asciiTheme="majorEastAsia" w:hAnsiTheme="majorEastAsia" w:eastAsiaTheme="majorEastAsia"/>
          <w:b/>
          <w:bCs/>
          <w:color w:val="auto"/>
          <w:sz w:val="24"/>
          <w:highlight w:val="none"/>
        </w:rPr>
      </w:pPr>
      <w:bookmarkStart w:id="12" w:name="_Toc35393806"/>
      <w:bookmarkStart w:id="13" w:name="_Toc28359096"/>
      <w:bookmarkStart w:id="14" w:name="_Toc35393637"/>
      <w:bookmarkStart w:id="15" w:name="_Toc28359019"/>
      <w:r>
        <w:rPr>
          <w:rFonts w:hint="eastAsia" w:cs="宋体" w:asciiTheme="majorEastAsia" w:hAnsiTheme="majorEastAsia" w:eastAsiaTheme="majorEastAsia"/>
          <w:b/>
          <w:bCs/>
          <w:color w:val="auto"/>
          <w:sz w:val="24"/>
          <w:highlight w:val="none"/>
        </w:rPr>
        <w:t>1.采购人信息</w:t>
      </w:r>
      <w:bookmarkEnd w:id="12"/>
      <w:bookmarkEnd w:id="13"/>
      <w:bookmarkEnd w:id="14"/>
      <w:bookmarkEnd w:id="15"/>
      <w:r>
        <w:rPr>
          <w:rFonts w:hint="eastAsia" w:cs="宋体" w:asciiTheme="majorEastAsia" w:hAnsiTheme="majorEastAsia" w:eastAsiaTheme="majorEastAsia"/>
          <w:b/>
          <w:bCs/>
          <w:color w:val="auto"/>
          <w:sz w:val="24"/>
          <w:highlight w:val="none"/>
        </w:rPr>
        <w:t>：</w:t>
      </w:r>
      <w:r>
        <w:rPr>
          <w:rFonts w:cs="宋体" w:asciiTheme="majorEastAsia" w:hAnsiTheme="majorEastAsia" w:eastAsiaTheme="majorEastAsia"/>
          <w:b/>
          <w:bCs/>
          <w:color w:val="auto"/>
          <w:sz w:val="24"/>
          <w:highlight w:val="none"/>
        </w:rPr>
        <w:t xml:space="preserve"> </w:t>
      </w:r>
    </w:p>
    <w:p w14:paraId="2144B2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hint="eastAsia" w:ascii="宋体" w:hAnsi="宋体" w:cs="宋体"/>
          <w:color w:val="auto"/>
          <w:sz w:val="24"/>
          <w:highlight w:val="none"/>
        </w:rPr>
        <w:t>杭州市卫生健康事业发展中心</w:t>
      </w:r>
    </w:p>
    <w:p w14:paraId="63715C8B">
      <w:pPr>
        <w:spacing w:line="360" w:lineRule="auto"/>
        <w:rPr>
          <w:rFonts w:hint="eastAsia" w:ascii="宋体" w:hAnsi="宋体"/>
          <w:color w:val="auto"/>
          <w:sz w:val="24"/>
          <w:highlight w:val="none"/>
        </w:rPr>
      </w:pPr>
      <w:r>
        <w:rPr>
          <w:rFonts w:hint="eastAsia" w:ascii="宋体" w:hAnsi="宋体"/>
          <w:color w:val="auto"/>
          <w:sz w:val="24"/>
          <w:highlight w:val="none"/>
        </w:rPr>
        <w:t xml:space="preserve">    地    址：</w:t>
      </w:r>
      <w:r>
        <w:rPr>
          <w:rFonts w:hint="eastAsia" w:ascii="宋体" w:hAnsi="宋体" w:cs="宋体"/>
          <w:color w:val="auto"/>
          <w:sz w:val="24"/>
          <w:highlight w:val="none"/>
        </w:rPr>
        <w:t xml:space="preserve">杭州市开元路70号  </w:t>
      </w:r>
    </w:p>
    <w:p w14:paraId="0EF83D2E">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传    真：/</w:t>
      </w:r>
    </w:p>
    <w:p w14:paraId="644FCA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项目联系人（询问）：卢工 </w:t>
      </w:r>
      <w:r>
        <w:rPr>
          <w:rFonts w:hint="eastAsia" w:ascii="宋体" w:hAnsi="宋体" w:cs="仿宋"/>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64230F8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w:t>
      </w:r>
      <w:r>
        <w:rPr>
          <w:rFonts w:hint="eastAsia" w:ascii="宋体" w:hAnsi="宋体" w:cs="宋体"/>
          <w:color w:val="auto"/>
          <w:sz w:val="24"/>
          <w:highlight w:val="none"/>
        </w:rPr>
        <w:t>0571-87089826</w:t>
      </w:r>
      <w:r>
        <w:rPr>
          <w:rFonts w:hint="eastAsia" w:ascii="宋体" w:hAnsi="宋体" w:cs="仿宋"/>
          <w:color w:val="auto"/>
          <w:sz w:val="24"/>
          <w:highlight w:val="none"/>
        </w:rPr>
        <w:t xml:space="preserve">  </w:t>
      </w:r>
      <w:r>
        <w:rPr>
          <w:rFonts w:ascii="宋体" w:hAnsi="宋体"/>
          <w:color w:val="auto"/>
          <w:sz w:val="24"/>
          <w:highlight w:val="none"/>
        </w:rPr>
        <w:t xml:space="preserve">           </w:t>
      </w:r>
    </w:p>
    <w:p w14:paraId="30189D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质疑联系人：沈工 </w:t>
      </w:r>
      <w:r>
        <w:rPr>
          <w:rFonts w:hint="eastAsia" w:ascii="宋体" w:hAnsi="宋体" w:cs="仿宋"/>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3B619B7E">
      <w:pPr>
        <w:spacing w:line="360" w:lineRule="auto"/>
        <w:ind w:firstLine="480" w:firstLineChars="200"/>
        <w:rPr>
          <w:rFonts w:hint="eastAsia" w:asciiTheme="majorEastAsia" w:hAnsiTheme="majorEastAsia" w:eastAsiaTheme="majorEastAsia"/>
          <w:color w:val="auto"/>
          <w:sz w:val="24"/>
          <w:highlight w:val="none"/>
        </w:rPr>
      </w:pPr>
      <w:r>
        <w:rPr>
          <w:rFonts w:hint="eastAsia" w:ascii="宋体" w:hAnsi="宋体"/>
          <w:color w:val="auto"/>
          <w:sz w:val="24"/>
          <w:highlight w:val="none"/>
        </w:rPr>
        <w:t>质疑联系方式：</w:t>
      </w:r>
      <w:r>
        <w:rPr>
          <w:rFonts w:hint="eastAsia" w:ascii="宋体" w:hAnsi="宋体" w:cs="宋体"/>
          <w:color w:val="auto"/>
          <w:sz w:val="24"/>
          <w:highlight w:val="none"/>
        </w:rPr>
        <w:t xml:space="preserve">0571-87012056   </w:t>
      </w:r>
      <w:r>
        <w:rPr>
          <w:rFonts w:asciiTheme="majorEastAsia" w:hAnsiTheme="majorEastAsia" w:eastAsiaTheme="majorEastAsia"/>
          <w:color w:val="auto"/>
          <w:sz w:val="24"/>
          <w:highlight w:val="none"/>
        </w:rPr>
        <w:t xml:space="preserve"> </w:t>
      </w:r>
    </w:p>
    <w:p w14:paraId="2A97061E">
      <w:pPr>
        <w:spacing w:line="360" w:lineRule="auto"/>
        <w:ind w:firstLine="480" w:firstLineChars="200"/>
        <w:rPr>
          <w:rFonts w:hint="eastAsia"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（请通过以下路径在线提起质疑：政采云-项目采购-询问质疑投诉-质疑列表）</w:t>
      </w:r>
      <w:r>
        <w:rPr>
          <w:rFonts w:asciiTheme="majorEastAsia" w:hAnsiTheme="majorEastAsia" w:eastAsiaTheme="majorEastAsia"/>
          <w:color w:val="auto"/>
          <w:sz w:val="24"/>
          <w:highlight w:val="none"/>
        </w:rPr>
        <w:t xml:space="preserve"> </w:t>
      </w:r>
      <w:r>
        <w:rPr>
          <w:rFonts w:hint="eastAsia" w:asciiTheme="majorEastAsia" w:hAnsiTheme="majorEastAsia" w:eastAsiaTheme="majorEastAsia"/>
          <w:color w:val="auto"/>
          <w:sz w:val="24"/>
          <w:highlight w:val="none"/>
        </w:rPr>
        <w:t xml:space="preserve"> </w:t>
      </w:r>
    </w:p>
    <w:p w14:paraId="7ED28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6CE3F9B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称：浙江省成套招标代理有限公司</w:t>
      </w:r>
    </w:p>
    <w:p w14:paraId="00EF4C9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址：杭州市文晖路42号现代置业大厦西楼1806室 </w:t>
      </w:r>
    </w:p>
    <w:p w14:paraId="775989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项目联系人（询问）：姚澎涛         </w:t>
      </w:r>
    </w:p>
    <w:p w14:paraId="4103AFB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项目联系方式（询问）：0571-87631165  13757108343 </w:t>
      </w:r>
    </w:p>
    <w:p w14:paraId="45795D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质疑联系人：冯东东             </w:t>
      </w:r>
    </w:p>
    <w:p w14:paraId="5C15CB8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质疑联系方式：0571-85331293 </w:t>
      </w:r>
    </w:p>
    <w:p w14:paraId="4B2EDA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5F8A11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4EBECB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89BF6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传    真： /</w:t>
      </w:r>
    </w:p>
    <w:p w14:paraId="624572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1D4BE907">
      <w:pPr>
        <w:pStyle w:val="13"/>
        <w:rPr>
          <w:rFonts w:hint="eastAsia" w:cs="宋体"/>
          <w:color w:val="auto"/>
          <w:highlight w:val="none"/>
        </w:rPr>
      </w:pPr>
      <w:r>
        <w:rPr>
          <w:rFonts w:hint="eastAsia" w:cs="宋体"/>
          <w:color w:val="auto"/>
          <w:highlight w:val="none"/>
        </w:rPr>
        <w:t>监督投诉电话：电话：</w:t>
      </w:r>
      <w:r>
        <w:rPr>
          <w:rFonts w:hint="eastAsia" w:cs="宋体"/>
          <w:color w:val="auto"/>
          <w:kern w:val="2"/>
          <w:highlight w:val="none"/>
        </w:rPr>
        <w:t xml:space="preserve">0571-87227671,0571-87800218 </w:t>
      </w:r>
      <w:r>
        <w:rPr>
          <w:rFonts w:hint="eastAsia" w:cs="宋体"/>
          <w:color w:val="auto"/>
          <w:highlight w:val="none"/>
        </w:rPr>
        <w:t xml:space="preserve">  </w:t>
      </w:r>
    </w:p>
    <w:p w14:paraId="0437772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EE2E3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132A857">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4F70EDC4">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A5E6214">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3AB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29" w:type="dxa"/>
            <w:tcBorders>
              <w:top w:val="single" w:color="auto" w:sz="4" w:space="0"/>
              <w:left w:val="single" w:color="auto" w:sz="4" w:space="0"/>
              <w:bottom w:val="single" w:color="auto" w:sz="4" w:space="0"/>
              <w:right w:val="single" w:color="auto" w:sz="4" w:space="0"/>
            </w:tcBorders>
          </w:tcPr>
          <w:p w14:paraId="51E565F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869B1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F9793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110B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59" w:hRule="atLeast"/>
        </w:trPr>
        <w:tc>
          <w:tcPr>
            <w:tcW w:w="629" w:type="dxa"/>
            <w:tcBorders>
              <w:top w:val="single" w:color="auto" w:sz="4" w:space="0"/>
              <w:left w:val="single" w:color="auto" w:sz="4" w:space="0"/>
              <w:bottom w:val="single" w:color="auto" w:sz="4" w:space="0"/>
              <w:right w:val="single" w:color="auto" w:sz="4" w:space="0"/>
            </w:tcBorders>
            <w:vAlign w:val="center"/>
          </w:tcPr>
          <w:p w14:paraId="3EE3EB2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C19C6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8DA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554D7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3" w:hRule="atLeast"/>
        </w:trPr>
        <w:tc>
          <w:tcPr>
            <w:tcW w:w="629" w:type="dxa"/>
            <w:tcBorders>
              <w:top w:val="single" w:color="auto" w:sz="4" w:space="0"/>
              <w:left w:val="single" w:color="auto" w:sz="4" w:space="0"/>
              <w:bottom w:val="single" w:color="auto" w:sz="4" w:space="0"/>
              <w:right w:val="single" w:color="auto" w:sz="4" w:space="0"/>
            </w:tcBorders>
            <w:vAlign w:val="center"/>
          </w:tcPr>
          <w:p w14:paraId="2A58D9C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A7C9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8F049D7">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杭州市第四人民医院（杭州市肿瘤医院）迁建工程桩基检测、基坑监测及沉降观测服务项目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tc>
      </w:tr>
      <w:tr w14:paraId="1FCD2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53" w:hRule="atLeast"/>
        </w:trPr>
        <w:tc>
          <w:tcPr>
            <w:tcW w:w="629" w:type="dxa"/>
            <w:tcBorders>
              <w:top w:val="single" w:color="auto" w:sz="4" w:space="0"/>
              <w:left w:val="single" w:color="auto" w:sz="4" w:space="0"/>
              <w:bottom w:val="single" w:color="auto" w:sz="4" w:space="0"/>
              <w:right w:val="single" w:color="auto" w:sz="4" w:space="0"/>
            </w:tcBorders>
            <w:vAlign w:val="center"/>
          </w:tcPr>
          <w:p w14:paraId="16EA95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77C6A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C76E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本项目不允许采购进口产品。</w:t>
            </w:r>
          </w:p>
          <w:p w14:paraId="4F3ADA14">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r>
              <w:rPr>
                <w:rFonts w:ascii="宋体" w:hAnsi="宋体" w:cs="宋体"/>
                <w:color w:val="auto"/>
                <w:kern w:val="0"/>
                <w:sz w:val="24"/>
                <w:highlight w:val="none"/>
              </w:rPr>
              <w:br w:type="textWrapping"/>
            </w:r>
            <w:sdt>
              <w:sdtPr>
                <w:rPr>
                  <w:rFonts w:hint="eastAsia" w:ascii="宋体" w:hAnsi="宋体" w:cs="宋体"/>
                  <w:color w:val="auto"/>
                  <w:kern w:val="0"/>
                  <w:sz w:val="24"/>
                  <w:highlight w:val="none"/>
                </w:rPr>
                <w:id w:val="-149009002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本项目不适用。</w:t>
            </w:r>
          </w:p>
        </w:tc>
      </w:tr>
      <w:tr w14:paraId="05257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89" w:hRule="atLeast"/>
        </w:trPr>
        <w:tc>
          <w:tcPr>
            <w:tcW w:w="629" w:type="dxa"/>
            <w:tcBorders>
              <w:top w:val="single" w:color="auto" w:sz="4" w:space="0"/>
              <w:left w:val="single" w:color="auto" w:sz="4" w:space="0"/>
              <w:bottom w:val="single" w:color="auto" w:sz="4" w:space="0"/>
              <w:right w:val="single" w:color="auto" w:sz="4" w:space="0"/>
            </w:tcBorders>
            <w:vAlign w:val="center"/>
          </w:tcPr>
          <w:p w14:paraId="1B6E971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A7BE79">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4315BA">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663543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资料整理 </w:t>
            </w:r>
            <w:r>
              <w:rPr>
                <w:rFonts w:hint="eastAsia" w:ascii="宋体" w:hAnsi="宋体" w:cs="宋体"/>
                <w:color w:val="auto"/>
                <w:sz w:val="24"/>
                <w:highlight w:val="none"/>
              </w:rPr>
              <w:t>工作分包。</w:t>
            </w:r>
          </w:p>
          <w:p w14:paraId="0AA55E7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735226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A5B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0999646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ADF29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40CB5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8C5E12A">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29BD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B3578D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D6AB18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9F39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173D13C">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14:paraId="432EC6A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4880F6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2C372E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1BE04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B7723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4A2C2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07F056">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4D83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2" w:hRule="atLeast"/>
        </w:trPr>
        <w:tc>
          <w:tcPr>
            <w:tcW w:w="629" w:type="dxa"/>
            <w:tcBorders>
              <w:top w:val="single" w:color="auto" w:sz="4" w:space="0"/>
              <w:left w:val="single" w:color="auto" w:sz="4" w:space="0"/>
              <w:bottom w:val="single" w:color="auto" w:sz="4" w:space="0"/>
              <w:right w:val="single" w:color="auto" w:sz="4" w:space="0"/>
            </w:tcBorders>
            <w:vAlign w:val="center"/>
          </w:tcPr>
          <w:p w14:paraId="4FD5337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24B11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B0DDC">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Segoe UI Symbol"/>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3F7B7A">
            <w:pPr>
              <w:snapToGrid w:val="0"/>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p w14:paraId="7670C6E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5F8B154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5BC601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6C04D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A69B883">
            <w:pPr>
              <w:pStyle w:val="22"/>
              <w:spacing w:line="360" w:lineRule="auto"/>
              <w:ind w:firstLine="0" w:firstLineChars="0"/>
              <w:rPr>
                <w:rFonts w:hint="eastAsia" w:ascii="宋体" w:hAnsi="宋体" w:eastAsia="宋体"/>
                <w:color w:val="auto"/>
                <w:sz w:val="24"/>
                <w:highlight w:val="none"/>
              </w:rPr>
            </w:pPr>
            <w:r>
              <w:rPr>
                <w:rFonts w:hint="eastAsia" w:ascii="仿宋" w:hAnsi="仿宋" w:eastAsia="仿宋"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4AD4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61" w:hRule="atLeast"/>
        </w:trPr>
        <w:tc>
          <w:tcPr>
            <w:tcW w:w="629" w:type="dxa"/>
            <w:vMerge w:val="restart"/>
            <w:tcBorders>
              <w:top w:val="single" w:color="auto" w:sz="4" w:space="0"/>
              <w:left w:val="single" w:color="auto" w:sz="4" w:space="0"/>
              <w:right w:val="single" w:color="auto" w:sz="4" w:space="0"/>
            </w:tcBorders>
            <w:vAlign w:val="center"/>
          </w:tcPr>
          <w:p w14:paraId="659BC7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43FB53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17AD1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570D7D">
            <w:pPr>
              <w:spacing w:line="360" w:lineRule="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7157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17" w:hRule="atLeast"/>
        </w:trPr>
        <w:tc>
          <w:tcPr>
            <w:tcW w:w="629" w:type="dxa"/>
            <w:vMerge w:val="continue"/>
            <w:tcBorders>
              <w:left w:val="single" w:color="auto" w:sz="4" w:space="0"/>
              <w:bottom w:val="single" w:color="auto" w:sz="4" w:space="0"/>
              <w:right w:val="single" w:color="auto" w:sz="4" w:space="0"/>
            </w:tcBorders>
          </w:tcPr>
          <w:p w14:paraId="2607914A">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B5D80A7">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D1D46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9C78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E0B49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1168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9B6D94">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99E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60DDE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1097F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3E7F4">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B065F1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E7A10CD">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BE36B9A">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A3D8C6">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EBFF800">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D9A7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76" w:hRule="atLeast"/>
        </w:trPr>
        <w:tc>
          <w:tcPr>
            <w:tcW w:w="629" w:type="dxa"/>
            <w:tcBorders>
              <w:top w:val="single" w:color="auto" w:sz="4" w:space="0"/>
              <w:left w:val="single" w:color="000000" w:sz="8" w:space="0"/>
              <w:right w:val="single" w:color="000000" w:sz="2" w:space="0"/>
            </w:tcBorders>
            <w:vAlign w:val="center"/>
          </w:tcPr>
          <w:p w14:paraId="4CBA63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599F8D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EEBF81F">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A4B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DE149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C8C67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376E4">
            <w:pPr>
              <w:pStyle w:val="10"/>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杭州市文晖路42号现代置业大厦西楼1806室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黄伟，13695706672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471E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CA9A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auto" w:sz="4" w:space="0"/>
              <w:left w:val="single" w:color="000000" w:sz="2" w:space="0"/>
              <w:bottom w:val="single" w:color="auto" w:sz="4" w:space="0"/>
              <w:right w:val="single" w:color="000000" w:sz="8" w:space="0"/>
            </w:tcBorders>
            <w:vAlign w:val="center"/>
          </w:tcPr>
          <w:p w14:paraId="03891A6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66624">
            <w:pPr>
              <w:numPr>
                <w:ilvl w:val="0"/>
                <w:numId w:val="1"/>
              </w:num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收费标准或金额为：4000元</w:t>
            </w:r>
          </w:p>
          <w:p w14:paraId="7F49378F">
            <w:pPr>
              <w:numPr>
                <w:ilvl w:val="0"/>
                <w:numId w:val="1"/>
              </w:num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结算方式及时间为：中标（成交）供应商在领取中标（成交）通知书时向受托人（采购代理机构）支付。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6E569E7">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1A1C8DA0">
            <w:pPr>
              <w:snapToGrid w:val="0"/>
              <w:spacing w:line="360" w:lineRule="auto"/>
              <w:rPr>
                <w:rFonts w:hint="eastAsia" w:ascii="宋体" w:hAnsi="宋体" w:cs="Arial"/>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A22C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1354D48">
            <w:pPr>
              <w:spacing w:line="360" w:lineRule="auto"/>
              <w:jc w:val="center"/>
              <w:rPr>
                <w:rFonts w:hint="eastAsia" w:ascii="宋体" w:hAnsi="宋体"/>
                <w:snapToGrid w:val="0"/>
                <w:color w:val="auto"/>
                <w:kern w:val="28"/>
                <w:sz w:val="24"/>
                <w:highlight w:val="none"/>
              </w:rPr>
            </w:pPr>
            <w:bookmarkStart w:id="16" w:name="第三部分"/>
            <w:bookmarkStart w:id="17" w:name="_Toc164416483"/>
            <w:r>
              <w:rPr>
                <w:rFonts w:hint="eastAsia" w:ascii="宋体" w:hAnsi="宋体"/>
                <w:snapToGrid w:val="0"/>
                <w:color w:val="auto"/>
                <w:kern w:val="28"/>
                <w:sz w:val="24"/>
                <w:highlight w:val="none"/>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64E2926E">
            <w:pPr>
              <w:spacing w:line="360" w:lineRule="auto"/>
              <w:jc w:val="center"/>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6318668B">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推荐中标候选人数量：1名</w:t>
            </w:r>
          </w:p>
        </w:tc>
      </w:tr>
      <w:bookmarkEnd w:id="10"/>
    </w:tbl>
    <w:p w14:paraId="626657F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0B4A74D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4271B74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1F90B75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D781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2.定义</w:t>
      </w:r>
    </w:p>
    <w:p w14:paraId="1F8317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321C6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1BBB6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95777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8F40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ABB0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02B0F4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9AD67F1">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3.采购项目需要落实的政府采购政策</w:t>
      </w:r>
    </w:p>
    <w:p w14:paraId="6C797D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BC590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54D2E9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D024C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C3BA4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6725A2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9DD8E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BD0A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640D0AF">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F92C9E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D5968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1598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992AE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481A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1E43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C0D2F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0F33D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E940B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07A8198">
      <w:pPr>
        <w:spacing w:line="360" w:lineRule="auto"/>
        <w:ind w:firstLine="480" w:firstLineChars="200"/>
        <w:rPr>
          <w:rFonts w:hint="eastAsia" w:ascii="宋体" w:hAnsi="宋体" w:cs="宋体"/>
          <w:color w:val="auto"/>
          <w:sz w:val="24"/>
          <w:highlight w:val="none"/>
        </w:rPr>
      </w:pPr>
      <w:r>
        <w:rPr>
          <w:rFonts w:hint="eastAsia" w:ascii="宋体" w:hAnsi="宋体" w:cs="仿宋"/>
          <w:color w:val="auto"/>
          <w:sz w:val="24"/>
          <w:highlight w:val="none"/>
        </w:rPr>
        <w:t>3.4.3 采购人应当贯彻落实知识产权保护相关法律法规，应当采购使用正版软件。</w:t>
      </w:r>
    </w:p>
    <w:p w14:paraId="36CA71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F5EAD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3E37A0AD">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4.询问、质疑、投诉、补偿救济</w:t>
      </w:r>
    </w:p>
    <w:p w14:paraId="771BE69C">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6ADFBE">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4.2供应商询问</w:t>
      </w:r>
    </w:p>
    <w:p w14:paraId="13163340">
      <w:pPr>
        <w:spacing w:line="360" w:lineRule="auto"/>
        <w:ind w:firstLine="420"/>
        <w:rPr>
          <w:rFonts w:hint="eastAsia" w:ascii="宋体" w:hAnsi="宋体" w:cs="宋体"/>
          <w:color w:val="auto"/>
          <w:sz w:val="24"/>
          <w:highlight w:val="none"/>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B8CCB4">
      <w:pPr>
        <w:spacing w:line="360" w:lineRule="auto"/>
        <w:ind w:firstLine="42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D9206E9">
      <w:pPr>
        <w:spacing w:line="360" w:lineRule="auto"/>
        <w:ind w:firstLine="42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w:t>
      </w:r>
      <w:r>
        <w:rPr>
          <w:rFonts w:hint="eastAsia" w:hAnsi="宋体" w:cs="宋体"/>
          <w:color w:val="auto"/>
          <w:kern w:val="0"/>
          <w:sz w:val="24"/>
          <w:highlight w:val="none"/>
          <w:lang w:val="zh-CN"/>
        </w:rPr>
        <w:t>供应商</w:t>
      </w:r>
      <w:r>
        <w:rPr>
          <w:rFonts w:hint="eastAsia" w:hAnsi="宋体" w:cs="宋体"/>
          <w:color w:val="auto"/>
          <w:sz w:val="24"/>
          <w:highlight w:val="none"/>
        </w:rPr>
        <w:t>应当是参与所质疑项目采购活动的投标人。潜在</w:t>
      </w:r>
      <w:r>
        <w:rPr>
          <w:rFonts w:hint="eastAsia" w:hAnsi="宋体" w:cs="宋体"/>
          <w:color w:val="auto"/>
          <w:kern w:val="0"/>
          <w:sz w:val="24"/>
          <w:highlight w:val="none"/>
          <w:lang w:val="zh-CN"/>
        </w:rPr>
        <w:t>供应商</w:t>
      </w:r>
      <w:r>
        <w:rPr>
          <w:rFonts w:hint="eastAsia" w:hAnsi="宋体" w:cs="宋体"/>
          <w:color w:val="auto"/>
          <w:sz w:val="24"/>
          <w:highlight w:val="none"/>
        </w:rPr>
        <w:t>已依法获取其可质疑的招标文件的，可以对该文件提出质疑。</w:t>
      </w:r>
    </w:p>
    <w:p w14:paraId="561FD33D">
      <w:pPr>
        <w:spacing w:line="360" w:lineRule="auto"/>
        <w:ind w:firstLine="42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kern w:val="0"/>
          <w:sz w:val="24"/>
          <w:highlight w:val="none"/>
          <w:lang w:val="zh-CN"/>
        </w:rPr>
        <w:t>供应商</w:t>
      </w:r>
      <w:r>
        <w:rPr>
          <w:rFonts w:hint="eastAsia" w:hAnsi="宋体" w:cs="宋体"/>
          <w:color w:val="auto"/>
          <w:sz w:val="24"/>
          <w:highlight w:val="none"/>
        </w:rPr>
        <w:t>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F7A6A6">
      <w:pPr>
        <w:spacing w:line="360" w:lineRule="auto"/>
        <w:ind w:firstLine="420"/>
        <w:rPr>
          <w:rFonts w:hint="eastAsia" w:hAnsi="宋体" w:cs="宋体"/>
          <w:color w:val="auto"/>
          <w:sz w:val="24"/>
          <w:highlight w:val="none"/>
        </w:rPr>
      </w:pPr>
      <w:r>
        <w:rPr>
          <w:rFonts w:hint="eastAsia" w:hAnsi="宋体" w:cs="宋体"/>
          <w:color w:val="auto"/>
          <w:sz w:val="24"/>
          <w:highlight w:val="none"/>
        </w:rPr>
        <w:t>4.3.2.1对招标文件提出质疑的，质疑期限为</w:t>
      </w:r>
      <w:r>
        <w:rPr>
          <w:rFonts w:hint="eastAsia" w:hAnsi="宋体" w:cs="宋体"/>
          <w:color w:val="auto"/>
          <w:kern w:val="0"/>
          <w:sz w:val="24"/>
          <w:highlight w:val="none"/>
          <w:lang w:val="zh-CN"/>
        </w:rPr>
        <w:t>供应商</w:t>
      </w:r>
      <w:r>
        <w:rPr>
          <w:rFonts w:hint="eastAsia" w:hAnsi="宋体" w:cs="宋体"/>
          <w:color w:val="auto"/>
          <w:sz w:val="24"/>
          <w:highlight w:val="none"/>
        </w:rPr>
        <w:t>获得招标文件之日或者招标文件公告期限届满之日起计算。</w:t>
      </w:r>
    </w:p>
    <w:p w14:paraId="40C0FFD4">
      <w:pPr>
        <w:spacing w:line="360" w:lineRule="auto"/>
        <w:ind w:firstLine="420"/>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7233378">
      <w:pPr>
        <w:spacing w:line="360" w:lineRule="auto"/>
        <w:ind w:firstLine="420"/>
        <w:rPr>
          <w:rFonts w:hint="eastAsia" w:ascii="宋体" w:hAnsi="宋体" w:cs="宋体"/>
          <w:color w:val="auto"/>
          <w:sz w:val="24"/>
          <w:highlight w:val="none"/>
        </w:rPr>
      </w:pPr>
      <w:r>
        <w:rPr>
          <w:rFonts w:hint="eastAsia" w:hAnsi="宋体" w:cs="宋体"/>
          <w:color w:val="auto"/>
          <w:kern w:val="0"/>
          <w:sz w:val="24"/>
          <w:highlight w:val="none"/>
          <w:lang w:val="zh-CN"/>
        </w:rPr>
        <w:t>4.3.3供应商</w:t>
      </w:r>
      <w:r>
        <w:rPr>
          <w:rFonts w:hint="eastAsia" w:hAnsi="宋体" w:cs="宋体"/>
          <w:color w:val="auto"/>
          <w:sz w:val="24"/>
          <w:highlight w:val="none"/>
        </w:rPr>
        <w:t>提出质疑应当提交质疑函和必要的证明材料。质疑函应当包括下列内容：</w:t>
      </w:r>
    </w:p>
    <w:p w14:paraId="2C7A5910">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CB785D0">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9575F2">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BDAA8A5">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E8492B7">
      <w:pPr>
        <w:pStyle w:val="10"/>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EFD48FA">
      <w:pPr>
        <w:pStyle w:val="10"/>
        <w:spacing w:line="360" w:lineRule="auto"/>
        <w:ind w:firstLine="720" w:firstLineChars="3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5E57823">
      <w:pPr>
        <w:pStyle w:val="23"/>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供应商</w:t>
      </w:r>
      <w:r>
        <w:rPr>
          <w:rFonts w:hint="eastAsia"/>
          <w:color w:val="auto"/>
          <w:highlight w:val="none"/>
        </w:rPr>
        <w:t>提交的质疑函需一式三份。</w:t>
      </w:r>
      <w:r>
        <w:rPr>
          <w:rFonts w:hint="eastAsia"/>
          <w:color w:val="auto"/>
          <w:highlight w:val="none"/>
          <w:lang w:val="zh-CN"/>
        </w:rPr>
        <w:t>供应商</w:t>
      </w:r>
      <w:r>
        <w:rPr>
          <w:rFonts w:hint="eastAsia"/>
          <w:color w:val="auto"/>
          <w:highlight w:val="none"/>
        </w:rPr>
        <w:t>为自然人的，应当由本人签字；</w:t>
      </w:r>
      <w:r>
        <w:rPr>
          <w:rFonts w:hint="eastAsia"/>
          <w:color w:val="auto"/>
          <w:highlight w:val="none"/>
          <w:lang w:val="zh-CN"/>
        </w:rPr>
        <w:t>供应商</w:t>
      </w:r>
      <w:r>
        <w:rPr>
          <w:rFonts w:hint="eastAsia"/>
          <w:color w:val="auto"/>
          <w:highlight w:val="none"/>
        </w:rPr>
        <w:t>为法人或者其他组织的，应当由法定代表人、主要负责人，或者其授权代表签字或者盖章，并加盖公章。</w:t>
      </w:r>
    </w:p>
    <w:p w14:paraId="0F3E9DFA">
      <w:pPr>
        <w:pStyle w:val="23"/>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703F2954">
      <w:pPr>
        <w:pStyle w:val="23"/>
        <w:shd w:val="clear" w:color="auto" w:fill="FFFFFF"/>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w:t>
      </w:r>
      <w:r>
        <w:rPr>
          <w:rFonts w:hint="eastAsia"/>
          <w:color w:val="auto"/>
          <w:highlight w:val="none"/>
          <w:lang w:val="zh-CN"/>
        </w:rPr>
        <w:t>供应商</w:t>
      </w:r>
      <w:r>
        <w:rPr>
          <w:rFonts w:hint="eastAsia"/>
          <w:color w:val="auto"/>
          <w:highlight w:val="none"/>
        </w:rPr>
        <w:t>须在法定质疑期内一次性提出。</w:t>
      </w:r>
    </w:p>
    <w:p w14:paraId="42216D7B">
      <w:pPr>
        <w:pStyle w:val="2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w:t>
      </w:r>
      <w:r>
        <w:rPr>
          <w:rFonts w:hint="eastAsia"/>
          <w:color w:val="auto"/>
          <w:highlight w:val="none"/>
          <w:lang w:val="zh-CN"/>
        </w:rPr>
        <w:t>供应商</w:t>
      </w:r>
      <w:r>
        <w:rPr>
          <w:rFonts w:hint="eastAsia"/>
          <w:color w:val="auto"/>
          <w:highlight w:val="none"/>
        </w:rPr>
        <w:t>的书面质疑后七个工作日内作出答复，并以书面形式通知质疑</w:t>
      </w:r>
      <w:r>
        <w:rPr>
          <w:rFonts w:hint="eastAsia"/>
          <w:color w:val="auto"/>
          <w:highlight w:val="none"/>
          <w:lang w:val="zh-CN"/>
        </w:rPr>
        <w:t>供应商</w:t>
      </w:r>
      <w:r>
        <w:rPr>
          <w:rFonts w:hint="eastAsia"/>
          <w:color w:val="auto"/>
          <w:highlight w:val="none"/>
        </w:rPr>
        <w:t>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771EC2A">
      <w:pPr>
        <w:pStyle w:val="23"/>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87DD0FE">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5DC7498F">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4.4.1质疑</w:t>
      </w:r>
      <w:r>
        <w:rPr>
          <w:rFonts w:hint="eastAsia"/>
          <w:color w:val="auto"/>
          <w:highlight w:val="none"/>
          <w:lang w:val="zh-CN"/>
        </w:rPr>
        <w:t>供应商</w:t>
      </w:r>
      <w:r>
        <w:rPr>
          <w:rFonts w:hint="eastAsia"/>
          <w:color w:val="auto"/>
          <w:highlight w:val="none"/>
        </w:rPr>
        <w:t>对采购人、采购代理机构的答复不满意或者采购人、采购代理机构未在规定的时间内作出答复的，可以在答复期满后十五个工作日内向同级政府采购监督管理部门提出投诉。</w:t>
      </w:r>
    </w:p>
    <w:p w14:paraId="415DD003">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w:t>
      </w:r>
      <w:r>
        <w:rPr>
          <w:rFonts w:hint="eastAsia"/>
          <w:color w:val="auto"/>
          <w:highlight w:val="none"/>
          <w:lang w:val="zh-CN"/>
        </w:rPr>
        <w:t>2供应商</w:t>
      </w:r>
      <w:r>
        <w:rPr>
          <w:rFonts w:hint="eastAsia"/>
          <w:color w:val="auto"/>
          <w:highlight w:val="none"/>
        </w:rPr>
        <w:t>投诉的事项不得超出已质疑事项的范围，基于质疑答复内容提出的投诉事项除外。</w:t>
      </w:r>
    </w:p>
    <w:p w14:paraId="4701CD7E">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4.4.3</w:t>
      </w:r>
      <w:r>
        <w:rPr>
          <w:rFonts w:hint="eastAsia"/>
          <w:color w:val="auto"/>
          <w:highlight w:val="none"/>
          <w:lang w:val="zh-CN"/>
        </w:rPr>
        <w:t>供应商</w:t>
      </w:r>
      <w:r>
        <w:rPr>
          <w:rFonts w:hint="eastAsia"/>
          <w:color w:val="auto"/>
          <w:highlight w:val="none"/>
        </w:rPr>
        <w:t>投诉应当有明确的请求和必要的证明材料。</w:t>
      </w:r>
    </w:p>
    <w:p w14:paraId="2B3542C7">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4.4.4以联合体形式参加政府采购活动的，其投诉应当由组成联合体的所有</w:t>
      </w:r>
      <w:r>
        <w:rPr>
          <w:rFonts w:hint="eastAsia"/>
          <w:color w:val="auto"/>
          <w:highlight w:val="none"/>
          <w:lang w:val="zh-CN"/>
        </w:rPr>
        <w:t>供应商</w:t>
      </w:r>
      <w:r>
        <w:rPr>
          <w:rFonts w:hint="eastAsia"/>
          <w:color w:val="auto"/>
          <w:highlight w:val="none"/>
        </w:rPr>
        <w:t>共同提出。</w:t>
      </w:r>
    </w:p>
    <w:p w14:paraId="354F8444">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4.4.5浙江省本级、杭州市本级、拱墅区、富阳区政府采购项目投诉材料可寄送浙江省政府采购行政裁决服务中心（杭州），地址：杭州市上城区清泰街549号城建综合大楼11楼，收件人：朱女士、王女士，电话：</w:t>
      </w:r>
      <w:r>
        <w:rPr>
          <w:rFonts w:hint="eastAsia"/>
          <w:color w:val="auto"/>
          <w:kern w:val="2"/>
          <w:highlight w:val="none"/>
        </w:rPr>
        <w:t>0571-87227671,0571-87800218</w:t>
      </w:r>
      <w:r>
        <w:rPr>
          <w:rFonts w:hint="eastAsia"/>
          <w:color w:val="auto"/>
          <w:highlight w:val="none"/>
        </w:rPr>
        <w:t>。</w:t>
      </w:r>
    </w:p>
    <w:p w14:paraId="4691F27B">
      <w:pPr>
        <w:pStyle w:val="23"/>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投诉书范本及制作说明详见附件3。</w:t>
      </w:r>
    </w:p>
    <w:p w14:paraId="681020FD">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4.5 补偿救济</w:t>
      </w:r>
    </w:p>
    <w:p w14:paraId="4DCE6E9D">
      <w:pPr>
        <w:pStyle w:val="23"/>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rPr>
        <w:t>采购人（行政机关）因政策变化、规划调整而不履行政府采购合同的，</w:t>
      </w:r>
      <w:r>
        <w:rPr>
          <w:rFonts w:hint="eastAsia"/>
          <w:color w:val="auto"/>
          <w:highlight w:val="none"/>
          <w:lang w:val="zh-CN"/>
        </w:rPr>
        <w:t>供应商</w:t>
      </w:r>
      <w:r>
        <w:rPr>
          <w:rFonts w:hint="eastAsia"/>
          <w:color w:val="auto"/>
          <w:highlight w:val="none"/>
        </w:rPr>
        <w:t>可依据《杭州市涉企补偿救济实施办法（试行）》向采购人（行政机关）提起补偿申请。</w:t>
      </w:r>
    </w:p>
    <w:p w14:paraId="03765BA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EA798C4">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E9C9BC1">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90FFB07">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051E1310">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DCE0648">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3D3DE36">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42008061">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2849DD03">
      <w:pPr>
        <w:pStyle w:val="10"/>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4B072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0221A6E">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675CEA91">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kern w:val="0"/>
          <w:highlight w:val="none"/>
          <w:lang w:val="zh-CN"/>
        </w:rPr>
        <w:t>供应商</w:t>
      </w:r>
      <w:r>
        <w:rPr>
          <w:rFonts w:hint="eastAsia" w:ascii="宋体" w:hAnsi="宋体" w:cs="宋体"/>
          <w:color w:val="auto"/>
          <w:highlight w:val="none"/>
        </w:rPr>
        <w:t>，若有问题需要澄清，应于投标截止时间前，以书面形式向采购代理机构提出。</w:t>
      </w:r>
    </w:p>
    <w:p w14:paraId="729F9936">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w:t>
      </w:r>
      <w:r>
        <w:rPr>
          <w:rFonts w:hint="eastAsia" w:ascii="宋体" w:hAnsi="宋体" w:cs="宋体"/>
          <w:color w:val="auto"/>
          <w:kern w:val="0"/>
          <w:highlight w:val="none"/>
          <w:lang w:val="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6FC592F7">
      <w:pPr>
        <w:pStyle w:val="24"/>
        <w:snapToGrid w:val="0"/>
        <w:spacing w:before="0"/>
        <w:ind w:firstLine="480"/>
        <w:rPr>
          <w:rFonts w:hint="eastAsia" w:ascii="宋体" w:hAnsi="宋体" w:cs="宋体"/>
          <w:color w:val="auto"/>
          <w:highlight w:val="none"/>
        </w:rPr>
      </w:pPr>
    </w:p>
    <w:p w14:paraId="09A412BB">
      <w:pPr>
        <w:pStyle w:val="8"/>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766F534B">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27DB4967">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229BB04A">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9C6BF61">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68A8C46D">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采购人组织潜在投标人现场考察或者召开开标前答疑会的，潜在供应商按第二部分投标人须知前附表的规定参加现场考察或者开标前答疑会。</w:t>
      </w:r>
    </w:p>
    <w:p w14:paraId="2D8481C9">
      <w:pPr>
        <w:pStyle w:val="10"/>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F73BCFB">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2625D588">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10.投标文件的语言</w:t>
      </w:r>
    </w:p>
    <w:p w14:paraId="147D8EE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FE04594">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11.投标文件的组成</w:t>
      </w:r>
    </w:p>
    <w:p w14:paraId="49DA1CCD">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4F8FBCB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48777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F1B59F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落实政府采购政策需满足的资格要求（如果有）；</w:t>
      </w:r>
    </w:p>
    <w:p w14:paraId="0757DEE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0F3356">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4F3147E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0A044B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F789AC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D6F2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11C3EA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9CBCA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FF06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9F9113">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C8D7F36">
      <w:pPr>
        <w:snapToGrid w:val="0"/>
        <w:spacing w:line="360" w:lineRule="auto"/>
        <w:ind w:firstLine="482" w:firstLineChars="200"/>
        <w:rPr>
          <w:rFonts w:hint="eastAsia"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B56176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0CBB92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11.3.2分项报价表；</w:t>
      </w:r>
    </w:p>
    <w:p w14:paraId="028A1F8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 报价情况说明（如投标人报价低于项目预算50%的，应当提交本文档，详细阐述不影响产品质量或者诚信履约的具体原因）；</w:t>
      </w:r>
    </w:p>
    <w:p w14:paraId="07E921A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11.3.4中小企业声明函（资格文件中须提供中小企业声明函的，则报价文件中无须提供）。</w:t>
      </w:r>
    </w:p>
    <w:p w14:paraId="15BD4E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A7969DF">
      <w:pPr>
        <w:spacing w:line="360" w:lineRule="auto"/>
        <w:ind w:firstLine="482" w:firstLineChars="2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r>
        <w:rPr>
          <w:rFonts w:hint="eastAsia"/>
          <w:color w:val="auto"/>
          <w:sz w:val="24"/>
          <w:highlight w:val="none"/>
          <w:shd w:val="clear" w:color="auto" w:fill="FFFFFF"/>
        </w:rPr>
        <w:t>投标人应对投标文件中材料的真实性、合法性负责</w:t>
      </w:r>
    </w:p>
    <w:p w14:paraId="3EDF5163">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12.投标文件的编制</w:t>
      </w:r>
    </w:p>
    <w:p w14:paraId="18421C1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3C8DB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14E2B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4A8CC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58068EC5">
      <w:pPr>
        <w:pStyle w:val="24"/>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A0006C">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B3CF572">
      <w:pPr>
        <w:pStyle w:val="24"/>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CA0D175">
      <w:pPr>
        <w:pStyle w:val="2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20905471">
      <w:pPr>
        <w:pStyle w:val="2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042BD8">
      <w:pPr>
        <w:pStyle w:val="2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2712F189">
      <w:pPr>
        <w:pStyle w:val="24"/>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C8D61C">
      <w:pPr>
        <w:pStyle w:val="1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5FCAB2A2">
      <w:pPr>
        <w:pStyle w:val="10"/>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E33CF1C">
      <w:pPr>
        <w:pStyle w:val="10"/>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49D5258">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26CC679">
      <w:pPr>
        <w:pStyle w:val="1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206D4E4">
      <w:pPr>
        <w:pStyle w:val="10"/>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B220CDD">
      <w:pPr>
        <w:pStyle w:val="2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2454528D">
      <w:pPr>
        <w:pStyle w:val="2"/>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1EFC403">
      <w:pPr>
        <w:pStyle w:val="2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763F8A4B">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EA94BF7">
      <w:pPr>
        <w:pStyle w:val="24"/>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FD43226">
      <w:pPr>
        <w:pStyle w:val="24"/>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A94B98A">
      <w:pPr>
        <w:pStyle w:val="24"/>
        <w:spacing w:before="0"/>
        <w:ind w:firstLine="643"/>
        <w:rPr>
          <w:rFonts w:hint="eastAsia" w:ascii="宋体" w:hAnsi="宋体" w:cs="宋体"/>
          <w:b/>
          <w:color w:val="auto"/>
          <w:sz w:val="32"/>
          <w:highlight w:val="none"/>
        </w:rPr>
      </w:pPr>
    </w:p>
    <w:p w14:paraId="469EC5E3">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四、开标、资格审查与信用信息查询</w:t>
      </w:r>
    </w:p>
    <w:p w14:paraId="541A7EBD">
      <w:pPr>
        <w:pStyle w:val="25"/>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7CFA5F">
      <w:pPr>
        <w:pStyle w:val="2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09DBC98">
      <w:pPr>
        <w:pStyle w:val="2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E58E1E5">
      <w:pPr>
        <w:pStyle w:val="2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2DEDD65">
      <w:pPr>
        <w:widowControl/>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AE01EF1">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19.1开标后，采购人或采购代理机构将依法对投标人的资格进行审查。</w:t>
      </w:r>
    </w:p>
    <w:p w14:paraId="630FE6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采购人或采购代理机构依据法律法规和招标文件的规定，对投标人的资格进行审查。</w:t>
      </w:r>
    </w:p>
    <w:p w14:paraId="741186F6">
      <w:pPr>
        <w:pStyle w:val="2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737ED5">
      <w:pPr>
        <w:pStyle w:val="2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4对未通过资格审查的投标人，采购人或采购代理机构告知其未通过的原因。</w:t>
      </w:r>
    </w:p>
    <w:p w14:paraId="6CD587C5">
      <w:pPr>
        <w:pStyle w:val="24"/>
        <w:snapToGrid w:val="0"/>
        <w:spacing w:before="0"/>
        <w:ind w:firstLine="482"/>
        <w:rPr>
          <w:rFonts w:hint="eastAsia" w:ascii="宋体" w:hAnsi="宋体" w:cs="宋体"/>
          <w:b/>
          <w:bCs/>
          <w:color w:val="auto"/>
          <w:highlight w:val="none"/>
        </w:rPr>
      </w:pPr>
      <w:r>
        <w:rPr>
          <w:rFonts w:ascii="宋体" w:hAnsi="宋体" w:cs="宋体"/>
          <w:b/>
          <w:bCs/>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6C67AF7">
      <w:pPr>
        <w:pStyle w:val="2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6合格投标人不足3家的，不再评标。</w:t>
      </w:r>
    </w:p>
    <w:p w14:paraId="17682CE0">
      <w:pPr>
        <w:pStyle w:val="24"/>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28E4A5F">
      <w:pPr>
        <w:pStyle w:val="2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7C7CC71">
      <w:pPr>
        <w:pStyle w:val="2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6FAF227">
      <w:pPr>
        <w:pStyle w:val="24"/>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428999C">
      <w:pPr>
        <w:pStyle w:val="2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499CE89">
      <w:pPr>
        <w:pStyle w:val="24"/>
        <w:spacing w:before="0"/>
        <w:ind w:firstLine="0" w:firstLineChars="0"/>
        <w:rPr>
          <w:rFonts w:hint="eastAsia" w:ascii="宋体" w:hAnsi="宋体" w:cs="宋体"/>
          <w:color w:val="auto"/>
          <w:kern w:val="0"/>
          <w:szCs w:val="24"/>
          <w:highlight w:val="none"/>
        </w:rPr>
      </w:pPr>
    </w:p>
    <w:p w14:paraId="5B9547F1">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08F5D128">
      <w:pPr>
        <w:spacing w:line="360" w:lineRule="auto"/>
        <w:rPr>
          <w:rFonts w:hint="eastAsia"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9658E86">
      <w:pPr>
        <w:spacing w:line="360" w:lineRule="auto"/>
        <w:rPr>
          <w:rFonts w:hint="eastAsia" w:ascii="宋体" w:hAnsi="宋体" w:cs="宋体"/>
          <w:b/>
          <w:color w:val="auto"/>
          <w:sz w:val="24"/>
          <w:highlight w:val="none"/>
        </w:rPr>
      </w:pPr>
    </w:p>
    <w:p w14:paraId="28197DD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六、定标</w:t>
      </w:r>
    </w:p>
    <w:p w14:paraId="74FDDF7F">
      <w:pPr>
        <w:pStyle w:val="2"/>
        <w:spacing w:line="360" w:lineRule="auto"/>
        <w:ind w:left="479" w:hanging="479" w:hangingChars="199"/>
        <w:rPr>
          <w:rFonts w:hint="eastAsia" w:cs="宋体"/>
          <w:b/>
          <w:color w:val="auto"/>
          <w:highlight w:val="none"/>
        </w:rPr>
      </w:pPr>
      <w:r>
        <w:rPr>
          <w:rFonts w:hint="eastAsia" w:cs="宋体"/>
          <w:b/>
          <w:color w:val="auto"/>
          <w:highlight w:val="none"/>
        </w:rPr>
        <w:t>22.确定中标人</w:t>
      </w:r>
    </w:p>
    <w:p w14:paraId="4A73FA08">
      <w:pPr>
        <w:pStyle w:val="2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提高政府采购效率，一般在收到评审报告当天确定中标人，采购代理机构应当依法及时将评审报告在线送交采购人。采购单位应当自收到评审报告之日起2个工作日内在线确定中标人。中标、成交通知书和中标、成交结果公告应当在规定时间内同时发出。</w:t>
      </w:r>
      <w:r>
        <w:rPr>
          <w:rFonts w:hint="eastAsia" w:ascii="宋体" w:hAnsi="宋体" w:cs="宋体"/>
          <w:bCs/>
          <w:color w:val="auto"/>
          <w:szCs w:val="24"/>
          <w:highlight w:val="none"/>
        </w:rPr>
        <w:t>由于中标、成交人原因导致重新采购的，中标、成交人应当承担支付代理费和专家评审费等费用在内的赔偿责任。</w:t>
      </w:r>
    </w:p>
    <w:p w14:paraId="5E4BD826">
      <w:pPr>
        <w:pStyle w:val="24"/>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1EB0227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6260D7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9" w:name="_Hlk101184471"/>
      <w:r>
        <w:rPr>
          <w:rFonts w:hint="eastAsia" w:ascii="宋体" w:hAnsi="宋体" w:cs="宋体"/>
          <w:color w:val="auto"/>
          <w:sz w:val="24"/>
          <w:highlight w:val="none"/>
        </w:rPr>
        <w:t>资格审查情况、评审专家抽取规则、符合性审查情况、</w:t>
      </w:r>
      <w:bookmarkEnd w:id="19"/>
      <w:r>
        <w:rPr>
          <w:rFonts w:hint="eastAsia" w:ascii="宋体" w:hAnsi="宋体" w:cs="宋体"/>
          <w:color w:val="auto"/>
          <w:sz w:val="24"/>
          <w:highlight w:val="none"/>
        </w:rPr>
        <w:t>未中标情况说明、中标公告期限以及评审专家名单、评分汇总及明细。</w:t>
      </w:r>
    </w:p>
    <w:p w14:paraId="5CDF3B7C">
      <w:pPr>
        <w:pStyle w:val="24"/>
        <w:snapToGrid w:val="0"/>
        <w:spacing w:before="0"/>
        <w:ind w:firstLine="480"/>
        <w:rPr>
          <w:color w:val="auto"/>
          <w:sz w:val="21"/>
          <w:szCs w:val="21"/>
          <w:highlight w:val="none"/>
        </w:rPr>
      </w:pPr>
      <w:r>
        <w:rPr>
          <w:rFonts w:hint="eastAsia" w:ascii="宋体" w:hAnsi="宋体" w:cs="宋体"/>
          <w:color w:val="auto"/>
          <w:highlight w:val="none"/>
        </w:rPr>
        <w:t>23.3公告期限为1个工作日。</w:t>
      </w:r>
    </w:p>
    <w:p w14:paraId="7AF9F928">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62D8700F">
      <w:pPr>
        <w:pStyle w:val="2"/>
        <w:spacing w:line="360" w:lineRule="auto"/>
        <w:ind w:left="479" w:hanging="479" w:hangingChars="199"/>
        <w:rPr>
          <w:rFonts w:hint="eastAsia"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244FEB75">
      <w:pPr>
        <w:pStyle w:val="2"/>
        <w:spacing w:line="360" w:lineRule="auto"/>
        <w:ind w:left="479" w:hanging="479" w:hangingChars="199"/>
        <w:rPr>
          <w:rFonts w:hint="eastAsia" w:cs="宋体"/>
          <w:b/>
          <w:color w:val="auto"/>
          <w:highlight w:val="none"/>
        </w:rPr>
      </w:pPr>
      <w:r>
        <w:rPr>
          <w:rFonts w:hint="eastAsia" w:cs="宋体"/>
          <w:b/>
          <w:color w:val="auto"/>
          <w:highlight w:val="none"/>
        </w:rPr>
        <w:t>25.合同的签订</w:t>
      </w:r>
    </w:p>
    <w:p w14:paraId="2908B295">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14:paraId="4DB7D81E">
      <w:pPr>
        <w:pStyle w:val="24"/>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EAD682">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25.3如签订合同并生效后，中标人无故拒绝或延期，除按照合同条款处理外，列入不良行为记录一次，并给予通报。</w:t>
      </w:r>
    </w:p>
    <w:p w14:paraId="6C340A5F">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237ED3DA">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w:t>
      </w:r>
    </w:p>
    <w:p w14:paraId="5392170E">
      <w:pPr>
        <w:pStyle w:val="2"/>
        <w:spacing w:line="360" w:lineRule="auto"/>
        <w:ind w:left="479" w:hanging="479" w:hangingChars="199"/>
        <w:rPr>
          <w:rFonts w:hint="eastAsia" w:cs="宋体"/>
          <w:b/>
          <w:color w:val="auto"/>
          <w:highlight w:val="none"/>
        </w:rPr>
      </w:pPr>
      <w:r>
        <w:rPr>
          <w:rFonts w:hint="eastAsia" w:cs="宋体"/>
          <w:b/>
          <w:color w:val="auto"/>
          <w:highlight w:val="none"/>
        </w:rPr>
        <w:t xml:space="preserve">26. 履约保证金 </w:t>
      </w:r>
    </w:p>
    <w:p w14:paraId="268B4B28">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拟签订的合同文本要求中标人提交履约保证金的，投标人应当以支票、汇票、本票或者金融机构、担保机构出具的保函等非现金形式提交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%。鼓励和支持投标人以银行、保险公司出具的保函形式提供履约保证金。采购人不得拒收履约保函，项目验收结束后应及时退还，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投标人可登录政采云平台-【金融服务】—【我的项目】—【已备案合同】以保函形式提供：1、投标人在合同列表选择需要投保的合同，点击[保函推荐]。2、在弹框里查看推荐的保函产品，投标人自行选择保函产品，点击[立即申请]。3、在弹框里填写保函申请信息。具体步骤：选择产品—填写投标人信息—选择中标项目—确认信息—等待保险/保函受理—确认保单—支付保费—成功出单。政采云金融专线400-903-9583。</w:t>
      </w:r>
    </w:p>
    <w:p w14:paraId="48CEF38E">
      <w:pPr>
        <w:tabs>
          <w:tab w:val="left" w:pos="0"/>
        </w:tabs>
        <w:wordWrap w:val="0"/>
        <w:spacing w:line="360" w:lineRule="auto"/>
        <w:rPr>
          <w:rFonts w:hint="eastAsia" w:ascii="宋体" w:hAnsi="宋体" w:cs="仿宋"/>
          <w:b/>
          <w:color w:val="auto"/>
          <w:sz w:val="24"/>
          <w:highlight w:val="none"/>
        </w:rPr>
      </w:pPr>
      <w:r>
        <w:rPr>
          <w:rFonts w:hint="eastAsia" w:ascii="宋体" w:hAnsi="宋体" w:cs="仿宋"/>
          <w:b/>
          <w:color w:val="auto"/>
          <w:sz w:val="24"/>
          <w:highlight w:val="none"/>
        </w:rPr>
        <w:t>27.预付款</w:t>
      </w:r>
    </w:p>
    <w:p w14:paraId="46626700">
      <w:pPr>
        <w:tabs>
          <w:tab w:val="left" w:pos="0"/>
        </w:tabs>
        <w:wordWrap w:val="0"/>
        <w:spacing w:line="360" w:lineRule="auto"/>
        <w:ind w:firstLine="482"/>
        <w:rPr>
          <w:rFonts w:hint="eastAsia" w:ascii="宋体" w:hAnsi="宋体" w:cs="仿宋"/>
          <w:color w:val="auto"/>
          <w:kern w:val="0"/>
          <w:sz w:val="24"/>
          <w:highlight w:val="none"/>
        </w:rPr>
      </w:pPr>
      <w:r>
        <w:rPr>
          <w:rFonts w:hint="eastAsia" w:ascii="宋体" w:hAnsi="宋体"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81651BA">
      <w:pPr>
        <w:snapToGrid w:val="0"/>
        <w:spacing w:line="360" w:lineRule="auto"/>
        <w:rPr>
          <w:rFonts w:hint="eastAsia" w:ascii="宋体" w:hAnsi="宋体" w:cs="宋体"/>
          <w:b/>
          <w:color w:val="auto"/>
          <w:sz w:val="32"/>
          <w:highlight w:val="none"/>
        </w:rPr>
      </w:pPr>
    </w:p>
    <w:p w14:paraId="1B4A2789">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06DB79E1">
      <w:pPr>
        <w:pStyle w:val="24"/>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CDF6EAD">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2A5B6B2">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A5E87F4">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928BD0">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C0A5AE4">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4DBCBC">
      <w:pPr>
        <w:pStyle w:val="24"/>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54E6552">
      <w:pPr>
        <w:tabs>
          <w:tab w:val="left" w:pos="0"/>
        </w:tabs>
        <w:spacing w:line="360" w:lineRule="auto"/>
        <w:ind w:firstLine="480"/>
        <w:rPr>
          <w:rFonts w:hint="eastAsia" w:ascii="宋体" w:hAnsi="宋体" w:cs="宋体"/>
          <w:color w:val="auto"/>
          <w:sz w:val="24"/>
          <w:highlight w:val="none"/>
        </w:rPr>
      </w:pPr>
    </w:p>
    <w:p w14:paraId="7B91B94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九、验收</w:t>
      </w:r>
    </w:p>
    <w:p w14:paraId="207DC55E">
      <w:pPr>
        <w:pStyle w:val="2"/>
        <w:spacing w:line="360" w:lineRule="auto"/>
        <w:ind w:firstLine="0" w:firstLineChars="0"/>
        <w:rPr>
          <w:rFonts w:hint="eastAsia" w:cs="宋体"/>
          <w:b/>
          <w:color w:val="auto"/>
          <w:highlight w:val="none"/>
        </w:rPr>
      </w:pPr>
      <w:r>
        <w:rPr>
          <w:rFonts w:hint="eastAsia" w:cs="宋体"/>
          <w:b/>
          <w:color w:val="auto"/>
          <w:highlight w:val="none"/>
        </w:rPr>
        <w:t>30.验收</w:t>
      </w:r>
    </w:p>
    <w:p w14:paraId="1409624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0BB09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683055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70F569">
      <w:pPr>
        <w:tabs>
          <w:tab w:val="left" w:pos="0"/>
        </w:tabs>
        <w:spacing w:line="360" w:lineRule="auto"/>
        <w:ind w:firstLine="482"/>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20" w:name="_Hlt74707468"/>
      <w:bookmarkEnd w:id="20"/>
      <w:bookmarkStart w:id="21" w:name="_Hlt68072990"/>
      <w:bookmarkEnd w:id="21"/>
      <w:bookmarkStart w:id="22" w:name="_Hlt68057669"/>
      <w:bookmarkEnd w:id="22"/>
      <w:bookmarkStart w:id="23" w:name="_Hlt75236011"/>
      <w:bookmarkEnd w:id="23"/>
      <w:bookmarkStart w:id="24" w:name="_Hlt74729768"/>
      <w:bookmarkEnd w:id="24"/>
      <w:bookmarkStart w:id="25" w:name="_Hlt68072998"/>
      <w:bookmarkEnd w:id="25"/>
      <w:bookmarkStart w:id="26" w:name="_Hlt75236290"/>
      <w:bookmarkEnd w:id="26"/>
      <w:bookmarkStart w:id="27" w:name="_Hlt68073093"/>
      <w:bookmarkEnd w:id="27"/>
      <w:bookmarkStart w:id="28" w:name="_Hlt68403820"/>
      <w:bookmarkEnd w:id="28"/>
      <w:bookmarkStart w:id="29" w:name="_Hlt74714665"/>
      <w:bookmarkEnd w:id="29"/>
      <w:bookmarkStart w:id="30" w:name="_Hlt74730295"/>
      <w:bookmarkEnd w:id="30"/>
      <w:bookmarkStart w:id="31" w:name="_Hlt75236101"/>
      <w:bookmarkEnd w:id="31"/>
    </w:p>
    <w:p w14:paraId="4FBA9101">
      <w:pPr>
        <w:pStyle w:val="26"/>
        <w:spacing w:line="360" w:lineRule="auto"/>
        <w:ind w:firstLine="482" w:firstLineChars="0"/>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6"/>
    <w:bookmarkEnd w:id="17"/>
    <w:p w14:paraId="5A110396">
      <w:pPr>
        <w:spacing w:line="360" w:lineRule="auto"/>
        <w:jc w:val="center"/>
        <w:outlineLvl w:val="0"/>
        <w:rPr>
          <w:rFonts w:hint="eastAsia"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14:paraId="59C371A0">
      <w:pPr>
        <w:spacing w:line="360" w:lineRule="auto"/>
        <w:outlineLvl w:val="0"/>
        <w:rPr>
          <w:rFonts w:hint="eastAsia" w:ascii="宋体" w:hAnsi="宋体" w:cs="宋体"/>
          <w:color w:val="auto"/>
          <w:kern w:val="0"/>
          <w:sz w:val="24"/>
          <w:highlight w:val="none"/>
        </w:rPr>
      </w:pPr>
      <w:r>
        <w:rPr>
          <w:rFonts w:hint="eastAsia" w:ascii="宋体" w:hAnsi="宋体" w:cs="宋体"/>
          <w:b/>
          <w:bCs/>
          <w:color w:val="auto"/>
          <w:sz w:val="24"/>
          <w:highlight w:val="none"/>
        </w:rPr>
        <w:t>一、项目概况</w:t>
      </w:r>
    </w:p>
    <w:p w14:paraId="39EAE2B0">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杭州市第四人民医院迁建工程位于杭州市滨江区浦沿单元，东至浦沿路绿化带，西至规划新浦路，北至规划道路，南至规划浦湖街。项目总用地规模约31502㎡，总建筑面积暂定为156687㎡，其中地上建筑面积约91506㎡，地下建筑面积约65181㎡，项目概算总投资约133269万元。</w:t>
      </w:r>
    </w:p>
    <w:p w14:paraId="0307526F">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二、服务要求及工作内容：</w:t>
      </w:r>
    </w:p>
    <w:p w14:paraId="4AF20D4B">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（一）桩基检测</w:t>
      </w:r>
    </w:p>
    <w:p w14:paraId="42F4CD17">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1.根据招标人提供的桩基图纸、基坑围护图纸、建（构）筑物图纸、招标文件等规定的工作内容和技术要求，由投标人编制实施方案。 </w:t>
      </w:r>
    </w:p>
    <w:p w14:paraId="446CC9D7">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（1）工作内容：包括但不限于桩基检测包括工程桩静载试验、低应变检测、超声波检测和围护桩低应变检测、水泥搅拌桩钻孔取芯、地连墙结构质量检测等。 </w:t>
      </w:r>
    </w:p>
    <w:p w14:paraId="1C8818D2">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2.具体工作量</w:t>
      </w:r>
    </w:p>
    <w:tbl>
      <w:tblPr>
        <w:tblStyle w:val="15"/>
        <w:tblW w:w="8739" w:type="dxa"/>
        <w:jc w:val="center"/>
        <w:tblLayout w:type="autofit"/>
        <w:tblCellMar>
          <w:top w:w="0" w:type="dxa"/>
          <w:left w:w="108" w:type="dxa"/>
          <w:bottom w:w="0" w:type="dxa"/>
          <w:right w:w="108" w:type="dxa"/>
        </w:tblCellMar>
      </w:tblPr>
      <w:tblGrid>
        <w:gridCol w:w="819"/>
        <w:gridCol w:w="880"/>
        <w:gridCol w:w="1260"/>
        <w:gridCol w:w="3060"/>
        <w:gridCol w:w="640"/>
        <w:gridCol w:w="780"/>
        <w:gridCol w:w="1300"/>
      </w:tblGrid>
      <w:tr w14:paraId="5C31D390">
        <w:tblPrEx>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CF05B">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880" w:type="dxa"/>
            <w:tcBorders>
              <w:top w:val="single" w:color="auto" w:sz="4" w:space="0"/>
              <w:left w:val="nil"/>
              <w:bottom w:val="single" w:color="auto" w:sz="4" w:space="0"/>
              <w:right w:val="single" w:color="auto" w:sz="4" w:space="0"/>
            </w:tcBorders>
            <w:shd w:val="clear" w:color="auto" w:fill="auto"/>
            <w:vAlign w:val="center"/>
          </w:tcPr>
          <w:p w14:paraId="530D9226">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检测内容</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4AAC9365">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项目名称</w:t>
            </w:r>
          </w:p>
        </w:tc>
        <w:tc>
          <w:tcPr>
            <w:tcW w:w="3060" w:type="dxa"/>
            <w:tcBorders>
              <w:top w:val="single" w:color="auto" w:sz="4" w:space="0"/>
              <w:left w:val="nil"/>
              <w:bottom w:val="single" w:color="auto" w:sz="4" w:space="0"/>
              <w:right w:val="single" w:color="auto" w:sz="4" w:space="0"/>
            </w:tcBorders>
            <w:shd w:val="clear" w:color="auto" w:fill="auto"/>
            <w:noWrap/>
            <w:vAlign w:val="center"/>
          </w:tcPr>
          <w:p w14:paraId="599F707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项目特征描述</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54AB73B4">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082A9BD">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工程量</w:t>
            </w:r>
          </w:p>
        </w:tc>
        <w:tc>
          <w:tcPr>
            <w:tcW w:w="1300" w:type="dxa"/>
            <w:tcBorders>
              <w:top w:val="single" w:color="auto" w:sz="4" w:space="0"/>
              <w:left w:val="nil"/>
              <w:bottom w:val="single" w:color="auto" w:sz="4" w:space="0"/>
              <w:right w:val="single" w:color="auto" w:sz="4" w:space="0"/>
            </w:tcBorders>
            <w:shd w:val="clear" w:color="auto" w:fill="auto"/>
            <w:noWrap/>
            <w:vAlign w:val="center"/>
          </w:tcPr>
          <w:p w14:paraId="3FB6A056">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29522B69">
        <w:tblPrEx>
          <w:tblCellMar>
            <w:top w:w="0" w:type="dxa"/>
            <w:left w:w="108" w:type="dxa"/>
            <w:bottom w:w="0" w:type="dxa"/>
            <w:right w:w="108" w:type="dxa"/>
          </w:tblCellMar>
        </w:tblPrEx>
        <w:trPr>
          <w:trHeight w:val="54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14:paraId="7E8E30B9">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w:t>
            </w:r>
          </w:p>
        </w:tc>
        <w:tc>
          <w:tcPr>
            <w:tcW w:w="7920" w:type="dxa"/>
            <w:gridSpan w:val="6"/>
            <w:tcBorders>
              <w:top w:val="single" w:color="auto" w:sz="4" w:space="0"/>
              <w:left w:val="nil"/>
              <w:bottom w:val="single" w:color="auto" w:sz="4" w:space="0"/>
              <w:right w:val="single" w:color="auto" w:sz="4" w:space="0"/>
            </w:tcBorders>
            <w:shd w:val="clear" w:color="auto" w:fill="auto"/>
            <w:vAlign w:val="center"/>
          </w:tcPr>
          <w:p w14:paraId="2FF01B40">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主体结构</w:t>
            </w:r>
          </w:p>
        </w:tc>
      </w:tr>
      <w:tr w14:paraId="1DAFBAB1">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505827B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0F8B01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设计试桩</w:t>
            </w:r>
          </w:p>
        </w:tc>
        <w:tc>
          <w:tcPr>
            <w:tcW w:w="1260" w:type="dxa"/>
            <w:tcBorders>
              <w:top w:val="nil"/>
              <w:left w:val="nil"/>
              <w:bottom w:val="single" w:color="auto" w:sz="4" w:space="0"/>
              <w:right w:val="single" w:color="auto" w:sz="4" w:space="0"/>
            </w:tcBorders>
            <w:shd w:val="clear" w:color="auto" w:fill="auto"/>
            <w:vAlign w:val="center"/>
          </w:tcPr>
          <w:p w14:paraId="3F88FC1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053BB0A3">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Φ800灌注桩，Ra=3600kN，静载试验采用慢速维持荷载法，最大加载压力8700kN</w:t>
            </w:r>
          </w:p>
        </w:tc>
        <w:tc>
          <w:tcPr>
            <w:tcW w:w="640" w:type="dxa"/>
            <w:tcBorders>
              <w:top w:val="nil"/>
              <w:left w:val="nil"/>
              <w:bottom w:val="single" w:color="auto" w:sz="4" w:space="0"/>
              <w:right w:val="single" w:color="auto" w:sz="4" w:space="0"/>
            </w:tcBorders>
            <w:shd w:val="clear" w:color="auto" w:fill="auto"/>
            <w:noWrap/>
            <w:vAlign w:val="center"/>
          </w:tcPr>
          <w:p w14:paraId="5DF40C1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7681CFD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00" w:type="dxa"/>
            <w:tcBorders>
              <w:top w:val="nil"/>
              <w:left w:val="nil"/>
              <w:bottom w:val="single" w:color="auto" w:sz="4" w:space="0"/>
              <w:right w:val="single" w:color="auto" w:sz="4" w:space="0"/>
            </w:tcBorders>
            <w:shd w:val="clear" w:color="auto" w:fill="auto"/>
            <w:vAlign w:val="center"/>
          </w:tcPr>
          <w:p w14:paraId="6D101983">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52AE82B8">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7999D4C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Merge w:val="continue"/>
            <w:tcBorders>
              <w:top w:val="nil"/>
              <w:left w:val="single" w:color="auto" w:sz="4" w:space="0"/>
              <w:bottom w:val="single" w:color="auto" w:sz="4" w:space="0"/>
              <w:right w:val="single" w:color="auto" w:sz="4" w:space="0"/>
            </w:tcBorders>
            <w:vAlign w:val="center"/>
          </w:tcPr>
          <w:p w14:paraId="1D845373">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78821A2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3232069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Φ600灌注桩，Ra=1600kN，静载试验采用慢速维持荷载法，最大加载压力4100kN</w:t>
            </w:r>
          </w:p>
        </w:tc>
        <w:tc>
          <w:tcPr>
            <w:tcW w:w="640" w:type="dxa"/>
            <w:tcBorders>
              <w:top w:val="nil"/>
              <w:left w:val="nil"/>
              <w:bottom w:val="single" w:color="auto" w:sz="4" w:space="0"/>
              <w:right w:val="single" w:color="auto" w:sz="4" w:space="0"/>
            </w:tcBorders>
            <w:shd w:val="clear" w:color="auto" w:fill="auto"/>
            <w:noWrap/>
            <w:vAlign w:val="center"/>
          </w:tcPr>
          <w:p w14:paraId="4432856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61337D2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00" w:type="dxa"/>
            <w:tcBorders>
              <w:top w:val="nil"/>
              <w:left w:val="nil"/>
              <w:bottom w:val="single" w:color="auto" w:sz="4" w:space="0"/>
              <w:right w:val="single" w:color="auto" w:sz="4" w:space="0"/>
            </w:tcBorders>
            <w:shd w:val="clear" w:color="auto" w:fill="auto"/>
            <w:vAlign w:val="center"/>
          </w:tcPr>
          <w:p w14:paraId="0F5533BD">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48A1499D">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0BD9BB5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80" w:type="dxa"/>
            <w:vMerge w:val="continue"/>
            <w:tcBorders>
              <w:top w:val="nil"/>
              <w:left w:val="single" w:color="auto" w:sz="4" w:space="0"/>
              <w:bottom w:val="single" w:color="auto" w:sz="4" w:space="0"/>
              <w:right w:val="single" w:color="auto" w:sz="4" w:space="0"/>
            </w:tcBorders>
            <w:vAlign w:val="center"/>
          </w:tcPr>
          <w:p w14:paraId="3AF5B58E">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7F42C918">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单桩竖向抗拔静载试验</w:t>
            </w:r>
          </w:p>
        </w:tc>
        <w:tc>
          <w:tcPr>
            <w:tcW w:w="3060" w:type="dxa"/>
            <w:tcBorders>
              <w:top w:val="nil"/>
              <w:left w:val="nil"/>
              <w:bottom w:val="single" w:color="auto" w:sz="4" w:space="0"/>
              <w:right w:val="single" w:color="auto" w:sz="4" w:space="0"/>
            </w:tcBorders>
            <w:shd w:val="clear" w:color="auto" w:fill="auto"/>
            <w:vAlign w:val="center"/>
          </w:tcPr>
          <w:p w14:paraId="4029ACFB">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Φ600灌注桩，Ra=800kN，静载试验采用慢速维持荷载法，最大加载压力2200kN</w:t>
            </w:r>
          </w:p>
        </w:tc>
        <w:tc>
          <w:tcPr>
            <w:tcW w:w="640" w:type="dxa"/>
            <w:tcBorders>
              <w:top w:val="nil"/>
              <w:left w:val="nil"/>
              <w:bottom w:val="single" w:color="auto" w:sz="4" w:space="0"/>
              <w:right w:val="single" w:color="auto" w:sz="4" w:space="0"/>
            </w:tcBorders>
            <w:shd w:val="clear" w:color="auto" w:fill="auto"/>
            <w:noWrap/>
            <w:vAlign w:val="center"/>
          </w:tcPr>
          <w:p w14:paraId="19DDFE6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7475EB3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00" w:type="dxa"/>
            <w:tcBorders>
              <w:top w:val="nil"/>
              <w:left w:val="nil"/>
              <w:bottom w:val="single" w:color="auto" w:sz="4" w:space="0"/>
              <w:right w:val="single" w:color="auto" w:sz="4" w:space="0"/>
            </w:tcBorders>
            <w:shd w:val="clear" w:color="auto" w:fill="auto"/>
            <w:vAlign w:val="center"/>
          </w:tcPr>
          <w:p w14:paraId="6ACCA9F7">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42329767">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6E91E0A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D635D1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验收试桩</w:t>
            </w:r>
          </w:p>
        </w:tc>
        <w:tc>
          <w:tcPr>
            <w:tcW w:w="1260" w:type="dxa"/>
            <w:tcBorders>
              <w:top w:val="nil"/>
              <w:left w:val="nil"/>
              <w:bottom w:val="single" w:color="auto" w:sz="4" w:space="0"/>
              <w:right w:val="single" w:color="auto" w:sz="4" w:space="0"/>
            </w:tcBorders>
            <w:shd w:val="clear" w:color="auto" w:fill="auto"/>
            <w:vAlign w:val="center"/>
          </w:tcPr>
          <w:p w14:paraId="17F77568">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0B5FCAD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Φ800灌注桩，Ra=3600kN，静载试验采用慢速维持荷载法，最大加载压力8700kN</w:t>
            </w:r>
          </w:p>
        </w:tc>
        <w:tc>
          <w:tcPr>
            <w:tcW w:w="640" w:type="dxa"/>
            <w:tcBorders>
              <w:top w:val="nil"/>
              <w:left w:val="nil"/>
              <w:bottom w:val="single" w:color="auto" w:sz="4" w:space="0"/>
              <w:right w:val="single" w:color="auto" w:sz="4" w:space="0"/>
            </w:tcBorders>
            <w:shd w:val="clear" w:color="auto" w:fill="auto"/>
            <w:noWrap/>
            <w:vAlign w:val="center"/>
          </w:tcPr>
          <w:p w14:paraId="74F6169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1FCE63D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00" w:type="dxa"/>
            <w:tcBorders>
              <w:top w:val="nil"/>
              <w:left w:val="nil"/>
              <w:bottom w:val="single" w:color="auto" w:sz="4" w:space="0"/>
              <w:right w:val="single" w:color="auto" w:sz="4" w:space="0"/>
            </w:tcBorders>
            <w:shd w:val="clear" w:color="auto" w:fill="auto"/>
            <w:vAlign w:val="center"/>
          </w:tcPr>
          <w:p w14:paraId="4BD84096">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006F9399">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29E72D4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880" w:type="dxa"/>
            <w:vMerge w:val="continue"/>
            <w:tcBorders>
              <w:top w:val="nil"/>
              <w:left w:val="single" w:color="auto" w:sz="4" w:space="0"/>
              <w:bottom w:val="single" w:color="auto" w:sz="4" w:space="0"/>
              <w:right w:val="single" w:color="auto" w:sz="4" w:space="0"/>
            </w:tcBorders>
            <w:vAlign w:val="center"/>
          </w:tcPr>
          <w:p w14:paraId="24BFBA22">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6A546192">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4230193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Φ600灌注桩，Ra=1600kN，静载试验采用慢速维持荷载法，最大加载压力4100kN</w:t>
            </w:r>
          </w:p>
        </w:tc>
        <w:tc>
          <w:tcPr>
            <w:tcW w:w="640" w:type="dxa"/>
            <w:tcBorders>
              <w:top w:val="nil"/>
              <w:left w:val="nil"/>
              <w:bottom w:val="single" w:color="auto" w:sz="4" w:space="0"/>
              <w:right w:val="single" w:color="auto" w:sz="4" w:space="0"/>
            </w:tcBorders>
            <w:shd w:val="clear" w:color="auto" w:fill="auto"/>
            <w:noWrap/>
            <w:vAlign w:val="center"/>
          </w:tcPr>
          <w:p w14:paraId="4A446AD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3DC45AE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00" w:type="dxa"/>
            <w:tcBorders>
              <w:top w:val="nil"/>
              <w:left w:val="nil"/>
              <w:bottom w:val="single" w:color="auto" w:sz="4" w:space="0"/>
              <w:right w:val="single" w:color="auto" w:sz="4" w:space="0"/>
            </w:tcBorders>
            <w:shd w:val="clear" w:color="auto" w:fill="auto"/>
            <w:vAlign w:val="center"/>
          </w:tcPr>
          <w:p w14:paraId="30DF453A">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7F9FC315">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537DF9A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880" w:type="dxa"/>
            <w:vMerge w:val="continue"/>
            <w:tcBorders>
              <w:top w:val="nil"/>
              <w:left w:val="single" w:color="auto" w:sz="4" w:space="0"/>
              <w:bottom w:val="single" w:color="auto" w:sz="4" w:space="0"/>
              <w:right w:val="single" w:color="auto" w:sz="4" w:space="0"/>
            </w:tcBorders>
            <w:vAlign w:val="center"/>
          </w:tcPr>
          <w:p w14:paraId="22E011F4">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091D941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单桩竖向抗拔静载试验</w:t>
            </w:r>
          </w:p>
        </w:tc>
        <w:tc>
          <w:tcPr>
            <w:tcW w:w="3060" w:type="dxa"/>
            <w:tcBorders>
              <w:top w:val="nil"/>
              <w:left w:val="nil"/>
              <w:bottom w:val="single" w:color="auto" w:sz="4" w:space="0"/>
              <w:right w:val="single" w:color="auto" w:sz="4" w:space="0"/>
            </w:tcBorders>
            <w:shd w:val="clear" w:color="auto" w:fill="auto"/>
            <w:vAlign w:val="center"/>
          </w:tcPr>
          <w:p w14:paraId="4EC7C12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Φ600灌注桩，Ra=800kN，静载试验采用慢速维持荷载法，最大加载压力2200kN</w:t>
            </w:r>
          </w:p>
        </w:tc>
        <w:tc>
          <w:tcPr>
            <w:tcW w:w="640" w:type="dxa"/>
            <w:tcBorders>
              <w:top w:val="nil"/>
              <w:left w:val="nil"/>
              <w:bottom w:val="single" w:color="auto" w:sz="4" w:space="0"/>
              <w:right w:val="single" w:color="auto" w:sz="4" w:space="0"/>
            </w:tcBorders>
            <w:shd w:val="clear" w:color="auto" w:fill="auto"/>
            <w:noWrap/>
            <w:vAlign w:val="center"/>
          </w:tcPr>
          <w:p w14:paraId="604AAE5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2C102FE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00" w:type="dxa"/>
            <w:tcBorders>
              <w:top w:val="nil"/>
              <w:left w:val="nil"/>
              <w:bottom w:val="single" w:color="auto" w:sz="4" w:space="0"/>
              <w:right w:val="single" w:color="auto" w:sz="4" w:space="0"/>
            </w:tcBorders>
            <w:shd w:val="clear" w:color="auto" w:fill="auto"/>
            <w:vAlign w:val="center"/>
          </w:tcPr>
          <w:p w14:paraId="04099B84">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0459A27">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2F0BFC4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79DB29F4">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7E56BE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大直径灌注桩埋管超声波检测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6768627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Φ800桩79根，检测比例为10%。</w:t>
            </w:r>
            <w:r>
              <w:rPr>
                <w:rFonts w:hint="eastAsia" w:ascii="宋体" w:hAnsi="宋体" w:cs="宋体"/>
                <w:color w:val="auto"/>
                <w:kern w:val="0"/>
                <w:sz w:val="20"/>
                <w:szCs w:val="20"/>
                <w:highlight w:val="none"/>
              </w:rPr>
              <w:t>声测管预埋数量应考虑实际施工损耗。</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2A9747C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single" w:color="auto" w:sz="4" w:space="0"/>
              <w:left w:val="nil"/>
              <w:bottom w:val="single" w:color="auto" w:sz="4" w:space="0"/>
              <w:right w:val="single" w:color="auto" w:sz="4" w:space="0"/>
            </w:tcBorders>
            <w:shd w:val="clear" w:color="auto" w:fill="auto"/>
            <w:vAlign w:val="center"/>
          </w:tcPr>
          <w:p w14:paraId="08A871A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00" w:type="dxa"/>
            <w:tcBorders>
              <w:top w:val="single" w:color="auto" w:sz="4" w:space="0"/>
              <w:left w:val="nil"/>
              <w:bottom w:val="single" w:color="auto" w:sz="4" w:space="0"/>
              <w:right w:val="single" w:color="auto" w:sz="4" w:space="0"/>
            </w:tcBorders>
            <w:shd w:val="clear" w:color="auto" w:fill="auto"/>
            <w:vAlign w:val="center"/>
          </w:tcPr>
          <w:p w14:paraId="411C285F">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5FDCD6DC">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3937BB9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2A2529D0">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EC1D7BE">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低应变检测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1D7E834B">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总桩数为1465根，其中</w:t>
            </w:r>
            <w:r>
              <w:rPr>
                <w:rFonts w:hint="eastAsia" w:ascii="等线" w:hAnsi="等线" w:eastAsia="等线" w:cs="宋体"/>
                <w:color w:val="auto"/>
                <w:kern w:val="0"/>
                <w:sz w:val="20"/>
                <w:szCs w:val="20"/>
                <w:highlight w:val="none"/>
              </w:rPr>
              <w:t>Φ</w:t>
            </w:r>
            <w:r>
              <w:rPr>
                <w:rFonts w:hint="eastAsia" w:ascii="宋体" w:hAnsi="宋体" w:cs="宋体"/>
                <w:color w:val="auto"/>
                <w:kern w:val="0"/>
                <w:sz w:val="20"/>
                <w:szCs w:val="20"/>
                <w:highlight w:val="none"/>
              </w:rPr>
              <w:t>600桩1386根，Φ800桩79根。</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197FA40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0C524F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1465</w:t>
            </w:r>
          </w:p>
        </w:tc>
        <w:tc>
          <w:tcPr>
            <w:tcW w:w="1300" w:type="dxa"/>
            <w:tcBorders>
              <w:top w:val="single" w:color="auto" w:sz="4" w:space="0"/>
              <w:left w:val="nil"/>
              <w:bottom w:val="single" w:color="auto" w:sz="4" w:space="0"/>
              <w:right w:val="single" w:color="auto" w:sz="4" w:space="0"/>
            </w:tcBorders>
            <w:shd w:val="clear" w:color="auto" w:fill="auto"/>
            <w:vAlign w:val="center"/>
          </w:tcPr>
          <w:p w14:paraId="36290CC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734E53B2">
        <w:tblPrEx>
          <w:tblCellMar>
            <w:top w:w="0" w:type="dxa"/>
            <w:left w:w="108" w:type="dxa"/>
            <w:bottom w:w="0" w:type="dxa"/>
            <w:right w:w="108" w:type="dxa"/>
          </w:tblCellMar>
        </w:tblPrEx>
        <w:trPr>
          <w:trHeight w:val="555" w:hRule="atLeast"/>
          <w:jc w:val="center"/>
        </w:trPr>
        <w:tc>
          <w:tcPr>
            <w:tcW w:w="819"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62B8D3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w:t>
            </w:r>
          </w:p>
        </w:tc>
        <w:tc>
          <w:tcPr>
            <w:tcW w:w="7920" w:type="dxa"/>
            <w:gridSpan w:val="6"/>
            <w:tcBorders>
              <w:top w:val="single" w:color="auto" w:sz="4" w:space="0"/>
              <w:left w:val="nil"/>
              <w:bottom w:val="single" w:color="auto" w:sz="4" w:space="0"/>
              <w:right w:val="single" w:color="auto" w:sz="4" w:space="0"/>
            </w:tcBorders>
            <w:shd w:val="clear" w:color="000000" w:fill="auto"/>
            <w:vAlign w:val="center"/>
          </w:tcPr>
          <w:p w14:paraId="3FD541E9">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围护结构</w:t>
            </w:r>
          </w:p>
        </w:tc>
      </w:tr>
      <w:tr w14:paraId="701708EA">
        <w:tblPrEx>
          <w:tblCellMar>
            <w:top w:w="0" w:type="dxa"/>
            <w:left w:w="108" w:type="dxa"/>
            <w:bottom w:w="0" w:type="dxa"/>
            <w:right w:w="108" w:type="dxa"/>
          </w:tblCellMar>
        </w:tblPrEx>
        <w:trPr>
          <w:trHeight w:val="111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1EEDBB8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F878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w:t>
            </w:r>
          </w:p>
        </w:tc>
        <w:tc>
          <w:tcPr>
            <w:tcW w:w="1260" w:type="dxa"/>
            <w:tcBorders>
              <w:top w:val="single" w:color="auto" w:sz="4" w:space="0"/>
              <w:left w:val="nil"/>
              <w:bottom w:val="single" w:color="auto" w:sz="4" w:space="0"/>
              <w:right w:val="single" w:color="auto" w:sz="4" w:space="0"/>
            </w:tcBorders>
            <w:shd w:val="clear" w:color="auto" w:fill="auto"/>
            <w:vAlign w:val="center"/>
          </w:tcPr>
          <w:p w14:paraId="1D3E1D75">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三轴水泥搅拌桩钻、高压旋喷桩钻心法检测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72FCD0D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检测桩数为2%，不少于5根</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67E3CE6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single" w:color="auto" w:sz="4" w:space="0"/>
              <w:left w:val="nil"/>
              <w:bottom w:val="single" w:color="auto" w:sz="4" w:space="0"/>
              <w:right w:val="single" w:color="auto" w:sz="4" w:space="0"/>
            </w:tcBorders>
            <w:shd w:val="clear" w:color="auto" w:fill="auto"/>
            <w:vAlign w:val="center"/>
          </w:tcPr>
          <w:p w14:paraId="2972DFA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00" w:type="dxa"/>
            <w:tcBorders>
              <w:top w:val="single" w:color="auto" w:sz="4" w:space="0"/>
              <w:left w:val="nil"/>
              <w:bottom w:val="single" w:color="auto" w:sz="4" w:space="0"/>
              <w:right w:val="single" w:color="auto" w:sz="4" w:space="0"/>
            </w:tcBorders>
            <w:shd w:val="clear" w:color="auto" w:fill="auto"/>
            <w:vAlign w:val="center"/>
          </w:tcPr>
          <w:p w14:paraId="36FBAC8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28629AAE">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3EBDF09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17C3CD2A">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4DA284D8">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低应变检测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6ECF425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围护立柱钻孔灌注桩，检测桩数不少于总桩数的20%</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2030BE5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090345C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150</w:t>
            </w:r>
          </w:p>
        </w:tc>
        <w:tc>
          <w:tcPr>
            <w:tcW w:w="1300" w:type="dxa"/>
            <w:tcBorders>
              <w:top w:val="single" w:color="auto" w:sz="4" w:space="0"/>
              <w:left w:val="nil"/>
              <w:bottom w:val="single" w:color="auto" w:sz="4" w:space="0"/>
              <w:right w:val="single" w:color="auto" w:sz="4" w:space="0"/>
            </w:tcBorders>
            <w:shd w:val="clear" w:color="auto" w:fill="auto"/>
            <w:vAlign w:val="center"/>
          </w:tcPr>
          <w:p w14:paraId="5D97ECC1">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14:paraId="1338982A">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69D4D4A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14:paraId="24EE395F">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21BC84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地连墙结构质量检测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5EDF32AB">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钢筋笼、混凝土质量检测等</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33A7B30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438BAC0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00" w:type="dxa"/>
            <w:tcBorders>
              <w:top w:val="single" w:color="auto" w:sz="4" w:space="0"/>
              <w:left w:val="nil"/>
              <w:bottom w:val="single" w:color="auto" w:sz="4" w:space="0"/>
              <w:right w:val="single" w:color="auto" w:sz="4" w:space="0"/>
            </w:tcBorders>
            <w:shd w:val="clear" w:color="auto" w:fill="auto"/>
            <w:vAlign w:val="center"/>
          </w:tcPr>
          <w:p w14:paraId="60540B0B">
            <w:pPr>
              <w:widowControl/>
              <w:adjustRightInd/>
              <w:jc w:val="left"/>
              <w:rPr>
                <w:rFonts w:hint="eastAsia" w:ascii="宋体" w:hAnsi="宋体" w:cs="宋体"/>
                <w:color w:val="auto"/>
                <w:kern w:val="0"/>
                <w:sz w:val="20"/>
                <w:szCs w:val="20"/>
                <w:highlight w:val="none"/>
              </w:rPr>
            </w:pPr>
          </w:p>
        </w:tc>
      </w:tr>
    </w:tbl>
    <w:p w14:paraId="7D323DB3">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注：桩基检测具体要求（包括检测数量）必须满足设计及国家和浙江省相关桩基试验和检测技术规范规程的要求。以上数量为暂定值，实际如有变化则按实计算，单价不予调整（包括桩长变化）。</w:t>
      </w:r>
    </w:p>
    <w:p w14:paraId="0B75EFF2">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（二）基坑监测和沉降观测</w:t>
      </w:r>
    </w:p>
    <w:p w14:paraId="4682CA64">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1.根据招标人提供的基坑围护图纸、区域地形图、建（构）筑物图纸、招标文件等规定的工作内容和技术要求，由投标人编制实施方案，包括测点的优化布置、资料整理及成果提交等。</w:t>
      </w:r>
    </w:p>
    <w:p w14:paraId="229B3001">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工作内容：包括但不限于深层土体水平位移监测、基坑外地下水位监测、基坑周边地表沉降监测、深层土体水平位移自动化监测、地下水位自动化监测、支撑轴力自动化监测、围护桩顶水平位移监测、围护桩顶竖向位移监测、支撑轴力监测、立柱桩沉降监测、基坑管线位移及沉降监测、建筑物沉降观测等。</w:t>
      </w:r>
    </w:p>
    <w:p w14:paraId="368D4964">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（2）测点分布：由投标人根据设计图纸、岩土工程勘察报告及相关规范制订测点位置，报送监理工程师、代建人和招标人审核确认后实施。</w:t>
      </w:r>
    </w:p>
    <w:p w14:paraId="65454F8D">
      <w:pPr>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监测或观测频率：由投标人按图纸及相关规范要求自行考虑，价格包含在投标总价内。①基坑监测频率应能系统反应监测对象所测项目的重要变化过程及其变化时刻。本工程基坑开挖期间监测频率不少于1天1次，基坑开挖结束后不少于3天1次，监测数据接近安全控制指标值的预警值时，应提高监测频率；当发现有异常情况或外部作业有危险事故征兆时，应采用不间断实时监测。招标人有权根据现场监测情况要求投标人增加监测频率，投标人需无条件配合，不得以任何理由拒绝，相关费用包含在投标综合单价内，结算时单价不作调整。②建筑物沉降观测频率自基础完成后开始，每施工2层观测一次，结顶后第一年不少于每一季度观测一次，直至数据稳定。</w:t>
      </w:r>
    </w:p>
    <w:tbl>
      <w:tblPr>
        <w:tblStyle w:val="15"/>
        <w:tblW w:w="8160" w:type="dxa"/>
        <w:jc w:val="center"/>
        <w:tblLayout w:type="autofit"/>
        <w:tblCellMar>
          <w:top w:w="0" w:type="dxa"/>
          <w:left w:w="108" w:type="dxa"/>
          <w:bottom w:w="0" w:type="dxa"/>
          <w:right w:w="108" w:type="dxa"/>
        </w:tblCellMar>
      </w:tblPr>
      <w:tblGrid>
        <w:gridCol w:w="820"/>
        <w:gridCol w:w="2500"/>
        <w:gridCol w:w="1940"/>
        <w:gridCol w:w="840"/>
        <w:gridCol w:w="840"/>
        <w:gridCol w:w="1220"/>
      </w:tblGrid>
      <w:tr w14:paraId="15C539DB">
        <w:tblPrEx>
          <w:tblCellMar>
            <w:top w:w="0" w:type="dxa"/>
            <w:left w:w="108" w:type="dxa"/>
            <w:bottom w:w="0" w:type="dxa"/>
            <w:right w:w="108" w:type="dxa"/>
          </w:tblCellMar>
        </w:tblPrEx>
        <w:trPr>
          <w:trHeight w:val="560" w:hRule="atLeast"/>
          <w:jc w:val="center"/>
        </w:trPr>
        <w:tc>
          <w:tcPr>
            <w:tcW w:w="820"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2F09C65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500" w:type="dxa"/>
            <w:tcBorders>
              <w:top w:val="single" w:color="auto" w:sz="4" w:space="0"/>
              <w:left w:val="nil"/>
              <w:bottom w:val="single" w:color="auto" w:sz="4" w:space="0"/>
              <w:right w:val="single" w:color="auto" w:sz="4" w:space="0"/>
            </w:tcBorders>
            <w:shd w:val="clear" w:color="000000" w:fill="auto"/>
            <w:noWrap/>
            <w:vAlign w:val="center"/>
          </w:tcPr>
          <w:p w14:paraId="250AC396">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监测项目</w:t>
            </w:r>
          </w:p>
        </w:tc>
        <w:tc>
          <w:tcPr>
            <w:tcW w:w="1940" w:type="dxa"/>
            <w:tcBorders>
              <w:top w:val="single" w:color="auto" w:sz="4" w:space="0"/>
              <w:left w:val="nil"/>
              <w:bottom w:val="single" w:color="auto" w:sz="4" w:space="0"/>
              <w:right w:val="single" w:color="auto" w:sz="4" w:space="0"/>
            </w:tcBorders>
            <w:shd w:val="clear" w:color="000000" w:fill="auto"/>
            <w:noWrap/>
            <w:vAlign w:val="center"/>
          </w:tcPr>
          <w:p w14:paraId="28FE0C03">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位置或监测对象</w:t>
            </w:r>
          </w:p>
        </w:tc>
        <w:tc>
          <w:tcPr>
            <w:tcW w:w="840" w:type="dxa"/>
            <w:tcBorders>
              <w:top w:val="single" w:color="auto" w:sz="4" w:space="0"/>
              <w:left w:val="nil"/>
              <w:bottom w:val="single" w:color="auto" w:sz="4" w:space="0"/>
              <w:right w:val="single" w:color="auto" w:sz="4" w:space="0"/>
            </w:tcBorders>
            <w:shd w:val="clear" w:color="000000" w:fill="auto"/>
            <w:noWrap/>
            <w:vAlign w:val="center"/>
          </w:tcPr>
          <w:p w14:paraId="351FA39C">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840" w:type="dxa"/>
            <w:tcBorders>
              <w:top w:val="single" w:color="auto" w:sz="4" w:space="0"/>
              <w:left w:val="nil"/>
              <w:bottom w:val="single" w:color="auto" w:sz="4" w:space="0"/>
              <w:right w:val="single" w:color="auto" w:sz="4" w:space="0"/>
            </w:tcBorders>
            <w:shd w:val="clear" w:color="000000" w:fill="auto"/>
            <w:noWrap/>
            <w:vAlign w:val="center"/>
          </w:tcPr>
          <w:p w14:paraId="19D46D5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工程量</w:t>
            </w:r>
          </w:p>
        </w:tc>
        <w:tc>
          <w:tcPr>
            <w:tcW w:w="1220" w:type="dxa"/>
            <w:tcBorders>
              <w:top w:val="single" w:color="auto" w:sz="4" w:space="0"/>
              <w:left w:val="nil"/>
              <w:bottom w:val="single" w:color="auto" w:sz="4" w:space="0"/>
              <w:right w:val="single" w:color="auto" w:sz="4" w:space="0"/>
            </w:tcBorders>
            <w:shd w:val="clear" w:color="000000" w:fill="auto"/>
            <w:noWrap/>
            <w:vAlign w:val="center"/>
          </w:tcPr>
          <w:p w14:paraId="05728782">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772192FB">
        <w:tblPrEx>
          <w:tblCellMar>
            <w:top w:w="0" w:type="dxa"/>
            <w:left w:w="108" w:type="dxa"/>
            <w:bottom w:w="0" w:type="dxa"/>
            <w:right w:w="108" w:type="dxa"/>
          </w:tblCellMar>
        </w:tblPrEx>
        <w:trPr>
          <w:trHeight w:val="560" w:hRule="atLeast"/>
          <w:jc w:val="center"/>
        </w:trPr>
        <w:tc>
          <w:tcPr>
            <w:tcW w:w="816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A493FC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一、基坑监测</w:t>
            </w:r>
          </w:p>
        </w:tc>
      </w:tr>
      <w:tr w14:paraId="17EE8055">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5E109C85">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500" w:type="dxa"/>
            <w:tcBorders>
              <w:top w:val="nil"/>
              <w:left w:val="nil"/>
              <w:bottom w:val="single" w:color="auto" w:sz="4" w:space="0"/>
              <w:right w:val="single" w:color="auto" w:sz="4" w:space="0"/>
            </w:tcBorders>
            <w:shd w:val="clear" w:color="auto" w:fill="auto"/>
            <w:vAlign w:val="center"/>
          </w:tcPr>
          <w:p w14:paraId="3E51858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深层土体水平位移（人工）</w:t>
            </w:r>
          </w:p>
        </w:tc>
        <w:tc>
          <w:tcPr>
            <w:tcW w:w="1940" w:type="dxa"/>
            <w:tcBorders>
              <w:top w:val="nil"/>
              <w:left w:val="nil"/>
              <w:bottom w:val="single" w:color="auto" w:sz="4" w:space="0"/>
              <w:right w:val="single" w:color="auto" w:sz="4" w:space="0"/>
            </w:tcBorders>
            <w:shd w:val="clear" w:color="auto" w:fill="auto"/>
            <w:vAlign w:val="center"/>
          </w:tcPr>
          <w:p w14:paraId="587CD633">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tcBorders>
              <w:top w:val="nil"/>
              <w:left w:val="nil"/>
              <w:bottom w:val="single" w:color="auto" w:sz="4" w:space="0"/>
              <w:right w:val="single" w:color="auto" w:sz="4" w:space="0"/>
            </w:tcBorders>
            <w:shd w:val="clear" w:color="auto" w:fill="auto"/>
            <w:noWrap/>
            <w:vAlign w:val="center"/>
          </w:tcPr>
          <w:p w14:paraId="48323EE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tcBorders>
              <w:top w:val="nil"/>
              <w:left w:val="nil"/>
              <w:bottom w:val="single" w:color="auto" w:sz="4" w:space="0"/>
              <w:right w:val="single" w:color="auto" w:sz="4" w:space="0"/>
            </w:tcBorders>
            <w:shd w:val="clear" w:color="auto" w:fill="auto"/>
            <w:vAlign w:val="center"/>
          </w:tcPr>
          <w:p w14:paraId="4AA46F6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20" w:type="dxa"/>
            <w:tcBorders>
              <w:top w:val="nil"/>
              <w:left w:val="nil"/>
              <w:bottom w:val="single" w:color="auto" w:sz="4" w:space="0"/>
              <w:right w:val="single" w:color="auto" w:sz="4" w:space="0"/>
            </w:tcBorders>
            <w:shd w:val="clear" w:color="auto" w:fill="auto"/>
            <w:vAlign w:val="center"/>
          </w:tcPr>
          <w:p w14:paraId="215368F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孔深暂定32m</w:t>
            </w:r>
          </w:p>
        </w:tc>
      </w:tr>
      <w:tr w14:paraId="672FF978">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33BE03F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500" w:type="dxa"/>
            <w:tcBorders>
              <w:top w:val="nil"/>
              <w:left w:val="nil"/>
              <w:bottom w:val="single" w:color="auto" w:sz="4" w:space="0"/>
              <w:right w:val="single" w:color="auto" w:sz="4" w:space="0"/>
            </w:tcBorders>
            <w:shd w:val="clear" w:color="auto" w:fill="auto"/>
            <w:vAlign w:val="center"/>
          </w:tcPr>
          <w:p w14:paraId="1BABC2D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地下水位（人工）</w:t>
            </w:r>
          </w:p>
        </w:tc>
        <w:tc>
          <w:tcPr>
            <w:tcW w:w="1940" w:type="dxa"/>
            <w:tcBorders>
              <w:top w:val="nil"/>
              <w:left w:val="nil"/>
              <w:bottom w:val="single" w:color="auto" w:sz="4" w:space="0"/>
              <w:right w:val="single" w:color="auto" w:sz="4" w:space="0"/>
            </w:tcBorders>
            <w:shd w:val="clear" w:color="auto" w:fill="auto"/>
            <w:vAlign w:val="center"/>
          </w:tcPr>
          <w:p w14:paraId="275ED2AE">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tcBorders>
              <w:top w:val="nil"/>
              <w:left w:val="nil"/>
              <w:bottom w:val="single" w:color="auto" w:sz="4" w:space="0"/>
              <w:right w:val="single" w:color="auto" w:sz="4" w:space="0"/>
            </w:tcBorders>
            <w:shd w:val="clear" w:color="auto" w:fill="auto"/>
            <w:noWrap/>
            <w:vAlign w:val="center"/>
          </w:tcPr>
          <w:p w14:paraId="7BC51A8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tcBorders>
              <w:top w:val="nil"/>
              <w:left w:val="nil"/>
              <w:bottom w:val="single" w:color="auto" w:sz="4" w:space="0"/>
              <w:right w:val="single" w:color="auto" w:sz="4" w:space="0"/>
            </w:tcBorders>
            <w:shd w:val="clear" w:color="auto" w:fill="auto"/>
            <w:vAlign w:val="center"/>
          </w:tcPr>
          <w:p w14:paraId="539690A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20" w:type="dxa"/>
            <w:tcBorders>
              <w:top w:val="nil"/>
              <w:left w:val="nil"/>
              <w:bottom w:val="single" w:color="auto" w:sz="4" w:space="0"/>
              <w:right w:val="single" w:color="auto" w:sz="4" w:space="0"/>
            </w:tcBorders>
            <w:shd w:val="clear" w:color="auto" w:fill="auto"/>
            <w:vAlign w:val="center"/>
          </w:tcPr>
          <w:p w14:paraId="5238C6D0">
            <w:pPr>
              <w:widowControl/>
              <w:adjustRightInd/>
              <w:jc w:val="center"/>
              <w:rPr>
                <w:rFonts w:hint="eastAsia" w:ascii="宋体" w:hAnsi="宋体" w:cs="宋体"/>
                <w:b/>
                <w:bCs/>
                <w:color w:val="auto"/>
                <w:kern w:val="0"/>
                <w:sz w:val="20"/>
                <w:szCs w:val="20"/>
                <w:highlight w:val="none"/>
              </w:rPr>
            </w:pPr>
          </w:p>
        </w:tc>
      </w:tr>
      <w:tr w14:paraId="0F71A4A1">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36825D9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500" w:type="dxa"/>
            <w:tcBorders>
              <w:top w:val="nil"/>
              <w:left w:val="nil"/>
              <w:bottom w:val="single" w:color="auto" w:sz="4" w:space="0"/>
              <w:right w:val="single" w:color="auto" w:sz="4" w:space="0"/>
            </w:tcBorders>
            <w:shd w:val="clear" w:color="auto" w:fill="auto"/>
            <w:vAlign w:val="center"/>
          </w:tcPr>
          <w:p w14:paraId="424E34E4">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支撑轴力（人工）</w:t>
            </w:r>
          </w:p>
        </w:tc>
        <w:tc>
          <w:tcPr>
            <w:tcW w:w="1940" w:type="dxa"/>
            <w:tcBorders>
              <w:top w:val="nil"/>
              <w:left w:val="nil"/>
              <w:bottom w:val="single" w:color="auto" w:sz="4" w:space="0"/>
              <w:right w:val="single" w:color="auto" w:sz="4" w:space="0"/>
            </w:tcBorders>
            <w:shd w:val="clear" w:color="auto" w:fill="auto"/>
            <w:vAlign w:val="center"/>
          </w:tcPr>
          <w:p w14:paraId="4D4FD50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第一道砼支撑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第二道型钢支撑</w:t>
            </w:r>
          </w:p>
        </w:tc>
        <w:tc>
          <w:tcPr>
            <w:tcW w:w="840" w:type="dxa"/>
            <w:tcBorders>
              <w:top w:val="nil"/>
              <w:left w:val="nil"/>
              <w:bottom w:val="single" w:color="auto" w:sz="4" w:space="0"/>
              <w:right w:val="single" w:color="auto" w:sz="4" w:space="0"/>
            </w:tcBorders>
            <w:shd w:val="clear" w:color="auto" w:fill="auto"/>
            <w:noWrap/>
            <w:vAlign w:val="center"/>
          </w:tcPr>
          <w:p w14:paraId="0AAC9BA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40" w:type="dxa"/>
            <w:tcBorders>
              <w:top w:val="nil"/>
              <w:left w:val="nil"/>
              <w:bottom w:val="single" w:color="auto" w:sz="4" w:space="0"/>
              <w:right w:val="single" w:color="auto" w:sz="4" w:space="0"/>
            </w:tcBorders>
            <w:shd w:val="clear" w:color="auto" w:fill="auto"/>
            <w:vAlign w:val="center"/>
          </w:tcPr>
          <w:p w14:paraId="1ADD1AC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1220" w:type="dxa"/>
            <w:tcBorders>
              <w:top w:val="nil"/>
              <w:left w:val="nil"/>
              <w:bottom w:val="single" w:color="auto" w:sz="4" w:space="0"/>
              <w:right w:val="single" w:color="auto" w:sz="4" w:space="0"/>
            </w:tcBorders>
            <w:shd w:val="clear" w:color="auto" w:fill="auto"/>
            <w:vAlign w:val="center"/>
          </w:tcPr>
          <w:p w14:paraId="2F5949D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79E4BBF0">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15C575D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500" w:type="dxa"/>
            <w:tcBorders>
              <w:top w:val="nil"/>
              <w:left w:val="nil"/>
              <w:bottom w:val="single" w:color="auto" w:sz="4" w:space="0"/>
              <w:right w:val="single" w:color="auto" w:sz="4" w:space="0"/>
            </w:tcBorders>
            <w:shd w:val="clear" w:color="auto" w:fill="auto"/>
            <w:vAlign w:val="center"/>
          </w:tcPr>
          <w:p w14:paraId="5346087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深层土体水平位移（自动化）</w:t>
            </w:r>
          </w:p>
        </w:tc>
        <w:tc>
          <w:tcPr>
            <w:tcW w:w="1940" w:type="dxa"/>
            <w:tcBorders>
              <w:top w:val="nil"/>
              <w:left w:val="nil"/>
              <w:bottom w:val="single" w:color="auto" w:sz="4" w:space="0"/>
              <w:right w:val="single" w:color="auto" w:sz="4" w:space="0"/>
            </w:tcBorders>
            <w:shd w:val="clear" w:color="auto" w:fill="auto"/>
            <w:vAlign w:val="center"/>
          </w:tcPr>
          <w:p w14:paraId="40C00E9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tcBorders>
              <w:top w:val="nil"/>
              <w:left w:val="nil"/>
              <w:bottom w:val="single" w:color="auto" w:sz="4" w:space="0"/>
              <w:right w:val="single" w:color="auto" w:sz="4" w:space="0"/>
            </w:tcBorders>
            <w:shd w:val="clear" w:color="auto" w:fill="auto"/>
            <w:noWrap/>
            <w:vAlign w:val="center"/>
          </w:tcPr>
          <w:p w14:paraId="22FC30F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tcBorders>
              <w:top w:val="nil"/>
              <w:left w:val="nil"/>
              <w:bottom w:val="single" w:color="auto" w:sz="4" w:space="0"/>
              <w:right w:val="single" w:color="auto" w:sz="4" w:space="0"/>
            </w:tcBorders>
            <w:shd w:val="clear" w:color="auto" w:fill="auto"/>
            <w:vAlign w:val="center"/>
          </w:tcPr>
          <w:p w14:paraId="3FEE339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20" w:type="dxa"/>
            <w:tcBorders>
              <w:top w:val="nil"/>
              <w:left w:val="nil"/>
              <w:bottom w:val="single" w:color="auto" w:sz="4" w:space="0"/>
              <w:right w:val="single" w:color="auto" w:sz="4" w:space="0"/>
            </w:tcBorders>
            <w:shd w:val="clear" w:color="auto" w:fill="auto"/>
            <w:vAlign w:val="center"/>
          </w:tcPr>
          <w:p w14:paraId="303EF25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孔深暂定32m</w:t>
            </w:r>
          </w:p>
        </w:tc>
      </w:tr>
      <w:tr w14:paraId="315386E7">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570AE47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500" w:type="dxa"/>
            <w:tcBorders>
              <w:top w:val="nil"/>
              <w:left w:val="nil"/>
              <w:bottom w:val="single" w:color="auto" w:sz="4" w:space="0"/>
              <w:right w:val="single" w:color="auto" w:sz="4" w:space="0"/>
            </w:tcBorders>
            <w:shd w:val="clear" w:color="auto" w:fill="auto"/>
            <w:vAlign w:val="center"/>
          </w:tcPr>
          <w:p w14:paraId="57EA9F7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地下水位（自动化）</w:t>
            </w:r>
          </w:p>
        </w:tc>
        <w:tc>
          <w:tcPr>
            <w:tcW w:w="1940" w:type="dxa"/>
            <w:tcBorders>
              <w:top w:val="nil"/>
              <w:left w:val="nil"/>
              <w:bottom w:val="single" w:color="auto" w:sz="4" w:space="0"/>
              <w:right w:val="single" w:color="auto" w:sz="4" w:space="0"/>
            </w:tcBorders>
            <w:shd w:val="clear" w:color="auto" w:fill="auto"/>
            <w:vAlign w:val="center"/>
          </w:tcPr>
          <w:p w14:paraId="5EF3641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tcBorders>
              <w:top w:val="nil"/>
              <w:left w:val="nil"/>
              <w:bottom w:val="single" w:color="auto" w:sz="4" w:space="0"/>
              <w:right w:val="single" w:color="auto" w:sz="4" w:space="0"/>
            </w:tcBorders>
            <w:shd w:val="clear" w:color="auto" w:fill="auto"/>
            <w:noWrap/>
            <w:vAlign w:val="center"/>
          </w:tcPr>
          <w:p w14:paraId="3A54202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tcBorders>
              <w:top w:val="nil"/>
              <w:left w:val="nil"/>
              <w:bottom w:val="single" w:color="auto" w:sz="4" w:space="0"/>
              <w:right w:val="single" w:color="auto" w:sz="4" w:space="0"/>
            </w:tcBorders>
            <w:shd w:val="clear" w:color="auto" w:fill="auto"/>
            <w:vAlign w:val="center"/>
          </w:tcPr>
          <w:p w14:paraId="486312F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20" w:type="dxa"/>
            <w:tcBorders>
              <w:top w:val="nil"/>
              <w:left w:val="nil"/>
              <w:bottom w:val="single" w:color="auto" w:sz="4" w:space="0"/>
              <w:right w:val="single" w:color="auto" w:sz="4" w:space="0"/>
            </w:tcBorders>
            <w:shd w:val="clear" w:color="auto" w:fill="auto"/>
            <w:vAlign w:val="center"/>
          </w:tcPr>
          <w:p w14:paraId="1BDABB63">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孔深暂定15m</w:t>
            </w:r>
          </w:p>
        </w:tc>
      </w:tr>
      <w:tr w14:paraId="1D86FA93">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6C6B1FC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500" w:type="dxa"/>
            <w:tcBorders>
              <w:top w:val="nil"/>
              <w:left w:val="nil"/>
              <w:bottom w:val="single" w:color="auto" w:sz="4" w:space="0"/>
              <w:right w:val="single" w:color="auto" w:sz="4" w:space="0"/>
            </w:tcBorders>
            <w:shd w:val="clear" w:color="auto" w:fill="auto"/>
            <w:vAlign w:val="center"/>
          </w:tcPr>
          <w:p w14:paraId="64AE5F7E">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支撑轴力（自动化）</w:t>
            </w:r>
          </w:p>
        </w:tc>
        <w:tc>
          <w:tcPr>
            <w:tcW w:w="1940" w:type="dxa"/>
            <w:tcBorders>
              <w:top w:val="nil"/>
              <w:left w:val="nil"/>
              <w:bottom w:val="single" w:color="auto" w:sz="4" w:space="0"/>
              <w:right w:val="single" w:color="auto" w:sz="4" w:space="0"/>
            </w:tcBorders>
            <w:shd w:val="clear" w:color="auto" w:fill="auto"/>
            <w:vAlign w:val="center"/>
          </w:tcPr>
          <w:p w14:paraId="10925518">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第一道砼支撑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第二道型钢支撑</w:t>
            </w:r>
          </w:p>
        </w:tc>
        <w:tc>
          <w:tcPr>
            <w:tcW w:w="840" w:type="dxa"/>
            <w:tcBorders>
              <w:top w:val="nil"/>
              <w:left w:val="nil"/>
              <w:bottom w:val="single" w:color="auto" w:sz="4" w:space="0"/>
              <w:right w:val="single" w:color="auto" w:sz="4" w:space="0"/>
            </w:tcBorders>
            <w:shd w:val="clear" w:color="auto" w:fill="auto"/>
            <w:noWrap/>
            <w:vAlign w:val="center"/>
          </w:tcPr>
          <w:p w14:paraId="58D737E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40" w:type="dxa"/>
            <w:tcBorders>
              <w:top w:val="nil"/>
              <w:left w:val="nil"/>
              <w:bottom w:val="single" w:color="auto" w:sz="4" w:space="0"/>
              <w:right w:val="single" w:color="auto" w:sz="4" w:space="0"/>
            </w:tcBorders>
            <w:shd w:val="clear" w:color="auto" w:fill="auto"/>
            <w:vAlign w:val="center"/>
          </w:tcPr>
          <w:p w14:paraId="5388B65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220" w:type="dxa"/>
            <w:tcBorders>
              <w:top w:val="nil"/>
              <w:left w:val="nil"/>
              <w:bottom w:val="single" w:color="auto" w:sz="4" w:space="0"/>
              <w:right w:val="single" w:color="auto" w:sz="4" w:space="0"/>
            </w:tcBorders>
            <w:shd w:val="clear" w:color="auto" w:fill="auto"/>
            <w:vAlign w:val="center"/>
          </w:tcPr>
          <w:p w14:paraId="3EC8197F">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062A023A">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5E47A04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500" w:type="dxa"/>
            <w:tcBorders>
              <w:top w:val="nil"/>
              <w:left w:val="nil"/>
              <w:bottom w:val="single" w:color="auto" w:sz="4" w:space="0"/>
              <w:right w:val="single" w:color="auto" w:sz="4" w:space="0"/>
            </w:tcBorders>
            <w:shd w:val="clear" w:color="auto" w:fill="auto"/>
            <w:vAlign w:val="center"/>
          </w:tcPr>
          <w:p w14:paraId="7CDCE3E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基坑周边地表沉降监测</w:t>
            </w:r>
          </w:p>
        </w:tc>
        <w:tc>
          <w:tcPr>
            <w:tcW w:w="1940" w:type="dxa"/>
            <w:tcBorders>
              <w:top w:val="nil"/>
              <w:left w:val="nil"/>
              <w:bottom w:val="single" w:color="auto" w:sz="4" w:space="0"/>
              <w:right w:val="single" w:color="auto" w:sz="4" w:space="0"/>
            </w:tcBorders>
            <w:shd w:val="clear" w:color="auto" w:fill="auto"/>
            <w:vAlign w:val="center"/>
          </w:tcPr>
          <w:p w14:paraId="4120683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基坑顶部周边</w:t>
            </w:r>
          </w:p>
        </w:tc>
        <w:tc>
          <w:tcPr>
            <w:tcW w:w="840" w:type="dxa"/>
            <w:tcBorders>
              <w:top w:val="nil"/>
              <w:left w:val="nil"/>
              <w:bottom w:val="single" w:color="auto" w:sz="4" w:space="0"/>
              <w:right w:val="single" w:color="auto" w:sz="4" w:space="0"/>
            </w:tcBorders>
            <w:shd w:val="clear" w:color="auto" w:fill="auto"/>
            <w:noWrap/>
            <w:vAlign w:val="center"/>
          </w:tcPr>
          <w:p w14:paraId="134AE88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vAlign w:val="center"/>
          </w:tcPr>
          <w:p w14:paraId="3BC6BDF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1220" w:type="dxa"/>
            <w:tcBorders>
              <w:top w:val="nil"/>
              <w:left w:val="nil"/>
              <w:bottom w:val="single" w:color="auto" w:sz="4" w:space="0"/>
              <w:right w:val="single" w:color="auto" w:sz="4" w:space="0"/>
            </w:tcBorders>
            <w:shd w:val="clear" w:color="auto" w:fill="auto"/>
            <w:vAlign w:val="center"/>
          </w:tcPr>
          <w:p w14:paraId="52724E13">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220E12E3">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14A41DF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500" w:type="dxa"/>
            <w:tcBorders>
              <w:top w:val="nil"/>
              <w:left w:val="nil"/>
              <w:bottom w:val="single" w:color="auto" w:sz="4" w:space="0"/>
              <w:right w:val="single" w:color="auto" w:sz="4" w:space="0"/>
            </w:tcBorders>
            <w:shd w:val="clear" w:color="auto" w:fill="auto"/>
            <w:vAlign w:val="center"/>
          </w:tcPr>
          <w:p w14:paraId="771DB39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围护桩桩顶水平位移</w:t>
            </w:r>
          </w:p>
        </w:tc>
        <w:tc>
          <w:tcPr>
            <w:tcW w:w="1940" w:type="dxa"/>
            <w:tcBorders>
              <w:top w:val="nil"/>
              <w:left w:val="nil"/>
              <w:bottom w:val="single" w:color="auto" w:sz="4" w:space="0"/>
              <w:right w:val="single" w:color="auto" w:sz="4" w:space="0"/>
            </w:tcBorders>
            <w:shd w:val="clear" w:color="auto" w:fill="auto"/>
            <w:vAlign w:val="center"/>
          </w:tcPr>
          <w:p w14:paraId="497E95A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w:t>
            </w:r>
          </w:p>
        </w:tc>
        <w:tc>
          <w:tcPr>
            <w:tcW w:w="840" w:type="dxa"/>
            <w:tcBorders>
              <w:top w:val="nil"/>
              <w:left w:val="nil"/>
              <w:bottom w:val="single" w:color="auto" w:sz="4" w:space="0"/>
              <w:right w:val="single" w:color="auto" w:sz="4" w:space="0"/>
            </w:tcBorders>
            <w:shd w:val="clear" w:color="auto" w:fill="auto"/>
            <w:noWrap/>
            <w:vAlign w:val="center"/>
          </w:tcPr>
          <w:p w14:paraId="1840B2C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vAlign w:val="center"/>
          </w:tcPr>
          <w:p w14:paraId="0517B7E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20" w:type="dxa"/>
            <w:tcBorders>
              <w:top w:val="nil"/>
              <w:left w:val="nil"/>
              <w:bottom w:val="single" w:color="auto" w:sz="4" w:space="0"/>
              <w:right w:val="single" w:color="auto" w:sz="4" w:space="0"/>
            </w:tcBorders>
            <w:shd w:val="clear" w:color="auto" w:fill="auto"/>
            <w:vAlign w:val="center"/>
          </w:tcPr>
          <w:p w14:paraId="79F75F40">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2988BC34">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10F7530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500" w:type="dxa"/>
            <w:tcBorders>
              <w:top w:val="nil"/>
              <w:left w:val="nil"/>
              <w:bottom w:val="single" w:color="auto" w:sz="4" w:space="0"/>
              <w:right w:val="single" w:color="auto" w:sz="4" w:space="0"/>
            </w:tcBorders>
            <w:shd w:val="clear" w:color="auto" w:fill="auto"/>
            <w:vAlign w:val="center"/>
          </w:tcPr>
          <w:p w14:paraId="7B38EEB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围护桩桩顶竖向位移</w:t>
            </w:r>
          </w:p>
        </w:tc>
        <w:tc>
          <w:tcPr>
            <w:tcW w:w="1940" w:type="dxa"/>
            <w:tcBorders>
              <w:top w:val="nil"/>
              <w:left w:val="nil"/>
              <w:bottom w:val="single" w:color="auto" w:sz="4" w:space="0"/>
              <w:right w:val="single" w:color="auto" w:sz="4" w:space="0"/>
            </w:tcBorders>
            <w:shd w:val="clear" w:color="auto" w:fill="auto"/>
            <w:vAlign w:val="center"/>
          </w:tcPr>
          <w:p w14:paraId="522B8F2B">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w:t>
            </w:r>
          </w:p>
        </w:tc>
        <w:tc>
          <w:tcPr>
            <w:tcW w:w="840" w:type="dxa"/>
            <w:tcBorders>
              <w:top w:val="nil"/>
              <w:left w:val="nil"/>
              <w:bottom w:val="single" w:color="auto" w:sz="4" w:space="0"/>
              <w:right w:val="single" w:color="auto" w:sz="4" w:space="0"/>
            </w:tcBorders>
            <w:shd w:val="clear" w:color="auto" w:fill="auto"/>
            <w:noWrap/>
            <w:vAlign w:val="center"/>
          </w:tcPr>
          <w:p w14:paraId="6C203B9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vAlign w:val="center"/>
          </w:tcPr>
          <w:p w14:paraId="2B9BCB7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20" w:type="dxa"/>
            <w:tcBorders>
              <w:top w:val="nil"/>
              <w:left w:val="nil"/>
              <w:bottom w:val="single" w:color="auto" w:sz="4" w:space="0"/>
              <w:right w:val="single" w:color="auto" w:sz="4" w:space="0"/>
            </w:tcBorders>
            <w:shd w:val="clear" w:color="auto" w:fill="auto"/>
            <w:vAlign w:val="center"/>
          </w:tcPr>
          <w:p w14:paraId="12D8FDA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6F97B500">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7DA8CF0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500" w:type="dxa"/>
            <w:tcBorders>
              <w:top w:val="nil"/>
              <w:left w:val="nil"/>
              <w:bottom w:val="single" w:color="auto" w:sz="4" w:space="0"/>
              <w:right w:val="single" w:color="auto" w:sz="4" w:space="0"/>
            </w:tcBorders>
            <w:shd w:val="clear" w:color="auto" w:fill="auto"/>
            <w:vAlign w:val="center"/>
          </w:tcPr>
          <w:p w14:paraId="501A81C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立柱桩沉降监测</w:t>
            </w:r>
          </w:p>
        </w:tc>
        <w:tc>
          <w:tcPr>
            <w:tcW w:w="1940" w:type="dxa"/>
            <w:tcBorders>
              <w:top w:val="nil"/>
              <w:left w:val="nil"/>
              <w:bottom w:val="single" w:color="auto" w:sz="4" w:space="0"/>
              <w:right w:val="single" w:color="auto" w:sz="4" w:space="0"/>
            </w:tcBorders>
            <w:shd w:val="clear" w:color="auto" w:fill="auto"/>
            <w:vAlign w:val="center"/>
          </w:tcPr>
          <w:p w14:paraId="23F27BE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立柱桩</w:t>
            </w:r>
          </w:p>
        </w:tc>
        <w:tc>
          <w:tcPr>
            <w:tcW w:w="840" w:type="dxa"/>
            <w:tcBorders>
              <w:top w:val="nil"/>
              <w:left w:val="nil"/>
              <w:bottom w:val="single" w:color="auto" w:sz="4" w:space="0"/>
              <w:right w:val="single" w:color="auto" w:sz="4" w:space="0"/>
            </w:tcBorders>
            <w:shd w:val="clear" w:color="auto" w:fill="auto"/>
            <w:noWrap/>
            <w:vAlign w:val="center"/>
          </w:tcPr>
          <w:p w14:paraId="28880C0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noWrap/>
            <w:vAlign w:val="center"/>
          </w:tcPr>
          <w:p w14:paraId="0641805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20" w:type="dxa"/>
            <w:tcBorders>
              <w:top w:val="nil"/>
              <w:left w:val="nil"/>
              <w:bottom w:val="single" w:color="auto" w:sz="4" w:space="0"/>
              <w:right w:val="single" w:color="auto" w:sz="4" w:space="0"/>
            </w:tcBorders>
            <w:shd w:val="clear" w:color="auto" w:fill="auto"/>
            <w:vAlign w:val="center"/>
          </w:tcPr>
          <w:p w14:paraId="19E48A3B">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0F17B977">
        <w:tblPrEx>
          <w:tblCellMar>
            <w:top w:w="0" w:type="dxa"/>
            <w:left w:w="108" w:type="dxa"/>
            <w:bottom w:w="0" w:type="dxa"/>
            <w:right w:w="108" w:type="dxa"/>
          </w:tblCellMar>
        </w:tblPrEx>
        <w:trPr>
          <w:trHeight w:val="56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2A07AA5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500" w:type="dxa"/>
            <w:tcBorders>
              <w:top w:val="nil"/>
              <w:left w:val="nil"/>
              <w:bottom w:val="single" w:color="auto" w:sz="4" w:space="0"/>
              <w:right w:val="single" w:color="auto" w:sz="4" w:space="0"/>
            </w:tcBorders>
            <w:shd w:val="clear" w:color="auto" w:fill="auto"/>
            <w:vAlign w:val="center"/>
          </w:tcPr>
          <w:p w14:paraId="031F012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基坑管线位移、沉降监测</w:t>
            </w:r>
          </w:p>
        </w:tc>
        <w:tc>
          <w:tcPr>
            <w:tcW w:w="1940" w:type="dxa"/>
            <w:tcBorders>
              <w:top w:val="nil"/>
              <w:left w:val="nil"/>
              <w:bottom w:val="single" w:color="auto" w:sz="4" w:space="0"/>
              <w:right w:val="single" w:color="auto" w:sz="4" w:space="0"/>
            </w:tcBorders>
            <w:shd w:val="clear" w:color="auto" w:fill="auto"/>
            <w:vAlign w:val="center"/>
          </w:tcPr>
          <w:p w14:paraId="577C39C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基坑南侧管线</w:t>
            </w:r>
          </w:p>
        </w:tc>
        <w:tc>
          <w:tcPr>
            <w:tcW w:w="840" w:type="dxa"/>
            <w:tcBorders>
              <w:top w:val="nil"/>
              <w:left w:val="nil"/>
              <w:bottom w:val="single" w:color="auto" w:sz="4" w:space="0"/>
              <w:right w:val="single" w:color="auto" w:sz="4" w:space="0"/>
            </w:tcBorders>
            <w:shd w:val="clear" w:color="auto" w:fill="auto"/>
            <w:noWrap/>
            <w:vAlign w:val="center"/>
          </w:tcPr>
          <w:p w14:paraId="53C1E78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noWrap/>
            <w:vAlign w:val="center"/>
          </w:tcPr>
          <w:p w14:paraId="50DD160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220" w:type="dxa"/>
            <w:tcBorders>
              <w:top w:val="nil"/>
              <w:left w:val="nil"/>
              <w:bottom w:val="single" w:color="auto" w:sz="4" w:space="0"/>
              <w:right w:val="single" w:color="auto" w:sz="4" w:space="0"/>
            </w:tcBorders>
            <w:shd w:val="clear" w:color="auto" w:fill="auto"/>
            <w:vAlign w:val="center"/>
          </w:tcPr>
          <w:p w14:paraId="4CA272B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6156FDEA">
        <w:tblPrEx>
          <w:tblCellMar>
            <w:top w:w="0" w:type="dxa"/>
            <w:left w:w="108" w:type="dxa"/>
            <w:bottom w:w="0" w:type="dxa"/>
            <w:right w:w="108" w:type="dxa"/>
          </w:tblCellMar>
        </w:tblPrEx>
        <w:trPr>
          <w:trHeight w:val="560" w:hRule="atLeast"/>
          <w:jc w:val="center"/>
        </w:trPr>
        <w:tc>
          <w:tcPr>
            <w:tcW w:w="816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C32BBB0">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二、建筑物沉降观测</w:t>
            </w:r>
          </w:p>
        </w:tc>
      </w:tr>
      <w:tr w14:paraId="472B4E88">
        <w:tblPrEx>
          <w:tblCellMar>
            <w:top w:w="0" w:type="dxa"/>
            <w:left w:w="108" w:type="dxa"/>
            <w:bottom w:w="0" w:type="dxa"/>
            <w:right w:w="108" w:type="dxa"/>
          </w:tblCellMar>
        </w:tblPrEx>
        <w:trPr>
          <w:trHeight w:val="1740" w:hRule="atLeast"/>
          <w:jc w:val="center"/>
        </w:trPr>
        <w:tc>
          <w:tcPr>
            <w:tcW w:w="820" w:type="dxa"/>
            <w:tcBorders>
              <w:top w:val="nil"/>
              <w:left w:val="single" w:color="auto" w:sz="4" w:space="0"/>
              <w:bottom w:val="single" w:color="auto" w:sz="4" w:space="0"/>
              <w:right w:val="single" w:color="auto" w:sz="4" w:space="0"/>
            </w:tcBorders>
            <w:shd w:val="clear" w:color="auto" w:fill="auto"/>
            <w:vAlign w:val="center"/>
          </w:tcPr>
          <w:p w14:paraId="6157F5F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500" w:type="dxa"/>
            <w:tcBorders>
              <w:top w:val="nil"/>
              <w:left w:val="nil"/>
              <w:bottom w:val="single" w:color="auto" w:sz="4" w:space="0"/>
              <w:right w:val="single" w:color="auto" w:sz="4" w:space="0"/>
            </w:tcBorders>
            <w:shd w:val="clear" w:color="auto" w:fill="auto"/>
            <w:noWrap/>
            <w:vAlign w:val="center"/>
          </w:tcPr>
          <w:p w14:paraId="0682E2A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建筑物沉降观测</w:t>
            </w:r>
          </w:p>
        </w:tc>
        <w:tc>
          <w:tcPr>
            <w:tcW w:w="1940" w:type="dxa"/>
            <w:tcBorders>
              <w:top w:val="nil"/>
              <w:left w:val="nil"/>
              <w:bottom w:val="single" w:color="auto" w:sz="4" w:space="0"/>
              <w:right w:val="single" w:color="auto" w:sz="4" w:space="0"/>
            </w:tcBorders>
            <w:shd w:val="clear" w:color="auto" w:fill="auto"/>
            <w:vAlign w:val="center"/>
          </w:tcPr>
          <w:p w14:paraId="663E4B8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含基准点布设、沉降点观测、二等水准测量等内容。设沉降观测自基础完成后开始，每施工2层观测一次，结顶后第一年不少于每一季度观测一次，直至数据稳定。</w:t>
            </w:r>
          </w:p>
        </w:tc>
        <w:tc>
          <w:tcPr>
            <w:tcW w:w="840" w:type="dxa"/>
            <w:tcBorders>
              <w:top w:val="nil"/>
              <w:left w:val="nil"/>
              <w:bottom w:val="single" w:color="auto" w:sz="4" w:space="0"/>
              <w:right w:val="single" w:color="auto" w:sz="4" w:space="0"/>
            </w:tcBorders>
            <w:shd w:val="clear" w:color="auto" w:fill="auto"/>
            <w:noWrap/>
            <w:vAlign w:val="center"/>
          </w:tcPr>
          <w:p w14:paraId="7EE3731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tcBorders>
              <w:top w:val="nil"/>
              <w:left w:val="nil"/>
              <w:bottom w:val="single" w:color="auto" w:sz="4" w:space="0"/>
              <w:right w:val="single" w:color="auto" w:sz="4" w:space="0"/>
            </w:tcBorders>
            <w:shd w:val="clear" w:color="auto" w:fill="auto"/>
            <w:noWrap/>
            <w:vAlign w:val="center"/>
          </w:tcPr>
          <w:p w14:paraId="76C35AB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220" w:type="dxa"/>
            <w:tcBorders>
              <w:top w:val="nil"/>
              <w:left w:val="nil"/>
              <w:bottom w:val="single" w:color="auto" w:sz="4" w:space="0"/>
              <w:right w:val="single" w:color="auto" w:sz="4" w:space="0"/>
            </w:tcBorders>
            <w:shd w:val="clear" w:color="auto" w:fill="auto"/>
            <w:noWrap/>
            <w:vAlign w:val="center"/>
          </w:tcPr>
          <w:p w14:paraId="3F7D5B7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bl>
    <w:p w14:paraId="637090DE">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p>
    <w:p w14:paraId="70729034">
      <w:pPr>
        <w:spacing w:line="360" w:lineRule="auto"/>
        <w:outlineLvl w:val="0"/>
        <w:rPr>
          <w:rFonts w:hint="eastAsia" w:ascii="宋体" w:hAnsi="宋体" w:cs="宋体"/>
          <w:b/>
          <w:bCs/>
          <w:color w:val="auto"/>
          <w:sz w:val="24"/>
          <w:highlight w:val="none"/>
        </w:rPr>
      </w:pPr>
      <w:r>
        <w:rPr>
          <w:rFonts w:hint="eastAsia" w:ascii="宋体" w:hAnsi="宋体" w:cs="宋体"/>
          <w:b/>
          <w:bCs/>
          <w:color w:val="auto"/>
          <w:sz w:val="24"/>
          <w:highlight w:val="none"/>
        </w:rPr>
        <w:t>三、报价要求</w:t>
      </w:r>
    </w:p>
    <w:p w14:paraId="761308E2">
      <w:pPr>
        <w:widowControl/>
        <w:snapToGrid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1.本次投标采用固定综合单价方式报价，工程量按以上表格所列内容按实结算。其他表格中未列项目，指由投标人根据投标人的检测、监测、观测方案及按规范要求必须增加的检测、监测、观测或调查工作项目，所发生的相关费用由投标人自行考虑并计入综合单价中，中标后不做调整。 </w:t>
      </w:r>
    </w:p>
    <w:p w14:paraId="5348B8D1">
      <w:pPr>
        <w:widowControl/>
        <w:snapToGrid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本项目基坑监测及沉降观测时间、频率由投标单位按图纸及相关规范要求自行考虑，实际监测及观测时间超过投标人预估期限的，投标人需无条件配合，投标单价不作调整。基坑监测中孔深暂定32m，无论实际孔深为多少，投标单价不作调整。投标人应结合项目特点、市场行情及自身实力，在充分考虑本次服务的实际工作成本、服务周期、技术含量、难易程度、现场情况、市场风险及复杂性等因素的基础上进行报价。</w:t>
      </w:r>
    </w:p>
    <w:p w14:paraId="27E7075D">
      <w:pPr>
        <w:widowControl/>
        <w:snapToGrid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3.投标人投标报价时应充分考虑多次进出场检测、监测、观测所造成的服务费用（如人工消耗、机械搬运、机械安拆、砼块配重等材料损耗等等）的增加，因多次进出场检测、监测、观测所增加的费用已包含在投标综合单价内，结算时合同单价不作调整。 </w:t>
      </w:r>
    </w:p>
    <w:p w14:paraId="651241AA">
      <w:pPr>
        <w:widowControl/>
        <w:snapToGrid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投标报价为投标人完成本次检测、监测、观测服务所可能发生的所有费用，包括但不限于：投标人的人工费、材料费、机械费、管理费、保险、风险、利润、税金、基准点测设费、高程联测费、预埋费、安装费、测点保护费、设施设备折旧与运输费、试验费、成果性文件编制及审查费、方案专家评审相关费用、服务期间因各项原因需要召开专家评审会产生的会务费和专家费、总包单位配合费、与各单位或政府部门协调产生的费用等。</w:t>
      </w:r>
    </w:p>
    <w:p w14:paraId="086E1085">
      <w:pPr>
        <w:spacing w:line="360" w:lineRule="auto"/>
        <w:ind w:firstLine="480" w:firstLineChars="200"/>
        <w:rPr>
          <w:rFonts w:cs="宋体"/>
          <w:color w:val="auto"/>
          <w:kern w:val="0"/>
          <w:sz w:val="24"/>
          <w:highlight w:val="none"/>
          <w:lang w:bidi="ar"/>
        </w:rPr>
      </w:pPr>
      <w:r>
        <w:rPr>
          <w:rFonts w:hint="eastAsia" w:cs="宋体"/>
          <w:color w:val="auto"/>
          <w:kern w:val="0"/>
          <w:sz w:val="24"/>
          <w:highlight w:val="none"/>
          <w:lang w:bidi="ar"/>
        </w:rPr>
        <w:t>四、服务期限</w:t>
      </w:r>
    </w:p>
    <w:p w14:paraId="017C78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自本合同生效之日起至本项目检测、监测、观测工作全部完成，所提交的正式成果报告经监理人、代建人和委托人审查合格止。</w:t>
      </w:r>
    </w:p>
    <w:p w14:paraId="1F1A9F6D">
      <w:pPr>
        <w:pStyle w:val="2"/>
        <w:rPr>
          <w:rFonts w:hint="eastAsia"/>
          <w:color w:val="auto"/>
          <w:highlight w:val="none"/>
        </w:rPr>
      </w:pPr>
    </w:p>
    <w:p w14:paraId="5B62ECF7">
      <w:pPr>
        <w:pStyle w:val="2"/>
        <w:rPr>
          <w:rFonts w:hint="eastAsia"/>
          <w:color w:val="auto"/>
          <w:highlight w:val="none"/>
        </w:rPr>
      </w:pPr>
    </w:p>
    <w:p w14:paraId="7D29B94C">
      <w:pPr>
        <w:rPr>
          <w:color w:val="auto"/>
          <w:highlight w:val="none"/>
        </w:rPr>
      </w:pPr>
    </w:p>
    <w:p w14:paraId="44B6A0FB">
      <w:pPr>
        <w:spacing w:line="360" w:lineRule="auto"/>
        <w:ind w:firstLine="480"/>
        <w:jc w:val="left"/>
        <w:rPr>
          <w:rFonts w:hint="eastAsia" w:ascii="宋体" w:hAnsi="宋体" w:cs="仿宋"/>
          <w:color w:val="auto"/>
          <w:sz w:val="24"/>
          <w:highlight w:val="none"/>
          <w:lang w:val="en"/>
        </w:rPr>
      </w:pPr>
    </w:p>
    <w:p w14:paraId="2D4A872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3" w:name="_Toc184312092"/>
      <w:bookmarkEnd w:id="33"/>
      <w:bookmarkStart w:id="34" w:name="_Toc184308077"/>
      <w:bookmarkEnd w:id="34"/>
      <w:bookmarkStart w:id="35" w:name="_Toc184310332"/>
      <w:bookmarkEnd w:id="35"/>
      <w:bookmarkStart w:id="36" w:name="_Toc184314467"/>
      <w:bookmarkEnd w:id="36"/>
      <w:bookmarkStart w:id="37" w:name="_Toc184310288"/>
      <w:bookmarkEnd w:id="37"/>
      <w:bookmarkStart w:id="38" w:name="_Toc184310291"/>
      <w:bookmarkEnd w:id="38"/>
      <w:bookmarkStart w:id="39" w:name="_Toc184310342"/>
      <w:bookmarkEnd w:id="39"/>
      <w:bookmarkStart w:id="40" w:name="_Toc184308045"/>
      <w:bookmarkEnd w:id="40"/>
      <w:bookmarkStart w:id="41" w:name="_Toc184310274"/>
      <w:bookmarkEnd w:id="41"/>
      <w:bookmarkStart w:id="42" w:name="_Toc184314476"/>
      <w:bookmarkEnd w:id="42"/>
      <w:bookmarkStart w:id="43" w:name="_Toc184308068"/>
      <w:bookmarkEnd w:id="43"/>
      <w:bookmarkStart w:id="44" w:name="_Toc184308079"/>
      <w:bookmarkEnd w:id="44"/>
      <w:bookmarkStart w:id="45" w:name="_Toc184312086"/>
      <w:bookmarkEnd w:id="45"/>
      <w:bookmarkStart w:id="46" w:name="_Toc184313270"/>
      <w:bookmarkEnd w:id="46"/>
      <w:bookmarkStart w:id="47" w:name="_Toc184314457"/>
      <w:bookmarkEnd w:id="47"/>
      <w:bookmarkStart w:id="48" w:name="_Toc184312100"/>
      <w:bookmarkEnd w:id="48"/>
      <w:bookmarkStart w:id="49" w:name="_Toc184308091"/>
      <w:bookmarkEnd w:id="49"/>
      <w:bookmarkStart w:id="50" w:name="_Toc184308075"/>
      <w:bookmarkEnd w:id="50"/>
      <w:bookmarkStart w:id="51" w:name="_Toc184313280"/>
      <w:bookmarkEnd w:id="51"/>
      <w:bookmarkStart w:id="52" w:name="_Toc184312084"/>
      <w:bookmarkEnd w:id="52"/>
      <w:bookmarkStart w:id="53" w:name="_Toc184310328"/>
      <w:bookmarkEnd w:id="53"/>
      <w:bookmarkStart w:id="54" w:name="_Toc184308037"/>
      <w:bookmarkEnd w:id="54"/>
      <w:bookmarkStart w:id="55" w:name="_Toc184308099"/>
      <w:bookmarkEnd w:id="55"/>
      <w:bookmarkStart w:id="56" w:name="_Toc184313286"/>
      <w:bookmarkEnd w:id="56"/>
      <w:bookmarkStart w:id="57" w:name="_Toc184312067"/>
      <w:bookmarkEnd w:id="57"/>
      <w:bookmarkStart w:id="58" w:name="_Toc184313243"/>
      <w:bookmarkEnd w:id="58"/>
      <w:bookmarkStart w:id="59" w:name="_Toc184313254"/>
      <w:bookmarkEnd w:id="59"/>
      <w:bookmarkStart w:id="60" w:name="_Toc184310310"/>
      <w:bookmarkEnd w:id="60"/>
      <w:bookmarkStart w:id="61" w:name="_Toc184308071"/>
      <w:bookmarkEnd w:id="61"/>
      <w:bookmarkStart w:id="62" w:name="_Toc184314442"/>
      <w:bookmarkEnd w:id="62"/>
      <w:bookmarkStart w:id="63" w:name="_Toc184310301"/>
      <w:bookmarkEnd w:id="63"/>
      <w:bookmarkStart w:id="64" w:name="_Toc184313258"/>
      <w:bookmarkEnd w:id="64"/>
      <w:bookmarkStart w:id="65" w:name="_Toc184312101"/>
      <w:bookmarkEnd w:id="65"/>
      <w:bookmarkStart w:id="66" w:name="_Toc184313272"/>
      <w:bookmarkEnd w:id="66"/>
      <w:bookmarkStart w:id="67" w:name="_Toc184310273"/>
      <w:bookmarkEnd w:id="67"/>
      <w:bookmarkStart w:id="68" w:name="_Toc184313298"/>
      <w:bookmarkEnd w:id="68"/>
      <w:bookmarkStart w:id="69" w:name="_Toc184312073"/>
      <w:bookmarkEnd w:id="69"/>
      <w:bookmarkStart w:id="70" w:name="_Toc184308107"/>
      <w:bookmarkEnd w:id="70"/>
      <w:bookmarkStart w:id="71" w:name="_Toc184314474"/>
      <w:bookmarkEnd w:id="71"/>
      <w:bookmarkStart w:id="72" w:name="_Toc184308074"/>
      <w:bookmarkEnd w:id="72"/>
      <w:bookmarkStart w:id="73" w:name="_Toc184308094"/>
      <w:bookmarkEnd w:id="73"/>
      <w:bookmarkStart w:id="74" w:name="_Toc184312094"/>
      <w:bookmarkEnd w:id="74"/>
      <w:bookmarkStart w:id="75" w:name="_Toc184310341"/>
      <w:bookmarkEnd w:id="75"/>
      <w:bookmarkStart w:id="76" w:name="_Toc184310336"/>
      <w:bookmarkEnd w:id="76"/>
      <w:bookmarkStart w:id="77" w:name="_Toc184312115"/>
      <w:bookmarkEnd w:id="77"/>
      <w:bookmarkStart w:id="78" w:name="_Toc184314424"/>
      <w:bookmarkEnd w:id="78"/>
      <w:bookmarkStart w:id="79" w:name="_Toc184312116"/>
      <w:bookmarkEnd w:id="79"/>
      <w:bookmarkStart w:id="80" w:name="_Toc184312102"/>
      <w:bookmarkEnd w:id="80"/>
      <w:bookmarkStart w:id="81" w:name="_Toc184312120"/>
      <w:bookmarkEnd w:id="81"/>
      <w:bookmarkStart w:id="82" w:name="_Toc184314435"/>
      <w:bookmarkEnd w:id="82"/>
      <w:bookmarkStart w:id="83" w:name="_Toc184312096"/>
      <w:bookmarkEnd w:id="83"/>
      <w:bookmarkStart w:id="84" w:name="_Toc184312089"/>
      <w:bookmarkEnd w:id="84"/>
      <w:bookmarkStart w:id="85" w:name="_Toc184308097"/>
      <w:bookmarkEnd w:id="85"/>
      <w:bookmarkStart w:id="86" w:name="_Toc184312121"/>
      <w:bookmarkEnd w:id="86"/>
      <w:bookmarkStart w:id="87" w:name="_Toc184310311"/>
      <w:bookmarkEnd w:id="87"/>
      <w:bookmarkStart w:id="88" w:name="_Toc184310298"/>
      <w:bookmarkEnd w:id="88"/>
      <w:bookmarkStart w:id="89" w:name="_Toc184308078"/>
      <w:bookmarkEnd w:id="89"/>
      <w:bookmarkStart w:id="90" w:name="_Toc184314473"/>
      <w:bookmarkEnd w:id="90"/>
      <w:bookmarkStart w:id="91" w:name="_Toc184310304"/>
      <w:bookmarkEnd w:id="91"/>
      <w:bookmarkStart w:id="92" w:name="_Toc184312118"/>
      <w:bookmarkEnd w:id="92"/>
      <w:bookmarkStart w:id="93" w:name="_Toc184308065"/>
      <w:bookmarkEnd w:id="93"/>
      <w:bookmarkStart w:id="94" w:name="_Toc184308041"/>
      <w:bookmarkEnd w:id="94"/>
      <w:bookmarkStart w:id="95" w:name="_Toc184310344"/>
      <w:bookmarkEnd w:id="95"/>
      <w:bookmarkStart w:id="96" w:name="_Toc184314422"/>
      <w:bookmarkEnd w:id="96"/>
      <w:bookmarkStart w:id="97" w:name="_Toc184312135"/>
      <w:bookmarkEnd w:id="97"/>
      <w:bookmarkStart w:id="98" w:name="_Toc184314471"/>
      <w:bookmarkEnd w:id="98"/>
      <w:bookmarkStart w:id="99" w:name="_Toc184308064"/>
      <w:bookmarkEnd w:id="99"/>
      <w:bookmarkStart w:id="100" w:name="_Toc184313295"/>
      <w:bookmarkEnd w:id="100"/>
      <w:bookmarkStart w:id="101" w:name="_Toc184314427"/>
      <w:bookmarkEnd w:id="101"/>
      <w:bookmarkStart w:id="102" w:name="_Toc184314419"/>
      <w:bookmarkEnd w:id="102"/>
      <w:bookmarkStart w:id="103" w:name="_Toc184314420"/>
      <w:bookmarkEnd w:id="103"/>
      <w:bookmarkStart w:id="104" w:name="_Toc184310276"/>
      <w:bookmarkEnd w:id="104"/>
      <w:bookmarkStart w:id="105" w:name="_Toc184308070"/>
      <w:bookmarkEnd w:id="105"/>
      <w:bookmarkStart w:id="106" w:name="_Toc184313279"/>
      <w:bookmarkEnd w:id="106"/>
      <w:bookmarkStart w:id="107" w:name="_Toc184314436"/>
      <w:bookmarkEnd w:id="107"/>
      <w:bookmarkStart w:id="108" w:name="_Toc184308086"/>
      <w:bookmarkEnd w:id="108"/>
      <w:bookmarkStart w:id="109" w:name="_Toc184310338"/>
      <w:bookmarkEnd w:id="109"/>
      <w:bookmarkStart w:id="110" w:name="_Toc184314438"/>
      <w:bookmarkEnd w:id="110"/>
      <w:bookmarkStart w:id="111" w:name="_Toc184314434"/>
      <w:bookmarkEnd w:id="111"/>
      <w:bookmarkStart w:id="112" w:name="_Toc184308081"/>
      <w:bookmarkEnd w:id="112"/>
      <w:bookmarkStart w:id="113" w:name="_Toc184313282"/>
      <w:bookmarkEnd w:id="113"/>
      <w:bookmarkStart w:id="114" w:name="_Toc184313238"/>
      <w:bookmarkEnd w:id="114"/>
      <w:bookmarkStart w:id="115" w:name="_Toc184313308"/>
      <w:bookmarkEnd w:id="115"/>
      <w:bookmarkStart w:id="116" w:name="_Toc184310297"/>
      <w:bookmarkEnd w:id="116"/>
      <w:bookmarkStart w:id="117" w:name="_Toc184314421"/>
      <w:bookmarkEnd w:id="117"/>
      <w:bookmarkStart w:id="118" w:name="_Toc184310282"/>
      <w:bookmarkEnd w:id="118"/>
      <w:bookmarkStart w:id="119" w:name="_Toc184313275"/>
      <w:bookmarkEnd w:id="119"/>
      <w:bookmarkStart w:id="120" w:name="_Toc184310327"/>
      <w:bookmarkEnd w:id="120"/>
      <w:bookmarkStart w:id="121" w:name="_Toc184314465"/>
      <w:bookmarkEnd w:id="121"/>
      <w:bookmarkStart w:id="122" w:name="_Toc184313297"/>
      <w:bookmarkEnd w:id="122"/>
      <w:bookmarkStart w:id="123" w:name="_Toc184314412"/>
      <w:bookmarkEnd w:id="123"/>
      <w:bookmarkStart w:id="124" w:name="_Toc184308058"/>
      <w:bookmarkEnd w:id="124"/>
      <w:bookmarkStart w:id="125" w:name="_Toc184308093"/>
      <w:bookmarkEnd w:id="125"/>
      <w:bookmarkStart w:id="126" w:name="_Toc184314470"/>
      <w:bookmarkEnd w:id="126"/>
      <w:bookmarkStart w:id="127" w:name="_Toc184314472"/>
      <w:bookmarkEnd w:id="127"/>
      <w:bookmarkStart w:id="128" w:name="_Toc184314462"/>
      <w:bookmarkEnd w:id="128"/>
      <w:bookmarkStart w:id="129" w:name="_Toc184314415"/>
      <w:bookmarkEnd w:id="129"/>
      <w:bookmarkStart w:id="130" w:name="_Toc184310302"/>
      <w:bookmarkEnd w:id="130"/>
      <w:bookmarkStart w:id="131" w:name="_Toc184308095"/>
      <w:bookmarkEnd w:id="131"/>
      <w:bookmarkStart w:id="132" w:name="_Toc184313296"/>
      <w:bookmarkEnd w:id="132"/>
      <w:bookmarkStart w:id="133" w:name="_Toc184312108"/>
      <w:bookmarkEnd w:id="133"/>
      <w:bookmarkStart w:id="134" w:name="_Toc184310293"/>
      <w:bookmarkEnd w:id="134"/>
      <w:bookmarkStart w:id="135" w:name="_Toc184313256"/>
      <w:bookmarkEnd w:id="135"/>
      <w:bookmarkStart w:id="136" w:name="_Toc184314459"/>
      <w:bookmarkEnd w:id="136"/>
      <w:bookmarkStart w:id="137" w:name="_Toc184308072"/>
      <w:bookmarkEnd w:id="137"/>
      <w:bookmarkStart w:id="138" w:name="_Toc184313299"/>
      <w:bookmarkEnd w:id="138"/>
      <w:bookmarkStart w:id="139" w:name="_Toc184313262"/>
      <w:bookmarkEnd w:id="139"/>
      <w:bookmarkStart w:id="140" w:name="_Toc184308085"/>
      <w:bookmarkEnd w:id="140"/>
      <w:bookmarkStart w:id="141" w:name="_Toc184310320"/>
      <w:bookmarkEnd w:id="141"/>
      <w:bookmarkStart w:id="142" w:name="_Toc184314433"/>
      <w:bookmarkEnd w:id="142"/>
      <w:bookmarkStart w:id="143" w:name="_Toc184308089"/>
      <w:bookmarkEnd w:id="143"/>
      <w:bookmarkStart w:id="144" w:name="_Toc184314451"/>
      <w:bookmarkEnd w:id="144"/>
      <w:bookmarkStart w:id="145" w:name="_Toc184308066"/>
      <w:bookmarkEnd w:id="145"/>
      <w:bookmarkStart w:id="146" w:name="_Toc184310286"/>
      <w:bookmarkEnd w:id="146"/>
      <w:bookmarkStart w:id="147" w:name="_Toc184312093"/>
      <w:bookmarkEnd w:id="147"/>
      <w:bookmarkStart w:id="148" w:name="_Toc184314469"/>
      <w:bookmarkEnd w:id="148"/>
      <w:bookmarkStart w:id="149" w:name="_Toc184308073"/>
      <w:bookmarkEnd w:id="149"/>
      <w:bookmarkStart w:id="150" w:name="_Toc184312125"/>
      <w:bookmarkEnd w:id="150"/>
      <w:bookmarkStart w:id="151" w:name="_Toc184313304"/>
      <w:bookmarkEnd w:id="151"/>
      <w:bookmarkStart w:id="152" w:name="_Toc184312077"/>
      <w:bookmarkEnd w:id="152"/>
      <w:bookmarkStart w:id="153" w:name="_Toc184314456"/>
      <w:bookmarkEnd w:id="153"/>
      <w:bookmarkStart w:id="154" w:name="_Toc184314477"/>
      <w:bookmarkEnd w:id="154"/>
      <w:bookmarkStart w:id="155" w:name="_Toc184313273"/>
      <w:bookmarkEnd w:id="155"/>
      <w:bookmarkStart w:id="156" w:name="_Toc184308052"/>
      <w:bookmarkEnd w:id="156"/>
      <w:bookmarkStart w:id="157" w:name="_Toc184313283"/>
      <w:bookmarkEnd w:id="157"/>
      <w:bookmarkStart w:id="158" w:name="_Toc184308038"/>
      <w:bookmarkEnd w:id="158"/>
      <w:bookmarkStart w:id="159" w:name="_Toc184313247"/>
      <w:bookmarkEnd w:id="159"/>
      <w:bookmarkStart w:id="160" w:name="_Toc184314479"/>
      <w:bookmarkEnd w:id="160"/>
      <w:bookmarkStart w:id="161" w:name="_Toc184314425"/>
      <w:bookmarkEnd w:id="161"/>
      <w:bookmarkStart w:id="162" w:name="_Toc184310329"/>
      <w:bookmarkEnd w:id="162"/>
      <w:bookmarkStart w:id="163" w:name="_Toc184310299"/>
      <w:bookmarkEnd w:id="163"/>
      <w:bookmarkStart w:id="164" w:name="_Toc184310307"/>
      <w:bookmarkEnd w:id="164"/>
      <w:bookmarkStart w:id="165" w:name="_Toc184313255"/>
      <w:bookmarkEnd w:id="165"/>
      <w:bookmarkStart w:id="166" w:name="_Toc184313252"/>
      <w:bookmarkEnd w:id="166"/>
      <w:bookmarkStart w:id="167" w:name="_Toc184314482"/>
      <w:bookmarkEnd w:id="167"/>
      <w:bookmarkStart w:id="168" w:name="_Toc184310294"/>
      <w:bookmarkEnd w:id="168"/>
      <w:bookmarkStart w:id="169" w:name="_Toc184314480"/>
      <w:bookmarkEnd w:id="169"/>
      <w:bookmarkStart w:id="170" w:name="_Toc184308036"/>
      <w:bookmarkEnd w:id="170"/>
      <w:bookmarkStart w:id="171" w:name="_Toc184314454"/>
      <w:bookmarkEnd w:id="171"/>
      <w:bookmarkStart w:id="172" w:name="_Toc184312122"/>
      <w:bookmarkEnd w:id="172"/>
      <w:bookmarkStart w:id="173" w:name="_Toc184310313"/>
      <w:bookmarkEnd w:id="173"/>
      <w:bookmarkStart w:id="174" w:name="_Toc184313302"/>
      <w:bookmarkEnd w:id="174"/>
      <w:bookmarkStart w:id="175" w:name="_Toc184312091"/>
      <w:bookmarkEnd w:id="175"/>
      <w:bookmarkStart w:id="176" w:name="_Toc184314466"/>
      <w:bookmarkEnd w:id="176"/>
      <w:bookmarkStart w:id="177" w:name="_Toc184310272"/>
      <w:bookmarkEnd w:id="177"/>
      <w:bookmarkStart w:id="178" w:name="_Toc184310333"/>
      <w:bookmarkEnd w:id="178"/>
      <w:bookmarkStart w:id="179" w:name="_Toc184312114"/>
      <w:bookmarkEnd w:id="179"/>
      <w:bookmarkStart w:id="180" w:name="_Toc184308101"/>
      <w:bookmarkEnd w:id="180"/>
      <w:bookmarkStart w:id="181" w:name="_Toc184308088"/>
      <w:bookmarkEnd w:id="181"/>
      <w:bookmarkStart w:id="182" w:name="_Toc184312133"/>
      <w:bookmarkEnd w:id="182"/>
      <w:bookmarkStart w:id="183" w:name="_Toc184314430"/>
      <w:bookmarkEnd w:id="183"/>
      <w:bookmarkStart w:id="184" w:name="_Toc184308046"/>
      <w:bookmarkEnd w:id="184"/>
      <w:bookmarkStart w:id="185" w:name="_Toc184312119"/>
      <w:bookmarkEnd w:id="185"/>
      <w:bookmarkStart w:id="186" w:name="_Toc184313276"/>
      <w:bookmarkEnd w:id="186"/>
      <w:bookmarkStart w:id="187" w:name="_Toc184313260"/>
      <w:bookmarkEnd w:id="187"/>
      <w:bookmarkStart w:id="188" w:name="_Toc184308098"/>
      <w:bookmarkEnd w:id="188"/>
      <w:bookmarkStart w:id="189" w:name="_Toc184308056"/>
      <w:bookmarkEnd w:id="189"/>
      <w:bookmarkStart w:id="190" w:name="_Toc184314446"/>
      <w:bookmarkEnd w:id="190"/>
      <w:bookmarkStart w:id="191" w:name="_Toc184312069"/>
      <w:bookmarkEnd w:id="191"/>
      <w:bookmarkStart w:id="192" w:name="_Toc184312132"/>
      <w:bookmarkEnd w:id="192"/>
      <w:bookmarkStart w:id="193" w:name="_Toc184308080"/>
      <w:bookmarkEnd w:id="193"/>
      <w:bookmarkStart w:id="194" w:name="_Toc184310325"/>
      <w:bookmarkEnd w:id="194"/>
      <w:bookmarkStart w:id="195" w:name="_Toc184314414"/>
      <w:bookmarkEnd w:id="195"/>
      <w:bookmarkStart w:id="196" w:name="_Toc184308082"/>
      <w:bookmarkEnd w:id="196"/>
      <w:bookmarkStart w:id="197" w:name="_Toc184313274"/>
      <w:bookmarkEnd w:id="197"/>
      <w:bookmarkStart w:id="198" w:name="_Toc184313244"/>
      <w:bookmarkEnd w:id="198"/>
      <w:bookmarkStart w:id="199" w:name="_Toc184310335"/>
      <w:bookmarkEnd w:id="199"/>
      <w:bookmarkStart w:id="200" w:name="_Toc184312082"/>
      <w:bookmarkEnd w:id="200"/>
      <w:bookmarkStart w:id="201" w:name="_Toc184312130"/>
      <w:bookmarkEnd w:id="201"/>
      <w:bookmarkStart w:id="202" w:name="_Toc184314452"/>
      <w:bookmarkEnd w:id="202"/>
      <w:bookmarkStart w:id="203" w:name="_Toc184308054"/>
      <w:bookmarkEnd w:id="203"/>
      <w:bookmarkStart w:id="204" w:name="_Toc184313300"/>
      <w:bookmarkEnd w:id="204"/>
      <w:bookmarkStart w:id="205" w:name="_Toc184313249"/>
      <w:bookmarkEnd w:id="205"/>
      <w:bookmarkStart w:id="206" w:name="_Toc184310339"/>
      <w:bookmarkEnd w:id="206"/>
      <w:bookmarkStart w:id="207" w:name="_Toc184308087"/>
      <w:bookmarkEnd w:id="207"/>
      <w:bookmarkStart w:id="208" w:name="_Toc184308104"/>
      <w:bookmarkEnd w:id="208"/>
      <w:bookmarkStart w:id="209" w:name="_Toc184313265"/>
      <w:bookmarkEnd w:id="209"/>
      <w:bookmarkStart w:id="210" w:name="_Toc184312098"/>
      <w:bookmarkEnd w:id="210"/>
      <w:bookmarkStart w:id="211" w:name="_Toc184312079"/>
      <w:bookmarkEnd w:id="211"/>
      <w:bookmarkStart w:id="212" w:name="_Toc184313290"/>
      <w:bookmarkEnd w:id="212"/>
      <w:bookmarkStart w:id="213" w:name="_Toc184314443"/>
      <w:bookmarkEnd w:id="213"/>
      <w:bookmarkStart w:id="214" w:name="_Toc184313292"/>
      <w:bookmarkEnd w:id="214"/>
      <w:bookmarkStart w:id="215" w:name="_Toc184310309"/>
      <w:bookmarkEnd w:id="215"/>
      <w:bookmarkStart w:id="216" w:name="_Toc184314411"/>
      <w:bookmarkEnd w:id="216"/>
      <w:bookmarkStart w:id="217" w:name="_Toc184310321"/>
      <w:bookmarkEnd w:id="217"/>
      <w:bookmarkStart w:id="218" w:name="_Toc184314417"/>
      <w:bookmarkEnd w:id="218"/>
      <w:bookmarkStart w:id="219" w:name="_Toc184310323"/>
      <w:bookmarkEnd w:id="219"/>
      <w:bookmarkStart w:id="220" w:name="_Toc184314431"/>
      <w:bookmarkEnd w:id="220"/>
      <w:bookmarkStart w:id="221" w:name="_Toc184310315"/>
      <w:bookmarkEnd w:id="221"/>
      <w:bookmarkStart w:id="222" w:name="_Toc184312085"/>
      <w:bookmarkEnd w:id="222"/>
      <w:bookmarkStart w:id="223" w:name="_Toc184312131"/>
      <w:bookmarkEnd w:id="223"/>
      <w:bookmarkStart w:id="224" w:name="_Toc184310289"/>
      <w:bookmarkEnd w:id="224"/>
      <w:bookmarkStart w:id="225" w:name="_Toc184314475"/>
      <w:bookmarkEnd w:id="225"/>
      <w:bookmarkStart w:id="226" w:name="_Toc184308048"/>
      <w:bookmarkEnd w:id="226"/>
      <w:bookmarkStart w:id="227" w:name="_Toc184314437"/>
      <w:bookmarkEnd w:id="227"/>
      <w:bookmarkStart w:id="228" w:name="_Toc184310285"/>
      <w:bookmarkEnd w:id="228"/>
      <w:bookmarkStart w:id="229" w:name="_Toc184308103"/>
      <w:bookmarkEnd w:id="229"/>
      <w:bookmarkStart w:id="230" w:name="_Toc184313278"/>
      <w:bookmarkEnd w:id="230"/>
      <w:bookmarkStart w:id="231" w:name="_Toc184313305"/>
      <w:bookmarkEnd w:id="231"/>
      <w:bookmarkStart w:id="232" w:name="_Toc184314463"/>
      <w:bookmarkEnd w:id="232"/>
      <w:bookmarkStart w:id="233" w:name="_Toc184313250"/>
      <w:bookmarkEnd w:id="233"/>
      <w:bookmarkStart w:id="234" w:name="_Toc184308053"/>
      <w:bookmarkEnd w:id="234"/>
      <w:bookmarkStart w:id="235" w:name="_Toc184313310"/>
      <w:bookmarkEnd w:id="235"/>
      <w:bookmarkStart w:id="236" w:name="_Toc184313257"/>
      <w:bookmarkEnd w:id="236"/>
      <w:bookmarkStart w:id="237" w:name="_Toc184308055"/>
      <w:bookmarkEnd w:id="237"/>
      <w:bookmarkStart w:id="238" w:name="_Toc184312071"/>
      <w:bookmarkEnd w:id="238"/>
      <w:bookmarkStart w:id="239" w:name="_Toc184313261"/>
      <w:bookmarkEnd w:id="239"/>
      <w:bookmarkStart w:id="240" w:name="_Toc184314440"/>
      <w:bookmarkEnd w:id="240"/>
      <w:bookmarkStart w:id="241" w:name="_Toc184312081"/>
      <w:bookmarkEnd w:id="241"/>
      <w:bookmarkStart w:id="242" w:name="_Toc184313277"/>
      <w:bookmarkEnd w:id="242"/>
      <w:bookmarkStart w:id="243" w:name="_Toc184313271"/>
      <w:bookmarkEnd w:id="243"/>
      <w:bookmarkStart w:id="244" w:name="_Toc184308063"/>
      <w:bookmarkEnd w:id="244"/>
      <w:bookmarkStart w:id="245" w:name="_Toc184308100"/>
      <w:bookmarkEnd w:id="245"/>
      <w:bookmarkStart w:id="246" w:name="_Toc184312111"/>
      <w:bookmarkEnd w:id="246"/>
      <w:bookmarkStart w:id="247" w:name="_Toc184308047"/>
      <w:bookmarkEnd w:id="247"/>
      <w:bookmarkStart w:id="248" w:name="_Toc184314458"/>
      <w:bookmarkEnd w:id="248"/>
      <w:bookmarkStart w:id="249" w:name="_Toc184314478"/>
      <w:bookmarkEnd w:id="249"/>
      <w:bookmarkStart w:id="250" w:name="_Toc184313284"/>
      <w:bookmarkEnd w:id="250"/>
      <w:bookmarkStart w:id="251" w:name="_Toc184310334"/>
      <w:bookmarkEnd w:id="251"/>
      <w:bookmarkStart w:id="252" w:name="_Toc184313289"/>
      <w:bookmarkEnd w:id="252"/>
      <w:bookmarkStart w:id="253" w:name="_Toc184313246"/>
      <w:bookmarkEnd w:id="253"/>
      <w:bookmarkStart w:id="254" w:name="_Toc184308105"/>
      <w:bookmarkEnd w:id="254"/>
      <w:bookmarkStart w:id="255" w:name="_Toc184310300"/>
      <w:bookmarkEnd w:id="255"/>
      <w:bookmarkStart w:id="256" w:name="_Toc184312126"/>
      <w:bookmarkEnd w:id="256"/>
      <w:bookmarkStart w:id="257" w:name="_Toc184312087"/>
      <w:bookmarkEnd w:id="257"/>
      <w:bookmarkStart w:id="258" w:name="_Toc184310337"/>
      <w:bookmarkEnd w:id="258"/>
      <w:bookmarkStart w:id="259" w:name="_Toc184313291"/>
      <w:bookmarkEnd w:id="259"/>
      <w:bookmarkStart w:id="260" w:name="_Toc184312139"/>
      <w:bookmarkEnd w:id="260"/>
      <w:bookmarkStart w:id="261" w:name="_Toc184310278"/>
      <w:bookmarkEnd w:id="261"/>
      <w:bookmarkStart w:id="262" w:name="_Toc184312110"/>
      <w:bookmarkEnd w:id="262"/>
      <w:bookmarkStart w:id="263" w:name="_Toc184314448"/>
      <w:bookmarkEnd w:id="263"/>
      <w:bookmarkStart w:id="264" w:name="_Toc184314481"/>
      <w:bookmarkEnd w:id="264"/>
      <w:bookmarkStart w:id="265" w:name="_Toc184308067"/>
      <w:bookmarkEnd w:id="265"/>
      <w:bookmarkStart w:id="266" w:name="_Toc184310277"/>
      <w:bookmarkEnd w:id="266"/>
      <w:bookmarkStart w:id="267" w:name="_Toc184308051"/>
      <w:bookmarkEnd w:id="267"/>
      <w:bookmarkStart w:id="268" w:name="_Toc184314461"/>
      <w:bookmarkEnd w:id="268"/>
      <w:bookmarkStart w:id="269" w:name="_Toc184308084"/>
      <w:bookmarkEnd w:id="269"/>
      <w:bookmarkStart w:id="270" w:name="_Toc184312112"/>
      <w:bookmarkEnd w:id="270"/>
      <w:bookmarkStart w:id="271" w:name="_Toc184313309"/>
      <w:bookmarkEnd w:id="271"/>
      <w:bookmarkStart w:id="272" w:name="_Toc184312072"/>
      <w:bookmarkEnd w:id="272"/>
      <w:bookmarkStart w:id="273" w:name="_Toc184314441"/>
      <w:bookmarkEnd w:id="273"/>
      <w:bookmarkStart w:id="274" w:name="_Toc184308042"/>
      <w:bookmarkEnd w:id="274"/>
      <w:bookmarkStart w:id="275" w:name="_Toc184310296"/>
      <w:bookmarkEnd w:id="275"/>
      <w:bookmarkStart w:id="276" w:name="_Toc184313269"/>
      <w:bookmarkEnd w:id="276"/>
      <w:bookmarkStart w:id="277" w:name="_Toc184308092"/>
      <w:bookmarkEnd w:id="277"/>
      <w:bookmarkStart w:id="278" w:name="_Toc184312099"/>
      <w:bookmarkEnd w:id="278"/>
      <w:bookmarkStart w:id="279" w:name="_Toc184313288"/>
      <w:bookmarkEnd w:id="279"/>
      <w:bookmarkStart w:id="280" w:name="_Toc184312076"/>
      <w:bookmarkEnd w:id="280"/>
      <w:bookmarkStart w:id="281" w:name="_Toc184310312"/>
      <w:bookmarkEnd w:id="281"/>
      <w:bookmarkStart w:id="282" w:name="_Toc184312095"/>
      <w:bookmarkEnd w:id="282"/>
      <w:bookmarkStart w:id="283" w:name="_Toc184308096"/>
      <w:bookmarkEnd w:id="283"/>
      <w:bookmarkStart w:id="284" w:name="_Toc184314453"/>
      <w:bookmarkEnd w:id="284"/>
      <w:bookmarkStart w:id="285" w:name="_Toc184310324"/>
      <w:bookmarkEnd w:id="285"/>
      <w:bookmarkStart w:id="286" w:name="_Toc184313242"/>
      <w:bookmarkEnd w:id="286"/>
      <w:bookmarkStart w:id="287" w:name="_Toc184308069"/>
      <w:bookmarkEnd w:id="287"/>
      <w:bookmarkStart w:id="288" w:name="_Toc184313303"/>
      <w:bookmarkEnd w:id="288"/>
      <w:bookmarkStart w:id="289" w:name="_Toc184313287"/>
      <w:bookmarkEnd w:id="289"/>
      <w:bookmarkStart w:id="290" w:name="_Toc184313301"/>
      <w:bookmarkEnd w:id="290"/>
      <w:bookmarkStart w:id="291" w:name="_Toc184312129"/>
      <w:bookmarkEnd w:id="291"/>
      <w:bookmarkStart w:id="292" w:name="_Toc184312068"/>
      <w:bookmarkEnd w:id="292"/>
      <w:bookmarkStart w:id="293" w:name="_Toc184312113"/>
      <w:bookmarkEnd w:id="293"/>
      <w:bookmarkStart w:id="294" w:name="_Toc184313306"/>
      <w:bookmarkEnd w:id="294"/>
      <w:bookmarkStart w:id="295" w:name="_Toc184313241"/>
      <w:bookmarkEnd w:id="295"/>
      <w:bookmarkStart w:id="296" w:name="_Toc184310295"/>
      <w:bookmarkEnd w:id="296"/>
      <w:bookmarkStart w:id="297" w:name="_Toc184314429"/>
      <w:bookmarkEnd w:id="297"/>
      <w:bookmarkStart w:id="298" w:name="_Toc184310292"/>
      <w:bookmarkEnd w:id="298"/>
      <w:bookmarkStart w:id="299" w:name="_Toc184313281"/>
      <w:bookmarkEnd w:id="299"/>
      <w:bookmarkStart w:id="300" w:name="_Toc184312138"/>
      <w:bookmarkEnd w:id="300"/>
      <w:bookmarkStart w:id="301" w:name="_Toc184310340"/>
      <w:bookmarkEnd w:id="301"/>
      <w:bookmarkStart w:id="302" w:name="_Toc184313259"/>
      <w:bookmarkEnd w:id="302"/>
      <w:bookmarkStart w:id="303" w:name="_Toc184310281"/>
      <w:bookmarkEnd w:id="303"/>
      <w:bookmarkStart w:id="304" w:name="_Toc184312078"/>
      <w:bookmarkEnd w:id="304"/>
      <w:bookmarkStart w:id="305" w:name="_Toc184313263"/>
      <w:bookmarkEnd w:id="305"/>
      <w:bookmarkStart w:id="306" w:name="_Toc184312074"/>
      <w:bookmarkEnd w:id="306"/>
      <w:bookmarkStart w:id="307" w:name="_Toc184312088"/>
      <w:bookmarkEnd w:id="307"/>
      <w:bookmarkStart w:id="308" w:name="_Toc184310290"/>
      <w:bookmarkEnd w:id="308"/>
      <w:bookmarkStart w:id="309" w:name="_Toc184308062"/>
      <w:bookmarkEnd w:id="309"/>
      <w:bookmarkStart w:id="310" w:name="_Toc184312083"/>
      <w:bookmarkEnd w:id="310"/>
      <w:bookmarkStart w:id="311" w:name="_Toc184310308"/>
      <w:bookmarkEnd w:id="311"/>
      <w:bookmarkStart w:id="312" w:name="_Toc184314416"/>
      <w:bookmarkEnd w:id="312"/>
      <w:bookmarkStart w:id="313" w:name="_Toc184312127"/>
      <w:bookmarkEnd w:id="313"/>
      <w:bookmarkStart w:id="314" w:name="_Toc184308059"/>
      <w:bookmarkEnd w:id="314"/>
      <w:bookmarkStart w:id="315" w:name="_Toc184310331"/>
      <w:bookmarkEnd w:id="315"/>
      <w:bookmarkStart w:id="316" w:name="_Toc184310287"/>
      <w:bookmarkEnd w:id="316"/>
      <w:bookmarkStart w:id="317" w:name="_Toc184314447"/>
      <w:bookmarkEnd w:id="317"/>
      <w:bookmarkStart w:id="318" w:name="_Toc184314426"/>
      <w:bookmarkEnd w:id="318"/>
      <w:bookmarkStart w:id="319" w:name="_Toc184313307"/>
      <w:bookmarkEnd w:id="319"/>
      <w:bookmarkStart w:id="320" w:name="_Toc184313266"/>
      <w:bookmarkEnd w:id="320"/>
      <w:bookmarkStart w:id="321" w:name="_Toc184313251"/>
      <w:bookmarkEnd w:id="321"/>
      <w:bookmarkStart w:id="322" w:name="_Toc184313267"/>
      <w:bookmarkEnd w:id="322"/>
      <w:bookmarkStart w:id="323" w:name="_Toc184312134"/>
      <w:bookmarkEnd w:id="323"/>
      <w:bookmarkStart w:id="324" w:name="_Toc184308050"/>
      <w:bookmarkEnd w:id="324"/>
      <w:bookmarkStart w:id="325" w:name="_Toc184314468"/>
      <w:bookmarkEnd w:id="325"/>
      <w:bookmarkStart w:id="326" w:name="_Toc184308102"/>
      <w:bookmarkEnd w:id="326"/>
      <w:bookmarkStart w:id="327" w:name="_Toc184314423"/>
      <w:bookmarkEnd w:id="327"/>
      <w:bookmarkStart w:id="328" w:name="_Toc184313285"/>
      <w:bookmarkEnd w:id="328"/>
      <w:bookmarkStart w:id="329" w:name="_Toc184313239"/>
      <w:bookmarkEnd w:id="329"/>
      <w:bookmarkStart w:id="330" w:name="_Toc184314460"/>
      <w:bookmarkEnd w:id="330"/>
      <w:bookmarkStart w:id="331" w:name="_Toc184308049"/>
      <w:bookmarkEnd w:id="331"/>
      <w:bookmarkStart w:id="332" w:name="_Toc184314439"/>
      <w:bookmarkEnd w:id="332"/>
      <w:bookmarkStart w:id="333" w:name="_Toc184314410"/>
      <w:bookmarkEnd w:id="333"/>
      <w:bookmarkStart w:id="334" w:name="_Toc184308043"/>
      <w:bookmarkEnd w:id="334"/>
      <w:bookmarkStart w:id="335" w:name="_Toc184310305"/>
      <w:bookmarkEnd w:id="335"/>
      <w:bookmarkStart w:id="336" w:name="_Toc184310279"/>
      <w:bookmarkEnd w:id="336"/>
      <w:bookmarkStart w:id="337" w:name="_Toc184312128"/>
      <w:bookmarkEnd w:id="337"/>
      <w:bookmarkStart w:id="338" w:name="_Toc184312090"/>
      <w:bookmarkEnd w:id="338"/>
      <w:bookmarkStart w:id="339" w:name="_Toc184308061"/>
      <w:bookmarkEnd w:id="339"/>
      <w:bookmarkStart w:id="340" w:name="_Toc184310316"/>
      <w:bookmarkEnd w:id="340"/>
      <w:bookmarkStart w:id="341" w:name="_Toc184308076"/>
      <w:bookmarkEnd w:id="341"/>
      <w:bookmarkStart w:id="342" w:name="_Toc184310330"/>
      <w:bookmarkEnd w:id="342"/>
      <w:bookmarkStart w:id="343" w:name="_Toc184312136"/>
      <w:bookmarkEnd w:id="343"/>
      <w:bookmarkStart w:id="344" w:name="_Toc184312070"/>
      <w:bookmarkEnd w:id="344"/>
      <w:bookmarkStart w:id="345" w:name="_Toc184312123"/>
      <w:bookmarkEnd w:id="345"/>
      <w:bookmarkStart w:id="346" w:name="_Toc184312137"/>
      <w:bookmarkEnd w:id="346"/>
      <w:bookmarkStart w:id="347" w:name="_Toc184314450"/>
      <w:bookmarkEnd w:id="347"/>
      <w:bookmarkStart w:id="348" w:name="_Toc184310275"/>
      <w:bookmarkEnd w:id="348"/>
      <w:bookmarkStart w:id="349" w:name="_Toc184310343"/>
      <w:bookmarkEnd w:id="349"/>
      <w:bookmarkStart w:id="350" w:name="_Toc184308090"/>
      <w:bookmarkEnd w:id="350"/>
      <w:bookmarkStart w:id="351" w:name="_Toc184312106"/>
      <w:bookmarkEnd w:id="351"/>
      <w:bookmarkStart w:id="352" w:name="_Toc184308057"/>
      <w:bookmarkEnd w:id="352"/>
      <w:bookmarkStart w:id="353" w:name="_Toc184314449"/>
      <w:bookmarkEnd w:id="353"/>
      <w:bookmarkStart w:id="354" w:name="_Toc184314413"/>
      <w:bookmarkEnd w:id="354"/>
      <w:bookmarkStart w:id="355" w:name="_Toc184313245"/>
      <w:bookmarkEnd w:id="355"/>
      <w:bookmarkStart w:id="356" w:name="_Toc184308083"/>
      <w:bookmarkEnd w:id="356"/>
      <w:bookmarkStart w:id="357" w:name="_Toc184313264"/>
      <w:bookmarkEnd w:id="357"/>
      <w:bookmarkStart w:id="358" w:name="_Toc184308040"/>
      <w:bookmarkEnd w:id="358"/>
      <w:bookmarkStart w:id="359" w:name="_Toc184313248"/>
      <w:bookmarkEnd w:id="359"/>
      <w:bookmarkStart w:id="360" w:name="_Toc184308106"/>
      <w:bookmarkEnd w:id="360"/>
      <w:bookmarkStart w:id="361" w:name="_Toc184313294"/>
      <w:bookmarkEnd w:id="361"/>
      <w:bookmarkStart w:id="362" w:name="_Toc184313268"/>
      <w:bookmarkEnd w:id="362"/>
      <w:bookmarkStart w:id="363" w:name="_Toc184312103"/>
      <w:bookmarkEnd w:id="363"/>
      <w:bookmarkStart w:id="364" w:name="_Toc184314444"/>
      <w:bookmarkEnd w:id="364"/>
      <w:bookmarkStart w:id="365" w:name="_Toc184312124"/>
      <w:bookmarkEnd w:id="365"/>
      <w:bookmarkStart w:id="366" w:name="_Toc184312075"/>
      <w:bookmarkEnd w:id="366"/>
      <w:bookmarkStart w:id="367" w:name="_Toc184308108"/>
      <w:bookmarkEnd w:id="367"/>
      <w:bookmarkStart w:id="368" w:name="_Toc184312107"/>
      <w:bookmarkEnd w:id="368"/>
      <w:bookmarkStart w:id="369" w:name="_Toc184312104"/>
      <w:bookmarkEnd w:id="369"/>
      <w:bookmarkStart w:id="370" w:name="_Toc184310319"/>
      <w:bookmarkEnd w:id="370"/>
      <w:bookmarkStart w:id="371" w:name="_Toc184314428"/>
      <w:bookmarkEnd w:id="371"/>
      <w:bookmarkStart w:id="372" w:name="_Toc184310322"/>
      <w:bookmarkEnd w:id="372"/>
      <w:bookmarkStart w:id="373" w:name="_Toc184314455"/>
      <w:bookmarkEnd w:id="373"/>
      <w:bookmarkStart w:id="374" w:name="_Toc184314445"/>
      <w:bookmarkEnd w:id="374"/>
      <w:bookmarkStart w:id="375" w:name="_Toc184308060"/>
      <w:bookmarkEnd w:id="375"/>
      <w:bookmarkStart w:id="376" w:name="_Toc184312117"/>
      <w:bookmarkEnd w:id="376"/>
      <w:bookmarkStart w:id="377" w:name="_Toc184312105"/>
      <w:bookmarkEnd w:id="377"/>
      <w:bookmarkStart w:id="378" w:name="_Toc184310283"/>
      <w:bookmarkEnd w:id="378"/>
      <w:bookmarkStart w:id="379" w:name="_Toc184313293"/>
      <w:bookmarkEnd w:id="379"/>
      <w:bookmarkStart w:id="380" w:name="_Toc184312080"/>
      <w:bookmarkEnd w:id="380"/>
      <w:bookmarkStart w:id="381" w:name="_Toc184313253"/>
      <w:bookmarkEnd w:id="381"/>
      <w:bookmarkStart w:id="382" w:name="_Toc184310280"/>
      <w:bookmarkEnd w:id="382"/>
      <w:bookmarkStart w:id="383" w:name="_Toc184308039"/>
      <w:bookmarkEnd w:id="383"/>
      <w:bookmarkStart w:id="384" w:name="_Toc184310314"/>
      <w:bookmarkEnd w:id="384"/>
      <w:bookmarkStart w:id="385" w:name="_Toc184314432"/>
      <w:bookmarkEnd w:id="385"/>
      <w:bookmarkStart w:id="386" w:name="_Toc184312109"/>
      <w:bookmarkEnd w:id="386"/>
      <w:bookmarkStart w:id="387" w:name="_Toc184310303"/>
      <w:bookmarkEnd w:id="387"/>
      <w:bookmarkStart w:id="388" w:name="_Toc184310326"/>
      <w:bookmarkEnd w:id="388"/>
      <w:bookmarkStart w:id="389" w:name="_Toc184310284"/>
      <w:bookmarkEnd w:id="389"/>
      <w:bookmarkStart w:id="390" w:name="_Toc184312097"/>
      <w:bookmarkEnd w:id="390"/>
      <w:bookmarkStart w:id="391" w:name="_Toc184310317"/>
      <w:bookmarkEnd w:id="391"/>
      <w:bookmarkStart w:id="392" w:name="_Toc184314418"/>
      <w:bookmarkEnd w:id="392"/>
      <w:bookmarkStart w:id="393" w:name="_Toc184314464"/>
      <w:bookmarkEnd w:id="393"/>
      <w:bookmarkStart w:id="394" w:name="_Toc184310306"/>
      <w:bookmarkEnd w:id="394"/>
      <w:bookmarkStart w:id="395" w:name="_Toc184308044"/>
      <w:bookmarkEnd w:id="395"/>
      <w:bookmarkStart w:id="396" w:name="_Toc184313240"/>
      <w:bookmarkEnd w:id="396"/>
      <w:bookmarkStart w:id="397" w:name="_Toc184310318"/>
      <w:bookmarkEnd w:id="397"/>
      <w:r>
        <w:rPr>
          <w:rFonts w:hint="eastAsia" w:ascii="宋体" w:hAnsi="宋体" w:cs="宋体"/>
          <w:b/>
          <w:color w:val="auto"/>
          <w:sz w:val="36"/>
          <w:szCs w:val="36"/>
          <w:highlight w:val="none"/>
        </w:rPr>
        <w:t>评标办法</w:t>
      </w:r>
    </w:p>
    <w:p w14:paraId="1F2F2E45">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评标办法前附表</w:t>
      </w:r>
    </w:p>
    <w:tbl>
      <w:tblPr>
        <w:tblStyle w:val="15"/>
        <w:tblpPr w:leftFromText="180" w:rightFromText="180" w:vertAnchor="text" w:horzAnchor="page" w:tblpX="1031" w:tblpY="126"/>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555"/>
        <w:gridCol w:w="732"/>
        <w:gridCol w:w="1578"/>
      </w:tblGrid>
      <w:tr w14:paraId="03BF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84" w:type="pct"/>
            <w:vAlign w:val="center"/>
          </w:tcPr>
          <w:p w14:paraId="700EDDC3">
            <w:pPr>
              <w:spacing w:line="360" w:lineRule="auto"/>
              <w:jc w:val="center"/>
              <w:outlineLvl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3411" w:type="pct"/>
            <w:vAlign w:val="center"/>
          </w:tcPr>
          <w:p w14:paraId="055E73BC">
            <w:pPr>
              <w:spacing w:line="360" w:lineRule="auto"/>
              <w:ind w:firstLine="1430" w:firstLineChars="650"/>
              <w:outlineLvl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评标标准</w:t>
            </w:r>
          </w:p>
        </w:tc>
        <w:tc>
          <w:tcPr>
            <w:tcW w:w="381" w:type="pct"/>
            <w:vAlign w:val="center"/>
          </w:tcPr>
          <w:p w14:paraId="138AAA5F">
            <w:pPr>
              <w:spacing w:line="360" w:lineRule="auto"/>
              <w:outlineLvl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权重</w:t>
            </w:r>
          </w:p>
        </w:tc>
        <w:tc>
          <w:tcPr>
            <w:tcW w:w="822" w:type="pct"/>
          </w:tcPr>
          <w:p w14:paraId="49B6C565">
            <w:pPr>
              <w:spacing w:line="360" w:lineRule="auto"/>
              <w:outlineLvl w:val="0"/>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投标文件中评标标准相应的商务技术资料目录</w:t>
            </w:r>
            <w:r>
              <w:rPr>
                <w:rFonts w:hint="eastAsia" w:ascii="宋体" w:hAnsi="宋体" w:cs="宋体"/>
                <w:color w:val="auto"/>
                <w:sz w:val="22"/>
                <w:szCs w:val="22"/>
                <w:highlight w:val="none"/>
                <w:shd w:val="clear" w:color="auto" w:fill="FFFFFF"/>
              </w:rPr>
              <w:t> *</w:t>
            </w:r>
          </w:p>
        </w:tc>
      </w:tr>
      <w:tr w14:paraId="3B38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Align w:val="center"/>
          </w:tcPr>
          <w:p w14:paraId="65AE3733">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411" w:type="pct"/>
            <w:vAlign w:val="center"/>
          </w:tcPr>
          <w:p w14:paraId="6788820E">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投标人具有有效的质量管理体系认证证书，有效的职业健康安全体系认证证书，有效的环境管理体系认证证书，每提供1本得2分，最多得6分。</w:t>
            </w:r>
          </w:p>
          <w:p w14:paraId="7AF24DD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（有效证明材料：认证证书复印件或扫描打印件及网页截图并加盖公章，否则不得分）</w:t>
            </w:r>
          </w:p>
        </w:tc>
        <w:tc>
          <w:tcPr>
            <w:tcW w:w="381" w:type="pct"/>
            <w:vAlign w:val="center"/>
          </w:tcPr>
          <w:p w14:paraId="3CA038FF">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822" w:type="pct"/>
            <w:vAlign w:val="center"/>
          </w:tcPr>
          <w:p w14:paraId="69B76208">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2EF5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84" w:type="pct"/>
            <w:vAlign w:val="center"/>
          </w:tcPr>
          <w:p w14:paraId="08561412">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3411" w:type="pct"/>
            <w:vAlign w:val="center"/>
          </w:tcPr>
          <w:p w14:paraId="694CA48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项目负责人具有注册岩土执业资格证书、建设工程地基基础检测岗位证书的，每个得3分，最高得6分。</w:t>
            </w:r>
          </w:p>
          <w:p w14:paraId="3C51569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（有效证明材料：证书复印件或扫描打印件并加盖公章，否则不得分）</w:t>
            </w:r>
          </w:p>
        </w:tc>
        <w:tc>
          <w:tcPr>
            <w:tcW w:w="381" w:type="pct"/>
            <w:vAlign w:val="center"/>
          </w:tcPr>
          <w:p w14:paraId="1772CC00">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822" w:type="pct"/>
            <w:vAlign w:val="center"/>
          </w:tcPr>
          <w:p w14:paraId="2A08CEE1">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7332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384" w:type="pct"/>
            <w:vAlign w:val="center"/>
          </w:tcPr>
          <w:p w14:paraId="13BF368A">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3411" w:type="pct"/>
            <w:vAlign w:val="center"/>
          </w:tcPr>
          <w:p w14:paraId="299C175D">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项目负责人具有高级工程师职称及以上得3分。</w:t>
            </w:r>
          </w:p>
          <w:p w14:paraId="64390C58">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（有效证明材料：职称证书复印件或扫描打印件及最近六个月及以上缴纳在投标人单位的个人社保证明的复印件并加盖公章（社保证明须在招标公告发出时间之后获取），否则不得分）</w:t>
            </w:r>
          </w:p>
        </w:tc>
        <w:tc>
          <w:tcPr>
            <w:tcW w:w="381" w:type="pct"/>
            <w:vAlign w:val="center"/>
          </w:tcPr>
          <w:p w14:paraId="7B9B89B2">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22" w:type="pct"/>
            <w:vAlign w:val="center"/>
          </w:tcPr>
          <w:p w14:paraId="18FE69ED">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411C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4" w:type="pct"/>
            <w:vAlign w:val="center"/>
          </w:tcPr>
          <w:p w14:paraId="7129E1A3">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3411" w:type="pct"/>
            <w:vAlign w:val="center"/>
          </w:tcPr>
          <w:p w14:paraId="6EC21955">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技术负责人具有建设工程地基基础检测岗位证书及高级工程师职称及以上的得2.5分；具有建设工程地基基础检测岗位证书及工程师职称的得1.5分。</w:t>
            </w:r>
          </w:p>
          <w:p w14:paraId="2752BA1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（有效证明材料：岗位证书及职称证书复印件或扫描打印件及最近六个月及以上缴纳在投标人单位的个人社保证明的复印件并加盖公章（社保证明须在招标公告发出时间之后获取），否则不得分）</w:t>
            </w:r>
          </w:p>
        </w:tc>
        <w:tc>
          <w:tcPr>
            <w:tcW w:w="381" w:type="pct"/>
            <w:vAlign w:val="center"/>
          </w:tcPr>
          <w:p w14:paraId="2BBA6AC3">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2.5</w:t>
            </w:r>
          </w:p>
        </w:tc>
        <w:tc>
          <w:tcPr>
            <w:tcW w:w="822" w:type="pct"/>
            <w:vAlign w:val="center"/>
          </w:tcPr>
          <w:p w14:paraId="299E8339">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178F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84" w:type="pct"/>
            <w:vAlign w:val="center"/>
          </w:tcPr>
          <w:p w14:paraId="0CD75EF8">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3411" w:type="pct"/>
            <w:vAlign w:val="center"/>
          </w:tcPr>
          <w:p w14:paraId="3D6313C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拟派项目组中（不含项目负责人和技术负责人）具有建设工程地基基础检测岗位证书且具有工程师职称及以上的，每人得2分，最多得6分。</w:t>
            </w:r>
          </w:p>
          <w:p w14:paraId="1CF9ADC7">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（有效证明材料：岗位证书及职称证书复印件或扫描打印件及最近六个月及以上缴纳在投标人单位的个人社保证明的复印件并加盖公章（社保证明须在招标公告发出时间之后获取），否则不得分）</w:t>
            </w:r>
          </w:p>
        </w:tc>
        <w:tc>
          <w:tcPr>
            <w:tcW w:w="381" w:type="pct"/>
            <w:vAlign w:val="center"/>
          </w:tcPr>
          <w:p w14:paraId="318C7CE4">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822" w:type="pct"/>
            <w:vAlign w:val="center"/>
          </w:tcPr>
          <w:p w14:paraId="75A0093F">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65A5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4" w:type="pct"/>
            <w:vAlign w:val="center"/>
          </w:tcPr>
          <w:p w14:paraId="7E29EF08">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3411" w:type="pct"/>
            <w:vAlign w:val="center"/>
          </w:tcPr>
          <w:p w14:paraId="29C402BD">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企业自2020年1月1日（含）起至今完成过的项目中具有桩基检测或基坑监测或沉降观测业务的，每类业务得0.5分，最多得1.5分。</w:t>
            </w:r>
          </w:p>
          <w:p w14:paraId="5FA9D7D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（投标文件中提供合同复印件或扫描打印件并加盖公章，时间以合同签订时间为准，否则不得分）</w:t>
            </w:r>
          </w:p>
        </w:tc>
        <w:tc>
          <w:tcPr>
            <w:tcW w:w="381" w:type="pct"/>
            <w:vAlign w:val="center"/>
          </w:tcPr>
          <w:p w14:paraId="11C92786">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822" w:type="pct"/>
            <w:vAlign w:val="center"/>
          </w:tcPr>
          <w:p w14:paraId="6CFDF4CD">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02BD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84" w:type="pct"/>
            <w:vAlign w:val="center"/>
          </w:tcPr>
          <w:p w14:paraId="12A218E1">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3411" w:type="pct"/>
            <w:vAlign w:val="center"/>
          </w:tcPr>
          <w:p w14:paraId="6FA11FD7">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根据工程概况、编制依据、原则，对拟建工程的认识、拟建场地的地质特征分析是否合理。</w:t>
            </w:r>
          </w:p>
          <w:p w14:paraId="134F6C7A">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工程概况了解全面、编制依据规范，地质特征分析合理的得5分；</w:t>
            </w:r>
          </w:p>
          <w:p w14:paraId="6901310D">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工程概况了解不全面、编制依据不规范，地质特征分析不合理的得3分；</w:t>
            </w:r>
          </w:p>
          <w:p w14:paraId="6DC3AA6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未提供工程概况、编制依据的得0分。</w:t>
            </w:r>
          </w:p>
        </w:tc>
        <w:tc>
          <w:tcPr>
            <w:tcW w:w="733" w:type="dxa"/>
            <w:vAlign w:val="center"/>
          </w:tcPr>
          <w:p w14:paraId="066DBDE4">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79" w:type="dxa"/>
            <w:vAlign w:val="center"/>
          </w:tcPr>
          <w:p w14:paraId="3B1A8069">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62EA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84" w:type="pct"/>
            <w:vAlign w:val="center"/>
          </w:tcPr>
          <w:p w14:paraId="2B71512D">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3411" w:type="pct"/>
            <w:vAlign w:val="center"/>
          </w:tcPr>
          <w:p w14:paraId="3543FD79">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检测、监测、观测服务实施技术方案的全面性、详细性、具体性。整体是否满足招标文件及技术要求情况，是否响应或优于招标文件及合同文本要求，检测、监测方案有无对本项目进行针对性分析，项目有无采用新进技术、可靠性、安全性保障措施等。</w:t>
            </w:r>
          </w:p>
          <w:p w14:paraId="0C5FD87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检测、监测服务方案全面、详细、具体，满足招标文件要求，具有针对性，安全可靠的得5分；</w:t>
            </w:r>
          </w:p>
          <w:p w14:paraId="53FEED1E">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检测、监测服务方案有缺漏，与招标文件要求有偏差的得3分；</w:t>
            </w:r>
          </w:p>
          <w:p w14:paraId="75DB8D15">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未提供检测、监测服务方案的得0分。</w:t>
            </w:r>
          </w:p>
        </w:tc>
        <w:tc>
          <w:tcPr>
            <w:tcW w:w="381" w:type="pct"/>
            <w:vAlign w:val="center"/>
          </w:tcPr>
          <w:p w14:paraId="02C06222">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29815D70">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10CE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84" w:type="pct"/>
            <w:vAlign w:val="center"/>
          </w:tcPr>
          <w:p w14:paraId="52F8C793">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3411" w:type="pct"/>
            <w:vAlign w:val="center"/>
          </w:tcPr>
          <w:p w14:paraId="2D0D3A5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检测、监测、观测作业期间安全生产、文明施工专项措施、对已有轨道、管线等现有设施的保护措施是否全面、可行。</w:t>
            </w:r>
          </w:p>
          <w:p w14:paraId="6F837FE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安全生产、文明施工专项措施完善合理，保护措施全面、可行的得5分；</w:t>
            </w:r>
          </w:p>
          <w:p w14:paraId="22CDD30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安全生产、文明施工专项措施有缺陷，保护措施不全面、可行性不高的得3分；</w:t>
            </w:r>
          </w:p>
          <w:p w14:paraId="4D246F0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未提供安全生产、文明施工专项措施的得0分。</w:t>
            </w:r>
          </w:p>
        </w:tc>
        <w:tc>
          <w:tcPr>
            <w:tcW w:w="733" w:type="dxa"/>
            <w:vAlign w:val="center"/>
          </w:tcPr>
          <w:p w14:paraId="09C3688F">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79" w:type="dxa"/>
            <w:vAlign w:val="center"/>
          </w:tcPr>
          <w:p w14:paraId="288EFEB5">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36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84" w:type="pct"/>
            <w:vAlign w:val="center"/>
          </w:tcPr>
          <w:p w14:paraId="4FCFC567">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3411" w:type="pct"/>
            <w:vAlign w:val="center"/>
          </w:tcPr>
          <w:p w14:paraId="70D4EC5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桩基检测、基坑监测沉降观测工作进度计划的科学合理性，结合其作出的保障措施的可行性进行评价。</w:t>
            </w:r>
          </w:p>
          <w:p w14:paraId="337AA87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工作进度计划安排科学合理，保障措施可行的得5分；</w:t>
            </w:r>
          </w:p>
          <w:p w14:paraId="039E546C">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工作进度计划安排有缺陷，保障措施可行性不高的得3分；</w:t>
            </w:r>
          </w:p>
          <w:p w14:paraId="6C196FA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未提供工作进度计划安排的得0分。</w:t>
            </w:r>
          </w:p>
        </w:tc>
        <w:tc>
          <w:tcPr>
            <w:tcW w:w="381" w:type="pct"/>
            <w:vAlign w:val="center"/>
          </w:tcPr>
          <w:p w14:paraId="26DC3667">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691FC8D5">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8C1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84" w:type="pct"/>
            <w:vAlign w:val="center"/>
          </w:tcPr>
          <w:p w14:paraId="5E2EEA15">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3411" w:type="pct"/>
            <w:vAlign w:val="center"/>
          </w:tcPr>
          <w:p w14:paraId="48D71D9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对投标人如何保证桩基检测及基坑监测质量的措施及服务承诺进行评价。</w:t>
            </w:r>
          </w:p>
          <w:p w14:paraId="7F9619C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质量保障措施科学合理，服务承诺完善的得5分；</w:t>
            </w:r>
          </w:p>
          <w:p w14:paraId="3C676918">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质量保障措施有缺陷，服务承诺可行性不高的得3分；</w:t>
            </w:r>
          </w:p>
          <w:p w14:paraId="66377EF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未提供质量保障措施的得0分。</w:t>
            </w:r>
          </w:p>
        </w:tc>
        <w:tc>
          <w:tcPr>
            <w:tcW w:w="381" w:type="pct"/>
            <w:vAlign w:val="center"/>
          </w:tcPr>
          <w:p w14:paraId="7A0F4509">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36D87304">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643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4" w:type="pct"/>
            <w:vAlign w:val="center"/>
          </w:tcPr>
          <w:p w14:paraId="15008249">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12</w:t>
            </w:r>
          </w:p>
        </w:tc>
        <w:tc>
          <w:tcPr>
            <w:tcW w:w="3411" w:type="pct"/>
            <w:vAlign w:val="center"/>
          </w:tcPr>
          <w:p w14:paraId="4F92F8F8">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根据现场踏勘，对现场场地可能存在的不良地质作用、影响或地下障碍物的认识分析及探查所采取的技术手段合理性、先进性。</w:t>
            </w:r>
          </w:p>
          <w:p w14:paraId="546622C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分析完整，探查技术手段合理先进的得5分；</w:t>
            </w:r>
          </w:p>
          <w:p w14:paraId="6D5005BA">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分析有缺陷，探查技术手段不合理的得3分；</w:t>
            </w:r>
          </w:p>
          <w:p w14:paraId="31F8929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未提供相关分析及探查所采取的技术手段的得0分。</w:t>
            </w:r>
          </w:p>
        </w:tc>
        <w:tc>
          <w:tcPr>
            <w:tcW w:w="733" w:type="dxa"/>
            <w:vAlign w:val="center"/>
          </w:tcPr>
          <w:p w14:paraId="281C01B9">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79" w:type="dxa"/>
            <w:vAlign w:val="center"/>
          </w:tcPr>
          <w:p w14:paraId="557AD466">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2A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84" w:type="pct"/>
            <w:vAlign w:val="center"/>
          </w:tcPr>
          <w:p w14:paraId="180940A5">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13</w:t>
            </w:r>
          </w:p>
        </w:tc>
        <w:tc>
          <w:tcPr>
            <w:tcW w:w="3411" w:type="pct"/>
            <w:vAlign w:val="center"/>
          </w:tcPr>
          <w:p w14:paraId="3601B10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项目管理班组组成是否满足项目实施需要，职责分工是否明确，作业安排和进场计划是否合理。</w:t>
            </w:r>
          </w:p>
          <w:p w14:paraId="79F0AD55">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项目管理班组组成科学合理，满足招标文件要求，作业安排和进场计划合理的得5分；</w:t>
            </w:r>
          </w:p>
          <w:p w14:paraId="21368FA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项目管理班组组成有缺陷，与招标文件要求有偏差，作业安排和进场计划可行性不高的得3分；</w:t>
            </w:r>
          </w:p>
          <w:p w14:paraId="4531407F">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未提供项目管理班组组成及作业安排和进场计划的得0分。</w:t>
            </w:r>
          </w:p>
        </w:tc>
        <w:tc>
          <w:tcPr>
            <w:tcW w:w="381" w:type="pct"/>
            <w:vAlign w:val="center"/>
          </w:tcPr>
          <w:p w14:paraId="0D8431A4">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23710A77">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3771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4" w:type="pct"/>
            <w:vAlign w:val="center"/>
          </w:tcPr>
          <w:p w14:paraId="3EA8AFDD">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14</w:t>
            </w:r>
          </w:p>
        </w:tc>
        <w:tc>
          <w:tcPr>
            <w:tcW w:w="3411" w:type="pct"/>
            <w:vAlign w:val="center"/>
          </w:tcPr>
          <w:p w14:paraId="686F75EB">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拟投入的仪器设备及其它资源配置是否能满足工程进度要求，资源配置是否合理。</w:t>
            </w:r>
          </w:p>
          <w:p w14:paraId="170BA0E6">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拟投入的仪器设备及其它资源配置合理能满足工程进度要求的得5分；</w:t>
            </w:r>
          </w:p>
          <w:p w14:paraId="342859F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拟投入的仪器设备及其它资源配置不合理，影响工程进度要求的得3分；</w:t>
            </w:r>
          </w:p>
          <w:p w14:paraId="0B0F49D9">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未提供拟投入的仪器设备及其它资源配置的得0分。</w:t>
            </w:r>
          </w:p>
        </w:tc>
        <w:tc>
          <w:tcPr>
            <w:tcW w:w="733" w:type="dxa"/>
            <w:vAlign w:val="center"/>
          </w:tcPr>
          <w:p w14:paraId="6490AE65">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579" w:type="dxa"/>
            <w:vAlign w:val="center"/>
          </w:tcPr>
          <w:p w14:paraId="1D7F4B1C">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66B0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4" w:type="pct"/>
            <w:vAlign w:val="center"/>
          </w:tcPr>
          <w:p w14:paraId="0CB14DCC">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3411" w:type="pct"/>
            <w:vAlign w:val="center"/>
          </w:tcPr>
          <w:p w14:paraId="09023AC4">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安全文明措施、廉政保证措施是否合理可行。</w:t>
            </w:r>
          </w:p>
          <w:p w14:paraId="359538C3">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安全文明措施、廉政保证措施合理可行的得5分；</w:t>
            </w:r>
          </w:p>
          <w:p w14:paraId="38AF5639">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安全文明措施、廉政保证措施有缺陷的得3分；</w:t>
            </w:r>
          </w:p>
          <w:p w14:paraId="398BAA3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未提供安全文明措施、廉政保证措施的得0分。</w:t>
            </w:r>
          </w:p>
        </w:tc>
        <w:tc>
          <w:tcPr>
            <w:tcW w:w="381" w:type="pct"/>
            <w:vAlign w:val="center"/>
          </w:tcPr>
          <w:p w14:paraId="3E0CD957">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0DFAB9A6">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130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4" w:type="pct"/>
            <w:vAlign w:val="center"/>
          </w:tcPr>
          <w:p w14:paraId="255026A2">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16</w:t>
            </w:r>
          </w:p>
        </w:tc>
        <w:tc>
          <w:tcPr>
            <w:tcW w:w="3411" w:type="pct"/>
            <w:vAlign w:val="center"/>
          </w:tcPr>
          <w:p w14:paraId="0EE6E913">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对本项目服务的难点、要点和关键部位是否阐明。</w:t>
            </w:r>
          </w:p>
          <w:p w14:paraId="4B8837AC">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项目服务的难点、要点和关键部位阐明清晰准确的得5分；</w:t>
            </w:r>
          </w:p>
          <w:p w14:paraId="43CC9D0C">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项目服务的难点、要点和关键部位阐明有缺漏的得3分；</w:t>
            </w:r>
          </w:p>
          <w:p w14:paraId="1BB1ADDA">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未阐明项目服务的难点、要点和关键部位的得0分。</w:t>
            </w:r>
          </w:p>
        </w:tc>
        <w:tc>
          <w:tcPr>
            <w:tcW w:w="381" w:type="pct"/>
            <w:vAlign w:val="center"/>
          </w:tcPr>
          <w:p w14:paraId="0A674B88">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37C950E3">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1446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4" w:type="pct"/>
            <w:vAlign w:val="center"/>
          </w:tcPr>
          <w:p w14:paraId="0A72B7B2">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17</w:t>
            </w:r>
          </w:p>
        </w:tc>
        <w:tc>
          <w:tcPr>
            <w:tcW w:w="3411" w:type="pct"/>
            <w:vAlign w:val="center"/>
          </w:tcPr>
          <w:p w14:paraId="6DFDE6E7">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针对本项目检测、设计或项目建设提出的建议及设想是否合理。</w:t>
            </w:r>
          </w:p>
          <w:p w14:paraId="40901172">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建议及设想合理有针对性的得5分；</w:t>
            </w:r>
          </w:p>
          <w:p w14:paraId="71FA210C">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建议及设想不合理，缺乏针对性的得3分；</w:t>
            </w:r>
          </w:p>
          <w:p w14:paraId="23D2B303">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未提供建议及设想的得0分。</w:t>
            </w:r>
          </w:p>
        </w:tc>
        <w:tc>
          <w:tcPr>
            <w:tcW w:w="381" w:type="pct"/>
            <w:vAlign w:val="center"/>
          </w:tcPr>
          <w:p w14:paraId="652A320F">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22" w:type="pct"/>
            <w:vAlign w:val="center"/>
          </w:tcPr>
          <w:p w14:paraId="1ECF5D97">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4951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4" w:type="pct"/>
            <w:vAlign w:val="center"/>
          </w:tcPr>
          <w:p w14:paraId="63FF3399">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18</w:t>
            </w:r>
          </w:p>
        </w:tc>
        <w:tc>
          <w:tcPr>
            <w:tcW w:w="3411" w:type="pct"/>
            <w:vAlign w:val="center"/>
          </w:tcPr>
          <w:p w14:paraId="506B5337">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检测成果报告章节及主要内容的表述是否全面、合理，是否满足规范及审查要求。</w:t>
            </w:r>
          </w:p>
          <w:p w14:paraId="40644EA1">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表述全面、合理，满足规范及审查的得3分；</w:t>
            </w:r>
          </w:p>
          <w:p w14:paraId="632954AC">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表述不全面，基本满足规范及审查的得1.5分；</w:t>
            </w:r>
          </w:p>
          <w:p w14:paraId="43A230B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未提供报告章节及主要内容表述的得0分。</w:t>
            </w:r>
          </w:p>
        </w:tc>
        <w:tc>
          <w:tcPr>
            <w:tcW w:w="381" w:type="pct"/>
            <w:vAlign w:val="center"/>
          </w:tcPr>
          <w:p w14:paraId="4032A07C">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22" w:type="pct"/>
            <w:vAlign w:val="center"/>
          </w:tcPr>
          <w:p w14:paraId="71439900">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2C8C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384" w:type="pct"/>
            <w:vAlign w:val="center"/>
          </w:tcPr>
          <w:p w14:paraId="55DC2B6B">
            <w:pPr>
              <w:spacing w:line="360" w:lineRule="auto"/>
              <w:jc w:val="left"/>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19</w:t>
            </w:r>
          </w:p>
        </w:tc>
        <w:tc>
          <w:tcPr>
            <w:tcW w:w="3411" w:type="pct"/>
            <w:vAlign w:val="center"/>
          </w:tcPr>
          <w:p w14:paraId="7A7A8946">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项目后续服务计划及相应的配合承诺的可行性、针对性。</w:t>
            </w:r>
          </w:p>
          <w:p w14:paraId="49F147BA">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后续服务计划及相应的配合承诺可行、具有针对性的得2分；</w:t>
            </w:r>
          </w:p>
          <w:p w14:paraId="485989CE">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后续服务计划及相应的配合承诺不可行、缺乏针对性的得1分；</w:t>
            </w:r>
          </w:p>
          <w:p w14:paraId="2E087882">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未提供后续服务计划及相应的配合承诺的得0分。</w:t>
            </w:r>
          </w:p>
        </w:tc>
        <w:tc>
          <w:tcPr>
            <w:tcW w:w="381" w:type="pct"/>
            <w:vAlign w:val="center"/>
          </w:tcPr>
          <w:p w14:paraId="1603D072">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822" w:type="pct"/>
            <w:vAlign w:val="center"/>
          </w:tcPr>
          <w:p w14:paraId="2B606840">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064B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384" w:type="pct"/>
            <w:vAlign w:val="center"/>
          </w:tcPr>
          <w:p w14:paraId="1A99777A">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3411" w:type="pct"/>
          </w:tcPr>
          <w:p w14:paraId="0C8951A0">
            <w:pPr>
              <w:spacing w:line="360" w:lineRule="auto"/>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有效投标报价的最低价作为评标基准价，其最低报价为满分；按［投标报价得分=（评标基准价/投标报价）*15］的计算公式计算。</w:t>
            </w:r>
          </w:p>
          <w:p w14:paraId="0B0D137C">
            <w:pPr>
              <w:widowControl/>
              <w:shd w:val="clear" w:color="auto" w:fill="FFFFFF"/>
              <w:adjustRightInd/>
              <w:spacing w:after="225" w:line="315" w:lineRule="atLeas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评标过程中，不得去掉报价中的最高报价和最低报价。</w:t>
            </w:r>
          </w:p>
          <w:p w14:paraId="0FB143E8">
            <w:pPr>
              <w:widowControl/>
              <w:shd w:val="clear" w:color="auto" w:fill="FFFFFF"/>
              <w:adjustRightInd/>
              <w:spacing w:after="225"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对于未预留份额专门面向中小企业的政府采购服务项目，以及预留份额政府采购服务项目中的非预留部分标项，对小型和微型企业的投标报价给予10%的扣除，用扣除后的价格参与评审。允许大中型企业向一家或者多家小微企业分包的政府采购服务项目，对于分包意向协议约定小微企业的合同份额占到合同总金额30%以上的，对大中型企业的报价给予4%的扣除，用扣除后的价格参加评审。</w:t>
            </w:r>
          </w:p>
        </w:tc>
        <w:tc>
          <w:tcPr>
            <w:tcW w:w="381" w:type="pct"/>
            <w:vAlign w:val="center"/>
          </w:tcPr>
          <w:p w14:paraId="1E86D62D">
            <w:pPr>
              <w:spacing w:line="360" w:lineRule="auto"/>
              <w:ind w:firstLine="110" w:firstLineChars="50"/>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15</w:t>
            </w:r>
          </w:p>
        </w:tc>
        <w:tc>
          <w:tcPr>
            <w:tcW w:w="822" w:type="pct"/>
            <w:vAlign w:val="center"/>
          </w:tcPr>
          <w:p w14:paraId="35D34D59">
            <w:pPr>
              <w:spacing w:line="360" w:lineRule="auto"/>
              <w:jc w:val="center"/>
              <w:outlineLvl w:val="0"/>
              <w:rPr>
                <w:rFonts w:hint="eastAsia" w:ascii="宋体" w:hAnsi="宋体" w:cs="宋体"/>
                <w:color w:val="auto"/>
                <w:sz w:val="22"/>
                <w:szCs w:val="22"/>
                <w:highlight w:val="none"/>
              </w:rPr>
            </w:pPr>
            <w:r>
              <w:rPr>
                <w:rFonts w:hint="eastAsia" w:ascii="宋体" w:hAnsi="宋体" w:cs="宋体"/>
                <w:color w:val="auto"/>
                <w:sz w:val="22"/>
                <w:szCs w:val="22"/>
                <w:highlight w:val="none"/>
              </w:rPr>
              <w:t>/</w:t>
            </w:r>
          </w:p>
        </w:tc>
      </w:tr>
    </w:tbl>
    <w:p w14:paraId="08BFD977">
      <w:pPr>
        <w:snapToGrid w:val="0"/>
        <w:spacing w:line="360" w:lineRule="auto"/>
        <w:rPr>
          <w:rFonts w:hint="eastAsia" w:ascii="宋体" w:hAnsi="宋体" w:cs="宋体"/>
          <w:color w:val="auto"/>
          <w:sz w:val="24"/>
          <w:highlight w:val="none"/>
          <w:shd w:val="clear" w:color="auto" w:fill="FFFFFF"/>
        </w:rPr>
      </w:pPr>
    </w:p>
    <w:p w14:paraId="4306729D">
      <w:pPr>
        <w:snapToGrid w:val="0"/>
        <w:spacing w:line="360" w:lineRule="auto"/>
        <w:rPr>
          <w:rFonts w:hint="eastAsia"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967B657">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4ACB287B">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EDCE0B4">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二、评标标准</w:t>
      </w:r>
    </w:p>
    <w:p w14:paraId="2AA55A6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48A8C9F">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724169C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83019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6E07D5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D34F54D">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3B3797E">
      <w:pPr>
        <w:pStyle w:val="24"/>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748AD9E">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A394DE0">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6D9585">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E0DCEA2">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2BCE2FD">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35CB7F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70B219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114EFE2">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4369E5">
      <w:pPr>
        <w:pStyle w:val="24"/>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w:t>
      </w:r>
      <w:r>
        <w:rPr>
          <w:rFonts w:ascii="宋体" w:hAnsi="宋体" w:cs="宋体"/>
          <w:color w:val="auto"/>
          <w:kern w:val="0"/>
          <w:szCs w:val="24"/>
          <w:highlight w:val="none"/>
        </w:rPr>
        <w:t>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4426A4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2F32763">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3AF0C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评标委员会按照评审得分由高到低顺序推荐 1 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14:paraId="51331C9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0DDA095">
      <w:pPr>
        <w:pStyle w:val="24"/>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663D09">
      <w:pPr>
        <w:pStyle w:val="2"/>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A4051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096614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41FB39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F3A9CC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69D32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7B0828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98D72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2602F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EFB235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3871A2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103CD7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9EF4D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C8AF11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7D6144CA">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4.2.14</w:t>
      </w:r>
      <w:r>
        <w:rPr>
          <w:rFonts w:hint="eastAsia" w:ascii="宋体" w:hAnsi="宋体" w:cs="宋体"/>
          <w:color w:val="auto"/>
          <w:kern w:val="0"/>
          <w:sz w:val="24"/>
          <w:highlight w:val="none"/>
          <w:lang w:eastAsia="zh-CN"/>
        </w:rPr>
        <w:t>参与同一标段（包）的投标人（供应商）存在MAC地址相同、计算机硬盘序列号相同、响应</w:t>
      </w:r>
      <w:bookmarkStart w:id="411" w:name="_GoBack"/>
      <w:bookmarkEnd w:id="411"/>
      <w:r>
        <w:rPr>
          <w:rFonts w:hint="eastAsia" w:ascii="宋体" w:hAnsi="宋体" w:cs="宋体"/>
          <w:color w:val="auto"/>
          <w:kern w:val="0"/>
          <w:sz w:val="24"/>
          <w:highlight w:val="none"/>
          <w:lang w:eastAsia="zh-CN"/>
        </w:rPr>
        <w:t>文件细节错误一致且无合理解释、供应商手机号相同等情形的</w:t>
      </w:r>
    </w:p>
    <w:p w14:paraId="29512A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29D35EF2">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CEE3AFD">
      <w:pPr>
        <w:pStyle w:val="2"/>
        <w:snapToGrid w:val="0"/>
        <w:spacing w:line="360" w:lineRule="auto"/>
        <w:rPr>
          <w:rFonts w:hint="eastAsia" w:cs="宋体"/>
          <w:color w:val="auto"/>
          <w:highlight w:val="none"/>
        </w:rPr>
      </w:pPr>
      <w:r>
        <w:rPr>
          <w:rFonts w:hint="eastAsia" w:cs="宋体"/>
          <w:color w:val="auto"/>
          <w:highlight w:val="none"/>
        </w:rPr>
        <w:t>5.1符合专业条件的投标人或者对招标文件作实质响应的投标人不足3家的；</w:t>
      </w:r>
    </w:p>
    <w:p w14:paraId="4A59C3EA">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0BDD733">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DF5AEA5">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14:paraId="1539D82B">
      <w:pPr>
        <w:pStyle w:val="2"/>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726B67F">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340DE9">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F069371">
      <w:pPr>
        <w:pStyle w:val="2"/>
        <w:snapToGrid w:val="0"/>
        <w:spacing w:line="360" w:lineRule="auto"/>
        <w:rPr>
          <w:rFonts w:hint="eastAsia" w:cs="宋体"/>
          <w:color w:val="auto"/>
          <w:highlight w:val="none"/>
        </w:rPr>
      </w:pPr>
      <w:r>
        <w:rPr>
          <w:rFonts w:hint="eastAsia" w:cs="宋体"/>
          <w:color w:val="auto"/>
          <w:highlight w:val="none"/>
        </w:rPr>
        <w:t>7.1未确定中标人的，终止本次政府采购活动，重新开展政府采购活动。</w:t>
      </w:r>
    </w:p>
    <w:p w14:paraId="0A5309D4">
      <w:pPr>
        <w:pStyle w:val="2"/>
        <w:snapToGrid w:val="0"/>
        <w:spacing w:line="360" w:lineRule="auto"/>
        <w:rPr>
          <w:rFonts w:hint="eastAsia"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2EACD133">
      <w:pPr>
        <w:pStyle w:val="2"/>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36E25A6F">
      <w:pPr>
        <w:pStyle w:val="2"/>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24B4240D">
      <w:pPr>
        <w:pStyle w:val="2"/>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2"/>
      <w:bookmarkStart w:id="398" w:name="第五部分"/>
      <w:bookmarkStart w:id="399" w:name="_Toc86217003"/>
    </w:p>
    <w:p w14:paraId="2DD7C464">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第五部分 拟签订的合同文本</w:t>
      </w:r>
    </w:p>
    <w:p w14:paraId="4995F69C">
      <w:pPr>
        <w:rPr>
          <w:rFonts w:hint="eastAsia"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1922A70D">
      <w:pPr>
        <w:pStyle w:val="10"/>
        <w:spacing w:line="440" w:lineRule="exact"/>
        <w:rPr>
          <w:rFonts w:hint="eastAsia" w:asciiTheme="minorEastAsia" w:hAnsiTheme="minorEastAsia" w:eastAsiaTheme="minorEastAsia" w:cstheme="minorEastAsia"/>
          <w:color w:val="auto"/>
          <w:sz w:val="24"/>
          <w:szCs w:val="24"/>
          <w:highlight w:val="none"/>
        </w:rPr>
      </w:pPr>
    </w:p>
    <w:p w14:paraId="616F522C">
      <w:pPr>
        <w:spacing w:line="360" w:lineRule="auto"/>
        <w:rPr>
          <w:rFonts w:hint="eastAsia" w:ascii="宋体" w:hAnsi="宋体"/>
          <w:color w:val="auto"/>
          <w:highlight w:val="none"/>
        </w:rPr>
      </w:pPr>
      <w:r>
        <w:rPr>
          <w:rFonts w:hint="eastAsia" w:ascii="宋体" w:hAnsi="宋体"/>
          <w:b/>
          <w:color w:val="auto"/>
          <w:highlight w:val="none"/>
        </w:rPr>
        <w:t>甲方（委托方）：</w:t>
      </w:r>
    </w:p>
    <w:p w14:paraId="06B04186">
      <w:pPr>
        <w:spacing w:line="360" w:lineRule="auto"/>
        <w:rPr>
          <w:rFonts w:hint="eastAsia" w:ascii="宋体" w:hAnsi="宋体"/>
          <w:color w:val="auto"/>
          <w:highlight w:val="none"/>
        </w:rPr>
      </w:pPr>
      <w:r>
        <w:rPr>
          <w:rFonts w:hint="eastAsia" w:ascii="宋体" w:hAnsi="宋体"/>
          <w:b/>
          <w:color w:val="auto"/>
          <w:highlight w:val="none"/>
        </w:rPr>
        <w:t>乙方（服务方）：</w:t>
      </w:r>
    </w:p>
    <w:p w14:paraId="3364F5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依据《中华人民共和国民法典》和《建设工程质量检测管理办法》等有关工程建设法律、法规、规章的规定，甲乙双方就</w:t>
      </w:r>
      <w:bookmarkStart w:id="400" w:name="OLE_LINK1"/>
      <w:r>
        <w:rPr>
          <w:rFonts w:hint="eastAsia" w:ascii="宋体" w:hAnsi="宋体" w:cs="宋体"/>
          <w:color w:val="auto"/>
          <w:szCs w:val="21"/>
          <w:highlight w:val="none"/>
          <w:u w:val="single"/>
        </w:rPr>
        <w:t>杭州市第四人民医院（杭州市肿瘤医院）迁建工程桩基检测、基坑监测及沉降观测</w:t>
      </w:r>
      <w:r>
        <w:rPr>
          <w:rFonts w:hint="eastAsia" w:ascii="宋体" w:hAnsi="宋体" w:cs="宋体"/>
          <w:color w:val="auto"/>
          <w:szCs w:val="21"/>
          <w:highlight w:val="none"/>
        </w:rPr>
        <w:t>技术服务</w:t>
      </w:r>
      <w:bookmarkEnd w:id="400"/>
      <w:r>
        <w:rPr>
          <w:rFonts w:hint="eastAsia" w:ascii="宋体" w:hAnsi="宋体" w:cs="宋体"/>
          <w:color w:val="auto"/>
          <w:szCs w:val="21"/>
          <w:highlight w:val="none"/>
        </w:rPr>
        <w:t>事宜，在平等、自愿、公平和诚实信用的基础上，经协商一致，订立本合同，共同恪守履行。</w:t>
      </w:r>
    </w:p>
    <w:p w14:paraId="4319DC3F">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第一条 工程概况</w:t>
      </w:r>
    </w:p>
    <w:p w14:paraId="522345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工程名称：杭州市第四人民医院（杭州市肿瘤医院）迁建工程桩基检测、基坑监测及沉降观测</w:t>
      </w:r>
    </w:p>
    <w:p w14:paraId="2E3355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工程地点：杭州市滨江区浦沿单元</w:t>
      </w:r>
    </w:p>
    <w:p w14:paraId="02642729">
      <w:pPr>
        <w:spacing w:line="360" w:lineRule="auto"/>
        <w:ind w:firstLine="440"/>
        <w:rPr>
          <w:rFonts w:hint="eastAsia" w:ascii="宋体" w:hAnsi="宋体" w:cs="宋体"/>
          <w:color w:val="auto"/>
          <w:szCs w:val="21"/>
          <w:highlight w:val="none"/>
        </w:rPr>
      </w:pPr>
      <w:r>
        <w:rPr>
          <w:rFonts w:hint="eastAsia" w:ascii="宋体" w:hAnsi="宋体" w:cs="宋体"/>
          <w:color w:val="auto"/>
          <w:szCs w:val="21"/>
          <w:highlight w:val="none"/>
        </w:rPr>
        <w:t>工程规模：总建筑面积约156687平方米，其中，地上建筑面积约91506平方米，地下建筑面积约65181平方米。总用地面积约30502平方米（以实测为准）。杭州市第四人民医院（杭州市肿瘤医院）迁建工程</w:t>
      </w:r>
      <w:r>
        <w:rPr>
          <w:rFonts w:hint="eastAsia" w:ascii="宋体" w:hAnsi="宋体" w:cs="宋体"/>
          <w:color w:val="auto"/>
          <w:szCs w:val="21"/>
          <w:highlight w:val="none"/>
          <w:u w:val="single"/>
        </w:rPr>
        <w:t>施工工期1400天。</w:t>
      </w:r>
    </w:p>
    <w:p w14:paraId="573EF59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第二条 合同文件</w:t>
      </w:r>
    </w:p>
    <w:p w14:paraId="25603C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合同文件组成及优先顺序为：</w:t>
      </w:r>
    </w:p>
    <w:p w14:paraId="781050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1.履行本合同的相关补充协议</w:t>
      </w:r>
    </w:p>
    <w:p w14:paraId="24F057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2.本合同条款</w:t>
      </w:r>
    </w:p>
    <w:p w14:paraId="335778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3.合同附件</w:t>
      </w:r>
    </w:p>
    <w:p w14:paraId="3DC4CF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4.中标通知书</w:t>
      </w:r>
    </w:p>
    <w:p w14:paraId="425120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5.投标函及其附录</w:t>
      </w:r>
    </w:p>
    <w:p w14:paraId="3D5007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6.标准、规范及有关技术文件</w:t>
      </w:r>
    </w:p>
    <w:p w14:paraId="42492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7.设计文件、资料和图纸</w:t>
      </w:r>
    </w:p>
    <w:p w14:paraId="0B700C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8.招标文件及其附件（含评标期间的澄清文件和补充资料）</w:t>
      </w:r>
    </w:p>
    <w:p w14:paraId="64AB34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9.询标纪要（投标答疑）</w:t>
      </w:r>
    </w:p>
    <w:p w14:paraId="1713DD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10.双方约定构成合同组成部分的其他文件</w:t>
      </w:r>
    </w:p>
    <w:p w14:paraId="70284E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在履行合同过程中形成的双方授权代表签署的会议纪要、备忘录、补充文件、变更和洽商等书面形式的文件构成本合同的组成部分。上述文件内容如与其他合同文件有矛盾冲突之处，且未经甲方加盖公章确认的，则甲方有权决定其效力是否劣后于双方其他全部合同文件。</w:t>
      </w:r>
    </w:p>
    <w:p w14:paraId="554D201E">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第三条 合同价格</w:t>
      </w:r>
    </w:p>
    <w:p w14:paraId="0AD609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签约合同价：人民币（大写）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元)，增值税税率</w:t>
      </w:r>
      <w:r>
        <w:rPr>
          <w:rFonts w:hint="eastAsia" w:ascii="宋体" w:hAnsi="宋体" w:cs="宋体"/>
          <w:i/>
          <w:i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；其中增值税金额为人民币（大写）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元)，合同不含税金额为人民币（大写）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元)，若国家出台新的税收政策，则不含税价固定不变，税率按新政策执行。</w:t>
      </w:r>
    </w:p>
    <w:p w14:paraId="502C9FE1">
      <w:pPr>
        <w:spacing w:line="360" w:lineRule="auto"/>
        <w:ind w:firstLine="420" w:firstLineChars="200"/>
        <w:rPr>
          <w:rFonts w:hint="eastAsia" w:ascii="宋体" w:hAnsi="宋体"/>
          <w:color w:val="auto"/>
          <w:highlight w:val="none"/>
        </w:rPr>
      </w:pPr>
      <w:r>
        <w:rPr>
          <w:rFonts w:hint="eastAsia" w:ascii="宋体" w:hAnsi="宋体"/>
          <w:color w:val="auto"/>
          <w:highlight w:val="none"/>
        </w:rPr>
        <w:t>其中：</w:t>
      </w:r>
    </w:p>
    <w:p w14:paraId="5AFE6237">
      <w:pPr>
        <w:spacing w:line="360" w:lineRule="auto"/>
        <w:ind w:firstLine="420" w:firstLineChars="200"/>
        <w:rPr>
          <w:rFonts w:hint="eastAsia" w:ascii="宋体" w:hAnsi="宋体"/>
          <w:color w:val="auto"/>
          <w:highlight w:val="none"/>
        </w:rPr>
      </w:pPr>
      <w:r>
        <w:rPr>
          <w:rFonts w:hint="eastAsia" w:ascii="宋体" w:hAnsi="宋体"/>
          <w:color w:val="auto"/>
          <w:highlight w:val="none"/>
        </w:rPr>
        <w:t>1.桩基检测：人民币</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元（含税）；</w:t>
      </w:r>
    </w:p>
    <w:p w14:paraId="6C0AABE6">
      <w:pPr>
        <w:spacing w:line="360" w:lineRule="auto"/>
        <w:ind w:firstLine="420" w:firstLineChars="200"/>
        <w:rPr>
          <w:rFonts w:hint="eastAsia" w:ascii="宋体" w:hAnsi="宋体"/>
          <w:color w:val="auto"/>
          <w:highlight w:val="none"/>
        </w:rPr>
      </w:pPr>
      <w:r>
        <w:rPr>
          <w:rFonts w:hint="eastAsia" w:ascii="宋体" w:hAnsi="宋体"/>
          <w:color w:val="auto"/>
          <w:highlight w:val="none"/>
        </w:rPr>
        <w:t>2.基坑监测：人民币</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元（含税）；</w:t>
      </w:r>
    </w:p>
    <w:p w14:paraId="7071812D">
      <w:pPr>
        <w:spacing w:line="360" w:lineRule="auto"/>
        <w:ind w:firstLine="420" w:firstLineChars="200"/>
        <w:rPr>
          <w:rFonts w:hint="eastAsia" w:ascii="宋体" w:hAnsi="宋体"/>
          <w:color w:val="auto"/>
          <w:highlight w:val="none"/>
        </w:rPr>
      </w:pPr>
      <w:r>
        <w:rPr>
          <w:rFonts w:hint="eastAsia" w:ascii="宋体" w:hAnsi="宋体"/>
          <w:color w:val="auto"/>
          <w:highlight w:val="none"/>
        </w:rPr>
        <w:t>3.沉降观测：人民币</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元（含税）；</w:t>
      </w:r>
    </w:p>
    <w:p w14:paraId="4D758778">
      <w:pPr>
        <w:spacing w:line="360" w:lineRule="auto"/>
        <w:ind w:firstLine="420" w:firstLineChars="200"/>
        <w:rPr>
          <w:rFonts w:hint="eastAsia" w:ascii="宋体" w:hAnsi="宋体"/>
          <w:color w:val="auto"/>
          <w:highlight w:val="none"/>
        </w:rPr>
      </w:pPr>
      <w:r>
        <w:rPr>
          <w:rFonts w:hint="eastAsia" w:ascii="宋体" w:hAnsi="宋体"/>
          <w:color w:val="auto"/>
          <w:highlight w:val="none"/>
        </w:rPr>
        <w:t>4.本合同为固定单价合同，工程量按实计量。工作量清单及单价详见附件。</w:t>
      </w:r>
    </w:p>
    <w:p w14:paraId="30DAE4A1">
      <w:pPr>
        <w:spacing w:line="360" w:lineRule="auto"/>
        <w:rPr>
          <w:rFonts w:hint="eastAsia" w:ascii="宋体" w:hAnsi="宋体"/>
          <w:b/>
          <w:color w:val="auto"/>
          <w:highlight w:val="none"/>
        </w:rPr>
      </w:pPr>
      <w:r>
        <w:rPr>
          <w:rFonts w:hint="eastAsia" w:ascii="宋体" w:hAnsi="宋体"/>
          <w:b/>
          <w:color w:val="auto"/>
          <w:highlight w:val="none"/>
        </w:rPr>
        <w:t>第四条 服务期限</w:t>
      </w:r>
    </w:p>
    <w:p w14:paraId="5881CCC1">
      <w:pPr>
        <w:spacing w:line="360" w:lineRule="auto"/>
        <w:ind w:firstLine="420" w:firstLineChars="200"/>
        <w:rPr>
          <w:rFonts w:hint="eastAsia" w:ascii="宋体" w:hAnsi="宋体"/>
          <w:color w:val="auto"/>
          <w:highlight w:val="none"/>
        </w:rPr>
      </w:pPr>
      <w:r>
        <w:rPr>
          <w:rFonts w:hint="eastAsia" w:ascii="宋体" w:hAnsi="宋体"/>
          <w:color w:val="auto"/>
          <w:highlight w:val="none"/>
        </w:rPr>
        <w:t>自本合同生效之日起至本项目检测、监测、观测工作全部完成，所提交的正式成果报告经监理人、代建人和委托人审查合格止。</w:t>
      </w:r>
    </w:p>
    <w:p w14:paraId="0698E0E8">
      <w:pPr>
        <w:spacing w:line="360" w:lineRule="auto"/>
        <w:rPr>
          <w:rFonts w:hint="eastAsia" w:ascii="宋体" w:hAnsi="宋体"/>
          <w:color w:val="auto"/>
          <w:highlight w:val="none"/>
        </w:rPr>
      </w:pPr>
      <w:r>
        <w:rPr>
          <w:rFonts w:hint="eastAsia" w:ascii="宋体" w:hAnsi="宋体"/>
          <w:b/>
          <w:color w:val="auto"/>
          <w:highlight w:val="none"/>
        </w:rPr>
        <w:t>第五条 服务项目</w:t>
      </w:r>
    </w:p>
    <w:p w14:paraId="31F8E120">
      <w:pPr>
        <w:spacing w:line="360" w:lineRule="auto"/>
        <w:ind w:firstLine="420" w:firstLineChars="200"/>
        <w:rPr>
          <w:rFonts w:hint="eastAsia" w:ascii="宋体" w:hAnsi="宋体"/>
          <w:color w:val="auto"/>
          <w:highlight w:val="none"/>
        </w:rPr>
      </w:pPr>
      <w:r>
        <w:rPr>
          <w:rFonts w:hint="eastAsia" w:ascii="宋体" w:hAnsi="宋体"/>
          <w:color w:val="auto"/>
          <w:highlight w:val="none"/>
        </w:rPr>
        <w:t>1.桩基检测：包括但不限于</w:t>
      </w:r>
      <w:r>
        <w:rPr>
          <w:rFonts w:hint="eastAsia" w:ascii="宋体" w:hAnsi="宋体" w:cs="宋体"/>
          <w:color w:val="auto"/>
          <w:szCs w:val="21"/>
          <w:highlight w:val="none"/>
        </w:rPr>
        <w:t>桩基检测包括工程桩静载试验、低应变检测、超声波检测和围护桩低应变检测、水泥搅拌桩钻孔取芯、地连墙结构质量检测等</w:t>
      </w:r>
      <w:r>
        <w:rPr>
          <w:rFonts w:hint="eastAsia" w:ascii="宋体" w:hAnsi="宋体"/>
          <w:color w:val="auto"/>
          <w:highlight w:val="none"/>
        </w:rPr>
        <w:t>。</w:t>
      </w:r>
    </w:p>
    <w:p w14:paraId="33E14EFC">
      <w:pPr>
        <w:spacing w:line="360" w:lineRule="auto"/>
        <w:ind w:firstLine="420" w:firstLineChars="200"/>
        <w:rPr>
          <w:rFonts w:hint="eastAsia" w:ascii="宋体" w:hAnsi="宋体"/>
          <w:color w:val="auto"/>
          <w:highlight w:val="none"/>
        </w:rPr>
      </w:pPr>
      <w:r>
        <w:rPr>
          <w:rFonts w:hint="eastAsia" w:ascii="宋体" w:hAnsi="宋体"/>
          <w:color w:val="auto"/>
          <w:highlight w:val="none"/>
        </w:rPr>
        <w:t>2.基坑监测：包括但不限于深层土体水平位移监测、基坑外地下水位监测、基坑周边地表沉降监测、深层土体水平位移自动化监测、地下水位自动化监测、支撑轴力自动化监测、围护桩顶水平位移监测、围护桩顶竖向位移监测、支撑轴力监测、立柱桩沉降监测、基坑管线位移及沉降监测等。</w:t>
      </w:r>
    </w:p>
    <w:p w14:paraId="659FE286">
      <w:pPr>
        <w:spacing w:line="360" w:lineRule="auto"/>
        <w:rPr>
          <w:rFonts w:hint="eastAsia" w:ascii="宋体" w:hAnsi="宋体"/>
          <w:color w:val="auto"/>
          <w:highlight w:val="none"/>
        </w:rPr>
      </w:pPr>
      <w:r>
        <w:rPr>
          <w:rFonts w:hint="eastAsia" w:ascii="宋体" w:hAnsi="宋体"/>
          <w:color w:val="auto"/>
          <w:szCs w:val="21"/>
          <w:highlight w:val="none"/>
        </w:rPr>
        <w:t>监测频率根据《建筑基坑工程监测技术标准》（GB</w:t>
      </w:r>
      <w:r>
        <w:rPr>
          <w:rFonts w:ascii="宋体" w:hAnsi="宋体"/>
          <w:color w:val="auto"/>
          <w:szCs w:val="21"/>
          <w:highlight w:val="none"/>
        </w:rPr>
        <w:t xml:space="preserve"> </w:t>
      </w:r>
      <w:r>
        <w:rPr>
          <w:rFonts w:hint="eastAsia" w:ascii="宋体" w:hAnsi="宋体"/>
          <w:color w:val="auto"/>
          <w:szCs w:val="21"/>
          <w:highlight w:val="none"/>
        </w:rPr>
        <w:t>50497-2019）及现场施工实际需要执行，当出现变形接近或超过警戒值或监测结果变化速率较大等特殊情况时，根据发包人、代建人指令必须随时加密观测次数甚至连续监测，费用不予增加。一旦发现监测结果发展过快、过大等异常情况，必须将此信息反馈给发包人、代建人、设计、监理、施工等有关单位，并协助设计和施工单位提出处理方案，以便及时采取必要的补救措施。监测工作全部完成后两周内提交监测成果报告。</w:t>
      </w:r>
    </w:p>
    <w:p w14:paraId="41C22BBC">
      <w:pPr>
        <w:spacing w:line="360" w:lineRule="auto"/>
        <w:ind w:firstLine="420" w:firstLineChars="200"/>
        <w:rPr>
          <w:rFonts w:hint="eastAsia" w:ascii="宋体" w:hAnsi="宋体"/>
          <w:color w:val="auto"/>
          <w:highlight w:val="none"/>
        </w:rPr>
      </w:pPr>
      <w:r>
        <w:rPr>
          <w:rFonts w:hint="eastAsia" w:ascii="宋体" w:hAnsi="宋体"/>
          <w:color w:val="auto"/>
          <w:highlight w:val="none"/>
        </w:rPr>
        <w:t>3.沉降观测：</w:t>
      </w:r>
      <w:r>
        <w:rPr>
          <w:rFonts w:hint="eastAsia" w:ascii="宋体" w:hAnsi="宋体"/>
          <w:color w:val="auto"/>
          <w:szCs w:val="21"/>
          <w:highlight w:val="none"/>
        </w:rPr>
        <w:t>包括但不限于建筑物沉降观测。建筑沉降观测应符合《</w:t>
      </w:r>
      <w:r>
        <w:rPr>
          <w:rFonts w:ascii="宋体" w:hAnsi="宋体"/>
          <w:color w:val="auto"/>
          <w:szCs w:val="21"/>
          <w:highlight w:val="none"/>
        </w:rPr>
        <w:t>工程测量规范</w:t>
      </w:r>
      <w:r>
        <w:rPr>
          <w:rFonts w:hint="eastAsia" w:ascii="宋体" w:hAnsi="宋体"/>
          <w:color w:val="auto"/>
          <w:szCs w:val="21"/>
          <w:highlight w:val="none"/>
        </w:rPr>
        <w:t>》（</w:t>
      </w:r>
      <w:r>
        <w:rPr>
          <w:rFonts w:ascii="宋体" w:hAnsi="宋体"/>
          <w:color w:val="auto"/>
          <w:szCs w:val="21"/>
          <w:highlight w:val="none"/>
        </w:rPr>
        <w:t>GB50026-2020</w:t>
      </w:r>
      <w:r>
        <w:rPr>
          <w:rFonts w:hint="eastAsia" w:ascii="宋体" w:hAnsi="宋体"/>
          <w:color w:val="auto"/>
          <w:szCs w:val="21"/>
          <w:highlight w:val="none"/>
        </w:rPr>
        <w:t>）、《</w:t>
      </w:r>
      <w:r>
        <w:rPr>
          <w:rFonts w:ascii="宋体" w:hAnsi="宋体"/>
          <w:color w:val="auto"/>
          <w:szCs w:val="21"/>
          <w:highlight w:val="none"/>
        </w:rPr>
        <w:t>建筑变形测量规范</w:t>
      </w:r>
      <w:r>
        <w:rPr>
          <w:rFonts w:hint="eastAsia" w:ascii="宋体" w:hAnsi="宋体"/>
          <w:color w:val="auto"/>
          <w:szCs w:val="21"/>
          <w:highlight w:val="none"/>
        </w:rPr>
        <w:t>》（</w:t>
      </w:r>
      <w:r>
        <w:rPr>
          <w:rFonts w:ascii="宋体" w:hAnsi="宋体"/>
          <w:color w:val="auto"/>
          <w:szCs w:val="21"/>
          <w:highlight w:val="none"/>
        </w:rPr>
        <w:t>JGJ8-2016</w:t>
      </w:r>
      <w:r>
        <w:rPr>
          <w:rFonts w:hint="eastAsia" w:ascii="宋体" w:hAnsi="宋体"/>
          <w:color w:val="auto"/>
          <w:szCs w:val="21"/>
          <w:highlight w:val="none"/>
        </w:rPr>
        <w:t>）、《工程测量通用规范》（G</w:t>
      </w:r>
      <w:r>
        <w:rPr>
          <w:rFonts w:ascii="宋体" w:hAnsi="宋体"/>
          <w:color w:val="auto"/>
          <w:szCs w:val="21"/>
          <w:highlight w:val="none"/>
        </w:rPr>
        <w:t>B55018-2021</w:t>
      </w:r>
      <w:r>
        <w:rPr>
          <w:rFonts w:hint="eastAsia" w:ascii="宋体" w:hAnsi="宋体"/>
          <w:color w:val="auto"/>
          <w:szCs w:val="21"/>
          <w:highlight w:val="none"/>
        </w:rPr>
        <w:t>）等国家、行业及地方规范要求。</w:t>
      </w:r>
    </w:p>
    <w:p w14:paraId="5114AB34">
      <w:pPr>
        <w:spacing w:line="360" w:lineRule="auto"/>
        <w:rPr>
          <w:rFonts w:hint="eastAsia" w:ascii="宋体" w:hAnsi="宋体"/>
          <w:color w:val="auto"/>
          <w:highlight w:val="none"/>
        </w:rPr>
      </w:pPr>
      <w:r>
        <w:rPr>
          <w:rFonts w:hint="eastAsia" w:ascii="宋体" w:hAnsi="宋体"/>
          <w:b/>
          <w:color w:val="auto"/>
          <w:highlight w:val="none"/>
        </w:rPr>
        <w:t>第六条 检测依据</w:t>
      </w:r>
    </w:p>
    <w:p w14:paraId="20F8D6EA">
      <w:pPr>
        <w:spacing w:line="360" w:lineRule="auto"/>
        <w:ind w:firstLine="420" w:firstLineChars="200"/>
        <w:rPr>
          <w:rFonts w:hint="eastAsia" w:ascii="宋体" w:hAnsi="宋体"/>
          <w:color w:val="auto"/>
          <w:highlight w:val="none"/>
        </w:rPr>
      </w:pPr>
      <w:r>
        <w:rPr>
          <w:rFonts w:hint="eastAsia" w:ascii="宋体" w:hAnsi="宋体"/>
          <w:color w:val="auto"/>
          <w:highlight w:val="none"/>
        </w:rPr>
        <w:t>1.发包人提供的桩基图纸、区域地形图、建（构）筑物图纸等图纸及资料。</w:t>
      </w:r>
    </w:p>
    <w:p w14:paraId="05598D80">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.《建设工程质量检测管理方法》、</w:t>
      </w:r>
      <w:r>
        <w:rPr>
          <w:rFonts w:hint="eastAsia" w:ascii="宋体" w:hAnsi="宋体"/>
          <w:color w:val="auto"/>
          <w:highlight w:val="none"/>
        </w:rPr>
        <w:t>《浙江省建设工程质量检测管理实施细则》</w:t>
      </w:r>
      <w:r>
        <w:rPr>
          <w:rFonts w:hint="eastAsia" w:ascii="宋体" w:hAnsi="宋体"/>
          <w:color w:val="auto"/>
          <w:highlight w:val="none"/>
        </w:rPr>
        <w:t>。</w:t>
      </w:r>
    </w:p>
    <w:p w14:paraId="57962DB5">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包括但不限于以下规范：</w:t>
      </w:r>
    </w:p>
    <w:p w14:paraId="37645A29">
      <w:pPr>
        <w:spacing w:line="360" w:lineRule="auto"/>
        <w:ind w:firstLine="420" w:firstLineChars="200"/>
        <w:rPr>
          <w:rFonts w:hint="eastAsia" w:ascii="宋体" w:hAnsi="宋体"/>
          <w:color w:val="auto"/>
          <w:highlight w:val="none"/>
        </w:rPr>
      </w:pPr>
      <w:r>
        <w:rPr>
          <w:rFonts w:hint="eastAsia" w:ascii="宋体" w:hAnsi="宋体"/>
          <w:color w:val="auto"/>
          <w:highlight w:val="none"/>
        </w:rPr>
        <w:t>《建筑地基处理技术规范》（</w:t>
      </w:r>
      <w:r>
        <w:rPr>
          <w:rFonts w:ascii="宋体" w:hAnsi="宋体"/>
          <w:color w:val="auto"/>
          <w:highlight w:val="none"/>
        </w:rPr>
        <w:t>JGJ79-2012</w:t>
      </w:r>
      <w:r>
        <w:rPr>
          <w:rFonts w:hint="eastAsia" w:ascii="宋体" w:hAnsi="宋体"/>
          <w:color w:val="auto"/>
          <w:highlight w:val="none"/>
        </w:rPr>
        <w:t>）</w:t>
      </w:r>
    </w:p>
    <w:p w14:paraId="1FE3B5D5">
      <w:pPr>
        <w:spacing w:line="360" w:lineRule="auto"/>
        <w:ind w:firstLine="420" w:firstLineChars="200"/>
        <w:rPr>
          <w:rFonts w:hint="eastAsia" w:ascii="宋体" w:hAnsi="宋体"/>
          <w:color w:val="auto"/>
          <w:highlight w:val="none"/>
        </w:rPr>
      </w:pPr>
      <w:r>
        <w:rPr>
          <w:rFonts w:hint="eastAsia" w:ascii="宋体" w:hAnsi="宋体"/>
          <w:color w:val="auto"/>
          <w:highlight w:val="none"/>
        </w:rPr>
        <w:t>《建筑地基基础工程施工质量验收规范》（</w:t>
      </w:r>
      <w:r>
        <w:rPr>
          <w:rFonts w:ascii="宋体" w:hAnsi="宋体"/>
          <w:color w:val="auto"/>
          <w:highlight w:val="none"/>
        </w:rPr>
        <w:t>GB 50202-2018</w:t>
      </w:r>
      <w:r>
        <w:rPr>
          <w:rFonts w:hint="eastAsia" w:ascii="宋体" w:hAnsi="宋体"/>
          <w:color w:val="auto"/>
          <w:highlight w:val="none"/>
        </w:rPr>
        <w:t>）</w:t>
      </w:r>
    </w:p>
    <w:p w14:paraId="7DC3652C">
      <w:pPr>
        <w:spacing w:line="360" w:lineRule="auto"/>
        <w:ind w:firstLine="420" w:firstLineChars="200"/>
        <w:rPr>
          <w:rFonts w:hint="eastAsia" w:ascii="宋体" w:hAnsi="宋体"/>
          <w:color w:val="auto"/>
          <w:highlight w:val="none"/>
        </w:rPr>
      </w:pPr>
      <w:r>
        <w:rPr>
          <w:rFonts w:hint="eastAsia" w:ascii="宋体" w:hAnsi="宋体"/>
          <w:color w:val="auto"/>
          <w:highlight w:val="none"/>
        </w:rPr>
        <w:t>《建筑基桩检测技术规范》（</w:t>
      </w:r>
      <w:r>
        <w:rPr>
          <w:rFonts w:ascii="宋体" w:hAnsi="宋体"/>
          <w:color w:val="auto"/>
          <w:highlight w:val="none"/>
        </w:rPr>
        <w:t>JGJ106-2014</w:t>
      </w:r>
      <w:r>
        <w:rPr>
          <w:rFonts w:hint="eastAsia" w:ascii="宋体" w:hAnsi="宋体"/>
          <w:color w:val="auto"/>
          <w:highlight w:val="none"/>
        </w:rPr>
        <w:t>）</w:t>
      </w:r>
    </w:p>
    <w:p w14:paraId="4C0D3D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《建筑基坑工程监测技术标准》（GB</w:t>
      </w:r>
      <w:r>
        <w:rPr>
          <w:rFonts w:ascii="宋体" w:hAnsi="宋体"/>
          <w:color w:val="auto"/>
          <w:szCs w:val="21"/>
          <w:highlight w:val="none"/>
        </w:rPr>
        <w:t xml:space="preserve"> </w:t>
      </w:r>
      <w:r>
        <w:rPr>
          <w:rFonts w:hint="eastAsia" w:ascii="宋体" w:hAnsi="宋体"/>
          <w:color w:val="auto"/>
          <w:szCs w:val="21"/>
          <w:highlight w:val="none"/>
        </w:rPr>
        <w:t>50497-2019）</w:t>
      </w:r>
    </w:p>
    <w:p w14:paraId="32EBDD2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工程测量规范</w:t>
      </w:r>
      <w:r>
        <w:rPr>
          <w:rFonts w:hint="eastAsia" w:ascii="宋体" w:hAnsi="宋体"/>
          <w:color w:val="auto"/>
          <w:szCs w:val="21"/>
          <w:highlight w:val="none"/>
        </w:rPr>
        <w:t>》（</w:t>
      </w:r>
      <w:r>
        <w:rPr>
          <w:rFonts w:ascii="宋体" w:hAnsi="宋体"/>
          <w:color w:val="auto"/>
          <w:szCs w:val="21"/>
          <w:highlight w:val="none"/>
        </w:rPr>
        <w:t>GB50026-2020</w:t>
      </w:r>
      <w:r>
        <w:rPr>
          <w:rFonts w:hint="eastAsia" w:ascii="宋体" w:hAnsi="宋体"/>
          <w:color w:val="auto"/>
          <w:szCs w:val="21"/>
          <w:highlight w:val="none"/>
        </w:rPr>
        <w:t>）</w:t>
      </w:r>
    </w:p>
    <w:p w14:paraId="1D8F512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建筑变形测量规范</w:t>
      </w:r>
      <w:r>
        <w:rPr>
          <w:rFonts w:hint="eastAsia" w:ascii="宋体" w:hAnsi="宋体"/>
          <w:color w:val="auto"/>
          <w:szCs w:val="21"/>
          <w:highlight w:val="none"/>
        </w:rPr>
        <w:t>》（</w:t>
      </w:r>
      <w:r>
        <w:rPr>
          <w:rFonts w:ascii="宋体" w:hAnsi="宋体"/>
          <w:color w:val="auto"/>
          <w:szCs w:val="21"/>
          <w:highlight w:val="none"/>
        </w:rPr>
        <w:t>JGJ8-2016</w:t>
      </w:r>
      <w:r>
        <w:rPr>
          <w:rFonts w:hint="eastAsia" w:ascii="宋体" w:hAnsi="宋体"/>
          <w:color w:val="auto"/>
          <w:szCs w:val="21"/>
          <w:highlight w:val="none"/>
        </w:rPr>
        <w:t>）</w:t>
      </w:r>
    </w:p>
    <w:p w14:paraId="1E28D295">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《工程测量通用规范》（G</w:t>
      </w:r>
      <w:r>
        <w:rPr>
          <w:rFonts w:ascii="宋体" w:hAnsi="宋体"/>
          <w:color w:val="auto"/>
          <w:szCs w:val="21"/>
          <w:highlight w:val="none"/>
        </w:rPr>
        <w:t>B55018-2021</w:t>
      </w:r>
      <w:r>
        <w:rPr>
          <w:rFonts w:hint="eastAsia" w:ascii="宋体" w:hAnsi="宋体"/>
          <w:color w:val="auto"/>
          <w:szCs w:val="21"/>
          <w:highlight w:val="none"/>
        </w:rPr>
        <w:t>）</w:t>
      </w:r>
    </w:p>
    <w:p w14:paraId="1F236550">
      <w:pPr>
        <w:spacing w:line="360" w:lineRule="auto"/>
        <w:ind w:firstLine="420" w:firstLineChars="200"/>
        <w:rPr>
          <w:rFonts w:hint="eastAsia" w:ascii="宋体" w:hAnsi="宋体"/>
          <w:color w:val="auto"/>
          <w:highlight w:val="none"/>
        </w:rPr>
      </w:pPr>
      <w:r>
        <w:rPr>
          <w:rFonts w:ascii="宋体" w:hAnsi="宋体"/>
          <w:color w:val="auto"/>
          <w:highlight w:val="none"/>
        </w:rPr>
        <w:t>4</w:t>
      </w:r>
      <w:r>
        <w:rPr>
          <w:rFonts w:hint="eastAsia" w:ascii="宋体" w:hAnsi="宋体"/>
          <w:color w:val="auto"/>
          <w:highlight w:val="none"/>
        </w:rPr>
        <w:t>.国家、行业和浙江省、杭州市现行检测标准、规范。</w:t>
      </w:r>
    </w:p>
    <w:p w14:paraId="2BF276F8">
      <w:pPr>
        <w:spacing w:line="360" w:lineRule="auto"/>
        <w:rPr>
          <w:rFonts w:hint="eastAsia" w:ascii="宋体" w:hAnsi="宋体"/>
          <w:color w:val="auto"/>
          <w:highlight w:val="none"/>
        </w:rPr>
      </w:pPr>
      <w:r>
        <w:rPr>
          <w:rFonts w:hint="eastAsia" w:ascii="宋体" w:hAnsi="宋体"/>
          <w:b/>
          <w:color w:val="auto"/>
          <w:highlight w:val="none"/>
        </w:rPr>
        <w:t>第七条 服务费用的计价、计量及支付方式</w:t>
      </w:r>
    </w:p>
    <w:p w14:paraId="0FCAD7D2">
      <w:pPr>
        <w:spacing w:line="360" w:lineRule="auto"/>
        <w:ind w:firstLine="420" w:firstLineChars="200"/>
        <w:rPr>
          <w:rFonts w:hint="eastAsia" w:ascii="宋体" w:hAnsi="宋体"/>
          <w:color w:val="auto"/>
          <w:highlight w:val="none"/>
        </w:rPr>
      </w:pPr>
      <w:r>
        <w:rPr>
          <w:rFonts w:hint="eastAsia" w:ascii="宋体" w:hAnsi="宋体"/>
          <w:color w:val="auto"/>
          <w:highlight w:val="none"/>
        </w:rPr>
        <w:t>（一）计价</w:t>
      </w:r>
    </w:p>
    <w:p w14:paraId="73C650F4">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本合同服务内容按固定综合单价方式计价。</w:t>
      </w:r>
    </w:p>
    <w:p w14:paraId="1A1C8D4A">
      <w:pPr>
        <w:spacing w:line="360" w:lineRule="auto"/>
        <w:ind w:firstLine="420" w:firstLineChars="200"/>
        <w:rPr>
          <w:rFonts w:hint="eastAsia" w:ascii="宋体" w:hAnsi="宋体" w:cs="21"/>
          <w:color w:val="auto"/>
          <w:kern w:val="0"/>
          <w:szCs w:val="22"/>
          <w:highlight w:val="none"/>
        </w:rPr>
      </w:pPr>
      <w:r>
        <w:rPr>
          <w:rFonts w:hint="eastAsia" w:ascii="宋体" w:hAnsi="宋体"/>
          <w:color w:val="auto"/>
          <w:highlight w:val="none"/>
        </w:rPr>
        <w:t>2.本合同价格</w:t>
      </w:r>
      <w:r>
        <w:rPr>
          <w:rFonts w:hint="eastAsia" w:hAnsi="宋体"/>
          <w:snapToGrid w:val="0"/>
          <w:color w:val="auto"/>
          <w:kern w:val="0"/>
          <w:highlight w:val="none"/>
        </w:rPr>
        <w:t>应包括为完成本合同所述全部工作内容</w:t>
      </w:r>
      <w:r>
        <w:rPr>
          <w:rFonts w:hint="eastAsia" w:ascii="宋体" w:hAnsi="宋体" w:cs="21"/>
          <w:color w:val="auto"/>
          <w:kern w:val="0"/>
          <w:szCs w:val="22"/>
          <w:highlight w:val="none"/>
        </w:rPr>
        <w:t>，包括但不限于：投标人的人工费、材料费、机械费、管理费、保险、风险、利润、税金、基准点测设费、高程联测费、预埋费、安装费、测点保护费、设施设备折旧与运输费、试验费、成果性文件编制及审查费、方案专家评审相关费用、服务期间因各项原因需要召开专家评审会产生的会务费和专家费、总包单位配合费、与各单位或政府部门协调产生的费用等。</w:t>
      </w:r>
    </w:p>
    <w:p w14:paraId="5465120B">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3.在实施期间如遇国家政策性调价，市场材料价格等发生变化，本项目综合单价均不予调整。</w:t>
      </w:r>
    </w:p>
    <w:p w14:paraId="447218BF">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4.本项目基坑监测及沉降观测时间、频率由乙方按图纸及相关规范要求自行考虑，如建安工程工期延长导致检测、监测服务周期延长,实际监测及观测时间超过投标人预估期限的，乙方需无条件配合，相关费用包含在投标综合单价内，结算时合同单价不作调整。</w:t>
      </w:r>
    </w:p>
    <w:p w14:paraId="682C2EAD">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5.本工程基坑开挖期间监测频率不少于1天1次，基坑开挖结束后不少于3天1次，监测数据接近安全控制指标值的预警值时，应提高监测频率；当发现有异常情况或外部作业有危险事故征兆时，应采用不间断实时监测。甲方有权根据现场监测情况要求乙方增加监测频率，投标人需无条件配合，不得以任何理由拒绝，相关费用已包含在投标综合单价内，结算时合同单价不作调整。</w:t>
      </w:r>
    </w:p>
    <w:p w14:paraId="02079425">
      <w:pPr>
        <w:spacing w:line="360" w:lineRule="auto"/>
        <w:ind w:firstLine="420" w:firstLineChars="200"/>
        <w:rPr>
          <w:color w:val="auto"/>
          <w:highlight w:val="none"/>
        </w:rPr>
      </w:pPr>
      <w:r>
        <w:rPr>
          <w:rFonts w:hint="eastAsia" w:ascii="宋体" w:hAnsi="宋体" w:cs="21"/>
          <w:color w:val="auto"/>
          <w:kern w:val="0"/>
          <w:szCs w:val="22"/>
          <w:highlight w:val="none"/>
        </w:rPr>
        <w:t xml:space="preserve">6.乙方投标报价时应充分考虑多次进出场检测、监测、观测所造成的服务费用（如人工消耗、机械搬运、机械安拆、砼块配重等材料损耗等等）的增加，因多次进出场检测、监测、观测所增加的费用已包含在投标综合单价内，结算时合同单价不作调整。 </w:t>
      </w:r>
    </w:p>
    <w:p w14:paraId="77CAF521">
      <w:pPr>
        <w:spacing w:line="360" w:lineRule="auto"/>
        <w:ind w:firstLine="420" w:firstLineChars="200"/>
        <w:rPr>
          <w:rFonts w:hint="eastAsia" w:ascii="宋体" w:hAnsi="宋体"/>
          <w:color w:val="auto"/>
          <w:highlight w:val="none"/>
        </w:rPr>
      </w:pPr>
      <w:r>
        <w:rPr>
          <w:rFonts w:hint="eastAsia" w:ascii="宋体" w:hAnsi="宋体"/>
          <w:color w:val="auto"/>
          <w:highlight w:val="none"/>
        </w:rPr>
        <w:t>（二）计量</w:t>
      </w:r>
    </w:p>
    <w:p w14:paraId="402ADAD7">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 xml:space="preserve">本合同价格形式为固定综合单价，工程量按报价明细表中所列内容按实结算，实际数量须经甲方、代建人、监理人签字确认。其他表格中未列项目，指由乙方根据乙方的检测、监测、观测方案及按规范要求必须增加的检测、监测、观测或调查工作项目，所发生的相关费用由乙方自行考虑并计入合同综合单价中，中标后不做调整。 </w:t>
      </w:r>
    </w:p>
    <w:p w14:paraId="471A5195">
      <w:pPr>
        <w:spacing w:line="360" w:lineRule="auto"/>
        <w:ind w:firstLine="420" w:firstLineChars="200"/>
        <w:rPr>
          <w:rFonts w:hint="eastAsia" w:ascii="宋体" w:hAnsi="宋体"/>
          <w:color w:val="auto"/>
          <w:highlight w:val="none"/>
        </w:rPr>
      </w:pPr>
      <w:r>
        <w:rPr>
          <w:rFonts w:hint="eastAsia" w:ascii="宋体" w:hAnsi="宋体"/>
          <w:color w:val="auto"/>
          <w:highlight w:val="none"/>
        </w:rPr>
        <w:t>（三）支付方式</w:t>
      </w:r>
    </w:p>
    <w:p w14:paraId="57B8950C">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1.合同签订完成、乙方缴纳合同总价1%的履约保证金（或履约保函）且第一次检测进场后30天内，甲方支付至合同签约总价的30%。</w:t>
      </w:r>
    </w:p>
    <w:p w14:paraId="5F3AD7FB">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2.进度支付</w:t>
      </w:r>
    </w:p>
    <w:p w14:paraId="6F7CA43A">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（1）桩基检测：所有检测任务完成，设备退场，提交全部检测报告及相关资料后30天内，甲方支付至桩基检测对应签约合同价的85%（含预付款）；</w:t>
      </w:r>
    </w:p>
    <w:p w14:paraId="1BB5426E">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（2）基坑监测：基坑监测完成且提供监测成果报告后30天内，甲方支付至基坑监测对应签约合同价的85%（含预付款）；</w:t>
      </w:r>
    </w:p>
    <w:p w14:paraId="13C22518">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（3）沉降观测：工程全部结顶后30天内，甲方支付至建筑沉降观测对应签约合同价的60%（含预付款）；</w:t>
      </w:r>
    </w:p>
    <w:p w14:paraId="1A15C6DD">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3.结算支付</w:t>
      </w:r>
    </w:p>
    <w:p w14:paraId="507AC827">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乙方提交所有书面成果报告且工程竣工验收合格且结算经代建人审核后30天内，甲方付清所有服务项目结算价款。</w:t>
      </w:r>
    </w:p>
    <w:p w14:paraId="115D5F08">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4.乙方在每笔款项支付前需向甲方开具等额增值税普通发票，否则甲方有权延期付款。</w:t>
      </w:r>
    </w:p>
    <w:p w14:paraId="461367BC">
      <w:pPr>
        <w:spacing w:line="360" w:lineRule="auto"/>
        <w:ind w:left="105" w:leftChars="50" w:firstLine="420" w:firstLineChars="200"/>
        <w:jc w:val="left"/>
        <w:rPr>
          <w:rFonts w:hint="eastAsia" w:ascii="宋体" w:hAnsi="宋体" w:cs="宋体"/>
          <w:bCs/>
          <w:color w:val="auto"/>
          <w:highlight w:val="none"/>
        </w:rPr>
      </w:pPr>
      <w:r>
        <w:rPr>
          <w:rFonts w:hint="eastAsia" w:ascii="宋体" w:hAnsi="宋体" w:cs="宋体"/>
          <w:bCs/>
          <w:color w:val="auto"/>
          <w:highlight w:val="none"/>
        </w:rPr>
        <w:t>5.乙方清楚本工程为政府财政投资工程，如因财政预算资金拨付迟延等原因导致甲方延迟付款或支付审批流程迟滞致使付款延迟的，不视为甲方违约，甲方无需对乙方赔偿或补偿。乙方承诺对此予以理解并同意不对此提出索赔事项。</w:t>
      </w:r>
    </w:p>
    <w:p w14:paraId="717F691E">
      <w:pPr>
        <w:spacing w:line="360" w:lineRule="auto"/>
        <w:rPr>
          <w:rFonts w:hint="eastAsia" w:ascii="宋体" w:hAnsi="宋体"/>
          <w:color w:val="auto"/>
          <w:highlight w:val="none"/>
        </w:rPr>
      </w:pPr>
      <w:r>
        <w:rPr>
          <w:rFonts w:hint="eastAsia" w:ascii="宋体" w:hAnsi="宋体"/>
          <w:b/>
          <w:color w:val="auto"/>
          <w:highlight w:val="none"/>
        </w:rPr>
        <w:t>第八条 履约担保</w:t>
      </w:r>
    </w:p>
    <w:p w14:paraId="3FF08B3A">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szCs w:val="22"/>
          <w:highlight w:val="none"/>
        </w:rPr>
        <w:t>履约担保金额为签约合同价的</w:t>
      </w:r>
      <w:r>
        <w:rPr>
          <w:rFonts w:hint="eastAsia" w:ascii="宋体" w:hAnsi="宋体"/>
          <w:color w:val="auto"/>
          <w:szCs w:val="22"/>
          <w:highlight w:val="none"/>
          <w:u w:val="single"/>
        </w:rPr>
        <w:t>1%</w:t>
      </w:r>
      <w:r>
        <w:rPr>
          <w:rFonts w:hint="eastAsia" w:ascii="宋体" w:hAnsi="宋体"/>
          <w:color w:val="auto"/>
          <w:szCs w:val="22"/>
          <w:highlight w:val="none"/>
        </w:rPr>
        <w:t>。</w:t>
      </w:r>
    </w:p>
    <w:p w14:paraId="0A19F622">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s="21"/>
          <w:color w:val="auto"/>
          <w:highlight w:val="none"/>
        </w:rPr>
        <w:t>履约担保形式为</w:t>
      </w:r>
      <w:r>
        <w:rPr>
          <w:rFonts w:hint="eastAsia"/>
          <w:color w:val="auto"/>
          <w:szCs w:val="21"/>
          <w:highlight w:val="none"/>
        </w:rPr>
        <w:t>银行转账、银行保函、担保保函</w:t>
      </w:r>
      <w:r>
        <w:rPr>
          <w:rFonts w:hint="eastAsia" w:ascii="宋体" w:hAnsi="宋体" w:cs="21"/>
          <w:color w:val="auto"/>
          <w:highlight w:val="none"/>
        </w:rPr>
        <w:t>。采用保函方式的，必须为不可撤销、见索即付。合同签订后14天内，乙方向甲方提供履约担保。如检测工作未完成，履约担保到期的，乙方须更换新的履约担保或延长履约担保有效期，直至全部检测工作验收合格。在乙方未更换新的履约担保或延长履约担保有效期前，甲方有权拒绝付款且不承担违约责任。</w:t>
      </w:r>
    </w:p>
    <w:p w14:paraId="21042376">
      <w:pPr>
        <w:spacing w:line="360" w:lineRule="auto"/>
        <w:ind w:firstLine="420" w:firstLineChars="200"/>
        <w:rPr>
          <w:rFonts w:hint="eastAsia" w:ascii="宋体" w:hAnsi="宋体"/>
          <w:color w:val="auto"/>
          <w:highlight w:val="none"/>
        </w:rPr>
      </w:pPr>
      <w:r>
        <w:rPr>
          <w:rFonts w:hint="eastAsia" w:ascii="宋体" w:hAnsi="宋体"/>
          <w:color w:val="auto"/>
          <w:highlight w:val="none"/>
        </w:rPr>
        <w:t>3.乙方完成全部检测、监测、观测工作，提交最终工作成果并经甲方验收合格后15日内无息退还。</w:t>
      </w:r>
    </w:p>
    <w:p w14:paraId="36D126AE">
      <w:pPr>
        <w:spacing w:line="360" w:lineRule="auto"/>
        <w:rPr>
          <w:rFonts w:hint="eastAsia" w:ascii="宋体" w:hAnsi="宋体"/>
          <w:color w:val="auto"/>
          <w:highlight w:val="none"/>
        </w:rPr>
      </w:pPr>
      <w:r>
        <w:rPr>
          <w:rFonts w:hint="eastAsia" w:ascii="宋体" w:hAnsi="宋体"/>
          <w:b/>
          <w:color w:val="auto"/>
          <w:highlight w:val="none"/>
        </w:rPr>
        <w:t>第九条 甲方权利与义务</w:t>
      </w:r>
    </w:p>
    <w:p w14:paraId="10C5BFA0">
      <w:pPr>
        <w:spacing w:line="360" w:lineRule="auto"/>
        <w:ind w:firstLine="420" w:firstLineChars="200"/>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.甲方授权</w:t>
      </w:r>
      <w:r>
        <w:rPr>
          <w:rFonts w:hint="eastAsia" w:ascii="宋体" w:hAnsi="宋体"/>
          <w:color w:val="auto"/>
          <w:highlight w:val="none"/>
          <w:u w:val="single"/>
        </w:rPr>
        <w:t>     </w:t>
      </w:r>
      <w:r>
        <w:rPr>
          <w:rFonts w:hint="eastAsia" w:ascii="宋体" w:hAnsi="宋体"/>
          <w:color w:val="auto"/>
          <w:highlight w:val="none"/>
        </w:rPr>
        <w:t>为代表，负责与乙方联系。如甲方代表发生变更，甲方应书面告知乙方。</w:t>
      </w:r>
    </w:p>
    <w:p w14:paraId="0D550B82">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.甲方应于检测活动开始前7日内向乙方提供与本检测、监测业务有关的资料及文件。</w:t>
      </w:r>
    </w:p>
    <w:p w14:paraId="12A73E6A">
      <w:pPr>
        <w:spacing w:line="360" w:lineRule="auto"/>
        <w:ind w:firstLine="420" w:firstLineChars="20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甲方在地块周边向乙方提供用电接口，由乙方自行接到所需位置。</w:t>
      </w:r>
    </w:p>
    <w:p w14:paraId="35122739">
      <w:pPr>
        <w:spacing w:line="360" w:lineRule="auto"/>
        <w:ind w:firstLine="420" w:firstLineChars="200"/>
        <w:rPr>
          <w:rFonts w:hint="eastAsia" w:ascii="宋体" w:hAnsi="宋体" w:cs="21"/>
          <w:color w:val="auto"/>
          <w:szCs w:val="22"/>
          <w:highlight w:val="none"/>
        </w:rPr>
      </w:pPr>
      <w:r>
        <w:rPr>
          <w:rFonts w:hint="eastAsia" w:ascii="宋体" w:hAnsi="宋体" w:cs="21"/>
          <w:color w:val="auto"/>
          <w:szCs w:val="22"/>
          <w:highlight w:val="none"/>
        </w:rPr>
        <w:t>4</w:t>
      </w:r>
      <w:r>
        <w:rPr>
          <w:rFonts w:ascii="宋体" w:hAnsi="宋体" w:cs="21"/>
          <w:color w:val="auto"/>
          <w:szCs w:val="22"/>
          <w:highlight w:val="none"/>
        </w:rPr>
        <w:t>.</w:t>
      </w:r>
      <w:r>
        <w:rPr>
          <w:rFonts w:hint="eastAsia" w:ascii="宋体" w:hAnsi="宋体" w:cs="21"/>
          <w:color w:val="auto"/>
          <w:szCs w:val="22"/>
          <w:highlight w:val="none"/>
        </w:rPr>
        <w:t>甲方</w:t>
      </w:r>
      <w:r>
        <w:rPr>
          <w:rFonts w:ascii="宋体" w:hAnsi="宋体" w:cs="21"/>
          <w:color w:val="auto"/>
          <w:szCs w:val="22"/>
          <w:highlight w:val="none"/>
        </w:rPr>
        <w:t>对本工程的各类检测</w:t>
      </w:r>
      <w:r>
        <w:rPr>
          <w:rFonts w:hint="eastAsia" w:ascii="宋体" w:hAnsi="宋体" w:cs="21"/>
          <w:color w:val="auto"/>
          <w:szCs w:val="22"/>
          <w:highlight w:val="none"/>
        </w:rPr>
        <w:t>、监测</w:t>
      </w:r>
      <w:r>
        <w:rPr>
          <w:rFonts w:ascii="宋体" w:hAnsi="宋体" w:cs="21"/>
          <w:color w:val="auto"/>
          <w:szCs w:val="22"/>
          <w:highlight w:val="none"/>
        </w:rPr>
        <w:t>数据有知情权，随时查询检测</w:t>
      </w:r>
      <w:r>
        <w:rPr>
          <w:rFonts w:hint="eastAsia" w:ascii="宋体" w:hAnsi="宋体" w:cs="21"/>
          <w:color w:val="auto"/>
          <w:szCs w:val="22"/>
          <w:highlight w:val="none"/>
        </w:rPr>
        <w:t>、监测</w:t>
      </w:r>
      <w:r>
        <w:rPr>
          <w:rFonts w:ascii="宋体" w:hAnsi="宋体" w:cs="21"/>
          <w:color w:val="auto"/>
          <w:szCs w:val="22"/>
          <w:highlight w:val="none"/>
        </w:rPr>
        <w:t>报告，有权委托其他</w:t>
      </w:r>
      <w:r>
        <w:rPr>
          <w:rFonts w:hint="eastAsia" w:ascii="宋体" w:hAnsi="宋体" w:cs="21"/>
          <w:color w:val="auto"/>
          <w:szCs w:val="22"/>
          <w:highlight w:val="none"/>
        </w:rPr>
        <w:t>服务</w:t>
      </w:r>
      <w:r>
        <w:rPr>
          <w:rFonts w:ascii="宋体" w:hAnsi="宋体" w:cs="21"/>
          <w:color w:val="auto"/>
          <w:szCs w:val="22"/>
          <w:highlight w:val="none"/>
        </w:rPr>
        <w:t>机构对检测</w:t>
      </w:r>
      <w:r>
        <w:rPr>
          <w:rFonts w:hint="eastAsia" w:ascii="宋体" w:hAnsi="宋体" w:cs="21"/>
          <w:color w:val="auto"/>
          <w:szCs w:val="22"/>
          <w:highlight w:val="none"/>
        </w:rPr>
        <w:t>监测</w:t>
      </w:r>
      <w:r>
        <w:rPr>
          <w:rFonts w:ascii="宋体" w:hAnsi="宋体" w:cs="21"/>
          <w:color w:val="auto"/>
          <w:szCs w:val="22"/>
          <w:highlight w:val="none"/>
        </w:rPr>
        <w:t>数据的真实性，科学性进行抽检。</w:t>
      </w:r>
    </w:p>
    <w:p w14:paraId="147790D3">
      <w:pPr>
        <w:spacing w:line="360" w:lineRule="auto"/>
        <w:ind w:firstLine="420" w:firstLineChars="200"/>
        <w:rPr>
          <w:rFonts w:hint="eastAsia" w:ascii="宋体" w:hAnsi="宋体"/>
          <w:color w:val="auto"/>
          <w:highlight w:val="none"/>
        </w:rPr>
      </w:pPr>
      <w:r>
        <w:rPr>
          <w:rFonts w:hint="eastAsia" w:ascii="宋体" w:hAnsi="宋体" w:cs="21"/>
          <w:color w:val="auto"/>
          <w:szCs w:val="22"/>
          <w:highlight w:val="none"/>
        </w:rPr>
        <w:t>5</w:t>
      </w:r>
      <w:r>
        <w:rPr>
          <w:rFonts w:ascii="宋体" w:hAnsi="宋体" w:cs="21"/>
          <w:color w:val="auto"/>
          <w:szCs w:val="22"/>
          <w:highlight w:val="none"/>
        </w:rPr>
        <w:t>.在工程施工过程中，若甲方认为乙方不能有效、及时、科学、准确提供服务时，有权中途解除合同。</w:t>
      </w:r>
    </w:p>
    <w:p w14:paraId="49FB9D55">
      <w:pPr>
        <w:spacing w:line="360" w:lineRule="auto"/>
        <w:ind w:firstLine="420" w:firstLineChars="200"/>
        <w:rPr>
          <w:rFonts w:hint="eastAsia" w:ascii="宋体" w:hAnsi="宋体"/>
          <w:color w:val="auto"/>
          <w:highlight w:val="none"/>
        </w:rPr>
      </w:pPr>
      <w:r>
        <w:rPr>
          <w:rFonts w:hint="eastAsia" w:ascii="宋体" w:hAnsi="宋体"/>
          <w:color w:val="auto"/>
          <w:highlight w:val="none"/>
        </w:rPr>
        <w:t>6.甲方不得以任何方式要求乙方出具虚假检测、监测报告。</w:t>
      </w:r>
    </w:p>
    <w:p w14:paraId="54CFA5F0">
      <w:pPr>
        <w:spacing w:line="360" w:lineRule="auto"/>
        <w:ind w:firstLine="420" w:firstLineChars="200"/>
        <w:rPr>
          <w:rFonts w:hint="eastAsia" w:ascii="宋体" w:hAnsi="宋体"/>
          <w:color w:val="auto"/>
          <w:highlight w:val="none"/>
        </w:rPr>
      </w:pPr>
      <w:r>
        <w:rPr>
          <w:rFonts w:hint="eastAsia" w:ascii="宋体" w:hAnsi="宋体"/>
          <w:color w:val="auto"/>
          <w:highlight w:val="none"/>
        </w:rPr>
        <w:t>7.甲方有权对乙方派出的机构与人员进行审查，并对其工作进行检查和监督；对不称职的、严重失职的、有故意或恶意违约行为的人员，甲方有权要求更换，乙方应在甲方指定的时间内更换具有同等资历人员，并应事先获得甲方的审查同意。</w:t>
      </w:r>
    </w:p>
    <w:p w14:paraId="3D1DBCC8">
      <w:pPr>
        <w:spacing w:line="360" w:lineRule="auto"/>
        <w:ind w:firstLine="420" w:firstLineChars="200"/>
        <w:rPr>
          <w:rFonts w:hint="eastAsia" w:ascii="宋体" w:hAnsi="宋体"/>
          <w:color w:val="auto"/>
          <w:highlight w:val="none"/>
        </w:rPr>
      </w:pPr>
      <w:r>
        <w:rPr>
          <w:rFonts w:hint="eastAsia" w:ascii="宋体" w:hAnsi="宋体"/>
          <w:color w:val="auto"/>
          <w:highlight w:val="none"/>
        </w:rPr>
        <w:t>8.本项目采用代建管理制，</w:t>
      </w:r>
      <w:r>
        <w:rPr>
          <w:rFonts w:hint="eastAsia" w:ascii="宋体" w:hAnsi="宋体"/>
          <w:color w:val="auto"/>
          <w:szCs w:val="21"/>
          <w:highlight w:val="none"/>
        </w:rPr>
        <w:t>代建人为</w:t>
      </w:r>
      <w:r>
        <w:rPr>
          <w:rFonts w:hint="eastAsia" w:ascii="宋体" w:hAnsi="宋体"/>
          <w:color w:val="auto"/>
          <w:szCs w:val="21"/>
          <w:highlight w:val="none"/>
          <w:u w:val="single"/>
        </w:rPr>
        <w:t xml:space="preserve"> </w:t>
      </w:r>
      <w:r>
        <w:rPr>
          <w:rFonts w:hint="eastAsia" w:ascii="宋体" w:hAnsi="宋体"/>
          <w:color w:val="auto"/>
          <w:highlight w:val="none"/>
          <w:u w:val="single"/>
        </w:rPr>
        <w:t>杭州市城市建设发展集团有限公司</w:t>
      </w:r>
      <w:r>
        <w:rPr>
          <w:rFonts w:hint="eastAsia" w:ascii="宋体" w:hAnsi="宋体"/>
          <w:color w:val="auto"/>
          <w:szCs w:val="21"/>
          <w:highlight w:val="none"/>
          <w:u w:val="single"/>
        </w:rPr>
        <w:t xml:space="preserve"> </w:t>
      </w:r>
      <w:r>
        <w:rPr>
          <w:rFonts w:hint="eastAsia" w:ascii="宋体" w:hAnsi="宋体"/>
          <w:color w:val="auto"/>
          <w:szCs w:val="21"/>
          <w:highlight w:val="none"/>
        </w:rPr>
        <w:t>。乙方</w:t>
      </w:r>
      <w:r>
        <w:rPr>
          <w:rFonts w:hint="eastAsia" w:ascii="宋体" w:hAnsi="宋体"/>
          <w:color w:val="auto"/>
          <w:szCs w:val="28"/>
          <w:highlight w:val="none"/>
        </w:rPr>
        <w:t>需无条件配合代建人管理。本工程中所有由乙方提交甲方或需甲方签署的报表、计划、会议纪要、变更等与本工程相关的全部资料，均需首先提交给代建人，并按代建委托合同约定的审批程序执行。</w:t>
      </w:r>
    </w:p>
    <w:p w14:paraId="38E02145">
      <w:pPr>
        <w:spacing w:line="360" w:lineRule="auto"/>
        <w:rPr>
          <w:rFonts w:hint="eastAsia" w:ascii="宋体" w:hAnsi="宋体"/>
          <w:color w:val="auto"/>
          <w:highlight w:val="none"/>
        </w:rPr>
      </w:pPr>
      <w:r>
        <w:rPr>
          <w:rFonts w:hint="eastAsia" w:ascii="宋体" w:hAnsi="宋体"/>
          <w:b/>
          <w:color w:val="auto"/>
          <w:highlight w:val="none"/>
        </w:rPr>
        <w:t>第十条 乙方权利与义务</w:t>
      </w:r>
    </w:p>
    <w:p w14:paraId="09691B07">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乙方项目负责人</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，代表乙方履行本合同全部义务并全权处理本合同相关事宜。</w:t>
      </w:r>
    </w:p>
    <w:p w14:paraId="203E8F8C">
      <w:pPr>
        <w:spacing w:line="360" w:lineRule="auto"/>
        <w:ind w:firstLine="420" w:firstLineChars="200"/>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乙方应向甲方提供与本工程检测、监测业务有关的资料，包括资质证书复印件。</w:t>
      </w:r>
    </w:p>
    <w:p w14:paraId="1B15A396">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乙方收到甲方提供的资料及文件等工作依据后，应仔细审查，如发现任何错误、失误或缺陷，应在发现后24小时内以书面形式通知甲方，否则自行承担相应不利后果。</w:t>
      </w:r>
    </w:p>
    <w:p w14:paraId="28316E09">
      <w:pPr>
        <w:spacing w:line="360" w:lineRule="auto"/>
        <w:ind w:firstLine="420" w:firstLineChars="200"/>
        <w:rPr>
          <w:rFonts w:hint="eastAsia" w:ascii="宋体" w:hAnsi="宋体"/>
          <w:color w:val="auto"/>
          <w:highlight w:val="none"/>
        </w:rPr>
      </w:pPr>
      <w:r>
        <w:rPr>
          <w:rFonts w:ascii="宋体" w:hAnsi="宋体"/>
          <w:color w:val="auto"/>
          <w:highlight w:val="none"/>
        </w:rPr>
        <w:t>4.</w:t>
      </w:r>
      <w:r>
        <w:rPr>
          <w:rFonts w:hint="eastAsia" w:ascii="宋体" w:hAnsi="宋体"/>
          <w:color w:val="auto"/>
          <w:highlight w:val="none"/>
        </w:rPr>
        <w:t>乙方不得超出资质范围承担检测业务。</w:t>
      </w:r>
    </w:p>
    <w:p w14:paraId="0B57201F">
      <w:pPr>
        <w:spacing w:line="360" w:lineRule="auto"/>
        <w:ind w:firstLine="420" w:firstLineChars="200"/>
        <w:rPr>
          <w:rFonts w:hint="eastAsia" w:ascii="宋体" w:hAnsi="宋体"/>
          <w:color w:val="auto"/>
          <w:highlight w:val="none"/>
        </w:rPr>
      </w:pPr>
      <w:r>
        <w:rPr>
          <w:rFonts w:hint="eastAsia" w:ascii="宋体" w:hAnsi="宋体"/>
          <w:color w:val="auto"/>
          <w:highlight w:val="none"/>
        </w:rPr>
        <w:t>5.乙方应按国家、行业、地方技术规范、标准、规程和甲方的委托任务及技术要求进行工程检测、监测及其他服务，向甲方提交成果资料，并对其质量负责。如遇规范、标准、规定对同一问题的处理出现相互矛盾的情况时，乙方应及时通知甲方，甲方批准后方可执行。</w:t>
      </w:r>
    </w:p>
    <w:p w14:paraId="2877F85D">
      <w:pPr>
        <w:spacing w:line="360" w:lineRule="auto"/>
        <w:ind w:firstLine="420" w:firstLineChars="200"/>
        <w:rPr>
          <w:rFonts w:hint="eastAsia" w:ascii="宋体" w:hAnsi="宋体"/>
          <w:color w:val="auto"/>
          <w:highlight w:val="none"/>
        </w:rPr>
      </w:pPr>
      <w:r>
        <w:rPr>
          <w:rFonts w:hint="eastAsia" w:ascii="宋体" w:hAnsi="宋体"/>
          <w:color w:val="auto"/>
          <w:highlight w:val="none"/>
        </w:rPr>
        <w:t>6.乙方应事先编制实施方案报送甲方、代建人和监理，经甲方、代建人和监理批准后在工作中切实执行，并受其约束；实施方案将作为甲方、代建人和监理检查、监督和验收检测工作的依据。</w:t>
      </w:r>
    </w:p>
    <w:p w14:paraId="1D7FDCFB">
      <w:pPr>
        <w:spacing w:line="360" w:lineRule="auto"/>
        <w:ind w:firstLine="420" w:firstLineChars="200"/>
        <w:rPr>
          <w:rFonts w:hint="eastAsia" w:ascii="宋体" w:hAnsi="宋体"/>
          <w:color w:val="auto"/>
          <w:highlight w:val="none"/>
        </w:rPr>
      </w:pPr>
      <w:r>
        <w:rPr>
          <w:rFonts w:hint="eastAsia" w:ascii="宋体" w:hAnsi="宋体"/>
          <w:color w:val="auto"/>
          <w:highlight w:val="none"/>
        </w:rPr>
        <w:t>7.乙方应在甲方通知的日期进场开展桩基检测活动。</w:t>
      </w:r>
      <w:r>
        <w:rPr>
          <w:rFonts w:ascii="宋体" w:hAnsi="宋体" w:cs="21"/>
          <w:color w:val="auto"/>
          <w:kern w:val="0"/>
          <w:szCs w:val="22"/>
          <w:highlight w:val="none"/>
        </w:rPr>
        <w:t>现场检测完毕后5日内</w:t>
      </w:r>
      <w:r>
        <w:rPr>
          <w:rFonts w:hint="eastAsia" w:ascii="宋体" w:hAnsi="宋体"/>
          <w:color w:val="auto"/>
          <w:highlight w:val="none"/>
        </w:rPr>
        <w:t>，</w:t>
      </w:r>
      <w:r>
        <w:rPr>
          <w:rFonts w:ascii="宋体" w:hAnsi="宋体" w:cs="21"/>
          <w:color w:val="auto"/>
          <w:kern w:val="0"/>
          <w:szCs w:val="22"/>
          <w:highlight w:val="none"/>
        </w:rPr>
        <w:t xml:space="preserve">乙方交付检测报告一式 </w:t>
      </w:r>
      <w:r>
        <w:rPr>
          <w:rFonts w:ascii="宋体" w:hAnsi="宋体" w:cs="21"/>
          <w:color w:val="auto"/>
          <w:kern w:val="0"/>
          <w:szCs w:val="22"/>
          <w:highlight w:val="none"/>
          <w:u w:val="single"/>
        </w:rPr>
        <w:t xml:space="preserve"> </w:t>
      </w:r>
      <w:r>
        <w:rPr>
          <w:rFonts w:hint="eastAsia" w:ascii="宋体" w:hAnsi="宋体" w:cs="21"/>
          <w:color w:val="auto"/>
          <w:kern w:val="0"/>
          <w:szCs w:val="22"/>
          <w:highlight w:val="none"/>
          <w:u w:val="single"/>
        </w:rPr>
        <w:t>10</w:t>
      </w:r>
      <w:r>
        <w:rPr>
          <w:rFonts w:ascii="宋体" w:hAnsi="宋体" w:cs="21"/>
          <w:color w:val="auto"/>
          <w:kern w:val="0"/>
          <w:szCs w:val="22"/>
          <w:highlight w:val="none"/>
          <w:u w:val="single"/>
        </w:rPr>
        <w:t xml:space="preserve"> </w:t>
      </w:r>
      <w:r>
        <w:rPr>
          <w:rFonts w:ascii="宋体" w:hAnsi="宋体" w:cs="21"/>
          <w:color w:val="auto"/>
          <w:kern w:val="0"/>
          <w:szCs w:val="22"/>
          <w:highlight w:val="none"/>
        </w:rPr>
        <w:t>份</w:t>
      </w:r>
      <w:r>
        <w:rPr>
          <w:rFonts w:hint="eastAsia" w:ascii="宋体" w:hAnsi="宋体" w:cs="21"/>
          <w:color w:val="auto"/>
          <w:szCs w:val="22"/>
          <w:highlight w:val="none"/>
        </w:rPr>
        <w:t>（</w:t>
      </w:r>
      <w:r>
        <w:rPr>
          <w:rFonts w:ascii="宋体" w:hAnsi="宋体" w:cs="21"/>
          <w:color w:val="auto"/>
          <w:kern w:val="0"/>
          <w:szCs w:val="22"/>
          <w:highlight w:val="none"/>
        </w:rPr>
        <w:t>检测有不合格的项目交付</w:t>
      </w:r>
      <w:r>
        <w:rPr>
          <w:rFonts w:hint="eastAsia" w:ascii="宋体" w:hAnsi="宋体" w:cs="21"/>
          <w:color w:val="auto"/>
          <w:szCs w:val="22"/>
          <w:highlight w:val="none"/>
          <w:u w:val="single"/>
        </w:rPr>
        <w:t xml:space="preserve"> 8</w:t>
      </w:r>
      <w:r>
        <w:rPr>
          <w:rFonts w:ascii="宋体" w:hAnsi="宋体" w:cs="21"/>
          <w:color w:val="auto"/>
          <w:szCs w:val="22"/>
          <w:highlight w:val="none"/>
          <w:u w:val="single"/>
        </w:rPr>
        <w:t xml:space="preserve"> </w:t>
      </w:r>
      <w:r>
        <w:rPr>
          <w:rFonts w:ascii="宋体" w:hAnsi="宋体" w:cs="21"/>
          <w:color w:val="auto"/>
          <w:kern w:val="0"/>
          <w:szCs w:val="22"/>
          <w:highlight w:val="none"/>
        </w:rPr>
        <w:t>份</w:t>
      </w:r>
      <w:r>
        <w:rPr>
          <w:rFonts w:hint="eastAsia" w:ascii="宋体" w:hAnsi="宋体" w:cs="21"/>
          <w:color w:val="auto"/>
          <w:szCs w:val="22"/>
          <w:highlight w:val="none"/>
        </w:rPr>
        <w:t>）</w:t>
      </w:r>
      <w:r>
        <w:rPr>
          <w:rFonts w:ascii="宋体" w:hAnsi="宋体" w:cs="21"/>
          <w:color w:val="auto"/>
          <w:kern w:val="0"/>
          <w:szCs w:val="22"/>
          <w:highlight w:val="none"/>
        </w:rPr>
        <w:t>。</w:t>
      </w:r>
      <w:r>
        <w:rPr>
          <w:rFonts w:hint="eastAsia" w:ascii="宋体" w:hAnsi="宋体" w:cs="21"/>
          <w:color w:val="auto"/>
          <w:kern w:val="0"/>
          <w:szCs w:val="22"/>
          <w:highlight w:val="none"/>
        </w:rPr>
        <w:t>检测报告的形式和内容需满足国家规范要求。</w:t>
      </w:r>
    </w:p>
    <w:p w14:paraId="4D4D50D1">
      <w:pPr>
        <w:spacing w:line="360" w:lineRule="auto"/>
        <w:ind w:firstLine="420" w:firstLineChars="200"/>
        <w:rPr>
          <w:rFonts w:hint="eastAsia" w:ascii="宋体" w:hAnsi="宋体"/>
          <w:color w:val="auto"/>
          <w:highlight w:val="none"/>
        </w:rPr>
      </w:pPr>
      <w:r>
        <w:rPr>
          <w:rFonts w:hint="eastAsia" w:ascii="宋体" w:hAnsi="宋体"/>
          <w:color w:val="auto"/>
          <w:highlight w:val="none"/>
        </w:rPr>
        <w:t>8.乙方在布点监测前应对周边情况进行详细排查，如作业造成其他建筑物、构筑物、地下管线等损坏，所产生的一切损失均由乙方承担。</w:t>
      </w:r>
    </w:p>
    <w:p w14:paraId="2A222E48">
      <w:pPr>
        <w:spacing w:line="360" w:lineRule="auto"/>
        <w:ind w:firstLine="420" w:firstLineChars="200"/>
        <w:rPr>
          <w:rFonts w:hint="eastAsia" w:ascii="宋体" w:hAnsi="宋体"/>
          <w:color w:val="auto"/>
          <w:highlight w:val="none"/>
        </w:rPr>
      </w:pPr>
      <w:r>
        <w:rPr>
          <w:rFonts w:hint="eastAsia" w:ascii="宋体" w:hAnsi="宋体"/>
          <w:color w:val="auto"/>
          <w:highlight w:val="none"/>
        </w:rPr>
        <w:t>9.监测及观测成果必须及时上报，中间和正式的报告按甲方、代建人要求及时提供，其提交份数、格式、签字盖章、原始记录和附件均按甲方、代建人要求执行。</w:t>
      </w:r>
    </w:p>
    <w:p w14:paraId="7C563726">
      <w:pPr>
        <w:spacing w:line="360" w:lineRule="auto"/>
        <w:ind w:firstLine="420" w:firstLineChars="200"/>
        <w:rPr>
          <w:rFonts w:hint="eastAsia" w:ascii="宋体" w:hAnsi="宋体"/>
          <w:color w:val="auto"/>
          <w:highlight w:val="none"/>
        </w:rPr>
      </w:pPr>
      <w:r>
        <w:rPr>
          <w:rFonts w:hint="eastAsia" w:ascii="宋体" w:hAnsi="宋体"/>
          <w:color w:val="auto"/>
          <w:highlight w:val="none"/>
        </w:rPr>
        <w:t>10.按甲方、代建人信息化管理要求，配置有关设备和人员，及时监测有关数据，监测结束向甲方、代建人书面报送结果报告，对监测中发现的质量缺陷和工程隐患在第一时间内报甲方、代建人和监理，并且不得超过12小时。</w:t>
      </w:r>
    </w:p>
    <w:p w14:paraId="128EB973">
      <w:pPr>
        <w:spacing w:line="360" w:lineRule="auto"/>
        <w:ind w:firstLine="420" w:firstLineChars="200"/>
        <w:rPr>
          <w:rFonts w:hint="eastAsia" w:ascii="宋体" w:hAnsi="宋体"/>
          <w:color w:val="auto"/>
          <w:highlight w:val="none"/>
        </w:rPr>
      </w:pPr>
      <w:r>
        <w:rPr>
          <w:rFonts w:hint="eastAsia" w:ascii="宋体" w:hAnsi="宋体"/>
          <w:color w:val="auto"/>
          <w:highlight w:val="none"/>
        </w:rPr>
        <w:t>11</w:t>
      </w:r>
      <w:r>
        <w:rPr>
          <w:rFonts w:ascii="宋体" w:hAnsi="宋体"/>
          <w:color w:val="auto"/>
          <w:highlight w:val="none"/>
        </w:rPr>
        <w:t>.</w:t>
      </w:r>
      <w:r>
        <w:rPr>
          <w:rFonts w:hint="eastAsia" w:ascii="宋体" w:hAnsi="宋体"/>
          <w:color w:val="auto"/>
          <w:highlight w:val="none"/>
        </w:rPr>
        <w:t>乙方现场服务时应遵守工程安全管理及其他工程现场管理制度。做好工作现场保卫和环卫工作，并按甲方提出的保护要求（措施），保护好工作现场周围的建（构）筑物、古树、名木和地下管线（管道）、文物等。因工作需要用作办公、生活设施的临时用房，自行搭建或承租，费用已计入签约合同价。</w:t>
      </w:r>
    </w:p>
    <w:p w14:paraId="086D2202">
      <w:pPr>
        <w:spacing w:line="360" w:lineRule="auto"/>
        <w:ind w:firstLine="420" w:firstLineChars="200"/>
        <w:rPr>
          <w:rFonts w:hint="eastAsia" w:ascii="宋体" w:hAnsi="宋体"/>
          <w:color w:val="auto"/>
          <w:highlight w:val="none"/>
        </w:rPr>
      </w:pPr>
      <w:r>
        <w:rPr>
          <w:rFonts w:hint="eastAsia" w:ascii="宋体" w:hAnsi="宋体"/>
          <w:color w:val="auto"/>
          <w:highlight w:val="none"/>
        </w:rPr>
        <w:t>12.乙方应充分考虑服务期间产生的噪音、扬尘、震动、占地、通行、光线等对第三人或邻近建（构）筑物、管线及其他设施安全与正常使用的影响及其扰民费用，由此产生的民扰对工程的影响及其费用，并已包含于合同价格中；因上述扰民或民扰行为引发的人身伤亡、罚款、索赔、赔偿、诉讼费和其它费等，由乙方自行承担。</w:t>
      </w:r>
    </w:p>
    <w:p w14:paraId="5DBE672A">
      <w:pPr>
        <w:spacing w:line="360" w:lineRule="auto"/>
        <w:ind w:firstLine="420" w:firstLineChars="200"/>
        <w:rPr>
          <w:rFonts w:hint="eastAsia" w:ascii="宋体" w:hAnsi="宋体"/>
          <w:color w:val="auto"/>
          <w:highlight w:val="none"/>
        </w:rPr>
      </w:pPr>
      <w:r>
        <w:rPr>
          <w:rFonts w:ascii="宋体" w:hAnsi="宋体" w:cs="21"/>
          <w:color w:val="auto"/>
          <w:szCs w:val="22"/>
          <w:highlight w:val="none"/>
        </w:rPr>
        <w:t>1</w:t>
      </w:r>
      <w:r>
        <w:rPr>
          <w:rFonts w:hint="eastAsia" w:ascii="宋体" w:hAnsi="宋体" w:cs="21"/>
          <w:color w:val="auto"/>
          <w:szCs w:val="22"/>
          <w:highlight w:val="none"/>
        </w:rPr>
        <w:t>3</w:t>
      </w:r>
      <w:r>
        <w:rPr>
          <w:rFonts w:ascii="宋体" w:hAnsi="宋体" w:cs="21"/>
          <w:color w:val="auto"/>
          <w:szCs w:val="22"/>
          <w:highlight w:val="none"/>
        </w:rPr>
        <w:t>.</w:t>
      </w:r>
      <w:r>
        <w:rPr>
          <w:rFonts w:ascii="宋体" w:hAnsi="宋体" w:cs="21"/>
          <w:color w:val="auto"/>
          <w:kern w:val="0"/>
          <w:szCs w:val="22"/>
          <w:highlight w:val="none"/>
        </w:rPr>
        <w:t>乙方对出具给甲方的检测报告真实性、准确性负责，不得向甲方出具未经检测或虚假的检测报告。</w:t>
      </w:r>
    </w:p>
    <w:p w14:paraId="6C889830">
      <w:pPr>
        <w:spacing w:line="360" w:lineRule="auto"/>
        <w:ind w:firstLine="420" w:firstLineChars="200"/>
        <w:rPr>
          <w:rFonts w:hint="eastAsia" w:ascii="宋体" w:hAnsi="宋体" w:cs="21"/>
          <w:color w:val="auto"/>
          <w:szCs w:val="22"/>
          <w:highlight w:val="none"/>
        </w:rPr>
      </w:pPr>
      <w:r>
        <w:rPr>
          <w:rFonts w:ascii="宋体" w:hAnsi="宋体"/>
          <w:color w:val="auto"/>
          <w:highlight w:val="none"/>
        </w:rPr>
        <w:t>1</w:t>
      </w:r>
      <w:r>
        <w:rPr>
          <w:rFonts w:hint="eastAsia" w:ascii="宋体" w:hAnsi="宋体"/>
          <w:color w:val="auto"/>
          <w:highlight w:val="none"/>
        </w:rPr>
        <w:t>4</w:t>
      </w:r>
      <w:r>
        <w:rPr>
          <w:rFonts w:ascii="宋体" w:hAnsi="宋体"/>
          <w:color w:val="auto"/>
          <w:highlight w:val="none"/>
        </w:rPr>
        <w:t>.</w:t>
      </w:r>
      <w:r>
        <w:rPr>
          <w:rFonts w:ascii="宋体" w:hAnsi="宋体" w:cs="21"/>
          <w:color w:val="auto"/>
          <w:kern w:val="0"/>
          <w:szCs w:val="22"/>
          <w:highlight w:val="none"/>
        </w:rPr>
        <w:t>乙方派</w:t>
      </w:r>
      <w:r>
        <w:rPr>
          <w:rFonts w:hint="eastAsia" w:ascii="宋体" w:hAnsi="宋体" w:cs="21"/>
          <w:color w:val="auto"/>
          <w:kern w:val="0"/>
          <w:szCs w:val="22"/>
          <w:highlight w:val="none"/>
        </w:rPr>
        <w:t>出</w:t>
      </w:r>
      <w:r>
        <w:rPr>
          <w:rFonts w:ascii="宋体" w:hAnsi="宋体" w:cs="21"/>
          <w:color w:val="auto"/>
          <w:kern w:val="0"/>
          <w:szCs w:val="22"/>
          <w:highlight w:val="none"/>
        </w:rPr>
        <w:t>的检测人员</w:t>
      </w:r>
      <w:r>
        <w:rPr>
          <w:rFonts w:hint="eastAsia" w:ascii="宋体" w:hAnsi="宋体"/>
          <w:color w:val="auto"/>
          <w:highlight w:val="none"/>
        </w:rPr>
        <w:t>应持证</w:t>
      </w:r>
      <w:r>
        <w:rPr>
          <w:rFonts w:ascii="宋体" w:hAnsi="宋体" w:cs="21"/>
          <w:color w:val="auto"/>
          <w:kern w:val="0"/>
          <w:szCs w:val="22"/>
          <w:highlight w:val="none"/>
        </w:rPr>
        <w:t>上</w:t>
      </w:r>
      <w:r>
        <w:rPr>
          <w:rFonts w:hint="eastAsia" w:ascii="宋体" w:hAnsi="宋体" w:cs="21"/>
          <w:color w:val="auto"/>
          <w:szCs w:val="22"/>
          <w:highlight w:val="none"/>
        </w:rPr>
        <w:t>岗，非经甲方书面同意，在合同履行期间不得擅自更换。乙方应当按此要求组织人员到位，及时进行检测工作，并在服务期内保持人员稳定。</w:t>
      </w:r>
    </w:p>
    <w:p w14:paraId="4F4352C9">
      <w:pPr>
        <w:spacing w:line="360" w:lineRule="auto"/>
        <w:ind w:firstLine="420" w:firstLineChars="200"/>
        <w:rPr>
          <w:rFonts w:hint="eastAsia" w:ascii="宋体" w:hAnsi="宋体" w:cs="21"/>
          <w:color w:val="auto"/>
          <w:szCs w:val="22"/>
          <w:highlight w:val="none"/>
        </w:rPr>
      </w:pPr>
      <w:r>
        <w:rPr>
          <w:rFonts w:hint="eastAsia" w:ascii="宋体" w:hAnsi="宋体" w:cs="21"/>
          <w:color w:val="auto"/>
          <w:szCs w:val="22"/>
          <w:highlight w:val="none"/>
        </w:rPr>
        <w:t>15</w:t>
      </w:r>
      <w:r>
        <w:rPr>
          <w:rFonts w:ascii="宋体" w:hAnsi="宋体" w:cs="21"/>
          <w:color w:val="auto"/>
          <w:szCs w:val="22"/>
          <w:highlight w:val="none"/>
        </w:rPr>
        <w:t>.对甲方的技术进行保密。</w:t>
      </w:r>
    </w:p>
    <w:p w14:paraId="64CBD1D8">
      <w:pPr>
        <w:spacing w:line="360" w:lineRule="auto"/>
        <w:ind w:firstLine="420" w:firstLineChars="200"/>
        <w:rPr>
          <w:rFonts w:hint="eastAsia" w:ascii="宋体" w:hAnsi="宋体" w:cs="21"/>
          <w:color w:val="auto"/>
          <w:szCs w:val="22"/>
          <w:highlight w:val="none"/>
        </w:rPr>
      </w:pPr>
      <w:r>
        <w:rPr>
          <w:rFonts w:hint="eastAsia" w:ascii="宋体" w:hAnsi="宋体" w:cs="21"/>
          <w:color w:val="auto"/>
          <w:szCs w:val="22"/>
          <w:highlight w:val="none"/>
        </w:rPr>
        <w:t>16.服务期间，因乙方原因造成的人员伤亡或其他安全事故所</w:t>
      </w:r>
      <w:r>
        <w:rPr>
          <w:rFonts w:hint="eastAsia" w:ascii="宋体" w:hAnsi="宋体"/>
          <w:color w:val="auto"/>
          <w:highlight w:val="none"/>
        </w:rPr>
        <w:t>引发的责任和相关费用，由乙方自行承担</w:t>
      </w:r>
      <w:r>
        <w:rPr>
          <w:rFonts w:hint="eastAsia" w:ascii="宋体" w:hAnsi="宋体"/>
          <w:color w:val="auto"/>
          <w:highlight w:val="none"/>
        </w:rPr>
        <w:t>，如造成甲方损失的，由乙方全额承担。</w:t>
      </w:r>
    </w:p>
    <w:p w14:paraId="7A3E29BA">
      <w:pPr>
        <w:spacing w:line="360" w:lineRule="auto"/>
        <w:rPr>
          <w:rFonts w:hint="eastAsia" w:ascii="宋体" w:hAnsi="宋体"/>
          <w:color w:val="auto"/>
          <w:highlight w:val="none"/>
        </w:rPr>
      </w:pPr>
      <w:r>
        <w:rPr>
          <w:rFonts w:hint="eastAsia" w:ascii="宋体" w:hAnsi="宋体"/>
          <w:b/>
          <w:color w:val="auto"/>
          <w:highlight w:val="none"/>
        </w:rPr>
        <w:t>第十一条 对检测结论异议的处理</w:t>
      </w:r>
    </w:p>
    <w:p w14:paraId="3DD3B1BE">
      <w:pPr>
        <w:spacing w:line="360" w:lineRule="auto"/>
        <w:ind w:firstLine="420" w:firstLineChars="200"/>
        <w:rPr>
          <w:rFonts w:hint="eastAsia" w:ascii="宋体" w:hAnsi="宋体"/>
          <w:color w:val="auto"/>
          <w:highlight w:val="none"/>
        </w:rPr>
      </w:pPr>
      <w:r>
        <w:rPr>
          <w:rFonts w:hint="eastAsia" w:ascii="宋体" w:hAnsi="宋体"/>
          <w:color w:val="auto"/>
          <w:highlight w:val="none"/>
        </w:rPr>
        <w:t>甲方对检测结论有异议的，可由双方共同认可的检测机构复检；但甲方认为出现异常检测结果时，可单方面委托第三方检测机构复检。复检结论与原检测结论相同，由甲方承担复检费用；反之，则由乙方承担复检费用。对复检结论仍有异议的，可向建设主管部门申请专家论证解决，如产生专家论证费用，由最终责任方承担。</w:t>
      </w:r>
      <w:r>
        <w:rPr>
          <w:rFonts w:hint="eastAsia" w:ascii="宋体" w:hAnsi="宋体"/>
          <w:color w:val="auto"/>
          <w:highlight w:val="none"/>
        </w:rPr>
        <w:t>如因乙方责任的，乙方还应承担由此导致的全部损失。</w:t>
      </w:r>
    </w:p>
    <w:p w14:paraId="7D569286">
      <w:pPr>
        <w:spacing w:line="360" w:lineRule="auto"/>
        <w:rPr>
          <w:rFonts w:hint="eastAsia" w:ascii="宋体" w:hAnsi="宋体"/>
          <w:color w:val="auto"/>
          <w:highlight w:val="none"/>
        </w:rPr>
      </w:pPr>
      <w:r>
        <w:rPr>
          <w:rFonts w:hint="eastAsia" w:ascii="宋体" w:hAnsi="宋体"/>
          <w:b/>
          <w:color w:val="auto"/>
          <w:highlight w:val="none"/>
        </w:rPr>
        <w:t>第十二条 分包</w:t>
      </w:r>
    </w:p>
    <w:p w14:paraId="7D4009F9">
      <w:pPr>
        <w:spacing w:line="360" w:lineRule="auto"/>
        <w:ind w:firstLine="420" w:firstLineChars="200"/>
        <w:rPr>
          <w:rFonts w:hint="eastAsia" w:ascii="宋体" w:hAnsi="宋体"/>
          <w:color w:val="auto"/>
          <w:highlight w:val="none"/>
        </w:rPr>
      </w:pPr>
      <w:r>
        <w:rPr>
          <w:rFonts w:hint="eastAsia" w:ascii="宋体" w:hAnsi="宋体"/>
          <w:color w:val="auto"/>
          <w:highlight w:val="none"/>
        </w:rPr>
        <w:t>乙方不得转包、分包合同内的任何一项服务。</w:t>
      </w:r>
    </w:p>
    <w:p w14:paraId="1CCB99DC">
      <w:pPr>
        <w:spacing w:line="360" w:lineRule="auto"/>
        <w:rPr>
          <w:rFonts w:hint="eastAsia" w:ascii="宋体" w:hAnsi="宋体"/>
          <w:color w:val="auto"/>
          <w:highlight w:val="none"/>
        </w:rPr>
      </w:pPr>
      <w:r>
        <w:rPr>
          <w:rFonts w:hint="eastAsia" w:ascii="宋体" w:hAnsi="宋体"/>
          <w:b/>
          <w:color w:val="auto"/>
          <w:highlight w:val="none"/>
        </w:rPr>
        <w:t>第十三条 违约责任</w:t>
      </w:r>
    </w:p>
    <w:p w14:paraId="49DA3EE6">
      <w:pPr>
        <w:spacing w:line="360" w:lineRule="auto"/>
        <w:ind w:firstLine="420" w:firstLineChars="200"/>
        <w:rPr>
          <w:rFonts w:hint="eastAsia" w:ascii="宋体" w:hAnsi="宋体"/>
          <w:color w:val="auto"/>
          <w:highlight w:val="none"/>
        </w:rPr>
      </w:pPr>
      <w:r>
        <w:rPr>
          <w:rFonts w:hint="eastAsia" w:ascii="宋体" w:hAnsi="宋体"/>
          <w:color w:val="auto"/>
          <w:highlight w:val="none"/>
        </w:rPr>
        <w:t>1.乙方违反法律、法规和工程建设强制性标准，甲方有权不予支付合同款，已支付的款项由乙方全额退回，并由乙方按照签约合同价30%承担违约金，如违约金金额不足以弥补甲方损失的，乙方还应予以另行赔偿，且甲方有权解除本合同。</w:t>
      </w:r>
    </w:p>
    <w:p w14:paraId="54ABDD50">
      <w:pPr>
        <w:spacing w:line="360" w:lineRule="auto"/>
        <w:ind w:firstLine="420" w:firstLineChars="200"/>
        <w:rPr>
          <w:rFonts w:hint="eastAsia" w:ascii="宋体" w:hAnsi="宋体"/>
          <w:color w:val="auto"/>
          <w:highlight w:val="none"/>
        </w:rPr>
      </w:pPr>
      <w:r>
        <w:rPr>
          <w:rFonts w:hint="eastAsia" w:ascii="宋体" w:hAnsi="宋体"/>
          <w:color w:val="auto"/>
          <w:highlight w:val="none"/>
        </w:rPr>
        <w:t>2.乙方未按照甲方通知的日期进场开展桩基检测、监测、观测活动或未按照合同约定时间提交检测、监测、观测报告或未履行合同主要义务的，每逾期一日应向甲方支付违约金人民币5</w:t>
      </w:r>
      <w:r>
        <w:rPr>
          <w:rFonts w:ascii="宋体" w:hAnsi="宋体"/>
          <w:color w:val="auto"/>
          <w:highlight w:val="none"/>
        </w:rPr>
        <w:t>00</w:t>
      </w:r>
      <w:r>
        <w:rPr>
          <w:rFonts w:hint="eastAsia" w:ascii="宋体" w:hAnsi="宋体"/>
          <w:color w:val="auto"/>
          <w:highlight w:val="none"/>
        </w:rPr>
        <w:t>元，如逾期满30日，甲方有权解除本合同，按乙方已完成的合格服务内容按实结算服务费，并由乙方按照签约合同价30%承担违约金，如违约金金额不足以弥补甲方损失的，乙方还应予以另行赔偿。</w:t>
      </w:r>
    </w:p>
    <w:p w14:paraId="60562525">
      <w:pPr>
        <w:spacing w:line="360" w:lineRule="auto"/>
        <w:ind w:firstLine="420" w:firstLineChars="200"/>
        <w:rPr>
          <w:rFonts w:hint="eastAsia" w:ascii="宋体" w:hAnsi="宋体" w:cs="21"/>
          <w:color w:val="auto"/>
          <w:highlight w:val="none"/>
        </w:rPr>
      </w:pPr>
      <w:r>
        <w:rPr>
          <w:rFonts w:hint="eastAsia" w:ascii="宋体" w:hAnsi="宋体"/>
          <w:color w:val="auto"/>
          <w:highlight w:val="none"/>
        </w:rPr>
        <w:t>3.乙方未经甲方同意，擅自更换项目负责人的，每发生一次，乙方应向甲方支付5万元违约金，并及时按甲方要求整改</w:t>
      </w:r>
      <w:r>
        <w:rPr>
          <w:rFonts w:hint="eastAsia" w:ascii="宋体" w:hAnsi="宋体"/>
          <w:color w:val="auto"/>
          <w:highlight w:val="none"/>
        </w:rPr>
        <w:t>，如未整改，甲方有权解除合同。</w:t>
      </w:r>
    </w:p>
    <w:p w14:paraId="63DBE989">
      <w:pPr>
        <w:spacing w:line="360" w:lineRule="auto"/>
        <w:ind w:firstLine="420" w:firstLineChars="200"/>
        <w:rPr>
          <w:rFonts w:hint="eastAsia" w:ascii="宋体" w:hAnsi="宋体"/>
          <w:color w:val="auto"/>
          <w:highlight w:val="none"/>
        </w:rPr>
      </w:pPr>
      <w:r>
        <w:rPr>
          <w:rFonts w:hint="eastAsia" w:ascii="宋体" w:hAnsi="宋体" w:cs="21"/>
          <w:color w:val="auto"/>
          <w:highlight w:val="none"/>
        </w:rPr>
        <w:t>4</w:t>
      </w:r>
      <w:r>
        <w:rPr>
          <w:rFonts w:ascii="宋体" w:hAnsi="宋体" w:cs="21"/>
          <w:color w:val="auto"/>
          <w:highlight w:val="none"/>
        </w:rPr>
        <w:t>.</w:t>
      </w:r>
      <w:r>
        <w:rPr>
          <w:rFonts w:hint="eastAsia" w:ascii="宋体" w:hAnsi="宋体" w:cs="21"/>
          <w:color w:val="auto"/>
          <w:highlight w:val="none"/>
        </w:rPr>
        <w:t>甲方</w:t>
      </w:r>
      <w:r>
        <w:rPr>
          <w:rFonts w:ascii="宋体" w:hAnsi="宋体" w:cs="21"/>
          <w:color w:val="auto"/>
          <w:highlight w:val="none"/>
        </w:rPr>
        <w:t>对本工程的各类检测数据有知情权，随时查询检测报告，有权委托其他检测机构对检测数据的真实性，科学性进行抽检。如发现有数据不真实、弄虚作假情况，每次</w:t>
      </w:r>
      <w:r>
        <w:rPr>
          <w:rFonts w:hint="eastAsia" w:ascii="宋体" w:hAnsi="宋体" w:cs="21"/>
          <w:color w:val="auto"/>
          <w:highlight w:val="none"/>
        </w:rPr>
        <w:t>处以乙方该项检测费用三倍金额（不足人民币3</w:t>
      </w:r>
      <w:r>
        <w:rPr>
          <w:rFonts w:ascii="宋体" w:hAnsi="宋体" w:cs="21"/>
          <w:color w:val="auto"/>
          <w:highlight w:val="none"/>
        </w:rPr>
        <w:t>000</w:t>
      </w:r>
      <w:r>
        <w:rPr>
          <w:rFonts w:hint="eastAsia" w:ascii="宋体" w:hAnsi="宋体" w:cs="21"/>
          <w:color w:val="auto"/>
          <w:highlight w:val="none"/>
        </w:rPr>
        <w:t>元的，按3</w:t>
      </w:r>
      <w:r>
        <w:rPr>
          <w:rFonts w:ascii="宋体" w:hAnsi="宋体" w:cs="21"/>
          <w:color w:val="auto"/>
          <w:highlight w:val="none"/>
        </w:rPr>
        <w:t>000</w:t>
      </w:r>
      <w:r>
        <w:rPr>
          <w:rFonts w:hint="eastAsia" w:ascii="宋体" w:hAnsi="宋体" w:cs="21"/>
          <w:color w:val="auto"/>
          <w:highlight w:val="none"/>
        </w:rPr>
        <w:t>元计）的违约金</w:t>
      </w:r>
      <w:r>
        <w:rPr>
          <w:rFonts w:ascii="宋体" w:hAnsi="宋体" w:cs="21"/>
          <w:color w:val="auto"/>
          <w:highlight w:val="none"/>
        </w:rPr>
        <w:t>，</w:t>
      </w:r>
      <w:r>
        <w:rPr>
          <w:rFonts w:hint="eastAsia" w:ascii="宋体" w:hAnsi="宋体"/>
          <w:color w:val="auto"/>
          <w:highlight w:val="none"/>
        </w:rPr>
        <w:t>同时赔偿甲方的全部损失</w:t>
      </w:r>
      <w:r>
        <w:rPr>
          <w:rFonts w:hint="eastAsia" w:ascii="宋体" w:hAnsi="宋体"/>
          <w:color w:val="auto"/>
          <w:highlight w:val="none"/>
        </w:rPr>
        <w:t>，如累计出现3次的，甲方有权解除本合同，按乙方已完成的合格服务内容按实结算服务费，并由乙方按照签约合同价30%承担违约金，如违约金金额不足以弥补甲方损失的，乙方还应予以另行赔偿。</w:t>
      </w:r>
    </w:p>
    <w:p w14:paraId="069B18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5.乙方在本工程每一个施工段从基坑开挖至覆土完成，需对设计工况的每一个阶段进行成果总结并出具评价报告，不按时出具成果报告的，每逾期一周扣减3500元的违约金。</w:t>
      </w:r>
    </w:p>
    <w:p w14:paraId="070B414F">
      <w:pPr>
        <w:spacing w:line="360" w:lineRule="auto"/>
        <w:ind w:firstLine="420" w:firstLineChars="200"/>
        <w:rPr>
          <w:rFonts w:hint="eastAsia" w:ascii="宋体" w:hAnsi="宋体" w:cs="21"/>
          <w:color w:val="auto"/>
          <w:kern w:val="0"/>
          <w:szCs w:val="22"/>
          <w:highlight w:val="none"/>
        </w:rPr>
      </w:pPr>
      <w:r>
        <w:rPr>
          <w:rFonts w:hint="eastAsia" w:ascii="宋体" w:hAnsi="宋体"/>
          <w:color w:val="auto"/>
          <w:szCs w:val="21"/>
          <w:highlight w:val="none"/>
        </w:rPr>
        <w:t>6.</w:t>
      </w:r>
      <w:r>
        <w:rPr>
          <w:rFonts w:hint="eastAsia" w:ascii="宋体" w:hAnsi="宋体" w:cs="21"/>
          <w:color w:val="auto"/>
          <w:kern w:val="0"/>
          <w:szCs w:val="22"/>
          <w:highlight w:val="none"/>
        </w:rPr>
        <w:t>甲方有权根据现场监测情况要求乙方增加监测频率，乙方需无条件配合，不得以任何理由拒绝</w:t>
      </w:r>
      <w:r>
        <w:rPr>
          <w:rFonts w:hint="eastAsia" w:ascii="宋体" w:hAnsi="宋体" w:cs="21"/>
          <w:color w:val="auto"/>
          <w:kern w:val="0"/>
          <w:szCs w:val="22"/>
          <w:highlight w:val="none"/>
        </w:rPr>
        <w:t>，不会要求甲方另行增加费用</w:t>
      </w:r>
      <w:r>
        <w:rPr>
          <w:rFonts w:hint="eastAsia" w:ascii="宋体" w:hAnsi="宋体" w:cs="21"/>
          <w:color w:val="auto"/>
          <w:kern w:val="0"/>
          <w:szCs w:val="22"/>
          <w:highlight w:val="none"/>
        </w:rPr>
        <w:t>，若乙方未配合的，</w:t>
      </w:r>
      <w:r>
        <w:rPr>
          <w:rFonts w:ascii="宋体" w:hAnsi="宋体" w:cs="21"/>
          <w:color w:val="auto"/>
          <w:highlight w:val="none"/>
        </w:rPr>
        <w:t>每次</w:t>
      </w:r>
      <w:r>
        <w:rPr>
          <w:rFonts w:hint="eastAsia" w:ascii="宋体" w:hAnsi="宋体" w:cs="21"/>
          <w:color w:val="auto"/>
          <w:highlight w:val="none"/>
        </w:rPr>
        <w:t>处以乙方1000元的违约金。</w:t>
      </w:r>
    </w:p>
    <w:p w14:paraId="55D52F1E">
      <w:pPr>
        <w:spacing w:line="360" w:lineRule="auto"/>
        <w:ind w:firstLine="420" w:firstLineChars="200"/>
        <w:rPr>
          <w:rFonts w:hint="eastAsia" w:ascii="宋体" w:hAnsi="宋体" w:cs="21"/>
          <w:color w:val="auto"/>
          <w:highlight w:val="none"/>
        </w:rPr>
      </w:pPr>
      <w:r>
        <w:rPr>
          <w:rFonts w:hint="eastAsia" w:ascii="宋体" w:hAnsi="宋体" w:cs="21"/>
          <w:color w:val="auto"/>
          <w:kern w:val="0"/>
          <w:szCs w:val="22"/>
          <w:highlight w:val="none"/>
        </w:rPr>
        <w:t>7.乙方已根据经甲方确认的监测、观测方案进行服务，若监测、观测频率不满足</w:t>
      </w:r>
      <w:r>
        <w:rPr>
          <w:rFonts w:hint="eastAsia" w:ascii="宋体" w:hAnsi="宋体"/>
          <w:color w:val="auto"/>
          <w:szCs w:val="21"/>
          <w:highlight w:val="none"/>
        </w:rPr>
        <w:t>方案要求的，</w:t>
      </w:r>
      <w:r>
        <w:rPr>
          <w:rFonts w:ascii="宋体" w:hAnsi="宋体" w:cs="21"/>
          <w:color w:val="auto"/>
          <w:highlight w:val="none"/>
        </w:rPr>
        <w:t>每</w:t>
      </w:r>
      <w:r>
        <w:rPr>
          <w:rFonts w:hint="eastAsia" w:ascii="宋体" w:hAnsi="宋体" w:cs="21"/>
          <w:color w:val="auto"/>
          <w:highlight w:val="none"/>
        </w:rPr>
        <w:t>发现一</w:t>
      </w:r>
      <w:r>
        <w:rPr>
          <w:rFonts w:ascii="宋体" w:hAnsi="宋体" w:cs="21"/>
          <w:color w:val="auto"/>
          <w:highlight w:val="none"/>
        </w:rPr>
        <w:t>次</w:t>
      </w:r>
      <w:r>
        <w:rPr>
          <w:rFonts w:hint="eastAsia" w:ascii="宋体" w:hAnsi="宋体" w:cs="21"/>
          <w:color w:val="auto"/>
          <w:highlight w:val="none"/>
        </w:rPr>
        <w:t>处以乙方1000元的违约金。</w:t>
      </w:r>
    </w:p>
    <w:p w14:paraId="6E7D6D4F">
      <w:pPr>
        <w:spacing w:line="360" w:lineRule="auto"/>
        <w:ind w:firstLine="420" w:firstLineChars="200"/>
        <w:rPr>
          <w:rFonts w:ascii="宋体" w:hAnsi="宋体" w:cs="21"/>
          <w:color w:val="auto"/>
          <w:kern w:val="0"/>
          <w:szCs w:val="22"/>
          <w:highlight w:val="none"/>
        </w:rPr>
      </w:pPr>
      <w:r>
        <w:rPr>
          <w:rFonts w:hint="eastAsia" w:ascii="宋体" w:hAnsi="宋体" w:cs="21"/>
          <w:color w:val="auto"/>
          <w:kern w:val="0"/>
          <w:szCs w:val="22"/>
          <w:highlight w:val="none"/>
        </w:rPr>
        <w:t>8.乙方存在其他违约行为，按1000元/次承担违约金，如违约金金额不足以弥补甲方损失的，乙方还应予以另行赔偿。</w:t>
      </w:r>
    </w:p>
    <w:p w14:paraId="5CD7609D">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szCs w:val="22"/>
          <w:highlight w:val="none"/>
        </w:rPr>
        <w:t>9</w:t>
      </w:r>
      <w:r>
        <w:rPr>
          <w:rFonts w:ascii="宋体" w:hAnsi="宋体" w:cs="21"/>
          <w:color w:val="auto"/>
          <w:szCs w:val="22"/>
          <w:highlight w:val="none"/>
        </w:rPr>
        <w:t>.</w:t>
      </w:r>
      <w:r>
        <w:rPr>
          <w:rFonts w:ascii="宋体" w:hAnsi="宋体" w:cs="21"/>
          <w:color w:val="auto"/>
          <w:kern w:val="0"/>
          <w:szCs w:val="22"/>
          <w:highlight w:val="none"/>
        </w:rPr>
        <w:t>出现下列情形，致使本合同的履行成为不必要或不可能的，甲方有权提前</w:t>
      </w:r>
      <w:r>
        <w:rPr>
          <w:rFonts w:hint="eastAsia" w:ascii="宋体" w:hAnsi="宋体" w:cs="21"/>
          <w:color w:val="auto"/>
          <w:kern w:val="0"/>
          <w:szCs w:val="22"/>
          <w:highlight w:val="none"/>
        </w:rPr>
        <w:t>解除</w:t>
      </w:r>
      <w:r>
        <w:rPr>
          <w:rFonts w:ascii="宋体" w:hAnsi="宋体" w:cs="21"/>
          <w:color w:val="auto"/>
          <w:kern w:val="0"/>
          <w:szCs w:val="22"/>
          <w:highlight w:val="none"/>
        </w:rPr>
        <w:t>合同：</w:t>
      </w:r>
    </w:p>
    <w:p w14:paraId="4DA25D0C">
      <w:pPr>
        <w:spacing w:line="360" w:lineRule="auto"/>
        <w:ind w:firstLine="420" w:firstLineChars="200"/>
        <w:rPr>
          <w:rFonts w:hint="eastAsia" w:ascii="宋体" w:hAnsi="宋体" w:cs="21"/>
          <w:color w:val="auto"/>
          <w:kern w:val="0"/>
          <w:szCs w:val="22"/>
          <w:highlight w:val="none"/>
        </w:rPr>
      </w:pPr>
      <w:r>
        <w:rPr>
          <w:rFonts w:ascii="宋体" w:hAnsi="宋体" w:cs="21"/>
          <w:color w:val="auto"/>
          <w:kern w:val="0"/>
          <w:szCs w:val="22"/>
          <w:highlight w:val="none"/>
        </w:rPr>
        <w:t>（1）发生不可抗力；</w:t>
      </w:r>
    </w:p>
    <w:p w14:paraId="68D8726B">
      <w:pPr>
        <w:spacing w:line="360" w:lineRule="auto"/>
        <w:ind w:firstLine="420" w:firstLineChars="200"/>
        <w:rPr>
          <w:rFonts w:hint="eastAsia" w:ascii="宋体" w:hAnsi="宋体" w:cs="21"/>
          <w:color w:val="auto"/>
          <w:kern w:val="0"/>
          <w:szCs w:val="22"/>
          <w:highlight w:val="none"/>
        </w:rPr>
      </w:pPr>
      <w:r>
        <w:rPr>
          <w:rFonts w:ascii="宋体" w:hAnsi="宋体" w:cs="21"/>
          <w:color w:val="auto"/>
          <w:kern w:val="0"/>
          <w:szCs w:val="22"/>
          <w:highlight w:val="none"/>
        </w:rPr>
        <w:t>（2）在委托</w:t>
      </w:r>
      <w:r>
        <w:rPr>
          <w:rFonts w:hint="eastAsia" w:ascii="宋体" w:hAnsi="宋体" w:cs="21"/>
          <w:color w:val="auto"/>
          <w:kern w:val="0"/>
          <w:szCs w:val="22"/>
          <w:highlight w:val="none"/>
        </w:rPr>
        <w:t>服务</w:t>
      </w:r>
      <w:r>
        <w:rPr>
          <w:rFonts w:ascii="宋体" w:hAnsi="宋体" w:cs="21"/>
          <w:color w:val="auto"/>
          <w:kern w:val="0"/>
          <w:szCs w:val="22"/>
          <w:highlight w:val="none"/>
        </w:rPr>
        <w:t>期间乙方发生检测</w:t>
      </w:r>
      <w:r>
        <w:rPr>
          <w:rFonts w:hint="eastAsia" w:ascii="宋体" w:hAnsi="宋体" w:cs="21"/>
          <w:color w:val="auto"/>
          <w:kern w:val="0"/>
          <w:szCs w:val="22"/>
          <w:highlight w:val="none"/>
        </w:rPr>
        <w:t>、监测</w:t>
      </w:r>
      <w:r>
        <w:rPr>
          <w:rFonts w:ascii="宋体" w:hAnsi="宋体" w:cs="21"/>
          <w:color w:val="auto"/>
          <w:kern w:val="0"/>
          <w:szCs w:val="22"/>
          <w:highlight w:val="none"/>
        </w:rPr>
        <w:t>质量责任事故造成损失的；</w:t>
      </w:r>
    </w:p>
    <w:p w14:paraId="52AA63A3">
      <w:pPr>
        <w:spacing w:line="360" w:lineRule="auto"/>
        <w:ind w:firstLine="420" w:firstLineChars="200"/>
        <w:rPr>
          <w:rFonts w:hint="eastAsia" w:ascii="宋体" w:hAnsi="宋体" w:cs="21"/>
          <w:color w:val="auto"/>
          <w:kern w:val="0"/>
          <w:szCs w:val="22"/>
          <w:highlight w:val="none"/>
        </w:rPr>
      </w:pPr>
      <w:r>
        <w:rPr>
          <w:rFonts w:ascii="宋体" w:hAnsi="宋体" w:cs="21"/>
          <w:color w:val="auto"/>
          <w:kern w:val="0"/>
          <w:szCs w:val="22"/>
          <w:highlight w:val="none"/>
        </w:rPr>
        <w:t>（3）在委托</w:t>
      </w:r>
      <w:r>
        <w:rPr>
          <w:rFonts w:hint="eastAsia" w:ascii="宋体" w:hAnsi="宋体" w:cs="21"/>
          <w:color w:val="auto"/>
          <w:kern w:val="0"/>
          <w:szCs w:val="22"/>
          <w:highlight w:val="none"/>
        </w:rPr>
        <w:t>服务</w:t>
      </w:r>
      <w:r>
        <w:rPr>
          <w:rFonts w:ascii="宋体" w:hAnsi="宋体" w:cs="21"/>
          <w:color w:val="auto"/>
          <w:kern w:val="0"/>
          <w:szCs w:val="22"/>
          <w:highlight w:val="none"/>
        </w:rPr>
        <w:t>期间乙方受到市级及以上的建设行政主管部门或监督管理部门通报批评、或因检测单位的过失而被媒体曝光或行政处罚等处理的；</w:t>
      </w:r>
    </w:p>
    <w:p w14:paraId="6DBD4C36">
      <w:pPr>
        <w:spacing w:line="360" w:lineRule="auto"/>
        <w:ind w:firstLine="420" w:firstLineChars="200"/>
        <w:rPr>
          <w:rFonts w:hint="eastAsia" w:ascii="宋体" w:hAnsi="宋体" w:cs="21"/>
          <w:color w:val="auto"/>
          <w:kern w:val="0"/>
          <w:szCs w:val="22"/>
          <w:highlight w:val="none"/>
        </w:rPr>
      </w:pPr>
      <w:r>
        <w:rPr>
          <w:rFonts w:ascii="宋体" w:hAnsi="宋体" w:cs="21"/>
          <w:color w:val="auto"/>
          <w:kern w:val="0"/>
          <w:szCs w:val="22"/>
          <w:highlight w:val="none"/>
        </w:rPr>
        <w:t>（4）在委托</w:t>
      </w:r>
      <w:r>
        <w:rPr>
          <w:rFonts w:hint="eastAsia" w:ascii="宋体" w:hAnsi="宋体" w:cs="21"/>
          <w:color w:val="auto"/>
          <w:kern w:val="0"/>
          <w:szCs w:val="22"/>
          <w:highlight w:val="none"/>
        </w:rPr>
        <w:t>服务</w:t>
      </w:r>
      <w:r>
        <w:rPr>
          <w:rFonts w:ascii="宋体" w:hAnsi="宋体" w:cs="21"/>
          <w:color w:val="auto"/>
          <w:kern w:val="0"/>
          <w:szCs w:val="22"/>
          <w:highlight w:val="none"/>
        </w:rPr>
        <w:t>期间乙方被投诉存在出具虚假报告等违法违规行为；</w:t>
      </w:r>
    </w:p>
    <w:p w14:paraId="1221B851">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（5）乙方转包、违法分包合同范围内任何一项服务</w:t>
      </w:r>
      <w:r>
        <w:rPr>
          <w:rFonts w:ascii="宋体" w:hAnsi="宋体" w:cs="21"/>
          <w:color w:val="auto"/>
          <w:kern w:val="0"/>
          <w:szCs w:val="22"/>
          <w:highlight w:val="none"/>
        </w:rPr>
        <w:t>的</w:t>
      </w:r>
      <w:r>
        <w:rPr>
          <w:rFonts w:hint="eastAsia" w:ascii="宋体" w:hAnsi="宋体" w:cs="21"/>
          <w:color w:val="auto"/>
          <w:kern w:val="0"/>
          <w:szCs w:val="22"/>
          <w:highlight w:val="none"/>
        </w:rPr>
        <w:t>；</w:t>
      </w:r>
    </w:p>
    <w:p w14:paraId="32A8C947">
      <w:pPr>
        <w:spacing w:line="360" w:lineRule="auto"/>
        <w:ind w:firstLine="420" w:firstLineChars="200"/>
        <w:rPr>
          <w:rFonts w:ascii="宋体" w:hAnsi="宋体" w:cs="21"/>
          <w:color w:val="auto"/>
          <w:kern w:val="0"/>
          <w:szCs w:val="22"/>
          <w:highlight w:val="none"/>
        </w:rPr>
      </w:pPr>
      <w:r>
        <w:rPr>
          <w:rFonts w:hint="eastAsia" w:ascii="宋体" w:hAnsi="宋体" w:cs="21"/>
          <w:color w:val="auto"/>
          <w:kern w:val="0"/>
          <w:szCs w:val="22"/>
          <w:highlight w:val="none"/>
        </w:rPr>
        <w:t>（6）乙方存在其他违约行为，经甲方催告后仍未履行或者履行至符合要求的；</w:t>
      </w:r>
    </w:p>
    <w:p w14:paraId="103E7812">
      <w:pPr>
        <w:spacing w:line="360" w:lineRule="auto"/>
        <w:ind w:firstLine="420" w:firstLineChars="200"/>
        <w:rPr>
          <w:rFonts w:ascii="宋体" w:hAnsi="宋体" w:cs="21"/>
          <w:color w:val="auto"/>
          <w:kern w:val="0"/>
          <w:szCs w:val="22"/>
          <w:highlight w:val="none"/>
        </w:rPr>
      </w:pPr>
      <w:r>
        <w:rPr>
          <w:rFonts w:hint="eastAsia" w:ascii="宋体" w:hAnsi="宋体" w:cs="21"/>
          <w:color w:val="auto"/>
          <w:kern w:val="0"/>
          <w:szCs w:val="22"/>
          <w:highlight w:val="none"/>
        </w:rPr>
        <w:t>（7）乙方提供服务无法满足工程需要，经整改后仍未满足的。</w:t>
      </w:r>
    </w:p>
    <w:p w14:paraId="479104C2">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10</w:t>
      </w:r>
      <w:r>
        <w:rPr>
          <w:rFonts w:ascii="宋体" w:hAnsi="宋体" w:cs="21"/>
          <w:color w:val="auto"/>
          <w:kern w:val="0"/>
          <w:szCs w:val="22"/>
          <w:highlight w:val="none"/>
        </w:rPr>
        <w:t>.出现甲方法定解除或者约定解除事由的</w:t>
      </w:r>
      <w:r>
        <w:rPr>
          <w:rFonts w:hint="eastAsia" w:ascii="宋体" w:hAnsi="宋体" w:cs="21"/>
          <w:color w:val="auto"/>
          <w:kern w:val="0"/>
          <w:szCs w:val="22"/>
          <w:highlight w:val="none"/>
        </w:rPr>
        <w:t>（不可抗力除外）</w:t>
      </w:r>
      <w:r>
        <w:rPr>
          <w:rFonts w:ascii="宋体" w:hAnsi="宋体" w:cs="21"/>
          <w:color w:val="auto"/>
          <w:kern w:val="0"/>
          <w:szCs w:val="22"/>
          <w:highlight w:val="none"/>
        </w:rPr>
        <w:t>，无论甲方是否选择解除合同，</w:t>
      </w:r>
      <w:r>
        <w:rPr>
          <w:rFonts w:hint="eastAsia" w:ascii="宋体" w:hAnsi="宋体" w:cs="21"/>
          <w:color w:val="auto"/>
          <w:kern w:val="0"/>
          <w:szCs w:val="22"/>
          <w:highlight w:val="none"/>
        </w:rPr>
        <w:t>除合同另有约定外，</w:t>
      </w:r>
      <w:r>
        <w:rPr>
          <w:rFonts w:ascii="宋体" w:hAnsi="宋体" w:cs="21"/>
          <w:color w:val="auto"/>
          <w:kern w:val="0"/>
          <w:szCs w:val="22"/>
          <w:highlight w:val="none"/>
        </w:rPr>
        <w:t>乙方均应向甲方支付乙方签约合同价30%的违约金，违约金不足以弥补给甲方造成的经济损失的，甲方有权向乙方追偿。甲方经济损失包括但不限于甲方遭受的直接损失、间接损失、向第三方支付的赔偿/违约金、所遭受的行政处罚</w:t>
      </w:r>
      <w:r>
        <w:rPr>
          <w:rFonts w:hint="eastAsia" w:ascii="宋体" w:hAnsi="宋体" w:cs="21"/>
          <w:color w:val="auto"/>
          <w:kern w:val="0"/>
          <w:szCs w:val="22"/>
          <w:highlight w:val="none"/>
        </w:rPr>
        <w:t>等额的金额</w:t>
      </w:r>
      <w:r>
        <w:rPr>
          <w:rFonts w:ascii="宋体" w:hAnsi="宋体" w:cs="21"/>
          <w:color w:val="auto"/>
          <w:kern w:val="0"/>
          <w:szCs w:val="22"/>
          <w:highlight w:val="none"/>
        </w:rPr>
        <w:t>、可预期利益的损失以及甲方为此而支出的律师费、调查费、公证费、诉讼费、仲裁费等。</w:t>
      </w:r>
    </w:p>
    <w:p w14:paraId="2170657D">
      <w:pPr>
        <w:spacing w:line="360" w:lineRule="auto"/>
        <w:rPr>
          <w:rFonts w:hint="eastAsia" w:ascii="宋体" w:hAnsi="宋体"/>
          <w:b/>
          <w:color w:val="auto"/>
          <w:highlight w:val="none"/>
        </w:rPr>
      </w:pPr>
      <w:r>
        <w:rPr>
          <w:rFonts w:hint="eastAsia" w:ascii="宋体" w:hAnsi="宋体"/>
          <w:b/>
          <w:color w:val="auto"/>
          <w:highlight w:val="none"/>
        </w:rPr>
        <w:t>第十四条 通知送达</w:t>
      </w:r>
    </w:p>
    <w:p w14:paraId="6FF22C2C">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甲、乙双方应在本合同的签署栏中如实提供联系地址、电话、电子邮箱等（若联系地址未填写，则以身份证载明的住址或工商登记的住所地为准）。除本合同另有约定外,本合同项下的所有通知、请求、弃权等应当采用书面形式送达的,可选择以下方式完成：</w:t>
      </w:r>
    </w:p>
    <w:p w14:paraId="389583EE">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1.对方或授权代表当场签名或者盖章确认的，送达完成。</w:t>
      </w:r>
    </w:p>
    <w:p w14:paraId="5AF30352">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2.一方将送达内容发送至对方指定的电子邮箱3日后，即视为对方已知悉邮件内容，送达完成。</w:t>
      </w:r>
    </w:p>
    <w:p w14:paraId="37D35408">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3.一方将送达内容以快递或者挂号信形式向对方寄送的，自发出之日起3日后，送达完成。</w:t>
      </w:r>
    </w:p>
    <w:p w14:paraId="414B7852">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因双方约定送达地址不准确、送达地址变更后未及时依程序告知对方和司法机关、仲裁机构、当事人或指定接收人拒绝签收等原因，导致法律文书未能被当事人实际接收时，邮寄送达的，以文书退回之日或交邮后第7日视为送达。</w:t>
      </w:r>
    </w:p>
    <w:p w14:paraId="0753AB39">
      <w:pPr>
        <w:spacing w:line="360" w:lineRule="auto"/>
        <w:rPr>
          <w:rFonts w:hint="eastAsia" w:ascii="宋体" w:hAnsi="宋体"/>
          <w:b/>
          <w:color w:val="auto"/>
          <w:highlight w:val="none"/>
        </w:rPr>
      </w:pPr>
      <w:r>
        <w:rPr>
          <w:rFonts w:hint="eastAsia" w:ascii="宋体" w:hAnsi="宋体"/>
          <w:b/>
          <w:color w:val="auto"/>
          <w:highlight w:val="none"/>
        </w:rPr>
        <w:t>第十五条 争议处理</w:t>
      </w:r>
    </w:p>
    <w:p w14:paraId="2FDC5D7C">
      <w:pPr>
        <w:spacing w:line="360" w:lineRule="auto"/>
        <w:ind w:left="105" w:leftChars="50" w:firstLine="315" w:firstLineChars="150"/>
        <w:rPr>
          <w:rFonts w:hint="eastAsia" w:ascii="宋体" w:hAnsi="宋体" w:cs="21"/>
          <w:color w:val="auto"/>
          <w:kern w:val="0"/>
          <w:szCs w:val="22"/>
          <w:highlight w:val="none"/>
        </w:rPr>
      </w:pPr>
      <w:r>
        <w:rPr>
          <w:rFonts w:hint="eastAsia" w:ascii="宋体" w:hAnsi="宋体" w:cs="21"/>
          <w:color w:val="auto"/>
          <w:kern w:val="0"/>
          <w:szCs w:val="22"/>
          <w:highlight w:val="none"/>
        </w:rPr>
        <w:t>本合同在履行中如发生争议，双方应协商解决；协商不成时，任何一方均可向</w:t>
      </w:r>
      <w:r>
        <w:rPr>
          <w:rFonts w:hint="eastAsia" w:ascii="宋体" w:hAnsi="宋体" w:cs="21"/>
          <w:color w:val="auto"/>
          <w:kern w:val="0"/>
          <w:szCs w:val="22"/>
          <w:highlight w:val="none"/>
        </w:rPr>
        <w:t>工程所在地有管辖权的</w:t>
      </w:r>
      <w:r>
        <w:rPr>
          <w:rFonts w:hint="eastAsia" w:ascii="宋体" w:hAnsi="宋体" w:cs="21"/>
          <w:color w:val="auto"/>
          <w:kern w:val="0"/>
          <w:szCs w:val="22"/>
          <w:highlight w:val="none"/>
        </w:rPr>
        <w:t>人民法院起诉。</w:t>
      </w:r>
    </w:p>
    <w:p w14:paraId="33FB253B">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本合同一式</w:t>
      </w:r>
      <w:r>
        <w:rPr>
          <w:rFonts w:hint="eastAsia" w:ascii="宋体" w:hAnsi="宋体" w:cs="21"/>
          <w:color w:val="auto"/>
          <w:kern w:val="0"/>
          <w:szCs w:val="22"/>
          <w:highlight w:val="none"/>
          <w:u w:val="single"/>
        </w:rPr>
        <w:t xml:space="preserve">    </w:t>
      </w:r>
      <w:r>
        <w:rPr>
          <w:rFonts w:hint="eastAsia" w:ascii="宋体" w:hAnsi="宋体" w:cs="21"/>
          <w:color w:val="auto"/>
          <w:kern w:val="0"/>
          <w:szCs w:val="22"/>
          <w:highlight w:val="none"/>
        </w:rPr>
        <w:t>份，均具有同等法律效力，甲方执</w:t>
      </w:r>
      <w:r>
        <w:rPr>
          <w:rFonts w:hint="eastAsia" w:ascii="宋体" w:hAnsi="宋体" w:cs="21"/>
          <w:color w:val="auto"/>
          <w:kern w:val="0"/>
          <w:szCs w:val="22"/>
          <w:highlight w:val="none"/>
          <w:u w:val="single"/>
        </w:rPr>
        <w:t xml:space="preserve">    </w:t>
      </w:r>
      <w:r>
        <w:rPr>
          <w:rFonts w:hint="eastAsia" w:ascii="宋体" w:hAnsi="宋体" w:cs="21"/>
          <w:color w:val="auto"/>
          <w:kern w:val="0"/>
          <w:szCs w:val="22"/>
          <w:highlight w:val="none"/>
        </w:rPr>
        <w:t>份，乙方执</w:t>
      </w:r>
      <w:r>
        <w:rPr>
          <w:rFonts w:hint="eastAsia" w:ascii="宋体" w:hAnsi="宋体" w:cs="21"/>
          <w:color w:val="auto"/>
          <w:kern w:val="0"/>
          <w:szCs w:val="22"/>
          <w:highlight w:val="none"/>
          <w:u w:val="single"/>
        </w:rPr>
        <w:t xml:space="preserve">   </w:t>
      </w:r>
      <w:r>
        <w:rPr>
          <w:rFonts w:hint="eastAsia" w:ascii="宋体" w:hAnsi="宋体" w:cs="21"/>
          <w:color w:val="auto"/>
          <w:kern w:val="0"/>
          <w:szCs w:val="22"/>
          <w:highlight w:val="none"/>
        </w:rPr>
        <w:t>份。</w:t>
      </w:r>
    </w:p>
    <w:p w14:paraId="44D01157">
      <w:pPr>
        <w:rPr>
          <w:color w:val="auto"/>
          <w:highlight w:val="none"/>
        </w:rPr>
      </w:pPr>
    </w:p>
    <w:p w14:paraId="7D360653">
      <w:pPr>
        <w:rPr>
          <w:color w:val="auto"/>
          <w:highlight w:val="none"/>
        </w:rPr>
      </w:pPr>
    </w:p>
    <w:p w14:paraId="1C9DA88C">
      <w:pPr>
        <w:rPr>
          <w:color w:val="auto"/>
          <w:highlight w:val="none"/>
        </w:rPr>
      </w:pPr>
      <w:r>
        <w:rPr>
          <w:rFonts w:hint="eastAsia"/>
          <w:color w:val="auto"/>
          <w:highlight w:val="none"/>
        </w:rPr>
        <w:t>附件：服务工作量清单及价格</w:t>
      </w:r>
    </w:p>
    <w:p w14:paraId="6757C937">
      <w:pPr>
        <w:spacing w:line="360" w:lineRule="auto"/>
        <w:ind w:firstLine="420" w:firstLineChars="200"/>
        <w:jc w:val="left"/>
        <w:rPr>
          <w:rFonts w:hint="eastAsia" w:ascii="宋体" w:hAnsi="宋体"/>
          <w:color w:val="auto"/>
          <w:highlight w:val="none"/>
        </w:rPr>
      </w:pPr>
    </w:p>
    <w:p w14:paraId="2DCF3253">
      <w:pPr>
        <w:spacing w:line="360" w:lineRule="auto"/>
        <w:ind w:firstLine="420" w:firstLineChars="200"/>
        <w:jc w:val="left"/>
        <w:rPr>
          <w:rFonts w:hint="eastAsia" w:ascii="宋体" w:hAnsi="宋体"/>
          <w:color w:val="auto"/>
          <w:highlight w:val="none"/>
        </w:rPr>
      </w:pPr>
    </w:p>
    <w:p w14:paraId="00CA70D9">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甲方： (签章)                       乙方： (签章)</w:t>
      </w:r>
    </w:p>
    <w:p w14:paraId="7157EE60">
      <w:pPr>
        <w:spacing w:line="360" w:lineRule="auto"/>
        <w:ind w:firstLine="420" w:firstLineChars="200"/>
        <w:rPr>
          <w:rFonts w:hint="eastAsia" w:ascii="宋体" w:hAnsi="宋体" w:cs="21"/>
          <w:color w:val="auto"/>
          <w:kern w:val="0"/>
          <w:szCs w:val="22"/>
          <w:highlight w:val="none"/>
        </w:rPr>
      </w:pPr>
    </w:p>
    <w:p w14:paraId="5560C5E5">
      <w:pPr>
        <w:spacing w:line="360" w:lineRule="auto"/>
        <w:ind w:firstLine="420" w:firstLineChars="200"/>
        <w:rPr>
          <w:rFonts w:hint="eastAsia" w:ascii="宋体" w:hAnsi="宋体" w:cs="21"/>
          <w:color w:val="auto"/>
          <w:kern w:val="0"/>
          <w:szCs w:val="22"/>
          <w:highlight w:val="none"/>
        </w:rPr>
      </w:pPr>
    </w:p>
    <w:p w14:paraId="7C94D2A8">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法定代表人或其委托代理人：          法定代表人或其委托代理人：</w:t>
      </w:r>
    </w:p>
    <w:p w14:paraId="74626985">
      <w:pPr>
        <w:spacing w:line="360" w:lineRule="auto"/>
        <w:ind w:firstLine="420" w:firstLineChars="200"/>
        <w:rPr>
          <w:rFonts w:hint="eastAsia" w:ascii="宋体" w:hAnsi="宋体" w:cs="21"/>
          <w:color w:val="auto"/>
          <w:kern w:val="0"/>
          <w:szCs w:val="22"/>
          <w:highlight w:val="none"/>
        </w:rPr>
      </w:pPr>
    </w:p>
    <w:p w14:paraId="7E770222">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组织机构代码：                       组织机构代码：</w:t>
      </w:r>
    </w:p>
    <w:p w14:paraId="3699C511">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地  址：                             地  址：</w:t>
      </w:r>
    </w:p>
    <w:p w14:paraId="4429FA9D">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电  话：                             电  话：</w:t>
      </w:r>
    </w:p>
    <w:p w14:paraId="19801FEC">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传  真：                             传  真：</w:t>
      </w:r>
    </w:p>
    <w:p w14:paraId="63554DC4">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电子信箱：                           电子信箱：</w:t>
      </w:r>
    </w:p>
    <w:p w14:paraId="5A953869">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开户银行：                           开户银行：</w:t>
      </w:r>
    </w:p>
    <w:p w14:paraId="29A1F6AD">
      <w:pPr>
        <w:spacing w:line="360" w:lineRule="auto"/>
        <w:ind w:firstLine="420" w:firstLineChars="200"/>
        <w:rPr>
          <w:rFonts w:hint="eastAsia" w:ascii="宋体" w:hAnsi="宋体" w:cs="21"/>
          <w:color w:val="auto"/>
          <w:kern w:val="0"/>
          <w:szCs w:val="22"/>
          <w:highlight w:val="none"/>
        </w:rPr>
      </w:pPr>
      <w:r>
        <w:rPr>
          <w:rFonts w:hint="eastAsia" w:ascii="宋体" w:hAnsi="宋体" w:cs="21"/>
          <w:color w:val="auto"/>
          <w:kern w:val="0"/>
          <w:szCs w:val="22"/>
          <w:highlight w:val="none"/>
        </w:rPr>
        <w:t>账  号：                            账  号：</w:t>
      </w:r>
    </w:p>
    <w:p w14:paraId="7B82C431">
      <w:pPr>
        <w:spacing w:line="360" w:lineRule="auto"/>
        <w:ind w:firstLine="420" w:firstLineChars="200"/>
        <w:rPr>
          <w:rFonts w:ascii="宋体" w:hAnsi="宋体" w:cs="宋体"/>
          <w:color w:val="auto"/>
          <w:szCs w:val="21"/>
          <w:highlight w:val="none"/>
        </w:rPr>
      </w:pPr>
    </w:p>
    <w:p w14:paraId="36D274D5">
      <w:pPr>
        <w:spacing w:line="360" w:lineRule="auto"/>
        <w:ind w:firstLine="420" w:firstLineChars="200"/>
        <w:rPr>
          <w:rFonts w:ascii="宋体" w:hAnsi="宋体" w:cs="宋体"/>
          <w:color w:val="auto"/>
          <w:szCs w:val="21"/>
          <w:highlight w:val="none"/>
        </w:rPr>
      </w:pPr>
    </w:p>
    <w:p w14:paraId="6784F673">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2EF776F">
      <w:pPr>
        <w:widowControl/>
        <w:adjustRightInd/>
        <w:jc w:val="left"/>
        <w:rPr>
          <w:rFonts w:hint="eastAsia" w:ascii="宋体" w:hAnsi="宋体" w:cs="宋体"/>
          <w:b/>
          <w:color w:val="auto"/>
          <w:sz w:val="36"/>
          <w:szCs w:val="20"/>
          <w:highlight w:val="none"/>
        </w:rPr>
      </w:pPr>
    </w:p>
    <w:p w14:paraId="67C5DF79">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2D1B126E">
      <w:pPr>
        <w:spacing w:line="360" w:lineRule="auto"/>
        <w:jc w:val="center"/>
        <w:rPr>
          <w:rFonts w:hint="eastAsia" w:ascii="宋体" w:hAnsi="宋体" w:cs="宋体"/>
          <w:color w:val="auto"/>
          <w:kern w:val="0"/>
          <w:sz w:val="36"/>
          <w:szCs w:val="36"/>
          <w:highlight w:val="none"/>
          <w:lang w:val="zh-CN"/>
        </w:rPr>
      </w:pPr>
    </w:p>
    <w:p w14:paraId="029EC7E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679667">
      <w:pPr>
        <w:spacing w:line="36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目录</w:t>
      </w:r>
    </w:p>
    <w:p w14:paraId="4101AAB6">
      <w:pPr>
        <w:spacing w:line="360" w:lineRule="auto"/>
        <w:jc w:val="center"/>
        <w:rPr>
          <w:rFonts w:hint="eastAsia" w:ascii="宋体" w:hAnsi="宋体" w:cs="宋体"/>
          <w:color w:val="auto"/>
          <w:kern w:val="0"/>
          <w:sz w:val="36"/>
          <w:szCs w:val="36"/>
          <w:highlight w:val="none"/>
          <w:lang w:val="zh-CN"/>
        </w:rPr>
      </w:pPr>
    </w:p>
    <w:p w14:paraId="77FEE8E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93A99A7">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8254F2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5A101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C2901ED">
      <w:pPr>
        <w:snapToGrid w:val="0"/>
        <w:spacing w:line="360" w:lineRule="auto"/>
        <w:ind w:firstLine="480" w:firstLineChars="200"/>
        <w:rPr>
          <w:rFonts w:hint="eastAsia" w:ascii="宋体" w:hAnsi="宋体" w:cs="宋体"/>
          <w:color w:val="auto"/>
          <w:sz w:val="24"/>
          <w:highlight w:val="none"/>
        </w:rPr>
      </w:pPr>
    </w:p>
    <w:p w14:paraId="3C3BAF53">
      <w:pPr>
        <w:spacing w:line="360" w:lineRule="auto"/>
        <w:ind w:firstLine="480" w:firstLineChars="200"/>
        <w:rPr>
          <w:rFonts w:hint="eastAsia" w:ascii="宋体" w:hAnsi="宋体" w:cs="宋体"/>
          <w:color w:val="auto"/>
          <w:sz w:val="24"/>
          <w:highlight w:val="none"/>
        </w:rPr>
      </w:pPr>
    </w:p>
    <w:p w14:paraId="58C1CEE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r>
        <w:rPr>
          <w:rFonts w:hint="eastAsia" w:ascii="宋体" w:hAnsi="宋体" w:cs="宋体"/>
          <w:b/>
          <w:color w:val="auto"/>
          <w:kern w:val="0"/>
          <w:sz w:val="32"/>
          <w:szCs w:val="32"/>
          <w:highlight w:val="none"/>
        </w:rPr>
        <w:br w:type="textWrapping"/>
      </w:r>
      <w:r>
        <w:rPr>
          <w:rFonts w:hint="eastAsia" w:ascii="宋体" w:hAnsi="宋体" w:cs="宋体"/>
          <w:b/>
          <w:color w:val="auto"/>
          <w:kern w:val="0"/>
          <w:sz w:val="32"/>
          <w:szCs w:val="32"/>
          <w:highlight w:val="none"/>
        </w:rPr>
        <w:t>（联合体形式参与的，则联合体各方均需提供）</w:t>
      </w:r>
    </w:p>
    <w:p w14:paraId="1E2B664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杭州市卫生健康事业发展中心、浙江省成套招标代理有限公司：</w:t>
      </w:r>
    </w:p>
    <w:p w14:paraId="01FED2D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】政府采购活动，郑重承诺：</w:t>
      </w:r>
    </w:p>
    <w:p w14:paraId="27EC167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725C2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EAB08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7B58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0F7AF2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9067C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E029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A8E8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CE155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BA1BE6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1.单位负责人为同一人或者存在直接控股、管理关系的不同投标人参加同一合同项下的政府采购活动的；</w:t>
      </w:r>
    </w:p>
    <w:p w14:paraId="1712FB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47DF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3.我单位属于公益一类事业单位、使用事业编制且由财政拨款保障的群团组织。</w:t>
      </w:r>
    </w:p>
    <w:p w14:paraId="364F7454">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212E9A0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3D8AEE8">
      <w:pPr>
        <w:snapToGrid w:val="0"/>
        <w:spacing w:line="360" w:lineRule="auto"/>
        <w:ind w:right="480"/>
        <w:jc w:val="center"/>
        <w:rPr>
          <w:rFonts w:hint="eastAsia" w:ascii="宋体" w:hAnsi="宋体" w:cs="宋体"/>
          <w:b/>
          <w:color w:val="auto"/>
          <w:kern w:val="0"/>
          <w:sz w:val="32"/>
          <w:szCs w:val="32"/>
          <w:highlight w:val="none"/>
        </w:rPr>
      </w:pPr>
    </w:p>
    <w:p w14:paraId="7ABAA703">
      <w:pPr>
        <w:snapToGrid w:val="0"/>
        <w:spacing w:line="360" w:lineRule="auto"/>
        <w:ind w:right="480"/>
        <w:jc w:val="center"/>
        <w:rPr>
          <w:rFonts w:hint="eastAsia" w:ascii="宋体" w:hAnsi="宋体" w:cs="宋体"/>
          <w:b/>
          <w:color w:val="auto"/>
          <w:kern w:val="0"/>
          <w:sz w:val="32"/>
          <w:szCs w:val="32"/>
          <w:highlight w:val="none"/>
        </w:rPr>
      </w:pPr>
    </w:p>
    <w:p w14:paraId="65A608C9">
      <w:pPr>
        <w:snapToGrid w:val="0"/>
        <w:spacing w:line="360" w:lineRule="auto"/>
        <w:ind w:right="480"/>
        <w:jc w:val="center"/>
        <w:rPr>
          <w:rFonts w:hint="eastAsia" w:ascii="宋体" w:hAnsi="宋体" w:cs="宋体"/>
          <w:b/>
          <w:color w:val="auto"/>
          <w:kern w:val="0"/>
          <w:sz w:val="32"/>
          <w:szCs w:val="32"/>
          <w:highlight w:val="none"/>
        </w:rPr>
      </w:pPr>
    </w:p>
    <w:p w14:paraId="2DABFA09">
      <w:pPr>
        <w:rPr>
          <w:rFonts w:hint="eastAsia" w:ascii="宋体" w:hAnsi="宋体" w:cs="宋体"/>
          <w:color w:val="auto"/>
          <w:highlight w:val="none"/>
        </w:rPr>
      </w:pPr>
    </w:p>
    <w:p w14:paraId="39A3FE24">
      <w:pPr>
        <w:snapToGrid w:val="0"/>
        <w:spacing w:line="360" w:lineRule="auto"/>
        <w:ind w:right="480"/>
        <w:jc w:val="center"/>
        <w:rPr>
          <w:rFonts w:hint="eastAsia" w:ascii="宋体" w:hAnsi="宋体" w:cs="宋体"/>
          <w:b/>
          <w:color w:val="auto"/>
          <w:kern w:val="0"/>
          <w:sz w:val="32"/>
          <w:szCs w:val="32"/>
          <w:highlight w:val="none"/>
        </w:rPr>
      </w:pPr>
    </w:p>
    <w:p w14:paraId="635980DF">
      <w:pPr>
        <w:widowControl/>
        <w:adjustRightInd/>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p>
    <w:p w14:paraId="7BB1C40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DBA124A">
      <w:pPr>
        <w:snapToGrid w:val="0"/>
        <w:spacing w:line="360" w:lineRule="auto"/>
        <w:ind w:right="480"/>
        <w:jc w:val="center"/>
        <w:rPr>
          <w:rFonts w:hint="eastAsia" w:ascii="宋体" w:hAnsi="宋体" w:cs="宋体"/>
          <w:b/>
          <w:color w:val="auto"/>
          <w:kern w:val="0"/>
          <w:sz w:val="32"/>
          <w:szCs w:val="32"/>
          <w:highlight w:val="none"/>
        </w:rPr>
      </w:pPr>
    </w:p>
    <w:p w14:paraId="165C8152">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5D9D1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049C361">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D92518">
      <w:pPr>
        <w:widowControl/>
        <w:spacing w:line="360" w:lineRule="auto"/>
        <w:ind w:firstLine="480"/>
        <w:jc w:val="left"/>
        <w:rPr>
          <w:rFonts w:hint="eastAsia" w:ascii="宋体" w:hAnsi="宋体" w:cs="宋体"/>
          <w:color w:val="auto"/>
          <w:sz w:val="24"/>
          <w:highlight w:val="none"/>
        </w:rPr>
      </w:pPr>
    </w:p>
    <w:p w14:paraId="6D710725">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42C1931">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ACF454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A21595">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4122A59C">
      <w:pPr>
        <w:widowControl/>
        <w:spacing w:line="360" w:lineRule="auto"/>
        <w:ind w:left="150"/>
        <w:jc w:val="center"/>
        <w:rPr>
          <w:rFonts w:hint="eastAsia" w:ascii="宋体" w:hAnsi="宋体" w:cs="宋体"/>
          <w:b/>
          <w:color w:val="auto"/>
          <w:kern w:val="0"/>
          <w:sz w:val="32"/>
          <w:szCs w:val="32"/>
          <w:highlight w:val="none"/>
        </w:rPr>
      </w:pPr>
    </w:p>
    <w:p w14:paraId="69381927">
      <w:pPr>
        <w:widowControl/>
        <w:spacing w:line="360" w:lineRule="auto"/>
        <w:ind w:left="150"/>
        <w:jc w:val="center"/>
        <w:rPr>
          <w:rFonts w:hint="eastAsia" w:ascii="宋体" w:hAnsi="宋体" w:cs="宋体"/>
          <w:b/>
          <w:color w:val="auto"/>
          <w:kern w:val="0"/>
          <w:sz w:val="32"/>
          <w:szCs w:val="32"/>
          <w:highlight w:val="none"/>
        </w:rPr>
      </w:pPr>
    </w:p>
    <w:p w14:paraId="2829D1F3">
      <w:pPr>
        <w:widowControl/>
        <w:spacing w:line="360" w:lineRule="auto"/>
        <w:ind w:left="150"/>
        <w:jc w:val="center"/>
        <w:rPr>
          <w:rFonts w:hint="eastAsia" w:ascii="宋体" w:hAnsi="宋体" w:cs="宋体"/>
          <w:b/>
          <w:color w:val="auto"/>
          <w:kern w:val="0"/>
          <w:sz w:val="32"/>
          <w:szCs w:val="32"/>
          <w:highlight w:val="none"/>
        </w:rPr>
      </w:pPr>
    </w:p>
    <w:p w14:paraId="67681684">
      <w:pPr>
        <w:widowControl/>
        <w:spacing w:line="360" w:lineRule="auto"/>
        <w:rPr>
          <w:rFonts w:hint="eastAsia" w:ascii="宋体" w:hAnsi="宋体" w:cs="宋体"/>
          <w:b/>
          <w:color w:val="auto"/>
          <w:kern w:val="0"/>
          <w:sz w:val="32"/>
          <w:szCs w:val="32"/>
          <w:highlight w:val="none"/>
        </w:rPr>
      </w:pPr>
    </w:p>
    <w:p w14:paraId="1F34AB7C">
      <w:pPr>
        <w:widowControl/>
        <w:spacing w:line="360" w:lineRule="auto"/>
        <w:ind w:left="150"/>
        <w:jc w:val="center"/>
        <w:rPr>
          <w:rFonts w:hint="eastAsia" w:ascii="宋体" w:hAnsi="宋体" w:cs="宋体"/>
          <w:b/>
          <w:color w:val="auto"/>
          <w:kern w:val="0"/>
          <w:sz w:val="32"/>
          <w:szCs w:val="32"/>
          <w:highlight w:val="none"/>
        </w:rPr>
      </w:pPr>
    </w:p>
    <w:p w14:paraId="42A36C3E">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7C6935">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DCD2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①基坑监测和沉降观测：具有建设行政主管部门核发的工程勘察综合甲级资质，或同时具有岩土工程专业甲级、工程测量专业甲级资质证书复制件；</w:t>
      </w:r>
    </w:p>
    <w:p w14:paraId="3778AD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②桩基检测：具有建设行政主管部门核发的地基基础检测专项资质或综合资质证书复制件。</w:t>
      </w:r>
    </w:p>
    <w:p w14:paraId="2BB7BD58">
      <w:pPr>
        <w:snapToGrid w:val="0"/>
        <w:spacing w:line="360" w:lineRule="auto"/>
        <w:ind w:right="480"/>
        <w:jc w:val="center"/>
        <w:rPr>
          <w:rFonts w:hint="eastAsia" w:ascii="宋体" w:hAnsi="宋体" w:cs="宋体"/>
          <w:b/>
          <w:color w:val="auto"/>
          <w:kern w:val="0"/>
          <w:sz w:val="32"/>
          <w:szCs w:val="32"/>
          <w:highlight w:val="none"/>
        </w:rPr>
      </w:pPr>
    </w:p>
    <w:p w14:paraId="42E7AB2A">
      <w:pPr>
        <w:spacing w:line="360" w:lineRule="auto"/>
        <w:jc w:val="center"/>
        <w:rPr>
          <w:rFonts w:hint="eastAsia" w:ascii="宋体" w:hAnsi="宋体" w:cs="宋体"/>
          <w:color w:val="auto"/>
          <w:sz w:val="24"/>
          <w:highlight w:val="none"/>
        </w:rPr>
      </w:pPr>
    </w:p>
    <w:p w14:paraId="4C9E4E10">
      <w:pPr>
        <w:rPr>
          <w:rFonts w:hint="eastAsia" w:ascii="宋体" w:hAnsi="宋体" w:cs="宋体"/>
          <w:color w:val="auto"/>
          <w:highlight w:val="none"/>
        </w:rPr>
      </w:pPr>
    </w:p>
    <w:p w14:paraId="7025938D">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C9A7CF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DB8C334">
      <w:pPr>
        <w:spacing w:line="360" w:lineRule="auto"/>
        <w:jc w:val="center"/>
        <w:rPr>
          <w:rFonts w:hint="eastAsia" w:ascii="宋体" w:hAnsi="宋体" w:cs="宋体"/>
          <w:color w:val="auto"/>
          <w:kern w:val="0"/>
          <w:sz w:val="28"/>
          <w:szCs w:val="28"/>
          <w:highlight w:val="none"/>
          <w:lang w:val="zh-CN"/>
        </w:rPr>
      </w:pPr>
    </w:p>
    <w:p w14:paraId="34259A00">
      <w:pPr>
        <w:spacing w:line="360" w:lineRule="auto"/>
        <w:jc w:val="center"/>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目录</w:t>
      </w:r>
    </w:p>
    <w:p w14:paraId="2191D26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242BD6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68BA1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B6C0B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70C229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796F8B4">
      <w:pPr>
        <w:snapToGrid w:val="0"/>
        <w:spacing w:line="360" w:lineRule="auto"/>
        <w:jc w:val="center"/>
        <w:rPr>
          <w:rFonts w:hint="eastAsia" w:ascii="宋体" w:hAnsi="宋体" w:cs="宋体"/>
          <w:b/>
          <w:color w:val="auto"/>
          <w:kern w:val="0"/>
          <w:sz w:val="32"/>
          <w:szCs w:val="32"/>
          <w:highlight w:val="none"/>
          <w:lang w:val="zh-CN"/>
        </w:rPr>
      </w:pPr>
    </w:p>
    <w:p w14:paraId="75CFFE09">
      <w:pPr>
        <w:snapToGrid w:val="0"/>
        <w:spacing w:line="360" w:lineRule="auto"/>
        <w:jc w:val="center"/>
        <w:rPr>
          <w:rFonts w:hint="eastAsia" w:ascii="宋体" w:hAnsi="宋体" w:cs="宋体"/>
          <w:b/>
          <w:color w:val="auto"/>
          <w:kern w:val="0"/>
          <w:sz w:val="32"/>
          <w:szCs w:val="32"/>
          <w:highlight w:val="none"/>
          <w:lang w:val="zh-CN"/>
        </w:rPr>
      </w:pPr>
    </w:p>
    <w:p w14:paraId="475187CB">
      <w:pPr>
        <w:snapToGrid w:val="0"/>
        <w:spacing w:line="360" w:lineRule="auto"/>
        <w:jc w:val="center"/>
        <w:rPr>
          <w:rFonts w:hint="eastAsia" w:ascii="宋体" w:hAnsi="宋体" w:cs="宋体"/>
          <w:b/>
          <w:color w:val="auto"/>
          <w:kern w:val="0"/>
          <w:sz w:val="32"/>
          <w:szCs w:val="32"/>
          <w:highlight w:val="none"/>
          <w:lang w:val="zh-CN"/>
        </w:rPr>
      </w:pPr>
    </w:p>
    <w:p w14:paraId="1DD35F93">
      <w:pPr>
        <w:snapToGrid w:val="0"/>
        <w:spacing w:line="360" w:lineRule="auto"/>
        <w:jc w:val="center"/>
        <w:rPr>
          <w:rFonts w:hint="eastAsia" w:ascii="宋体" w:hAnsi="宋体" w:cs="宋体"/>
          <w:b/>
          <w:color w:val="auto"/>
          <w:kern w:val="0"/>
          <w:sz w:val="32"/>
          <w:szCs w:val="32"/>
          <w:highlight w:val="none"/>
          <w:lang w:val="zh-CN"/>
        </w:rPr>
      </w:pPr>
    </w:p>
    <w:p w14:paraId="5106424C">
      <w:pPr>
        <w:snapToGrid w:val="0"/>
        <w:spacing w:line="360" w:lineRule="auto"/>
        <w:jc w:val="center"/>
        <w:rPr>
          <w:rFonts w:hint="eastAsia" w:ascii="宋体" w:hAnsi="宋体" w:cs="宋体"/>
          <w:b/>
          <w:color w:val="auto"/>
          <w:kern w:val="0"/>
          <w:sz w:val="32"/>
          <w:szCs w:val="32"/>
          <w:highlight w:val="none"/>
          <w:lang w:val="zh-CN"/>
        </w:rPr>
      </w:pPr>
    </w:p>
    <w:p w14:paraId="782A4AC7">
      <w:pPr>
        <w:snapToGrid w:val="0"/>
        <w:spacing w:line="360" w:lineRule="auto"/>
        <w:jc w:val="center"/>
        <w:rPr>
          <w:rFonts w:hint="eastAsia" w:ascii="宋体" w:hAnsi="宋体" w:cs="宋体"/>
          <w:b/>
          <w:color w:val="auto"/>
          <w:kern w:val="0"/>
          <w:sz w:val="32"/>
          <w:szCs w:val="32"/>
          <w:highlight w:val="none"/>
          <w:lang w:val="zh-CN"/>
        </w:rPr>
      </w:pPr>
    </w:p>
    <w:p w14:paraId="0983A716">
      <w:pPr>
        <w:snapToGrid w:val="0"/>
        <w:spacing w:line="360" w:lineRule="auto"/>
        <w:jc w:val="center"/>
        <w:rPr>
          <w:rFonts w:hint="eastAsia" w:ascii="宋体" w:hAnsi="宋体" w:cs="宋体"/>
          <w:b/>
          <w:color w:val="auto"/>
          <w:kern w:val="0"/>
          <w:sz w:val="32"/>
          <w:szCs w:val="32"/>
          <w:highlight w:val="none"/>
          <w:lang w:val="zh-CN"/>
        </w:rPr>
      </w:pPr>
    </w:p>
    <w:p w14:paraId="1AADB4F6">
      <w:pPr>
        <w:snapToGrid w:val="0"/>
        <w:spacing w:line="360" w:lineRule="auto"/>
        <w:jc w:val="center"/>
        <w:rPr>
          <w:rFonts w:hint="eastAsia" w:ascii="宋体" w:hAnsi="宋体" w:cs="宋体"/>
          <w:b/>
          <w:color w:val="auto"/>
          <w:kern w:val="0"/>
          <w:sz w:val="32"/>
          <w:szCs w:val="32"/>
          <w:highlight w:val="none"/>
          <w:lang w:val="zh-CN"/>
        </w:rPr>
      </w:pPr>
    </w:p>
    <w:p w14:paraId="1503FD2A">
      <w:pPr>
        <w:snapToGrid w:val="0"/>
        <w:spacing w:line="360" w:lineRule="auto"/>
        <w:jc w:val="center"/>
        <w:rPr>
          <w:rFonts w:hint="eastAsia" w:ascii="宋体" w:hAnsi="宋体" w:cs="宋体"/>
          <w:b/>
          <w:color w:val="auto"/>
          <w:kern w:val="0"/>
          <w:sz w:val="32"/>
          <w:szCs w:val="32"/>
          <w:highlight w:val="none"/>
          <w:lang w:val="zh-CN"/>
        </w:rPr>
      </w:pPr>
    </w:p>
    <w:p w14:paraId="5513E5C9">
      <w:pPr>
        <w:snapToGrid w:val="0"/>
        <w:spacing w:line="360" w:lineRule="auto"/>
        <w:jc w:val="center"/>
        <w:rPr>
          <w:rFonts w:hint="eastAsia" w:ascii="宋体" w:hAnsi="宋体" w:cs="宋体"/>
          <w:b/>
          <w:color w:val="auto"/>
          <w:kern w:val="0"/>
          <w:sz w:val="32"/>
          <w:szCs w:val="32"/>
          <w:highlight w:val="none"/>
          <w:lang w:val="zh-CN"/>
        </w:rPr>
      </w:pPr>
    </w:p>
    <w:p w14:paraId="77632C54">
      <w:pPr>
        <w:rPr>
          <w:rFonts w:hint="eastAsia" w:ascii="宋体" w:hAnsi="宋体" w:cs="宋体"/>
          <w:b/>
          <w:color w:val="auto"/>
          <w:kern w:val="0"/>
          <w:sz w:val="32"/>
          <w:szCs w:val="32"/>
          <w:highlight w:val="none"/>
          <w:lang w:val="zh-CN"/>
        </w:rPr>
      </w:pPr>
    </w:p>
    <w:p w14:paraId="32A88A5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CF7D14">
      <w:pPr>
        <w:spacing w:line="360" w:lineRule="auto"/>
        <w:jc w:val="center"/>
        <w:rPr>
          <w:rFonts w:hint="eastAsia" w:ascii="宋体" w:hAnsi="宋体" w:cs="宋体"/>
          <w:b/>
          <w:bCs/>
          <w:color w:val="auto"/>
          <w:kern w:val="0"/>
          <w:sz w:val="30"/>
          <w:szCs w:val="30"/>
          <w:highlight w:val="none"/>
          <w:lang w:val="zh-CN"/>
        </w:rPr>
      </w:pPr>
      <w:r>
        <w:rPr>
          <w:rFonts w:hint="eastAsia" w:ascii="宋体" w:hAnsi="宋体" w:cs="宋体"/>
          <w:b/>
          <w:bCs/>
          <w:color w:val="auto"/>
          <w:kern w:val="0"/>
          <w:sz w:val="30"/>
          <w:szCs w:val="30"/>
          <w:highlight w:val="none"/>
          <w:lang w:val="zh-CN"/>
        </w:rPr>
        <w:t>一、投标函</w:t>
      </w:r>
    </w:p>
    <w:p w14:paraId="60FE23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杭州市卫生健康事业发展中心、浙江省成套招标代理有限公司：</w:t>
      </w:r>
    </w:p>
    <w:p w14:paraId="10A32C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】招标的有关活动，并对此项目进行投标。为此：</w:t>
      </w:r>
    </w:p>
    <w:p w14:paraId="5EEA35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A1E7B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E690DD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F44174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723D6DB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39A6A91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9B0FC2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5C6D54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F13F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D15D7B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A008B0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1E24A5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4A80F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2422E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FF98D2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3AA3763">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1BBFC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994E4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4F5D9000">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536A3A79">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2D52121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08BF56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545291D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EB0BC2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2E9A4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4.3按照招标文件要求提交履约保证金（如果有）； </w:t>
      </w:r>
    </w:p>
    <w:p w14:paraId="5FE1708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6A6E9F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6AC3C2">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6E4BC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14B862">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5F268D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FAD90EC">
      <w:pPr>
        <w:snapToGrid w:val="0"/>
        <w:spacing w:line="360" w:lineRule="auto"/>
        <w:jc w:val="center"/>
        <w:rPr>
          <w:rFonts w:hint="eastAsia" w:ascii="宋体" w:hAnsi="宋体" w:cs="宋体"/>
          <w:b/>
          <w:color w:val="auto"/>
          <w:kern w:val="0"/>
          <w:sz w:val="32"/>
          <w:szCs w:val="32"/>
          <w:highlight w:val="none"/>
        </w:rPr>
      </w:pPr>
    </w:p>
    <w:p w14:paraId="109D6EC6">
      <w:pPr>
        <w:snapToGrid w:val="0"/>
        <w:spacing w:line="360" w:lineRule="auto"/>
        <w:rPr>
          <w:rFonts w:hint="eastAsia" w:ascii="宋体" w:hAnsi="宋体" w:cs="宋体"/>
          <w:color w:val="auto"/>
          <w:sz w:val="24"/>
          <w:highlight w:val="none"/>
        </w:rPr>
      </w:pPr>
    </w:p>
    <w:p w14:paraId="02AF6EE3">
      <w:pPr>
        <w:jc w:val="center"/>
        <w:rPr>
          <w:rFonts w:hint="eastAsia" w:ascii="宋体" w:hAnsi="宋体" w:cs="宋体"/>
          <w:b/>
          <w:color w:val="auto"/>
          <w:kern w:val="0"/>
          <w:sz w:val="32"/>
          <w:szCs w:val="32"/>
          <w:highlight w:val="none"/>
        </w:rPr>
      </w:pPr>
    </w:p>
    <w:p w14:paraId="1F3D9C7C">
      <w:pPr>
        <w:jc w:val="center"/>
        <w:rPr>
          <w:rFonts w:hint="eastAsia" w:ascii="宋体" w:hAnsi="宋体" w:cs="宋体"/>
          <w:b/>
          <w:color w:val="auto"/>
          <w:kern w:val="0"/>
          <w:sz w:val="32"/>
          <w:szCs w:val="32"/>
          <w:highlight w:val="none"/>
        </w:rPr>
      </w:pPr>
    </w:p>
    <w:p w14:paraId="19A9065C">
      <w:pPr>
        <w:jc w:val="center"/>
        <w:rPr>
          <w:rFonts w:hint="eastAsia" w:ascii="宋体" w:hAnsi="宋体" w:cs="宋体"/>
          <w:b/>
          <w:color w:val="auto"/>
          <w:kern w:val="0"/>
          <w:sz w:val="32"/>
          <w:szCs w:val="32"/>
          <w:highlight w:val="none"/>
        </w:rPr>
      </w:pPr>
    </w:p>
    <w:p w14:paraId="0465C294">
      <w:pPr>
        <w:jc w:val="center"/>
        <w:rPr>
          <w:rFonts w:hint="eastAsia" w:ascii="宋体" w:hAnsi="宋体" w:cs="宋体"/>
          <w:b/>
          <w:color w:val="auto"/>
          <w:kern w:val="0"/>
          <w:sz w:val="32"/>
          <w:szCs w:val="32"/>
          <w:highlight w:val="none"/>
        </w:rPr>
      </w:pPr>
    </w:p>
    <w:p w14:paraId="4EE6625C">
      <w:pPr>
        <w:jc w:val="center"/>
        <w:rPr>
          <w:rFonts w:hint="eastAsia" w:ascii="宋体" w:hAnsi="宋体" w:cs="宋体"/>
          <w:b/>
          <w:color w:val="auto"/>
          <w:kern w:val="0"/>
          <w:sz w:val="32"/>
          <w:szCs w:val="32"/>
          <w:highlight w:val="none"/>
        </w:rPr>
      </w:pPr>
    </w:p>
    <w:p w14:paraId="77583EE8">
      <w:pPr>
        <w:jc w:val="center"/>
        <w:rPr>
          <w:rFonts w:hint="eastAsia" w:ascii="宋体" w:hAnsi="宋体" w:cs="宋体"/>
          <w:b/>
          <w:color w:val="auto"/>
          <w:kern w:val="0"/>
          <w:sz w:val="32"/>
          <w:szCs w:val="32"/>
          <w:highlight w:val="none"/>
        </w:rPr>
      </w:pPr>
    </w:p>
    <w:p w14:paraId="0F72422B">
      <w:pPr>
        <w:jc w:val="center"/>
        <w:rPr>
          <w:rFonts w:hint="eastAsia" w:ascii="宋体" w:hAnsi="宋体" w:cs="宋体"/>
          <w:b/>
          <w:color w:val="auto"/>
          <w:kern w:val="0"/>
          <w:sz w:val="32"/>
          <w:szCs w:val="32"/>
          <w:highlight w:val="none"/>
        </w:rPr>
      </w:pPr>
    </w:p>
    <w:p w14:paraId="2D613713">
      <w:pPr>
        <w:jc w:val="center"/>
        <w:rPr>
          <w:rFonts w:hint="eastAsia" w:ascii="宋体" w:hAnsi="宋体" w:cs="宋体"/>
          <w:b/>
          <w:color w:val="auto"/>
          <w:kern w:val="0"/>
          <w:sz w:val="32"/>
          <w:szCs w:val="32"/>
          <w:highlight w:val="none"/>
        </w:rPr>
      </w:pPr>
    </w:p>
    <w:p w14:paraId="058AAA60">
      <w:pPr>
        <w:jc w:val="center"/>
        <w:rPr>
          <w:rFonts w:hint="eastAsia" w:ascii="宋体" w:hAnsi="宋体" w:cs="宋体"/>
          <w:b/>
          <w:color w:val="auto"/>
          <w:kern w:val="0"/>
          <w:sz w:val="32"/>
          <w:szCs w:val="32"/>
          <w:highlight w:val="none"/>
        </w:rPr>
      </w:pPr>
    </w:p>
    <w:p w14:paraId="33B6C984">
      <w:pPr>
        <w:jc w:val="center"/>
        <w:rPr>
          <w:rFonts w:hint="eastAsia" w:ascii="宋体" w:hAnsi="宋体" w:cs="宋体"/>
          <w:b/>
          <w:color w:val="auto"/>
          <w:kern w:val="0"/>
          <w:sz w:val="32"/>
          <w:szCs w:val="32"/>
          <w:highlight w:val="none"/>
        </w:rPr>
      </w:pPr>
    </w:p>
    <w:p w14:paraId="065D9FFA">
      <w:pPr>
        <w:jc w:val="center"/>
        <w:rPr>
          <w:rFonts w:hint="eastAsia" w:ascii="宋体" w:hAnsi="宋体" w:cs="宋体"/>
          <w:b/>
          <w:color w:val="auto"/>
          <w:kern w:val="0"/>
          <w:sz w:val="32"/>
          <w:szCs w:val="32"/>
          <w:highlight w:val="none"/>
        </w:rPr>
      </w:pPr>
    </w:p>
    <w:p w14:paraId="50CEF730">
      <w:pPr>
        <w:jc w:val="center"/>
        <w:rPr>
          <w:rFonts w:hint="eastAsia" w:ascii="宋体" w:hAnsi="宋体" w:cs="宋体"/>
          <w:b/>
          <w:color w:val="auto"/>
          <w:kern w:val="0"/>
          <w:sz w:val="32"/>
          <w:szCs w:val="32"/>
          <w:highlight w:val="none"/>
        </w:rPr>
      </w:pPr>
    </w:p>
    <w:p w14:paraId="2EEDBD36">
      <w:pPr>
        <w:jc w:val="center"/>
        <w:rPr>
          <w:rFonts w:hint="eastAsia" w:ascii="宋体" w:hAnsi="宋体" w:cs="宋体"/>
          <w:b/>
          <w:color w:val="auto"/>
          <w:kern w:val="0"/>
          <w:sz w:val="32"/>
          <w:szCs w:val="32"/>
          <w:highlight w:val="none"/>
        </w:rPr>
      </w:pPr>
    </w:p>
    <w:p w14:paraId="7180931C">
      <w:pPr>
        <w:jc w:val="center"/>
        <w:rPr>
          <w:rFonts w:hint="eastAsia" w:ascii="宋体" w:hAnsi="宋体" w:cs="宋体"/>
          <w:b/>
          <w:color w:val="auto"/>
          <w:kern w:val="0"/>
          <w:sz w:val="32"/>
          <w:szCs w:val="32"/>
          <w:highlight w:val="none"/>
        </w:rPr>
      </w:pPr>
    </w:p>
    <w:p w14:paraId="6C9898D9">
      <w:pPr>
        <w:jc w:val="center"/>
        <w:rPr>
          <w:rFonts w:hint="eastAsia" w:ascii="宋体" w:hAnsi="宋体" w:cs="宋体"/>
          <w:b/>
          <w:color w:val="auto"/>
          <w:kern w:val="0"/>
          <w:sz w:val="32"/>
          <w:szCs w:val="32"/>
          <w:highlight w:val="none"/>
        </w:rPr>
      </w:pPr>
    </w:p>
    <w:p w14:paraId="352CAA74">
      <w:pPr>
        <w:jc w:val="center"/>
        <w:rPr>
          <w:rFonts w:hint="eastAsia" w:ascii="宋体" w:hAnsi="宋体" w:cs="宋体"/>
          <w:b/>
          <w:color w:val="auto"/>
          <w:kern w:val="0"/>
          <w:sz w:val="32"/>
          <w:szCs w:val="32"/>
          <w:highlight w:val="none"/>
        </w:rPr>
      </w:pPr>
    </w:p>
    <w:p w14:paraId="0D93F418">
      <w:pPr>
        <w:jc w:val="center"/>
        <w:rPr>
          <w:rFonts w:hint="eastAsia" w:ascii="宋体" w:hAnsi="宋体" w:cs="宋体"/>
          <w:b/>
          <w:color w:val="auto"/>
          <w:kern w:val="0"/>
          <w:sz w:val="32"/>
          <w:szCs w:val="32"/>
          <w:highlight w:val="none"/>
        </w:rPr>
      </w:pPr>
    </w:p>
    <w:p w14:paraId="0007E8EE">
      <w:pPr>
        <w:jc w:val="center"/>
        <w:rPr>
          <w:rFonts w:hint="eastAsia" w:ascii="宋体" w:hAnsi="宋体" w:cs="宋体"/>
          <w:b/>
          <w:color w:val="auto"/>
          <w:kern w:val="0"/>
          <w:sz w:val="32"/>
          <w:szCs w:val="32"/>
          <w:highlight w:val="none"/>
        </w:rPr>
      </w:pPr>
    </w:p>
    <w:p w14:paraId="4A7FAC61">
      <w:pPr>
        <w:jc w:val="center"/>
        <w:rPr>
          <w:rFonts w:hint="eastAsia" w:ascii="宋体" w:hAnsi="宋体" w:cs="宋体"/>
          <w:b/>
          <w:color w:val="auto"/>
          <w:kern w:val="0"/>
          <w:sz w:val="32"/>
          <w:szCs w:val="32"/>
          <w:highlight w:val="none"/>
        </w:rPr>
      </w:pPr>
    </w:p>
    <w:p w14:paraId="1F04EEBE">
      <w:pPr>
        <w:jc w:val="center"/>
        <w:rPr>
          <w:rFonts w:hint="eastAsia" w:ascii="宋体" w:hAnsi="宋体" w:cs="宋体"/>
          <w:b/>
          <w:color w:val="auto"/>
          <w:kern w:val="0"/>
          <w:sz w:val="32"/>
          <w:szCs w:val="32"/>
          <w:highlight w:val="none"/>
        </w:rPr>
      </w:pPr>
    </w:p>
    <w:p w14:paraId="1B47A68C">
      <w:pPr>
        <w:rPr>
          <w:rFonts w:hint="eastAsia" w:ascii="宋体" w:hAnsi="宋体" w:cs="宋体"/>
          <w:b/>
          <w:color w:val="auto"/>
          <w:kern w:val="0"/>
          <w:sz w:val="32"/>
          <w:szCs w:val="32"/>
          <w:highlight w:val="none"/>
        </w:rPr>
      </w:pPr>
    </w:p>
    <w:p w14:paraId="26CD1331">
      <w:pPr>
        <w:pStyle w:val="26"/>
        <w:rPr>
          <w:rFonts w:hint="eastAsia"/>
          <w:color w:val="auto"/>
          <w:highlight w:val="none"/>
          <w:lang w:val="en-US"/>
        </w:rPr>
      </w:pPr>
    </w:p>
    <w:p w14:paraId="2465F9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72053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E1EE720">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295828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6CBD4EF4">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58AE5A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98C0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5861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3C5E47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9DA876A">
      <w:pPr>
        <w:snapToGrid w:val="0"/>
        <w:spacing w:line="360" w:lineRule="auto"/>
        <w:rPr>
          <w:rFonts w:hint="eastAsia" w:ascii="宋体" w:hAnsi="宋体" w:cs="宋体"/>
          <w:color w:val="auto"/>
          <w:sz w:val="24"/>
          <w:highlight w:val="none"/>
        </w:rPr>
      </w:pPr>
    </w:p>
    <w:p w14:paraId="2F89D3B6">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8BBDA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6CF806B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22659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4FAD5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FB8DDD6">
      <w:pPr>
        <w:jc w:val="center"/>
        <w:rPr>
          <w:rFonts w:hint="eastAsia" w:ascii="宋体" w:hAnsi="宋体" w:cs="宋体"/>
          <w:b/>
          <w:color w:val="auto"/>
          <w:kern w:val="0"/>
          <w:sz w:val="32"/>
          <w:szCs w:val="32"/>
          <w:highlight w:val="none"/>
        </w:rPr>
      </w:pPr>
    </w:p>
    <w:p w14:paraId="02232A52">
      <w:pPr>
        <w:rPr>
          <w:rFonts w:hint="eastAsia" w:ascii="宋体" w:hAnsi="宋体" w:cs="宋体"/>
          <w:color w:val="auto"/>
          <w:highlight w:val="none"/>
        </w:rPr>
      </w:pPr>
    </w:p>
    <w:p w14:paraId="1A1B3B8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72BD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E9D5BB">
      <w:pPr>
        <w:snapToGrid w:val="0"/>
        <w:spacing w:line="360" w:lineRule="auto"/>
        <w:ind w:left="4620" w:firstLine="42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5B9661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E3D46">
      <w:pPr>
        <w:autoSpaceDE w:val="0"/>
        <w:autoSpaceDN w:val="0"/>
        <w:spacing w:line="360" w:lineRule="auto"/>
        <w:jc w:val="center"/>
        <w:rPr>
          <w:rFonts w:hint="eastAsia" w:ascii="宋体" w:hAnsi="宋体" w:cs="宋体"/>
          <w:b/>
          <w:color w:val="auto"/>
          <w:kern w:val="0"/>
          <w:sz w:val="32"/>
          <w:szCs w:val="32"/>
          <w:highlight w:val="none"/>
          <w:lang w:val="zh-CN"/>
        </w:rPr>
      </w:pPr>
    </w:p>
    <w:p w14:paraId="1FD173C2">
      <w:pPr>
        <w:autoSpaceDE w:val="0"/>
        <w:autoSpaceDN w:val="0"/>
        <w:spacing w:line="360" w:lineRule="auto"/>
        <w:jc w:val="center"/>
        <w:rPr>
          <w:rFonts w:hint="eastAsia" w:ascii="宋体" w:hAnsi="宋体" w:cs="宋体"/>
          <w:b/>
          <w:color w:val="auto"/>
          <w:kern w:val="0"/>
          <w:sz w:val="32"/>
          <w:szCs w:val="32"/>
          <w:highlight w:val="none"/>
          <w:lang w:val="zh-CN"/>
        </w:rPr>
      </w:pPr>
    </w:p>
    <w:p w14:paraId="41529E56">
      <w:pPr>
        <w:autoSpaceDE w:val="0"/>
        <w:autoSpaceDN w:val="0"/>
        <w:spacing w:line="360" w:lineRule="auto"/>
        <w:jc w:val="center"/>
        <w:rPr>
          <w:rFonts w:hint="eastAsia" w:ascii="宋体" w:hAnsi="宋体" w:cs="宋体"/>
          <w:b/>
          <w:color w:val="auto"/>
          <w:kern w:val="0"/>
          <w:sz w:val="32"/>
          <w:szCs w:val="32"/>
          <w:highlight w:val="none"/>
          <w:lang w:val="zh-CN"/>
        </w:rPr>
      </w:pPr>
    </w:p>
    <w:p w14:paraId="19912050">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F915315">
      <w:pPr>
        <w:pStyle w:val="3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D0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2D4B69">
            <w:pPr>
              <w:pStyle w:val="3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5B2BB83">
            <w:pPr>
              <w:pStyle w:val="30"/>
              <w:adjustRightInd w:val="0"/>
              <w:spacing w:line="360" w:lineRule="auto"/>
              <w:rPr>
                <w:rFonts w:hint="eastAsia" w:hAnsi="宋体" w:cs="宋体"/>
                <w:bCs/>
                <w:color w:val="auto"/>
                <w:sz w:val="24"/>
                <w:highlight w:val="none"/>
              </w:rPr>
            </w:pPr>
          </w:p>
        </w:tc>
      </w:tr>
    </w:tbl>
    <w:p w14:paraId="54FB2FE8">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69BF95">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E78AF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CB561D">
      <w:pPr>
        <w:jc w:val="center"/>
        <w:rPr>
          <w:rFonts w:hint="eastAsia" w:ascii="宋体" w:hAnsi="宋体" w:cs="宋体"/>
          <w:b/>
          <w:color w:val="auto"/>
          <w:kern w:val="0"/>
          <w:sz w:val="32"/>
          <w:szCs w:val="32"/>
          <w:highlight w:val="none"/>
        </w:rPr>
      </w:pPr>
    </w:p>
    <w:p w14:paraId="26B36057">
      <w:pPr>
        <w:jc w:val="center"/>
        <w:rPr>
          <w:rFonts w:hint="eastAsia" w:ascii="宋体" w:hAnsi="宋体" w:cs="宋体"/>
          <w:b/>
          <w:color w:val="auto"/>
          <w:kern w:val="0"/>
          <w:sz w:val="32"/>
          <w:szCs w:val="32"/>
          <w:highlight w:val="none"/>
        </w:rPr>
      </w:pPr>
    </w:p>
    <w:p w14:paraId="4A83C039">
      <w:pPr>
        <w:jc w:val="center"/>
        <w:rPr>
          <w:rFonts w:hint="eastAsia" w:ascii="宋体" w:hAnsi="宋体" w:cs="宋体"/>
          <w:b/>
          <w:color w:val="auto"/>
          <w:kern w:val="0"/>
          <w:sz w:val="32"/>
          <w:szCs w:val="32"/>
          <w:highlight w:val="none"/>
        </w:rPr>
      </w:pPr>
    </w:p>
    <w:p w14:paraId="3B7223A6">
      <w:pPr>
        <w:jc w:val="center"/>
        <w:rPr>
          <w:rFonts w:hint="eastAsia" w:ascii="宋体" w:hAnsi="宋体" w:cs="宋体"/>
          <w:b/>
          <w:color w:val="auto"/>
          <w:kern w:val="0"/>
          <w:sz w:val="32"/>
          <w:szCs w:val="32"/>
          <w:highlight w:val="none"/>
        </w:rPr>
      </w:pPr>
    </w:p>
    <w:p w14:paraId="24CE6216">
      <w:pPr>
        <w:jc w:val="center"/>
        <w:rPr>
          <w:rFonts w:hint="eastAsia" w:ascii="宋体" w:hAnsi="宋体" w:cs="宋体"/>
          <w:b/>
          <w:color w:val="auto"/>
          <w:kern w:val="0"/>
          <w:sz w:val="32"/>
          <w:szCs w:val="32"/>
          <w:highlight w:val="none"/>
        </w:rPr>
      </w:pPr>
    </w:p>
    <w:p w14:paraId="1C95A41C">
      <w:pPr>
        <w:jc w:val="center"/>
        <w:rPr>
          <w:rFonts w:hint="eastAsia" w:ascii="宋体" w:hAnsi="宋体" w:cs="宋体"/>
          <w:b/>
          <w:color w:val="auto"/>
          <w:kern w:val="0"/>
          <w:sz w:val="32"/>
          <w:szCs w:val="32"/>
          <w:highlight w:val="none"/>
        </w:rPr>
      </w:pPr>
    </w:p>
    <w:p w14:paraId="33C58FE7">
      <w:pPr>
        <w:jc w:val="center"/>
        <w:rPr>
          <w:rFonts w:hint="eastAsia" w:ascii="宋体" w:hAnsi="宋体" w:cs="宋体"/>
          <w:b/>
          <w:color w:val="auto"/>
          <w:kern w:val="0"/>
          <w:sz w:val="32"/>
          <w:szCs w:val="32"/>
          <w:highlight w:val="none"/>
        </w:rPr>
      </w:pPr>
    </w:p>
    <w:p w14:paraId="3D2E6091">
      <w:pPr>
        <w:rPr>
          <w:rFonts w:hint="eastAsia" w:ascii="宋体" w:hAnsi="宋体" w:cs="宋体"/>
          <w:b/>
          <w:color w:val="auto"/>
          <w:kern w:val="0"/>
          <w:sz w:val="32"/>
          <w:szCs w:val="32"/>
          <w:highlight w:val="none"/>
        </w:rPr>
      </w:pPr>
    </w:p>
    <w:p w14:paraId="7A9B4373">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D580F">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0D845D1">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3FB1AE6">
      <w:pPr>
        <w:snapToGrid w:val="0"/>
        <w:spacing w:line="360" w:lineRule="auto"/>
        <w:rPr>
          <w:rFonts w:hint="eastAsia" w:ascii="宋体" w:hAnsi="宋体" w:cs="宋体"/>
          <w:color w:val="auto"/>
          <w:kern w:val="0"/>
          <w:sz w:val="24"/>
          <w:highlight w:val="none"/>
        </w:rPr>
      </w:pPr>
    </w:p>
    <w:p w14:paraId="7343B75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DD0030">
      <w:pPr>
        <w:jc w:val="center"/>
        <w:rPr>
          <w:rFonts w:hint="eastAsia" w:ascii="宋体" w:hAnsi="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AD5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5CEFD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C6A63C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8836EA3">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53841C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A402B9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A05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4B19A5">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5E23C9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DF13A13">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A4DA858">
            <w:pPr>
              <w:rPr>
                <w:rFonts w:hint="eastAsia" w:ascii="宋体" w:hAnsi="宋体" w:cs="宋体"/>
                <w:color w:val="auto"/>
                <w:sz w:val="24"/>
                <w:highlight w:val="none"/>
              </w:rPr>
            </w:pPr>
          </w:p>
          <w:p w14:paraId="20400FB6">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4A7877E">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D79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B86F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B9593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443244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ED2F123">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5A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2A7D44">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21491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A1C5992">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CA4EE63">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1133C6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A014882">
      <w:pPr>
        <w:jc w:val="center"/>
        <w:rPr>
          <w:rFonts w:hint="eastAsia" w:ascii="宋体" w:hAnsi="宋体" w:cs="宋体"/>
          <w:b/>
          <w:color w:val="auto"/>
          <w:kern w:val="0"/>
          <w:sz w:val="32"/>
          <w:szCs w:val="32"/>
          <w:highlight w:val="none"/>
        </w:rPr>
      </w:pPr>
    </w:p>
    <w:p w14:paraId="5E477E3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7C0E4E8">
      <w:pPr>
        <w:jc w:val="center"/>
        <w:rPr>
          <w:rFonts w:hint="eastAsia" w:ascii="宋体" w:hAnsi="宋体" w:cs="宋体"/>
          <w:b/>
          <w:color w:val="auto"/>
          <w:kern w:val="0"/>
          <w:sz w:val="32"/>
          <w:szCs w:val="32"/>
          <w:highlight w:val="none"/>
        </w:rPr>
      </w:pPr>
    </w:p>
    <w:p w14:paraId="3E1A8095">
      <w:pPr>
        <w:jc w:val="center"/>
        <w:rPr>
          <w:rFonts w:hint="eastAsia" w:ascii="宋体" w:hAnsi="宋体" w:cs="宋体"/>
          <w:b/>
          <w:color w:val="auto"/>
          <w:kern w:val="0"/>
          <w:sz w:val="32"/>
          <w:szCs w:val="32"/>
          <w:highlight w:val="none"/>
        </w:rPr>
      </w:pPr>
    </w:p>
    <w:p w14:paraId="19C3A7FA">
      <w:pPr>
        <w:jc w:val="center"/>
        <w:rPr>
          <w:rFonts w:hint="eastAsia" w:ascii="宋体" w:hAnsi="宋体" w:cs="宋体"/>
          <w:b/>
          <w:color w:val="auto"/>
          <w:kern w:val="0"/>
          <w:sz w:val="32"/>
          <w:szCs w:val="32"/>
          <w:highlight w:val="none"/>
        </w:rPr>
      </w:pPr>
    </w:p>
    <w:p w14:paraId="020FDF1E">
      <w:pPr>
        <w:jc w:val="center"/>
        <w:rPr>
          <w:rFonts w:hint="eastAsia" w:ascii="宋体" w:hAnsi="宋体" w:cs="宋体"/>
          <w:b/>
          <w:color w:val="auto"/>
          <w:kern w:val="0"/>
          <w:sz w:val="32"/>
          <w:szCs w:val="32"/>
          <w:highlight w:val="none"/>
        </w:rPr>
      </w:pPr>
    </w:p>
    <w:p w14:paraId="35EF2557">
      <w:pPr>
        <w:jc w:val="center"/>
        <w:rPr>
          <w:rFonts w:hint="eastAsia" w:ascii="宋体" w:hAnsi="宋体" w:cs="宋体"/>
          <w:b/>
          <w:color w:val="auto"/>
          <w:kern w:val="0"/>
          <w:sz w:val="32"/>
          <w:szCs w:val="32"/>
          <w:highlight w:val="none"/>
        </w:rPr>
      </w:pPr>
    </w:p>
    <w:p w14:paraId="3278513A">
      <w:pPr>
        <w:jc w:val="center"/>
        <w:rPr>
          <w:rFonts w:hint="eastAsia" w:ascii="宋体" w:hAnsi="宋体" w:cs="宋体"/>
          <w:b/>
          <w:color w:val="auto"/>
          <w:kern w:val="0"/>
          <w:sz w:val="32"/>
          <w:szCs w:val="32"/>
          <w:highlight w:val="none"/>
        </w:rPr>
      </w:pPr>
    </w:p>
    <w:p w14:paraId="4CD0E7A6">
      <w:pPr>
        <w:jc w:val="center"/>
        <w:rPr>
          <w:rFonts w:hint="eastAsia" w:ascii="宋体" w:hAnsi="宋体" w:cs="宋体"/>
          <w:b/>
          <w:color w:val="auto"/>
          <w:kern w:val="0"/>
          <w:sz w:val="32"/>
          <w:szCs w:val="32"/>
          <w:highlight w:val="none"/>
        </w:rPr>
      </w:pPr>
    </w:p>
    <w:p w14:paraId="0553B362">
      <w:pPr>
        <w:jc w:val="center"/>
        <w:rPr>
          <w:rFonts w:hint="eastAsia" w:ascii="宋体" w:hAnsi="宋体" w:cs="宋体"/>
          <w:b/>
          <w:color w:val="auto"/>
          <w:kern w:val="0"/>
          <w:sz w:val="32"/>
          <w:szCs w:val="32"/>
          <w:highlight w:val="none"/>
        </w:rPr>
      </w:pPr>
    </w:p>
    <w:p w14:paraId="7715758A">
      <w:pPr>
        <w:jc w:val="center"/>
        <w:rPr>
          <w:rFonts w:hint="eastAsia" w:ascii="宋体" w:hAnsi="宋体" w:cs="宋体"/>
          <w:b/>
          <w:color w:val="auto"/>
          <w:kern w:val="0"/>
          <w:sz w:val="32"/>
          <w:szCs w:val="32"/>
          <w:highlight w:val="none"/>
        </w:rPr>
      </w:pPr>
    </w:p>
    <w:p w14:paraId="0D4B1F27">
      <w:pPr>
        <w:jc w:val="center"/>
        <w:rPr>
          <w:rFonts w:hint="eastAsia" w:ascii="宋体" w:hAnsi="宋体" w:cs="宋体"/>
          <w:b/>
          <w:color w:val="auto"/>
          <w:kern w:val="0"/>
          <w:sz w:val="32"/>
          <w:szCs w:val="32"/>
          <w:highlight w:val="none"/>
        </w:rPr>
      </w:pPr>
    </w:p>
    <w:p w14:paraId="15F6E3ED">
      <w:pPr>
        <w:jc w:val="center"/>
        <w:rPr>
          <w:rFonts w:hint="eastAsia" w:ascii="宋体" w:hAnsi="宋体" w:cs="宋体"/>
          <w:b/>
          <w:color w:val="auto"/>
          <w:kern w:val="0"/>
          <w:sz w:val="32"/>
          <w:szCs w:val="32"/>
          <w:highlight w:val="none"/>
        </w:rPr>
      </w:pPr>
    </w:p>
    <w:p w14:paraId="3B92BCE3">
      <w:pPr>
        <w:pStyle w:val="26"/>
        <w:ind w:firstLine="0" w:firstLineChars="0"/>
        <w:rPr>
          <w:rFonts w:hint="eastAsia"/>
          <w:color w:val="auto"/>
          <w:highlight w:val="none"/>
          <w:lang w:val="en-US"/>
        </w:rPr>
      </w:pPr>
    </w:p>
    <w:p w14:paraId="07651660">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C182668">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865333">
      <w:pPr>
        <w:jc w:val="center"/>
        <w:rPr>
          <w:rFonts w:hint="eastAsia" w:ascii="宋体" w:hAnsi="宋体" w:cs="宋体"/>
          <w:b/>
          <w:color w:val="auto"/>
          <w:kern w:val="0"/>
          <w:sz w:val="32"/>
          <w:szCs w:val="32"/>
          <w:highlight w:val="none"/>
        </w:rPr>
      </w:pPr>
    </w:p>
    <w:p w14:paraId="1D32A931">
      <w:pPr>
        <w:jc w:val="center"/>
        <w:rPr>
          <w:rFonts w:hint="eastAsia" w:ascii="宋体" w:hAnsi="宋体" w:cs="宋体"/>
          <w:b/>
          <w:color w:val="auto"/>
          <w:kern w:val="0"/>
          <w:sz w:val="32"/>
          <w:szCs w:val="32"/>
          <w:highlight w:val="none"/>
        </w:rPr>
      </w:pPr>
    </w:p>
    <w:p w14:paraId="3B91723A">
      <w:pPr>
        <w:jc w:val="center"/>
        <w:rPr>
          <w:rFonts w:hint="eastAsia" w:ascii="宋体" w:hAnsi="宋体" w:cs="宋体"/>
          <w:b/>
          <w:color w:val="auto"/>
          <w:kern w:val="0"/>
          <w:sz w:val="32"/>
          <w:szCs w:val="32"/>
          <w:highlight w:val="none"/>
        </w:rPr>
      </w:pPr>
    </w:p>
    <w:p w14:paraId="55D7E21A">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536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09E0C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4010A4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6F36942">
            <w:pPr>
              <w:spacing w:line="360" w:lineRule="auto"/>
              <w:jc w:val="center"/>
              <w:rPr>
                <w:rFonts w:hint="eastAsia" w:ascii="宋体" w:hAnsi="宋体" w:cs="宋体"/>
                <w:b/>
                <w:color w:val="auto"/>
                <w:sz w:val="24"/>
                <w:highlight w:val="none"/>
              </w:rPr>
            </w:pPr>
          </w:p>
          <w:p w14:paraId="0319D6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3F333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09BDC3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65CB6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DDE8C01">
            <w:pPr>
              <w:spacing w:line="360" w:lineRule="auto"/>
              <w:jc w:val="center"/>
              <w:rPr>
                <w:rFonts w:hint="eastAsia" w:ascii="宋体" w:hAnsi="宋体" w:cs="宋体"/>
                <w:b/>
                <w:color w:val="auto"/>
                <w:sz w:val="24"/>
                <w:highlight w:val="none"/>
              </w:rPr>
            </w:pPr>
          </w:p>
          <w:p w14:paraId="7DADC3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E33D31D">
            <w:pPr>
              <w:spacing w:line="360" w:lineRule="auto"/>
              <w:jc w:val="center"/>
              <w:rPr>
                <w:rFonts w:hint="eastAsia" w:ascii="宋体" w:hAnsi="宋体" w:cs="宋体"/>
                <w:b/>
                <w:color w:val="auto"/>
                <w:sz w:val="24"/>
                <w:highlight w:val="none"/>
              </w:rPr>
            </w:pPr>
          </w:p>
        </w:tc>
      </w:tr>
      <w:tr w14:paraId="1337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66F5C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EFA2A5">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3F5521">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B1ADE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6850E1">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F38DC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939E95">
            <w:pPr>
              <w:spacing w:line="360" w:lineRule="auto"/>
              <w:jc w:val="center"/>
              <w:rPr>
                <w:rFonts w:hint="eastAsia" w:ascii="宋体" w:hAnsi="宋体" w:cs="宋体"/>
                <w:color w:val="auto"/>
                <w:sz w:val="24"/>
                <w:highlight w:val="none"/>
              </w:rPr>
            </w:pPr>
          </w:p>
        </w:tc>
      </w:tr>
      <w:tr w14:paraId="18DC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744DF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DFAB1C">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B43BB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263E6EC">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9EC6DA">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F3F47E1">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B53C6F">
            <w:pPr>
              <w:spacing w:line="360" w:lineRule="auto"/>
              <w:jc w:val="center"/>
              <w:rPr>
                <w:rFonts w:hint="eastAsia" w:ascii="宋体" w:hAnsi="宋体" w:cs="宋体"/>
                <w:color w:val="auto"/>
                <w:sz w:val="24"/>
                <w:highlight w:val="none"/>
              </w:rPr>
            </w:pPr>
          </w:p>
        </w:tc>
      </w:tr>
      <w:tr w14:paraId="013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000DF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E25438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9B8639">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793B4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E51042">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EAD5D30">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BDCD088">
            <w:pPr>
              <w:spacing w:line="360" w:lineRule="auto"/>
              <w:jc w:val="center"/>
              <w:rPr>
                <w:rFonts w:hint="eastAsia" w:ascii="宋体" w:hAnsi="宋体" w:cs="宋体"/>
                <w:color w:val="auto"/>
                <w:sz w:val="24"/>
                <w:highlight w:val="none"/>
              </w:rPr>
            </w:pPr>
          </w:p>
        </w:tc>
      </w:tr>
    </w:tbl>
    <w:p w14:paraId="7927F51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CF22EDA">
      <w:pPr>
        <w:jc w:val="center"/>
        <w:rPr>
          <w:rFonts w:hint="eastAsia" w:ascii="宋体" w:hAnsi="宋体" w:cs="宋体"/>
          <w:b/>
          <w:color w:val="auto"/>
          <w:kern w:val="0"/>
          <w:sz w:val="32"/>
          <w:szCs w:val="32"/>
          <w:highlight w:val="none"/>
        </w:rPr>
      </w:pPr>
    </w:p>
    <w:p w14:paraId="41FC28C1">
      <w:pPr>
        <w:jc w:val="center"/>
        <w:rPr>
          <w:rFonts w:hint="eastAsia" w:ascii="宋体" w:hAnsi="宋体" w:cs="宋体"/>
          <w:b/>
          <w:color w:val="auto"/>
          <w:kern w:val="0"/>
          <w:sz w:val="32"/>
          <w:szCs w:val="32"/>
          <w:highlight w:val="none"/>
        </w:rPr>
      </w:pPr>
    </w:p>
    <w:p w14:paraId="01B4398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09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0E9E9D">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DE7F94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753F116">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A54CB5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9D6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38795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D949411">
            <w:pPr>
              <w:jc w:val="center"/>
              <w:rPr>
                <w:rFonts w:hint="eastAsia" w:ascii="宋体" w:hAnsi="宋体" w:cs="宋体"/>
                <w:b/>
                <w:color w:val="auto"/>
                <w:kern w:val="0"/>
                <w:sz w:val="32"/>
                <w:szCs w:val="32"/>
                <w:highlight w:val="none"/>
              </w:rPr>
            </w:pPr>
          </w:p>
        </w:tc>
        <w:tc>
          <w:tcPr>
            <w:tcW w:w="3546" w:type="dxa"/>
          </w:tcPr>
          <w:p w14:paraId="68011B54">
            <w:pPr>
              <w:jc w:val="center"/>
              <w:rPr>
                <w:rFonts w:hint="eastAsia" w:ascii="宋体" w:hAnsi="宋体" w:cs="宋体"/>
                <w:b/>
                <w:color w:val="auto"/>
                <w:kern w:val="0"/>
                <w:sz w:val="32"/>
                <w:szCs w:val="32"/>
                <w:highlight w:val="none"/>
              </w:rPr>
            </w:pPr>
          </w:p>
        </w:tc>
        <w:tc>
          <w:tcPr>
            <w:tcW w:w="1276" w:type="dxa"/>
          </w:tcPr>
          <w:p w14:paraId="0D82467A">
            <w:pPr>
              <w:jc w:val="center"/>
              <w:rPr>
                <w:rFonts w:hint="eastAsia" w:ascii="宋体" w:hAnsi="宋体" w:cs="宋体"/>
                <w:b/>
                <w:color w:val="auto"/>
                <w:kern w:val="0"/>
                <w:sz w:val="32"/>
                <w:szCs w:val="32"/>
                <w:highlight w:val="none"/>
              </w:rPr>
            </w:pPr>
          </w:p>
        </w:tc>
      </w:tr>
      <w:tr w14:paraId="6BFF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E4C5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08A53A5">
            <w:pPr>
              <w:jc w:val="center"/>
              <w:rPr>
                <w:rFonts w:hint="eastAsia" w:ascii="宋体" w:hAnsi="宋体" w:cs="宋体"/>
                <w:b/>
                <w:color w:val="auto"/>
                <w:kern w:val="0"/>
                <w:sz w:val="32"/>
                <w:szCs w:val="32"/>
                <w:highlight w:val="none"/>
              </w:rPr>
            </w:pPr>
          </w:p>
        </w:tc>
        <w:tc>
          <w:tcPr>
            <w:tcW w:w="3546" w:type="dxa"/>
          </w:tcPr>
          <w:p w14:paraId="25B7910C">
            <w:pPr>
              <w:jc w:val="center"/>
              <w:rPr>
                <w:rFonts w:hint="eastAsia" w:ascii="宋体" w:hAnsi="宋体" w:cs="宋体"/>
                <w:b/>
                <w:color w:val="auto"/>
                <w:kern w:val="0"/>
                <w:sz w:val="32"/>
                <w:szCs w:val="32"/>
                <w:highlight w:val="none"/>
              </w:rPr>
            </w:pPr>
          </w:p>
        </w:tc>
        <w:tc>
          <w:tcPr>
            <w:tcW w:w="1276" w:type="dxa"/>
          </w:tcPr>
          <w:p w14:paraId="0E44445E">
            <w:pPr>
              <w:jc w:val="center"/>
              <w:rPr>
                <w:rFonts w:hint="eastAsia" w:ascii="宋体" w:hAnsi="宋体" w:cs="宋体"/>
                <w:b/>
                <w:color w:val="auto"/>
                <w:kern w:val="0"/>
                <w:sz w:val="32"/>
                <w:szCs w:val="32"/>
                <w:highlight w:val="none"/>
              </w:rPr>
            </w:pPr>
          </w:p>
        </w:tc>
      </w:tr>
      <w:tr w14:paraId="42D7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7DA09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885AB85">
            <w:pPr>
              <w:jc w:val="center"/>
              <w:rPr>
                <w:rFonts w:hint="eastAsia" w:ascii="宋体" w:hAnsi="宋体" w:cs="宋体"/>
                <w:b/>
                <w:color w:val="auto"/>
                <w:kern w:val="0"/>
                <w:sz w:val="32"/>
                <w:szCs w:val="32"/>
                <w:highlight w:val="none"/>
              </w:rPr>
            </w:pPr>
          </w:p>
        </w:tc>
        <w:tc>
          <w:tcPr>
            <w:tcW w:w="3546" w:type="dxa"/>
          </w:tcPr>
          <w:p w14:paraId="6B120D24">
            <w:pPr>
              <w:jc w:val="center"/>
              <w:rPr>
                <w:rFonts w:hint="eastAsia" w:ascii="宋体" w:hAnsi="宋体" w:cs="宋体"/>
                <w:b/>
                <w:color w:val="auto"/>
                <w:kern w:val="0"/>
                <w:sz w:val="32"/>
                <w:szCs w:val="32"/>
                <w:highlight w:val="none"/>
              </w:rPr>
            </w:pPr>
          </w:p>
        </w:tc>
        <w:tc>
          <w:tcPr>
            <w:tcW w:w="1276" w:type="dxa"/>
          </w:tcPr>
          <w:p w14:paraId="2E8F19A3">
            <w:pPr>
              <w:jc w:val="center"/>
              <w:rPr>
                <w:rFonts w:hint="eastAsia" w:ascii="宋体" w:hAnsi="宋体" w:cs="宋体"/>
                <w:b/>
                <w:color w:val="auto"/>
                <w:kern w:val="0"/>
                <w:sz w:val="32"/>
                <w:szCs w:val="32"/>
                <w:highlight w:val="none"/>
              </w:rPr>
            </w:pPr>
          </w:p>
        </w:tc>
      </w:tr>
    </w:tbl>
    <w:p w14:paraId="583BB60E">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5C41054">
      <w:pPr>
        <w:jc w:val="center"/>
        <w:rPr>
          <w:rFonts w:hint="eastAsia" w:ascii="宋体" w:hAnsi="宋体" w:cs="宋体"/>
          <w:b/>
          <w:color w:val="auto"/>
          <w:kern w:val="0"/>
          <w:sz w:val="32"/>
          <w:szCs w:val="32"/>
          <w:highlight w:val="none"/>
        </w:rPr>
      </w:pPr>
    </w:p>
    <w:p w14:paraId="4DB326C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CE480D4">
      <w:pPr>
        <w:ind w:firstLine="1911" w:firstLineChars="595"/>
        <w:rPr>
          <w:rFonts w:hint="eastAsia" w:ascii="宋体" w:hAnsi="宋体" w:cs="宋体"/>
          <w:b/>
          <w:bCs/>
          <w:color w:val="auto"/>
          <w:sz w:val="32"/>
          <w:szCs w:val="32"/>
          <w:highlight w:val="none"/>
        </w:rPr>
      </w:pPr>
    </w:p>
    <w:p w14:paraId="152F369C">
      <w:pPr>
        <w:ind w:firstLine="1911" w:firstLineChars="595"/>
        <w:rPr>
          <w:rFonts w:hint="eastAsia" w:ascii="宋体" w:hAnsi="宋体" w:cs="宋体"/>
          <w:b/>
          <w:bCs/>
          <w:color w:val="auto"/>
          <w:sz w:val="32"/>
          <w:szCs w:val="32"/>
          <w:highlight w:val="none"/>
        </w:rPr>
      </w:pPr>
    </w:p>
    <w:p w14:paraId="4F4EC03C">
      <w:pPr>
        <w:ind w:firstLine="1911" w:firstLineChars="595"/>
        <w:rPr>
          <w:rFonts w:hint="eastAsia" w:ascii="宋体" w:hAnsi="宋体" w:cs="宋体"/>
          <w:b/>
          <w:bCs/>
          <w:color w:val="auto"/>
          <w:sz w:val="32"/>
          <w:szCs w:val="32"/>
          <w:highlight w:val="none"/>
        </w:rPr>
      </w:pPr>
    </w:p>
    <w:p w14:paraId="1B31952A">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58343E27">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7414C76">
      <w:pPr>
        <w:snapToGrid w:val="0"/>
        <w:spacing w:line="360" w:lineRule="auto"/>
        <w:rPr>
          <w:rFonts w:hint="eastAsia" w:ascii="宋体" w:hAnsi="宋体" w:cs="宋体"/>
          <w:color w:val="auto"/>
          <w:sz w:val="24"/>
          <w:highlight w:val="none"/>
        </w:rPr>
      </w:pPr>
    </w:p>
    <w:p w14:paraId="4F1F331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7AF7EC9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43C6AF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CE18224">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24A80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F24748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4961BC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B493D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3992E59">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693D47E">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04B962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ECD233A">
      <w:pPr>
        <w:autoSpaceDE w:val="0"/>
        <w:autoSpaceDN w:val="0"/>
        <w:spacing w:line="360" w:lineRule="auto"/>
        <w:ind w:left="2"/>
        <w:jc w:val="left"/>
        <w:rPr>
          <w:rFonts w:hint="eastAsia" w:ascii="宋体" w:hAnsi="宋体" w:cs="宋体"/>
          <w:color w:val="auto"/>
          <w:kern w:val="0"/>
          <w:sz w:val="24"/>
          <w:highlight w:val="none"/>
          <w:lang w:val="zh-CN"/>
        </w:rPr>
      </w:pPr>
    </w:p>
    <w:p w14:paraId="0ECD2A9C">
      <w:pPr>
        <w:pStyle w:val="26"/>
        <w:rPr>
          <w:rFonts w:hint="eastAsia"/>
          <w:color w:val="auto"/>
          <w:highlight w:val="none"/>
          <w:lang w:val="zh-CN"/>
        </w:rPr>
      </w:pPr>
    </w:p>
    <w:p w14:paraId="6FE86189">
      <w:pPr>
        <w:autoSpaceDE w:val="0"/>
        <w:autoSpaceDN w:val="0"/>
        <w:spacing w:line="360" w:lineRule="auto"/>
        <w:ind w:left="2"/>
        <w:jc w:val="left"/>
        <w:rPr>
          <w:rFonts w:hint="eastAsia" w:ascii="宋体" w:hAnsi="宋体" w:cs="宋体"/>
          <w:color w:val="auto"/>
          <w:kern w:val="0"/>
          <w:sz w:val="24"/>
          <w:highlight w:val="none"/>
          <w:lang w:val="zh-CN"/>
        </w:rPr>
      </w:pPr>
    </w:p>
    <w:p w14:paraId="40F2ADD2">
      <w:pPr>
        <w:autoSpaceDE w:val="0"/>
        <w:autoSpaceDN w:val="0"/>
        <w:spacing w:line="360" w:lineRule="auto"/>
        <w:ind w:left="2"/>
        <w:jc w:val="left"/>
        <w:rPr>
          <w:rFonts w:hint="eastAsia" w:ascii="宋体" w:hAnsi="宋体" w:cs="宋体"/>
          <w:color w:val="auto"/>
          <w:kern w:val="0"/>
          <w:sz w:val="24"/>
          <w:highlight w:val="none"/>
          <w:lang w:val="zh-CN"/>
        </w:rPr>
      </w:pPr>
    </w:p>
    <w:p w14:paraId="39031E3E">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ABF8E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78A197">
      <w:pPr>
        <w:spacing w:line="360" w:lineRule="auto"/>
        <w:jc w:val="center"/>
        <w:rPr>
          <w:rFonts w:hint="eastAsia" w:ascii="宋体" w:hAnsi="宋体" w:cs="宋体"/>
          <w:b/>
          <w:bCs/>
          <w:color w:val="auto"/>
          <w:sz w:val="24"/>
          <w:highlight w:val="none"/>
        </w:rPr>
      </w:pPr>
    </w:p>
    <w:p w14:paraId="4DDBF8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2957B87">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5B02AA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260F3E7">
      <w:pPr>
        <w:spacing w:line="36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目录</w:t>
      </w:r>
    </w:p>
    <w:p w14:paraId="6C79B756">
      <w:pPr>
        <w:spacing w:line="360" w:lineRule="auto"/>
        <w:jc w:val="center"/>
        <w:rPr>
          <w:rFonts w:hint="eastAsia" w:ascii="宋体" w:hAnsi="宋体" w:cs="宋体"/>
          <w:color w:val="auto"/>
          <w:kern w:val="0"/>
          <w:sz w:val="36"/>
          <w:szCs w:val="36"/>
          <w:highlight w:val="none"/>
          <w:lang w:val="zh-CN"/>
        </w:rPr>
      </w:pPr>
    </w:p>
    <w:p w14:paraId="147B56F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5AC39A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（2）分项报价表……………………………………………………………………（页码）</w:t>
      </w:r>
    </w:p>
    <w:p w14:paraId="1CFB61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（3）报价情况说明……………………………………………………………………（页码）</w:t>
      </w:r>
    </w:p>
    <w:p w14:paraId="72CC397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（4）中小企业声明函…………………………………………………………………（页码）</w:t>
      </w:r>
    </w:p>
    <w:p w14:paraId="1FC47713">
      <w:pPr>
        <w:snapToGrid w:val="0"/>
        <w:spacing w:line="360" w:lineRule="auto"/>
        <w:ind w:right="480"/>
        <w:jc w:val="center"/>
        <w:rPr>
          <w:rFonts w:hint="eastAsia" w:ascii="宋体" w:hAnsi="宋体" w:cs="宋体"/>
          <w:b/>
          <w:color w:val="auto"/>
          <w:kern w:val="0"/>
          <w:sz w:val="32"/>
          <w:szCs w:val="32"/>
          <w:highlight w:val="none"/>
        </w:rPr>
      </w:pPr>
    </w:p>
    <w:p w14:paraId="4F18D145">
      <w:pPr>
        <w:snapToGrid w:val="0"/>
        <w:spacing w:line="360" w:lineRule="auto"/>
        <w:ind w:right="480"/>
        <w:jc w:val="center"/>
        <w:rPr>
          <w:rFonts w:hint="eastAsia" w:ascii="宋体" w:hAnsi="宋体" w:cs="宋体"/>
          <w:b/>
          <w:color w:val="auto"/>
          <w:kern w:val="0"/>
          <w:sz w:val="32"/>
          <w:szCs w:val="32"/>
          <w:highlight w:val="none"/>
        </w:rPr>
      </w:pPr>
    </w:p>
    <w:p w14:paraId="062114D8">
      <w:pPr>
        <w:snapToGrid w:val="0"/>
        <w:spacing w:line="360" w:lineRule="auto"/>
        <w:ind w:right="480"/>
        <w:jc w:val="center"/>
        <w:rPr>
          <w:rFonts w:hint="eastAsia" w:ascii="宋体" w:hAnsi="宋体" w:cs="宋体"/>
          <w:b/>
          <w:color w:val="auto"/>
          <w:kern w:val="0"/>
          <w:sz w:val="32"/>
          <w:szCs w:val="32"/>
          <w:highlight w:val="none"/>
        </w:rPr>
      </w:pPr>
    </w:p>
    <w:p w14:paraId="3E294E9A">
      <w:pPr>
        <w:snapToGrid w:val="0"/>
        <w:spacing w:line="360" w:lineRule="auto"/>
        <w:ind w:right="480"/>
        <w:jc w:val="center"/>
        <w:rPr>
          <w:rFonts w:hint="eastAsia" w:ascii="宋体" w:hAnsi="宋体" w:cs="宋体"/>
          <w:b/>
          <w:color w:val="auto"/>
          <w:kern w:val="0"/>
          <w:sz w:val="32"/>
          <w:szCs w:val="32"/>
          <w:highlight w:val="none"/>
        </w:rPr>
      </w:pPr>
    </w:p>
    <w:p w14:paraId="51B94342">
      <w:pPr>
        <w:snapToGrid w:val="0"/>
        <w:spacing w:line="360" w:lineRule="auto"/>
        <w:ind w:right="480"/>
        <w:jc w:val="center"/>
        <w:rPr>
          <w:rFonts w:hint="eastAsia" w:ascii="宋体" w:hAnsi="宋体" w:cs="宋体"/>
          <w:b/>
          <w:color w:val="auto"/>
          <w:kern w:val="0"/>
          <w:sz w:val="32"/>
          <w:szCs w:val="32"/>
          <w:highlight w:val="none"/>
        </w:rPr>
      </w:pPr>
    </w:p>
    <w:p w14:paraId="4B562899">
      <w:pPr>
        <w:snapToGrid w:val="0"/>
        <w:spacing w:line="360" w:lineRule="auto"/>
        <w:ind w:right="480"/>
        <w:jc w:val="center"/>
        <w:rPr>
          <w:rFonts w:hint="eastAsia" w:ascii="宋体" w:hAnsi="宋体" w:cs="宋体"/>
          <w:b/>
          <w:color w:val="auto"/>
          <w:kern w:val="0"/>
          <w:sz w:val="32"/>
          <w:szCs w:val="32"/>
          <w:highlight w:val="none"/>
        </w:rPr>
      </w:pPr>
    </w:p>
    <w:p w14:paraId="43604575">
      <w:pPr>
        <w:snapToGrid w:val="0"/>
        <w:spacing w:line="360" w:lineRule="auto"/>
        <w:ind w:right="480"/>
        <w:jc w:val="center"/>
        <w:rPr>
          <w:rFonts w:hint="eastAsia" w:ascii="宋体" w:hAnsi="宋体" w:cs="宋体"/>
          <w:b/>
          <w:color w:val="auto"/>
          <w:kern w:val="0"/>
          <w:sz w:val="32"/>
          <w:szCs w:val="32"/>
          <w:highlight w:val="none"/>
        </w:rPr>
      </w:pPr>
    </w:p>
    <w:p w14:paraId="5F55651B">
      <w:pPr>
        <w:snapToGrid w:val="0"/>
        <w:spacing w:line="360" w:lineRule="auto"/>
        <w:ind w:right="480"/>
        <w:jc w:val="center"/>
        <w:rPr>
          <w:rFonts w:hint="eastAsia" w:ascii="宋体" w:hAnsi="宋体" w:cs="宋体"/>
          <w:b/>
          <w:color w:val="auto"/>
          <w:kern w:val="0"/>
          <w:sz w:val="32"/>
          <w:szCs w:val="32"/>
          <w:highlight w:val="none"/>
        </w:rPr>
      </w:pPr>
    </w:p>
    <w:p w14:paraId="6A14A136">
      <w:pPr>
        <w:snapToGrid w:val="0"/>
        <w:spacing w:line="360" w:lineRule="auto"/>
        <w:ind w:right="480"/>
        <w:jc w:val="center"/>
        <w:rPr>
          <w:rFonts w:hint="eastAsia" w:ascii="宋体" w:hAnsi="宋体" w:cs="宋体"/>
          <w:b/>
          <w:color w:val="auto"/>
          <w:kern w:val="0"/>
          <w:sz w:val="32"/>
          <w:szCs w:val="32"/>
          <w:highlight w:val="none"/>
        </w:rPr>
      </w:pPr>
    </w:p>
    <w:p w14:paraId="34797DBE">
      <w:pPr>
        <w:snapToGrid w:val="0"/>
        <w:spacing w:line="360" w:lineRule="auto"/>
        <w:ind w:right="480"/>
        <w:jc w:val="center"/>
        <w:rPr>
          <w:rFonts w:hint="eastAsia" w:ascii="宋体" w:hAnsi="宋体" w:cs="宋体"/>
          <w:b/>
          <w:color w:val="auto"/>
          <w:kern w:val="0"/>
          <w:sz w:val="32"/>
          <w:szCs w:val="32"/>
          <w:highlight w:val="none"/>
        </w:rPr>
      </w:pPr>
    </w:p>
    <w:p w14:paraId="33D9B5CB">
      <w:pPr>
        <w:snapToGrid w:val="0"/>
        <w:spacing w:line="360" w:lineRule="auto"/>
        <w:ind w:right="480"/>
        <w:jc w:val="center"/>
        <w:rPr>
          <w:rFonts w:hint="eastAsia" w:ascii="宋体" w:hAnsi="宋体" w:cs="宋体"/>
          <w:b/>
          <w:color w:val="auto"/>
          <w:kern w:val="0"/>
          <w:sz w:val="32"/>
          <w:szCs w:val="32"/>
          <w:highlight w:val="none"/>
        </w:rPr>
      </w:pPr>
    </w:p>
    <w:p w14:paraId="4220096F">
      <w:pPr>
        <w:snapToGrid w:val="0"/>
        <w:spacing w:line="360" w:lineRule="auto"/>
        <w:ind w:right="480"/>
        <w:jc w:val="center"/>
        <w:rPr>
          <w:rFonts w:hint="eastAsia" w:ascii="宋体" w:hAnsi="宋体" w:cs="宋体"/>
          <w:b/>
          <w:color w:val="auto"/>
          <w:kern w:val="0"/>
          <w:sz w:val="32"/>
          <w:szCs w:val="32"/>
          <w:highlight w:val="none"/>
        </w:rPr>
      </w:pPr>
    </w:p>
    <w:p w14:paraId="6216B53F">
      <w:pPr>
        <w:snapToGrid w:val="0"/>
        <w:spacing w:line="360" w:lineRule="auto"/>
        <w:ind w:right="480"/>
        <w:jc w:val="center"/>
        <w:rPr>
          <w:rFonts w:hint="eastAsia" w:ascii="宋体" w:hAnsi="宋体" w:cs="宋体"/>
          <w:b/>
          <w:color w:val="auto"/>
          <w:kern w:val="0"/>
          <w:sz w:val="32"/>
          <w:szCs w:val="32"/>
          <w:highlight w:val="none"/>
        </w:rPr>
      </w:pPr>
    </w:p>
    <w:p w14:paraId="1C342E7F">
      <w:pPr>
        <w:snapToGrid w:val="0"/>
        <w:spacing w:line="360" w:lineRule="auto"/>
        <w:ind w:right="480"/>
        <w:jc w:val="center"/>
        <w:rPr>
          <w:rFonts w:hint="eastAsia" w:ascii="宋体" w:hAnsi="宋体" w:cs="宋体"/>
          <w:b/>
          <w:color w:val="auto"/>
          <w:kern w:val="0"/>
          <w:sz w:val="32"/>
          <w:szCs w:val="32"/>
          <w:highlight w:val="none"/>
        </w:rPr>
      </w:pPr>
    </w:p>
    <w:p w14:paraId="276FFFB3">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8C0012F">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FA245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杭州市卫生健康事业发展中心、浙江省成套招标代理有限公司</w:t>
      </w:r>
      <w:r>
        <w:rPr>
          <w:rFonts w:hint="eastAsia" w:ascii="宋体" w:hAnsi="宋体" w:cs="宋体"/>
          <w:color w:val="auto"/>
          <w:kern w:val="0"/>
          <w:sz w:val="24"/>
          <w:highlight w:val="none"/>
          <w:lang w:val="zh-CN"/>
        </w:rPr>
        <w:t>：</w:t>
      </w:r>
    </w:p>
    <w:p w14:paraId="5F5012C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杭州市第四人民医院（杭州市肿瘤医院）迁建工程桩基检测、基坑监测及沉降观测服务项目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ECACC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31"/>
        <w:gridCol w:w="1276"/>
        <w:gridCol w:w="1701"/>
        <w:gridCol w:w="1530"/>
        <w:gridCol w:w="2126"/>
        <w:gridCol w:w="2127"/>
        <w:gridCol w:w="2126"/>
      </w:tblGrid>
      <w:tr w14:paraId="29A7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BAD95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431" w:type="dxa"/>
            <w:vAlign w:val="center"/>
          </w:tcPr>
          <w:p w14:paraId="6D3CF5F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76" w:type="dxa"/>
            <w:vAlign w:val="center"/>
          </w:tcPr>
          <w:p w14:paraId="56B5969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701" w:type="dxa"/>
            <w:vAlign w:val="center"/>
          </w:tcPr>
          <w:p w14:paraId="0F5F1B2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530" w:type="dxa"/>
            <w:vAlign w:val="center"/>
          </w:tcPr>
          <w:p w14:paraId="4EA1DAD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255805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1529445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B2FF3C1">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分项报价明细</w:t>
            </w:r>
          </w:p>
        </w:tc>
      </w:tr>
      <w:tr w14:paraId="416F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BED38D5">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3431" w:type="dxa"/>
            <w:shd w:val="clear" w:color="auto" w:fill="auto"/>
            <w:vAlign w:val="center"/>
          </w:tcPr>
          <w:p w14:paraId="26A9FA61">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桩基检测</w:t>
            </w:r>
          </w:p>
        </w:tc>
        <w:tc>
          <w:tcPr>
            <w:tcW w:w="1276" w:type="dxa"/>
            <w:vAlign w:val="center"/>
          </w:tcPr>
          <w:p w14:paraId="61F71B26">
            <w:pPr>
              <w:snapToGrid w:val="0"/>
              <w:spacing w:line="360" w:lineRule="auto"/>
              <w:jc w:val="center"/>
              <w:rPr>
                <w:rFonts w:hint="eastAsia" w:ascii="宋体" w:hAnsi="宋体" w:cs="宋体"/>
                <w:color w:val="auto"/>
                <w:sz w:val="24"/>
                <w:highlight w:val="none"/>
              </w:rPr>
            </w:pPr>
          </w:p>
        </w:tc>
        <w:tc>
          <w:tcPr>
            <w:tcW w:w="1701" w:type="dxa"/>
            <w:vAlign w:val="center"/>
          </w:tcPr>
          <w:p w14:paraId="5FD97EAF">
            <w:pPr>
              <w:snapToGrid w:val="0"/>
              <w:spacing w:line="360" w:lineRule="auto"/>
              <w:jc w:val="center"/>
              <w:rPr>
                <w:rFonts w:hint="eastAsia" w:ascii="宋体" w:hAnsi="宋体" w:cs="宋体"/>
                <w:color w:val="auto"/>
                <w:sz w:val="24"/>
                <w:highlight w:val="none"/>
              </w:rPr>
            </w:pPr>
          </w:p>
        </w:tc>
        <w:tc>
          <w:tcPr>
            <w:tcW w:w="1530" w:type="dxa"/>
            <w:vAlign w:val="center"/>
          </w:tcPr>
          <w:p w14:paraId="35DDDF69">
            <w:pPr>
              <w:snapToGrid w:val="0"/>
              <w:spacing w:line="360" w:lineRule="auto"/>
              <w:jc w:val="center"/>
              <w:rPr>
                <w:rFonts w:hint="eastAsia" w:ascii="宋体" w:hAnsi="宋体" w:cs="宋体"/>
                <w:color w:val="auto"/>
                <w:sz w:val="24"/>
                <w:highlight w:val="none"/>
              </w:rPr>
            </w:pPr>
          </w:p>
        </w:tc>
        <w:tc>
          <w:tcPr>
            <w:tcW w:w="2126" w:type="dxa"/>
            <w:vAlign w:val="center"/>
          </w:tcPr>
          <w:p w14:paraId="1BD07ED6">
            <w:pPr>
              <w:spacing w:line="360" w:lineRule="auto"/>
              <w:jc w:val="center"/>
              <w:rPr>
                <w:rFonts w:hint="eastAsia" w:ascii="宋体" w:hAnsi="宋体" w:cs="宋体"/>
                <w:color w:val="auto"/>
                <w:sz w:val="24"/>
                <w:highlight w:val="none"/>
              </w:rPr>
            </w:pPr>
          </w:p>
        </w:tc>
        <w:tc>
          <w:tcPr>
            <w:tcW w:w="2127" w:type="dxa"/>
          </w:tcPr>
          <w:p w14:paraId="289E9A5B">
            <w:pPr>
              <w:spacing w:line="360" w:lineRule="auto"/>
              <w:jc w:val="center"/>
              <w:rPr>
                <w:rFonts w:hint="eastAsia" w:ascii="宋体" w:hAnsi="宋体" w:cs="宋体"/>
                <w:color w:val="auto"/>
                <w:sz w:val="24"/>
                <w:highlight w:val="none"/>
              </w:rPr>
            </w:pPr>
          </w:p>
        </w:tc>
        <w:tc>
          <w:tcPr>
            <w:tcW w:w="2126" w:type="dxa"/>
            <w:vAlign w:val="center"/>
          </w:tcPr>
          <w:p w14:paraId="67945AE4">
            <w:pPr>
              <w:spacing w:line="360" w:lineRule="auto"/>
              <w:jc w:val="center"/>
              <w:rPr>
                <w:rFonts w:hint="eastAsia" w:ascii="宋体" w:hAnsi="宋体" w:cs="宋体"/>
                <w:color w:val="auto"/>
                <w:sz w:val="24"/>
                <w:highlight w:val="none"/>
              </w:rPr>
            </w:pPr>
          </w:p>
        </w:tc>
      </w:tr>
      <w:tr w14:paraId="18E0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68FCA6">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3431" w:type="dxa"/>
            <w:shd w:val="clear" w:color="auto" w:fill="auto"/>
            <w:vAlign w:val="center"/>
          </w:tcPr>
          <w:p w14:paraId="11B16FF5">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基坑检测</w:t>
            </w:r>
          </w:p>
        </w:tc>
        <w:tc>
          <w:tcPr>
            <w:tcW w:w="1276" w:type="dxa"/>
            <w:vAlign w:val="center"/>
          </w:tcPr>
          <w:p w14:paraId="5F20C306">
            <w:pPr>
              <w:snapToGrid w:val="0"/>
              <w:spacing w:line="360" w:lineRule="auto"/>
              <w:jc w:val="center"/>
              <w:rPr>
                <w:rFonts w:hint="eastAsia" w:ascii="宋体" w:hAnsi="宋体" w:cs="宋体"/>
                <w:color w:val="auto"/>
                <w:sz w:val="24"/>
                <w:highlight w:val="none"/>
              </w:rPr>
            </w:pPr>
          </w:p>
        </w:tc>
        <w:tc>
          <w:tcPr>
            <w:tcW w:w="1701" w:type="dxa"/>
            <w:vAlign w:val="center"/>
          </w:tcPr>
          <w:p w14:paraId="06E69FCA">
            <w:pPr>
              <w:snapToGrid w:val="0"/>
              <w:spacing w:line="360" w:lineRule="auto"/>
              <w:jc w:val="center"/>
              <w:rPr>
                <w:rFonts w:hint="eastAsia" w:ascii="宋体" w:hAnsi="宋体" w:cs="宋体"/>
                <w:color w:val="auto"/>
                <w:sz w:val="24"/>
                <w:highlight w:val="none"/>
              </w:rPr>
            </w:pPr>
          </w:p>
        </w:tc>
        <w:tc>
          <w:tcPr>
            <w:tcW w:w="1530" w:type="dxa"/>
            <w:vAlign w:val="center"/>
          </w:tcPr>
          <w:p w14:paraId="588CBD5B">
            <w:pPr>
              <w:snapToGrid w:val="0"/>
              <w:spacing w:line="360" w:lineRule="auto"/>
              <w:jc w:val="center"/>
              <w:rPr>
                <w:rFonts w:hint="eastAsia" w:ascii="宋体" w:hAnsi="宋体" w:cs="宋体"/>
                <w:color w:val="auto"/>
                <w:sz w:val="24"/>
                <w:highlight w:val="none"/>
              </w:rPr>
            </w:pPr>
          </w:p>
        </w:tc>
        <w:tc>
          <w:tcPr>
            <w:tcW w:w="2126" w:type="dxa"/>
            <w:vAlign w:val="center"/>
          </w:tcPr>
          <w:p w14:paraId="2A493602">
            <w:pPr>
              <w:spacing w:line="360" w:lineRule="auto"/>
              <w:jc w:val="center"/>
              <w:rPr>
                <w:rFonts w:hint="eastAsia" w:ascii="宋体" w:hAnsi="宋体" w:cs="宋体"/>
                <w:color w:val="auto"/>
                <w:sz w:val="24"/>
                <w:highlight w:val="none"/>
              </w:rPr>
            </w:pPr>
          </w:p>
        </w:tc>
        <w:tc>
          <w:tcPr>
            <w:tcW w:w="2127" w:type="dxa"/>
          </w:tcPr>
          <w:p w14:paraId="55A9BE6C">
            <w:pPr>
              <w:spacing w:line="360" w:lineRule="auto"/>
              <w:jc w:val="center"/>
              <w:rPr>
                <w:rFonts w:hint="eastAsia" w:ascii="宋体" w:hAnsi="宋体" w:cs="宋体"/>
                <w:color w:val="auto"/>
                <w:sz w:val="24"/>
                <w:highlight w:val="none"/>
              </w:rPr>
            </w:pPr>
          </w:p>
        </w:tc>
        <w:tc>
          <w:tcPr>
            <w:tcW w:w="2126" w:type="dxa"/>
            <w:vAlign w:val="center"/>
          </w:tcPr>
          <w:p w14:paraId="6BFB0AF3">
            <w:pPr>
              <w:spacing w:line="360" w:lineRule="auto"/>
              <w:jc w:val="center"/>
              <w:rPr>
                <w:rFonts w:hint="eastAsia" w:ascii="宋体" w:hAnsi="宋体" w:cs="宋体"/>
                <w:color w:val="auto"/>
                <w:sz w:val="24"/>
                <w:highlight w:val="none"/>
              </w:rPr>
            </w:pPr>
          </w:p>
        </w:tc>
      </w:tr>
      <w:tr w14:paraId="2329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20A9E1">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3431" w:type="dxa"/>
            <w:shd w:val="clear" w:color="auto" w:fill="auto"/>
            <w:vAlign w:val="center"/>
          </w:tcPr>
          <w:p w14:paraId="312203B1">
            <w:pPr>
              <w:snapToGrid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沉降观测</w:t>
            </w:r>
          </w:p>
        </w:tc>
        <w:tc>
          <w:tcPr>
            <w:tcW w:w="1276" w:type="dxa"/>
            <w:vAlign w:val="center"/>
          </w:tcPr>
          <w:p w14:paraId="00F466CF">
            <w:pPr>
              <w:snapToGrid w:val="0"/>
              <w:spacing w:line="360" w:lineRule="auto"/>
              <w:jc w:val="center"/>
              <w:rPr>
                <w:rFonts w:hint="eastAsia" w:ascii="宋体" w:hAnsi="宋体" w:cs="宋体"/>
                <w:color w:val="auto"/>
                <w:sz w:val="24"/>
                <w:highlight w:val="none"/>
              </w:rPr>
            </w:pPr>
          </w:p>
        </w:tc>
        <w:tc>
          <w:tcPr>
            <w:tcW w:w="1701" w:type="dxa"/>
            <w:vAlign w:val="center"/>
          </w:tcPr>
          <w:p w14:paraId="3B18CDF2">
            <w:pPr>
              <w:snapToGrid w:val="0"/>
              <w:spacing w:line="360" w:lineRule="auto"/>
              <w:jc w:val="center"/>
              <w:rPr>
                <w:rFonts w:hint="eastAsia" w:ascii="宋体" w:hAnsi="宋体" w:cs="宋体"/>
                <w:color w:val="auto"/>
                <w:sz w:val="24"/>
                <w:highlight w:val="none"/>
              </w:rPr>
            </w:pPr>
          </w:p>
        </w:tc>
        <w:tc>
          <w:tcPr>
            <w:tcW w:w="1530" w:type="dxa"/>
            <w:vAlign w:val="center"/>
          </w:tcPr>
          <w:p w14:paraId="41A17FFA">
            <w:pPr>
              <w:snapToGrid w:val="0"/>
              <w:spacing w:line="360" w:lineRule="auto"/>
              <w:jc w:val="center"/>
              <w:rPr>
                <w:rFonts w:hint="eastAsia" w:ascii="宋体" w:hAnsi="宋体" w:cs="宋体"/>
                <w:color w:val="auto"/>
                <w:sz w:val="24"/>
                <w:highlight w:val="none"/>
              </w:rPr>
            </w:pPr>
          </w:p>
        </w:tc>
        <w:tc>
          <w:tcPr>
            <w:tcW w:w="2126" w:type="dxa"/>
            <w:vAlign w:val="center"/>
          </w:tcPr>
          <w:p w14:paraId="6BB76E90">
            <w:pPr>
              <w:spacing w:line="360" w:lineRule="auto"/>
              <w:jc w:val="center"/>
              <w:rPr>
                <w:rFonts w:hint="eastAsia" w:ascii="宋体" w:hAnsi="宋体" w:cs="宋体"/>
                <w:color w:val="auto"/>
                <w:sz w:val="24"/>
                <w:highlight w:val="none"/>
              </w:rPr>
            </w:pPr>
          </w:p>
        </w:tc>
        <w:tc>
          <w:tcPr>
            <w:tcW w:w="2127" w:type="dxa"/>
          </w:tcPr>
          <w:p w14:paraId="771974DC">
            <w:pPr>
              <w:spacing w:line="360" w:lineRule="auto"/>
              <w:jc w:val="center"/>
              <w:rPr>
                <w:rFonts w:hint="eastAsia" w:ascii="宋体" w:hAnsi="宋体" w:cs="宋体"/>
                <w:color w:val="auto"/>
                <w:sz w:val="24"/>
                <w:highlight w:val="none"/>
              </w:rPr>
            </w:pPr>
          </w:p>
        </w:tc>
        <w:tc>
          <w:tcPr>
            <w:tcW w:w="2126" w:type="dxa"/>
            <w:vAlign w:val="center"/>
          </w:tcPr>
          <w:p w14:paraId="26A50127">
            <w:pPr>
              <w:spacing w:line="360" w:lineRule="auto"/>
              <w:jc w:val="center"/>
              <w:rPr>
                <w:rFonts w:hint="eastAsia" w:ascii="宋体" w:hAnsi="宋体" w:cs="宋体"/>
                <w:color w:val="auto"/>
                <w:sz w:val="24"/>
                <w:highlight w:val="none"/>
              </w:rPr>
            </w:pPr>
          </w:p>
        </w:tc>
      </w:tr>
      <w:tr w14:paraId="06B4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19393C">
            <w:pPr>
              <w:spacing w:line="360" w:lineRule="auto"/>
              <w:jc w:val="center"/>
              <w:rPr>
                <w:rFonts w:hint="eastAsia" w:ascii="宋体" w:hAnsi="宋体" w:cs="宋体"/>
                <w:color w:val="auto"/>
                <w:sz w:val="24"/>
                <w:highlight w:val="none"/>
              </w:rPr>
            </w:pPr>
            <w:r>
              <w:rPr>
                <w:rFonts w:ascii="宋体" w:hAnsi="宋体" w:cs="宋体"/>
                <w:color w:val="auto"/>
                <w:sz w:val="24"/>
                <w:highlight w:val="none"/>
              </w:rPr>
              <w:t>…</w:t>
            </w:r>
          </w:p>
        </w:tc>
        <w:tc>
          <w:tcPr>
            <w:tcW w:w="3431" w:type="dxa"/>
            <w:vAlign w:val="center"/>
          </w:tcPr>
          <w:p w14:paraId="0EB56920">
            <w:pPr>
              <w:snapToGrid w:val="0"/>
              <w:spacing w:line="360" w:lineRule="auto"/>
              <w:jc w:val="center"/>
              <w:rPr>
                <w:rFonts w:hint="eastAsia" w:ascii="宋体" w:hAnsi="宋体" w:cs="仿宋"/>
                <w:color w:val="auto"/>
                <w:kern w:val="0"/>
                <w:sz w:val="24"/>
                <w:highlight w:val="none"/>
                <w:lang w:bidi="ar"/>
              </w:rPr>
            </w:pPr>
            <w:r>
              <w:rPr>
                <w:rFonts w:ascii="宋体" w:hAnsi="宋体" w:cs="仿宋"/>
                <w:color w:val="auto"/>
                <w:kern w:val="0"/>
                <w:sz w:val="24"/>
                <w:highlight w:val="none"/>
                <w:lang w:bidi="ar"/>
              </w:rPr>
              <w:t>………</w:t>
            </w:r>
          </w:p>
        </w:tc>
        <w:tc>
          <w:tcPr>
            <w:tcW w:w="1276" w:type="dxa"/>
            <w:vAlign w:val="center"/>
          </w:tcPr>
          <w:p w14:paraId="608E982F">
            <w:pPr>
              <w:snapToGrid w:val="0"/>
              <w:spacing w:line="360" w:lineRule="auto"/>
              <w:jc w:val="center"/>
              <w:rPr>
                <w:rFonts w:hint="eastAsia" w:ascii="宋体" w:hAnsi="宋体" w:cs="宋体"/>
                <w:color w:val="auto"/>
                <w:sz w:val="24"/>
                <w:highlight w:val="none"/>
              </w:rPr>
            </w:pPr>
          </w:p>
        </w:tc>
        <w:tc>
          <w:tcPr>
            <w:tcW w:w="1701" w:type="dxa"/>
            <w:vAlign w:val="center"/>
          </w:tcPr>
          <w:p w14:paraId="59713FAE">
            <w:pPr>
              <w:snapToGrid w:val="0"/>
              <w:spacing w:line="360" w:lineRule="auto"/>
              <w:jc w:val="center"/>
              <w:rPr>
                <w:rFonts w:hint="eastAsia" w:ascii="宋体" w:hAnsi="宋体" w:cs="宋体"/>
                <w:color w:val="auto"/>
                <w:sz w:val="24"/>
                <w:highlight w:val="none"/>
              </w:rPr>
            </w:pPr>
          </w:p>
        </w:tc>
        <w:tc>
          <w:tcPr>
            <w:tcW w:w="1530" w:type="dxa"/>
            <w:vAlign w:val="center"/>
          </w:tcPr>
          <w:p w14:paraId="68A4D2AC">
            <w:pPr>
              <w:snapToGrid w:val="0"/>
              <w:spacing w:line="360" w:lineRule="auto"/>
              <w:jc w:val="center"/>
              <w:rPr>
                <w:rFonts w:hint="eastAsia" w:ascii="宋体" w:hAnsi="宋体" w:cs="宋体"/>
                <w:color w:val="auto"/>
                <w:sz w:val="24"/>
                <w:highlight w:val="none"/>
              </w:rPr>
            </w:pPr>
          </w:p>
        </w:tc>
        <w:tc>
          <w:tcPr>
            <w:tcW w:w="2126" w:type="dxa"/>
            <w:vAlign w:val="center"/>
          </w:tcPr>
          <w:p w14:paraId="1632EFDF">
            <w:pPr>
              <w:spacing w:line="360" w:lineRule="auto"/>
              <w:jc w:val="center"/>
              <w:rPr>
                <w:rFonts w:hint="eastAsia" w:ascii="宋体" w:hAnsi="宋体" w:cs="宋体"/>
                <w:color w:val="auto"/>
                <w:sz w:val="24"/>
                <w:highlight w:val="none"/>
              </w:rPr>
            </w:pPr>
          </w:p>
        </w:tc>
        <w:tc>
          <w:tcPr>
            <w:tcW w:w="2127" w:type="dxa"/>
          </w:tcPr>
          <w:p w14:paraId="3B28FA41">
            <w:pPr>
              <w:spacing w:line="360" w:lineRule="auto"/>
              <w:jc w:val="center"/>
              <w:rPr>
                <w:rFonts w:hint="eastAsia" w:ascii="宋体" w:hAnsi="宋体" w:cs="宋体"/>
                <w:color w:val="auto"/>
                <w:sz w:val="24"/>
                <w:highlight w:val="none"/>
              </w:rPr>
            </w:pPr>
          </w:p>
        </w:tc>
        <w:tc>
          <w:tcPr>
            <w:tcW w:w="2126" w:type="dxa"/>
            <w:vAlign w:val="center"/>
          </w:tcPr>
          <w:p w14:paraId="2E156AF4">
            <w:pPr>
              <w:spacing w:line="360" w:lineRule="auto"/>
              <w:jc w:val="center"/>
              <w:rPr>
                <w:rFonts w:hint="eastAsia" w:ascii="宋体" w:hAnsi="宋体" w:cs="宋体"/>
                <w:color w:val="auto"/>
                <w:sz w:val="24"/>
                <w:highlight w:val="none"/>
              </w:rPr>
            </w:pPr>
          </w:p>
        </w:tc>
      </w:tr>
      <w:tr w14:paraId="2A4D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25" w:type="dxa"/>
            <w:gridSpan w:val="4"/>
            <w:vAlign w:val="center"/>
          </w:tcPr>
          <w:p w14:paraId="628B42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909" w:type="dxa"/>
            <w:gridSpan w:val="4"/>
          </w:tcPr>
          <w:p w14:paraId="138D2EED">
            <w:pPr>
              <w:spacing w:line="360" w:lineRule="auto"/>
              <w:jc w:val="center"/>
              <w:rPr>
                <w:rFonts w:hint="eastAsia" w:ascii="宋体" w:hAnsi="宋体" w:cs="宋体"/>
                <w:color w:val="auto"/>
                <w:sz w:val="24"/>
                <w:highlight w:val="none"/>
              </w:rPr>
            </w:pPr>
          </w:p>
        </w:tc>
      </w:tr>
      <w:tr w14:paraId="6876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25" w:type="dxa"/>
            <w:gridSpan w:val="4"/>
            <w:vAlign w:val="center"/>
          </w:tcPr>
          <w:p w14:paraId="0974FF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909" w:type="dxa"/>
            <w:gridSpan w:val="4"/>
          </w:tcPr>
          <w:p w14:paraId="687B97A9">
            <w:pPr>
              <w:spacing w:line="360" w:lineRule="auto"/>
              <w:jc w:val="center"/>
              <w:rPr>
                <w:rFonts w:hint="eastAsia" w:ascii="宋体" w:hAnsi="宋体" w:cs="宋体"/>
                <w:color w:val="auto"/>
                <w:sz w:val="24"/>
                <w:highlight w:val="none"/>
              </w:rPr>
            </w:pPr>
          </w:p>
        </w:tc>
      </w:tr>
      <w:tr w14:paraId="2F67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25" w:type="dxa"/>
            <w:gridSpan w:val="4"/>
            <w:vAlign w:val="center"/>
          </w:tcPr>
          <w:p w14:paraId="1711EA5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增值税税率</w:t>
            </w:r>
          </w:p>
        </w:tc>
        <w:tc>
          <w:tcPr>
            <w:tcW w:w="7909" w:type="dxa"/>
            <w:gridSpan w:val="4"/>
            <w:vAlign w:val="center"/>
          </w:tcPr>
          <w:p w14:paraId="2557ABD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%（由投标人依据相关法规规定并根据本单位实际情况填写）</w:t>
            </w:r>
          </w:p>
        </w:tc>
      </w:tr>
    </w:tbl>
    <w:p w14:paraId="34C6C776">
      <w:pPr>
        <w:autoSpaceDE w:val="0"/>
        <w:autoSpaceDN w:val="0"/>
        <w:spacing w:line="360" w:lineRule="auto"/>
        <w:ind w:left="2" w:leftChars="1" w:right="1120" w:firstLine="9120" w:firstLineChars="38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8DEDAE6">
      <w:pPr>
        <w:spacing w:line="360" w:lineRule="auto"/>
        <w:ind w:left="4620" w:leftChars="2200" w:firstLine="4560" w:firstLineChars="19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8808C03">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881C7D">
      <w:pPr>
        <w:spacing w:line="360" w:lineRule="auto"/>
        <w:ind w:left="-2" w:leftChars="-1" w:firstLine="482" w:firstLineChars="20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rPr>
        <w:t>1.</w:t>
      </w:r>
      <w:r>
        <w:rPr>
          <w:rFonts w:hint="eastAsia" w:ascii="宋体" w:hAnsi="宋体" w:cs="宋体"/>
          <w:color w:val="auto"/>
          <w:kern w:val="0"/>
          <w:sz w:val="24"/>
          <w:highlight w:val="none"/>
          <w:lang w:val="zh-CN"/>
        </w:rPr>
        <w:t>投标人需按本表格式填写（以上实际方案中如有细化，请细化报价明细，如无，则按大框架填写）。</w:t>
      </w:r>
    </w:p>
    <w:p w14:paraId="0EB9D99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ADDBBE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777DF696">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69D3C0">
      <w:pPr>
        <w:spacing w:line="360" w:lineRule="auto"/>
        <w:ind w:firstLine="482" w:firstLineChars="200"/>
        <w:rPr>
          <w:rFonts w:hint="eastAsia" w:ascii="宋体" w:hAnsi="宋体" w:cs="宋体"/>
          <w:b/>
          <w:color w:val="auto"/>
          <w:kern w:val="0"/>
          <w:sz w:val="24"/>
          <w:highlight w:val="none"/>
        </w:rPr>
      </w:pPr>
    </w:p>
    <w:p w14:paraId="14ED3EF3">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4CB79CB">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579" w:left="1276" w:header="851" w:footer="340" w:gutter="0"/>
          <w:cols w:space="720" w:num="1"/>
          <w:titlePg/>
          <w:docGrid w:linePitch="312" w:charSpace="0"/>
        </w:sectPr>
      </w:pPr>
    </w:p>
    <w:p w14:paraId="1ED9439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32"/>
          <w:szCs w:val="32"/>
          <w:highlight w:val="none"/>
        </w:rPr>
        <w:t>二、分项报价表</w:t>
      </w:r>
    </w:p>
    <w:p w14:paraId="10029FF2">
      <w:pPr>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1.桩基检测</w:t>
      </w:r>
    </w:p>
    <w:tbl>
      <w:tblPr>
        <w:tblStyle w:val="15"/>
        <w:tblW w:w="9432" w:type="dxa"/>
        <w:jc w:val="center"/>
        <w:tblLayout w:type="autofit"/>
        <w:tblCellMar>
          <w:top w:w="0" w:type="dxa"/>
          <w:left w:w="108" w:type="dxa"/>
          <w:bottom w:w="0" w:type="dxa"/>
          <w:right w:w="108" w:type="dxa"/>
        </w:tblCellMar>
      </w:tblPr>
      <w:tblGrid>
        <w:gridCol w:w="819"/>
        <w:gridCol w:w="594"/>
        <w:gridCol w:w="1262"/>
        <w:gridCol w:w="3060"/>
        <w:gridCol w:w="640"/>
        <w:gridCol w:w="780"/>
        <w:gridCol w:w="918"/>
        <w:gridCol w:w="825"/>
        <w:gridCol w:w="534"/>
      </w:tblGrid>
      <w:tr w14:paraId="75BEA9AB">
        <w:tblPrEx>
          <w:tblCellMar>
            <w:top w:w="0" w:type="dxa"/>
            <w:left w:w="108" w:type="dxa"/>
            <w:bottom w:w="0" w:type="dxa"/>
            <w:right w:w="108" w:type="dxa"/>
          </w:tblCellMar>
        </w:tblPrEx>
        <w:trPr>
          <w:trHeight w:val="811"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EC135">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594" w:type="dxa"/>
            <w:tcBorders>
              <w:top w:val="single" w:color="auto" w:sz="4" w:space="0"/>
              <w:left w:val="nil"/>
              <w:bottom w:val="single" w:color="auto" w:sz="4" w:space="0"/>
              <w:right w:val="single" w:color="auto" w:sz="4" w:space="0"/>
            </w:tcBorders>
            <w:shd w:val="clear" w:color="auto" w:fill="auto"/>
            <w:vAlign w:val="center"/>
          </w:tcPr>
          <w:p w14:paraId="6406F43B">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检测内容</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79D45D70">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项目名称</w:t>
            </w:r>
          </w:p>
        </w:tc>
        <w:tc>
          <w:tcPr>
            <w:tcW w:w="3060" w:type="dxa"/>
            <w:tcBorders>
              <w:top w:val="single" w:color="auto" w:sz="4" w:space="0"/>
              <w:left w:val="nil"/>
              <w:bottom w:val="single" w:color="auto" w:sz="4" w:space="0"/>
              <w:right w:val="single" w:color="auto" w:sz="4" w:space="0"/>
            </w:tcBorders>
            <w:shd w:val="clear" w:color="auto" w:fill="auto"/>
            <w:noWrap/>
            <w:vAlign w:val="center"/>
          </w:tcPr>
          <w:p w14:paraId="6311820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项目特征描述</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31B544F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12249BF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工程量</w:t>
            </w:r>
          </w:p>
        </w:tc>
        <w:tc>
          <w:tcPr>
            <w:tcW w:w="918" w:type="dxa"/>
            <w:tcBorders>
              <w:top w:val="single" w:color="auto" w:sz="4" w:space="0"/>
              <w:left w:val="nil"/>
              <w:bottom w:val="single" w:color="auto" w:sz="4" w:space="0"/>
              <w:right w:val="single" w:color="auto" w:sz="4" w:space="0"/>
            </w:tcBorders>
            <w:shd w:val="clear" w:color="auto" w:fill="auto"/>
            <w:noWrap/>
            <w:vAlign w:val="center"/>
          </w:tcPr>
          <w:p w14:paraId="217F33F6">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综合单价（元）</w:t>
            </w:r>
          </w:p>
        </w:tc>
        <w:tc>
          <w:tcPr>
            <w:tcW w:w="825" w:type="dxa"/>
            <w:tcBorders>
              <w:top w:val="single" w:color="auto" w:sz="4" w:space="0"/>
              <w:left w:val="nil"/>
              <w:bottom w:val="single" w:color="auto" w:sz="4" w:space="0"/>
              <w:right w:val="single" w:color="auto" w:sz="4" w:space="0"/>
            </w:tcBorders>
            <w:vAlign w:val="center"/>
          </w:tcPr>
          <w:p w14:paraId="27F91BD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合价（元）</w:t>
            </w:r>
          </w:p>
        </w:tc>
        <w:tc>
          <w:tcPr>
            <w:tcW w:w="534" w:type="dxa"/>
            <w:tcBorders>
              <w:top w:val="single" w:color="auto" w:sz="4" w:space="0"/>
              <w:left w:val="nil"/>
              <w:bottom w:val="single" w:color="auto" w:sz="4" w:space="0"/>
              <w:right w:val="single" w:color="auto" w:sz="4" w:space="0"/>
            </w:tcBorders>
            <w:vAlign w:val="center"/>
          </w:tcPr>
          <w:p w14:paraId="1AACE44A">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67861E2">
        <w:tblPrEx>
          <w:tblCellMar>
            <w:top w:w="0" w:type="dxa"/>
            <w:left w:w="108" w:type="dxa"/>
            <w:bottom w:w="0" w:type="dxa"/>
            <w:right w:w="108" w:type="dxa"/>
          </w:tblCellMar>
        </w:tblPrEx>
        <w:trPr>
          <w:trHeight w:val="540" w:hRule="atLeast"/>
          <w:jc w:val="center"/>
        </w:trPr>
        <w:tc>
          <w:tcPr>
            <w:tcW w:w="819" w:type="dxa"/>
            <w:tcBorders>
              <w:top w:val="nil"/>
              <w:left w:val="single" w:color="auto" w:sz="4" w:space="0"/>
              <w:bottom w:val="single" w:color="auto" w:sz="4" w:space="0"/>
              <w:right w:val="single" w:color="auto" w:sz="4" w:space="0"/>
            </w:tcBorders>
            <w:shd w:val="clear" w:color="auto" w:fill="auto"/>
            <w:noWrap/>
            <w:vAlign w:val="center"/>
          </w:tcPr>
          <w:p w14:paraId="2E800D9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（一）</w:t>
            </w:r>
          </w:p>
        </w:tc>
        <w:tc>
          <w:tcPr>
            <w:tcW w:w="8613" w:type="dxa"/>
            <w:gridSpan w:val="8"/>
            <w:tcBorders>
              <w:top w:val="single" w:color="auto" w:sz="4" w:space="0"/>
              <w:left w:val="nil"/>
              <w:bottom w:val="single" w:color="auto" w:sz="4" w:space="0"/>
              <w:right w:val="single" w:color="auto" w:sz="4" w:space="0"/>
            </w:tcBorders>
            <w:shd w:val="clear" w:color="auto" w:fill="auto"/>
            <w:vAlign w:val="center"/>
          </w:tcPr>
          <w:p w14:paraId="019544AD">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主体结构</w:t>
            </w:r>
          </w:p>
        </w:tc>
      </w:tr>
      <w:tr w14:paraId="3923EF0F">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63500E6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94" w:type="dxa"/>
            <w:vMerge w:val="restart"/>
            <w:tcBorders>
              <w:top w:val="nil"/>
              <w:left w:val="single" w:color="auto" w:sz="4" w:space="0"/>
              <w:bottom w:val="single" w:color="auto" w:sz="4" w:space="0"/>
              <w:right w:val="single" w:color="auto" w:sz="4" w:space="0"/>
            </w:tcBorders>
            <w:shd w:val="clear" w:color="auto" w:fill="auto"/>
            <w:vAlign w:val="center"/>
          </w:tcPr>
          <w:p w14:paraId="1145F2B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设计试桩</w:t>
            </w:r>
          </w:p>
        </w:tc>
        <w:tc>
          <w:tcPr>
            <w:tcW w:w="1260" w:type="dxa"/>
            <w:tcBorders>
              <w:top w:val="nil"/>
              <w:left w:val="nil"/>
              <w:bottom w:val="single" w:color="auto" w:sz="4" w:space="0"/>
              <w:right w:val="single" w:color="auto" w:sz="4" w:space="0"/>
            </w:tcBorders>
            <w:shd w:val="clear" w:color="auto" w:fill="auto"/>
            <w:vAlign w:val="center"/>
          </w:tcPr>
          <w:p w14:paraId="437D3A23">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362C1A8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Φ800灌注桩，Ra=3600kN，静载试验采用慢速维持荷载法，最大加载压力8700kN</w:t>
            </w:r>
          </w:p>
        </w:tc>
        <w:tc>
          <w:tcPr>
            <w:tcW w:w="640" w:type="dxa"/>
            <w:tcBorders>
              <w:top w:val="nil"/>
              <w:left w:val="nil"/>
              <w:bottom w:val="single" w:color="auto" w:sz="4" w:space="0"/>
              <w:right w:val="single" w:color="auto" w:sz="4" w:space="0"/>
            </w:tcBorders>
            <w:shd w:val="clear" w:color="auto" w:fill="auto"/>
            <w:noWrap/>
            <w:vAlign w:val="center"/>
          </w:tcPr>
          <w:p w14:paraId="550236E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510247C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18" w:type="dxa"/>
            <w:tcBorders>
              <w:top w:val="nil"/>
              <w:left w:val="nil"/>
              <w:bottom w:val="single" w:color="auto" w:sz="4" w:space="0"/>
              <w:right w:val="single" w:color="auto" w:sz="4" w:space="0"/>
            </w:tcBorders>
            <w:shd w:val="clear" w:color="auto" w:fill="auto"/>
            <w:vAlign w:val="center"/>
          </w:tcPr>
          <w:p w14:paraId="5F87F4FB">
            <w:pPr>
              <w:widowControl/>
              <w:adjustRightInd/>
              <w:jc w:val="left"/>
              <w:rPr>
                <w:rFonts w:hint="eastAsia" w:ascii="宋体" w:hAnsi="宋体" w:cs="宋体"/>
                <w:b/>
                <w:bCs/>
                <w:color w:val="auto"/>
                <w:kern w:val="0"/>
                <w:sz w:val="20"/>
                <w:szCs w:val="20"/>
                <w:highlight w:val="none"/>
              </w:rPr>
            </w:pPr>
          </w:p>
        </w:tc>
        <w:tc>
          <w:tcPr>
            <w:tcW w:w="825" w:type="dxa"/>
            <w:tcBorders>
              <w:top w:val="nil"/>
              <w:left w:val="nil"/>
              <w:bottom w:val="single" w:color="auto" w:sz="4" w:space="0"/>
              <w:right w:val="single" w:color="auto" w:sz="4" w:space="0"/>
            </w:tcBorders>
            <w:vAlign w:val="center"/>
          </w:tcPr>
          <w:p w14:paraId="7DCE25A9">
            <w:pPr>
              <w:widowControl/>
              <w:adjustRightInd/>
              <w:jc w:val="left"/>
              <w:rPr>
                <w:rFonts w:hint="eastAsia" w:ascii="宋体" w:hAnsi="宋体" w:cs="宋体"/>
                <w:b/>
                <w:bCs/>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6887B47C">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51392B80">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3296EF8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94" w:type="dxa"/>
            <w:vMerge w:val="continue"/>
            <w:tcBorders>
              <w:top w:val="nil"/>
              <w:left w:val="single" w:color="auto" w:sz="4" w:space="0"/>
              <w:bottom w:val="single" w:color="auto" w:sz="4" w:space="0"/>
              <w:right w:val="single" w:color="auto" w:sz="4" w:space="0"/>
            </w:tcBorders>
            <w:vAlign w:val="center"/>
          </w:tcPr>
          <w:p w14:paraId="636F3EFE">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3DD07E4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028921C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Φ600灌注桩，Ra=1600kN，静载试验采用慢速维持荷载法，最大加载压力4100kN</w:t>
            </w:r>
          </w:p>
        </w:tc>
        <w:tc>
          <w:tcPr>
            <w:tcW w:w="640" w:type="dxa"/>
            <w:tcBorders>
              <w:top w:val="nil"/>
              <w:left w:val="nil"/>
              <w:bottom w:val="single" w:color="auto" w:sz="4" w:space="0"/>
              <w:right w:val="single" w:color="auto" w:sz="4" w:space="0"/>
            </w:tcBorders>
            <w:shd w:val="clear" w:color="auto" w:fill="auto"/>
            <w:noWrap/>
            <w:vAlign w:val="center"/>
          </w:tcPr>
          <w:p w14:paraId="61E129F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16144A7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18" w:type="dxa"/>
            <w:tcBorders>
              <w:top w:val="nil"/>
              <w:left w:val="nil"/>
              <w:bottom w:val="single" w:color="auto" w:sz="4" w:space="0"/>
              <w:right w:val="single" w:color="auto" w:sz="4" w:space="0"/>
            </w:tcBorders>
            <w:shd w:val="clear" w:color="auto" w:fill="auto"/>
            <w:vAlign w:val="center"/>
          </w:tcPr>
          <w:p w14:paraId="237A991E">
            <w:pPr>
              <w:widowControl/>
              <w:adjustRightInd/>
              <w:jc w:val="left"/>
              <w:rPr>
                <w:rFonts w:hint="eastAsia" w:ascii="宋体" w:hAnsi="宋体" w:cs="宋体"/>
                <w:b/>
                <w:bCs/>
                <w:color w:val="auto"/>
                <w:kern w:val="0"/>
                <w:sz w:val="20"/>
                <w:szCs w:val="20"/>
                <w:highlight w:val="none"/>
              </w:rPr>
            </w:pPr>
          </w:p>
        </w:tc>
        <w:tc>
          <w:tcPr>
            <w:tcW w:w="825" w:type="dxa"/>
            <w:tcBorders>
              <w:top w:val="nil"/>
              <w:left w:val="nil"/>
              <w:bottom w:val="single" w:color="auto" w:sz="4" w:space="0"/>
              <w:right w:val="single" w:color="auto" w:sz="4" w:space="0"/>
            </w:tcBorders>
            <w:vAlign w:val="center"/>
          </w:tcPr>
          <w:p w14:paraId="3150E978">
            <w:pPr>
              <w:widowControl/>
              <w:adjustRightInd/>
              <w:jc w:val="left"/>
              <w:rPr>
                <w:rFonts w:hint="eastAsia" w:ascii="宋体" w:hAnsi="宋体" w:cs="宋体"/>
                <w:b/>
                <w:bCs/>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081964B5">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266BEBA1">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1946ACB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94" w:type="dxa"/>
            <w:vMerge w:val="continue"/>
            <w:tcBorders>
              <w:top w:val="nil"/>
              <w:left w:val="single" w:color="auto" w:sz="4" w:space="0"/>
              <w:bottom w:val="single" w:color="auto" w:sz="4" w:space="0"/>
              <w:right w:val="single" w:color="auto" w:sz="4" w:space="0"/>
            </w:tcBorders>
            <w:vAlign w:val="center"/>
          </w:tcPr>
          <w:p w14:paraId="475D7CF7">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688FF34F">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单桩竖向抗拔静载试验</w:t>
            </w:r>
          </w:p>
        </w:tc>
        <w:tc>
          <w:tcPr>
            <w:tcW w:w="3060" w:type="dxa"/>
            <w:tcBorders>
              <w:top w:val="nil"/>
              <w:left w:val="nil"/>
              <w:bottom w:val="single" w:color="auto" w:sz="4" w:space="0"/>
              <w:right w:val="single" w:color="auto" w:sz="4" w:space="0"/>
            </w:tcBorders>
            <w:shd w:val="clear" w:color="auto" w:fill="auto"/>
            <w:vAlign w:val="center"/>
          </w:tcPr>
          <w:p w14:paraId="757606E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Φ600灌注桩，Ra=800kN，静载试验采用慢速维持荷载法，最大加载压力2200kN</w:t>
            </w:r>
          </w:p>
        </w:tc>
        <w:tc>
          <w:tcPr>
            <w:tcW w:w="640" w:type="dxa"/>
            <w:tcBorders>
              <w:top w:val="nil"/>
              <w:left w:val="nil"/>
              <w:bottom w:val="single" w:color="auto" w:sz="4" w:space="0"/>
              <w:right w:val="single" w:color="auto" w:sz="4" w:space="0"/>
            </w:tcBorders>
            <w:shd w:val="clear" w:color="auto" w:fill="auto"/>
            <w:noWrap/>
            <w:vAlign w:val="center"/>
          </w:tcPr>
          <w:p w14:paraId="4BF3804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578D95E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918" w:type="dxa"/>
            <w:tcBorders>
              <w:top w:val="nil"/>
              <w:left w:val="nil"/>
              <w:bottom w:val="single" w:color="auto" w:sz="4" w:space="0"/>
              <w:right w:val="single" w:color="auto" w:sz="4" w:space="0"/>
            </w:tcBorders>
            <w:shd w:val="clear" w:color="auto" w:fill="auto"/>
            <w:vAlign w:val="center"/>
          </w:tcPr>
          <w:p w14:paraId="6DBBFABB">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c>
          <w:tcPr>
            <w:tcW w:w="825" w:type="dxa"/>
            <w:tcBorders>
              <w:top w:val="nil"/>
              <w:left w:val="nil"/>
              <w:bottom w:val="single" w:color="auto" w:sz="4" w:space="0"/>
              <w:right w:val="single" w:color="auto" w:sz="4" w:space="0"/>
            </w:tcBorders>
            <w:vAlign w:val="center"/>
          </w:tcPr>
          <w:p w14:paraId="5F8ECCE5">
            <w:pPr>
              <w:widowControl/>
              <w:adjustRightInd/>
              <w:jc w:val="left"/>
              <w:rPr>
                <w:rFonts w:hint="eastAsia" w:ascii="宋体" w:hAnsi="宋体" w:cs="宋体"/>
                <w:b/>
                <w:bCs/>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04575BDD">
            <w:pPr>
              <w:widowControl/>
              <w:adjustRightInd/>
              <w:jc w:val="left"/>
              <w:rPr>
                <w:rFonts w:hint="eastAsia" w:ascii="宋体" w:hAnsi="宋体" w:cs="宋体"/>
                <w:b/>
                <w:bCs/>
                <w:color w:val="auto"/>
                <w:kern w:val="0"/>
                <w:sz w:val="20"/>
                <w:szCs w:val="20"/>
                <w:highlight w:val="none"/>
              </w:rPr>
            </w:pPr>
          </w:p>
        </w:tc>
      </w:tr>
      <w:tr w14:paraId="06FAE7E1">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153B37C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94" w:type="dxa"/>
            <w:vMerge w:val="restart"/>
            <w:tcBorders>
              <w:top w:val="nil"/>
              <w:left w:val="single" w:color="auto" w:sz="4" w:space="0"/>
              <w:bottom w:val="single" w:color="auto" w:sz="4" w:space="0"/>
              <w:right w:val="single" w:color="auto" w:sz="4" w:space="0"/>
            </w:tcBorders>
            <w:shd w:val="clear" w:color="auto" w:fill="auto"/>
            <w:vAlign w:val="center"/>
          </w:tcPr>
          <w:p w14:paraId="1BD6F72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验收试桩</w:t>
            </w:r>
          </w:p>
        </w:tc>
        <w:tc>
          <w:tcPr>
            <w:tcW w:w="1260" w:type="dxa"/>
            <w:tcBorders>
              <w:top w:val="nil"/>
              <w:left w:val="nil"/>
              <w:bottom w:val="single" w:color="auto" w:sz="4" w:space="0"/>
              <w:right w:val="single" w:color="auto" w:sz="4" w:space="0"/>
            </w:tcBorders>
            <w:shd w:val="clear" w:color="auto" w:fill="auto"/>
            <w:vAlign w:val="center"/>
          </w:tcPr>
          <w:p w14:paraId="20D364D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68CF3F6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Φ800灌注桩，Ra=3600kN，静载试验采用慢速维持荷载法，最大加载压力8700kN</w:t>
            </w:r>
          </w:p>
        </w:tc>
        <w:tc>
          <w:tcPr>
            <w:tcW w:w="640" w:type="dxa"/>
            <w:tcBorders>
              <w:top w:val="nil"/>
              <w:left w:val="nil"/>
              <w:bottom w:val="single" w:color="auto" w:sz="4" w:space="0"/>
              <w:right w:val="single" w:color="auto" w:sz="4" w:space="0"/>
            </w:tcBorders>
            <w:shd w:val="clear" w:color="auto" w:fill="auto"/>
            <w:noWrap/>
            <w:vAlign w:val="center"/>
          </w:tcPr>
          <w:p w14:paraId="71C022F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730A41A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918" w:type="dxa"/>
            <w:tcBorders>
              <w:top w:val="nil"/>
              <w:left w:val="nil"/>
              <w:bottom w:val="single" w:color="auto" w:sz="4" w:space="0"/>
              <w:right w:val="single" w:color="auto" w:sz="4" w:space="0"/>
            </w:tcBorders>
            <w:shd w:val="clear" w:color="auto" w:fill="auto"/>
            <w:vAlign w:val="center"/>
          </w:tcPr>
          <w:p w14:paraId="6B86BC66">
            <w:pPr>
              <w:widowControl/>
              <w:adjustRightInd/>
              <w:jc w:val="left"/>
              <w:rPr>
                <w:rFonts w:hint="eastAsia" w:ascii="宋体" w:hAnsi="宋体" w:cs="宋体"/>
                <w:b/>
                <w:bCs/>
                <w:color w:val="auto"/>
                <w:kern w:val="0"/>
                <w:sz w:val="20"/>
                <w:szCs w:val="20"/>
                <w:highlight w:val="none"/>
              </w:rPr>
            </w:pPr>
          </w:p>
        </w:tc>
        <w:tc>
          <w:tcPr>
            <w:tcW w:w="825" w:type="dxa"/>
            <w:tcBorders>
              <w:top w:val="nil"/>
              <w:left w:val="nil"/>
              <w:bottom w:val="single" w:color="auto" w:sz="4" w:space="0"/>
              <w:right w:val="single" w:color="auto" w:sz="4" w:space="0"/>
            </w:tcBorders>
            <w:vAlign w:val="center"/>
          </w:tcPr>
          <w:p w14:paraId="2AF68F90">
            <w:pPr>
              <w:widowControl/>
              <w:adjustRightInd/>
              <w:jc w:val="left"/>
              <w:rPr>
                <w:rFonts w:hint="eastAsia" w:ascii="宋体" w:hAnsi="宋体" w:cs="宋体"/>
                <w:b/>
                <w:bCs/>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4FEE608D">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4BBEE283">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629E505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94" w:type="dxa"/>
            <w:vMerge w:val="continue"/>
            <w:tcBorders>
              <w:top w:val="nil"/>
              <w:left w:val="single" w:color="auto" w:sz="4" w:space="0"/>
              <w:bottom w:val="single" w:color="auto" w:sz="4" w:space="0"/>
              <w:right w:val="single" w:color="auto" w:sz="4" w:space="0"/>
            </w:tcBorders>
            <w:vAlign w:val="center"/>
          </w:tcPr>
          <w:p w14:paraId="6E7E17BD">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7661959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单桩竖向抗压静荷载试验</w:t>
            </w:r>
          </w:p>
        </w:tc>
        <w:tc>
          <w:tcPr>
            <w:tcW w:w="3060" w:type="dxa"/>
            <w:tcBorders>
              <w:top w:val="nil"/>
              <w:left w:val="nil"/>
              <w:bottom w:val="single" w:color="auto" w:sz="4" w:space="0"/>
              <w:right w:val="single" w:color="auto" w:sz="4" w:space="0"/>
            </w:tcBorders>
            <w:shd w:val="clear" w:color="auto" w:fill="auto"/>
            <w:vAlign w:val="center"/>
          </w:tcPr>
          <w:p w14:paraId="18B472F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Φ600灌注桩，Ra=1600kN，静载试验采用慢速维持荷载法，最大加载压力4100kN</w:t>
            </w:r>
          </w:p>
        </w:tc>
        <w:tc>
          <w:tcPr>
            <w:tcW w:w="640" w:type="dxa"/>
            <w:tcBorders>
              <w:top w:val="nil"/>
              <w:left w:val="nil"/>
              <w:bottom w:val="single" w:color="auto" w:sz="4" w:space="0"/>
              <w:right w:val="single" w:color="auto" w:sz="4" w:space="0"/>
            </w:tcBorders>
            <w:shd w:val="clear" w:color="auto" w:fill="auto"/>
            <w:noWrap/>
            <w:vAlign w:val="center"/>
          </w:tcPr>
          <w:p w14:paraId="5DAA13C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60C510F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18" w:type="dxa"/>
            <w:tcBorders>
              <w:top w:val="nil"/>
              <w:left w:val="nil"/>
              <w:bottom w:val="single" w:color="auto" w:sz="4" w:space="0"/>
              <w:right w:val="single" w:color="auto" w:sz="4" w:space="0"/>
            </w:tcBorders>
            <w:shd w:val="clear" w:color="auto" w:fill="auto"/>
            <w:vAlign w:val="center"/>
          </w:tcPr>
          <w:p w14:paraId="032951AB">
            <w:pPr>
              <w:widowControl/>
              <w:adjustRightInd/>
              <w:jc w:val="left"/>
              <w:rPr>
                <w:rFonts w:hint="eastAsia" w:ascii="宋体" w:hAnsi="宋体" w:cs="宋体"/>
                <w:b/>
                <w:bCs/>
                <w:color w:val="auto"/>
                <w:kern w:val="0"/>
                <w:sz w:val="20"/>
                <w:szCs w:val="20"/>
                <w:highlight w:val="none"/>
              </w:rPr>
            </w:pPr>
          </w:p>
        </w:tc>
        <w:tc>
          <w:tcPr>
            <w:tcW w:w="825" w:type="dxa"/>
            <w:tcBorders>
              <w:top w:val="nil"/>
              <w:left w:val="nil"/>
              <w:bottom w:val="single" w:color="auto" w:sz="4" w:space="0"/>
              <w:right w:val="single" w:color="auto" w:sz="4" w:space="0"/>
            </w:tcBorders>
            <w:vAlign w:val="center"/>
          </w:tcPr>
          <w:p w14:paraId="632EB07C">
            <w:pPr>
              <w:widowControl/>
              <w:adjustRightInd/>
              <w:jc w:val="left"/>
              <w:rPr>
                <w:rFonts w:hint="eastAsia" w:ascii="宋体" w:hAnsi="宋体" w:cs="宋体"/>
                <w:b/>
                <w:bCs/>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11357B11">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砼配重</w:t>
            </w:r>
          </w:p>
        </w:tc>
      </w:tr>
      <w:tr w14:paraId="529FF238">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7504A34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94" w:type="dxa"/>
            <w:vMerge w:val="continue"/>
            <w:tcBorders>
              <w:top w:val="nil"/>
              <w:left w:val="single" w:color="auto" w:sz="4" w:space="0"/>
              <w:bottom w:val="single" w:color="auto" w:sz="4" w:space="0"/>
              <w:right w:val="single" w:color="auto" w:sz="4" w:space="0"/>
            </w:tcBorders>
            <w:vAlign w:val="center"/>
          </w:tcPr>
          <w:p w14:paraId="4DF936B5">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6CB49C1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单桩竖向抗拔静载试验</w:t>
            </w:r>
          </w:p>
        </w:tc>
        <w:tc>
          <w:tcPr>
            <w:tcW w:w="3060" w:type="dxa"/>
            <w:tcBorders>
              <w:top w:val="nil"/>
              <w:left w:val="nil"/>
              <w:bottom w:val="single" w:color="auto" w:sz="4" w:space="0"/>
              <w:right w:val="single" w:color="auto" w:sz="4" w:space="0"/>
            </w:tcBorders>
            <w:shd w:val="clear" w:color="auto" w:fill="auto"/>
            <w:vAlign w:val="center"/>
          </w:tcPr>
          <w:p w14:paraId="67D4EC21">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Φ600灌注桩，Ra=800kN，静载试验采用慢速维持荷载法，最大加载压力2200kN</w:t>
            </w:r>
          </w:p>
        </w:tc>
        <w:tc>
          <w:tcPr>
            <w:tcW w:w="640" w:type="dxa"/>
            <w:tcBorders>
              <w:top w:val="nil"/>
              <w:left w:val="nil"/>
              <w:bottom w:val="single" w:color="auto" w:sz="4" w:space="0"/>
              <w:right w:val="single" w:color="auto" w:sz="4" w:space="0"/>
            </w:tcBorders>
            <w:shd w:val="clear" w:color="auto" w:fill="auto"/>
            <w:noWrap/>
            <w:vAlign w:val="center"/>
          </w:tcPr>
          <w:p w14:paraId="6E739CC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64537D7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18" w:type="dxa"/>
            <w:tcBorders>
              <w:top w:val="nil"/>
              <w:left w:val="nil"/>
              <w:bottom w:val="single" w:color="auto" w:sz="4" w:space="0"/>
              <w:right w:val="single" w:color="auto" w:sz="4" w:space="0"/>
            </w:tcBorders>
            <w:shd w:val="clear" w:color="auto" w:fill="auto"/>
            <w:vAlign w:val="center"/>
          </w:tcPr>
          <w:p w14:paraId="720187D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5" w:type="dxa"/>
            <w:tcBorders>
              <w:top w:val="nil"/>
              <w:left w:val="nil"/>
              <w:bottom w:val="single" w:color="auto" w:sz="4" w:space="0"/>
              <w:right w:val="single" w:color="auto" w:sz="4" w:space="0"/>
            </w:tcBorders>
            <w:vAlign w:val="center"/>
          </w:tcPr>
          <w:p w14:paraId="3FC5FB42">
            <w:pPr>
              <w:widowControl/>
              <w:adjustRightInd/>
              <w:jc w:val="left"/>
              <w:rPr>
                <w:rFonts w:hint="eastAsia" w:ascii="宋体" w:hAnsi="宋体" w:cs="宋体"/>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2944E207">
            <w:pPr>
              <w:widowControl/>
              <w:adjustRightInd/>
              <w:jc w:val="left"/>
              <w:rPr>
                <w:rFonts w:hint="eastAsia" w:ascii="宋体" w:hAnsi="宋体" w:cs="宋体"/>
                <w:color w:val="auto"/>
                <w:kern w:val="0"/>
                <w:sz w:val="20"/>
                <w:szCs w:val="20"/>
                <w:highlight w:val="none"/>
              </w:rPr>
            </w:pPr>
          </w:p>
        </w:tc>
      </w:tr>
      <w:tr w14:paraId="0F55200E">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5D1C39B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594" w:type="dxa"/>
            <w:vMerge w:val="continue"/>
            <w:tcBorders>
              <w:top w:val="nil"/>
              <w:left w:val="single" w:color="auto" w:sz="4" w:space="0"/>
              <w:bottom w:val="single" w:color="auto" w:sz="4" w:space="0"/>
              <w:right w:val="single" w:color="auto" w:sz="4" w:space="0"/>
            </w:tcBorders>
            <w:vAlign w:val="center"/>
          </w:tcPr>
          <w:p w14:paraId="1EDF067C">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6D08973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大直径灌注桩埋管超声波检测</w:t>
            </w:r>
          </w:p>
        </w:tc>
        <w:tc>
          <w:tcPr>
            <w:tcW w:w="3060" w:type="dxa"/>
            <w:tcBorders>
              <w:top w:val="nil"/>
              <w:left w:val="nil"/>
              <w:bottom w:val="single" w:color="auto" w:sz="4" w:space="0"/>
              <w:right w:val="single" w:color="auto" w:sz="4" w:space="0"/>
            </w:tcBorders>
            <w:shd w:val="clear" w:color="auto" w:fill="auto"/>
            <w:vAlign w:val="center"/>
          </w:tcPr>
          <w:p w14:paraId="7D9D0BF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Φ800桩79根，检测比例为10%。</w:t>
            </w:r>
            <w:r>
              <w:rPr>
                <w:rFonts w:hint="eastAsia" w:ascii="宋体" w:hAnsi="宋体" w:cs="宋体"/>
                <w:color w:val="auto"/>
                <w:kern w:val="0"/>
                <w:sz w:val="20"/>
                <w:szCs w:val="20"/>
                <w:highlight w:val="none"/>
              </w:rPr>
              <w:t>声测管预埋数量应考虑实际施工损耗。</w:t>
            </w:r>
          </w:p>
        </w:tc>
        <w:tc>
          <w:tcPr>
            <w:tcW w:w="640" w:type="dxa"/>
            <w:tcBorders>
              <w:top w:val="nil"/>
              <w:left w:val="nil"/>
              <w:bottom w:val="single" w:color="auto" w:sz="4" w:space="0"/>
              <w:right w:val="single" w:color="auto" w:sz="4" w:space="0"/>
            </w:tcBorders>
            <w:shd w:val="clear" w:color="auto" w:fill="auto"/>
            <w:noWrap/>
            <w:vAlign w:val="center"/>
          </w:tcPr>
          <w:p w14:paraId="0CE0E29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2A60947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918" w:type="dxa"/>
            <w:tcBorders>
              <w:top w:val="nil"/>
              <w:left w:val="nil"/>
              <w:bottom w:val="single" w:color="auto" w:sz="4" w:space="0"/>
              <w:right w:val="single" w:color="auto" w:sz="4" w:space="0"/>
            </w:tcBorders>
            <w:shd w:val="clear" w:color="auto" w:fill="auto"/>
            <w:vAlign w:val="center"/>
          </w:tcPr>
          <w:p w14:paraId="562B7CA1">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5" w:type="dxa"/>
            <w:tcBorders>
              <w:top w:val="nil"/>
              <w:left w:val="nil"/>
              <w:bottom w:val="single" w:color="auto" w:sz="4" w:space="0"/>
              <w:right w:val="single" w:color="auto" w:sz="4" w:space="0"/>
            </w:tcBorders>
            <w:vAlign w:val="center"/>
          </w:tcPr>
          <w:p w14:paraId="5D591490">
            <w:pPr>
              <w:widowControl/>
              <w:adjustRightInd/>
              <w:jc w:val="left"/>
              <w:rPr>
                <w:rFonts w:hint="eastAsia" w:ascii="宋体" w:hAnsi="宋体" w:cs="宋体"/>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3D76BD9E">
            <w:pPr>
              <w:widowControl/>
              <w:adjustRightInd/>
              <w:jc w:val="left"/>
              <w:rPr>
                <w:rFonts w:hint="eastAsia" w:ascii="宋体" w:hAnsi="宋体" w:cs="宋体"/>
                <w:color w:val="auto"/>
                <w:kern w:val="0"/>
                <w:sz w:val="20"/>
                <w:szCs w:val="20"/>
                <w:highlight w:val="none"/>
              </w:rPr>
            </w:pPr>
          </w:p>
        </w:tc>
      </w:tr>
      <w:tr w14:paraId="2F45C167">
        <w:tblPrEx>
          <w:tblCellMar>
            <w:top w:w="0" w:type="dxa"/>
            <w:left w:w="108" w:type="dxa"/>
            <w:bottom w:w="0" w:type="dxa"/>
            <w:right w:w="108" w:type="dxa"/>
          </w:tblCellMar>
        </w:tblPrEx>
        <w:trPr>
          <w:trHeight w:val="80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4FBB81C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594" w:type="dxa"/>
            <w:vMerge w:val="continue"/>
            <w:tcBorders>
              <w:top w:val="nil"/>
              <w:left w:val="single" w:color="auto" w:sz="4" w:space="0"/>
              <w:bottom w:val="single" w:color="auto" w:sz="4" w:space="0"/>
              <w:right w:val="single" w:color="auto" w:sz="4" w:space="0"/>
            </w:tcBorders>
            <w:vAlign w:val="center"/>
          </w:tcPr>
          <w:p w14:paraId="676E1D62">
            <w:pPr>
              <w:widowControl/>
              <w:adjustRightInd/>
              <w:jc w:val="left"/>
              <w:rPr>
                <w:rFonts w:hint="eastAsia" w:ascii="宋体" w:hAnsi="宋体" w:cs="宋体"/>
                <w:color w:val="auto"/>
                <w:kern w:val="0"/>
                <w:sz w:val="20"/>
                <w:szCs w:val="20"/>
                <w:highlight w:val="none"/>
              </w:rPr>
            </w:pPr>
          </w:p>
        </w:tc>
        <w:tc>
          <w:tcPr>
            <w:tcW w:w="1260" w:type="dxa"/>
            <w:tcBorders>
              <w:top w:val="nil"/>
              <w:left w:val="nil"/>
              <w:bottom w:val="single" w:color="auto" w:sz="4" w:space="0"/>
              <w:right w:val="single" w:color="auto" w:sz="4" w:space="0"/>
            </w:tcBorders>
            <w:shd w:val="clear" w:color="auto" w:fill="auto"/>
            <w:vAlign w:val="center"/>
          </w:tcPr>
          <w:p w14:paraId="066A28FF">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低应变检测</w:t>
            </w:r>
          </w:p>
        </w:tc>
        <w:tc>
          <w:tcPr>
            <w:tcW w:w="3060" w:type="dxa"/>
            <w:tcBorders>
              <w:top w:val="nil"/>
              <w:left w:val="nil"/>
              <w:bottom w:val="single" w:color="auto" w:sz="4" w:space="0"/>
              <w:right w:val="single" w:color="auto" w:sz="4" w:space="0"/>
            </w:tcBorders>
            <w:shd w:val="clear" w:color="auto" w:fill="auto"/>
            <w:vAlign w:val="center"/>
          </w:tcPr>
          <w:p w14:paraId="31B383C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总桩数为1465根，其中</w:t>
            </w:r>
            <w:r>
              <w:rPr>
                <w:rFonts w:hint="eastAsia" w:ascii="等线" w:hAnsi="等线" w:eastAsia="等线" w:cs="宋体"/>
                <w:color w:val="auto"/>
                <w:kern w:val="0"/>
                <w:sz w:val="20"/>
                <w:szCs w:val="20"/>
                <w:highlight w:val="none"/>
              </w:rPr>
              <w:t>Φ</w:t>
            </w:r>
            <w:r>
              <w:rPr>
                <w:rFonts w:hint="eastAsia" w:ascii="宋体" w:hAnsi="宋体" w:cs="宋体"/>
                <w:color w:val="auto"/>
                <w:kern w:val="0"/>
                <w:sz w:val="20"/>
                <w:szCs w:val="20"/>
                <w:highlight w:val="none"/>
              </w:rPr>
              <w:t>600桩1386根，Φ800桩79根。</w:t>
            </w:r>
          </w:p>
        </w:tc>
        <w:tc>
          <w:tcPr>
            <w:tcW w:w="640" w:type="dxa"/>
            <w:tcBorders>
              <w:top w:val="nil"/>
              <w:left w:val="nil"/>
              <w:bottom w:val="single" w:color="auto" w:sz="4" w:space="0"/>
              <w:right w:val="single" w:color="auto" w:sz="4" w:space="0"/>
            </w:tcBorders>
            <w:shd w:val="clear" w:color="auto" w:fill="auto"/>
            <w:noWrap/>
            <w:vAlign w:val="center"/>
          </w:tcPr>
          <w:p w14:paraId="4ED3F5A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noWrap/>
            <w:vAlign w:val="center"/>
          </w:tcPr>
          <w:p w14:paraId="34852CD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1465</w:t>
            </w:r>
          </w:p>
        </w:tc>
        <w:tc>
          <w:tcPr>
            <w:tcW w:w="918" w:type="dxa"/>
            <w:tcBorders>
              <w:top w:val="nil"/>
              <w:left w:val="nil"/>
              <w:bottom w:val="single" w:color="auto" w:sz="4" w:space="0"/>
              <w:right w:val="single" w:color="auto" w:sz="4" w:space="0"/>
            </w:tcBorders>
            <w:shd w:val="clear" w:color="auto" w:fill="auto"/>
            <w:vAlign w:val="center"/>
          </w:tcPr>
          <w:p w14:paraId="74160E04">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5" w:type="dxa"/>
            <w:tcBorders>
              <w:top w:val="nil"/>
              <w:left w:val="nil"/>
              <w:bottom w:val="single" w:color="auto" w:sz="4" w:space="0"/>
              <w:right w:val="single" w:color="auto" w:sz="4" w:space="0"/>
            </w:tcBorders>
            <w:vAlign w:val="center"/>
          </w:tcPr>
          <w:p w14:paraId="0D24AE76">
            <w:pPr>
              <w:widowControl/>
              <w:adjustRightInd/>
              <w:jc w:val="left"/>
              <w:rPr>
                <w:rFonts w:hint="eastAsia" w:ascii="宋体" w:hAnsi="宋体" w:cs="宋体"/>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534593D9">
            <w:pPr>
              <w:widowControl/>
              <w:adjustRightInd/>
              <w:jc w:val="left"/>
              <w:rPr>
                <w:rFonts w:hint="eastAsia" w:ascii="宋体" w:hAnsi="宋体" w:cs="宋体"/>
                <w:color w:val="auto"/>
                <w:kern w:val="0"/>
                <w:sz w:val="20"/>
                <w:szCs w:val="20"/>
                <w:highlight w:val="none"/>
              </w:rPr>
            </w:pPr>
          </w:p>
        </w:tc>
      </w:tr>
      <w:tr w14:paraId="05BE9C68">
        <w:tblPrEx>
          <w:tblCellMar>
            <w:top w:w="0" w:type="dxa"/>
            <w:left w:w="108" w:type="dxa"/>
            <w:bottom w:w="0" w:type="dxa"/>
            <w:right w:w="108" w:type="dxa"/>
          </w:tblCellMar>
        </w:tblPrEx>
        <w:trPr>
          <w:trHeight w:val="555" w:hRule="atLeast"/>
          <w:jc w:val="center"/>
        </w:trPr>
        <w:tc>
          <w:tcPr>
            <w:tcW w:w="819" w:type="dxa"/>
            <w:tcBorders>
              <w:top w:val="nil"/>
              <w:left w:val="single" w:color="auto" w:sz="4" w:space="0"/>
              <w:bottom w:val="single" w:color="auto" w:sz="4" w:space="0"/>
              <w:right w:val="single" w:color="auto" w:sz="4" w:space="0"/>
            </w:tcBorders>
            <w:shd w:val="clear" w:color="000000" w:fill="auto"/>
            <w:noWrap/>
            <w:vAlign w:val="center"/>
          </w:tcPr>
          <w:p w14:paraId="22195088">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（二）</w:t>
            </w:r>
          </w:p>
        </w:tc>
        <w:tc>
          <w:tcPr>
            <w:tcW w:w="8613" w:type="dxa"/>
            <w:gridSpan w:val="8"/>
            <w:tcBorders>
              <w:top w:val="single" w:color="auto" w:sz="4" w:space="0"/>
              <w:left w:val="nil"/>
              <w:bottom w:val="single" w:color="auto" w:sz="4" w:space="0"/>
              <w:right w:val="single" w:color="auto" w:sz="4" w:space="0"/>
            </w:tcBorders>
            <w:shd w:val="clear" w:color="000000" w:fill="auto"/>
            <w:vAlign w:val="center"/>
          </w:tcPr>
          <w:p w14:paraId="40332927">
            <w:pPr>
              <w:widowControl/>
              <w:adjustRightInd/>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围护结构</w:t>
            </w:r>
          </w:p>
        </w:tc>
      </w:tr>
      <w:tr w14:paraId="1077AD65">
        <w:tblPrEx>
          <w:tblCellMar>
            <w:top w:w="0" w:type="dxa"/>
            <w:left w:w="108" w:type="dxa"/>
            <w:bottom w:w="0" w:type="dxa"/>
            <w:right w:w="108" w:type="dxa"/>
          </w:tblCellMar>
        </w:tblPrEx>
        <w:trPr>
          <w:trHeight w:val="1110" w:hRule="atLeast"/>
          <w:jc w:val="center"/>
        </w:trPr>
        <w:tc>
          <w:tcPr>
            <w:tcW w:w="819" w:type="dxa"/>
            <w:tcBorders>
              <w:top w:val="nil"/>
              <w:left w:val="single" w:color="auto" w:sz="4" w:space="0"/>
              <w:bottom w:val="single" w:color="auto" w:sz="4" w:space="0"/>
              <w:right w:val="single" w:color="auto" w:sz="4" w:space="0"/>
            </w:tcBorders>
            <w:shd w:val="clear" w:color="auto" w:fill="auto"/>
            <w:vAlign w:val="center"/>
          </w:tcPr>
          <w:p w14:paraId="7C82F015">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94" w:type="dxa"/>
            <w:vMerge w:val="restart"/>
            <w:tcBorders>
              <w:top w:val="nil"/>
              <w:left w:val="single" w:color="auto" w:sz="4" w:space="0"/>
              <w:right w:val="single" w:color="auto" w:sz="4" w:space="0"/>
            </w:tcBorders>
            <w:shd w:val="clear" w:color="auto" w:fill="auto"/>
            <w:vAlign w:val="center"/>
          </w:tcPr>
          <w:p w14:paraId="46415F9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w:t>
            </w:r>
          </w:p>
        </w:tc>
        <w:tc>
          <w:tcPr>
            <w:tcW w:w="1260" w:type="dxa"/>
            <w:tcBorders>
              <w:top w:val="nil"/>
              <w:left w:val="nil"/>
              <w:bottom w:val="single" w:color="auto" w:sz="4" w:space="0"/>
              <w:right w:val="single" w:color="auto" w:sz="4" w:space="0"/>
            </w:tcBorders>
            <w:shd w:val="clear" w:color="auto" w:fill="auto"/>
            <w:vAlign w:val="center"/>
          </w:tcPr>
          <w:p w14:paraId="54FC4D5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三轴水泥搅拌桩钻、高压旋喷桩钻心法检测</w:t>
            </w:r>
          </w:p>
        </w:tc>
        <w:tc>
          <w:tcPr>
            <w:tcW w:w="3060" w:type="dxa"/>
            <w:tcBorders>
              <w:top w:val="nil"/>
              <w:left w:val="nil"/>
              <w:bottom w:val="single" w:color="auto" w:sz="4" w:space="0"/>
              <w:right w:val="single" w:color="auto" w:sz="4" w:space="0"/>
            </w:tcBorders>
            <w:shd w:val="clear" w:color="auto" w:fill="auto"/>
            <w:vAlign w:val="center"/>
          </w:tcPr>
          <w:p w14:paraId="6E2ED7C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检测桩数为2%，不少于5根</w:t>
            </w:r>
          </w:p>
        </w:tc>
        <w:tc>
          <w:tcPr>
            <w:tcW w:w="640" w:type="dxa"/>
            <w:tcBorders>
              <w:top w:val="nil"/>
              <w:left w:val="nil"/>
              <w:bottom w:val="single" w:color="auto" w:sz="4" w:space="0"/>
              <w:right w:val="single" w:color="auto" w:sz="4" w:space="0"/>
            </w:tcBorders>
            <w:shd w:val="clear" w:color="auto" w:fill="auto"/>
            <w:noWrap/>
            <w:vAlign w:val="center"/>
          </w:tcPr>
          <w:p w14:paraId="1618750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nil"/>
              <w:left w:val="nil"/>
              <w:bottom w:val="single" w:color="auto" w:sz="4" w:space="0"/>
              <w:right w:val="single" w:color="auto" w:sz="4" w:space="0"/>
            </w:tcBorders>
            <w:shd w:val="clear" w:color="auto" w:fill="auto"/>
            <w:vAlign w:val="center"/>
          </w:tcPr>
          <w:p w14:paraId="434DC2D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918" w:type="dxa"/>
            <w:tcBorders>
              <w:top w:val="nil"/>
              <w:left w:val="nil"/>
              <w:bottom w:val="single" w:color="auto" w:sz="4" w:space="0"/>
              <w:right w:val="single" w:color="auto" w:sz="4" w:space="0"/>
            </w:tcBorders>
            <w:shd w:val="clear" w:color="auto" w:fill="auto"/>
            <w:vAlign w:val="center"/>
          </w:tcPr>
          <w:p w14:paraId="1938884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5" w:type="dxa"/>
            <w:tcBorders>
              <w:top w:val="nil"/>
              <w:left w:val="nil"/>
              <w:bottom w:val="single" w:color="auto" w:sz="4" w:space="0"/>
              <w:right w:val="single" w:color="auto" w:sz="4" w:space="0"/>
            </w:tcBorders>
            <w:vAlign w:val="center"/>
          </w:tcPr>
          <w:p w14:paraId="28D0BAED">
            <w:pPr>
              <w:widowControl/>
              <w:adjustRightInd/>
              <w:jc w:val="left"/>
              <w:rPr>
                <w:rFonts w:hint="eastAsia" w:ascii="宋体" w:hAnsi="宋体" w:cs="宋体"/>
                <w:color w:val="auto"/>
                <w:kern w:val="0"/>
                <w:sz w:val="20"/>
                <w:szCs w:val="20"/>
                <w:highlight w:val="none"/>
              </w:rPr>
            </w:pPr>
          </w:p>
        </w:tc>
        <w:tc>
          <w:tcPr>
            <w:tcW w:w="534" w:type="dxa"/>
            <w:tcBorders>
              <w:top w:val="nil"/>
              <w:left w:val="nil"/>
              <w:bottom w:val="single" w:color="auto" w:sz="4" w:space="0"/>
              <w:right w:val="single" w:color="auto" w:sz="4" w:space="0"/>
            </w:tcBorders>
            <w:vAlign w:val="center"/>
          </w:tcPr>
          <w:p w14:paraId="6A9FD33D">
            <w:pPr>
              <w:widowControl/>
              <w:adjustRightInd/>
              <w:jc w:val="left"/>
              <w:rPr>
                <w:rFonts w:hint="eastAsia" w:ascii="宋体" w:hAnsi="宋体" w:cs="宋体"/>
                <w:color w:val="auto"/>
                <w:kern w:val="0"/>
                <w:sz w:val="20"/>
                <w:szCs w:val="20"/>
                <w:highlight w:val="none"/>
              </w:rPr>
            </w:pPr>
          </w:p>
        </w:tc>
      </w:tr>
      <w:tr w14:paraId="4DCEC865">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5A43B430">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94" w:type="dxa"/>
            <w:vMerge w:val="continue"/>
            <w:tcBorders>
              <w:left w:val="single" w:color="auto" w:sz="4" w:space="0"/>
              <w:right w:val="single" w:color="auto" w:sz="4" w:space="0"/>
            </w:tcBorders>
            <w:vAlign w:val="center"/>
          </w:tcPr>
          <w:p w14:paraId="72646DA0">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11CE8B5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低应变检测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3BC33D0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围护立柱钻孔灌注桩，检测桩数不少于总桩数的20%</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4C08FB8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0FA6368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150</w:t>
            </w:r>
          </w:p>
        </w:tc>
        <w:tc>
          <w:tcPr>
            <w:tcW w:w="918" w:type="dxa"/>
            <w:tcBorders>
              <w:top w:val="single" w:color="auto" w:sz="4" w:space="0"/>
              <w:left w:val="nil"/>
              <w:bottom w:val="single" w:color="auto" w:sz="4" w:space="0"/>
              <w:right w:val="single" w:color="auto" w:sz="4" w:space="0"/>
            </w:tcBorders>
            <w:shd w:val="clear" w:color="auto" w:fill="auto"/>
            <w:vAlign w:val="center"/>
          </w:tcPr>
          <w:p w14:paraId="76875DC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25" w:type="dxa"/>
            <w:tcBorders>
              <w:top w:val="single" w:color="auto" w:sz="4" w:space="0"/>
              <w:left w:val="nil"/>
              <w:bottom w:val="single" w:color="auto" w:sz="4" w:space="0"/>
              <w:right w:val="single" w:color="auto" w:sz="4" w:space="0"/>
            </w:tcBorders>
            <w:vAlign w:val="center"/>
          </w:tcPr>
          <w:p w14:paraId="422612C8">
            <w:pPr>
              <w:widowControl/>
              <w:adjustRightInd/>
              <w:jc w:val="left"/>
              <w:rPr>
                <w:rFonts w:hint="eastAsia" w:ascii="宋体" w:hAnsi="宋体" w:cs="宋体"/>
                <w:color w:val="auto"/>
                <w:kern w:val="0"/>
                <w:sz w:val="20"/>
                <w:szCs w:val="20"/>
                <w:highlight w:val="none"/>
              </w:rPr>
            </w:pPr>
          </w:p>
        </w:tc>
        <w:tc>
          <w:tcPr>
            <w:tcW w:w="534" w:type="dxa"/>
            <w:tcBorders>
              <w:top w:val="single" w:color="auto" w:sz="4" w:space="0"/>
              <w:left w:val="nil"/>
              <w:bottom w:val="single" w:color="auto" w:sz="4" w:space="0"/>
              <w:right w:val="single" w:color="auto" w:sz="4" w:space="0"/>
            </w:tcBorders>
            <w:vAlign w:val="center"/>
          </w:tcPr>
          <w:p w14:paraId="49AB5AFF">
            <w:pPr>
              <w:widowControl/>
              <w:adjustRightInd/>
              <w:jc w:val="left"/>
              <w:rPr>
                <w:rFonts w:hint="eastAsia" w:ascii="宋体" w:hAnsi="宋体" w:cs="宋体"/>
                <w:color w:val="auto"/>
                <w:kern w:val="0"/>
                <w:sz w:val="20"/>
                <w:szCs w:val="20"/>
                <w:highlight w:val="none"/>
              </w:rPr>
            </w:pPr>
          </w:p>
        </w:tc>
      </w:tr>
      <w:tr w14:paraId="3E9C9E1F">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10EAA9C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94" w:type="dxa"/>
            <w:vMerge w:val="continue"/>
            <w:tcBorders>
              <w:left w:val="single" w:color="auto" w:sz="4" w:space="0"/>
              <w:bottom w:val="single" w:color="auto" w:sz="4" w:space="0"/>
              <w:right w:val="single" w:color="auto" w:sz="4" w:space="0"/>
            </w:tcBorders>
            <w:vAlign w:val="center"/>
          </w:tcPr>
          <w:p w14:paraId="157FFE07">
            <w:pPr>
              <w:widowControl/>
              <w:adjustRightInd/>
              <w:jc w:val="left"/>
              <w:rPr>
                <w:rFonts w:hint="eastAsia" w:ascii="宋体" w:hAnsi="宋体" w:cs="宋体"/>
                <w:color w:val="auto"/>
                <w:kern w:val="0"/>
                <w:sz w:val="20"/>
                <w:szCs w:val="20"/>
                <w:highlight w:val="no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A41180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地连墙结构质量检测</w:t>
            </w:r>
          </w:p>
        </w:tc>
        <w:tc>
          <w:tcPr>
            <w:tcW w:w="3060" w:type="dxa"/>
            <w:tcBorders>
              <w:top w:val="single" w:color="auto" w:sz="4" w:space="0"/>
              <w:left w:val="nil"/>
              <w:bottom w:val="single" w:color="auto" w:sz="4" w:space="0"/>
              <w:right w:val="single" w:color="auto" w:sz="4" w:space="0"/>
            </w:tcBorders>
            <w:shd w:val="clear" w:color="auto" w:fill="auto"/>
            <w:vAlign w:val="center"/>
          </w:tcPr>
          <w:p w14:paraId="5E42A07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钢筋笼、混凝土质量检测等</w:t>
            </w:r>
          </w:p>
        </w:tc>
        <w:tc>
          <w:tcPr>
            <w:tcW w:w="640" w:type="dxa"/>
            <w:tcBorders>
              <w:top w:val="single" w:color="auto" w:sz="4" w:space="0"/>
              <w:left w:val="nil"/>
              <w:bottom w:val="single" w:color="auto" w:sz="4" w:space="0"/>
              <w:right w:val="single" w:color="auto" w:sz="4" w:space="0"/>
            </w:tcBorders>
            <w:shd w:val="clear" w:color="auto" w:fill="auto"/>
            <w:noWrap/>
            <w:vAlign w:val="center"/>
          </w:tcPr>
          <w:p w14:paraId="3D123D8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项</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7FD0725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918" w:type="dxa"/>
            <w:tcBorders>
              <w:top w:val="single" w:color="auto" w:sz="4" w:space="0"/>
              <w:left w:val="nil"/>
              <w:bottom w:val="single" w:color="auto" w:sz="4" w:space="0"/>
              <w:right w:val="single" w:color="auto" w:sz="4" w:space="0"/>
            </w:tcBorders>
            <w:shd w:val="clear" w:color="auto" w:fill="auto"/>
            <w:vAlign w:val="center"/>
          </w:tcPr>
          <w:p w14:paraId="7AC02456">
            <w:pPr>
              <w:widowControl/>
              <w:adjustRightInd/>
              <w:jc w:val="left"/>
              <w:rPr>
                <w:rFonts w:hint="eastAsia" w:ascii="宋体" w:hAnsi="宋体" w:cs="宋体"/>
                <w:color w:val="auto"/>
                <w:kern w:val="0"/>
                <w:sz w:val="20"/>
                <w:szCs w:val="20"/>
                <w:highlight w:val="none"/>
              </w:rPr>
            </w:pPr>
          </w:p>
        </w:tc>
        <w:tc>
          <w:tcPr>
            <w:tcW w:w="825" w:type="dxa"/>
            <w:tcBorders>
              <w:top w:val="single" w:color="auto" w:sz="4" w:space="0"/>
              <w:left w:val="nil"/>
              <w:bottom w:val="single" w:color="auto" w:sz="4" w:space="0"/>
              <w:right w:val="single" w:color="auto" w:sz="4" w:space="0"/>
            </w:tcBorders>
            <w:vAlign w:val="center"/>
          </w:tcPr>
          <w:p w14:paraId="383EED41">
            <w:pPr>
              <w:widowControl/>
              <w:adjustRightInd/>
              <w:jc w:val="left"/>
              <w:rPr>
                <w:rFonts w:hint="eastAsia" w:ascii="宋体" w:hAnsi="宋体" w:cs="宋体"/>
                <w:color w:val="auto"/>
                <w:kern w:val="0"/>
                <w:sz w:val="20"/>
                <w:szCs w:val="20"/>
                <w:highlight w:val="none"/>
              </w:rPr>
            </w:pPr>
          </w:p>
        </w:tc>
        <w:tc>
          <w:tcPr>
            <w:tcW w:w="534" w:type="dxa"/>
            <w:tcBorders>
              <w:top w:val="single" w:color="auto" w:sz="4" w:space="0"/>
              <w:left w:val="nil"/>
              <w:bottom w:val="single" w:color="auto" w:sz="4" w:space="0"/>
              <w:right w:val="single" w:color="auto" w:sz="4" w:space="0"/>
            </w:tcBorders>
            <w:vAlign w:val="center"/>
          </w:tcPr>
          <w:p w14:paraId="6120B3BF">
            <w:pPr>
              <w:widowControl/>
              <w:adjustRightInd/>
              <w:jc w:val="left"/>
              <w:rPr>
                <w:rFonts w:hint="eastAsia" w:ascii="宋体" w:hAnsi="宋体" w:cs="宋体"/>
                <w:color w:val="auto"/>
                <w:kern w:val="0"/>
                <w:sz w:val="20"/>
                <w:szCs w:val="20"/>
                <w:highlight w:val="none"/>
              </w:rPr>
            </w:pPr>
          </w:p>
        </w:tc>
      </w:tr>
      <w:tr w14:paraId="1CC42B8A">
        <w:tblPrEx>
          <w:tblCellMar>
            <w:top w:w="0" w:type="dxa"/>
            <w:left w:w="108" w:type="dxa"/>
            <w:bottom w:w="0" w:type="dxa"/>
            <w:right w:w="108" w:type="dxa"/>
          </w:tblCellMar>
        </w:tblPrEx>
        <w:trPr>
          <w:trHeight w:val="8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196AEF25">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（三）</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366516CA">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合计</w:t>
            </w:r>
          </w:p>
        </w:tc>
        <w:tc>
          <w:tcPr>
            <w:tcW w:w="5398" w:type="dxa"/>
            <w:gridSpan w:val="4"/>
            <w:tcBorders>
              <w:top w:val="single" w:color="auto" w:sz="4" w:space="0"/>
              <w:left w:val="nil"/>
              <w:bottom w:val="single" w:color="auto" w:sz="4" w:space="0"/>
              <w:right w:val="single" w:color="auto" w:sz="4" w:space="0"/>
            </w:tcBorders>
            <w:shd w:val="clear" w:color="auto" w:fill="auto"/>
            <w:vAlign w:val="center"/>
          </w:tcPr>
          <w:p w14:paraId="5F280DA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（一）+（二）</w:t>
            </w:r>
          </w:p>
        </w:tc>
        <w:tc>
          <w:tcPr>
            <w:tcW w:w="825" w:type="dxa"/>
            <w:tcBorders>
              <w:top w:val="single" w:color="auto" w:sz="4" w:space="0"/>
              <w:left w:val="nil"/>
              <w:bottom w:val="single" w:color="auto" w:sz="4" w:space="0"/>
              <w:right w:val="single" w:color="auto" w:sz="4" w:space="0"/>
            </w:tcBorders>
            <w:vAlign w:val="center"/>
          </w:tcPr>
          <w:p w14:paraId="1EA00048">
            <w:pPr>
              <w:widowControl/>
              <w:adjustRightInd/>
              <w:jc w:val="left"/>
              <w:rPr>
                <w:rFonts w:hint="eastAsia" w:ascii="宋体" w:hAnsi="宋体" w:cs="宋体"/>
                <w:color w:val="auto"/>
                <w:kern w:val="0"/>
                <w:sz w:val="20"/>
                <w:szCs w:val="20"/>
                <w:highlight w:val="none"/>
              </w:rPr>
            </w:pPr>
          </w:p>
        </w:tc>
        <w:tc>
          <w:tcPr>
            <w:tcW w:w="534" w:type="dxa"/>
            <w:tcBorders>
              <w:top w:val="single" w:color="auto" w:sz="4" w:space="0"/>
              <w:left w:val="nil"/>
              <w:bottom w:val="single" w:color="auto" w:sz="4" w:space="0"/>
              <w:right w:val="single" w:color="auto" w:sz="4" w:space="0"/>
            </w:tcBorders>
            <w:vAlign w:val="center"/>
          </w:tcPr>
          <w:p w14:paraId="7B378A5E">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含税价</w:t>
            </w:r>
          </w:p>
        </w:tc>
      </w:tr>
    </w:tbl>
    <w:p w14:paraId="2CC71C7C">
      <w:pPr>
        <w:widowControl/>
        <w:adjustRightInd/>
        <w:jc w:val="left"/>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6D9C823B">
      <w:pPr>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2.基坑监测</w:t>
      </w:r>
    </w:p>
    <w:tbl>
      <w:tblPr>
        <w:tblStyle w:val="15"/>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1940"/>
        <w:gridCol w:w="840"/>
        <w:gridCol w:w="840"/>
        <w:gridCol w:w="916"/>
        <w:gridCol w:w="850"/>
        <w:gridCol w:w="1086"/>
      </w:tblGrid>
      <w:tr w14:paraId="4223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000000" w:fill="auto"/>
            <w:noWrap/>
            <w:vAlign w:val="center"/>
          </w:tcPr>
          <w:p w14:paraId="283D12B0">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2268" w:type="dxa"/>
            <w:shd w:val="clear" w:color="000000" w:fill="auto"/>
            <w:noWrap/>
            <w:vAlign w:val="center"/>
          </w:tcPr>
          <w:p w14:paraId="4A02AA2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监测项目</w:t>
            </w:r>
          </w:p>
        </w:tc>
        <w:tc>
          <w:tcPr>
            <w:tcW w:w="1940" w:type="dxa"/>
            <w:shd w:val="clear" w:color="000000" w:fill="auto"/>
            <w:noWrap/>
            <w:vAlign w:val="center"/>
          </w:tcPr>
          <w:p w14:paraId="6346673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位置或监测对象</w:t>
            </w:r>
          </w:p>
        </w:tc>
        <w:tc>
          <w:tcPr>
            <w:tcW w:w="840" w:type="dxa"/>
            <w:shd w:val="clear" w:color="000000" w:fill="auto"/>
            <w:noWrap/>
            <w:vAlign w:val="center"/>
          </w:tcPr>
          <w:p w14:paraId="1EF1B884">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840" w:type="dxa"/>
            <w:shd w:val="clear" w:color="000000" w:fill="auto"/>
            <w:noWrap/>
            <w:vAlign w:val="center"/>
          </w:tcPr>
          <w:p w14:paraId="3A406124">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工程量</w:t>
            </w:r>
          </w:p>
        </w:tc>
        <w:tc>
          <w:tcPr>
            <w:tcW w:w="916" w:type="dxa"/>
            <w:shd w:val="clear" w:color="000000" w:fill="auto"/>
            <w:vAlign w:val="center"/>
          </w:tcPr>
          <w:p w14:paraId="52DB7CF7">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综合单价（元）</w:t>
            </w:r>
          </w:p>
        </w:tc>
        <w:tc>
          <w:tcPr>
            <w:tcW w:w="850" w:type="dxa"/>
            <w:shd w:val="clear" w:color="000000" w:fill="auto"/>
            <w:vAlign w:val="center"/>
          </w:tcPr>
          <w:p w14:paraId="4955F63B">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合价（元）</w:t>
            </w:r>
          </w:p>
        </w:tc>
        <w:tc>
          <w:tcPr>
            <w:tcW w:w="1086" w:type="dxa"/>
            <w:shd w:val="clear" w:color="000000" w:fill="auto"/>
            <w:noWrap/>
            <w:vAlign w:val="center"/>
          </w:tcPr>
          <w:p w14:paraId="01D421DC">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651D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6C0BCDB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268" w:type="dxa"/>
            <w:shd w:val="clear" w:color="auto" w:fill="auto"/>
            <w:vAlign w:val="center"/>
          </w:tcPr>
          <w:p w14:paraId="1BE00142">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深层土体水平位移（人工）</w:t>
            </w:r>
          </w:p>
        </w:tc>
        <w:tc>
          <w:tcPr>
            <w:tcW w:w="1940" w:type="dxa"/>
            <w:shd w:val="clear" w:color="auto" w:fill="auto"/>
            <w:vAlign w:val="center"/>
          </w:tcPr>
          <w:p w14:paraId="7B9D0CB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shd w:val="clear" w:color="auto" w:fill="auto"/>
            <w:noWrap/>
            <w:vAlign w:val="center"/>
          </w:tcPr>
          <w:p w14:paraId="52FE2DE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shd w:val="clear" w:color="auto" w:fill="auto"/>
            <w:vAlign w:val="center"/>
          </w:tcPr>
          <w:p w14:paraId="7C3424A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916" w:type="dxa"/>
            <w:vAlign w:val="center"/>
          </w:tcPr>
          <w:p w14:paraId="776FE34D">
            <w:pPr>
              <w:widowControl/>
              <w:adjustRightInd/>
              <w:jc w:val="center"/>
              <w:rPr>
                <w:rFonts w:hint="eastAsia" w:ascii="宋体" w:hAnsi="宋体" w:cs="宋体"/>
                <w:b/>
                <w:bCs/>
                <w:color w:val="auto"/>
                <w:kern w:val="0"/>
                <w:sz w:val="20"/>
                <w:szCs w:val="20"/>
                <w:highlight w:val="none"/>
              </w:rPr>
            </w:pPr>
          </w:p>
        </w:tc>
        <w:tc>
          <w:tcPr>
            <w:tcW w:w="850" w:type="dxa"/>
            <w:vAlign w:val="center"/>
          </w:tcPr>
          <w:p w14:paraId="1A6FF4E4">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5412824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孔深暂定32m</w:t>
            </w:r>
          </w:p>
        </w:tc>
      </w:tr>
      <w:tr w14:paraId="5941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40C2721E">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268" w:type="dxa"/>
            <w:shd w:val="clear" w:color="auto" w:fill="auto"/>
            <w:vAlign w:val="center"/>
          </w:tcPr>
          <w:p w14:paraId="7EA0B71F">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地下水位（人工）</w:t>
            </w:r>
          </w:p>
        </w:tc>
        <w:tc>
          <w:tcPr>
            <w:tcW w:w="1940" w:type="dxa"/>
            <w:shd w:val="clear" w:color="auto" w:fill="auto"/>
            <w:vAlign w:val="center"/>
          </w:tcPr>
          <w:p w14:paraId="769E126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shd w:val="clear" w:color="auto" w:fill="auto"/>
            <w:noWrap/>
            <w:vAlign w:val="center"/>
          </w:tcPr>
          <w:p w14:paraId="2933DF4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shd w:val="clear" w:color="auto" w:fill="auto"/>
            <w:vAlign w:val="center"/>
          </w:tcPr>
          <w:p w14:paraId="460A01C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916" w:type="dxa"/>
            <w:vAlign w:val="center"/>
          </w:tcPr>
          <w:p w14:paraId="08F43992">
            <w:pPr>
              <w:widowControl/>
              <w:adjustRightInd/>
              <w:jc w:val="center"/>
              <w:rPr>
                <w:rFonts w:hint="eastAsia" w:ascii="宋体" w:hAnsi="宋体" w:cs="宋体"/>
                <w:b/>
                <w:bCs/>
                <w:color w:val="auto"/>
                <w:kern w:val="0"/>
                <w:sz w:val="20"/>
                <w:szCs w:val="20"/>
                <w:highlight w:val="none"/>
              </w:rPr>
            </w:pPr>
          </w:p>
        </w:tc>
        <w:tc>
          <w:tcPr>
            <w:tcW w:w="850" w:type="dxa"/>
            <w:vAlign w:val="center"/>
          </w:tcPr>
          <w:p w14:paraId="1C514193">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744D6C55">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孔深暂定15m</w:t>
            </w:r>
          </w:p>
        </w:tc>
      </w:tr>
      <w:tr w14:paraId="657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4F6595C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268" w:type="dxa"/>
            <w:shd w:val="clear" w:color="auto" w:fill="auto"/>
            <w:vAlign w:val="center"/>
          </w:tcPr>
          <w:p w14:paraId="072F223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支撑轴力（人工）</w:t>
            </w:r>
          </w:p>
        </w:tc>
        <w:tc>
          <w:tcPr>
            <w:tcW w:w="1940" w:type="dxa"/>
            <w:shd w:val="clear" w:color="auto" w:fill="auto"/>
            <w:vAlign w:val="center"/>
          </w:tcPr>
          <w:p w14:paraId="3640AA04">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第一道砼支撑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第二道型钢支撑</w:t>
            </w:r>
          </w:p>
        </w:tc>
        <w:tc>
          <w:tcPr>
            <w:tcW w:w="840" w:type="dxa"/>
            <w:shd w:val="clear" w:color="auto" w:fill="auto"/>
            <w:noWrap/>
            <w:vAlign w:val="center"/>
          </w:tcPr>
          <w:p w14:paraId="69C735F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40" w:type="dxa"/>
            <w:shd w:val="clear" w:color="auto" w:fill="auto"/>
            <w:vAlign w:val="center"/>
          </w:tcPr>
          <w:p w14:paraId="1A6E2EC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916" w:type="dxa"/>
            <w:vAlign w:val="center"/>
          </w:tcPr>
          <w:p w14:paraId="10047CC8">
            <w:pPr>
              <w:widowControl/>
              <w:adjustRightInd/>
              <w:jc w:val="center"/>
              <w:rPr>
                <w:rFonts w:hint="eastAsia" w:ascii="宋体" w:hAnsi="宋体" w:cs="宋体"/>
                <w:b/>
                <w:bCs/>
                <w:color w:val="auto"/>
                <w:kern w:val="0"/>
                <w:sz w:val="20"/>
                <w:szCs w:val="20"/>
                <w:highlight w:val="none"/>
              </w:rPr>
            </w:pPr>
          </w:p>
        </w:tc>
        <w:tc>
          <w:tcPr>
            <w:tcW w:w="850" w:type="dxa"/>
            <w:vAlign w:val="center"/>
          </w:tcPr>
          <w:p w14:paraId="1733AFE5">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34EF9040">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76B5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2345EDF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268" w:type="dxa"/>
            <w:shd w:val="clear" w:color="auto" w:fill="auto"/>
            <w:vAlign w:val="center"/>
          </w:tcPr>
          <w:p w14:paraId="4CC6C5DE">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深层土体水平位移（自动化）</w:t>
            </w:r>
          </w:p>
        </w:tc>
        <w:tc>
          <w:tcPr>
            <w:tcW w:w="1940" w:type="dxa"/>
            <w:shd w:val="clear" w:color="auto" w:fill="auto"/>
            <w:vAlign w:val="center"/>
          </w:tcPr>
          <w:p w14:paraId="00A1A4C7">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shd w:val="clear" w:color="auto" w:fill="auto"/>
            <w:noWrap/>
            <w:vAlign w:val="center"/>
          </w:tcPr>
          <w:p w14:paraId="543B129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shd w:val="clear" w:color="auto" w:fill="auto"/>
            <w:vAlign w:val="center"/>
          </w:tcPr>
          <w:p w14:paraId="794478A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16" w:type="dxa"/>
            <w:vAlign w:val="center"/>
          </w:tcPr>
          <w:p w14:paraId="52D58F82">
            <w:pPr>
              <w:widowControl/>
              <w:adjustRightInd/>
              <w:jc w:val="center"/>
              <w:rPr>
                <w:rFonts w:hint="eastAsia" w:ascii="宋体" w:hAnsi="宋体" w:cs="宋体"/>
                <w:b/>
                <w:bCs/>
                <w:color w:val="auto"/>
                <w:kern w:val="0"/>
                <w:sz w:val="20"/>
                <w:szCs w:val="20"/>
                <w:highlight w:val="none"/>
              </w:rPr>
            </w:pPr>
          </w:p>
        </w:tc>
        <w:tc>
          <w:tcPr>
            <w:tcW w:w="850" w:type="dxa"/>
            <w:vAlign w:val="center"/>
          </w:tcPr>
          <w:p w14:paraId="65EF5D58">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2ADCE11F">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孔深暂定32m</w:t>
            </w:r>
          </w:p>
        </w:tc>
      </w:tr>
      <w:tr w14:paraId="7087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1ED2E585">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268" w:type="dxa"/>
            <w:shd w:val="clear" w:color="auto" w:fill="auto"/>
            <w:vAlign w:val="center"/>
          </w:tcPr>
          <w:p w14:paraId="1BBBE86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地下水位（自动化）</w:t>
            </w:r>
          </w:p>
        </w:tc>
        <w:tc>
          <w:tcPr>
            <w:tcW w:w="1940" w:type="dxa"/>
            <w:shd w:val="clear" w:color="auto" w:fill="auto"/>
            <w:vAlign w:val="center"/>
          </w:tcPr>
          <w:p w14:paraId="12CE622D">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围护结构后土体内</w:t>
            </w:r>
          </w:p>
        </w:tc>
        <w:tc>
          <w:tcPr>
            <w:tcW w:w="840" w:type="dxa"/>
            <w:shd w:val="clear" w:color="auto" w:fill="auto"/>
            <w:noWrap/>
            <w:vAlign w:val="center"/>
          </w:tcPr>
          <w:p w14:paraId="12990DC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孔</w:t>
            </w:r>
          </w:p>
        </w:tc>
        <w:tc>
          <w:tcPr>
            <w:tcW w:w="840" w:type="dxa"/>
            <w:shd w:val="clear" w:color="auto" w:fill="auto"/>
            <w:vAlign w:val="center"/>
          </w:tcPr>
          <w:p w14:paraId="14B22BF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16" w:type="dxa"/>
            <w:vAlign w:val="center"/>
          </w:tcPr>
          <w:p w14:paraId="124D5DB4">
            <w:pPr>
              <w:widowControl/>
              <w:adjustRightInd/>
              <w:jc w:val="center"/>
              <w:rPr>
                <w:rFonts w:hint="eastAsia" w:ascii="宋体" w:hAnsi="宋体" w:cs="宋体"/>
                <w:b/>
                <w:bCs/>
                <w:color w:val="auto"/>
                <w:kern w:val="0"/>
                <w:sz w:val="20"/>
                <w:szCs w:val="20"/>
                <w:highlight w:val="none"/>
              </w:rPr>
            </w:pPr>
          </w:p>
        </w:tc>
        <w:tc>
          <w:tcPr>
            <w:tcW w:w="850" w:type="dxa"/>
            <w:vAlign w:val="center"/>
          </w:tcPr>
          <w:p w14:paraId="3D1073FE">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3B3EBA8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孔深暂定15m</w:t>
            </w:r>
          </w:p>
        </w:tc>
      </w:tr>
      <w:tr w14:paraId="36D2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1F1B23D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68" w:type="dxa"/>
            <w:shd w:val="clear" w:color="auto" w:fill="auto"/>
            <w:vAlign w:val="center"/>
          </w:tcPr>
          <w:p w14:paraId="6F3BD2CA">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支撑轴力（自动化）</w:t>
            </w:r>
          </w:p>
        </w:tc>
        <w:tc>
          <w:tcPr>
            <w:tcW w:w="1940" w:type="dxa"/>
            <w:shd w:val="clear" w:color="auto" w:fill="auto"/>
            <w:vAlign w:val="center"/>
          </w:tcPr>
          <w:p w14:paraId="651272B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第一道砼支撑</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第二道型钢支撑</w:t>
            </w:r>
          </w:p>
        </w:tc>
        <w:tc>
          <w:tcPr>
            <w:tcW w:w="840" w:type="dxa"/>
            <w:shd w:val="clear" w:color="auto" w:fill="auto"/>
            <w:noWrap/>
            <w:vAlign w:val="center"/>
          </w:tcPr>
          <w:p w14:paraId="0FC8911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组</w:t>
            </w:r>
          </w:p>
        </w:tc>
        <w:tc>
          <w:tcPr>
            <w:tcW w:w="840" w:type="dxa"/>
            <w:shd w:val="clear" w:color="auto" w:fill="auto"/>
            <w:vAlign w:val="center"/>
          </w:tcPr>
          <w:p w14:paraId="1C73877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916" w:type="dxa"/>
            <w:vAlign w:val="center"/>
          </w:tcPr>
          <w:p w14:paraId="17216F40">
            <w:pPr>
              <w:widowControl/>
              <w:adjustRightInd/>
              <w:jc w:val="center"/>
              <w:rPr>
                <w:rFonts w:hint="eastAsia" w:ascii="宋体" w:hAnsi="宋体" w:cs="宋体"/>
                <w:b/>
                <w:bCs/>
                <w:color w:val="auto"/>
                <w:kern w:val="0"/>
                <w:sz w:val="20"/>
                <w:szCs w:val="20"/>
                <w:highlight w:val="none"/>
              </w:rPr>
            </w:pPr>
          </w:p>
        </w:tc>
        <w:tc>
          <w:tcPr>
            <w:tcW w:w="850" w:type="dxa"/>
            <w:vAlign w:val="center"/>
          </w:tcPr>
          <w:p w14:paraId="78B59D7F">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6A681AA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672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435E8F7F">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268" w:type="dxa"/>
            <w:shd w:val="clear" w:color="auto" w:fill="auto"/>
            <w:vAlign w:val="center"/>
          </w:tcPr>
          <w:p w14:paraId="1DB3CD56">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基坑周边地表沉降监测</w:t>
            </w:r>
          </w:p>
        </w:tc>
        <w:tc>
          <w:tcPr>
            <w:tcW w:w="1940" w:type="dxa"/>
            <w:shd w:val="clear" w:color="auto" w:fill="auto"/>
            <w:vAlign w:val="center"/>
          </w:tcPr>
          <w:p w14:paraId="15D919B0">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基坑顶部周边</w:t>
            </w:r>
          </w:p>
        </w:tc>
        <w:tc>
          <w:tcPr>
            <w:tcW w:w="840" w:type="dxa"/>
            <w:shd w:val="clear" w:color="auto" w:fill="auto"/>
            <w:noWrap/>
            <w:vAlign w:val="center"/>
          </w:tcPr>
          <w:p w14:paraId="44BB2651">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vAlign w:val="center"/>
          </w:tcPr>
          <w:p w14:paraId="5AB9BFC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916" w:type="dxa"/>
            <w:vAlign w:val="center"/>
          </w:tcPr>
          <w:p w14:paraId="22FFF52A">
            <w:pPr>
              <w:widowControl/>
              <w:adjustRightInd/>
              <w:jc w:val="center"/>
              <w:rPr>
                <w:rFonts w:hint="eastAsia" w:ascii="宋体" w:hAnsi="宋体" w:cs="宋体"/>
                <w:b/>
                <w:bCs/>
                <w:color w:val="auto"/>
                <w:kern w:val="0"/>
                <w:sz w:val="20"/>
                <w:szCs w:val="20"/>
                <w:highlight w:val="none"/>
              </w:rPr>
            </w:pPr>
          </w:p>
        </w:tc>
        <w:tc>
          <w:tcPr>
            <w:tcW w:w="850" w:type="dxa"/>
            <w:vAlign w:val="center"/>
          </w:tcPr>
          <w:p w14:paraId="506D0FFE">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030B64E9">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55A4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73BD164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268" w:type="dxa"/>
            <w:shd w:val="clear" w:color="auto" w:fill="auto"/>
            <w:vAlign w:val="center"/>
          </w:tcPr>
          <w:p w14:paraId="380C6142">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围护桩桩顶水平位移</w:t>
            </w:r>
          </w:p>
        </w:tc>
        <w:tc>
          <w:tcPr>
            <w:tcW w:w="1940" w:type="dxa"/>
            <w:shd w:val="clear" w:color="auto" w:fill="auto"/>
            <w:vAlign w:val="center"/>
          </w:tcPr>
          <w:p w14:paraId="4DFBF51F">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w:t>
            </w:r>
          </w:p>
        </w:tc>
        <w:tc>
          <w:tcPr>
            <w:tcW w:w="840" w:type="dxa"/>
            <w:shd w:val="clear" w:color="auto" w:fill="auto"/>
            <w:noWrap/>
            <w:vAlign w:val="center"/>
          </w:tcPr>
          <w:p w14:paraId="55F77F6D">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vAlign w:val="center"/>
          </w:tcPr>
          <w:p w14:paraId="12E0584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16" w:type="dxa"/>
            <w:vAlign w:val="center"/>
          </w:tcPr>
          <w:p w14:paraId="43A79A46">
            <w:pPr>
              <w:widowControl/>
              <w:adjustRightInd/>
              <w:jc w:val="center"/>
              <w:rPr>
                <w:rFonts w:hint="eastAsia" w:ascii="宋体" w:hAnsi="宋体" w:cs="宋体"/>
                <w:b/>
                <w:bCs/>
                <w:color w:val="auto"/>
                <w:kern w:val="0"/>
                <w:sz w:val="20"/>
                <w:szCs w:val="20"/>
                <w:highlight w:val="none"/>
              </w:rPr>
            </w:pPr>
          </w:p>
        </w:tc>
        <w:tc>
          <w:tcPr>
            <w:tcW w:w="850" w:type="dxa"/>
            <w:vAlign w:val="center"/>
          </w:tcPr>
          <w:p w14:paraId="0FD63A49">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2886C79B">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2F35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1ADAE966">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268" w:type="dxa"/>
            <w:shd w:val="clear" w:color="auto" w:fill="auto"/>
            <w:vAlign w:val="center"/>
          </w:tcPr>
          <w:p w14:paraId="5B38A13B">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围护桩桩顶竖向位移</w:t>
            </w:r>
          </w:p>
        </w:tc>
        <w:tc>
          <w:tcPr>
            <w:tcW w:w="1940" w:type="dxa"/>
            <w:shd w:val="clear" w:color="auto" w:fill="auto"/>
            <w:vAlign w:val="center"/>
          </w:tcPr>
          <w:p w14:paraId="268E3099">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围护桩桩顶</w:t>
            </w:r>
          </w:p>
        </w:tc>
        <w:tc>
          <w:tcPr>
            <w:tcW w:w="840" w:type="dxa"/>
            <w:shd w:val="clear" w:color="auto" w:fill="auto"/>
            <w:noWrap/>
            <w:vAlign w:val="center"/>
          </w:tcPr>
          <w:p w14:paraId="37EB211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vAlign w:val="center"/>
          </w:tcPr>
          <w:p w14:paraId="5261627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916" w:type="dxa"/>
            <w:vAlign w:val="center"/>
          </w:tcPr>
          <w:p w14:paraId="7D0A8940">
            <w:pPr>
              <w:widowControl/>
              <w:adjustRightInd/>
              <w:jc w:val="center"/>
              <w:rPr>
                <w:rFonts w:hint="eastAsia" w:ascii="宋体" w:hAnsi="宋体" w:cs="宋体"/>
                <w:b/>
                <w:bCs/>
                <w:color w:val="auto"/>
                <w:kern w:val="0"/>
                <w:sz w:val="20"/>
                <w:szCs w:val="20"/>
                <w:highlight w:val="none"/>
              </w:rPr>
            </w:pPr>
          </w:p>
        </w:tc>
        <w:tc>
          <w:tcPr>
            <w:tcW w:w="850" w:type="dxa"/>
            <w:vAlign w:val="center"/>
          </w:tcPr>
          <w:p w14:paraId="1840544A">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76EE4E0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3AA1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305457B2">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268" w:type="dxa"/>
            <w:shd w:val="clear" w:color="auto" w:fill="auto"/>
            <w:vAlign w:val="center"/>
          </w:tcPr>
          <w:p w14:paraId="2EB52254">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立柱桩沉降监测</w:t>
            </w:r>
          </w:p>
        </w:tc>
        <w:tc>
          <w:tcPr>
            <w:tcW w:w="1940" w:type="dxa"/>
            <w:shd w:val="clear" w:color="auto" w:fill="auto"/>
            <w:vAlign w:val="center"/>
          </w:tcPr>
          <w:p w14:paraId="75F2C21C">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立柱桩</w:t>
            </w:r>
          </w:p>
        </w:tc>
        <w:tc>
          <w:tcPr>
            <w:tcW w:w="840" w:type="dxa"/>
            <w:shd w:val="clear" w:color="auto" w:fill="auto"/>
            <w:noWrap/>
            <w:vAlign w:val="center"/>
          </w:tcPr>
          <w:p w14:paraId="7D0DA4F4">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noWrap/>
            <w:vAlign w:val="center"/>
          </w:tcPr>
          <w:p w14:paraId="0F7E1D5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16" w:type="dxa"/>
            <w:vAlign w:val="center"/>
          </w:tcPr>
          <w:p w14:paraId="7438D125">
            <w:pPr>
              <w:widowControl/>
              <w:adjustRightInd/>
              <w:jc w:val="center"/>
              <w:rPr>
                <w:rFonts w:hint="eastAsia" w:ascii="宋体" w:hAnsi="宋体" w:cs="宋体"/>
                <w:b/>
                <w:bCs/>
                <w:color w:val="auto"/>
                <w:kern w:val="0"/>
                <w:sz w:val="20"/>
                <w:szCs w:val="20"/>
                <w:highlight w:val="none"/>
              </w:rPr>
            </w:pPr>
          </w:p>
        </w:tc>
        <w:tc>
          <w:tcPr>
            <w:tcW w:w="850" w:type="dxa"/>
            <w:vAlign w:val="center"/>
          </w:tcPr>
          <w:p w14:paraId="42BC7546">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52EBC995">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780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auto" w:fill="auto"/>
            <w:vAlign w:val="center"/>
          </w:tcPr>
          <w:p w14:paraId="563E397B">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268" w:type="dxa"/>
            <w:shd w:val="clear" w:color="auto" w:fill="auto"/>
            <w:vAlign w:val="center"/>
          </w:tcPr>
          <w:p w14:paraId="2C2FF53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基坑管线位移、沉降监测</w:t>
            </w:r>
          </w:p>
        </w:tc>
        <w:tc>
          <w:tcPr>
            <w:tcW w:w="1940" w:type="dxa"/>
            <w:shd w:val="clear" w:color="auto" w:fill="auto"/>
            <w:vAlign w:val="center"/>
          </w:tcPr>
          <w:p w14:paraId="46DEBDB5">
            <w:pPr>
              <w:widowControl/>
              <w:adjustRightInd/>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基坑南侧管线</w:t>
            </w:r>
          </w:p>
        </w:tc>
        <w:tc>
          <w:tcPr>
            <w:tcW w:w="840" w:type="dxa"/>
            <w:shd w:val="clear" w:color="auto" w:fill="auto"/>
            <w:noWrap/>
            <w:vAlign w:val="center"/>
          </w:tcPr>
          <w:p w14:paraId="6A209F38">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noWrap/>
            <w:vAlign w:val="center"/>
          </w:tcPr>
          <w:p w14:paraId="008918B7">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916" w:type="dxa"/>
            <w:vAlign w:val="center"/>
          </w:tcPr>
          <w:p w14:paraId="2685D124">
            <w:pPr>
              <w:widowControl/>
              <w:adjustRightInd/>
              <w:jc w:val="center"/>
              <w:rPr>
                <w:rFonts w:hint="eastAsia" w:ascii="宋体" w:hAnsi="宋体" w:cs="宋体"/>
                <w:b/>
                <w:bCs/>
                <w:color w:val="auto"/>
                <w:kern w:val="0"/>
                <w:sz w:val="20"/>
                <w:szCs w:val="20"/>
                <w:highlight w:val="none"/>
              </w:rPr>
            </w:pPr>
          </w:p>
        </w:tc>
        <w:tc>
          <w:tcPr>
            <w:tcW w:w="850" w:type="dxa"/>
            <w:vAlign w:val="center"/>
          </w:tcPr>
          <w:p w14:paraId="76B50F71">
            <w:pPr>
              <w:widowControl/>
              <w:adjustRightInd/>
              <w:jc w:val="center"/>
              <w:rPr>
                <w:rFonts w:hint="eastAsia" w:ascii="宋体" w:hAnsi="宋体" w:cs="宋体"/>
                <w:b/>
                <w:bCs/>
                <w:color w:val="auto"/>
                <w:kern w:val="0"/>
                <w:sz w:val="20"/>
                <w:szCs w:val="20"/>
                <w:highlight w:val="none"/>
              </w:rPr>
            </w:pPr>
          </w:p>
        </w:tc>
        <w:tc>
          <w:tcPr>
            <w:tcW w:w="1086" w:type="dxa"/>
            <w:shd w:val="clear" w:color="auto" w:fill="auto"/>
            <w:vAlign w:val="center"/>
          </w:tcPr>
          <w:p w14:paraId="1B1E64B1">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w:t>
            </w:r>
          </w:p>
        </w:tc>
      </w:tr>
      <w:tr w14:paraId="1DB9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shd w:val="clear" w:color="auto" w:fill="auto"/>
            <w:vAlign w:val="center"/>
          </w:tcPr>
          <w:p w14:paraId="22AA904B">
            <w:pPr>
              <w:widowControl/>
              <w:adjustRightInd/>
              <w:jc w:val="center"/>
              <w:rPr>
                <w:rFonts w:hint="eastAsia" w:ascii="宋体" w:hAnsi="宋体" w:cs="宋体"/>
                <w:color w:val="auto"/>
                <w:kern w:val="0"/>
                <w:sz w:val="20"/>
                <w:szCs w:val="20"/>
                <w:highlight w:val="none"/>
              </w:rPr>
            </w:pPr>
          </w:p>
        </w:tc>
        <w:tc>
          <w:tcPr>
            <w:tcW w:w="6804" w:type="dxa"/>
            <w:gridSpan w:val="5"/>
            <w:shd w:val="clear" w:color="auto" w:fill="auto"/>
            <w:noWrap/>
            <w:vAlign w:val="center"/>
          </w:tcPr>
          <w:p w14:paraId="046E5269">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合计</w:t>
            </w:r>
          </w:p>
        </w:tc>
        <w:tc>
          <w:tcPr>
            <w:tcW w:w="850" w:type="dxa"/>
            <w:vAlign w:val="center"/>
          </w:tcPr>
          <w:p w14:paraId="175C2C5C">
            <w:pPr>
              <w:widowControl/>
              <w:adjustRightInd/>
              <w:jc w:val="center"/>
              <w:rPr>
                <w:rFonts w:hint="eastAsia" w:ascii="宋体" w:hAnsi="宋体" w:cs="宋体"/>
                <w:color w:val="auto"/>
                <w:kern w:val="0"/>
                <w:sz w:val="20"/>
                <w:szCs w:val="20"/>
                <w:highlight w:val="none"/>
              </w:rPr>
            </w:pPr>
          </w:p>
        </w:tc>
        <w:tc>
          <w:tcPr>
            <w:tcW w:w="1086" w:type="dxa"/>
            <w:shd w:val="clear" w:color="auto" w:fill="auto"/>
            <w:noWrap/>
            <w:vAlign w:val="center"/>
          </w:tcPr>
          <w:p w14:paraId="461E915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含税价</w:t>
            </w:r>
          </w:p>
        </w:tc>
      </w:tr>
    </w:tbl>
    <w:p w14:paraId="02481FD2">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p>
    <w:p w14:paraId="23F96A32">
      <w:pPr>
        <w:widowControl/>
        <w:tabs>
          <w:tab w:val="left" w:pos="4755"/>
        </w:tabs>
        <w:spacing w:line="360" w:lineRule="auto"/>
        <w:ind w:firstLine="480" w:firstLineChars="200"/>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3.沉降观测</w:t>
      </w:r>
    </w:p>
    <w:tbl>
      <w:tblPr>
        <w:tblStyle w:val="1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1940"/>
        <w:gridCol w:w="840"/>
        <w:gridCol w:w="840"/>
        <w:gridCol w:w="1058"/>
        <w:gridCol w:w="1008"/>
        <w:gridCol w:w="976"/>
      </w:tblGrid>
      <w:tr w14:paraId="5B52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4" w:type="dxa"/>
            <w:shd w:val="clear" w:color="000000" w:fill="auto"/>
            <w:noWrap/>
            <w:vAlign w:val="center"/>
          </w:tcPr>
          <w:p w14:paraId="326BCEC4">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843" w:type="dxa"/>
            <w:shd w:val="clear" w:color="000000" w:fill="auto"/>
            <w:noWrap/>
            <w:vAlign w:val="center"/>
          </w:tcPr>
          <w:p w14:paraId="6CE8146F">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监测项目</w:t>
            </w:r>
          </w:p>
        </w:tc>
        <w:tc>
          <w:tcPr>
            <w:tcW w:w="1940" w:type="dxa"/>
            <w:shd w:val="clear" w:color="000000" w:fill="auto"/>
            <w:noWrap/>
            <w:vAlign w:val="center"/>
          </w:tcPr>
          <w:p w14:paraId="1E64E15C">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内容</w:t>
            </w:r>
          </w:p>
        </w:tc>
        <w:tc>
          <w:tcPr>
            <w:tcW w:w="840" w:type="dxa"/>
            <w:shd w:val="clear" w:color="000000" w:fill="auto"/>
            <w:noWrap/>
            <w:vAlign w:val="center"/>
          </w:tcPr>
          <w:p w14:paraId="1F2643CA">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840" w:type="dxa"/>
            <w:shd w:val="clear" w:color="000000" w:fill="auto"/>
            <w:noWrap/>
            <w:vAlign w:val="center"/>
          </w:tcPr>
          <w:p w14:paraId="1A036D28">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工程量</w:t>
            </w:r>
          </w:p>
        </w:tc>
        <w:tc>
          <w:tcPr>
            <w:tcW w:w="1058" w:type="dxa"/>
            <w:shd w:val="clear" w:color="000000" w:fill="auto"/>
            <w:vAlign w:val="center"/>
          </w:tcPr>
          <w:p w14:paraId="107F6A08">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综合单价（元）</w:t>
            </w:r>
          </w:p>
        </w:tc>
        <w:tc>
          <w:tcPr>
            <w:tcW w:w="1008" w:type="dxa"/>
            <w:shd w:val="clear" w:color="000000" w:fill="auto"/>
            <w:vAlign w:val="center"/>
          </w:tcPr>
          <w:p w14:paraId="031367DD">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合价（元）</w:t>
            </w:r>
          </w:p>
        </w:tc>
        <w:tc>
          <w:tcPr>
            <w:tcW w:w="976" w:type="dxa"/>
            <w:shd w:val="clear" w:color="000000" w:fill="auto"/>
            <w:noWrap/>
            <w:vAlign w:val="center"/>
          </w:tcPr>
          <w:p w14:paraId="1A842A2E">
            <w:pPr>
              <w:widowControl/>
              <w:adjustRightInd/>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78FE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4" w:type="dxa"/>
            <w:shd w:val="clear" w:color="auto" w:fill="auto"/>
            <w:vAlign w:val="center"/>
          </w:tcPr>
          <w:p w14:paraId="18CABB1A">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843" w:type="dxa"/>
            <w:shd w:val="clear" w:color="auto" w:fill="auto"/>
            <w:noWrap/>
            <w:vAlign w:val="center"/>
          </w:tcPr>
          <w:p w14:paraId="3478896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建筑物沉降观测</w:t>
            </w:r>
          </w:p>
        </w:tc>
        <w:tc>
          <w:tcPr>
            <w:tcW w:w="1940" w:type="dxa"/>
            <w:shd w:val="clear" w:color="auto" w:fill="auto"/>
            <w:vAlign w:val="center"/>
          </w:tcPr>
          <w:p w14:paraId="0F3CB7D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含基准点布设、沉降点观测、二等水准测量等内容。设沉降观测自基础完成后开始，每施工2层观测一次，结顶后第一年不少于每一季度观测一次，直至数据稳定。</w:t>
            </w:r>
          </w:p>
        </w:tc>
        <w:tc>
          <w:tcPr>
            <w:tcW w:w="840" w:type="dxa"/>
            <w:shd w:val="clear" w:color="auto" w:fill="auto"/>
            <w:noWrap/>
            <w:vAlign w:val="center"/>
          </w:tcPr>
          <w:p w14:paraId="2764C6FC">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点</w:t>
            </w:r>
          </w:p>
        </w:tc>
        <w:tc>
          <w:tcPr>
            <w:tcW w:w="840" w:type="dxa"/>
            <w:shd w:val="clear" w:color="auto" w:fill="auto"/>
            <w:noWrap/>
            <w:vAlign w:val="center"/>
          </w:tcPr>
          <w:p w14:paraId="6032874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1058" w:type="dxa"/>
            <w:vAlign w:val="center"/>
          </w:tcPr>
          <w:p w14:paraId="0D7C0DC1">
            <w:pPr>
              <w:widowControl/>
              <w:adjustRightInd/>
              <w:jc w:val="center"/>
              <w:rPr>
                <w:rFonts w:hint="eastAsia" w:ascii="宋体" w:hAnsi="宋体" w:cs="宋体"/>
                <w:color w:val="auto"/>
                <w:kern w:val="0"/>
                <w:sz w:val="20"/>
                <w:szCs w:val="20"/>
                <w:highlight w:val="none"/>
              </w:rPr>
            </w:pPr>
          </w:p>
        </w:tc>
        <w:tc>
          <w:tcPr>
            <w:tcW w:w="1008" w:type="dxa"/>
            <w:vAlign w:val="center"/>
          </w:tcPr>
          <w:p w14:paraId="6B28549E">
            <w:pPr>
              <w:widowControl/>
              <w:adjustRightInd/>
              <w:jc w:val="center"/>
              <w:rPr>
                <w:rFonts w:hint="eastAsia" w:ascii="宋体" w:hAnsi="宋体" w:cs="宋体"/>
                <w:color w:val="auto"/>
                <w:kern w:val="0"/>
                <w:sz w:val="20"/>
                <w:szCs w:val="20"/>
                <w:highlight w:val="none"/>
              </w:rPr>
            </w:pPr>
          </w:p>
        </w:tc>
        <w:tc>
          <w:tcPr>
            <w:tcW w:w="976" w:type="dxa"/>
            <w:shd w:val="clear" w:color="auto" w:fill="auto"/>
            <w:noWrap/>
            <w:vAlign w:val="center"/>
          </w:tcPr>
          <w:p w14:paraId="05431163">
            <w:pPr>
              <w:widowControl/>
              <w:adjustRightInd/>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含税价</w:t>
            </w:r>
          </w:p>
        </w:tc>
      </w:tr>
    </w:tbl>
    <w:p w14:paraId="5CD833AC">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p>
    <w:p w14:paraId="6D43364E">
      <w:pPr>
        <w:widowControl/>
        <w:adjustRightInd/>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br w:type="page"/>
      </w:r>
    </w:p>
    <w:p w14:paraId="468752F5">
      <w:pPr>
        <w:widowControl/>
        <w:tabs>
          <w:tab w:val="left" w:pos="4755"/>
        </w:tabs>
        <w:spacing w:line="360" w:lineRule="auto"/>
        <w:ind w:firstLine="480" w:firstLineChars="200"/>
        <w:jc w:val="left"/>
        <w:rPr>
          <w:rFonts w:hint="eastAsia" w:ascii="宋体" w:hAnsi="宋体" w:cs="宋体"/>
          <w:color w:val="auto"/>
          <w:kern w:val="0"/>
          <w:sz w:val="24"/>
          <w:highlight w:val="none"/>
          <w:lang w:bidi="ar"/>
        </w:rPr>
      </w:pPr>
    </w:p>
    <w:p w14:paraId="50866E5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32"/>
          <w:szCs w:val="32"/>
          <w:highlight w:val="none"/>
        </w:rPr>
        <w:t>三、报价情况说明</w:t>
      </w:r>
    </w:p>
    <w:p w14:paraId="50434084">
      <w:pPr>
        <w:snapToGrid w:val="0"/>
        <w:spacing w:before="120" w:after="120"/>
        <w:ind w:firstLine="643"/>
        <w:rPr>
          <w:rFonts w:hint="eastAsia" w:ascii="宋体" w:hAnsi="宋体" w:cs="宋体"/>
          <w:color w:val="auto"/>
          <w:sz w:val="32"/>
          <w:szCs w:val="32"/>
          <w:highlight w:val="none"/>
        </w:rPr>
      </w:pPr>
      <w:r>
        <w:rPr>
          <w:rFonts w:hint="eastAsia" w:ascii="宋体" w:hAnsi="宋体" w:cs="宋体"/>
          <w:color w:val="auto"/>
          <w:sz w:val="24"/>
          <w:highlight w:val="none"/>
        </w:rPr>
        <w:t>如投标人报价低于项目预算50%的，应当提交本文档，详细阐述不影响产品质量或者诚信履约的具体原因</w:t>
      </w:r>
    </w:p>
    <w:p w14:paraId="3F0EE40A">
      <w:pPr>
        <w:snapToGrid w:val="0"/>
        <w:spacing w:before="120" w:after="120"/>
        <w:ind w:firstLine="643"/>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394F368A">
      <w:pPr>
        <w:pStyle w:val="3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中小企业声明函（如果有）</w:t>
      </w:r>
    </w:p>
    <w:p w14:paraId="2EEC1CF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320A2A6">
      <w:pPr>
        <w:pStyle w:val="3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60C8F81">
      <w:pPr>
        <w:spacing w:line="360" w:lineRule="auto"/>
        <w:ind w:right="420" w:firstLine="3614" w:firstLineChars="1000"/>
        <w:rPr>
          <w:rFonts w:hint="eastAsia" w:ascii="宋体" w:hAnsi="宋体" w:cs="宋体"/>
          <w:b/>
          <w:color w:val="auto"/>
          <w:kern w:val="0"/>
          <w:sz w:val="36"/>
          <w:szCs w:val="36"/>
          <w:highlight w:val="none"/>
        </w:rPr>
      </w:pPr>
    </w:p>
    <w:p w14:paraId="2AE9E922">
      <w:pPr>
        <w:spacing w:line="360" w:lineRule="auto"/>
        <w:ind w:right="420" w:firstLine="3614" w:firstLineChars="1000"/>
        <w:rPr>
          <w:rFonts w:hint="eastAsia" w:ascii="宋体" w:hAnsi="宋体" w:cs="宋体"/>
          <w:b/>
          <w:color w:val="auto"/>
          <w:kern w:val="0"/>
          <w:sz w:val="36"/>
          <w:szCs w:val="36"/>
          <w:highlight w:val="none"/>
        </w:rPr>
      </w:pPr>
    </w:p>
    <w:p w14:paraId="6AA189B4">
      <w:pPr>
        <w:spacing w:line="360" w:lineRule="auto"/>
        <w:ind w:right="420" w:firstLine="3614" w:firstLineChars="1000"/>
        <w:rPr>
          <w:rFonts w:hint="eastAsia" w:ascii="宋体" w:hAnsi="宋体" w:cs="宋体"/>
          <w:b/>
          <w:color w:val="auto"/>
          <w:kern w:val="0"/>
          <w:sz w:val="36"/>
          <w:szCs w:val="36"/>
          <w:highlight w:val="none"/>
        </w:rPr>
      </w:pPr>
    </w:p>
    <w:p w14:paraId="522C9BC0">
      <w:pPr>
        <w:spacing w:line="360" w:lineRule="auto"/>
        <w:ind w:right="420" w:firstLine="3614" w:firstLineChars="1000"/>
        <w:rPr>
          <w:rFonts w:hint="eastAsia" w:ascii="宋体" w:hAnsi="宋体" w:cs="宋体"/>
          <w:b/>
          <w:color w:val="auto"/>
          <w:kern w:val="0"/>
          <w:sz w:val="36"/>
          <w:szCs w:val="36"/>
          <w:highlight w:val="none"/>
        </w:rPr>
      </w:pPr>
    </w:p>
    <w:p w14:paraId="145FFB08">
      <w:pPr>
        <w:spacing w:line="360" w:lineRule="auto"/>
        <w:ind w:right="420" w:firstLine="3614" w:firstLineChars="1000"/>
        <w:rPr>
          <w:rFonts w:hint="eastAsia" w:ascii="宋体" w:hAnsi="宋体" w:cs="宋体"/>
          <w:b/>
          <w:color w:val="auto"/>
          <w:kern w:val="0"/>
          <w:sz w:val="36"/>
          <w:szCs w:val="36"/>
          <w:highlight w:val="none"/>
        </w:rPr>
      </w:pPr>
    </w:p>
    <w:p w14:paraId="412E130F">
      <w:pPr>
        <w:spacing w:line="360" w:lineRule="auto"/>
        <w:ind w:right="420" w:firstLine="3614" w:firstLineChars="1000"/>
        <w:rPr>
          <w:rFonts w:hint="eastAsia" w:ascii="宋体" w:hAnsi="宋体" w:cs="宋体"/>
          <w:b/>
          <w:color w:val="auto"/>
          <w:kern w:val="0"/>
          <w:sz w:val="36"/>
          <w:szCs w:val="36"/>
          <w:highlight w:val="none"/>
        </w:rPr>
      </w:pPr>
    </w:p>
    <w:p w14:paraId="1F9E0649">
      <w:pPr>
        <w:spacing w:line="360" w:lineRule="auto"/>
        <w:ind w:right="420" w:firstLine="3614" w:firstLineChars="1000"/>
        <w:rPr>
          <w:rFonts w:hint="eastAsia" w:ascii="宋体" w:hAnsi="宋体" w:cs="宋体"/>
          <w:b/>
          <w:color w:val="auto"/>
          <w:kern w:val="0"/>
          <w:sz w:val="36"/>
          <w:szCs w:val="36"/>
          <w:highlight w:val="none"/>
        </w:rPr>
      </w:pPr>
    </w:p>
    <w:p w14:paraId="0C63DE36">
      <w:pPr>
        <w:spacing w:line="360" w:lineRule="auto"/>
        <w:ind w:right="420" w:firstLine="3614" w:firstLineChars="1000"/>
        <w:rPr>
          <w:rFonts w:hint="eastAsia" w:ascii="宋体" w:hAnsi="宋体" w:cs="宋体"/>
          <w:b/>
          <w:color w:val="auto"/>
          <w:kern w:val="0"/>
          <w:sz w:val="36"/>
          <w:szCs w:val="36"/>
          <w:highlight w:val="none"/>
        </w:rPr>
      </w:pPr>
    </w:p>
    <w:p w14:paraId="6E50803A">
      <w:pPr>
        <w:spacing w:line="360" w:lineRule="auto"/>
        <w:ind w:right="420" w:firstLine="3614" w:firstLineChars="1000"/>
        <w:rPr>
          <w:rFonts w:hint="eastAsia" w:ascii="宋体" w:hAnsi="宋体" w:cs="宋体"/>
          <w:b/>
          <w:color w:val="auto"/>
          <w:kern w:val="0"/>
          <w:sz w:val="36"/>
          <w:szCs w:val="36"/>
          <w:highlight w:val="none"/>
        </w:rPr>
      </w:pPr>
    </w:p>
    <w:p w14:paraId="21541D45">
      <w:pPr>
        <w:spacing w:line="360" w:lineRule="auto"/>
        <w:ind w:right="420" w:firstLine="3614" w:firstLineChars="1000"/>
        <w:rPr>
          <w:rFonts w:hint="eastAsia" w:ascii="宋体" w:hAnsi="宋体" w:cs="宋体"/>
          <w:b/>
          <w:color w:val="auto"/>
          <w:kern w:val="0"/>
          <w:sz w:val="36"/>
          <w:szCs w:val="36"/>
          <w:highlight w:val="none"/>
        </w:rPr>
      </w:pPr>
    </w:p>
    <w:p w14:paraId="32F39EA2">
      <w:pPr>
        <w:spacing w:line="360" w:lineRule="auto"/>
        <w:ind w:right="420" w:firstLine="3614" w:firstLineChars="1000"/>
        <w:rPr>
          <w:rFonts w:hint="eastAsia" w:ascii="宋体" w:hAnsi="宋体" w:cs="宋体"/>
          <w:b/>
          <w:color w:val="auto"/>
          <w:kern w:val="0"/>
          <w:sz w:val="36"/>
          <w:szCs w:val="36"/>
          <w:highlight w:val="none"/>
        </w:rPr>
      </w:pPr>
    </w:p>
    <w:p w14:paraId="47197A07">
      <w:pPr>
        <w:spacing w:line="360" w:lineRule="auto"/>
        <w:ind w:right="420" w:firstLine="3614" w:firstLineChars="1000"/>
        <w:rPr>
          <w:rFonts w:hint="eastAsia" w:ascii="宋体" w:hAnsi="宋体" w:cs="宋体"/>
          <w:b/>
          <w:color w:val="auto"/>
          <w:kern w:val="0"/>
          <w:sz w:val="36"/>
          <w:szCs w:val="36"/>
          <w:highlight w:val="none"/>
        </w:rPr>
      </w:pPr>
    </w:p>
    <w:p w14:paraId="376B3BD4">
      <w:pPr>
        <w:spacing w:line="360" w:lineRule="auto"/>
        <w:ind w:right="420" w:firstLine="3614" w:firstLineChars="1000"/>
        <w:rPr>
          <w:rFonts w:hint="eastAsia" w:ascii="宋体" w:hAnsi="宋体" w:cs="宋体"/>
          <w:b/>
          <w:color w:val="auto"/>
          <w:kern w:val="0"/>
          <w:sz w:val="36"/>
          <w:szCs w:val="36"/>
          <w:highlight w:val="none"/>
        </w:rPr>
      </w:pPr>
    </w:p>
    <w:p w14:paraId="27E31354">
      <w:pPr>
        <w:spacing w:line="360" w:lineRule="auto"/>
        <w:ind w:right="420" w:firstLine="3614" w:firstLineChars="1000"/>
        <w:rPr>
          <w:rFonts w:hint="eastAsia" w:ascii="宋体" w:hAnsi="宋体" w:cs="宋体"/>
          <w:b/>
          <w:color w:val="auto"/>
          <w:kern w:val="0"/>
          <w:sz w:val="36"/>
          <w:szCs w:val="36"/>
          <w:highlight w:val="none"/>
        </w:rPr>
      </w:pPr>
    </w:p>
    <w:p w14:paraId="4D6932CA">
      <w:pPr>
        <w:spacing w:line="360" w:lineRule="auto"/>
        <w:ind w:right="420" w:firstLine="3614" w:firstLineChars="1000"/>
        <w:rPr>
          <w:rFonts w:hint="eastAsia" w:ascii="宋体" w:hAnsi="宋体" w:cs="宋体"/>
          <w:b/>
          <w:color w:val="auto"/>
          <w:kern w:val="0"/>
          <w:sz w:val="36"/>
          <w:szCs w:val="36"/>
          <w:highlight w:val="none"/>
        </w:rPr>
      </w:pPr>
    </w:p>
    <w:p w14:paraId="57CE4ED7">
      <w:pPr>
        <w:spacing w:line="360" w:lineRule="auto"/>
        <w:ind w:right="420" w:firstLine="3614" w:firstLineChars="1000"/>
        <w:rPr>
          <w:rFonts w:hint="eastAsia" w:ascii="宋体" w:hAnsi="宋体" w:cs="宋体"/>
          <w:b/>
          <w:color w:val="auto"/>
          <w:kern w:val="0"/>
          <w:sz w:val="36"/>
          <w:szCs w:val="36"/>
          <w:highlight w:val="none"/>
        </w:rPr>
      </w:pPr>
    </w:p>
    <w:p w14:paraId="20B377AF">
      <w:pPr>
        <w:pStyle w:val="4"/>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2003256E">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BFB0EC">
      <w:pPr>
        <w:spacing w:line="360" w:lineRule="auto"/>
        <w:jc w:val="center"/>
        <w:rPr>
          <w:rFonts w:hint="eastAsia" w:ascii="宋体" w:hAnsi="宋体" w:cs="宋体"/>
          <w:b/>
          <w:color w:val="auto"/>
          <w:spacing w:val="6"/>
          <w:sz w:val="32"/>
          <w:szCs w:val="32"/>
          <w:highlight w:val="none"/>
        </w:rPr>
      </w:pPr>
      <w:bookmarkStart w:id="402" w:name="OLE_LINK14"/>
      <w:bookmarkStart w:id="403" w:name="OLE_LINK13"/>
      <w:r>
        <w:rPr>
          <w:rFonts w:hint="eastAsia" w:ascii="宋体" w:hAnsi="宋体" w:cs="宋体"/>
          <w:b/>
          <w:color w:val="auto"/>
          <w:spacing w:val="6"/>
          <w:sz w:val="32"/>
          <w:szCs w:val="32"/>
          <w:highlight w:val="none"/>
        </w:rPr>
        <w:t>残疾人福利性单位声明函</w:t>
      </w:r>
    </w:p>
    <w:bookmarkEnd w:id="402"/>
    <w:bookmarkEnd w:id="403"/>
    <w:p w14:paraId="5BF31DE8">
      <w:pPr>
        <w:spacing w:line="360" w:lineRule="auto"/>
        <w:rPr>
          <w:rFonts w:hint="eastAsia" w:ascii="宋体" w:hAnsi="宋体" w:cs="宋体"/>
          <w:b/>
          <w:color w:val="auto"/>
          <w:spacing w:val="6"/>
          <w:sz w:val="30"/>
          <w:szCs w:val="30"/>
          <w:highlight w:val="none"/>
        </w:rPr>
      </w:pPr>
    </w:p>
    <w:p w14:paraId="18CF34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杭州市第四人民医院（杭州市肿瘤医院）迁建工程桩基检测、基坑监测及沉降观测服务</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027CA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18C6F50">
      <w:pPr>
        <w:spacing w:line="360" w:lineRule="auto"/>
        <w:ind w:firstLine="480" w:firstLineChars="200"/>
        <w:rPr>
          <w:rFonts w:hint="eastAsia" w:ascii="宋体" w:hAnsi="宋体" w:cs="宋体"/>
          <w:color w:val="auto"/>
          <w:sz w:val="24"/>
          <w:highlight w:val="none"/>
        </w:rPr>
      </w:pPr>
    </w:p>
    <w:p w14:paraId="33973C1C">
      <w:pPr>
        <w:spacing w:line="360" w:lineRule="auto"/>
        <w:ind w:firstLine="480" w:firstLineChars="200"/>
        <w:rPr>
          <w:rFonts w:hint="eastAsia" w:ascii="宋体" w:hAnsi="宋体" w:cs="宋体"/>
          <w:color w:val="auto"/>
          <w:sz w:val="24"/>
          <w:highlight w:val="none"/>
        </w:rPr>
      </w:pPr>
    </w:p>
    <w:p w14:paraId="4BE9D550">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4A9416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4C3F7A2A">
      <w:pPr>
        <w:spacing w:line="360" w:lineRule="auto"/>
        <w:ind w:firstLine="480" w:firstLineChars="200"/>
        <w:rPr>
          <w:rFonts w:hint="eastAsia" w:ascii="宋体" w:hAnsi="宋体" w:cs="宋体"/>
          <w:color w:val="auto"/>
          <w:sz w:val="24"/>
          <w:highlight w:val="none"/>
        </w:rPr>
      </w:pPr>
    </w:p>
    <w:p w14:paraId="3A3E845C">
      <w:pPr>
        <w:spacing w:line="360" w:lineRule="auto"/>
        <w:ind w:firstLine="420" w:firstLineChars="200"/>
        <w:rPr>
          <w:rFonts w:hint="eastAsia" w:ascii="宋体" w:hAnsi="宋体" w:cs="宋体"/>
          <w:color w:val="auto"/>
          <w:highlight w:val="none"/>
        </w:rPr>
      </w:pPr>
    </w:p>
    <w:p w14:paraId="0B6894DE">
      <w:pPr>
        <w:spacing w:line="360" w:lineRule="auto"/>
        <w:ind w:firstLine="420" w:firstLineChars="200"/>
        <w:rPr>
          <w:rFonts w:hint="eastAsia" w:ascii="宋体" w:hAnsi="宋体" w:cs="宋体"/>
          <w:color w:val="auto"/>
          <w:highlight w:val="none"/>
        </w:rPr>
      </w:pPr>
    </w:p>
    <w:p w14:paraId="4623BB26">
      <w:pPr>
        <w:spacing w:line="360" w:lineRule="auto"/>
        <w:ind w:firstLine="420" w:firstLineChars="200"/>
        <w:rPr>
          <w:rFonts w:hint="eastAsia" w:ascii="宋体" w:hAnsi="宋体" w:cs="宋体"/>
          <w:color w:val="auto"/>
          <w:highlight w:val="none"/>
        </w:rPr>
      </w:pPr>
    </w:p>
    <w:p w14:paraId="63CF8AFA">
      <w:pPr>
        <w:spacing w:line="360" w:lineRule="auto"/>
        <w:ind w:firstLine="420" w:firstLineChars="200"/>
        <w:rPr>
          <w:rFonts w:hint="eastAsia" w:ascii="宋体" w:hAnsi="宋体" w:cs="宋体"/>
          <w:color w:val="auto"/>
          <w:highlight w:val="none"/>
        </w:rPr>
      </w:pPr>
    </w:p>
    <w:p w14:paraId="2C13816C">
      <w:pPr>
        <w:spacing w:line="360" w:lineRule="auto"/>
        <w:rPr>
          <w:rFonts w:hint="eastAsia" w:ascii="宋体" w:hAnsi="宋体" w:cs="宋体"/>
          <w:b/>
          <w:color w:val="auto"/>
          <w:sz w:val="24"/>
          <w:highlight w:val="none"/>
        </w:rPr>
      </w:pPr>
    </w:p>
    <w:p w14:paraId="0358D598">
      <w:pPr>
        <w:spacing w:line="360" w:lineRule="auto"/>
        <w:rPr>
          <w:rFonts w:hint="eastAsia" w:ascii="宋体" w:hAnsi="宋体" w:cs="宋体"/>
          <w:b/>
          <w:color w:val="auto"/>
          <w:sz w:val="24"/>
          <w:highlight w:val="none"/>
        </w:rPr>
      </w:pPr>
    </w:p>
    <w:p w14:paraId="0206D508">
      <w:pPr>
        <w:spacing w:line="360" w:lineRule="auto"/>
        <w:rPr>
          <w:rFonts w:hint="eastAsia" w:ascii="宋体" w:hAnsi="宋体" w:cs="宋体"/>
          <w:b/>
          <w:color w:val="auto"/>
          <w:sz w:val="24"/>
          <w:highlight w:val="none"/>
        </w:rPr>
      </w:pPr>
    </w:p>
    <w:p w14:paraId="5B2738D8">
      <w:pPr>
        <w:spacing w:line="360" w:lineRule="auto"/>
        <w:rPr>
          <w:rFonts w:hint="eastAsia" w:ascii="宋体" w:hAnsi="宋体" w:cs="宋体"/>
          <w:b/>
          <w:color w:val="auto"/>
          <w:sz w:val="24"/>
          <w:highlight w:val="none"/>
        </w:rPr>
      </w:pPr>
    </w:p>
    <w:p w14:paraId="0ABCA55E">
      <w:pPr>
        <w:spacing w:line="360" w:lineRule="auto"/>
        <w:rPr>
          <w:rFonts w:hint="eastAsia" w:ascii="宋体" w:hAnsi="宋体" w:cs="宋体"/>
          <w:b/>
          <w:color w:val="auto"/>
          <w:sz w:val="24"/>
          <w:highlight w:val="none"/>
        </w:rPr>
      </w:pPr>
    </w:p>
    <w:p w14:paraId="0220CB0A">
      <w:pPr>
        <w:spacing w:line="360" w:lineRule="auto"/>
        <w:rPr>
          <w:rFonts w:hint="eastAsia" w:ascii="宋体" w:hAnsi="宋体" w:cs="宋体"/>
          <w:b/>
          <w:color w:val="auto"/>
          <w:sz w:val="24"/>
          <w:highlight w:val="none"/>
        </w:rPr>
      </w:pPr>
    </w:p>
    <w:p w14:paraId="3F19E17A">
      <w:pPr>
        <w:spacing w:line="360" w:lineRule="auto"/>
        <w:rPr>
          <w:rFonts w:hint="eastAsia" w:ascii="宋体" w:hAnsi="宋体" w:cs="宋体"/>
          <w:b/>
          <w:color w:val="auto"/>
          <w:sz w:val="24"/>
          <w:highlight w:val="none"/>
        </w:rPr>
      </w:pPr>
    </w:p>
    <w:p w14:paraId="5EEBCA8E">
      <w:pPr>
        <w:spacing w:line="360" w:lineRule="auto"/>
        <w:rPr>
          <w:rFonts w:hint="eastAsia" w:ascii="宋体" w:hAnsi="宋体" w:cs="宋体"/>
          <w:b/>
          <w:color w:val="auto"/>
          <w:sz w:val="24"/>
          <w:highlight w:val="none"/>
        </w:rPr>
      </w:pPr>
    </w:p>
    <w:p w14:paraId="16C69423">
      <w:pPr>
        <w:spacing w:line="360" w:lineRule="auto"/>
        <w:rPr>
          <w:rFonts w:hint="eastAsia" w:ascii="宋体" w:hAnsi="宋体" w:cs="宋体"/>
          <w:b/>
          <w:color w:val="auto"/>
          <w:sz w:val="24"/>
          <w:highlight w:val="none"/>
        </w:rPr>
      </w:pPr>
    </w:p>
    <w:p w14:paraId="5B2DC16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562741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D0BD1F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w:t>
      </w:r>
      <w:r>
        <w:rPr>
          <w:rFonts w:hint="eastAsia" w:ascii="宋体" w:hAnsi="宋体" w:cs="宋体"/>
          <w:color w:val="auto"/>
          <w:sz w:val="24"/>
          <w:highlight w:val="none"/>
        </w:rPr>
        <w:t>供应商</w:t>
      </w:r>
      <w:r>
        <w:rPr>
          <w:rFonts w:hint="eastAsia" w:ascii="宋体" w:hAnsi="宋体" w:cs="宋体"/>
          <w:bCs/>
          <w:color w:val="auto"/>
          <w:sz w:val="24"/>
          <w:highlight w:val="none"/>
        </w:rPr>
        <w:t>基本信息</w:t>
      </w:r>
    </w:p>
    <w:p w14:paraId="398210F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D1F5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B2D05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EF3A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C9890E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FB56E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4231E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5281AED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41DE10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94E786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6CC28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16EC194">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10528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DE419C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BD94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DF014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49EFF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87380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F7C92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9186F6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77A83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E7C93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C271F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3F82DFB">
      <w:pPr>
        <w:spacing w:line="360" w:lineRule="auto"/>
        <w:jc w:val="center"/>
        <w:rPr>
          <w:rFonts w:hint="eastAsia" w:ascii="宋体" w:hAnsi="宋体" w:cs="宋体"/>
          <w:b/>
          <w:bCs/>
          <w:color w:val="auto"/>
          <w:sz w:val="24"/>
          <w:highlight w:val="none"/>
        </w:rPr>
      </w:pPr>
    </w:p>
    <w:p w14:paraId="1308DE1D">
      <w:pPr>
        <w:spacing w:line="360" w:lineRule="auto"/>
        <w:rPr>
          <w:rFonts w:hint="eastAsia" w:ascii="宋体" w:hAnsi="宋体" w:cs="宋体"/>
          <w:b/>
          <w:color w:val="auto"/>
          <w:sz w:val="24"/>
          <w:highlight w:val="none"/>
        </w:rPr>
      </w:pPr>
    </w:p>
    <w:p w14:paraId="563DAF9D">
      <w:pPr>
        <w:spacing w:line="360" w:lineRule="auto"/>
        <w:rPr>
          <w:rFonts w:hint="eastAsia" w:ascii="宋体" w:hAnsi="宋体" w:cs="宋体"/>
          <w:b/>
          <w:color w:val="auto"/>
          <w:sz w:val="24"/>
          <w:highlight w:val="none"/>
        </w:rPr>
      </w:pPr>
    </w:p>
    <w:p w14:paraId="1786F2E7">
      <w:pPr>
        <w:spacing w:line="360" w:lineRule="auto"/>
        <w:rPr>
          <w:rFonts w:hint="eastAsia" w:ascii="宋体" w:hAnsi="宋体" w:cs="宋体"/>
          <w:b/>
          <w:color w:val="auto"/>
          <w:sz w:val="24"/>
          <w:highlight w:val="none"/>
        </w:rPr>
      </w:pPr>
    </w:p>
    <w:p w14:paraId="2F214BB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B63072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供应商提出质疑时，应提交质疑函和必要的证明材料。</w:t>
      </w:r>
    </w:p>
    <w:p w14:paraId="1116EC5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2.质疑供应商若委托代理人进行质疑的，质疑函应按要求列明“授权代表”的有关内容，并在附件中提交由质疑供应商</w:t>
      </w:r>
      <w:r>
        <w:rPr>
          <w:rFonts w:hint="eastAsia" w:ascii="宋体" w:hAnsi="宋体" w:cs="宋体"/>
          <w:color w:val="auto"/>
          <w:kern w:val="0"/>
          <w:sz w:val="24"/>
          <w:highlight w:val="none"/>
        </w:rPr>
        <w:t>签署的授权委托书。授权委托书应载明代理人的姓名或者名称、代理事项、具体权限、期限和相关事项。</w:t>
      </w:r>
    </w:p>
    <w:p w14:paraId="377598C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572D5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17917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D7886C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D778ED">
      <w:pPr>
        <w:widowControl/>
        <w:spacing w:line="360" w:lineRule="auto"/>
        <w:ind w:firstLine="600" w:firstLineChars="200"/>
        <w:jc w:val="left"/>
        <w:rPr>
          <w:rFonts w:hint="eastAsia" w:ascii="宋体" w:hAnsi="宋体" w:cs="宋体"/>
          <w:color w:val="auto"/>
          <w:sz w:val="30"/>
          <w:szCs w:val="30"/>
          <w:highlight w:val="none"/>
        </w:rPr>
      </w:pPr>
    </w:p>
    <w:p w14:paraId="3C470705">
      <w:pPr>
        <w:spacing w:line="360" w:lineRule="auto"/>
        <w:jc w:val="center"/>
        <w:rPr>
          <w:rFonts w:hint="eastAsia" w:ascii="宋体" w:hAnsi="宋体" w:cs="宋体"/>
          <w:b/>
          <w:color w:val="auto"/>
          <w:spacing w:val="6"/>
          <w:sz w:val="32"/>
          <w:szCs w:val="32"/>
          <w:highlight w:val="none"/>
        </w:rPr>
      </w:pPr>
    </w:p>
    <w:p w14:paraId="0BE52C60">
      <w:pPr>
        <w:spacing w:line="360" w:lineRule="auto"/>
        <w:jc w:val="center"/>
        <w:rPr>
          <w:rFonts w:hint="eastAsia" w:ascii="宋体" w:hAnsi="宋体" w:cs="宋体"/>
          <w:b/>
          <w:color w:val="auto"/>
          <w:spacing w:val="6"/>
          <w:sz w:val="32"/>
          <w:szCs w:val="32"/>
          <w:highlight w:val="none"/>
        </w:rPr>
      </w:pPr>
    </w:p>
    <w:p w14:paraId="71E42561">
      <w:pPr>
        <w:spacing w:line="360" w:lineRule="auto"/>
        <w:jc w:val="center"/>
        <w:rPr>
          <w:rFonts w:hint="eastAsia" w:ascii="宋体" w:hAnsi="宋体" w:cs="宋体"/>
          <w:b/>
          <w:color w:val="auto"/>
          <w:spacing w:val="6"/>
          <w:sz w:val="32"/>
          <w:szCs w:val="32"/>
          <w:highlight w:val="none"/>
        </w:rPr>
      </w:pPr>
    </w:p>
    <w:p w14:paraId="587AF784">
      <w:pPr>
        <w:spacing w:line="360" w:lineRule="auto"/>
        <w:jc w:val="center"/>
        <w:rPr>
          <w:rFonts w:hint="eastAsia" w:ascii="宋体" w:hAnsi="宋体" w:cs="宋体"/>
          <w:b/>
          <w:color w:val="auto"/>
          <w:spacing w:val="6"/>
          <w:sz w:val="32"/>
          <w:szCs w:val="32"/>
          <w:highlight w:val="none"/>
        </w:rPr>
      </w:pPr>
    </w:p>
    <w:p w14:paraId="007677C5">
      <w:pPr>
        <w:spacing w:line="360" w:lineRule="auto"/>
        <w:jc w:val="center"/>
        <w:rPr>
          <w:rFonts w:hint="eastAsia" w:ascii="宋体" w:hAnsi="宋体" w:cs="宋体"/>
          <w:b/>
          <w:color w:val="auto"/>
          <w:spacing w:val="6"/>
          <w:sz w:val="32"/>
          <w:szCs w:val="32"/>
          <w:highlight w:val="none"/>
        </w:rPr>
      </w:pPr>
    </w:p>
    <w:p w14:paraId="5BDD7ADC">
      <w:pPr>
        <w:spacing w:line="360" w:lineRule="auto"/>
        <w:jc w:val="center"/>
        <w:rPr>
          <w:rFonts w:hint="eastAsia" w:ascii="宋体" w:hAnsi="宋体" w:cs="宋体"/>
          <w:b/>
          <w:color w:val="auto"/>
          <w:spacing w:val="6"/>
          <w:sz w:val="32"/>
          <w:szCs w:val="32"/>
          <w:highlight w:val="none"/>
        </w:rPr>
      </w:pPr>
    </w:p>
    <w:p w14:paraId="5ABF2FE6">
      <w:pPr>
        <w:spacing w:line="360" w:lineRule="auto"/>
        <w:jc w:val="center"/>
        <w:rPr>
          <w:rFonts w:hint="eastAsia" w:ascii="宋体" w:hAnsi="宋体" w:cs="宋体"/>
          <w:b/>
          <w:color w:val="auto"/>
          <w:spacing w:val="6"/>
          <w:sz w:val="32"/>
          <w:szCs w:val="32"/>
          <w:highlight w:val="none"/>
        </w:rPr>
      </w:pPr>
    </w:p>
    <w:p w14:paraId="739D7806">
      <w:pPr>
        <w:spacing w:line="360" w:lineRule="auto"/>
        <w:jc w:val="center"/>
        <w:rPr>
          <w:rFonts w:hint="eastAsia" w:ascii="宋体" w:hAnsi="宋体" w:cs="宋体"/>
          <w:b/>
          <w:color w:val="auto"/>
          <w:spacing w:val="6"/>
          <w:sz w:val="32"/>
          <w:szCs w:val="32"/>
          <w:highlight w:val="none"/>
        </w:rPr>
      </w:pPr>
    </w:p>
    <w:p w14:paraId="7B12667A">
      <w:pPr>
        <w:spacing w:line="360" w:lineRule="auto"/>
        <w:jc w:val="center"/>
        <w:rPr>
          <w:rFonts w:hint="eastAsia" w:ascii="宋体" w:hAnsi="宋体" w:cs="宋体"/>
          <w:b/>
          <w:color w:val="auto"/>
          <w:spacing w:val="6"/>
          <w:sz w:val="32"/>
          <w:szCs w:val="32"/>
          <w:highlight w:val="none"/>
        </w:rPr>
      </w:pPr>
    </w:p>
    <w:p w14:paraId="0BF25088">
      <w:pPr>
        <w:spacing w:line="360" w:lineRule="auto"/>
        <w:jc w:val="center"/>
        <w:rPr>
          <w:rFonts w:hint="eastAsia" w:ascii="宋体" w:hAnsi="宋体" w:cs="宋体"/>
          <w:b/>
          <w:color w:val="auto"/>
          <w:spacing w:val="6"/>
          <w:sz w:val="32"/>
          <w:szCs w:val="32"/>
          <w:highlight w:val="none"/>
        </w:rPr>
      </w:pPr>
    </w:p>
    <w:p w14:paraId="6A082EC5">
      <w:pPr>
        <w:spacing w:line="360" w:lineRule="auto"/>
        <w:jc w:val="center"/>
        <w:rPr>
          <w:rFonts w:hint="eastAsia" w:ascii="宋体" w:hAnsi="宋体" w:cs="宋体"/>
          <w:b/>
          <w:color w:val="auto"/>
          <w:spacing w:val="6"/>
          <w:sz w:val="32"/>
          <w:szCs w:val="32"/>
          <w:highlight w:val="none"/>
        </w:rPr>
      </w:pPr>
    </w:p>
    <w:p w14:paraId="56F732B4">
      <w:pPr>
        <w:spacing w:line="360" w:lineRule="auto"/>
        <w:jc w:val="center"/>
        <w:rPr>
          <w:rFonts w:hint="eastAsia" w:ascii="宋体" w:hAnsi="宋体" w:cs="宋体"/>
          <w:b/>
          <w:color w:val="auto"/>
          <w:spacing w:val="6"/>
          <w:sz w:val="32"/>
          <w:szCs w:val="32"/>
          <w:highlight w:val="none"/>
        </w:rPr>
      </w:pPr>
    </w:p>
    <w:p w14:paraId="6460F5E3">
      <w:pPr>
        <w:spacing w:line="360" w:lineRule="auto"/>
        <w:jc w:val="left"/>
        <w:rPr>
          <w:rFonts w:hint="eastAsia" w:ascii="宋体" w:hAnsi="宋体" w:cs="宋体"/>
          <w:b/>
          <w:color w:val="auto"/>
          <w:spacing w:val="6"/>
          <w:sz w:val="32"/>
          <w:szCs w:val="32"/>
          <w:highlight w:val="none"/>
        </w:rPr>
      </w:pPr>
    </w:p>
    <w:p w14:paraId="76C5DEC7">
      <w:pPr>
        <w:spacing w:line="360" w:lineRule="auto"/>
        <w:jc w:val="left"/>
        <w:rPr>
          <w:rFonts w:hint="eastAsia" w:ascii="宋体" w:hAnsi="宋体" w:cs="宋体"/>
          <w:b/>
          <w:color w:val="auto"/>
          <w:spacing w:val="6"/>
          <w:sz w:val="32"/>
          <w:szCs w:val="32"/>
          <w:highlight w:val="none"/>
        </w:rPr>
      </w:pPr>
    </w:p>
    <w:p w14:paraId="200065E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A5291F5">
      <w:pPr>
        <w:spacing w:line="360" w:lineRule="auto"/>
        <w:jc w:val="center"/>
        <w:rPr>
          <w:rFonts w:hint="eastAsia" w:ascii="宋体" w:hAnsi="宋体" w:cs="宋体"/>
          <w:b/>
          <w:color w:val="auto"/>
          <w:sz w:val="24"/>
          <w:highlight w:val="none"/>
        </w:rPr>
      </w:pPr>
    </w:p>
    <w:p w14:paraId="5CB6369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55885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00D741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F2ACD2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0D1941">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8E7C0C">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39C35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08629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BAD6E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D24D0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E1F6E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CA1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C942C7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B7B88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2445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8DCB5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BF29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DA0D84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E96CD9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597B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5EF944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177C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12C9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CED2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31E7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6657D8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8C540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880FAD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72409E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9DEB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4DE67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8E962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224D6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0115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CA1E33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99716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43C16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2F2A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C7513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28C03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07B07F2">
      <w:pPr>
        <w:spacing w:line="360" w:lineRule="auto"/>
        <w:rPr>
          <w:rFonts w:hint="eastAsia" w:ascii="宋体" w:hAnsi="宋体" w:cs="宋体"/>
          <w:b/>
          <w:color w:val="auto"/>
          <w:sz w:val="24"/>
          <w:highlight w:val="none"/>
        </w:rPr>
      </w:pPr>
    </w:p>
    <w:p w14:paraId="3AECB065">
      <w:pPr>
        <w:spacing w:line="360" w:lineRule="auto"/>
        <w:rPr>
          <w:rFonts w:hint="eastAsia" w:ascii="宋体" w:hAnsi="宋体" w:cs="宋体"/>
          <w:b/>
          <w:color w:val="auto"/>
          <w:sz w:val="24"/>
          <w:highlight w:val="none"/>
        </w:rPr>
      </w:pPr>
    </w:p>
    <w:p w14:paraId="2537F8A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F4B9A20">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64ADF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71DB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F24B6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428F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78D8A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10D17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C40F41C">
      <w:pPr>
        <w:spacing w:line="360" w:lineRule="auto"/>
        <w:rPr>
          <w:rFonts w:hint="eastAsia" w:ascii="宋体" w:hAnsi="宋体" w:cs="宋体"/>
          <w:b/>
          <w:color w:val="auto"/>
          <w:sz w:val="24"/>
          <w:highlight w:val="none"/>
        </w:rPr>
      </w:pPr>
    </w:p>
    <w:p w14:paraId="12E1B842">
      <w:pPr>
        <w:autoSpaceDE w:val="0"/>
        <w:autoSpaceDN w:val="0"/>
        <w:jc w:val="center"/>
        <w:rPr>
          <w:rFonts w:hint="eastAsia" w:ascii="宋体" w:hAnsi="宋体" w:cs="宋体"/>
          <w:b/>
          <w:color w:val="auto"/>
          <w:spacing w:val="6"/>
          <w:sz w:val="32"/>
          <w:szCs w:val="32"/>
          <w:highlight w:val="none"/>
        </w:rPr>
      </w:pPr>
    </w:p>
    <w:p w14:paraId="7866669C">
      <w:pPr>
        <w:autoSpaceDE w:val="0"/>
        <w:autoSpaceDN w:val="0"/>
        <w:jc w:val="center"/>
        <w:rPr>
          <w:rFonts w:hint="eastAsia" w:ascii="宋体" w:hAnsi="宋体" w:cs="宋体"/>
          <w:b/>
          <w:color w:val="auto"/>
          <w:spacing w:val="6"/>
          <w:sz w:val="32"/>
          <w:szCs w:val="32"/>
          <w:highlight w:val="none"/>
        </w:rPr>
      </w:pPr>
    </w:p>
    <w:p w14:paraId="0B7B5614">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5A1E3DB">
      <w:pPr>
        <w:spacing w:line="360" w:lineRule="auto"/>
        <w:rPr>
          <w:rFonts w:hint="eastAsia" w:ascii="宋体" w:hAnsi="宋体" w:cs="宋体"/>
          <w:color w:val="auto"/>
          <w:sz w:val="24"/>
          <w:highlight w:val="none"/>
          <w:u w:val="single"/>
        </w:rPr>
      </w:pPr>
    </w:p>
    <w:p w14:paraId="7EAF10F0">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杭州市卫生健康事业发展中心、浙江省成套招标代理有限公司：</w:t>
      </w:r>
    </w:p>
    <w:p w14:paraId="1D29B2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杭州市第四人民医院（杭州市肿瘤医院）迁建工程桩基检测、基坑监测及沉降观测</w:t>
      </w:r>
      <w:r>
        <w:rPr>
          <w:rFonts w:hint="eastAsia" w:ascii="宋体" w:hAnsi="宋体" w:cs="宋体"/>
          <w:color w:val="auto"/>
          <w:sz w:val="24"/>
          <w:highlight w:val="none"/>
        </w:rPr>
        <w:t>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BF7C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44187838">
      <w:pPr>
        <w:spacing w:line="360" w:lineRule="auto"/>
        <w:ind w:firstLine="494"/>
        <w:rPr>
          <w:rFonts w:hint="eastAsia" w:ascii="宋体" w:hAnsi="宋体" w:cs="宋体"/>
          <w:color w:val="auto"/>
          <w:sz w:val="24"/>
          <w:highlight w:val="none"/>
        </w:rPr>
      </w:pPr>
    </w:p>
    <w:p w14:paraId="79C8D2E2">
      <w:pPr>
        <w:spacing w:line="360" w:lineRule="auto"/>
        <w:ind w:firstLine="494"/>
        <w:rPr>
          <w:rFonts w:hint="eastAsia" w:ascii="宋体" w:hAnsi="宋体" w:cs="宋体"/>
          <w:color w:val="auto"/>
          <w:sz w:val="24"/>
          <w:highlight w:val="none"/>
        </w:rPr>
      </w:pPr>
    </w:p>
    <w:p w14:paraId="284F2070">
      <w:pPr>
        <w:spacing w:line="360" w:lineRule="auto"/>
        <w:ind w:firstLine="494"/>
        <w:rPr>
          <w:rFonts w:hint="eastAsia" w:ascii="宋体" w:hAnsi="宋体" w:cs="宋体"/>
          <w:color w:val="auto"/>
          <w:sz w:val="24"/>
          <w:highlight w:val="none"/>
        </w:rPr>
      </w:pPr>
    </w:p>
    <w:p w14:paraId="7E9C37BC">
      <w:pPr>
        <w:spacing w:line="360" w:lineRule="auto"/>
        <w:ind w:firstLine="494"/>
        <w:rPr>
          <w:rFonts w:hint="eastAsia" w:ascii="宋体" w:hAnsi="宋体" w:cs="宋体"/>
          <w:color w:val="auto"/>
          <w:sz w:val="24"/>
          <w:highlight w:val="none"/>
        </w:rPr>
      </w:pPr>
    </w:p>
    <w:p w14:paraId="4A13195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9BFE3C3">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191A2C8">
      <w:pPr>
        <w:rPr>
          <w:rFonts w:hint="eastAsia" w:ascii="宋体" w:hAnsi="宋体" w:cs="宋体"/>
          <w:color w:val="auto"/>
          <w:sz w:val="24"/>
          <w:highlight w:val="none"/>
        </w:rPr>
      </w:pPr>
      <w:r>
        <w:rPr>
          <w:rFonts w:hint="eastAsia" w:ascii="宋体" w:hAnsi="宋体" w:cs="宋体"/>
          <w:b/>
          <w:bCs/>
          <w:color w:val="auto"/>
          <w:sz w:val="24"/>
          <w:highlight w:val="none"/>
        </w:rPr>
        <w:t>附：</w:t>
      </w:r>
    </w:p>
    <w:p w14:paraId="3B1E9E8F">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B5ADDE">
      <w:pPr>
        <w:autoSpaceDE w:val="0"/>
        <w:autoSpaceDN w:val="0"/>
        <w:jc w:val="center"/>
        <w:rPr>
          <w:rFonts w:hint="eastAsia" w:ascii="宋体" w:hAnsi="宋体" w:cs="宋体"/>
          <w:b/>
          <w:color w:val="auto"/>
          <w:spacing w:val="6"/>
          <w:sz w:val="32"/>
          <w:szCs w:val="32"/>
          <w:highlight w:val="none"/>
        </w:rPr>
      </w:pPr>
    </w:p>
    <w:p w14:paraId="74DBCFEC">
      <w:pPr>
        <w:autoSpaceDE w:val="0"/>
        <w:autoSpaceDN w:val="0"/>
        <w:jc w:val="center"/>
        <w:rPr>
          <w:rFonts w:hint="eastAsia" w:ascii="宋体" w:hAnsi="宋体" w:cs="宋体"/>
          <w:b/>
          <w:color w:val="auto"/>
          <w:spacing w:val="6"/>
          <w:sz w:val="32"/>
          <w:szCs w:val="32"/>
          <w:highlight w:val="none"/>
        </w:rPr>
      </w:pPr>
    </w:p>
    <w:p w14:paraId="2FC48C5E">
      <w:pPr>
        <w:autoSpaceDE w:val="0"/>
        <w:autoSpaceDN w:val="0"/>
        <w:jc w:val="center"/>
        <w:rPr>
          <w:rFonts w:hint="eastAsia" w:ascii="宋体" w:hAnsi="宋体" w:cs="宋体"/>
          <w:b/>
          <w:color w:val="auto"/>
          <w:spacing w:val="6"/>
          <w:sz w:val="32"/>
          <w:szCs w:val="32"/>
          <w:highlight w:val="none"/>
        </w:rPr>
      </w:pPr>
    </w:p>
    <w:p w14:paraId="2249C0E6">
      <w:pPr>
        <w:autoSpaceDE w:val="0"/>
        <w:autoSpaceDN w:val="0"/>
        <w:jc w:val="center"/>
        <w:rPr>
          <w:rFonts w:hint="eastAsia" w:ascii="宋体" w:hAnsi="宋体" w:cs="宋体"/>
          <w:b/>
          <w:color w:val="auto"/>
          <w:spacing w:val="6"/>
          <w:sz w:val="32"/>
          <w:szCs w:val="32"/>
          <w:highlight w:val="none"/>
        </w:rPr>
      </w:pPr>
    </w:p>
    <w:p w14:paraId="027A0DBA">
      <w:pPr>
        <w:autoSpaceDE w:val="0"/>
        <w:autoSpaceDN w:val="0"/>
        <w:jc w:val="center"/>
        <w:rPr>
          <w:rFonts w:hint="eastAsia" w:ascii="宋体" w:hAnsi="宋体" w:cs="宋体"/>
          <w:b/>
          <w:color w:val="auto"/>
          <w:spacing w:val="6"/>
          <w:sz w:val="32"/>
          <w:szCs w:val="32"/>
          <w:highlight w:val="none"/>
        </w:rPr>
      </w:pPr>
    </w:p>
    <w:p w14:paraId="1F6D47B4">
      <w:pPr>
        <w:autoSpaceDE w:val="0"/>
        <w:autoSpaceDN w:val="0"/>
        <w:jc w:val="center"/>
        <w:rPr>
          <w:rFonts w:hint="eastAsia" w:ascii="宋体" w:hAnsi="宋体" w:cs="宋体"/>
          <w:b/>
          <w:color w:val="auto"/>
          <w:spacing w:val="6"/>
          <w:sz w:val="32"/>
          <w:szCs w:val="32"/>
          <w:highlight w:val="none"/>
        </w:rPr>
      </w:pPr>
    </w:p>
    <w:p w14:paraId="3E648189">
      <w:pPr>
        <w:autoSpaceDE w:val="0"/>
        <w:autoSpaceDN w:val="0"/>
        <w:jc w:val="center"/>
        <w:rPr>
          <w:rFonts w:hint="eastAsia" w:ascii="宋体" w:hAnsi="宋体" w:cs="宋体"/>
          <w:b/>
          <w:color w:val="auto"/>
          <w:spacing w:val="6"/>
          <w:sz w:val="32"/>
          <w:szCs w:val="32"/>
          <w:highlight w:val="none"/>
        </w:rPr>
      </w:pPr>
    </w:p>
    <w:p w14:paraId="30CA37A4">
      <w:pPr>
        <w:autoSpaceDE w:val="0"/>
        <w:autoSpaceDN w:val="0"/>
        <w:jc w:val="center"/>
        <w:rPr>
          <w:rFonts w:hint="eastAsia" w:ascii="宋体" w:hAnsi="宋体" w:cs="宋体"/>
          <w:b/>
          <w:color w:val="auto"/>
          <w:spacing w:val="6"/>
          <w:sz w:val="32"/>
          <w:szCs w:val="32"/>
          <w:highlight w:val="none"/>
        </w:rPr>
      </w:pPr>
    </w:p>
    <w:p w14:paraId="58C5645F">
      <w:pPr>
        <w:autoSpaceDE w:val="0"/>
        <w:autoSpaceDN w:val="0"/>
        <w:jc w:val="center"/>
        <w:rPr>
          <w:rFonts w:hint="eastAsia" w:ascii="宋体" w:hAnsi="宋体" w:cs="宋体"/>
          <w:b/>
          <w:color w:val="auto"/>
          <w:spacing w:val="6"/>
          <w:sz w:val="32"/>
          <w:szCs w:val="32"/>
          <w:highlight w:val="none"/>
        </w:rPr>
      </w:pPr>
    </w:p>
    <w:p w14:paraId="27A86987">
      <w:pPr>
        <w:autoSpaceDE w:val="0"/>
        <w:autoSpaceDN w:val="0"/>
        <w:jc w:val="center"/>
        <w:rPr>
          <w:rFonts w:hint="eastAsia" w:ascii="宋体" w:hAnsi="宋体" w:cs="宋体"/>
          <w:b/>
          <w:color w:val="auto"/>
          <w:spacing w:val="6"/>
          <w:sz w:val="32"/>
          <w:szCs w:val="32"/>
          <w:highlight w:val="none"/>
        </w:rPr>
      </w:pPr>
    </w:p>
    <w:p w14:paraId="02E531CB">
      <w:pPr>
        <w:autoSpaceDE w:val="0"/>
        <w:autoSpaceDN w:val="0"/>
        <w:jc w:val="center"/>
        <w:rPr>
          <w:rFonts w:hint="eastAsia" w:ascii="宋体" w:hAnsi="宋体" w:cs="宋体"/>
          <w:b/>
          <w:color w:val="auto"/>
          <w:spacing w:val="6"/>
          <w:sz w:val="32"/>
          <w:szCs w:val="32"/>
          <w:highlight w:val="none"/>
        </w:rPr>
      </w:pPr>
    </w:p>
    <w:p w14:paraId="2DB3F2BE">
      <w:pPr>
        <w:autoSpaceDE w:val="0"/>
        <w:autoSpaceDN w:val="0"/>
        <w:rPr>
          <w:rFonts w:hint="eastAsia" w:ascii="宋体" w:hAnsi="宋体" w:cs="宋体"/>
          <w:b/>
          <w:color w:val="auto"/>
          <w:spacing w:val="6"/>
          <w:sz w:val="32"/>
          <w:szCs w:val="32"/>
          <w:highlight w:val="none"/>
        </w:rPr>
      </w:pPr>
    </w:p>
    <w:p w14:paraId="6B742D21">
      <w:pPr>
        <w:pStyle w:val="2"/>
        <w:ind w:firstLine="667"/>
        <w:rPr>
          <w:rFonts w:hint="eastAsia" w:cs="宋体"/>
          <w:b/>
          <w:color w:val="auto"/>
          <w:spacing w:val="6"/>
          <w:sz w:val="32"/>
          <w:szCs w:val="32"/>
          <w:highlight w:val="none"/>
        </w:rPr>
      </w:pPr>
    </w:p>
    <w:p w14:paraId="62F42E1E">
      <w:pPr>
        <w:rPr>
          <w:color w:val="auto"/>
          <w:highlight w:val="none"/>
        </w:rPr>
      </w:pPr>
    </w:p>
    <w:p w14:paraId="4C9A1ABA">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F0025A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3B0D6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22C4D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8AEFD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C2E370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0121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6BC99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42220F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C568B0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205E56">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投标人</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77CFFE6D">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要求以联合体形式参加的项目或采购包，投标人按招标文件第一部分招标公告申请人的资格要求中规定的联合协议中中小企业、小微企业合同金额应当达到的比例要求填写。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01609F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2C4538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0C54C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1、联合体各方不再单独参加或者与其他投标人另外组成联合体参加同一合同项下的政府采购活动。</w:t>
      </w:r>
    </w:p>
    <w:p w14:paraId="5C23ACF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2、联合体中有同类资质的各方按照联合体分工承担相同工作的，按照资质等级较低的投标人确定资质等级。</w:t>
      </w:r>
    </w:p>
    <w:p w14:paraId="5FAEFCA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71FA81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7FC21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459005">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B2FB5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61052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110A7FA">
      <w:pPr>
        <w:autoSpaceDE w:val="0"/>
        <w:autoSpaceDN w:val="0"/>
        <w:jc w:val="center"/>
        <w:rPr>
          <w:rFonts w:hint="eastAsia" w:ascii="宋体" w:hAnsi="宋体" w:cs="宋体"/>
          <w:b/>
          <w:color w:val="auto"/>
          <w:spacing w:val="6"/>
          <w:sz w:val="32"/>
          <w:szCs w:val="32"/>
          <w:highlight w:val="none"/>
        </w:rPr>
      </w:pPr>
    </w:p>
    <w:p w14:paraId="6708FBCF">
      <w:pPr>
        <w:autoSpaceDE w:val="0"/>
        <w:autoSpaceDN w:val="0"/>
        <w:jc w:val="center"/>
        <w:rPr>
          <w:rFonts w:hint="eastAsia" w:ascii="宋体" w:hAnsi="宋体" w:cs="宋体"/>
          <w:b/>
          <w:color w:val="auto"/>
          <w:spacing w:val="6"/>
          <w:sz w:val="32"/>
          <w:szCs w:val="32"/>
          <w:highlight w:val="none"/>
        </w:rPr>
      </w:pPr>
    </w:p>
    <w:p w14:paraId="5EB113CE">
      <w:pPr>
        <w:autoSpaceDE w:val="0"/>
        <w:autoSpaceDN w:val="0"/>
        <w:jc w:val="center"/>
        <w:rPr>
          <w:rFonts w:hint="eastAsia" w:ascii="宋体" w:hAnsi="宋体" w:cs="宋体"/>
          <w:b/>
          <w:color w:val="auto"/>
          <w:spacing w:val="6"/>
          <w:sz w:val="32"/>
          <w:szCs w:val="32"/>
          <w:highlight w:val="none"/>
        </w:rPr>
      </w:pPr>
    </w:p>
    <w:p w14:paraId="4A51BD59">
      <w:pPr>
        <w:autoSpaceDE w:val="0"/>
        <w:autoSpaceDN w:val="0"/>
        <w:jc w:val="center"/>
        <w:rPr>
          <w:rFonts w:hint="eastAsia" w:ascii="宋体" w:hAnsi="宋体" w:cs="宋体"/>
          <w:b/>
          <w:color w:val="auto"/>
          <w:spacing w:val="6"/>
          <w:sz w:val="32"/>
          <w:szCs w:val="32"/>
          <w:highlight w:val="none"/>
        </w:rPr>
      </w:pPr>
    </w:p>
    <w:p w14:paraId="3CD9CE4F">
      <w:pPr>
        <w:autoSpaceDE w:val="0"/>
        <w:autoSpaceDN w:val="0"/>
        <w:jc w:val="center"/>
        <w:rPr>
          <w:rFonts w:hint="eastAsia" w:ascii="宋体" w:hAnsi="宋体" w:cs="宋体"/>
          <w:b/>
          <w:color w:val="auto"/>
          <w:spacing w:val="6"/>
          <w:sz w:val="32"/>
          <w:szCs w:val="32"/>
          <w:highlight w:val="none"/>
        </w:rPr>
      </w:pPr>
    </w:p>
    <w:p w14:paraId="0ACC7169">
      <w:pPr>
        <w:autoSpaceDE w:val="0"/>
        <w:autoSpaceDN w:val="0"/>
        <w:jc w:val="center"/>
        <w:rPr>
          <w:rFonts w:hint="eastAsia" w:ascii="宋体" w:hAnsi="宋体" w:cs="宋体"/>
          <w:b/>
          <w:color w:val="auto"/>
          <w:spacing w:val="6"/>
          <w:sz w:val="32"/>
          <w:szCs w:val="32"/>
          <w:highlight w:val="none"/>
        </w:rPr>
      </w:pPr>
    </w:p>
    <w:p w14:paraId="60279246">
      <w:pPr>
        <w:autoSpaceDE w:val="0"/>
        <w:autoSpaceDN w:val="0"/>
        <w:jc w:val="center"/>
        <w:rPr>
          <w:rFonts w:hint="eastAsia" w:ascii="宋体" w:hAnsi="宋体" w:cs="宋体"/>
          <w:b/>
          <w:color w:val="auto"/>
          <w:spacing w:val="6"/>
          <w:sz w:val="32"/>
          <w:szCs w:val="32"/>
          <w:highlight w:val="none"/>
        </w:rPr>
      </w:pPr>
    </w:p>
    <w:p w14:paraId="69236C0E">
      <w:pPr>
        <w:autoSpaceDE w:val="0"/>
        <w:autoSpaceDN w:val="0"/>
        <w:jc w:val="center"/>
        <w:rPr>
          <w:rFonts w:hint="eastAsia" w:ascii="宋体" w:hAnsi="宋体" w:cs="宋体"/>
          <w:b/>
          <w:color w:val="auto"/>
          <w:spacing w:val="6"/>
          <w:sz w:val="32"/>
          <w:szCs w:val="32"/>
          <w:highlight w:val="none"/>
        </w:rPr>
      </w:pPr>
    </w:p>
    <w:p w14:paraId="0EF5531E">
      <w:pPr>
        <w:autoSpaceDE w:val="0"/>
        <w:autoSpaceDN w:val="0"/>
        <w:jc w:val="center"/>
        <w:rPr>
          <w:rFonts w:hint="eastAsia" w:ascii="宋体" w:hAnsi="宋体" w:cs="宋体"/>
          <w:b/>
          <w:color w:val="auto"/>
          <w:spacing w:val="6"/>
          <w:sz w:val="32"/>
          <w:szCs w:val="32"/>
          <w:highlight w:val="none"/>
        </w:rPr>
      </w:pPr>
    </w:p>
    <w:p w14:paraId="74826D4D">
      <w:pPr>
        <w:autoSpaceDE w:val="0"/>
        <w:autoSpaceDN w:val="0"/>
        <w:jc w:val="center"/>
        <w:rPr>
          <w:rFonts w:hint="eastAsia" w:ascii="宋体" w:hAnsi="宋体" w:cs="宋体"/>
          <w:b/>
          <w:color w:val="auto"/>
          <w:spacing w:val="6"/>
          <w:sz w:val="32"/>
          <w:szCs w:val="32"/>
          <w:highlight w:val="none"/>
        </w:rPr>
      </w:pPr>
    </w:p>
    <w:p w14:paraId="4AA82725">
      <w:pPr>
        <w:autoSpaceDE w:val="0"/>
        <w:autoSpaceDN w:val="0"/>
        <w:jc w:val="center"/>
        <w:rPr>
          <w:rFonts w:hint="eastAsia" w:ascii="宋体" w:hAnsi="宋体" w:cs="宋体"/>
          <w:b/>
          <w:color w:val="auto"/>
          <w:spacing w:val="6"/>
          <w:sz w:val="32"/>
          <w:szCs w:val="32"/>
          <w:highlight w:val="none"/>
        </w:rPr>
      </w:pPr>
    </w:p>
    <w:p w14:paraId="2FF2A02B">
      <w:pPr>
        <w:autoSpaceDE w:val="0"/>
        <w:autoSpaceDN w:val="0"/>
        <w:jc w:val="center"/>
        <w:rPr>
          <w:rFonts w:hint="eastAsia" w:ascii="宋体" w:hAnsi="宋体" w:cs="宋体"/>
          <w:b/>
          <w:color w:val="auto"/>
          <w:spacing w:val="6"/>
          <w:sz w:val="32"/>
          <w:szCs w:val="32"/>
          <w:highlight w:val="none"/>
        </w:rPr>
      </w:pPr>
    </w:p>
    <w:p w14:paraId="09F7506A">
      <w:pPr>
        <w:autoSpaceDE w:val="0"/>
        <w:autoSpaceDN w:val="0"/>
        <w:jc w:val="center"/>
        <w:rPr>
          <w:rFonts w:hint="eastAsia" w:ascii="宋体" w:hAnsi="宋体" w:cs="宋体"/>
          <w:b/>
          <w:color w:val="auto"/>
          <w:spacing w:val="6"/>
          <w:sz w:val="32"/>
          <w:szCs w:val="32"/>
          <w:highlight w:val="none"/>
        </w:rPr>
      </w:pPr>
    </w:p>
    <w:p w14:paraId="6FD4AE39">
      <w:pPr>
        <w:autoSpaceDE w:val="0"/>
        <w:autoSpaceDN w:val="0"/>
        <w:jc w:val="center"/>
        <w:rPr>
          <w:rFonts w:hint="eastAsia" w:ascii="宋体" w:hAnsi="宋体" w:cs="宋体"/>
          <w:b/>
          <w:color w:val="auto"/>
          <w:spacing w:val="6"/>
          <w:sz w:val="32"/>
          <w:szCs w:val="32"/>
          <w:highlight w:val="none"/>
        </w:rPr>
      </w:pPr>
    </w:p>
    <w:p w14:paraId="4D2CB7FE">
      <w:pPr>
        <w:autoSpaceDE w:val="0"/>
        <w:autoSpaceDN w:val="0"/>
        <w:jc w:val="center"/>
        <w:rPr>
          <w:rFonts w:hint="eastAsia" w:ascii="宋体" w:hAnsi="宋体" w:cs="宋体"/>
          <w:b/>
          <w:color w:val="auto"/>
          <w:spacing w:val="6"/>
          <w:sz w:val="32"/>
          <w:szCs w:val="32"/>
          <w:highlight w:val="none"/>
        </w:rPr>
      </w:pPr>
    </w:p>
    <w:p w14:paraId="479B6BB5">
      <w:pPr>
        <w:autoSpaceDE w:val="0"/>
        <w:autoSpaceDN w:val="0"/>
        <w:jc w:val="center"/>
        <w:rPr>
          <w:rFonts w:hint="eastAsia" w:ascii="宋体" w:hAnsi="宋体" w:cs="宋体"/>
          <w:b/>
          <w:color w:val="auto"/>
          <w:spacing w:val="6"/>
          <w:sz w:val="32"/>
          <w:szCs w:val="32"/>
          <w:highlight w:val="none"/>
        </w:rPr>
      </w:pPr>
    </w:p>
    <w:p w14:paraId="307FCFD4">
      <w:pPr>
        <w:autoSpaceDE w:val="0"/>
        <w:autoSpaceDN w:val="0"/>
        <w:jc w:val="center"/>
        <w:rPr>
          <w:rFonts w:hint="eastAsia" w:ascii="宋体" w:hAnsi="宋体" w:cs="宋体"/>
          <w:b/>
          <w:color w:val="auto"/>
          <w:spacing w:val="6"/>
          <w:sz w:val="32"/>
          <w:szCs w:val="32"/>
          <w:highlight w:val="none"/>
        </w:rPr>
      </w:pPr>
    </w:p>
    <w:p w14:paraId="3254C006">
      <w:pPr>
        <w:autoSpaceDE w:val="0"/>
        <w:autoSpaceDN w:val="0"/>
        <w:jc w:val="center"/>
        <w:rPr>
          <w:rFonts w:hint="eastAsia" w:ascii="宋体" w:hAnsi="宋体" w:cs="宋体"/>
          <w:b/>
          <w:color w:val="auto"/>
          <w:spacing w:val="6"/>
          <w:sz w:val="32"/>
          <w:szCs w:val="32"/>
          <w:highlight w:val="none"/>
        </w:rPr>
      </w:pPr>
    </w:p>
    <w:p w14:paraId="78576F02">
      <w:pPr>
        <w:autoSpaceDE w:val="0"/>
        <w:autoSpaceDN w:val="0"/>
        <w:rPr>
          <w:rFonts w:hint="eastAsia" w:ascii="宋体" w:hAnsi="宋体" w:cs="宋体"/>
          <w:b/>
          <w:color w:val="auto"/>
          <w:spacing w:val="6"/>
          <w:sz w:val="32"/>
          <w:szCs w:val="32"/>
          <w:highlight w:val="none"/>
        </w:rPr>
      </w:pPr>
    </w:p>
    <w:p w14:paraId="4D4A8ED8">
      <w:pPr>
        <w:autoSpaceDE w:val="0"/>
        <w:autoSpaceDN w:val="0"/>
        <w:jc w:val="center"/>
        <w:rPr>
          <w:rFonts w:hint="eastAsia" w:ascii="宋体" w:hAnsi="宋体" w:cs="宋体"/>
          <w:b/>
          <w:color w:val="auto"/>
          <w:spacing w:val="6"/>
          <w:sz w:val="32"/>
          <w:szCs w:val="32"/>
          <w:highlight w:val="none"/>
        </w:rPr>
      </w:pPr>
    </w:p>
    <w:p w14:paraId="4056DCB2">
      <w:pPr>
        <w:widowControl/>
        <w:adjustRightInd/>
        <w:jc w:val="left"/>
        <w:rPr>
          <w:rFonts w:hint="eastAsia" w:ascii="宋体" w:hAnsi="宋体" w:cs="宋体"/>
          <w:b/>
          <w:color w:val="auto"/>
          <w:spacing w:val="6"/>
          <w:sz w:val="32"/>
          <w:szCs w:val="32"/>
          <w:highlight w:val="none"/>
        </w:rPr>
      </w:pPr>
    </w:p>
    <w:p w14:paraId="5F5D658A">
      <w:pPr>
        <w:snapToGrid w:val="0"/>
        <w:spacing w:line="360" w:lineRule="auto"/>
        <w:ind w:firstLine="3666" w:firstLineChars="1100"/>
        <w:rPr>
          <w:rFonts w:hint="eastAsia" w:ascii="宋体" w:hAnsi="宋体" w:cs="宋体"/>
          <w:b/>
          <w:color w:val="auto"/>
          <w:spacing w:val="6"/>
          <w:sz w:val="32"/>
          <w:szCs w:val="32"/>
          <w:highlight w:val="none"/>
        </w:rPr>
      </w:pPr>
    </w:p>
    <w:p w14:paraId="1D0D46E9">
      <w:pPr>
        <w:widowControl/>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1662214">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6360D0A">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29F262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杭州市第四人民医院（杭州市肿瘤医院）迁建工程桩基检测、基坑监测及沉降观测服务项目【招标编号：</w:t>
      </w:r>
      <w:r>
        <w:rPr>
          <w:rFonts w:hint="eastAsia" w:ascii="宋体" w:hAnsi="宋体" w:cs="宋体"/>
          <w:color w:val="auto"/>
          <w:sz w:val="24"/>
          <w:highlight w:val="none"/>
          <w:lang w:eastAsia="zh-CN"/>
        </w:rPr>
        <w:t>CTZB-2025010381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的中标人，将依法采取分包方式履行合同。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E887B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4FB2C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w:t>
      </w:r>
      <w:r>
        <w:rPr>
          <w:rFonts w:hint="eastAsia" w:ascii="宋体" w:hAnsi="宋体" w:cs="宋体"/>
          <w:color w:val="auto"/>
          <w:sz w:val="24"/>
          <w:highlight w:val="none"/>
        </w:rPr>
        <w:t>供应商</w:t>
      </w:r>
      <w:r>
        <w:rPr>
          <w:rFonts w:hint="eastAsia" w:ascii="宋体" w:hAnsi="宋体" w:cs="宋体"/>
          <w:color w:val="auto"/>
          <w:kern w:val="0"/>
          <w:sz w:val="24"/>
          <w:highlight w:val="none"/>
          <w:u w:val="single"/>
        </w:rPr>
        <w:t>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2D885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77E5488">
      <w:pPr>
        <w:rPr>
          <w:color w:val="auto"/>
          <w:highlight w:val="none"/>
        </w:rPr>
      </w:pPr>
      <w:r>
        <w:rPr>
          <w:rFonts w:hint="eastAsia"/>
          <w:color w:val="auto"/>
          <w:highlight w:val="none"/>
          <w:lang w:val="zh-CN"/>
        </w:rPr>
        <w:t xml:space="preserve"> </w:t>
      </w:r>
    </w:p>
    <w:p w14:paraId="047DA7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w:t>
      </w:r>
      <w:r>
        <w:rPr>
          <w:rFonts w:hint="eastAsia" w:ascii="宋体" w:hAnsi="宋体" w:cs="宋体"/>
          <w:color w:val="auto"/>
          <w:sz w:val="24"/>
          <w:highlight w:val="none"/>
        </w:rPr>
        <w:t>供应商</w:t>
      </w:r>
      <w:r>
        <w:rPr>
          <w:rFonts w:hint="eastAsia" w:ascii="宋体" w:hAnsi="宋体" w:cs="宋体"/>
          <w:color w:val="auto"/>
          <w:kern w:val="0"/>
          <w:sz w:val="24"/>
          <w:highlight w:val="none"/>
          <w:lang w:val="zh-CN"/>
        </w:rPr>
        <w:t>中小企业合同份额</w:t>
      </w:r>
    </w:p>
    <w:p w14:paraId="638C8EA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投标人</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4AAF1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要求合同分包形式参加的项目或采购包，投标人按招标文件第一部分招标公告申请人的资格要求中规定的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2C8F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68442CB">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B032A1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372344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4C81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019F4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486919">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6F492A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AC430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E943C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D88C3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987E476">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D544B7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分包投标人名称(电子签名/公章)：</w:t>
      </w:r>
    </w:p>
    <w:p w14:paraId="65E03B2B">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64AD522">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DF64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81F529A">
      <w:pPr>
        <w:autoSpaceDE w:val="0"/>
        <w:autoSpaceDN w:val="0"/>
        <w:jc w:val="center"/>
        <w:rPr>
          <w:rFonts w:hint="eastAsia" w:ascii="宋体" w:hAnsi="宋体" w:cs="宋体"/>
          <w:b/>
          <w:color w:val="auto"/>
          <w:spacing w:val="6"/>
          <w:sz w:val="32"/>
          <w:szCs w:val="32"/>
          <w:highlight w:val="none"/>
        </w:rPr>
      </w:pPr>
    </w:p>
    <w:p w14:paraId="04B09818">
      <w:pPr>
        <w:autoSpaceDE w:val="0"/>
        <w:autoSpaceDN w:val="0"/>
        <w:jc w:val="center"/>
        <w:rPr>
          <w:rFonts w:hint="eastAsia" w:ascii="宋体" w:hAnsi="宋体" w:cs="宋体"/>
          <w:b/>
          <w:color w:val="auto"/>
          <w:spacing w:val="6"/>
          <w:sz w:val="32"/>
          <w:szCs w:val="32"/>
          <w:highlight w:val="none"/>
        </w:rPr>
      </w:pPr>
    </w:p>
    <w:p w14:paraId="05C78266">
      <w:pPr>
        <w:autoSpaceDE w:val="0"/>
        <w:autoSpaceDN w:val="0"/>
        <w:jc w:val="center"/>
        <w:rPr>
          <w:rFonts w:hint="eastAsia" w:ascii="宋体" w:hAnsi="宋体" w:cs="宋体"/>
          <w:b/>
          <w:color w:val="auto"/>
          <w:spacing w:val="6"/>
          <w:sz w:val="32"/>
          <w:szCs w:val="32"/>
          <w:highlight w:val="none"/>
        </w:rPr>
      </w:pPr>
    </w:p>
    <w:p w14:paraId="51E246F0">
      <w:pPr>
        <w:autoSpaceDE w:val="0"/>
        <w:autoSpaceDN w:val="0"/>
        <w:jc w:val="center"/>
        <w:rPr>
          <w:rFonts w:hint="eastAsia" w:ascii="宋体" w:hAnsi="宋体" w:cs="宋体"/>
          <w:b/>
          <w:color w:val="auto"/>
          <w:spacing w:val="6"/>
          <w:sz w:val="32"/>
          <w:szCs w:val="32"/>
          <w:highlight w:val="none"/>
        </w:rPr>
      </w:pPr>
    </w:p>
    <w:p w14:paraId="70C854C1">
      <w:pPr>
        <w:autoSpaceDE w:val="0"/>
        <w:autoSpaceDN w:val="0"/>
        <w:jc w:val="center"/>
        <w:rPr>
          <w:rFonts w:hint="eastAsia" w:ascii="宋体" w:hAnsi="宋体" w:cs="宋体"/>
          <w:b/>
          <w:color w:val="auto"/>
          <w:spacing w:val="6"/>
          <w:sz w:val="32"/>
          <w:szCs w:val="32"/>
          <w:highlight w:val="none"/>
        </w:rPr>
      </w:pPr>
    </w:p>
    <w:p w14:paraId="50685BB6">
      <w:pPr>
        <w:autoSpaceDE w:val="0"/>
        <w:autoSpaceDN w:val="0"/>
        <w:jc w:val="center"/>
        <w:rPr>
          <w:rFonts w:hint="eastAsia" w:ascii="宋体" w:hAnsi="宋体" w:cs="宋体"/>
          <w:b/>
          <w:color w:val="auto"/>
          <w:spacing w:val="6"/>
          <w:sz w:val="32"/>
          <w:szCs w:val="32"/>
          <w:highlight w:val="none"/>
        </w:rPr>
      </w:pPr>
    </w:p>
    <w:p w14:paraId="4E9328A9">
      <w:pPr>
        <w:autoSpaceDE w:val="0"/>
        <w:autoSpaceDN w:val="0"/>
        <w:jc w:val="center"/>
        <w:rPr>
          <w:rFonts w:hint="eastAsia" w:ascii="宋体" w:hAnsi="宋体" w:cs="宋体"/>
          <w:b/>
          <w:color w:val="auto"/>
          <w:spacing w:val="6"/>
          <w:sz w:val="32"/>
          <w:szCs w:val="32"/>
          <w:highlight w:val="none"/>
        </w:rPr>
      </w:pPr>
    </w:p>
    <w:p w14:paraId="7E8BC989">
      <w:pPr>
        <w:autoSpaceDE w:val="0"/>
        <w:autoSpaceDN w:val="0"/>
        <w:jc w:val="center"/>
        <w:rPr>
          <w:rFonts w:hint="eastAsia" w:ascii="宋体" w:hAnsi="宋体" w:cs="宋体"/>
          <w:b/>
          <w:color w:val="auto"/>
          <w:spacing w:val="6"/>
          <w:sz w:val="32"/>
          <w:szCs w:val="32"/>
          <w:highlight w:val="none"/>
        </w:rPr>
      </w:pPr>
    </w:p>
    <w:p w14:paraId="53BF8D6C">
      <w:pPr>
        <w:autoSpaceDE w:val="0"/>
        <w:autoSpaceDN w:val="0"/>
        <w:jc w:val="center"/>
        <w:rPr>
          <w:rFonts w:hint="eastAsia" w:ascii="宋体" w:hAnsi="宋体" w:cs="宋体"/>
          <w:b/>
          <w:color w:val="auto"/>
          <w:spacing w:val="6"/>
          <w:sz w:val="32"/>
          <w:szCs w:val="32"/>
          <w:highlight w:val="none"/>
        </w:rPr>
      </w:pPr>
    </w:p>
    <w:p w14:paraId="76A13D6D">
      <w:pPr>
        <w:autoSpaceDE w:val="0"/>
        <w:autoSpaceDN w:val="0"/>
        <w:jc w:val="center"/>
        <w:rPr>
          <w:rFonts w:hint="eastAsia" w:ascii="宋体" w:hAnsi="宋体" w:cs="宋体"/>
          <w:b/>
          <w:color w:val="auto"/>
          <w:spacing w:val="6"/>
          <w:sz w:val="32"/>
          <w:szCs w:val="32"/>
          <w:highlight w:val="none"/>
        </w:rPr>
      </w:pPr>
    </w:p>
    <w:p w14:paraId="22BE6C98">
      <w:pPr>
        <w:autoSpaceDE w:val="0"/>
        <w:autoSpaceDN w:val="0"/>
        <w:jc w:val="center"/>
        <w:rPr>
          <w:rFonts w:hint="eastAsia" w:ascii="宋体" w:hAnsi="宋体" w:cs="宋体"/>
          <w:b/>
          <w:color w:val="auto"/>
          <w:spacing w:val="6"/>
          <w:sz w:val="32"/>
          <w:szCs w:val="32"/>
          <w:highlight w:val="none"/>
        </w:rPr>
      </w:pPr>
    </w:p>
    <w:p w14:paraId="7E58CF91">
      <w:pPr>
        <w:autoSpaceDE w:val="0"/>
        <w:autoSpaceDN w:val="0"/>
        <w:jc w:val="center"/>
        <w:rPr>
          <w:rFonts w:hint="eastAsia" w:ascii="宋体" w:hAnsi="宋体" w:cs="宋体"/>
          <w:b/>
          <w:color w:val="auto"/>
          <w:spacing w:val="6"/>
          <w:sz w:val="32"/>
          <w:szCs w:val="32"/>
          <w:highlight w:val="none"/>
        </w:rPr>
      </w:pPr>
    </w:p>
    <w:p w14:paraId="301FF167">
      <w:pPr>
        <w:autoSpaceDE w:val="0"/>
        <w:autoSpaceDN w:val="0"/>
        <w:jc w:val="center"/>
        <w:rPr>
          <w:rFonts w:hint="eastAsia" w:ascii="宋体" w:hAnsi="宋体" w:cs="宋体"/>
          <w:b/>
          <w:color w:val="auto"/>
          <w:spacing w:val="6"/>
          <w:sz w:val="32"/>
          <w:szCs w:val="32"/>
          <w:highlight w:val="none"/>
        </w:rPr>
      </w:pPr>
    </w:p>
    <w:p w14:paraId="547CBC7B">
      <w:pPr>
        <w:autoSpaceDE w:val="0"/>
        <w:autoSpaceDN w:val="0"/>
        <w:jc w:val="center"/>
        <w:rPr>
          <w:rFonts w:hint="eastAsia" w:ascii="宋体" w:hAnsi="宋体" w:cs="宋体"/>
          <w:b/>
          <w:color w:val="auto"/>
          <w:spacing w:val="6"/>
          <w:sz w:val="32"/>
          <w:szCs w:val="32"/>
          <w:highlight w:val="none"/>
        </w:rPr>
      </w:pPr>
    </w:p>
    <w:p w14:paraId="5057A023">
      <w:pPr>
        <w:autoSpaceDE w:val="0"/>
        <w:autoSpaceDN w:val="0"/>
        <w:jc w:val="center"/>
        <w:rPr>
          <w:rFonts w:hint="eastAsia" w:ascii="宋体" w:hAnsi="宋体" w:cs="宋体"/>
          <w:b/>
          <w:color w:val="auto"/>
          <w:spacing w:val="6"/>
          <w:sz w:val="32"/>
          <w:szCs w:val="32"/>
          <w:highlight w:val="none"/>
        </w:rPr>
      </w:pPr>
    </w:p>
    <w:p w14:paraId="4CA7364E">
      <w:pPr>
        <w:autoSpaceDE w:val="0"/>
        <w:autoSpaceDN w:val="0"/>
        <w:jc w:val="center"/>
        <w:rPr>
          <w:rFonts w:hint="eastAsia" w:ascii="宋体" w:hAnsi="宋体" w:cs="宋体"/>
          <w:b/>
          <w:color w:val="auto"/>
          <w:spacing w:val="6"/>
          <w:sz w:val="32"/>
          <w:szCs w:val="32"/>
          <w:highlight w:val="none"/>
        </w:rPr>
      </w:pPr>
    </w:p>
    <w:p w14:paraId="45DB3523">
      <w:pPr>
        <w:autoSpaceDE w:val="0"/>
        <w:autoSpaceDN w:val="0"/>
        <w:jc w:val="center"/>
        <w:rPr>
          <w:rFonts w:hint="eastAsia" w:ascii="宋体" w:hAnsi="宋体" w:cs="宋体"/>
          <w:b/>
          <w:color w:val="auto"/>
          <w:spacing w:val="6"/>
          <w:sz w:val="32"/>
          <w:szCs w:val="32"/>
          <w:highlight w:val="none"/>
        </w:rPr>
      </w:pPr>
    </w:p>
    <w:p w14:paraId="059261A6">
      <w:pPr>
        <w:autoSpaceDE w:val="0"/>
        <w:autoSpaceDN w:val="0"/>
        <w:jc w:val="center"/>
        <w:rPr>
          <w:rFonts w:hint="eastAsia" w:ascii="宋体" w:hAnsi="宋体" w:cs="宋体"/>
          <w:b/>
          <w:color w:val="auto"/>
          <w:spacing w:val="6"/>
          <w:sz w:val="32"/>
          <w:szCs w:val="32"/>
          <w:highlight w:val="none"/>
        </w:rPr>
      </w:pPr>
    </w:p>
    <w:p w14:paraId="5BB8E04A">
      <w:pPr>
        <w:autoSpaceDE w:val="0"/>
        <w:autoSpaceDN w:val="0"/>
        <w:rPr>
          <w:rFonts w:hint="eastAsia" w:ascii="宋体" w:hAnsi="宋体" w:cs="宋体"/>
          <w:b/>
          <w:color w:val="auto"/>
          <w:spacing w:val="6"/>
          <w:sz w:val="32"/>
          <w:szCs w:val="32"/>
          <w:highlight w:val="none"/>
        </w:rPr>
      </w:pPr>
    </w:p>
    <w:p w14:paraId="5E815F8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43BC146">
      <w:pPr>
        <w:snapToGrid w:val="0"/>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：中小企业声明函</w:t>
      </w:r>
    </w:p>
    <w:p w14:paraId="2372697B">
      <w:pPr>
        <w:spacing w:line="360" w:lineRule="auto"/>
        <w:jc w:val="center"/>
        <w:rPr>
          <w:rFonts w:hint="eastAsia" w:ascii="宋体" w:hAnsi="宋体" w:cs="宋体"/>
          <w:color w:val="auto"/>
          <w:sz w:val="24"/>
          <w:highlight w:val="none"/>
          <w:u w:val="single"/>
        </w:rPr>
      </w:pPr>
    </w:p>
    <w:p w14:paraId="77455F5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B6837CB">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杭州市卫生健康事业发展中心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杭州市第四人民医院（杭州市肿瘤医院）迁建工程桩基检测、基坑监测及沉降观测服务项目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8314BD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0636B8C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C5B0C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BF1ACF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18494A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647DB95">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2DBFA1D8">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2BB0B695">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559472C">
      <w:pPr>
        <w:spacing w:line="360" w:lineRule="auto"/>
        <w:ind w:right="420"/>
        <w:rPr>
          <w:rFonts w:hint="eastAsia" w:ascii="宋体" w:hAnsi="宋体" w:cs="宋体"/>
          <w:color w:val="auto"/>
          <w:sz w:val="24"/>
          <w:highlight w:val="none"/>
        </w:rPr>
      </w:pPr>
    </w:p>
    <w:p w14:paraId="3D0C43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1A74D198">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w:t>
      </w:r>
      <w:r>
        <w:rPr>
          <w:rFonts w:ascii="宋体" w:hAnsi="宋体" w:cs="宋体"/>
          <w:color w:val="auto"/>
          <w:sz w:val="24"/>
          <w:highlight w:val="none"/>
        </w:rPr>
        <w:tab/>
      </w:r>
      <w:r>
        <w:rPr>
          <w:rFonts w:hint="eastAsia" w:ascii="宋体" w:hAnsi="宋体" w:cs="宋体"/>
          <w:color w:val="auto"/>
          <w:sz w:val="24"/>
          <w:highlight w:val="none"/>
        </w:rPr>
        <w:t>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声明内容不实的，属于提供虚假材料谋取中标、成交的，依法承担法律责任。</w:t>
      </w:r>
    </w:p>
    <w:p w14:paraId="0E996A78">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96448D">
      <w:pPr>
        <w:spacing w:line="360" w:lineRule="auto"/>
        <w:rPr>
          <w:rFonts w:hint="eastAsia" w:ascii="宋体" w:hAnsi="宋体" w:cs="宋体"/>
          <w:bCs/>
          <w:color w:val="auto"/>
          <w:sz w:val="24"/>
          <w:highlight w:val="none"/>
        </w:rPr>
      </w:pPr>
    </w:p>
    <w:p w14:paraId="55D0AF96">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2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3CA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44FDB">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ADDE">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28</w:t>
    </w:r>
    <w:r>
      <w:fldChar w:fldCharType="end"/>
    </w:r>
  </w:p>
  <w:p w14:paraId="6CDDED5F">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25D6">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bookmarkStart w:id="407" w:name="_Toc36110187"/>
    <w:bookmarkStart w:id="408" w:name="_Toc91899912"/>
    <w:bookmarkStart w:id="409" w:name="_Toc164085800"/>
    <w:bookmarkStart w:id="410" w:name="_Toc131845147"/>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C6E62">
    <w:pPr>
      <w:pStyle w:val="11"/>
      <w:framePr w:wrap="around" w:vAnchor="text" w:hAnchor="margin" w:xAlign="right" w:y="1"/>
      <w:rPr>
        <w:rStyle w:val="18"/>
      </w:rPr>
    </w:pPr>
    <w:r>
      <w:fldChar w:fldCharType="begin"/>
    </w:r>
    <w:r>
      <w:rPr>
        <w:rStyle w:val="18"/>
      </w:rPr>
      <w:instrText xml:space="preserve">PAGE  </w:instrText>
    </w:r>
    <w:r>
      <w:fldChar w:fldCharType="end"/>
    </w:r>
  </w:p>
  <w:p w14:paraId="0343A3B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D3B96">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529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7D65D1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445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w:t>
    </w:r>
  </w:p>
  <w:p w14:paraId="6E61795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08D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143848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3D9F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2ACD7D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9A44">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41F15A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3DD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6ED043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1C75">
    <w:pPr>
      <w:pStyle w:val="12"/>
    </w:pPr>
    <w:r>
      <w:rPr>
        <w:rFonts w:hint="eastAsia"/>
      </w:rPr>
      <w:t xml:space="preserve">             </w:t>
    </w:r>
    <w:r>
      <w:t>杭州市政府采购公开招标文件</w:t>
    </w:r>
  </w:p>
  <w:p w14:paraId="1D0F8893">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7DD4">
    <w:pPr>
      <w:pStyle w:val="12"/>
    </w:pP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77D8">
    <w:pPr>
      <w:pStyle w:val="12"/>
    </w:pPr>
    <w:r>
      <w:rPr>
        <w:rFonts w:hint="eastAsia"/>
        <w:lang w:val="zh-CN"/>
      </w:rPr>
      <w:t xml:space="preserve"> </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232B">
    <w:pPr>
      <w:pStyle w:val="12"/>
      <w:rPr>
        <w:rFonts w:ascii="仿宋_GB2312" w:eastAsia="仿宋_GB2312"/>
        <w:b/>
        <w:i/>
        <w:u w:val="single"/>
      </w:rPr>
    </w:pPr>
    <w:r>
      <w:rPr>
        <w:rFonts w:hint="eastAsia"/>
      </w:rPr>
      <w:t xml:space="preserve">                                                  </w:t>
    </w:r>
    <w:r>
      <w:t xml:space="preserve">             杭州市政府采购公开招标文件</w:t>
    </w:r>
  </w:p>
  <w:p w14:paraId="69ACF2A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BEFD">
    <w:pPr>
      <w:pStyle w:val="1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35CD4">
    <w:pPr>
      <w:pStyle w:val="12"/>
      <w:rPr>
        <w:rFonts w:ascii="仿宋_GB2312" w:eastAsia="仿宋_GB2312"/>
        <w:b/>
        <w:i/>
        <w:u w:val="single"/>
      </w:rPr>
    </w:pPr>
    <w:r>
      <w:rPr>
        <w:rFonts w:hint="eastAsia"/>
      </w:rPr>
      <w:t xml:space="preserve">                                 </w:t>
    </w:r>
    <w:r>
      <w:t>杭州市政府采购公开招标文件</w:t>
    </w:r>
  </w:p>
  <w:p w14:paraId="7F3D1AA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B4A">
    <w:pPr>
      <w:pStyle w:val="12"/>
    </w:pP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824AA">
    <w:pPr>
      <w:pStyle w:val="12"/>
      <w:rPr>
        <w:rFonts w:ascii="仿宋_GB2312" w:eastAsia="仿宋_GB2312"/>
        <w:b/>
        <w:i/>
        <w:u w:val="single"/>
      </w:rPr>
    </w:pPr>
    <w:r>
      <w:rPr>
        <w:rFonts w:hint="eastAsia"/>
      </w:rPr>
      <w:t xml:space="preserve">                                  </w:t>
    </w:r>
    <w:r>
      <w:t>杭州市政府采购公开招标文件</w:t>
    </w:r>
  </w:p>
  <w:p w14:paraId="124348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0661">
    <w:pPr>
      <w:pStyle w:val="12"/>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FCD4B">
    <w:pPr>
      <w:pStyle w:val="12"/>
      <w:rPr>
        <w:rFonts w:ascii="仿宋_GB2312" w:eastAsia="仿宋_GB2312"/>
        <w:b/>
        <w:i/>
        <w:iCs/>
        <w:u w:val="single"/>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56A91"/>
    <w:multiLevelType w:val="singleLevel"/>
    <w:tmpl w:val="70956A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iNWE3MDhiZmI5OWIxYzY0NDgzZDdhZTljNjY0MWIifQ=="/>
    <w:docVar w:name="KSO_WPS_MARK_KEY" w:val="d97c3082-ee3d-461a-934f-2b8d07c52cb4"/>
  </w:docVars>
  <w:rsids>
    <w:rsidRoot w:val="52AF1027"/>
    <w:rsid w:val="000210BB"/>
    <w:rsid w:val="00072F53"/>
    <w:rsid w:val="000A7293"/>
    <w:rsid w:val="0015631D"/>
    <w:rsid w:val="00164032"/>
    <w:rsid w:val="0017420F"/>
    <w:rsid w:val="0018791A"/>
    <w:rsid w:val="001B294F"/>
    <w:rsid w:val="001D7FA5"/>
    <w:rsid w:val="001E421D"/>
    <w:rsid w:val="001E4DA3"/>
    <w:rsid w:val="00200D05"/>
    <w:rsid w:val="00224166"/>
    <w:rsid w:val="002A329E"/>
    <w:rsid w:val="00306600"/>
    <w:rsid w:val="00310F20"/>
    <w:rsid w:val="00314075"/>
    <w:rsid w:val="003378B8"/>
    <w:rsid w:val="003D5A42"/>
    <w:rsid w:val="004467BB"/>
    <w:rsid w:val="004C73EC"/>
    <w:rsid w:val="0050108B"/>
    <w:rsid w:val="00503EF2"/>
    <w:rsid w:val="0051254C"/>
    <w:rsid w:val="005B3480"/>
    <w:rsid w:val="005F0565"/>
    <w:rsid w:val="00691890"/>
    <w:rsid w:val="006A4D14"/>
    <w:rsid w:val="006B0B6F"/>
    <w:rsid w:val="006C675E"/>
    <w:rsid w:val="0070301E"/>
    <w:rsid w:val="00726E7C"/>
    <w:rsid w:val="007A5161"/>
    <w:rsid w:val="007A530A"/>
    <w:rsid w:val="007B3BB8"/>
    <w:rsid w:val="007D22A8"/>
    <w:rsid w:val="007D34B9"/>
    <w:rsid w:val="007F41FA"/>
    <w:rsid w:val="007F5A61"/>
    <w:rsid w:val="00827397"/>
    <w:rsid w:val="00855C10"/>
    <w:rsid w:val="008B413D"/>
    <w:rsid w:val="009239B8"/>
    <w:rsid w:val="0093339E"/>
    <w:rsid w:val="009D6AC7"/>
    <w:rsid w:val="00A159C5"/>
    <w:rsid w:val="00A22518"/>
    <w:rsid w:val="00A23F46"/>
    <w:rsid w:val="00A249A5"/>
    <w:rsid w:val="00A47EF7"/>
    <w:rsid w:val="00A615AC"/>
    <w:rsid w:val="00A716FF"/>
    <w:rsid w:val="00A73CCF"/>
    <w:rsid w:val="00A80902"/>
    <w:rsid w:val="00AF1221"/>
    <w:rsid w:val="00B35B97"/>
    <w:rsid w:val="00B974DE"/>
    <w:rsid w:val="00BE084E"/>
    <w:rsid w:val="00C21436"/>
    <w:rsid w:val="00C408FD"/>
    <w:rsid w:val="00C678AE"/>
    <w:rsid w:val="00D069E9"/>
    <w:rsid w:val="00D31615"/>
    <w:rsid w:val="00DE733D"/>
    <w:rsid w:val="00E62898"/>
    <w:rsid w:val="00EA0BF3"/>
    <w:rsid w:val="00F0266D"/>
    <w:rsid w:val="00F45F32"/>
    <w:rsid w:val="00F53EB2"/>
    <w:rsid w:val="00F57668"/>
    <w:rsid w:val="00F60B64"/>
    <w:rsid w:val="00F76E13"/>
    <w:rsid w:val="00F86F2B"/>
    <w:rsid w:val="00FA5339"/>
    <w:rsid w:val="00FC45C4"/>
    <w:rsid w:val="00FC5316"/>
    <w:rsid w:val="04094A8D"/>
    <w:rsid w:val="0817753B"/>
    <w:rsid w:val="09581774"/>
    <w:rsid w:val="0AB87C87"/>
    <w:rsid w:val="0E1E5E3A"/>
    <w:rsid w:val="10596B94"/>
    <w:rsid w:val="10BF00ED"/>
    <w:rsid w:val="13DE46D2"/>
    <w:rsid w:val="16014A03"/>
    <w:rsid w:val="16C4412B"/>
    <w:rsid w:val="17F04945"/>
    <w:rsid w:val="1C1D1FD3"/>
    <w:rsid w:val="1C2032FE"/>
    <w:rsid w:val="1FA276EA"/>
    <w:rsid w:val="20192279"/>
    <w:rsid w:val="24961554"/>
    <w:rsid w:val="25D37195"/>
    <w:rsid w:val="29DB6291"/>
    <w:rsid w:val="32CC1269"/>
    <w:rsid w:val="339658BF"/>
    <w:rsid w:val="350C5D1E"/>
    <w:rsid w:val="39F714A7"/>
    <w:rsid w:val="3CCE6686"/>
    <w:rsid w:val="3EA20B25"/>
    <w:rsid w:val="3F8C208C"/>
    <w:rsid w:val="3FE569D2"/>
    <w:rsid w:val="412E7052"/>
    <w:rsid w:val="4752380F"/>
    <w:rsid w:val="49254E21"/>
    <w:rsid w:val="4A3239D7"/>
    <w:rsid w:val="52AF1027"/>
    <w:rsid w:val="56F6049F"/>
    <w:rsid w:val="58932D68"/>
    <w:rsid w:val="5B113C14"/>
    <w:rsid w:val="5CB86F95"/>
    <w:rsid w:val="5F25126A"/>
    <w:rsid w:val="60C301CC"/>
    <w:rsid w:val="66DE080D"/>
    <w:rsid w:val="67473BEB"/>
    <w:rsid w:val="67BB4BB4"/>
    <w:rsid w:val="6C6135BF"/>
    <w:rsid w:val="6D8318DE"/>
    <w:rsid w:val="78D6623B"/>
    <w:rsid w:val="79D26601"/>
    <w:rsid w:val="7F33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sz w:val="24"/>
    </w:rPr>
  </w:style>
  <w:style w:type="paragraph" w:styleId="3">
    <w:name w:val="Body Text First Indent 2"/>
    <w:basedOn w:val="2"/>
    <w:qFormat/>
    <w:uiPriority w:val="0"/>
    <w:pPr>
      <w:adjustRightInd/>
      <w:spacing w:after="120" w:line="240" w:lineRule="auto"/>
      <w:ind w:left="420" w:leftChars="200" w:firstLine="210"/>
    </w:pPr>
    <w:rPr>
      <w:sz w:val="21"/>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38"/>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cs="Times New Roman"/>
      <w:snapToGrid/>
      <w:szCs w:val="20"/>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right"/>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99"/>
    <w:rPr>
      <w:sz w:val="21"/>
      <w:szCs w:val="21"/>
    </w:rPr>
  </w:style>
  <w:style w:type="paragraph" w:customStyle="1" w:styleId="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2">
    <w:name w:val="_Style 3"/>
    <w:basedOn w:val="1"/>
    <w:qFormat/>
    <w:uiPriority w:val="0"/>
    <w:pPr>
      <w:adjustRightInd/>
      <w:ind w:firstLine="420" w:firstLineChars="200"/>
    </w:pPr>
    <w:rPr>
      <w:rFonts w:eastAsia="仿宋_GB2312"/>
      <w:sz w:val="28"/>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空2字"/>
    <w:basedOn w:val="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7">
    <w:name w:val="左对齐正文"/>
    <w:qFormat/>
    <w:uiPriority w:val="99"/>
    <w:rPr>
      <w:rFonts w:ascii="Calibri" w:hAnsi="Calibri" w:eastAsia="仿宋_GB2312" w:cs="Calibri"/>
      <w:kern w:val="2"/>
      <w:sz w:val="32"/>
      <w:szCs w:val="32"/>
      <w:lang w:val="en-US" w:eastAsia="zh-CN" w:bidi="ar-SA"/>
    </w:rPr>
  </w:style>
  <w:style w:type="paragraph" w:customStyle="1" w:styleId="28">
    <w:name w:val="p0"/>
    <w:basedOn w:val="1"/>
    <w:qFormat/>
    <w:uiPriority w:val="0"/>
    <w:pPr>
      <w:widowControl/>
      <w:adjustRightInd/>
    </w:pPr>
    <w:rPr>
      <w:kern w:val="0"/>
      <w:szCs w:val="21"/>
    </w:rPr>
  </w:style>
  <w:style w:type="paragraph" w:customStyle="1" w:styleId="29">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3">
    <w:name w:val="NormalCharacter"/>
    <w:qFormat/>
    <w:uiPriority w:val="0"/>
    <w:rPr>
      <w:rFonts w:ascii="Times New Roman" w:hAnsi="Times New Roman" w:eastAsia="宋体" w:cs="Times New Roman"/>
      <w:kern w:val="2"/>
      <w:sz w:val="24"/>
      <w:lang w:val="en-US" w:eastAsia="zh-CN" w:bidi="ar-SA"/>
    </w:rPr>
  </w:style>
  <w:style w:type="paragraph" w:customStyle="1" w:styleId="34">
    <w:name w:val="*正文"/>
    <w:basedOn w:val="1"/>
    <w:qFormat/>
    <w:uiPriority w:val="0"/>
    <w:pPr>
      <w:spacing w:line="360" w:lineRule="auto"/>
      <w:ind w:firstLine="200" w:firstLineChars="200"/>
      <w:jc w:val="left"/>
    </w:pPr>
    <w:rPr>
      <w:rFonts w:ascii="宋体" w:hAnsi="宋体"/>
      <w:sz w:val="24"/>
    </w:rPr>
  </w:style>
  <w:style w:type="paragraph" w:styleId="35">
    <w:name w:val="List Paragraph"/>
    <w:basedOn w:val="1"/>
    <w:qFormat/>
    <w:uiPriority w:val="1"/>
    <w:pPr>
      <w:autoSpaceDE w:val="0"/>
      <w:autoSpaceDN w:val="0"/>
      <w:adjustRightInd/>
      <w:ind w:left="438" w:firstLine="420"/>
      <w:jc w:val="left"/>
    </w:pPr>
    <w:rPr>
      <w:rFonts w:ascii="宋体" w:hAnsi="宋体" w:cs="宋体"/>
      <w:kern w:val="0"/>
      <w:sz w:val="22"/>
      <w:szCs w:val="22"/>
      <w:lang w:val="zh-CN" w:bidi="zh-CN"/>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17"/>
    <w:link w:val="7"/>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2850</Words>
  <Characters>3128</Characters>
  <Lines>342</Lines>
  <Paragraphs>96</Paragraphs>
  <TotalTime>4</TotalTime>
  <ScaleCrop>false</ScaleCrop>
  <LinksUpToDate>false</LinksUpToDate>
  <CharactersWithSpaces>3251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2025-01-23T06:42:00Z</dcterms:created>
  <dc:creator>h2o</dc:creator>
  <cp:lastModifiedBy>小艾</cp:lastModifiedBy>
  <dcterms:modified xsi:type="dcterms:W3CDTF">2025-01-24T14:31:25Z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500E26019643470ABED2DD800184D77E_13</vt:lpwstr>
  </property>
  <property fmtid="{D5CDD505-2E9C-101B-9397-08002B2CF9AE}" pid="4" name="KSOTemplateDocerSaveRecord">
    <vt:lpwstr>eyJoZGlkIjoiNGI5ZDJkZDhlMWIzNDM4ZTgwNWE4ZTQwOWQ5MmVkNDIiLCJ1c2VySWQiOiI1OTkyNTI4MzYifQ==</vt:lpwstr>
  </property>
</Properties>
</file>