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5C1DB">
      <w:pPr>
        <w:spacing w:line="360" w:lineRule="auto"/>
        <w:jc w:val="center"/>
        <w:rPr>
          <w:rFonts w:hint="eastAsia" w:ascii="宋体" w:hAnsi="宋体" w:cs="宋体"/>
          <w:b/>
          <w:color w:val="auto"/>
          <w:sz w:val="24"/>
          <w:highlight w:val="none"/>
        </w:rPr>
      </w:pPr>
    </w:p>
    <w:p w14:paraId="2E3AB841">
      <w:pPr>
        <w:spacing w:line="360" w:lineRule="auto"/>
        <w:jc w:val="center"/>
        <w:rPr>
          <w:rFonts w:hint="eastAsia" w:ascii="宋体" w:hAnsi="宋体" w:cs="宋体"/>
          <w:b/>
          <w:color w:val="auto"/>
          <w:sz w:val="24"/>
          <w:highlight w:val="none"/>
        </w:rPr>
      </w:pPr>
    </w:p>
    <w:p w14:paraId="1DBB4E99">
      <w:pPr>
        <w:spacing w:line="360" w:lineRule="auto"/>
        <w:rPr>
          <w:rFonts w:hint="eastAsia" w:ascii="宋体" w:hAnsi="宋体" w:cs="宋体"/>
          <w:b/>
          <w:color w:val="auto"/>
          <w:sz w:val="44"/>
          <w:szCs w:val="44"/>
          <w:highlight w:val="none"/>
        </w:rPr>
      </w:pPr>
    </w:p>
    <w:p w14:paraId="35C30F86">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杭州市第四人民医院（杭州市肿瘤医院）迁建工程BIM技术咨询服务项目</w:t>
      </w:r>
      <w:r>
        <w:rPr>
          <w:rFonts w:ascii="宋体" w:hAnsi="宋体" w:cs="宋体"/>
          <w:color w:val="auto"/>
          <w:sz w:val="48"/>
          <w:szCs w:val="48"/>
          <w:highlight w:val="none"/>
        </w:rPr>
        <w:br w:type="textWrapping"/>
      </w:r>
    </w:p>
    <w:p w14:paraId="173751E6">
      <w:pPr>
        <w:adjustRightInd/>
        <w:spacing w:line="360" w:lineRule="auto"/>
        <w:jc w:val="center"/>
        <w:rPr>
          <w:rFonts w:hint="eastAsia" w:ascii="宋体" w:hAnsi="宋体" w:cs="宋体"/>
          <w:color w:val="auto"/>
          <w:sz w:val="48"/>
          <w:szCs w:val="48"/>
          <w:highlight w:val="none"/>
        </w:rPr>
      </w:pPr>
    </w:p>
    <w:p w14:paraId="404DA7F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E328107">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28CEDDD">
      <w:pPr>
        <w:snapToGrid w:val="0"/>
        <w:spacing w:line="360" w:lineRule="auto"/>
        <w:jc w:val="center"/>
        <w:rPr>
          <w:rFonts w:hint="eastAsia" w:ascii="宋体" w:hAnsi="宋体" w:cs="宋体"/>
          <w:color w:val="auto"/>
          <w:sz w:val="30"/>
          <w:szCs w:val="30"/>
          <w:highlight w:val="none"/>
        </w:rPr>
      </w:pPr>
    </w:p>
    <w:p w14:paraId="238E2F1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CTZB-2025010383</w:t>
      </w:r>
    </w:p>
    <w:p w14:paraId="20B196A5">
      <w:pPr>
        <w:adjustRightInd/>
        <w:spacing w:line="360" w:lineRule="auto"/>
        <w:rPr>
          <w:rFonts w:hint="eastAsia" w:ascii="宋体" w:hAnsi="宋体" w:cs="宋体"/>
          <w:color w:val="auto"/>
          <w:sz w:val="28"/>
          <w:szCs w:val="20"/>
          <w:highlight w:val="none"/>
        </w:rPr>
      </w:pPr>
    </w:p>
    <w:p w14:paraId="57ECF322">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8384C39">
      <w:pPr>
        <w:spacing w:line="360" w:lineRule="auto"/>
        <w:rPr>
          <w:rFonts w:hint="eastAsia" w:ascii="宋体" w:hAnsi="宋体" w:cs="宋体"/>
          <w:color w:val="auto"/>
          <w:sz w:val="24"/>
          <w:highlight w:val="none"/>
        </w:rPr>
      </w:pPr>
    </w:p>
    <w:p w14:paraId="62D0FD9F">
      <w:pPr>
        <w:spacing w:line="360" w:lineRule="auto"/>
        <w:rPr>
          <w:rFonts w:hint="eastAsia" w:ascii="宋体" w:hAnsi="宋体" w:cs="宋体"/>
          <w:color w:val="auto"/>
          <w:sz w:val="32"/>
          <w:szCs w:val="32"/>
          <w:highlight w:val="none"/>
        </w:rPr>
      </w:pPr>
    </w:p>
    <w:p w14:paraId="069EB194">
      <w:pPr>
        <w:snapToGrid w:val="0"/>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采购单位：杭州市卫生健康事业发展中心</w:t>
      </w:r>
    </w:p>
    <w:p w14:paraId="110F3510">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采购代理机构：浙江省成套招标代理有限公司</w:t>
      </w:r>
    </w:p>
    <w:p w14:paraId="0F73666E">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p>
    <w:p w14:paraId="592D459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8D41543">
      <w:pPr>
        <w:pStyle w:val="22"/>
        <w:rPr>
          <w:color w:val="auto"/>
          <w:highlight w:val="none"/>
        </w:rPr>
      </w:pPr>
    </w:p>
    <w:p w14:paraId="3B408FE5">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36DD14E4">
      <w:pPr>
        <w:spacing w:line="360" w:lineRule="auto"/>
        <w:rPr>
          <w:rFonts w:hint="eastAsia" w:ascii="宋体" w:hAnsi="宋体" w:cs="宋体"/>
          <w:color w:val="auto"/>
          <w:sz w:val="32"/>
          <w:szCs w:val="32"/>
          <w:highlight w:val="none"/>
        </w:rPr>
      </w:pPr>
    </w:p>
    <w:p w14:paraId="5A773A5B">
      <w:pPr>
        <w:spacing w:line="360" w:lineRule="auto"/>
        <w:rPr>
          <w:rFonts w:hint="eastAsia" w:ascii="宋体" w:hAnsi="宋体" w:cs="宋体"/>
          <w:color w:val="auto"/>
          <w:sz w:val="32"/>
          <w:szCs w:val="32"/>
          <w:highlight w:val="none"/>
        </w:rPr>
      </w:pPr>
    </w:p>
    <w:p w14:paraId="2B06927F">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62ED905">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E48683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AD2BFD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215E43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CDFB385">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CF6C3FE">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31C9CD7A">
      <w:pPr>
        <w:spacing w:line="360" w:lineRule="auto"/>
        <w:ind w:firstLine="549" w:firstLineChars="229"/>
        <w:rPr>
          <w:rFonts w:hint="eastAsia" w:ascii="宋体" w:hAnsi="宋体" w:cs="宋体"/>
          <w:color w:val="auto"/>
          <w:sz w:val="24"/>
          <w:highlight w:val="none"/>
        </w:rPr>
      </w:pPr>
    </w:p>
    <w:p w14:paraId="25DC91DF">
      <w:pPr>
        <w:spacing w:line="360" w:lineRule="auto"/>
        <w:ind w:firstLine="549" w:firstLineChars="229"/>
        <w:rPr>
          <w:rFonts w:hint="eastAsia" w:ascii="宋体" w:hAnsi="宋体" w:cs="宋体"/>
          <w:color w:val="auto"/>
          <w:sz w:val="24"/>
          <w:highlight w:val="none"/>
        </w:rPr>
      </w:pPr>
    </w:p>
    <w:p w14:paraId="19D4D59B">
      <w:pPr>
        <w:spacing w:line="360" w:lineRule="auto"/>
        <w:ind w:firstLine="549" w:firstLineChars="229"/>
        <w:rPr>
          <w:rFonts w:hint="eastAsia" w:ascii="宋体" w:hAnsi="宋体" w:cs="宋体"/>
          <w:color w:val="auto"/>
          <w:sz w:val="24"/>
          <w:highlight w:val="none"/>
        </w:rPr>
      </w:pPr>
    </w:p>
    <w:p w14:paraId="15135AA0">
      <w:pPr>
        <w:spacing w:line="360" w:lineRule="auto"/>
        <w:ind w:firstLine="549" w:firstLineChars="229"/>
        <w:rPr>
          <w:rFonts w:hint="eastAsia" w:ascii="宋体" w:hAnsi="宋体" w:cs="宋体"/>
          <w:color w:val="auto"/>
          <w:sz w:val="24"/>
          <w:highlight w:val="none"/>
        </w:rPr>
      </w:pPr>
    </w:p>
    <w:p w14:paraId="22887243">
      <w:pPr>
        <w:spacing w:line="360" w:lineRule="auto"/>
        <w:ind w:firstLine="549" w:firstLineChars="229"/>
        <w:rPr>
          <w:rFonts w:hint="eastAsia" w:ascii="宋体" w:hAnsi="宋体" w:cs="宋体"/>
          <w:color w:val="auto"/>
          <w:sz w:val="24"/>
          <w:highlight w:val="none"/>
        </w:rPr>
      </w:pPr>
    </w:p>
    <w:p w14:paraId="6794286A">
      <w:pPr>
        <w:spacing w:line="360" w:lineRule="auto"/>
        <w:ind w:firstLine="549" w:firstLineChars="229"/>
        <w:rPr>
          <w:rFonts w:hint="eastAsia" w:ascii="宋体" w:hAnsi="宋体" w:cs="宋体"/>
          <w:color w:val="auto"/>
          <w:sz w:val="24"/>
          <w:highlight w:val="none"/>
        </w:rPr>
      </w:pPr>
    </w:p>
    <w:p w14:paraId="39DF4D90">
      <w:pPr>
        <w:spacing w:line="360" w:lineRule="auto"/>
        <w:ind w:firstLine="549" w:firstLineChars="229"/>
        <w:rPr>
          <w:rFonts w:hint="eastAsia" w:ascii="宋体" w:hAnsi="宋体" w:cs="宋体"/>
          <w:color w:val="auto"/>
          <w:sz w:val="24"/>
          <w:highlight w:val="none"/>
        </w:rPr>
      </w:pPr>
    </w:p>
    <w:p w14:paraId="46AF6C19">
      <w:pPr>
        <w:spacing w:line="360" w:lineRule="auto"/>
        <w:ind w:firstLine="549" w:firstLineChars="229"/>
        <w:rPr>
          <w:rFonts w:hint="eastAsia" w:ascii="宋体" w:hAnsi="宋体" w:cs="宋体"/>
          <w:color w:val="auto"/>
          <w:sz w:val="24"/>
          <w:highlight w:val="none"/>
        </w:rPr>
      </w:pPr>
    </w:p>
    <w:p w14:paraId="52D2CC4E">
      <w:pPr>
        <w:spacing w:line="360" w:lineRule="auto"/>
        <w:ind w:firstLine="549" w:firstLineChars="229"/>
        <w:rPr>
          <w:rFonts w:hint="eastAsia" w:ascii="宋体" w:hAnsi="宋体" w:cs="宋体"/>
          <w:color w:val="auto"/>
          <w:sz w:val="24"/>
          <w:highlight w:val="none"/>
        </w:rPr>
      </w:pPr>
    </w:p>
    <w:p w14:paraId="7BF4A246">
      <w:pPr>
        <w:spacing w:line="360" w:lineRule="auto"/>
        <w:ind w:firstLine="549" w:firstLineChars="229"/>
        <w:rPr>
          <w:rFonts w:hint="eastAsia" w:ascii="宋体" w:hAnsi="宋体" w:cs="宋体"/>
          <w:color w:val="auto"/>
          <w:sz w:val="24"/>
          <w:highlight w:val="none"/>
        </w:rPr>
      </w:pPr>
    </w:p>
    <w:p w14:paraId="730264BE">
      <w:pPr>
        <w:spacing w:line="360" w:lineRule="auto"/>
        <w:ind w:firstLine="549" w:firstLineChars="229"/>
        <w:rPr>
          <w:rFonts w:hint="eastAsia" w:ascii="宋体" w:hAnsi="宋体" w:cs="宋体"/>
          <w:color w:val="auto"/>
          <w:sz w:val="24"/>
          <w:highlight w:val="none"/>
        </w:rPr>
      </w:pPr>
    </w:p>
    <w:p w14:paraId="3DDFBD0B">
      <w:pPr>
        <w:spacing w:line="360" w:lineRule="auto"/>
        <w:ind w:firstLine="549" w:firstLineChars="229"/>
        <w:rPr>
          <w:rFonts w:hint="eastAsia" w:ascii="宋体" w:hAnsi="宋体" w:cs="宋体"/>
          <w:color w:val="auto"/>
          <w:sz w:val="24"/>
          <w:highlight w:val="none"/>
        </w:rPr>
      </w:pPr>
    </w:p>
    <w:p w14:paraId="4B6417C0">
      <w:pPr>
        <w:spacing w:line="360" w:lineRule="auto"/>
        <w:rPr>
          <w:rFonts w:hint="eastAsia" w:ascii="宋体" w:hAnsi="宋体" w:cs="宋体"/>
          <w:color w:val="auto"/>
          <w:sz w:val="24"/>
          <w:highlight w:val="none"/>
        </w:rPr>
      </w:pPr>
    </w:p>
    <w:p w14:paraId="59F008E6">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8924BD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4F73C98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杭州市第四人民医院（杭州市肿瘤医院）迁建工程BIM技术咨询服务项目</w:t>
      </w:r>
      <w:r>
        <w:rPr>
          <w:rFonts w:hint="eastAsia" w:ascii="宋体" w:hAnsi="宋体" w:cs="宋体"/>
          <w:color w:val="auto"/>
          <w:sz w:val="24"/>
          <w:highlight w:val="none"/>
        </w:rPr>
        <w:t>招标项目的潜在</w:t>
      </w:r>
      <w:r>
        <w:rPr>
          <w:rFonts w:hint="eastAsia" w:ascii="宋体" w:hAnsi="宋体" w:cs="宋体"/>
          <w:color w:val="auto"/>
          <w:kern w:val="0"/>
          <w:sz w:val="24"/>
          <w:highlight w:val="none"/>
          <w:lang w:val="zh-CN"/>
        </w:rPr>
        <w:t>供应商</w:t>
      </w:r>
      <w:r>
        <w:rPr>
          <w:rFonts w:hint="eastAsia" w:ascii="宋体" w:hAnsi="宋体" w:cs="宋体"/>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"https://www.zcygov.cn/）获取（下载）招标文件，并于2024年9月9日14点00分00%20秒" </w:instrText>
      </w:r>
      <w:r>
        <w:rPr>
          <w:color w:val="auto"/>
          <w:highlight w:val="none"/>
        </w:rPr>
        <w:fldChar w:fldCharType="separate"/>
      </w:r>
      <w:r>
        <w:rPr>
          <w:rStyle w:val="20"/>
          <w:rFonts w:ascii="宋体" w:hAnsi="宋体" w:eastAsia="宋体" w:cs="宋体"/>
          <w:snapToGrid/>
          <w:color w:val="auto"/>
          <w:kern w:val="2"/>
          <w:sz w:val="24"/>
          <w:szCs w:val="24"/>
          <w:highlight w:val="none"/>
        </w:rPr>
        <w:t>https://www.zcygov.cn/）获取（下载）招标文件，并于202</w:t>
      </w:r>
      <w:r>
        <w:rPr>
          <w:rStyle w:val="20"/>
          <w:rFonts w:hint="eastAsia" w:ascii="宋体" w:hAnsi="宋体" w:cs="宋体"/>
          <w:snapToGrid/>
          <w:color w:val="auto"/>
          <w:kern w:val="2"/>
          <w:sz w:val="24"/>
          <w:szCs w:val="24"/>
          <w:highlight w:val="none"/>
          <w:lang w:val="en-US" w:eastAsia="zh-CN"/>
        </w:rPr>
        <w:t>5</w:t>
      </w:r>
      <w:r>
        <w:rPr>
          <w:rStyle w:val="20"/>
          <w:rFonts w:hint="eastAsia" w:ascii="宋体" w:hAnsi="宋体" w:eastAsia="宋体" w:cs="宋体"/>
          <w:snapToGrid/>
          <w:color w:val="auto"/>
          <w:kern w:val="2"/>
          <w:sz w:val="24"/>
          <w:szCs w:val="24"/>
          <w:highlight w:val="none"/>
        </w:rPr>
        <w:t>年</w:t>
      </w:r>
      <w:r>
        <w:rPr>
          <w:rStyle w:val="20"/>
          <w:rFonts w:hint="eastAsia" w:ascii="宋体" w:hAnsi="宋体" w:cs="宋体"/>
          <w:snapToGrid/>
          <w:color w:val="auto"/>
          <w:kern w:val="2"/>
          <w:sz w:val="24"/>
          <w:szCs w:val="24"/>
          <w:highlight w:val="none"/>
          <w:lang w:val="en-US" w:eastAsia="zh-CN"/>
        </w:rPr>
        <w:t>2</w:t>
      </w:r>
      <w:r>
        <w:rPr>
          <w:rStyle w:val="20"/>
          <w:rFonts w:hint="eastAsia" w:ascii="宋体" w:hAnsi="宋体" w:eastAsia="宋体" w:cs="宋体"/>
          <w:snapToGrid/>
          <w:color w:val="auto"/>
          <w:kern w:val="2"/>
          <w:sz w:val="24"/>
          <w:szCs w:val="24"/>
          <w:highlight w:val="none"/>
        </w:rPr>
        <w:t>月</w:t>
      </w:r>
      <w:r>
        <w:rPr>
          <w:rStyle w:val="20"/>
          <w:rFonts w:hint="eastAsia" w:ascii="宋体" w:hAnsi="宋体" w:cs="宋体"/>
          <w:snapToGrid/>
          <w:color w:val="auto"/>
          <w:kern w:val="2"/>
          <w:sz w:val="24"/>
          <w:szCs w:val="24"/>
          <w:highlight w:val="none"/>
          <w:lang w:val="en-US" w:eastAsia="zh-CN"/>
        </w:rPr>
        <w:t>17</w:t>
      </w:r>
      <w:r>
        <w:rPr>
          <w:rStyle w:val="20"/>
          <w:rFonts w:hint="eastAsia" w:ascii="宋体" w:hAnsi="宋体" w:eastAsia="宋体" w:cs="宋体"/>
          <w:snapToGrid/>
          <w:color w:val="auto"/>
          <w:kern w:val="2"/>
          <w:sz w:val="24"/>
          <w:szCs w:val="24"/>
          <w:highlight w:val="none"/>
        </w:rPr>
        <w:t>日</w:t>
      </w:r>
      <w:r>
        <w:rPr>
          <w:rStyle w:val="20"/>
          <w:rFonts w:hint="eastAsia" w:ascii="宋体" w:hAnsi="宋体" w:cs="宋体"/>
          <w:snapToGrid/>
          <w:color w:val="auto"/>
          <w:kern w:val="2"/>
          <w:sz w:val="24"/>
          <w:szCs w:val="24"/>
          <w:highlight w:val="none"/>
          <w:lang w:val="en-US" w:eastAsia="zh-CN"/>
        </w:rPr>
        <w:t>9</w:t>
      </w:r>
      <w:r>
        <w:rPr>
          <w:rStyle w:val="20"/>
          <w:rFonts w:hint="eastAsia" w:ascii="宋体" w:hAnsi="宋体" w:eastAsia="宋体" w:cs="宋体"/>
          <w:snapToGrid/>
          <w:color w:val="auto"/>
          <w:kern w:val="2"/>
          <w:sz w:val="24"/>
          <w:szCs w:val="24"/>
          <w:highlight w:val="none"/>
        </w:rPr>
        <w:t>点</w:t>
      </w:r>
      <w:r>
        <w:rPr>
          <w:rStyle w:val="20"/>
          <w:rFonts w:hint="eastAsia" w:ascii="宋体" w:hAnsi="宋体" w:cs="宋体"/>
          <w:snapToGrid/>
          <w:color w:val="auto"/>
          <w:kern w:val="2"/>
          <w:sz w:val="24"/>
          <w:szCs w:val="24"/>
          <w:highlight w:val="none"/>
          <w:lang w:val="en-US" w:eastAsia="zh-CN"/>
        </w:rPr>
        <w:t>30</w:t>
      </w:r>
      <w:r>
        <w:rPr>
          <w:rStyle w:val="20"/>
          <w:rFonts w:hint="eastAsia" w:ascii="宋体" w:hAnsi="宋体" w:eastAsia="宋体" w:cs="宋体"/>
          <w:snapToGrid/>
          <w:color w:val="auto"/>
          <w:kern w:val="2"/>
          <w:sz w:val="24"/>
          <w:szCs w:val="24"/>
          <w:highlight w:val="none"/>
        </w:rPr>
        <w:t>分00</w:t>
      </w:r>
      <w:r>
        <w:rPr>
          <w:rStyle w:val="20"/>
          <w:rFonts w:hint="eastAsia" w:ascii="宋体" w:hAnsi="宋体" w:cs="宋体"/>
          <w:bCs/>
          <w:snapToGrid/>
          <w:color w:val="auto"/>
          <w:kern w:val="2"/>
          <w:sz w:val="24"/>
          <w:szCs w:val="24"/>
          <w:highlight w:val="none"/>
        </w:rPr>
        <w:t xml:space="preserve"> </w:t>
      </w:r>
      <w:r>
        <w:rPr>
          <w:rStyle w:val="20"/>
          <w:rFonts w:hint="eastAsia" w:ascii="宋体" w:hAnsi="宋体" w:eastAsia="宋体" w:cs="宋体"/>
          <w:bCs/>
          <w:snapToGrid/>
          <w:color w:val="auto"/>
          <w:kern w:val="2"/>
          <w:sz w:val="24"/>
          <w:szCs w:val="24"/>
          <w:highlight w:val="none"/>
        </w:rPr>
        <w:t>秒</w:t>
      </w:r>
      <w:r>
        <w:rPr>
          <w:rStyle w:val="20"/>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807EF4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373547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CTZB-2025010383</w:t>
      </w:r>
    </w:p>
    <w:p w14:paraId="0A7BC1E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杭州市第四人民医院（杭州市肿瘤医院）迁建工程BIM技术咨询服务项目</w:t>
      </w:r>
    </w:p>
    <w:p w14:paraId="48CB8E7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2700000.00</w:t>
      </w:r>
    </w:p>
    <w:p w14:paraId="4426591B">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2700000.00</w:t>
      </w:r>
    </w:p>
    <w:p w14:paraId="0E3538C7">
      <w:pPr>
        <w:spacing w:line="360" w:lineRule="auto"/>
        <w:ind w:firstLine="482" w:firstLineChars="200"/>
        <w:rPr>
          <w:rFonts w:hint="eastAsia" w:asciiTheme="minorEastAsia" w:hAnsiTheme="minorEastAsia" w:eastAsiaTheme="minorEastAsia"/>
          <w:color w:val="auto"/>
          <w:sz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rPr>
        <w:t>杭州市第四人民医院（杭州市肿瘤医院）迁建工程BIM技术咨询服务项目，</w:t>
      </w:r>
      <w:r>
        <w:rPr>
          <w:rFonts w:hint="eastAsia" w:asciiTheme="minorEastAsia" w:hAnsiTheme="minorEastAsia" w:eastAsiaTheme="minorEastAsia"/>
          <w:color w:val="auto"/>
          <w:sz w:val="24"/>
          <w:highlight w:val="none"/>
        </w:rPr>
        <w:t>具体以招标文件“采购需求”为准，</w:t>
      </w:r>
      <w:r>
        <w:rPr>
          <w:rFonts w:hint="eastAsia" w:hAnsi="宋体" w:cs="宋体"/>
          <w:color w:val="auto"/>
          <w:kern w:val="0"/>
          <w:sz w:val="24"/>
          <w:highlight w:val="none"/>
          <w:lang w:val="zh-CN"/>
        </w:rPr>
        <w:t>供应商</w:t>
      </w:r>
      <w:r>
        <w:rPr>
          <w:rFonts w:hint="eastAsia" w:asciiTheme="minorEastAsia" w:hAnsiTheme="minorEastAsia" w:eastAsiaTheme="minorEastAsia"/>
          <w:color w:val="auto"/>
          <w:sz w:val="24"/>
          <w:highlight w:val="none"/>
        </w:rPr>
        <w:t>可点击本公告下方“浏览采购文件”查看采购需求。</w:t>
      </w:r>
    </w:p>
    <w:p w14:paraId="2ACFE736">
      <w:pPr>
        <w:spacing w:line="360" w:lineRule="auto"/>
        <w:ind w:firstLine="482" w:firstLineChars="200"/>
        <w:jc w:val="left"/>
        <w:rPr>
          <w:rFonts w:hint="eastAsia" w:ascii="宋体" w:hAnsi="宋体" w:cs="仿宋_GB2312"/>
          <w:color w:val="auto"/>
          <w:sz w:val="24"/>
          <w:highlight w:val="none"/>
        </w:rPr>
      </w:pPr>
      <w:r>
        <w:rPr>
          <w:rFonts w:hint="eastAsia" w:hAnsi="宋体" w:cs="宋体"/>
          <w:b/>
          <w:color w:val="auto"/>
          <w:sz w:val="24"/>
          <w:szCs w:val="18"/>
          <w:highlight w:val="none"/>
        </w:rPr>
        <w:t>合同履约期限：</w:t>
      </w:r>
      <w:r>
        <w:rPr>
          <w:rFonts w:hint="eastAsia" w:hAnsi="宋体" w:cs="宋体"/>
          <w:color w:val="auto"/>
          <w:sz w:val="24"/>
          <w:highlight w:val="none"/>
        </w:rPr>
        <w:t>详见采购文件要求</w:t>
      </w:r>
      <w:r>
        <w:rPr>
          <w:rFonts w:hint="eastAsia" w:hAnsi="宋体" w:cs="宋体"/>
          <w:color w:val="auto"/>
          <w:sz w:val="24"/>
          <w:highlight w:val="none"/>
          <w:lang w:val="zh-CN"/>
        </w:rPr>
        <w:t>。</w:t>
      </w:r>
    </w:p>
    <w:p w14:paraId="04E5CFF2">
      <w:pPr>
        <w:pStyle w:val="6"/>
        <w:spacing w:line="360" w:lineRule="auto"/>
        <w:ind w:firstLine="480"/>
        <w:rPr>
          <w:rFonts w:hint="eastAsia" w:hAnsi="宋体" w:cs="宋体"/>
          <w:b/>
          <w:bCs/>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MS Gothic" w:cs="宋体"/>
              <w:color w:val="auto"/>
              <w:kern w:val="0"/>
              <w:sz w:val="24"/>
              <w:highlight w:val="none"/>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F673BC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366CF1FF">
      <w:pPr>
        <w:spacing w:line="360" w:lineRule="auto"/>
        <w:ind w:firstLine="480"/>
        <w:rPr>
          <w:rFonts w:hint="eastAsia" w:ascii="宋体" w:hAnsi="宋体" w:cs="宋体"/>
          <w:snapToGrid w:val="0"/>
          <w:color w:val="auto"/>
          <w:kern w:val="28"/>
          <w:sz w:val="24"/>
          <w:szCs w:val="20"/>
          <w:highlight w:val="none"/>
        </w:rPr>
      </w:pPr>
      <w:bookmarkStart w:id="11" w:name="_Hlk161174625"/>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C8CA02D">
      <w:pPr>
        <w:spacing w:line="360" w:lineRule="auto"/>
        <w:ind w:firstLine="480" w:firstLineChars="200"/>
        <w:rPr>
          <w:rFonts w:ascii="Segoe UI Symbol" w:hAnsi="Segoe UI Symbol" w:cs="Segoe UI Symbol"/>
          <w:color w:val="auto"/>
          <w:sz w:val="24"/>
          <w:highlight w:val="none"/>
        </w:rPr>
      </w:pPr>
      <w:r>
        <w:rPr>
          <w:rFonts w:hint="eastAsia" w:ascii="宋体" w:hAnsi="宋体" w:cs="宋体"/>
          <w:snapToGrid w:val="0"/>
          <w:color w:val="auto"/>
          <w:kern w:val="28"/>
          <w:sz w:val="24"/>
          <w:highlight w:val="none"/>
        </w:rPr>
        <w:t>2.落实政府采购政策需满足的资格要求：</w:t>
      </w:r>
    </w:p>
    <w:p w14:paraId="09E99E57">
      <w:pPr>
        <w:spacing w:line="360" w:lineRule="auto"/>
        <w:ind w:firstLine="480" w:firstLineChars="200"/>
        <w:rPr>
          <w:rFonts w:hint="eastAsia" w:ascii="宋体" w:hAnsi="宋体" w:cs="宋体"/>
          <w:color w:val="auto"/>
          <w:sz w:val="24"/>
          <w:highlight w:val="none"/>
        </w:rPr>
      </w:pPr>
      <w:r>
        <w:rPr>
          <w:rFonts w:ascii="Segoe UI Symbol" w:hAnsi="Segoe UI Symbol" w:cs="Segoe UI Symbol"/>
          <w:color w:val="auto"/>
          <w:sz w:val="24"/>
          <w:highlight w:val="none"/>
        </w:rPr>
        <w:sym w:font="Wingdings" w:char="00A8"/>
      </w:r>
      <w:r>
        <w:rPr>
          <w:rFonts w:hint="eastAsia" w:ascii="宋体" w:hAnsi="宋体" w:cs="宋体"/>
          <w:color w:val="auto"/>
          <w:sz w:val="24"/>
          <w:highlight w:val="none"/>
        </w:rPr>
        <w:t>无；</w:t>
      </w:r>
    </w:p>
    <w:p w14:paraId="626C27BA">
      <w:pPr>
        <w:spacing w:line="360" w:lineRule="auto"/>
        <w:ind w:firstLine="480" w:firstLineChars="200"/>
        <w:rPr>
          <w:rFonts w:hint="eastAsia" w:ascii="宋体" w:hAnsi="宋体" w:cs="宋体"/>
          <w:color w:val="auto"/>
          <w:sz w:val="24"/>
          <w:highlight w:val="none"/>
        </w:rPr>
      </w:pPr>
      <w:r>
        <w:rPr>
          <w:rFonts w:ascii="Segoe UI Symbol" w:hAnsi="Segoe UI Symbol" w:cs="Segoe UI Symbol"/>
          <w:color w:val="auto"/>
          <w:sz w:val="24"/>
          <w:highlight w:val="none"/>
        </w:rPr>
        <w:sym w:font="Wingdings" w:char="00FE"/>
      </w:r>
      <w:r>
        <w:rPr>
          <w:rFonts w:hint="eastAsia" w:ascii="宋体" w:hAnsi="宋体" w:cs="宋体"/>
          <w:color w:val="auto"/>
          <w:sz w:val="24"/>
          <w:highlight w:val="none"/>
        </w:rPr>
        <w:t>专门面向中小企业</w:t>
      </w:r>
    </w:p>
    <w:p w14:paraId="6A3CE648">
      <w:pPr>
        <w:spacing w:line="360" w:lineRule="auto"/>
        <w:ind w:firstLine="720" w:firstLineChars="300"/>
        <w:rPr>
          <w:rFonts w:hint="eastAsia" w:ascii="宋体" w:hAnsi="宋体" w:cs="宋体"/>
          <w:color w:val="auto"/>
          <w:sz w:val="24"/>
          <w:highlight w:val="none"/>
        </w:rPr>
      </w:pPr>
      <w:r>
        <w:rPr>
          <w:rFonts w:ascii="Segoe UI Symbol" w:hAnsi="Segoe UI Symbol" w:cs="Segoe UI Symbol"/>
          <w:color w:val="auto"/>
          <w:sz w:val="24"/>
          <w:highlight w:val="none"/>
        </w:rPr>
        <w:sym w:font="Wingdings" w:char="00FE"/>
      </w:r>
      <w:r>
        <w:rPr>
          <w:rFonts w:hint="eastAsia" w:ascii="宋体" w:hAnsi="宋体" w:cs="宋体"/>
          <w:color w:val="auto"/>
          <w:sz w:val="24"/>
          <w:highlight w:val="none"/>
        </w:rPr>
        <w:t>服务全部由符合政策要求的中小企业承接，提供中小企业声明函；</w:t>
      </w:r>
    </w:p>
    <w:p w14:paraId="3D5B3E95">
      <w:pPr>
        <w:spacing w:line="360" w:lineRule="auto"/>
        <w:ind w:firstLine="720" w:firstLineChars="300"/>
        <w:rPr>
          <w:rFonts w:hint="eastAsia" w:ascii="宋体" w:hAnsi="宋体" w:cs="宋体"/>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服务全部由符合政策要求的小微企业承接，提供中小企业声明函；</w:t>
      </w:r>
    </w:p>
    <w:p w14:paraId="707CBF94">
      <w:pPr>
        <w:spacing w:line="360" w:lineRule="auto"/>
        <w:ind w:firstLine="480" w:firstLineChars="200"/>
        <w:rPr>
          <w:rFonts w:hint="eastAsia" w:ascii="宋体" w:hAnsi="宋体" w:cs="宋体"/>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要求以联合体形式参加，提供联合协议和中小企业声明函，联合协议中要求小微企业合同金额应当达到</w:t>
      </w:r>
      <w:r>
        <w:rPr>
          <w:rFonts w:ascii="宋体" w:hAnsi="宋体" w:cs="宋体"/>
          <w:color w:val="auto"/>
          <w:sz w:val="24"/>
          <w:highlight w:val="none"/>
        </w:rPr>
        <w:t xml:space="preserve">  %;</w:t>
      </w:r>
      <w:r>
        <w:rPr>
          <w:rFonts w:hint="eastAsia" w:ascii="宋体" w:hAnsi="宋体" w:cs="宋体"/>
          <w:color w:val="auto"/>
          <w:sz w:val="24"/>
          <w:highlight w:val="none"/>
        </w:rPr>
        <w:t>如果供应商本身提供所有标的均由小微企业制造、承建或承接，视同符合了资格条件，无需再与其他企业组成联合体参加政府采购活动，无需提供联合协议；</w:t>
      </w:r>
    </w:p>
    <w:p w14:paraId="7CCE8EB7">
      <w:pPr>
        <w:spacing w:line="360" w:lineRule="auto"/>
        <w:ind w:firstLine="480" w:firstLineChars="200"/>
        <w:rPr>
          <w:rFonts w:hint="eastAsia" w:ascii="宋体" w:hAnsi="宋体" w:cs="宋体"/>
          <w:color w:val="auto"/>
          <w:spacing w:val="8"/>
          <w:kern w:val="0"/>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ascii="宋体" w:hAnsi="宋体" w:cs="宋体"/>
          <w:color w:val="auto"/>
          <w:sz w:val="24"/>
          <w:highlight w:val="none"/>
        </w:rPr>
        <w:t xml:space="preserve">  % </w:t>
      </w:r>
      <w:r>
        <w:rPr>
          <w:rFonts w:hint="eastAsia" w:ascii="宋体" w:hAnsi="宋体" w:cs="宋体"/>
          <w:color w:val="auto"/>
          <w:sz w:val="24"/>
          <w:highlight w:val="none"/>
        </w:rPr>
        <w:t>，小微企业合同金额应当达到</w:t>
      </w:r>
      <w:r>
        <w:rPr>
          <w:rFonts w:ascii="宋体" w:hAnsi="宋体" w:cs="宋体"/>
          <w:color w:val="auto"/>
          <w:sz w:val="24"/>
          <w:highlight w:val="none"/>
        </w:rPr>
        <w:t xml:space="preserve"> % ;</w:t>
      </w:r>
      <w:r>
        <w:rPr>
          <w:rFonts w:hint="eastAsia" w:ascii="宋体" w:hAnsi="宋体" w:cs="宋体"/>
          <w:color w:val="auto"/>
          <w:sz w:val="24"/>
          <w:highlight w:val="none"/>
        </w:rPr>
        <w:t>如果供应商本身提供所有标的均由中小企业制造、承建或承接，视同符合了资格条件，无需再向中小企业分包，无需提供分包意向协议；</w:t>
      </w:r>
    </w:p>
    <w:p w14:paraId="1B460FB9">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bookmarkEnd w:id="11"/>
    <w:p w14:paraId="69D5EED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F37B41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705EE3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98F9AF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539461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143591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FBEAF8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160FA3B">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06C7826">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rPr>
        <w:t xml:space="preserve"> ； </w:t>
      </w:r>
    </w:p>
    <w:p w14:paraId="7C4A094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F53E012">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bookmarkStart w:id="414" w:name="_GoBack"/>
      <w:bookmarkEnd w:id="414"/>
    </w:p>
    <w:p w14:paraId="0FC7F5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0534065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37E4B4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BDBBB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B300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187A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4B2D01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189EF6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（2）需要落实的政府采购政策：包括节约资源、保护环境、支持创新、促进中小企业发展等。详见招标文件的第二部分总则。</w:t>
      </w:r>
    </w:p>
    <w:p w14:paraId="25642B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（3）电子招投标的说明：</w:t>
      </w:r>
    </w:p>
    <w:p w14:paraId="0EE794E5">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①电子招投标：本项目以数据电文形式，依托“政府采购云平台（www.zcygov.cn）”进行招投标活动，不接受纸质投标文件；</w:t>
      </w:r>
    </w:p>
    <w:p w14:paraId="6547D268">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0F5FC8FC">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③招标文件的获取：使用账号登录或者使用CA登录政采云平台；进入“项目采购”应用，在获取采购文件菜单中选择项目，获取招标文件；</w:t>
      </w:r>
    </w:p>
    <w:p w14:paraId="68AE1FEB">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④投标文件的制作：在“政采云电子交易客户端”中完成“填写基本信息”、“导入投标文件”、“标书关联”、“标书检查”、“电子签名”、“生成电子标书”等操作；</w:t>
      </w:r>
    </w:p>
    <w:p w14:paraId="7B0B794C">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⑤采购人、采购代理机构将依托政采云平台完成本项目的电子交易活动，平台不接受未按上述方式获取招标文件的供应商进行投标活动；</w:t>
      </w:r>
    </w:p>
    <w:p w14:paraId="02394D47">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⑥对未按上述方式获取招标文件的供应商对该文件提出的质疑，采购人或采购代理机构将不予处理；</w:t>
      </w:r>
    </w:p>
    <w:p w14:paraId="6B564939">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⑦不提供招标文件纸质版；</w:t>
      </w:r>
    </w:p>
    <w:p w14:paraId="684404E5">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147CB968">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0FE19A0F">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5CDFEB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（4）招标文件公告期限与招标公告的公告期限一致。</w:t>
      </w:r>
    </w:p>
    <w:p w14:paraId="1560DE2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0367E1E">
      <w:pPr>
        <w:spacing w:line="360" w:lineRule="auto"/>
        <w:ind w:firstLine="482" w:firstLineChars="200"/>
        <w:rPr>
          <w:rFonts w:hint="eastAsia" w:cs="宋体" w:asciiTheme="majorEastAsia" w:hAnsiTheme="majorEastAsia" w:eastAsiaTheme="majorEastAsia"/>
          <w:b/>
          <w:bCs/>
          <w:color w:val="auto"/>
          <w:sz w:val="24"/>
          <w:highlight w:val="none"/>
        </w:rPr>
      </w:pPr>
      <w:bookmarkStart w:id="12" w:name="_Toc28359096"/>
      <w:bookmarkStart w:id="13" w:name="_Toc35393637"/>
      <w:bookmarkStart w:id="14" w:name="_Toc28359019"/>
      <w:bookmarkStart w:id="15" w:name="_Toc35393806"/>
      <w:r>
        <w:rPr>
          <w:rFonts w:hint="eastAsia" w:cs="宋体" w:asciiTheme="majorEastAsia" w:hAnsiTheme="majorEastAsia" w:eastAsiaTheme="majorEastAsia"/>
          <w:b/>
          <w:bCs/>
          <w:color w:val="auto"/>
          <w:sz w:val="24"/>
          <w:highlight w:val="none"/>
        </w:rPr>
        <w:t>1.采购人信息</w:t>
      </w:r>
      <w:bookmarkEnd w:id="12"/>
      <w:bookmarkEnd w:id="13"/>
      <w:bookmarkEnd w:id="14"/>
      <w:bookmarkEnd w:id="15"/>
      <w:r>
        <w:rPr>
          <w:rFonts w:hint="eastAsia" w:cs="宋体" w:asciiTheme="majorEastAsia" w:hAnsiTheme="majorEastAsia" w:eastAsiaTheme="majorEastAsia"/>
          <w:b/>
          <w:bCs/>
          <w:color w:val="auto"/>
          <w:sz w:val="24"/>
          <w:highlight w:val="none"/>
        </w:rPr>
        <w:t>：</w:t>
      </w:r>
      <w:r>
        <w:rPr>
          <w:rFonts w:cs="宋体" w:asciiTheme="majorEastAsia" w:hAnsiTheme="majorEastAsia" w:eastAsiaTheme="majorEastAsia"/>
          <w:b/>
          <w:bCs/>
          <w:color w:val="auto"/>
          <w:sz w:val="24"/>
          <w:highlight w:val="none"/>
        </w:rPr>
        <w:t xml:space="preserve"> </w:t>
      </w:r>
    </w:p>
    <w:p w14:paraId="05910E7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w:t>
      </w:r>
      <w:r>
        <w:rPr>
          <w:rFonts w:ascii="宋体" w:hAnsi="宋体"/>
          <w:color w:val="auto"/>
          <w:sz w:val="24"/>
          <w:highlight w:val="none"/>
        </w:rPr>
        <w:t xml:space="preserve">    </w:t>
      </w:r>
      <w:r>
        <w:rPr>
          <w:rFonts w:hint="eastAsia" w:ascii="宋体" w:hAnsi="宋体"/>
          <w:color w:val="auto"/>
          <w:sz w:val="24"/>
          <w:highlight w:val="none"/>
        </w:rPr>
        <w:t>称：</w:t>
      </w:r>
      <w:r>
        <w:rPr>
          <w:rFonts w:hint="eastAsia" w:ascii="宋体" w:hAnsi="宋体" w:cs="宋体"/>
          <w:color w:val="auto"/>
          <w:sz w:val="24"/>
          <w:highlight w:val="none"/>
        </w:rPr>
        <w:t>杭州市卫生健康事业发展中心</w:t>
      </w:r>
    </w:p>
    <w:p w14:paraId="28E54666">
      <w:pPr>
        <w:spacing w:line="360" w:lineRule="auto"/>
        <w:rPr>
          <w:rFonts w:hint="eastAsia" w:ascii="宋体" w:hAnsi="宋体"/>
          <w:color w:val="auto"/>
          <w:sz w:val="24"/>
          <w:highlight w:val="none"/>
        </w:rPr>
      </w:pPr>
      <w:r>
        <w:rPr>
          <w:rFonts w:hint="eastAsia" w:ascii="宋体" w:hAnsi="宋体"/>
          <w:color w:val="auto"/>
          <w:sz w:val="24"/>
          <w:highlight w:val="none"/>
        </w:rPr>
        <w:t xml:space="preserve">    地    址：</w:t>
      </w:r>
      <w:r>
        <w:rPr>
          <w:rFonts w:hint="eastAsia" w:ascii="宋体" w:hAnsi="宋体" w:cs="宋体"/>
          <w:color w:val="auto"/>
          <w:sz w:val="24"/>
          <w:highlight w:val="none"/>
        </w:rPr>
        <w:t xml:space="preserve">杭州市开元路70号  </w:t>
      </w:r>
    </w:p>
    <w:p w14:paraId="7ECA75FE">
      <w:pPr>
        <w:spacing w:line="360" w:lineRule="auto"/>
        <w:ind w:firstLine="480" w:firstLineChars="200"/>
        <w:rPr>
          <w:rFonts w:hint="eastAsia" w:ascii="宋体" w:hAnsi="宋体"/>
          <w:color w:val="auto"/>
          <w:highlight w:val="none"/>
        </w:rPr>
      </w:pPr>
      <w:r>
        <w:rPr>
          <w:rFonts w:hint="eastAsia" w:ascii="宋体" w:hAnsi="宋体"/>
          <w:color w:val="auto"/>
          <w:sz w:val="24"/>
          <w:highlight w:val="none"/>
        </w:rPr>
        <w:t>传    真：/</w:t>
      </w:r>
    </w:p>
    <w:p w14:paraId="381D814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项目联系人（询问）：卢工 </w:t>
      </w:r>
      <w:r>
        <w:rPr>
          <w:rFonts w:hint="eastAsia" w:ascii="宋体" w:hAnsi="宋体" w:cs="仿宋"/>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14:paraId="5EF5E30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项目联系方式（询问）：</w:t>
      </w:r>
      <w:r>
        <w:rPr>
          <w:rFonts w:hint="eastAsia" w:ascii="宋体" w:hAnsi="宋体" w:cs="宋体"/>
          <w:color w:val="auto"/>
          <w:sz w:val="24"/>
          <w:highlight w:val="none"/>
        </w:rPr>
        <w:t>0571-87089826</w:t>
      </w:r>
      <w:r>
        <w:rPr>
          <w:rFonts w:hint="eastAsia" w:ascii="宋体" w:hAnsi="宋体" w:cs="仿宋"/>
          <w:color w:val="auto"/>
          <w:sz w:val="24"/>
          <w:highlight w:val="none"/>
        </w:rPr>
        <w:t xml:space="preserve">  </w:t>
      </w:r>
      <w:r>
        <w:rPr>
          <w:rFonts w:ascii="宋体" w:hAnsi="宋体"/>
          <w:color w:val="auto"/>
          <w:sz w:val="24"/>
          <w:highlight w:val="none"/>
        </w:rPr>
        <w:t xml:space="preserve">           </w:t>
      </w:r>
    </w:p>
    <w:p w14:paraId="1A125F2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质疑联系人：沈工 </w:t>
      </w:r>
      <w:r>
        <w:rPr>
          <w:rFonts w:hint="eastAsia" w:ascii="宋体" w:hAnsi="宋体" w:cs="仿宋"/>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14:paraId="4DD92113">
      <w:pPr>
        <w:spacing w:line="360" w:lineRule="auto"/>
        <w:ind w:firstLine="480" w:firstLineChars="200"/>
        <w:rPr>
          <w:rFonts w:hint="eastAsia" w:asciiTheme="majorEastAsia" w:hAnsiTheme="majorEastAsia" w:eastAsiaTheme="majorEastAsia"/>
          <w:color w:val="auto"/>
          <w:sz w:val="24"/>
          <w:highlight w:val="none"/>
        </w:rPr>
      </w:pPr>
      <w:r>
        <w:rPr>
          <w:rFonts w:hint="eastAsia" w:ascii="宋体" w:hAnsi="宋体"/>
          <w:color w:val="auto"/>
          <w:sz w:val="24"/>
          <w:highlight w:val="none"/>
        </w:rPr>
        <w:t>质疑联系方式：</w:t>
      </w:r>
      <w:r>
        <w:rPr>
          <w:rFonts w:hint="eastAsia" w:ascii="宋体" w:hAnsi="宋体" w:cs="宋体"/>
          <w:color w:val="auto"/>
          <w:sz w:val="24"/>
          <w:highlight w:val="none"/>
        </w:rPr>
        <w:t xml:space="preserve">0571-87012056   </w:t>
      </w:r>
      <w:r>
        <w:rPr>
          <w:rFonts w:asciiTheme="majorEastAsia" w:hAnsiTheme="majorEastAsia" w:eastAsiaTheme="majorEastAsia"/>
          <w:color w:val="auto"/>
          <w:sz w:val="24"/>
          <w:highlight w:val="none"/>
        </w:rPr>
        <w:t xml:space="preserve"> </w:t>
      </w:r>
    </w:p>
    <w:p w14:paraId="1DD6C1CD">
      <w:pPr>
        <w:spacing w:line="360" w:lineRule="auto"/>
        <w:ind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（请通过以下路径在线提起质疑：政采云-项目采购-询问质疑投诉-质疑列表）</w:t>
      </w:r>
      <w:r>
        <w:rPr>
          <w:rFonts w:asciiTheme="majorEastAsia" w:hAnsiTheme="majorEastAsia" w:eastAsiaTheme="majorEastAsia"/>
          <w:color w:val="auto"/>
          <w:sz w:val="24"/>
          <w:highlight w:val="none"/>
        </w:rPr>
        <w:t xml:space="preserve"> </w:t>
      </w:r>
      <w:r>
        <w:rPr>
          <w:rFonts w:hint="eastAsia" w:asciiTheme="majorEastAsia" w:hAnsiTheme="majorEastAsia" w:eastAsiaTheme="majorEastAsia"/>
          <w:color w:val="auto"/>
          <w:sz w:val="24"/>
          <w:highlight w:val="none"/>
        </w:rPr>
        <w:t xml:space="preserve"> </w:t>
      </w:r>
    </w:p>
    <w:p w14:paraId="52D59E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14:paraId="682F7EB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称：浙江省成套招标代理有限公司</w:t>
      </w:r>
    </w:p>
    <w:p w14:paraId="011C9B2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    址：杭州市文晖路42号现代置业大厦西楼1806室 </w:t>
      </w:r>
    </w:p>
    <w:p w14:paraId="4179FAB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项目联系人（询问）：姚澎涛         </w:t>
      </w:r>
    </w:p>
    <w:p w14:paraId="7F952C5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项目联系方式（询问）：0571-87631165  13757108343 </w:t>
      </w:r>
    </w:p>
    <w:p w14:paraId="18D3827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质疑联系人：冯东东             </w:t>
      </w:r>
    </w:p>
    <w:p w14:paraId="0541D0C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质疑联系方式：0571-85331293 </w:t>
      </w:r>
    </w:p>
    <w:p w14:paraId="48F2195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（请通过以下路径在线提起质疑：政采云-项目采购-询问质疑投诉-质疑列表）</w:t>
      </w:r>
    </w:p>
    <w:p w14:paraId="0AC2CB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E168BE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720215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传    真： /</w:t>
      </w:r>
    </w:p>
    <w:p w14:paraId="54F90D7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1862887">
      <w:pPr>
        <w:pStyle w:val="13"/>
        <w:rPr>
          <w:rFonts w:hint="eastAsia" w:cs="宋体"/>
          <w:color w:val="auto"/>
          <w:highlight w:val="none"/>
        </w:rPr>
      </w:pPr>
      <w:r>
        <w:rPr>
          <w:rFonts w:hint="eastAsia" w:cs="宋体"/>
          <w:color w:val="auto"/>
          <w:highlight w:val="none"/>
        </w:rPr>
        <w:t>监督投诉电话：电话：</w:t>
      </w:r>
      <w:r>
        <w:rPr>
          <w:rFonts w:hint="eastAsia" w:cs="宋体"/>
          <w:color w:val="auto"/>
          <w:kern w:val="2"/>
          <w:highlight w:val="none"/>
        </w:rPr>
        <w:t xml:space="preserve">0571-87227671,0571-87800218 </w:t>
      </w:r>
      <w:r>
        <w:rPr>
          <w:rFonts w:hint="eastAsia" w:cs="宋体"/>
          <w:color w:val="auto"/>
          <w:highlight w:val="none"/>
        </w:rPr>
        <w:t xml:space="preserve">  </w:t>
      </w:r>
    </w:p>
    <w:p w14:paraId="42CDB9E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6960C9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12D67BF">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14:paraId="05F1EE45">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D4E856A">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0D9D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rPr>
        <w:tc>
          <w:tcPr>
            <w:tcW w:w="629" w:type="dxa"/>
            <w:tcBorders>
              <w:top w:val="single" w:color="auto" w:sz="4" w:space="0"/>
              <w:left w:val="single" w:color="auto" w:sz="4" w:space="0"/>
              <w:bottom w:val="single" w:color="auto" w:sz="4" w:space="0"/>
              <w:right w:val="single" w:color="auto" w:sz="4" w:space="0"/>
            </w:tcBorders>
          </w:tcPr>
          <w:p w14:paraId="3860FDC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F3FBE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A13B37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64691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59" w:hRule="atLeast"/>
        </w:trPr>
        <w:tc>
          <w:tcPr>
            <w:tcW w:w="629" w:type="dxa"/>
            <w:tcBorders>
              <w:top w:val="single" w:color="auto" w:sz="4" w:space="0"/>
              <w:left w:val="single" w:color="auto" w:sz="4" w:space="0"/>
              <w:bottom w:val="single" w:color="auto" w:sz="4" w:space="0"/>
              <w:right w:val="single" w:color="auto" w:sz="4" w:space="0"/>
            </w:tcBorders>
            <w:vAlign w:val="center"/>
          </w:tcPr>
          <w:p w14:paraId="00E2E67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BB0B9C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5D2D6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65F9E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3" w:hRule="atLeast"/>
        </w:trPr>
        <w:tc>
          <w:tcPr>
            <w:tcW w:w="629" w:type="dxa"/>
            <w:tcBorders>
              <w:top w:val="single" w:color="auto" w:sz="4" w:space="0"/>
              <w:left w:val="single" w:color="auto" w:sz="4" w:space="0"/>
              <w:bottom w:val="single" w:color="auto" w:sz="4" w:space="0"/>
              <w:right w:val="single" w:color="auto" w:sz="4" w:space="0"/>
            </w:tcBorders>
            <w:vAlign w:val="center"/>
          </w:tcPr>
          <w:p w14:paraId="2FED0A8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3BA3C8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AB1E70F">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杭州市第四人民医院（杭州市肿瘤医院）迁建工程BIM技术咨询服务项目</w:t>
            </w:r>
            <w:r>
              <w:rPr>
                <w:rFonts w:hint="eastAsia" w:ascii="宋体" w:hAnsi="宋体" w:cs="宋体"/>
                <w:color w:val="auto"/>
                <w:kern w:val="0"/>
                <w:sz w:val="24"/>
                <w:highlight w:val="none"/>
              </w:rPr>
              <w:t>，属于</w:t>
            </w:r>
            <w:bookmarkStart w:id="16" w:name="_Hlk170651175"/>
            <w:r>
              <w:rPr>
                <w:rFonts w:hint="eastAsia" w:ascii="宋体" w:hAnsi="宋体" w:cs="宋体"/>
                <w:color w:val="auto"/>
                <w:kern w:val="0"/>
                <w:sz w:val="24"/>
                <w:highlight w:val="none"/>
                <w:u w:val="single"/>
              </w:rPr>
              <w:t>软件和信息技术服务</w:t>
            </w:r>
            <w:bookmarkEnd w:id="16"/>
            <w:r>
              <w:rPr>
                <w:rFonts w:hint="eastAsia" w:ascii="宋体" w:hAnsi="宋体" w:cs="宋体"/>
                <w:color w:val="auto"/>
                <w:kern w:val="0"/>
                <w:sz w:val="24"/>
                <w:highlight w:val="none"/>
              </w:rPr>
              <w:t>行业；</w:t>
            </w:r>
          </w:p>
        </w:tc>
      </w:tr>
      <w:tr w14:paraId="1FD8F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53" w:hRule="atLeast"/>
        </w:trPr>
        <w:tc>
          <w:tcPr>
            <w:tcW w:w="629" w:type="dxa"/>
            <w:tcBorders>
              <w:top w:val="single" w:color="auto" w:sz="4" w:space="0"/>
              <w:left w:val="single" w:color="auto" w:sz="4" w:space="0"/>
              <w:bottom w:val="single" w:color="auto" w:sz="4" w:space="0"/>
              <w:right w:val="single" w:color="auto" w:sz="4" w:space="0"/>
            </w:tcBorders>
            <w:vAlign w:val="center"/>
          </w:tcPr>
          <w:p w14:paraId="3FC347C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1A4657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AD67D5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本项目不允许采购进口产品。</w:t>
            </w:r>
          </w:p>
          <w:p w14:paraId="719297DD">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r>
              <w:rPr>
                <w:rFonts w:ascii="宋体" w:hAnsi="宋体" w:cs="宋体"/>
                <w:color w:val="auto"/>
                <w:kern w:val="0"/>
                <w:sz w:val="24"/>
                <w:highlight w:val="none"/>
              </w:rPr>
              <w:br w:type="textWrapping"/>
            </w:r>
            <w:sdt>
              <w:sdtPr>
                <w:rPr>
                  <w:rFonts w:hint="eastAsia" w:ascii="宋体" w:hAnsi="宋体" w:cs="宋体"/>
                  <w:color w:val="auto"/>
                  <w:kern w:val="0"/>
                  <w:sz w:val="24"/>
                  <w:highlight w:val="none"/>
                </w:rPr>
                <w:id w:val="-149009002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本项目不适用。</w:t>
            </w:r>
          </w:p>
        </w:tc>
      </w:tr>
      <w:tr w14:paraId="4F360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6218DFE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F51C128">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C167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资料整理</w:t>
            </w:r>
            <w:r>
              <w:rPr>
                <w:rFonts w:hint="eastAsia" w:ascii="宋体" w:hAnsi="宋体" w:cs="宋体"/>
                <w:color w:val="auto"/>
                <w:sz w:val="24"/>
                <w:highlight w:val="none"/>
              </w:rPr>
              <w:t>工作分包。</w:t>
            </w:r>
          </w:p>
          <w:p w14:paraId="03A7961A">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7428E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675121F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E91038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C423DF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45035B3">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2967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6173ACB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DB67C2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CC554BB">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9507A1A">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B要求提供，</w:t>
            </w:r>
          </w:p>
          <w:p w14:paraId="2F690E10">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C4D54C0">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DB93AE4">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6152174">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3B15D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653085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A73ABE7">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FF36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2" w:hRule="atLeast"/>
        </w:trPr>
        <w:tc>
          <w:tcPr>
            <w:tcW w:w="629" w:type="dxa"/>
            <w:tcBorders>
              <w:top w:val="single" w:color="auto" w:sz="4" w:space="0"/>
              <w:left w:val="single" w:color="auto" w:sz="4" w:space="0"/>
              <w:bottom w:val="single" w:color="auto" w:sz="4" w:space="0"/>
              <w:right w:val="single" w:color="auto" w:sz="4" w:space="0"/>
            </w:tcBorders>
            <w:vAlign w:val="center"/>
          </w:tcPr>
          <w:p w14:paraId="42344F6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BD75F76">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076166C">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宋体" w:hAnsi="宋体" w:cs="Segoe UI Symbol"/>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D46FE16">
            <w:pPr>
              <w:snapToGrid w:val="0"/>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B组织。</w:t>
            </w:r>
          </w:p>
          <w:p w14:paraId="778E451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人。讲解演示结束后按要求解答评标委员会提问。</w:t>
            </w:r>
          </w:p>
          <w:p w14:paraId="27FD7EE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2FA9EB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3A7A5C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，讲解演示所用图形处理器等设备由投标人自备。现场讲解演示人员进场时提供讲解人员名单（加盖公章或授权代表签名）及身份证明，否则不得讲解演示。</w:t>
            </w:r>
          </w:p>
          <w:p w14:paraId="719082B6">
            <w:pPr>
              <w:pStyle w:val="23"/>
              <w:spacing w:line="360" w:lineRule="auto"/>
              <w:ind w:firstLine="0" w:firstLineChars="0"/>
              <w:rPr>
                <w:rFonts w:hint="eastAsia" w:ascii="宋体" w:hAnsi="宋体" w:eastAsia="宋体"/>
                <w:color w:val="auto"/>
                <w:sz w:val="24"/>
                <w:highlight w:val="none"/>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ACC8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61" w:hRule="atLeast"/>
        </w:trPr>
        <w:tc>
          <w:tcPr>
            <w:tcW w:w="629" w:type="dxa"/>
            <w:vMerge w:val="restart"/>
            <w:tcBorders>
              <w:top w:val="single" w:color="auto" w:sz="4" w:space="0"/>
              <w:left w:val="single" w:color="auto" w:sz="4" w:space="0"/>
              <w:right w:val="single" w:color="auto" w:sz="4" w:space="0"/>
            </w:tcBorders>
            <w:vAlign w:val="center"/>
          </w:tcPr>
          <w:p w14:paraId="47BA67B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5298A4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5AACBD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45ACF38">
            <w:pPr>
              <w:spacing w:line="360" w:lineRule="auto"/>
              <w:rPr>
                <w:rFonts w:hint="eastAsia" w:ascii="宋体" w:hAnsi="宋体" w:cs="宋体"/>
                <w:snapToGrid w:val="0"/>
                <w:color w:val="auto"/>
                <w:kern w:val="0"/>
                <w:sz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F7F2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31" w:hRule="atLeast"/>
        </w:trPr>
        <w:tc>
          <w:tcPr>
            <w:tcW w:w="629" w:type="dxa"/>
            <w:vMerge w:val="continue"/>
            <w:tcBorders>
              <w:left w:val="single" w:color="auto" w:sz="4" w:space="0"/>
              <w:bottom w:val="single" w:color="auto" w:sz="4" w:space="0"/>
              <w:right w:val="single" w:color="auto" w:sz="4" w:space="0"/>
            </w:tcBorders>
          </w:tcPr>
          <w:p w14:paraId="739FC178">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2CE0B88">
            <w:pPr>
              <w:snapToGrid w:val="0"/>
              <w:spacing w:line="360" w:lineRule="auto"/>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59D52D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F88D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C80777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774595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94262A">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D867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0D21B0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764F45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6FEFBBB">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F0C2973">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09EE5A4">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ADC7547">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68C278C">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69D5E386">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8B8D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76" w:hRule="atLeast"/>
        </w:trPr>
        <w:tc>
          <w:tcPr>
            <w:tcW w:w="629" w:type="dxa"/>
            <w:tcBorders>
              <w:top w:val="single" w:color="auto" w:sz="4" w:space="0"/>
              <w:left w:val="single" w:color="000000" w:sz="8" w:space="0"/>
              <w:right w:val="single" w:color="000000" w:sz="2" w:space="0"/>
            </w:tcBorders>
            <w:vAlign w:val="center"/>
          </w:tcPr>
          <w:p w14:paraId="3AC2F08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39245D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D8EC217">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523C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6FF36C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7E628B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3B5EBCC">
            <w:pPr>
              <w:pStyle w:val="10"/>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杭州市文晖路42号现代置业大厦西楼1806室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姚澎涛，13757108343</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3FEBB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83F08A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auto" w:sz="4" w:space="0"/>
              <w:left w:val="single" w:color="000000" w:sz="2" w:space="0"/>
              <w:bottom w:val="single" w:color="auto" w:sz="4" w:space="0"/>
              <w:right w:val="single" w:color="000000" w:sz="8" w:space="0"/>
            </w:tcBorders>
            <w:vAlign w:val="center"/>
          </w:tcPr>
          <w:p w14:paraId="153CF7B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EF90984">
            <w:pPr>
              <w:numPr>
                <w:ilvl w:val="0"/>
                <w:numId w:val="1"/>
              </w:num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收费标准或金额为：按（计价格[2002]1980号）文件、（发改价格[2011]534号）文件服务类收费标准的20%计算，计算基数为中标价，收费不足4000元的按4000元收取。</w:t>
            </w:r>
          </w:p>
          <w:p w14:paraId="12EEF076">
            <w:pPr>
              <w:numPr>
                <w:ilvl w:val="0"/>
                <w:numId w:val="1"/>
              </w:num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结算方式及时间为：中标（成交）供应商在领取中标（成交）通知书时向受托人（采购代理机构）支付。</w:t>
            </w:r>
            <w:r>
              <w:rPr>
                <w:rFonts w:hint="eastAsia" w:ascii="宋体" w:hAnsi="宋体" w:cs="仿宋"/>
                <w:snapToGrid w:val="0"/>
                <w:color w:val="auto"/>
                <w:kern w:val="28"/>
                <w:sz w:val="24"/>
                <w:highlight w:val="none"/>
              </w:rPr>
              <w:br w:type="textWrapping"/>
            </w:r>
            <w:r>
              <w:rPr>
                <w:rFonts w:hint="eastAsia" w:ascii="宋体" w:hAnsi="宋体" w:cs="仿宋"/>
                <w:snapToGrid w:val="0"/>
                <w:color w:val="auto"/>
                <w:kern w:val="28"/>
                <w:sz w:val="24"/>
                <w:highlight w:val="none"/>
              </w:rPr>
              <w:t>收款单位（户名）：浙江省成套招标代理有限公司；</w:t>
            </w:r>
          </w:p>
          <w:p w14:paraId="738B9ABB">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开户银行：中信银行杭州西湖支行；</w:t>
            </w:r>
          </w:p>
          <w:p w14:paraId="4DBBFD28">
            <w:pPr>
              <w:snapToGrid w:val="0"/>
              <w:spacing w:line="360" w:lineRule="auto"/>
              <w:rPr>
                <w:rFonts w:hint="eastAsia" w:ascii="宋体" w:hAnsi="宋体" w:cs="Arial"/>
                <w:color w:val="auto"/>
                <w:kern w:val="0"/>
                <w:sz w:val="24"/>
                <w:highlight w:val="none"/>
              </w:rPr>
            </w:pPr>
            <w:r>
              <w:rPr>
                <w:rFonts w:hint="eastAsia" w:ascii="宋体" w:hAnsi="宋体" w:cs="仿宋"/>
                <w:snapToGrid w:val="0"/>
                <w:color w:val="auto"/>
                <w:kern w:val="28"/>
                <w:sz w:val="24"/>
                <w:highlight w:val="none"/>
              </w:rPr>
              <w:t>银行账号：7331 6101 8260 0126 385</w:t>
            </w:r>
          </w:p>
        </w:tc>
      </w:tr>
      <w:tr w14:paraId="69699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22CADC5">
            <w:pPr>
              <w:spacing w:line="360" w:lineRule="auto"/>
              <w:jc w:val="center"/>
              <w:rPr>
                <w:rFonts w:hint="eastAsia" w:ascii="宋体" w:hAnsi="宋体"/>
                <w:snapToGrid w:val="0"/>
                <w:color w:val="auto"/>
                <w:kern w:val="28"/>
                <w:sz w:val="24"/>
                <w:highlight w:val="none"/>
              </w:rPr>
            </w:pPr>
            <w:bookmarkStart w:id="17" w:name="_Toc164416483"/>
            <w:bookmarkStart w:id="18" w:name="第三部分"/>
            <w:r>
              <w:rPr>
                <w:rFonts w:hint="eastAsia" w:ascii="宋体" w:hAnsi="宋体"/>
                <w:snapToGrid w:val="0"/>
                <w:color w:val="auto"/>
                <w:kern w:val="28"/>
                <w:sz w:val="24"/>
                <w:highlight w:val="none"/>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17133DA7">
            <w:pPr>
              <w:spacing w:line="360" w:lineRule="auto"/>
              <w:jc w:val="center"/>
              <w:rPr>
                <w:rFonts w:hint="eastAsia" w:ascii="宋体" w:hAnsi="宋体"/>
                <w:snapToGrid w:val="0"/>
                <w:color w:val="auto"/>
                <w:kern w:val="28"/>
                <w:sz w:val="24"/>
                <w:highlight w:val="none"/>
              </w:rPr>
            </w:pPr>
            <w:r>
              <w:rPr>
                <w:rFonts w:hint="eastAsia" w:ascii="宋体" w:hAnsi="宋体"/>
                <w:snapToGrid w:val="0"/>
                <w:color w:val="auto"/>
                <w:kern w:val="28"/>
                <w:sz w:val="24"/>
                <w:highlight w:val="none"/>
              </w:rPr>
              <w:t>推荐中标候选人数量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5830F666">
            <w:pPr>
              <w:spacing w:line="360" w:lineRule="auto"/>
              <w:jc w:val="left"/>
              <w:rPr>
                <w:rFonts w:hint="eastAsia" w:ascii="宋体" w:hAnsi="宋体"/>
                <w:snapToGrid w:val="0"/>
                <w:color w:val="auto"/>
                <w:kern w:val="28"/>
                <w:sz w:val="24"/>
                <w:highlight w:val="none"/>
              </w:rPr>
            </w:pPr>
            <w:r>
              <w:rPr>
                <w:rFonts w:hint="eastAsia" w:ascii="宋体" w:hAnsi="宋体"/>
                <w:snapToGrid w:val="0"/>
                <w:color w:val="auto"/>
                <w:kern w:val="28"/>
                <w:sz w:val="24"/>
                <w:highlight w:val="none"/>
              </w:rPr>
              <w:t>推荐中标候选人数量：1名</w:t>
            </w:r>
          </w:p>
        </w:tc>
      </w:tr>
      <w:bookmarkEnd w:id="10"/>
    </w:tbl>
    <w:p w14:paraId="123483D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14:paraId="03B21770">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6239D8BC">
      <w:pPr>
        <w:adjustRightInd/>
        <w:spacing w:line="360" w:lineRule="auto"/>
        <w:outlineLvl w:val="0"/>
        <w:rPr>
          <w:rFonts w:hint="eastAsia" w:ascii="宋体" w:hAnsi="宋体" w:cs="宋体"/>
          <w:b/>
          <w:color w:val="auto"/>
          <w:sz w:val="32"/>
          <w:szCs w:val="20"/>
          <w:highlight w:val="none"/>
        </w:rPr>
      </w:pPr>
      <w:r>
        <w:rPr>
          <w:rFonts w:hint="eastAsia" w:ascii="宋体" w:hAnsi="宋体" w:cs="宋体"/>
          <w:b/>
          <w:color w:val="auto"/>
          <w:sz w:val="24"/>
          <w:highlight w:val="none"/>
        </w:rPr>
        <w:t>1.适用范围</w:t>
      </w:r>
    </w:p>
    <w:p w14:paraId="603C953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F352E8F">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2.定义</w:t>
      </w:r>
    </w:p>
    <w:p w14:paraId="0647D3A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C9088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FDA7B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BD0EE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95DF93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2F5F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65731A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BBFB632">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54BD56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E9C4D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4D47BB3C">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3E6DB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A7889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优先采购绿色包装产品、绿色物流配送服务以及循环利用产品。</w:t>
      </w:r>
    </w:p>
    <w:p w14:paraId="5D3403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2F7DEC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F040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7EBB015">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7CF08C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C9134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99CD9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13DF7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47C2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903D4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044BF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6E33A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64C8A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177A3A9">
      <w:pPr>
        <w:spacing w:line="360" w:lineRule="auto"/>
        <w:ind w:firstLine="480" w:firstLineChars="200"/>
        <w:rPr>
          <w:rFonts w:hint="eastAsia" w:ascii="宋体" w:hAnsi="宋体" w:cs="宋体"/>
          <w:color w:val="auto"/>
          <w:sz w:val="24"/>
          <w:highlight w:val="none"/>
        </w:rPr>
      </w:pPr>
      <w:r>
        <w:rPr>
          <w:rFonts w:hint="eastAsia" w:ascii="宋体" w:hAnsi="宋体" w:cs="仿宋"/>
          <w:color w:val="auto"/>
          <w:sz w:val="24"/>
          <w:highlight w:val="none"/>
        </w:rPr>
        <w:t>3.4.3 采购人应当贯彻落实知识产权保护相关法律法规，应当采购使用正版软件。</w:t>
      </w:r>
    </w:p>
    <w:p w14:paraId="75CE7B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D6EBA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6C036DA6">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4.询问、质疑、投诉、补偿救济</w:t>
      </w:r>
    </w:p>
    <w:p w14:paraId="5A927070">
      <w:pPr>
        <w:spacing w:line="360" w:lineRule="auto"/>
        <w:ind w:firstLine="420"/>
        <w:rPr>
          <w:rFonts w:hint="eastAsia" w:ascii="宋体" w:hAnsi="宋体" w:cs="宋体"/>
          <w:color w:val="auto"/>
          <w:sz w:val="24"/>
          <w:highlight w:val="none"/>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F071B2">
      <w:pPr>
        <w:spacing w:line="360" w:lineRule="auto"/>
        <w:ind w:firstLine="420"/>
        <w:rPr>
          <w:rFonts w:hint="eastAsia" w:ascii="宋体" w:hAnsi="宋体" w:cs="宋体"/>
          <w:color w:val="auto"/>
          <w:sz w:val="24"/>
          <w:highlight w:val="none"/>
        </w:rPr>
      </w:pPr>
      <w:r>
        <w:rPr>
          <w:rFonts w:hint="eastAsia" w:ascii="宋体" w:hAnsi="宋体" w:cs="宋体"/>
          <w:color w:val="auto"/>
          <w:kern w:val="0"/>
          <w:sz w:val="24"/>
          <w:highlight w:val="none"/>
          <w:lang w:val="zh-CN"/>
        </w:rPr>
        <w:t>4.2供应商询问</w:t>
      </w:r>
    </w:p>
    <w:p w14:paraId="2946A0EB">
      <w:pPr>
        <w:spacing w:line="360" w:lineRule="auto"/>
        <w:ind w:firstLine="420"/>
        <w:rPr>
          <w:rFonts w:hint="eastAsia" w:ascii="宋体" w:hAnsi="宋体" w:cs="宋体"/>
          <w:color w:val="auto"/>
          <w:sz w:val="24"/>
          <w:highlight w:val="none"/>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981664">
      <w:pPr>
        <w:spacing w:line="360" w:lineRule="auto"/>
        <w:ind w:firstLine="42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69FA497">
      <w:pPr>
        <w:spacing w:line="360" w:lineRule="auto"/>
        <w:ind w:firstLine="42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w:t>
      </w:r>
      <w:r>
        <w:rPr>
          <w:rFonts w:hint="eastAsia" w:hAnsi="宋体" w:cs="宋体"/>
          <w:color w:val="auto"/>
          <w:kern w:val="0"/>
          <w:sz w:val="24"/>
          <w:highlight w:val="none"/>
          <w:lang w:val="zh-CN"/>
        </w:rPr>
        <w:t>供应商</w:t>
      </w:r>
      <w:r>
        <w:rPr>
          <w:rFonts w:hint="eastAsia" w:hAnsi="宋体" w:cs="宋体"/>
          <w:color w:val="auto"/>
          <w:sz w:val="24"/>
          <w:highlight w:val="none"/>
        </w:rPr>
        <w:t>应当是参与所质疑项目采购活动的投标人。潜在</w:t>
      </w:r>
      <w:r>
        <w:rPr>
          <w:rFonts w:hint="eastAsia" w:hAnsi="宋体" w:cs="宋体"/>
          <w:color w:val="auto"/>
          <w:kern w:val="0"/>
          <w:sz w:val="24"/>
          <w:highlight w:val="none"/>
          <w:lang w:val="zh-CN"/>
        </w:rPr>
        <w:t>供应商</w:t>
      </w:r>
      <w:r>
        <w:rPr>
          <w:rFonts w:hint="eastAsia" w:hAnsi="宋体" w:cs="宋体"/>
          <w:color w:val="auto"/>
          <w:sz w:val="24"/>
          <w:highlight w:val="none"/>
        </w:rPr>
        <w:t>已依法获取其可质疑的招标文件的，可以对该文件提出质疑。</w:t>
      </w:r>
    </w:p>
    <w:p w14:paraId="3579F96A">
      <w:pPr>
        <w:spacing w:line="360" w:lineRule="auto"/>
        <w:ind w:firstLine="42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w:t>
      </w:r>
      <w:r>
        <w:rPr>
          <w:rFonts w:hint="eastAsia" w:hAnsi="宋体" w:cs="宋体"/>
          <w:color w:val="auto"/>
          <w:kern w:val="0"/>
          <w:sz w:val="24"/>
          <w:highlight w:val="none"/>
          <w:lang w:val="zh-CN"/>
        </w:rPr>
        <w:t>供应商</w:t>
      </w:r>
      <w:r>
        <w:rPr>
          <w:rFonts w:hint="eastAsia" w:hAnsi="宋体" w:cs="宋体"/>
          <w:color w:val="auto"/>
          <w:sz w:val="24"/>
          <w:highlight w:val="none"/>
        </w:rPr>
        <w:t>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3623911">
      <w:pPr>
        <w:spacing w:line="360" w:lineRule="auto"/>
        <w:ind w:firstLine="420"/>
        <w:rPr>
          <w:rFonts w:hint="eastAsia" w:hAnsi="宋体" w:cs="宋体"/>
          <w:color w:val="auto"/>
          <w:sz w:val="24"/>
          <w:highlight w:val="none"/>
        </w:rPr>
      </w:pPr>
      <w:r>
        <w:rPr>
          <w:rFonts w:hint="eastAsia" w:hAnsi="宋体" w:cs="宋体"/>
          <w:color w:val="auto"/>
          <w:sz w:val="24"/>
          <w:highlight w:val="none"/>
        </w:rPr>
        <w:t>4.3.2.1对招标文件提出质疑的，质疑期限为</w:t>
      </w:r>
      <w:r>
        <w:rPr>
          <w:rFonts w:hint="eastAsia" w:hAnsi="宋体" w:cs="宋体"/>
          <w:color w:val="auto"/>
          <w:kern w:val="0"/>
          <w:sz w:val="24"/>
          <w:highlight w:val="none"/>
          <w:lang w:val="zh-CN"/>
        </w:rPr>
        <w:t>供应商</w:t>
      </w:r>
      <w:r>
        <w:rPr>
          <w:rFonts w:hint="eastAsia" w:hAnsi="宋体" w:cs="宋体"/>
          <w:color w:val="auto"/>
          <w:sz w:val="24"/>
          <w:highlight w:val="none"/>
        </w:rPr>
        <w:t>获得招标文件之日或者招标文件公告期限届满之日起计算。</w:t>
      </w:r>
    </w:p>
    <w:p w14:paraId="0A3407B0">
      <w:pPr>
        <w:spacing w:line="360" w:lineRule="auto"/>
        <w:ind w:firstLine="420"/>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9179B7F">
      <w:pPr>
        <w:spacing w:line="360" w:lineRule="auto"/>
        <w:ind w:firstLine="420"/>
        <w:rPr>
          <w:rFonts w:hint="eastAsia" w:ascii="宋体" w:hAnsi="宋体" w:cs="宋体"/>
          <w:color w:val="auto"/>
          <w:sz w:val="24"/>
          <w:highlight w:val="none"/>
        </w:rPr>
      </w:pPr>
      <w:r>
        <w:rPr>
          <w:rFonts w:hint="eastAsia" w:hAnsi="宋体" w:cs="宋体"/>
          <w:color w:val="auto"/>
          <w:kern w:val="0"/>
          <w:sz w:val="24"/>
          <w:highlight w:val="none"/>
          <w:lang w:val="zh-CN"/>
        </w:rPr>
        <w:t>4.3.3供应商</w:t>
      </w:r>
      <w:r>
        <w:rPr>
          <w:rFonts w:hint="eastAsia" w:hAnsi="宋体" w:cs="宋体"/>
          <w:color w:val="auto"/>
          <w:sz w:val="24"/>
          <w:highlight w:val="none"/>
        </w:rPr>
        <w:t>提出质疑应当提交质疑函和必要的证明材料。质疑函应当包括下列内容：</w:t>
      </w:r>
    </w:p>
    <w:p w14:paraId="69B4FF39">
      <w:pPr>
        <w:pStyle w:val="1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FB00E5D">
      <w:pPr>
        <w:pStyle w:val="1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023EBC4">
      <w:pPr>
        <w:pStyle w:val="1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D1879D8">
      <w:pPr>
        <w:pStyle w:val="1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F0743CA">
      <w:pPr>
        <w:pStyle w:val="1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4C06909">
      <w:pPr>
        <w:pStyle w:val="1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48A5124">
      <w:pPr>
        <w:pStyle w:val="24"/>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lang w:val="zh-CN"/>
        </w:rPr>
        <w:t>供应商</w:t>
      </w:r>
      <w:r>
        <w:rPr>
          <w:rFonts w:hint="eastAsia"/>
          <w:color w:val="auto"/>
          <w:highlight w:val="none"/>
        </w:rPr>
        <w:t>提交的质疑函需一式三份。</w:t>
      </w:r>
      <w:r>
        <w:rPr>
          <w:rFonts w:hint="eastAsia"/>
          <w:color w:val="auto"/>
          <w:highlight w:val="none"/>
          <w:lang w:val="zh-CN"/>
        </w:rPr>
        <w:t>供应商</w:t>
      </w:r>
      <w:r>
        <w:rPr>
          <w:rFonts w:hint="eastAsia"/>
          <w:color w:val="auto"/>
          <w:highlight w:val="none"/>
        </w:rPr>
        <w:t>为自然人的，应当由本人签字；</w:t>
      </w:r>
      <w:r>
        <w:rPr>
          <w:rFonts w:hint="eastAsia"/>
          <w:color w:val="auto"/>
          <w:highlight w:val="none"/>
          <w:lang w:val="zh-CN"/>
        </w:rPr>
        <w:t>供应商</w:t>
      </w:r>
      <w:r>
        <w:rPr>
          <w:rFonts w:hint="eastAsia"/>
          <w:color w:val="auto"/>
          <w:highlight w:val="none"/>
        </w:rPr>
        <w:t>为法人或者其他组织的，应当由法定代表人、主要负责人，或者其授权代表签字或者盖章，并加盖公章。</w:t>
      </w:r>
    </w:p>
    <w:p w14:paraId="6957A7DE">
      <w:pPr>
        <w:pStyle w:val="24"/>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62CFEF06">
      <w:pPr>
        <w:pStyle w:val="24"/>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rPr>
        <w:t>4.3.4对同一采购程序环节的质疑，</w:t>
      </w:r>
      <w:r>
        <w:rPr>
          <w:rFonts w:hint="eastAsia"/>
          <w:color w:val="auto"/>
          <w:highlight w:val="none"/>
          <w:lang w:val="zh-CN"/>
        </w:rPr>
        <w:t>供应商</w:t>
      </w:r>
      <w:r>
        <w:rPr>
          <w:rFonts w:hint="eastAsia"/>
          <w:color w:val="auto"/>
          <w:highlight w:val="none"/>
        </w:rPr>
        <w:t>须在法定质疑期内一次性提出。</w:t>
      </w:r>
    </w:p>
    <w:p w14:paraId="5E11B14A">
      <w:pPr>
        <w:pStyle w:val="24"/>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w:t>
      </w:r>
      <w:r>
        <w:rPr>
          <w:rFonts w:hint="eastAsia"/>
          <w:color w:val="auto"/>
          <w:highlight w:val="none"/>
          <w:lang w:val="zh-CN"/>
        </w:rPr>
        <w:t>供应商</w:t>
      </w:r>
      <w:r>
        <w:rPr>
          <w:rFonts w:hint="eastAsia"/>
          <w:color w:val="auto"/>
          <w:highlight w:val="none"/>
        </w:rPr>
        <w:t>的书面质疑后七个工作日内作出答复，并以书面形式通知质疑</w:t>
      </w:r>
      <w:r>
        <w:rPr>
          <w:rFonts w:hint="eastAsia"/>
          <w:color w:val="auto"/>
          <w:highlight w:val="none"/>
          <w:lang w:val="zh-CN"/>
        </w:rPr>
        <w:t>供应商</w:t>
      </w:r>
      <w:r>
        <w:rPr>
          <w:rFonts w:hint="eastAsia"/>
          <w:color w:val="auto"/>
          <w:highlight w:val="none"/>
        </w:rPr>
        <w:t>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7CB443D">
      <w:pPr>
        <w:pStyle w:val="24"/>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C05C8A0">
      <w:pPr>
        <w:pStyle w:val="24"/>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04EE949F">
      <w:pPr>
        <w:pStyle w:val="24"/>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rPr>
        <w:t>4.4.1质疑</w:t>
      </w:r>
      <w:r>
        <w:rPr>
          <w:rFonts w:hint="eastAsia"/>
          <w:color w:val="auto"/>
          <w:highlight w:val="none"/>
          <w:lang w:val="zh-CN"/>
        </w:rPr>
        <w:t>供应商</w:t>
      </w:r>
      <w:r>
        <w:rPr>
          <w:rFonts w:hint="eastAsia"/>
          <w:color w:val="auto"/>
          <w:highlight w:val="none"/>
        </w:rPr>
        <w:t>对采购人、采购代理机构的答复不满意或者采购人、采购代理机构未在规定的时间内作出答复的，可以在答复期满后十五个工作日内向同级政府采购监督管理部门提出投诉。</w:t>
      </w:r>
    </w:p>
    <w:p w14:paraId="4FC839DA">
      <w:pPr>
        <w:pStyle w:val="24"/>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rPr>
        <w:t>4.4.</w:t>
      </w:r>
      <w:r>
        <w:rPr>
          <w:rFonts w:hint="eastAsia"/>
          <w:color w:val="auto"/>
          <w:highlight w:val="none"/>
          <w:lang w:val="zh-CN"/>
        </w:rPr>
        <w:t>2供应商</w:t>
      </w:r>
      <w:r>
        <w:rPr>
          <w:rFonts w:hint="eastAsia"/>
          <w:color w:val="auto"/>
          <w:highlight w:val="none"/>
        </w:rPr>
        <w:t>投诉的事项不得超出已质疑事项的范围，基于质疑答复内容提出的投诉事项除外。</w:t>
      </w:r>
    </w:p>
    <w:p w14:paraId="4F6052D6">
      <w:pPr>
        <w:pStyle w:val="24"/>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rPr>
        <w:t>4.4.3</w:t>
      </w:r>
      <w:r>
        <w:rPr>
          <w:rFonts w:hint="eastAsia"/>
          <w:color w:val="auto"/>
          <w:highlight w:val="none"/>
          <w:lang w:val="zh-CN"/>
        </w:rPr>
        <w:t>供应商</w:t>
      </w:r>
      <w:r>
        <w:rPr>
          <w:rFonts w:hint="eastAsia"/>
          <w:color w:val="auto"/>
          <w:highlight w:val="none"/>
        </w:rPr>
        <w:t>投诉应当有明确的请求和必要的证明材料。</w:t>
      </w:r>
    </w:p>
    <w:p w14:paraId="3D56B223">
      <w:pPr>
        <w:pStyle w:val="24"/>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rPr>
        <w:t>4.4.4以联合体形式参加政府采购活动的，其投诉应当由组成联合体的所有</w:t>
      </w:r>
      <w:r>
        <w:rPr>
          <w:rFonts w:hint="eastAsia"/>
          <w:color w:val="auto"/>
          <w:highlight w:val="none"/>
          <w:lang w:val="zh-CN"/>
        </w:rPr>
        <w:t>供应商</w:t>
      </w:r>
      <w:r>
        <w:rPr>
          <w:rFonts w:hint="eastAsia"/>
          <w:color w:val="auto"/>
          <w:highlight w:val="none"/>
        </w:rPr>
        <w:t>共同提出。</w:t>
      </w:r>
    </w:p>
    <w:p w14:paraId="41FCACC0">
      <w:pPr>
        <w:pStyle w:val="24"/>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rPr>
        <w:t>4.4.5浙江省本级、杭州市本级、拱墅区、富阳区政府采购项目投诉材料可寄送浙江省政府采购行政裁决服务中心（杭州），地址：杭州市上城区清泰街549号城建综合大楼11楼，收件人：朱女士、王女士，电话：0571-87227671,0571-87800218。</w:t>
      </w:r>
    </w:p>
    <w:p w14:paraId="157C18E5">
      <w:pPr>
        <w:pStyle w:val="24"/>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投诉书范本及制作说明详见附件3。</w:t>
      </w:r>
    </w:p>
    <w:p w14:paraId="54D3C62F">
      <w:pPr>
        <w:pStyle w:val="24"/>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rPr>
        <w:t>4.5 补偿救济</w:t>
      </w:r>
    </w:p>
    <w:p w14:paraId="5B66CD5E">
      <w:pPr>
        <w:pStyle w:val="24"/>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rPr>
        <w:t>采购人（行政机关）因政策变化、规划调整而不履行政府采购合同的，</w:t>
      </w:r>
      <w:r>
        <w:rPr>
          <w:rFonts w:hint="eastAsia"/>
          <w:color w:val="auto"/>
          <w:highlight w:val="none"/>
          <w:lang w:val="zh-CN"/>
        </w:rPr>
        <w:t>供应商</w:t>
      </w:r>
      <w:r>
        <w:rPr>
          <w:rFonts w:hint="eastAsia"/>
          <w:color w:val="auto"/>
          <w:highlight w:val="none"/>
        </w:rPr>
        <w:t>可依据《杭州市涉企补偿救济实施办法（试行）》向采购人（行政机关）提起补偿申请。</w:t>
      </w:r>
    </w:p>
    <w:p w14:paraId="11E17641">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11824CB2">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5.招标文件的构成</w:t>
      </w:r>
    </w:p>
    <w:p w14:paraId="4EC4FB2A">
      <w:pPr>
        <w:pStyle w:val="1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75E4646E">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55EDB88F">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1BCE35AB">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50EDB44A">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4A2A6C8C">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589325C1">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01C30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4780BB1">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6.招标文件的澄清、修改</w:t>
      </w:r>
    </w:p>
    <w:p w14:paraId="3C657013">
      <w:pPr>
        <w:pStyle w:val="25"/>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kern w:val="0"/>
          <w:highlight w:val="none"/>
          <w:lang w:val="zh-CN"/>
        </w:rPr>
        <w:t>供应商</w:t>
      </w:r>
      <w:r>
        <w:rPr>
          <w:rFonts w:hint="eastAsia" w:ascii="宋体" w:hAnsi="宋体" w:cs="宋体"/>
          <w:color w:val="auto"/>
          <w:highlight w:val="none"/>
        </w:rPr>
        <w:t>，若有问题需要澄清，应于投标截止时间前，以书面形式向采购代理机构提出。</w:t>
      </w:r>
    </w:p>
    <w:p w14:paraId="1A895C9A">
      <w:pPr>
        <w:pStyle w:val="25"/>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w:t>
      </w:r>
      <w:r>
        <w:rPr>
          <w:rFonts w:hint="eastAsia" w:ascii="宋体" w:hAnsi="宋体" w:cs="宋体"/>
          <w:color w:val="auto"/>
          <w:kern w:val="0"/>
          <w:highlight w:val="none"/>
          <w:lang w:val="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22B22F4D">
      <w:pPr>
        <w:pStyle w:val="25"/>
        <w:snapToGrid w:val="0"/>
        <w:spacing w:before="0"/>
        <w:ind w:firstLine="480"/>
        <w:rPr>
          <w:rFonts w:hint="eastAsia" w:ascii="宋体" w:hAnsi="宋体" w:cs="宋体"/>
          <w:color w:val="auto"/>
          <w:highlight w:val="none"/>
        </w:rPr>
      </w:pPr>
    </w:p>
    <w:p w14:paraId="28CD6F05">
      <w:pPr>
        <w:pStyle w:val="3"/>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6C28E8AF">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7873618E">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7.招标文件的获取</w:t>
      </w:r>
    </w:p>
    <w:p w14:paraId="7D7278A5">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B8B6015">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8.开标前答疑会或现场考察</w:t>
      </w:r>
    </w:p>
    <w:p w14:paraId="1CF1CF23">
      <w:pPr>
        <w:pStyle w:val="1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采购人组织潜在投标人现场考察或者召开开标前答疑会的，潜在供应商按第二部分投标人须知前附表的规定参加现场考察或者开标前答疑会。</w:t>
      </w:r>
    </w:p>
    <w:p w14:paraId="03A42C76">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9.投标保证金</w:t>
      </w:r>
    </w:p>
    <w:p w14:paraId="4C4A6DED">
      <w:pPr>
        <w:pStyle w:val="6"/>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E680CBD">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10.投标文件的语言</w:t>
      </w:r>
    </w:p>
    <w:p w14:paraId="58BDA139">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DDEFD7E">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11.投标文件的组成</w:t>
      </w:r>
    </w:p>
    <w:p w14:paraId="6EAFB94A">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6664491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054BEE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E2CDC6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落实政府采购政策需满足的资格要求（如果有）；</w:t>
      </w:r>
    </w:p>
    <w:p w14:paraId="5A0FC9C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ABDF01A">
      <w:pPr>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53B0F07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606931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546F07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D82F34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3BB7E3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AE5461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8BEB8F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7CBE3FB">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3F5E9C0">
      <w:pPr>
        <w:snapToGrid w:val="0"/>
        <w:spacing w:line="360" w:lineRule="auto"/>
        <w:ind w:firstLine="482" w:firstLineChars="200"/>
        <w:rPr>
          <w:rFonts w:hint="eastAsia"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C15553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97349D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 报价情况说明（如投标人报价低于项目预算50%的，应当提交本文档，详细阐述不影响产品质量或者诚信履约的具体原因）；</w:t>
      </w:r>
    </w:p>
    <w:p w14:paraId="06E3B62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11.3.3中小企业声明函（资格文件中须提供中小企业声明函的，则报价文件中无须提供）。</w:t>
      </w:r>
    </w:p>
    <w:p w14:paraId="68D0179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224D2E5">
      <w:pPr>
        <w:spacing w:line="360" w:lineRule="auto"/>
        <w:ind w:firstLine="482" w:firstLineChars="2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r>
        <w:rPr>
          <w:rFonts w:hint="eastAsia"/>
          <w:color w:val="auto"/>
          <w:sz w:val="24"/>
          <w:highlight w:val="none"/>
          <w:shd w:val="clear" w:color="auto" w:fill="FFFFFF"/>
        </w:rPr>
        <w:t>投标人应对投标文件中材料的真实性、合法性负责</w:t>
      </w:r>
    </w:p>
    <w:p w14:paraId="29BB5E07">
      <w:pPr>
        <w:pStyle w:val="25"/>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投标文件的编制</w:t>
      </w:r>
    </w:p>
    <w:p w14:paraId="14130D49">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9F15BB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589681">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092CBF3">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6AA6F122">
      <w:pPr>
        <w:pStyle w:val="25"/>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17D869C">
      <w:pPr>
        <w:pStyle w:val="25"/>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7A1DFAB">
      <w:pPr>
        <w:pStyle w:val="25"/>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80E8A86">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14.投标文件的提交、补充、修改、撤回</w:t>
      </w:r>
    </w:p>
    <w:p w14:paraId="70E503A1">
      <w:pPr>
        <w:pStyle w:val="25"/>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C9263C">
      <w:pPr>
        <w:pStyle w:val="25"/>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6BCC9141">
      <w:pPr>
        <w:pStyle w:val="25"/>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1ED5311">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15.备份投标文件</w:t>
      </w:r>
    </w:p>
    <w:p w14:paraId="28986EBF">
      <w:pPr>
        <w:pStyle w:val="10"/>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7ADD585F">
      <w:pPr>
        <w:pStyle w:val="10"/>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8941D30">
      <w:pPr>
        <w:pStyle w:val="1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5308AD7">
      <w:pPr>
        <w:pStyle w:val="1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24B09C3">
      <w:pPr>
        <w:pStyle w:val="10"/>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3C24566">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16.投标文件的无效处理</w:t>
      </w:r>
    </w:p>
    <w:p w14:paraId="4EED1F70">
      <w:pPr>
        <w:pStyle w:val="8"/>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9DBED2A">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17.投标有效期</w:t>
      </w:r>
    </w:p>
    <w:p w14:paraId="05267087">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EB79FB8">
      <w:pPr>
        <w:pStyle w:val="25"/>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57723EB">
      <w:pPr>
        <w:pStyle w:val="2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6A9D28D">
      <w:pPr>
        <w:pStyle w:val="25"/>
        <w:spacing w:before="0"/>
        <w:ind w:firstLine="643"/>
        <w:rPr>
          <w:rFonts w:hint="eastAsia" w:ascii="宋体" w:hAnsi="宋体" w:cs="宋体"/>
          <w:b/>
          <w:color w:val="auto"/>
          <w:sz w:val="32"/>
          <w:highlight w:val="none"/>
        </w:rPr>
      </w:pPr>
    </w:p>
    <w:p w14:paraId="4BFF3F71">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四、开标、资格审查与信用信息查询</w:t>
      </w:r>
    </w:p>
    <w:p w14:paraId="1A31B230">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18.开标 </w:t>
      </w:r>
    </w:p>
    <w:p w14:paraId="7F8D90A2">
      <w:pPr>
        <w:pStyle w:val="26"/>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4F295B4">
      <w:pPr>
        <w:pStyle w:val="26"/>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966082A">
      <w:pPr>
        <w:pStyle w:val="26"/>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A53EAC7">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19.资格审查</w:t>
      </w:r>
    </w:p>
    <w:p w14:paraId="0062C4FD">
      <w:pPr>
        <w:pStyle w:val="2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19.1开标后，采购人或采购代理机构将依法对投标人的资格进行审查。</w:t>
      </w:r>
    </w:p>
    <w:p w14:paraId="682BD89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采购人或采购代理机构依据法律法规和招标文件的规定，对投标人的资格进行审查。</w:t>
      </w:r>
    </w:p>
    <w:p w14:paraId="75208838">
      <w:pPr>
        <w:pStyle w:val="2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C16CE7E">
      <w:pPr>
        <w:pStyle w:val="2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4对未通过资格审查的投标人，采购人或采购代理机构告知其未通过的原因。</w:t>
      </w:r>
    </w:p>
    <w:p w14:paraId="11FCA53F">
      <w:pPr>
        <w:pStyle w:val="25"/>
        <w:snapToGrid w:val="0"/>
        <w:spacing w:before="0"/>
        <w:ind w:firstLine="482"/>
        <w:rPr>
          <w:rFonts w:hint="eastAsia" w:ascii="宋体" w:hAnsi="宋体" w:cs="宋体"/>
          <w:b/>
          <w:bCs/>
          <w:color w:val="auto"/>
          <w:highlight w:val="none"/>
        </w:rPr>
      </w:pPr>
      <w:r>
        <w:rPr>
          <w:rFonts w:ascii="宋体" w:hAnsi="宋体" w:cs="宋体"/>
          <w:b/>
          <w:bCs/>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45C23E7">
      <w:pPr>
        <w:pStyle w:val="2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6合格投标人不足3家的，不再评标。</w:t>
      </w:r>
    </w:p>
    <w:p w14:paraId="7DDA095D">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20.信用信息查询</w:t>
      </w:r>
    </w:p>
    <w:p w14:paraId="30A63AAF">
      <w:pPr>
        <w:pStyle w:val="25"/>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742615D3">
      <w:pPr>
        <w:pStyle w:val="25"/>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4204014">
      <w:pPr>
        <w:pStyle w:val="25"/>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44725FF">
      <w:pPr>
        <w:pStyle w:val="2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8895C51">
      <w:pPr>
        <w:pStyle w:val="25"/>
        <w:spacing w:before="0"/>
        <w:ind w:firstLine="0" w:firstLineChars="0"/>
        <w:rPr>
          <w:rFonts w:hint="eastAsia" w:ascii="宋体" w:hAnsi="宋体" w:cs="宋体"/>
          <w:color w:val="auto"/>
          <w:kern w:val="0"/>
          <w:szCs w:val="24"/>
          <w:highlight w:val="none"/>
        </w:rPr>
      </w:pPr>
    </w:p>
    <w:p w14:paraId="18A73724">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61FB1DE4">
      <w:pPr>
        <w:spacing w:line="360" w:lineRule="auto"/>
        <w:rPr>
          <w:rFonts w:hint="eastAsia"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9B6AE68">
      <w:pPr>
        <w:spacing w:line="360" w:lineRule="auto"/>
        <w:rPr>
          <w:rFonts w:hint="eastAsia" w:ascii="宋体" w:hAnsi="宋体" w:cs="宋体"/>
          <w:b/>
          <w:color w:val="auto"/>
          <w:sz w:val="24"/>
          <w:highlight w:val="none"/>
        </w:rPr>
      </w:pPr>
    </w:p>
    <w:p w14:paraId="704DD246">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六、定标</w:t>
      </w:r>
    </w:p>
    <w:p w14:paraId="7488C96D">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22.确定中标人</w:t>
      </w:r>
    </w:p>
    <w:p w14:paraId="3EA4607F">
      <w:pPr>
        <w:pStyle w:val="25"/>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提高政府采购效率，一般在收到评审报告当天确定中标人，采购代理机构应当依法及时将评审报告在线送交采购人。采购单位应当自收到评审报告之日起2个工作日内在线确定中标人。中标、成交通知书和中标、成交结果公告应当在规定时间内同时发出。</w:t>
      </w:r>
      <w:r>
        <w:rPr>
          <w:rFonts w:hint="eastAsia" w:ascii="宋体" w:hAnsi="宋体" w:cs="宋体"/>
          <w:bCs/>
          <w:color w:val="auto"/>
          <w:szCs w:val="24"/>
          <w:highlight w:val="none"/>
        </w:rPr>
        <w:t>由于中标、成交人原因导致重新采购的，中标、成交人应当承担支付代理费和专家评审费等费用在内的赔偿责任。</w:t>
      </w:r>
    </w:p>
    <w:p w14:paraId="4316B264">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23.中标通知与中标结果公告</w:t>
      </w:r>
    </w:p>
    <w:p w14:paraId="58C6806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23862E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20" w:name="_Hlk101184471"/>
      <w:r>
        <w:rPr>
          <w:rFonts w:hint="eastAsia" w:ascii="宋体" w:hAnsi="宋体" w:cs="宋体"/>
          <w:color w:val="auto"/>
          <w:sz w:val="24"/>
          <w:highlight w:val="none"/>
        </w:rPr>
        <w:t>资格审查情况、评审专家抽取规则、符合性审查情况、</w:t>
      </w:r>
      <w:bookmarkEnd w:id="20"/>
      <w:r>
        <w:rPr>
          <w:rFonts w:hint="eastAsia" w:ascii="宋体" w:hAnsi="宋体" w:cs="宋体"/>
          <w:color w:val="auto"/>
          <w:sz w:val="24"/>
          <w:highlight w:val="none"/>
        </w:rPr>
        <w:t>未中标情况说明、中标公告期限以及评审专家名单、评分汇总及明细。</w:t>
      </w:r>
    </w:p>
    <w:p w14:paraId="58372B4E">
      <w:pPr>
        <w:pStyle w:val="25"/>
        <w:snapToGrid w:val="0"/>
        <w:spacing w:before="0"/>
        <w:ind w:firstLine="480"/>
        <w:rPr>
          <w:color w:val="auto"/>
          <w:sz w:val="21"/>
          <w:szCs w:val="21"/>
          <w:highlight w:val="none"/>
        </w:rPr>
      </w:pPr>
      <w:r>
        <w:rPr>
          <w:rFonts w:hint="eastAsia" w:ascii="宋体" w:hAnsi="宋体" w:cs="宋体"/>
          <w:color w:val="auto"/>
          <w:highlight w:val="none"/>
        </w:rPr>
        <w:t>23.3公告期限为1个工作日。</w:t>
      </w:r>
    </w:p>
    <w:p w14:paraId="5785450C">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七、合同授予</w:t>
      </w:r>
    </w:p>
    <w:p w14:paraId="2EB6C4E9">
      <w:pPr>
        <w:pStyle w:val="8"/>
        <w:spacing w:line="360" w:lineRule="auto"/>
        <w:ind w:left="479" w:hanging="479" w:hangingChars="199"/>
        <w:rPr>
          <w:rFonts w:hint="eastAsia"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14:paraId="34ACF989">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25.合同的签订</w:t>
      </w:r>
    </w:p>
    <w:p w14:paraId="6AEDBCE8">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人按照采购文件确定的事项签订政府采购合同。</w:t>
      </w:r>
    </w:p>
    <w:p w14:paraId="3D74FCB4">
      <w:pPr>
        <w:pStyle w:val="25"/>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C0F58EF">
      <w:pPr>
        <w:pStyle w:val="25"/>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25.3如签订合同并生效后，中标人无故拒绝或延期，除按照合同条款处理外，列入不良行为记录一次，并给予通报。</w:t>
      </w:r>
    </w:p>
    <w:p w14:paraId="03D3B6F9">
      <w:pPr>
        <w:pStyle w:val="25"/>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25.4中标人拒绝与采购人签订合同的，采购人可以按照评审报告推荐的中标或者成交候选人名单排序，确定下一候选人为中标人，也可以重新开展政府采购活动。</w:t>
      </w:r>
    </w:p>
    <w:p w14:paraId="6C1F2261">
      <w:pPr>
        <w:pStyle w:val="25"/>
        <w:snapToGrid w:val="0"/>
        <w:spacing w:before="0"/>
        <w:ind w:firstLine="480"/>
        <w:rPr>
          <w:rFonts w:hint="eastAsia" w:ascii="宋体" w:hAnsi="宋体" w:cs="宋体"/>
          <w:color w:val="auto"/>
          <w:highlight w:val="none"/>
        </w:rPr>
      </w:pPr>
      <w:r>
        <w:rPr>
          <w:rFonts w:hint="eastAsia" w:ascii="宋体" w:hAnsi="宋体" w:cs="宋体"/>
          <w:color w:val="auto"/>
          <w:highlight w:val="none"/>
        </w:rPr>
        <w:t>25.5采购合同由采购人与中标人根据招标文件、投标文件等内容通过政府采购电子交易平台在线签订，自动备案。</w:t>
      </w:r>
    </w:p>
    <w:p w14:paraId="0176DEB9">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26. 履约保证金 </w:t>
      </w:r>
    </w:p>
    <w:p w14:paraId="484B1FDF">
      <w:pPr>
        <w:tabs>
          <w:tab w:val="left" w:pos="0"/>
        </w:tabs>
        <w:spacing w:line="360" w:lineRule="auto"/>
        <w:ind w:firstLine="482"/>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拟签订的合同文本要求中标人提交履约保证金的，投标人应当以支票、汇票、本票或者金融机构、担保机构出具的保函等非现金形式提交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%。鼓励和支持投标人以银行、保险公司出具的保函形式提供履约保证金。采购人不得拒收履约保函，项目验收结束后应及时退还，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投标人可登录政采云平台-【金融服务】—【我的项目】—【已备案合同】以保函形式提供：1、投标人在合同列表选择需要投保的合同，点击[保函推荐]。2、在弹框里查看推荐的保函产品，投标人自行选择保函产品，点击[立即申请]。3、在弹框里填写保函申请信息。具体步骤：选择产品—填写投标人信息—选择中标项目—确认信息—等待保险/保函受理—确认保单—支付保费—成功出单。政采云金融专线400-903-9583。</w:t>
      </w:r>
    </w:p>
    <w:p w14:paraId="05127E7D">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27.预付款</w:t>
      </w:r>
    </w:p>
    <w:p w14:paraId="318B4380">
      <w:pPr>
        <w:tabs>
          <w:tab w:val="left" w:pos="0"/>
        </w:tabs>
        <w:wordWrap w:val="0"/>
        <w:spacing w:line="360" w:lineRule="auto"/>
        <w:ind w:firstLine="482"/>
        <w:rPr>
          <w:rFonts w:hint="eastAsia" w:ascii="宋体" w:hAnsi="宋体" w:cs="仿宋"/>
          <w:color w:val="auto"/>
          <w:kern w:val="0"/>
          <w:sz w:val="24"/>
          <w:highlight w:val="none"/>
        </w:rPr>
      </w:pPr>
      <w:r>
        <w:rPr>
          <w:rFonts w:hint="eastAsia" w:ascii="宋体" w:hAnsi="宋体"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6A940EB">
      <w:pPr>
        <w:snapToGrid w:val="0"/>
        <w:spacing w:line="360" w:lineRule="auto"/>
        <w:rPr>
          <w:rFonts w:hint="eastAsia" w:ascii="宋体" w:hAnsi="宋体" w:cs="宋体"/>
          <w:b/>
          <w:color w:val="auto"/>
          <w:sz w:val="32"/>
          <w:highlight w:val="none"/>
        </w:rPr>
      </w:pPr>
    </w:p>
    <w:p w14:paraId="662C52C8">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八、电子交易活动的中止</w:t>
      </w:r>
    </w:p>
    <w:p w14:paraId="4D70B393">
      <w:pPr>
        <w:pStyle w:val="25"/>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xml:space="preserve">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7A5DDF9">
      <w:pPr>
        <w:pStyle w:val="25"/>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14195EA">
      <w:pPr>
        <w:pStyle w:val="25"/>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C21009C">
      <w:pPr>
        <w:pStyle w:val="25"/>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92128E7">
      <w:pPr>
        <w:pStyle w:val="25"/>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82B03A7">
      <w:pPr>
        <w:pStyle w:val="25"/>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538006C">
      <w:pPr>
        <w:pStyle w:val="25"/>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0751882">
      <w:pPr>
        <w:tabs>
          <w:tab w:val="left" w:pos="0"/>
        </w:tabs>
        <w:spacing w:line="360" w:lineRule="auto"/>
        <w:ind w:firstLine="480"/>
        <w:rPr>
          <w:rFonts w:hint="eastAsia" w:ascii="宋体" w:hAnsi="宋体" w:cs="宋体"/>
          <w:color w:val="auto"/>
          <w:sz w:val="24"/>
          <w:highlight w:val="none"/>
        </w:rPr>
      </w:pPr>
    </w:p>
    <w:p w14:paraId="073A14F0">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九、验收</w:t>
      </w:r>
    </w:p>
    <w:p w14:paraId="5A41E944">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30.验收</w:t>
      </w:r>
    </w:p>
    <w:p w14:paraId="2D9ECAB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D4AA3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5C93265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31FAEC">
      <w:pPr>
        <w:tabs>
          <w:tab w:val="left" w:pos="0"/>
        </w:tabs>
        <w:spacing w:line="360" w:lineRule="auto"/>
        <w:ind w:firstLine="482"/>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1" w:name="_Hlt74714665"/>
      <w:bookmarkEnd w:id="21"/>
      <w:bookmarkStart w:id="22" w:name="_Hlt74730295"/>
      <w:bookmarkEnd w:id="22"/>
      <w:bookmarkStart w:id="23" w:name="_Hlt74729768"/>
      <w:bookmarkEnd w:id="23"/>
      <w:bookmarkStart w:id="24" w:name="_Hlt75236290"/>
      <w:bookmarkEnd w:id="24"/>
      <w:bookmarkStart w:id="25" w:name="_Hlt68073093"/>
      <w:bookmarkEnd w:id="25"/>
      <w:bookmarkStart w:id="26" w:name="_Hlt68403820"/>
      <w:bookmarkEnd w:id="26"/>
      <w:bookmarkStart w:id="27" w:name="_Hlt68072998"/>
      <w:bookmarkEnd w:id="27"/>
      <w:bookmarkStart w:id="28" w:name="_Hlt68072990"/>
      <w:bookmarkEnd w:id="28"/>
      <w:bookmarkStart w:id="29" w:name="_Hlt75236101"/>
      <w:bookmarkEnd w:id="29"/>
      <w:bookmarkStart w:id="30" w:name="_Hlt75236011"/>
      <w:bookmarkEnd w:id="30"/>
      <w:bookmarkStart w:id="31" w:name="_Hlt68057669"/>
      <w:bookmarkEnd w:id="31"/>
      <w:bookmarkStart w:id="32" w:name="_Hlt74707468"/>
      <w:bookmarkEnd w:id="32"/>
    </w:p>
    <w:p w14:paraId="4EABA81C">
      <w:pPr>
        <w:pStyle w:val="27"/>
        <w:spacing w:line="360" w:lineRule="auto"/>
        <w:ind w:firstLine="482" w:firstLineChars="0"/>
        <w:rPr>
          <w:rFonts w:hint="eastAsia"/>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eastAsia="宋体" w:cs="宋体"/>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7"/>
    <w:bookmarkEnd w:id="18"/>
    <w:p w14:paraId="66A96BB9">
      <w:pPr>
        <w:spacing w:line="360" w:lineRule="auto"/>
        <w:jc w:val="center"/>
        <w:outlineLvl w:val="0"/>
        <w:rPr>
          <w:rFonts w:hint="eastAsia" w:ascii="宋体" w:hAnsi="宋体" w:cs="宋体"/>
          <w:b/>
          <w:color w:val="auto"/>
          <w:sz w:val="36"/>
          <w:szCs w:val="36"/>
          <w:highlight w:val="none"/>
        </w:rPr>
      </w:pPr>
      <w:bookmarkStart w:id="33" w:name="第四部分"/>
      <w:r>
        <w:rPr>
          <w:rFonts w:hint="eastAsia" w:ascii="宋体" w:hAnsi="宋体" w:cs="宋体"/>
          <w:b/>
          <w:color w:val="auto"/>
          <w:sz w:val="36"/>
          <w:szCs w:val="36"/>
          <w:highlight w:val="none"/>
        </w:rPr>
        <w:t>第三部分   采购需求</w:t>
      </w:r>
    </w:p>
    <w:p w14:paraId="0C9694E4">
      <w:pPr>
        <w:spacing w:line="360" w:lineRule="auto"/>
        <w:outlineLvl w:val="0"/>
        <w:rPr>
          <w:rFonts w:hint="eastAsia" w:ascii="宋体" w:hAnsi="宋体" w:cs="宋体"/>
          <w:color w:val="auto"/>
          <w:kern w:val="0"/>
          <w:sz w:val="24"/>
          <w:highlight w:val="none"/>
        </w:rPr>
      </w:pPr>
      <w:r>
        <w:rPr>
          <w:rFonts w:hint="eastAsia" w:ascii="宋体" w:hAnsi="宋体" w:cs="宋体"/>
          <w:b/>
          <w:bCs/>
          <w:color w:val="auto"/>
          <w:sz w:val="24"/>
          <w:highlight w:val="none"/>
        </w:rPr>
        <w:t>一、项目概况</w:t>
      </w:r>
    </w:p>
    <w:p w14:paraId="07DAABE6">
      <w:pPr>
        <w:widowControl/>
        <w:tabs>
          <w:tab w:val="left" w:pos="4755"/>
        </w:tabs>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杭州市第四人民医院迁建工程位于杭州市滨江区浦沿单元，东至浦沿路绿化带，西至规划新浦路，北至规划道路，南至规划浦湖街。项目总用地规模约31502㎡，总建筑面积暂定为156687㎡，其中地上建筑面积约91506㎡，地下建筑面积约65181㎡，</w:t>
      </w:r>
      <w:r>
        <w:rPr>
          <w:rFonts w:hint="eastAsia" w:ascii="宋体" w:hAnsi="宋体" w:cs="宋体"/>
          <w:bCs/>
          <w:color w:val="auto"/>
          <w:sz w:val="24"/>
          <w:highlight w:val="none"/>
        </w:rPr>
        <w:t>项目概算总投资约133269万元</w:t>
      </w:r>
      <w:r>
        <w:rPr>
          <w:rFonts w:hint="eastAsia" w:ascii="宋体" w:hAnsi="宋体" w:cs="宋体"/>
          <w:color w:val="auto"/>
          <w:kern w:val="0"/>
          <w:sz w:val="24"/>
          <w:highlight w:val="none"/>
          <w:lang w:bidi="ar"/>
        </w:rPr>
        <w:t>。</w:t>
      </w:r>
    </w:p>
    <w:p w14:paraId="6B014B74">
      <w:pPr>
        <w:spacing w:line="360" w:lineRule="auto"/>
        <w:outlineLvl w:val="0"/>
        <w:rPr>
          <w:rFonts w:hint="eastAsia" w:ascii="宋体" w:hAnsi="宋体" w:cs="宋体"/>
          <w:b/>
          <w:bCs/>
          <w:color w:val="auto"/>
          <w:sz w:val="24"/>
          <w:highlight w:val="none"/>
        </w:rPr>
      </w:pPr>
      <w:r>
        <w:rPr>
          <w:rFonts w:hint="eastAsia" w:ascii="宋体" w:hAnsi="宋体" w:cs="宋体"/>
          <w:b/>
          <w:bCs/>
          <w:color w:val="auto"/>
          <w:sz w:val="24"/>
          <w:highlight w:val="none"/>
        </w:rPr>
        <w:t>二、BIM技术服务要求及工作内容：</w:t>
      </w:r>
    </w:p>
    <w:p w14:paraId="2BB8841F">
      <w:pPr>
        <w:pStyle w:val="29"/>
        <w:widowControl w:val="0"/>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本项目BIM咨询服务包括但不限于施工图设计阶段、施工阶段、竣工阶段的BIM技术应用服务。具体内容包括但不限于：</w:t>
      </w:r>
    </w:p>
    <w:p w14:paraId="60B17127">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1.搭建BIM集成化协同管理平台</w:t>
      </w:r>
    </w:p>
    <w:p w14:paraId="124EC17C">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1.1构建面向建筑行业的数字化信息管理平台，并在平台基础上提供数字化服务：</w:t>
      </w:r>
    </w:p>
    <w:p w14:paraId="72615D21">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（1）平台已在多个案例中成功应用；运行稳定，并具有较强的容错能力；</w:t>
      </w:r>
    </w:p>
    <w:p w14:paraId="1C3EA5D7">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（2）从用户角度出发，方便使用、操作简单；界面表达清晰、美观；并提供联机式在线帮助；</w:t>
      </w:r>
    </w:p>
    <w:p w14:paraId="2A6CDD7B">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（3）平台必须实现基于互联网的协同共享，可根据角色设定权限，并且实现构件级的数据共享、查询和调用；</w:t>
      </w:r>
    </w:p>
    <w:p w14:paraId="2D799040">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（4）平台功能全面、实用，技术先进，专业性强，满足各类不同需求；</w:t>
      </w:r>
    </w:p>
    <w:p w14:paraId="2B9FB58D">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（5）平台应具有信息沟通和项目管理日志功能，以便项目建设过程的信息追溯；</w:t>
      </w:r>
    </w:p>
    <w:p w14:paraId="2904B4F2">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（6）平台应具备相应的权限管理以保证数据的安全性；</w:t>
      </w:r>
    </w:p>
    <w:p w14:paraId="349E6FC5">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（7）安装或者登录方便，提供24小时维护响应。</w:t>
      </w:r>
    </w:p>
    <w:p w14:paraId="3D32B9D3">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 集成化协同管理平台采用云端服务器，租赁费用包含在本次投标报价中，由中标人自行支付。期限自合同签订之日起至整体项目竣工验收合格止。</w:t>
      </w:r>
    </w:p>
    <w:p w14:paraId="5E0FA4A6">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2.施工图设计阶段：用BIM 搭建场地模型、结构模型、建筑模型和设备模型，并利用其多专业协同设计的独特优势，用于施工图设计的校审和优化。校审的内容包括设计中各专业的错漏碰问题查验，发现施工中的冲突点和难点，加以优化和协调。模型定稿后，抽取工程量，为工程的概、预算提供准确的数据，为招标、分包、材料、工程管理等施工管理工作服务。包括但不限于以下工作：</w:t>
      </w:r>
    </w:p>
    <w:p w14:paraId="192C5BB5">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a.本项目全专业（</w:t>
      </w:r>
      <w:r>
        <w:rPr>
          <w:rFonts w:hint="eastAsia" w:ascii="宋体" w:hAnsi="宋体" w:cs="仿宋_GB2312"/>
          <w:color w:val="auto"/>
          <w:sz w:val="24"/>
          <w:highlight w:val="none"/>
        </w:rPr>
        <w:t>建筑、结构（含钢结构、减隔震及地基处理）、给排水、暖通、强弱电、智能化（含光纤入户及信号覆盖）、室内外装修、人防工程、消防工程、幕墙、燃气、室外市政、永久用电、室外配套、景观绿化、电梯、医疗专项、医疗家具、基坑及边坡支护、接入外线工程等</w:t>
      </w:r>
      <w:r>
        <w:rPr>
          <w:rFonts w:hint="eastAsia" w:ascii="宋体" w:hAnsi="宋体" w:cs="宋体"/>
          <w:color w:val="auto"/>
          <w:sz w:val="24"/>
          <w:highlight w:val="none"/>
        </w:rPr>
        <w:t>）BIM 设计建模；</w:t>
      </w:r>
    </w:p>
    <w:p w14:paraId="55C6FBB4">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b.引用设计单位提供的土建、机电、装修、医疗专项等各专业图纸，对a.部分的设计内容进行三维可视化建模并检查，出具碰撞检查报告，净高分析报告，提出优化建议，并根据设计调整更新BIM模型，封闭各项设计问题；利用BIM模型实现虚拟漫游、三维可视化，同时对人流、车流、物流等进行模拟分析；</w:t>
      </w:r>
    </w:p>
    <w:p w14:paraId="4DB31722">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c.建立各自专业的族库文件，按照设计LOD300规范分类管理；</w:t>
      </w:r>
    </w:p>
    <w:p w14:paraId="6A8B5F05">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d.按发包人要求出席设计例会、项目例会、设计交底会等工程会议，并在会议中进行BIM 模型的操作；</w:t>
      </w:r>
    </w:p>
    <w:p w14:paraId="7FC943B1">
      <w:pPr>
        <w:pStyle w:val="29"/>
        <w:widowControl w:val="0"/>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e.</w:t>
      </w:r>
      <w:r>
        <w:rPr>
          <w:rFonts w:hint="eastAsia" w:ascii="宋体" w:hAnsi="宋体" w:cs="仿宋_GB2312"/>
          <w:color w:val="auto"/>
          <w:sz w:val="24"/>
          <w:szCs w:val="24"/>
          <w:highlight w:val="none"/>
        </w:rPr>
        <w:t>为项目各参建单位提供全面的BIM管理及技术应用培训，培训内容包括BIM协同管理平台应用培训、BIM基础知识培训、BIM技术应用培训及BIM管理应用培训。</w:t>
      </w:r>
    </w:p>
    <w:p w14:paraId="6736C752">
      <w:pPr>
        <w:pStyle w:val="29"/>
        <w:widowControl w:val="0"/>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3.施工阶段：包括但不限于</w:t>
      </w:r>
      <w:r>
        <w:rPr>
          <w:rFonts w:hint="eastAsia" w:ascii="宋体" w:hAnsi="宋体" w:cs="仿宋_GB2312"/>
          <w:color w:val="auto"/>
          <w:sz w:val="24"/>
          <w:szCs w:val="24"/>
          <w:highlight w:val="none"/>
        </w:rPr>
        <w:t>各专业深化设计、</w:t>
      </w:r>
      <w:r>
        <w:rPr>
          <w:rFonts w:hint="eastAsia" w:ascii="宋体" w:hAnsi="宋体" w:cs="宋体"/>
          <w:color w:val="auto"/>
          <w:sz w:val="24"/>
          <w:szCs w:val="24"/>
          <w:highlight w:val="none"/>
        </w:rPr>
        <w:t>施工阶段施工组织、施工工艺、进度、质量、安全、验收BIM技术应用。</w:t>
      </w:r>
    </w:p>
    <w:p w14:paraId="3B8995E4">
      <w:pPr>
        <w:pStyle w:val="29"/>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4.</w:t>
      </w:r>
      <w:bookmarkStart w:id="34" w:name="_Hlk178510774"/>
      <w:r>
        <w:rPr>
          <w:rFonts w:hint="eastAsia" w:ascii="宋体" w:hAnsi="宋体" w:cs="仿宋_GB2312"/>
          <w:color w:val="auto"/>
          <w:sz w:val="24"/>
          <w:szCs w:val="24"/>
          <w:highlight w:val="none"/>
        </w:rPr>
        <w:t xml:space="preserve">竣工验收后，依据竣工资料完成整个项目的 BIM 竣工模型（包含建筑、结构、机电、医疗专项工程、室外配套）的创建。辅助甲方完成竣工资料信息化归档及项目移交工作。 </w:t>
      </w:r>
    </w:p>
    <w:bookmarkEnd w:id="34"/>
    <w:p w14:paraId="28482465">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具体服务内容详见下表：</w:t>
      </w:r>
    </w:p>
    <w:tbl>
      <w:tblPr>
        <w:tblStyle w:val="16"/>
        <w:tblW w:w="929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454"/>
        <w:gridCol w:w="5240"/>
        <w:gridCol w:w="1678"/>
      </w:tblGrid>
      <w:tr w14:paraId="5A3F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Align w:val="center"/>
          </w:tcPr>
          <w:p w14:paraId="72A904FD">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阶段</w:t>
            </w:r>
          </w:p>
        </w:tc>
        <w:tc>
          <w:tcPr>
            <w:tcW w:w="1454" w:type="dxa"/>
            <w:vAlign w:val="center"/>
          </w:tcPr>
          <w:p w14:paraId="593156FE">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BIM服务内容</w:t>
            </w:r>
          </w:p>
        </w:tc>
        <w:tc>
          <w:tcPr>
            <w:tcW w:w="5240" w:type="dxa"/>
            <w:vAlign w:val="center"/>
          </w:tcPr>
          <w:p w14:paraId="54E33C7E">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服务描述</w:t>
            </w:r>
          </w:p>
        </w:tc>
        <w:tc>
          <w:tcPr>
            <w:tcW w:w="1678" w:type="dxa"/>
            <w:vAlign w:val="center"/>
          </w:tcPr>
          <w:p w14:paraId="2C948F08">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交付成果</w:t>
            </w:r>
          </w:p>
        </w:tc>
      </w:tr>
      <w:tr w14:paraId="5E1B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restart"/>
            <w:vAlign w:val="center"/>
          </w:tcPr>
          <w:p w14:paraId="62EFE351">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BIM准备服务</w:t>
            </w:r>
          </w:p>
        </w:tc>
        <w:tc>
          <w:tcPr>
            <w:tcW w:w="1454" w:type="dxa"/>
            <w:vMerge w:val="restart"/>
            <w:vAlign w:val="center"/>
          </w:tcPr>
          <w:p w14:paraId="27F08DBE">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制定及规划项目BIM要求</w:t>
            </w:r>
          </w:p>
        </w:tc>
        <w:tc>
          <w:tcPr>
            <w:tcW w:w="5240" w:type="dxa"/>
            <w:vAlign w:val="center"/>
          </w:tcPr>
          <w:p w14:paraId="527A7A67">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1.1 主持BIM启动会议及需求调研</w:t>
            </w:r>
          </w:p>
        </w:tc>
        <w:tc>
          <w:tcPr>
            <w:tcW w:w="1678" w:type="dxa"/>
            <w:vMerge w:val="restart"/>
            <w:vAlign w:val="center"/>
          </w:tcPr>
          <w:p w14:paraId="3FB6AD17">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《BIM服务执行计划》（doc/pdf文件）</w:t>
            </w:r>
          </w:p>
        </w:tc>
      </w:tr>
      <w:tr w14:paraId="7162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continue"/>
            <w:vAlign w:val="center"/>
          </w:tcPr>
          <w:p w14:paraId="52889FAC">
            <w:pPr>
              <w:spacing w:line="460" w:lineRule="exact"/>
              <w:rPr>
                <w:rFonts w:hint="eastAsia" w:ascii="宋体" w:hAnsi="宋体" w:cs="宋体"/>
                <w:color w:val="auto"/>
                <w:sz w:val="24"/>
                <w:highlight w:val="none"/>
              </w:rPr>
            </w:pPr>
          </w:p>
        </w:tc>
        <w:tc>
          <w:tcPr>
            <w:tcW w:w="1454" w:type="dxa"/>
            <w:vMerge w:val="continue"/>
            <w:vAlign w:val="center"/>
          </w:tcPr>
          <w:p w14:paraId="5E626425">
            <w:pPr>
              <w:spacing w:line="460" w:lineRule="exact"/>
              <w:rPr>
                <w:rFonts w:hint="eastAsia" w:ascii="宋体" w:hAnsi="宋体" w:cs="宋体"/>
                <w:color w:val="auto"/>
                <w:sz w:val="24"/>
                <w:highlight w:val="none"/>
              </w:rPr>
            </w:pPr>
          </w:p>
        </w:tc>
        <w:tc>
          <w:tcPr>
            <w:tcW w:w="5240" w:type="dxa"/>
            <w:vAlign w:val="center"/>
          </w:tcPr>
          <w:p w14:paraId="7FA8D766">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1.2 制定模型深度标准及创建规则</w:t>
            </w:r>
          </w:p>
        </w:tc>
        <w:tc>
          <w:tcPr>
            <w:tcW w:w="1678" w:type="dxa"/>
            <w:vMerge w:val="continue"/>
            <w:vAlign w:val="center"/>
          </w:tcPr>
          <w:p w14:paraId="0B5C5CD8">
            <w:pPr>
              <w:spacing w:line="460" w:lineRule="exact"/>
              <w:rPr>
                <w:rFonts w:hint="eastAsia" w:ascii="宋体" w:hAnsi="宋体" w:cs="宋体"/>
                <w:color w:val="auto"/>
                <w:sz w:val="24"/>
                <w:highlight w:val="none"/>
              </w:rPr>
            </w:pPr>
          </w:p>
        </w:tc>
      </w:tr>
      <w:tr w14:paraId="752A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continue"/>
            <w:vAlign w:val="center"/>
          </w:tcPr>
          <w:p w14:paraId="69670B84">
            <w:pPr>
              <w:spacing w:line="460" w:lineRule="exact"/>
              <w:rPr>
                <w:rFonts w:hint="eastAsia" w:ascii="宋体" w:hAnsi="宋体" w:cs="宋体"/>
                <w:color w:val="auto"/>
                <w:sz w:val="24"/>
                <w:highlight w:val="none"/>
              </w:rPr>
            </w:pPr>
          </w:p>
        </w:tc>
        <w:tc>
          <w:tcPr>
            <w:tcW w:w="1454" w:type="dxa"/>
            <w:vMerge w:val="continue"/>
            <w:vAlign w:val="center"/>
          </w:tcPr>
          <w:p w14:paraId="3131BCF7">
            <w:pPr>
              <w:spacing w:line="460" w:lineRule="exact"/>
              <w:rPr>
                <w:rFonts w:hint="eastAsia" w:ascii="宋体" w:hAnsi="宋体" w:cs="宋体"/>
                <w:color w:val="auto"/>
                <w:sz w:val="24"/>
                <w:highlight w:val="none"/>
              </w:rPr>
            </w:pPr>
          </w:p>
        </w:tc>
        <w:tc>
          <w:tcPr>
            <w:tcW w:w="5240" w:type="dxa"/>
            <w:vAlign w:val="center"/>
          </w:tcPr>
          <w:p w14:paraId="5C2B2CCA">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1.3 制定数字化样板房模型深度和渲染要求</w:t>
            </w:r>
          </w:p>
        </w:tc>
        <w:tc>
          <w:tcPr>
            <w:tcW w:w="1678" w:type="dxa"/>
            <w:vMerge w:val="continue"/>
            <w:vAlign w:val="center"/>
          </w:tcPr>
          <w:p w14:paraId="7F623225">
            <w:pPr>
              <w:spacing w:line="460" w:lineRule="exact"/>
              <w:rPr>
                <w:rFonts w:hint="eastAsia" w:ascii="宋体" w:hAnsi="宋体" w:cs="宋体"/>
                <w:color w:val="auto"/>
                <w:sz w:val="24"/>
                <w:highlight w:val="none"/>
              </w:rPr>
            </w:pPr>
          </w:p>
        </w:tc>
      </w:tr>
      <w:tr w14:paraId="053D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continue"/>
            <w:vAlign w:val="center"/>
          </w:tcPr>
          <w:p w14:paraId="04A6942D">
            <w:pPr>
              <w:spacing w:line="460" w:lineRule="exact"/>
              <w:rPr>
                <w:rFonts w:hint="eastAsia" w:ascii="宋体" w:hAnsi="宋体" w:cs="宋体"/>
                <w:color w:val="auto"/>
                <w:sz w:val="24"/>
                <w:highlight w:val="none"/>
              </w:rPr>
            </w:pPr>
          </w:p>
        </w:tc>
        <w:tc>
          <w:tcPr>
            <w:tcW w:w="1454" w:type="dxa"/>
            <w:vMerge w:val="continue"/>
            <w:vAlign w:val="center"/>
          </w:tcPr>
          <w:p w14:paraId="058F29D7">
            <w:pPr>
              <w:spacing w:line="460" w:lineRule="exact"/>
              <w:rPr>
                <w:rFonts w:hint="eastAsia" w:ascii="宋体" w:hAnsi="宋体" w:cs="宋体"/>
                <w:color w:val="auto"/>
                <w:sz w:val="24"/>
                <w:highlight w:val="none"/>
              </w:rPr>
            </w:pPr>
          </w:p>
        </w:tc>
        <w:tc>
          <w:tcPr>
            <w:tcW w:w="5240" w:type="dxa"/>
            <w:vAlign w:val="center"/>
          </w:tcPr>
          <w:p w14:paraId="6044C604">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1.4 制定BIM模型深度要求</w:t>
            </w:r>
          </w:p>
        </w:tc>
        <w:tc>
          <w:tcPr>
            <w:tcW w:w="1678" w:type="dxa"/>
            <w:vMerge w:val="continue"/>
            <w:vAlign w:val="center"/>
          </w:tcPr>
          <w:p w14:paraId="496D6809">
            <w:pPr>
              <w:spacing w:line="460" w:lineRule="exact"/>
              <w:rPr>
                <w:rFonts w:hint="eastAsia" w:ascii="宋体" w:hAnsi="宋体" w:cs="宋体"/>
                <w:color w:val="auto"/>
                <w:sz w:val="24"/>
                <w:highlight w:val="none"/>
              </w:rPr>
            </w:pPr>
          </w:p>
        </w:tc>
      </w:tr>
      <w:tr w14:paraId="4BD1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continue"/>
            <w:vAlign w:val="center"/>
          </w:tcPr>
          <w:p w14:paraId="104089EC">
            <w:pPr>
              <w:spacing w:line="460" w:lineRule="exact"/>
              <w:rPr>
                <w:rFonts w:hint="eastAsia" w:ascii="宋体" w:hAnsi="宋体" w:cs="宋体"/>
                <w:color w:val="auto"/>
                <w:sz w:val="24"/>
                <w:highlight w:val="none"/>
              </w:rPr>
            </w:pPr>
          </w:p>
        </w:tc>
        <w:tc>
          <w:tcPr>
            <w:tcW w:w="1454" w:type="dxa"/>
            <w:vMerge w:val="continue"/>
            <w:vAlign w:val="center"/>
          </w:tcPr>
          <w:p w14:paraId="16F7EC51">
            <w:pPr>
              <w:spacing w:line="460" w:lineRule="exact"/>
              <w:rPr>
                <w:rFonts w:hint="eastAsia" w:ascii="宋体" w:hAnsi="宋体" w:cs="宋体"/>
                <w:color w:val="auto"/>
                <w:sz w:val="24"/>
                <w:highlight w:val="none"/>
              </w:rPr>
            </w:pPr>
          </w:p>
        </w:tc>
        <w:tc>
          <w:tcPr>
            <w:tcW w:w="5240" w:type="dxa"/>
            <w:vAlign w:val="center"/>
          </w:tcPr>
          <w:p w14:paraId="4031A123">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1.5 制定BIM技术基础设施（软件、硬件、平台）要求</w:t>
            </w:r>
          </w:p>
        </w:tc>
        <w:tc>
          <w:tcPr>
            <w:tcW w:w="1678" w:type="dxa"/>
            <w:vMerge w:val="continue"/>
            <w:vAlign w:val="center"/>
          </w:tcPr>
          <w:p w14:paraId="4AFFA104">
            <w:pPr>
              <w:spacing w:line="460" w:lineRule="exact"/>
              <w:rPr>
                <w:rFonts w:hint="eastAsia" w:ascii="宋体" w:hAnsi="宋体" w:cs="宋体"/>
                <w:color w:val="auto"/>
                <w:sz w:val="24"/>
                <w:highlight w:val="none"/>
              </w:rPr>
            </w:pPr>
          </w:p>
        </w:tc>
      </w:tr>
      <w:tr w14:paraId="1278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continue"/>
            <w:vAlign w:val="center"/>
          </w:tcPr>
          <w:p w14:paraId="2CF218A4">
            <w:pPr>
              <w:spacing w:line="460" w:lineRule="exact"/>
              <w:rPr>
                <w:rFonts w:hint="eastAsia" w:ascii="宋体" w:hAnsi="宋体" w:cs="宋体"/>
                <w:color w:val="auto"/>
                <w:sz w:val="24"/>
                <w:highlight w:val="none"/>
              </w:rPr>
            </w:pPr>
          </w:p>
        </w:tc>
        <w:tc>
          <w:tcPr>
            <w:tcW w:w="1454" w:type="dxa"/>
            <w:vMerge w:val="continue"/>
            <w:vAlign w:val="center"/>
          </w:tcPr>
          <w:p w14:paraId="5EA80665">
            <w:pPr>
              <w:spacing w:line="460" w:lineRule="exact"/>
              <w:rPr>
                <w:rFonts w:hint="eastAsia" w:ascii="宋体" w:hAnsi="宋体" w:cs="宋体"/>
                <w:color w:val="auto"/>
                <w:sz w:val="24"/>
                <w:highlight w:val="none"/>
              </w:rPr>
            </w:pPr>
          </w:p>
        </w:tc>
        <w:tc>
          <w:tcPr>
            <w:tcW w:w="5240" w:type="dxa"/>
            <w:vAlign w:val="center"/>
          </w:tcPr>
          <w:p w14:paraId="6F0A4115">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1.6 制定项目BIM交付的数据标准</w:t>
            </w:r>
          </w:p>
        </w:tc>
        <w:tc>
          <w:tcPr>
            <w:tcW w:w="1678" w:type="dxa"/>
            <w:vMerge w:val="continue"/>
            <w:vAlign w:val="center"/>
          </w:tcPr>
          <w:p w14:paraId="776FAE26">
            <w:pPr>
              <w:spacing w:line="460" w:lineRule="exact"/>
              <w:rPr>
                <w:rFonts w:hint="eastAsia" w:ascii="宋体" w:hAnsi="宋体" w:cs="宋体"/>
                <w:color w:val="auto"/>
                <w:sz w:val="24"/>
                <w:highlight w:val="none"/>
              </w:rPr>
            </w:pPr>
          </w:p>
        </w:tc>
      </w:tr>
      <w:tr w14:paraId="355D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continue"/>
            <w:vAlign w:val="center"/>
          </w:tcPr>
          <w:p w14:paraId="416F7D3C">
            <w:pPr>
              <w:spacing w:line="460" w:lineRule="exact"/>
              <w:rPr>
                <w:rFonts w:hint="eastAsia" w:ascii="宋体" w:hAnsi="宋体" w:cs="宋体"/>
                <w:color w:val="auto"/>
                <w:sz w:val="24"/>
                <w:highlight w:val="none"/>
              </w:rPr>
            </w:pPr>
          </w:p>
        </w:tc>
        <w:tc>
          <w:tcPr>
            <w:tcW w:w="1454" w:type="dxa"/>
            <w:vMerge w:val="continue"/>
            <w:vAlign w:val="center"/>
          </w:tcPr>
          <w:p w14:paraId="6D24438E">
            <w:pPr>
              <w:spacing w:line="460" w:lineRule="exact"/>
              <w:rPr>
                <w:rFonts w:hint="eastAsia" w:ascii="宋体" w:hAnsi="宋体" w:cs="宋体"/>
                <w:color w:val="auto"/>
                <w:sz w:val="24"/>
                <w:highlight w:val="none"/>
              </w:rPr>
            </w:pPr>
          </w:p>
        </w:tc>
        <w:tc>
          <w:tcPr>
            <w:tcW w:w="5240" w:type="dxa"/>
            <w:vAlign w:val="center"/>
          </w:tcPr>
          <w:p w14:paraId="234099D8">
            <w:pPr>
              <w:snapToGrid w:val="0"/>
              <w:spacing w:line="460" w:lineRule="exact"/>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1.7项目样板文件包括但不限于BIM模型基础定位文件、BIM模型样板、分析报告样板、净高分析图样板、BIM深化出图样板、问题追踪统计销项样板等，以便在项目实施过程中统一BIM实施的模型、数据、报告、图纸等成果性文件。</w:t>
            </w:r>
          </w:p>
        </w:tc>
        <w:tc>
          <w:tcPr>
            <w:tcW w:w="1678" w:type="dxa"/>
            <w:vMerge w:val="continue"/>
            <w:vAlign w:val="center"/>
          </w:tcPr>
          <w:p w14:paraId="005AC5AB">
            <w:pPr>
              <w:spacing w:line="460" w:lineRule="exact"/>
              <w:rPr>
                <w:rFonts w:hint="eastAsia" w:ascii="宋体" w:hAnsi="宋体" w:cs="宋体"/>
                <w:color w:val="auto"/>
                <w:sz w:val="24"/>
                <w:highlight w:val="none"/>
              </w:rPr>
            </w:pPr>
          </w:p>
        </w:tc>
      </w:tr>
      <w:tr w14:paraId="6510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920" w:type="dxa"/>
            <w:vMerge w:val="continue"/>
            <w:vAlign w:val="center"/>
          </w:tcPr>
          <w:p w14:paraId="6F95E20D">
            <w:pPr>
              <w:spacing w:line="460" w:lineRule="exact"/>
              <w:rPr>
                <w:rFonts w:hint="eastAsia" w:ascii="宋体" w:hAnsi="宋体" w:cs="宋体"/>
                <w:color w:val="auto"/>
                <w:sz w:val="24"/>
                <w:highlight w:val="none"/>
              </w:rPr>
            </w:pPr>
          </w:p>
        </w:tc>
        <w:tc>
          <w:tcPr>
            <w:tcW w:w="1454" w:type="dxa"/>
            <w:vAlign w:val="center"/>
          </w:tcPr>
          <w:p w14:paraId="640E0FD8">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BIM执行计划</w:t>
            </w:r>
          </w:p>
        </w:tc>
        <w:tc>
          <w:tcPr>
            <w:tcW w:w="5240" w:type="dxa"/>
            <w:vAlign w:val="center"/>
          </w:tcPr>
          <w:p w14:paraId="0A82CCE1">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项目执行计划是BIM服务的开展依据。对项目中各阶段的工作内容、工作周期、模型深度、分析内容等做出明确的要求，同时可作为工作验收与工作协调的基础文件。</w:t>
            </w:r>
          </w:p>
        </w:tc>
        <w:tc>
          <w:tcPr>
            <w:tcW w:w="1678" w:type="dxa"/>
            <w:vAlign w:val="center"/>
          </w:tcPr>
          <w:p w14:paraId="56FA8D6F">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《BIM服务执行计划》（doc/pdf文件）</w:t>
            </w:r>
          </w:p>
        </w:tc>
      </w:tr>
      <w:tr w14:paraId="0CCC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20" w:type="dxa"/>
            <w:vMerge w:val="continue"/>
            <w:vAlign w:val="center"/>
          </w:tcPr>
          <w:p w14:paraId="4C39A6FB">
            <w:pPr>
              <w:spacing w:line="460" w:lineRule="exact"/>
              <w:rPr>
                <w:rFonts w:hint="eastAsia" w:ascii="宋体" w:hAnsi="宋体" w:cs="宋体"/>
                <w:color w:val="auto"/>
                <w:sz w:val="24"/>
                <w:highlight w:val="none"/>
              </w:rPr>
            </w:pPr>
          </w:p>
        </w:tc>
        <w:tc>
          <w:tcPr>
            <w:tcW w:w="1454" w:type="dxa"/>
            <w:vAlign w:val="center"/>
          </w:tcPr>
          <w:p w14:paraId="5AC7D881">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提供BIM管理平台及相关模型浏览应用</w:t>
            </w:r>
          </w:p>
        </w:tc>
        <w:tc>
          <w:tcPr>
            <w:tcW w:w="5240" w:type="dxa"/>
            <w:vAlign w:val="center"/>
          </w:tcPr>
          <w:p w14:paraId="3FC9A73A">
            <w:pPr>
              <w:snapToGrid w:val="0"/>
              <w:spacing w:line="460" w:lineRule="exact"/>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为设计方、总包方、业主等项目相关人员提供了一个全新的跨部门协同工作平台，满足项目的需求，可将BIM数据通过移动终端进行管理和查看，实现对BIM数据的实时把控。</w:t>
            </w:r>
          </w:p>
          <w:p w14:paraId="36213828">
            <w:pPr>
              <w:snapToGrid w:val="0"/>
              <w:spacing w:line="460" w:lineRule="exact"/>
              <w:jc w:val="left"/>
              <w:rPr>
                <w:rFonts w:hint="eastAsia" w:ascii="宋体" w:hAnsi="宋体"/>
                <w:color w:val="auto"/>
                <w:highlight w:val="none"/>
              </w:rPr>
            </w:pPr>
            <w:r>
              <w:rPr>
                <w:rFonts w:hint="eastAsia" w:ascii="宋体" w:hAnsi="宋体" w:cs="宋体"/>
                <w:color w:val="auto"/>
                <w:sz w:val="24"/>
                <w:highlight w:val="none"/>
                <w:lang w:bidi="ar"/>
              </w:rPr>
              <w:t>BIM管理平台功能至少包括BIM模型及图档的数字化存储管理、轻量化BIM模型查看、质量安全追踪管理，平台不限用户数、不限存储容量，提供Android及iOS移动客户端数据访问。在项目实施过程中，应持续更新平台数据，同时数据应通过BIM协同管理平台分发至项目各参与方。</w:t>
            </w:r>
          </w:p>
        </w:tc>
        <w:tc>
          <w:tcPr>
            <w:tcW w:w="1678" w:type="dxa"/>
            <w:vAlign w:val="center"/>
          </w:tcPr>
          <w:p w14:paraId="33743970">
            <w:pPr>
              <w:snapToGrid w:val="0"/>
              <w:spacing w:line="460" w:lineRule="exact"/>
              <w:jc w:val="center"/>
              <w:rPr>
                <w:rFonts w:hint="eastAsia" w:ascii="宋体" w:hAnsi="宋体" w:cs="宋体"/>
                <w:color w:val="auto"/>
                <w:sz w:val="24"/>
                <w:highlight w:val="none"/>
              </w:rPr>
            </w:pPr>
          </w:p>
        </w:tc>
      </w:tr>
      <w:tr w14:paraId="1BA2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0" w:type="dxa"/>
            <w:vMerge w:val="restart"/>
            <w:vAlign w:val="center"/>
          </w:tcPr>
          <w:p w14:paraId="14EDB73D">
            <w:pPr>
              <w:spacing w:line="460" w:lineRule="exact"/>
              <w:rPr>
                <w:rFonts w:hint="eastAsia" w:ascii="宋体" w:hAnsi="宋体" w:cs="宋体"/>
                <w:color w:val="auto"/>
                <w:sz w:val="24"/>
                <w:highlight w:val="none"/>
              </w:rPr>
            </w:pPr>
            <w:r>
              <w:rPr>
                <w:rFonts w:hint="eastAsia" w:ascii="宋体" w:hAnsi="宋体" w:cs="宋体"/>
                <w:color w:val="auto"/>
                <w:sz w:val="24"/>
                <w:highlight w:val="none"/>
                <w:lang w:bidi="ar"/>
              </w:rPr>
              <w:t>设计阶段</w:t>
            </w:r>
          </w:p>
        </w:tc>
        <w:tc>
          <w:tcPr>
            <w:tcW w:w="1454" w:type="dxa"/>
            <w:shd w:val="clear" w:color="auto" w:fill="auto"/>
            <w:vAlign w:val="center"/>
          </w:tcPr>
          <w:p w14:paraId="7E9B4DFD">
            <w:pPr>
              <w:snapToGrid w:val="0"/>
              <w:spacing w:line="46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rPr>
              <w:t>施工图设计阶段</w:t>
            </w:r>
          </w:p>
        </w:tc>
        <w:tc>
          <w:tcPr>
            <w:tcW w:w="5240" w:type="dxa"/>
            <w:shd w:val="clear" w:color="auto" w:fill="auto"/>
            <w:vAlign w:val="center"/>
          </w:tcPr>
          <w:p w14:paraId="270BD0E8">
            <w:pPr>
              <w:snapToGrid w:val="0"/>
              <w:spacing w:line="460" w:lineRule="exact"/>
              <w:jc w:val="left"/>
              <w:rPr>
                <w:rFonts w:hint="eastAsia" w:ascii="宋体" w:hAnsi="宋体" w:cs="宋体"/>
                <w:color w:val="auto"/>
                <w:sz w:val="24"/>
                <w:highlight w:val="none"/>
                <w:lang w:bidi="ar"/>
              </w:rPr>
            </w:pPr>
            <w:r>
              <w:rPr>
                <w:rFonts w:hint="eastAsia" w:ascii="宋体" w:hAnsi="宋体" w:cs="宋体"/>
                <w:color w:val="auto"/>
                <w:sz w:val="24"/>
                <w:highlight w:val="none"/>
              </w:rPr>
              <w:t>完成本阶段可视化BIM建模、BIM模型工程量的快速提取及精确计算、出具碰撞检查报告及净高分析报告，并进行各专业BIM设计复核及优化分析，协调指导设计完成预留孔洞图及主要管线深化排布图纸。跟踪BIM问题的销项工作。</w:t>
            </w:r>
          </w:p>
        </w:tc>
        <w:tc>
          <w:tcPr>
            <w:tcW w:w="1678" w:type="dxa"/>
            <w:shd w:val="clear" w:color="auto" w:fill="auto"/>
            <w:vAlign w:val="center"/>
          </w:tcPr>
          <w:p w14:paraId="0B5A20A3">
            <w:pPr>
              <w:snapToGrid w:val="0"/>
              <w:spacing w:line="46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LOD300模型、报告</w:t>
            </w:r>
          </w:p>
        </w:tc>
      </w:tr>
      <w:tr w14:paraId="2C9E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0" w:type="dxa"/>
            <w:vMerge w:val="continue"/>
            <w:vAlign w:val="center"/>
          </w:tcPr>
          <w:p w14:paraId="4E4E31E5">
            <w:pPr>
              <w:spacing w:line="460" w:lineRule="exact"/>
              <w:rPr>
                <w:rFonts w:hint="eastAsia" w:ascii="宋体" w:hAnsi="宋体" w:cs="宋体"/>
                <w:color w:val="auto"/>
                <w:sz w:val="24"/>
                <w:highlight w:val="none"/>
                <w:lang w:bidi="ar"/>
              </w:rPr>
            </w:pPr>
          </w:p>
        </w:tc>
        <w:tc>
          <w:tcPr>
            <w:tcW w:w="1454" w:type="dxa"/>
            <w:vAlign w:val="center"/>
          </w:tcPr>
          <w:p w14:paraId="28DCF5B6">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管线综合优化</w:t>
            </w:r>
          </w:p>
        </w:tc>
        <w:tc>
          <w:tcPr>
            <w:tcW w:w="5240" w:type="dxa"/>
            <w:vAlign w:val="center"/>
          </w:tcPr>
          <w:p w14:paraId="3FCB0096">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对本项目全专业机电综合管线进行碰撞检测并优化管线排布，配合设计图纸更新工作，协助施工机电深化设计。</w:t>
            </w:r>
          </w:p>
        </w:tc>
        <w:tc>
          <w:tcPr>
            <w:tcW w:w="1678" w:type="dxa"/>
            <w:vAlign w:val="center"/>
          </w:tcPr>
          <w:p w14:paraId="69E2608B">
            <w:pPr>
              <w:snapToGrid w:val="0"/>
              <w:spacing w:line="46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LOD300模型、报告</w:t>
            </w:r>
          </w:p>
        </w:tc>
      </w:tr>
      <w:tr w14:paraId="51D1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0" w:type="dxa"/>
            <w:vMerge w:val="continue"/>
            <w:vAlign w:val="center"/>
          </w:tcPr>
          <w:p w14:paraId="5C0BF0CA">
            <w:pPr>
              <w:spacing w:line="460" w:lineRule="exact"/>
              <w:rPr>
                <w:rFonts w:hint="eastAsia" w:ascii="宋体" w:hAnsi="宋体" w:cs="宋体"/>
                <w:color w:val="auto"/>
                <w:sz w:val="24"/>
                <w:highlight w:val="none"/>
                <w:lang w:bidi="ar"/>
              </w:rPr>
            </w:pPr>
          </w:p>
        </w:tc>
        <w:tc>
          <w:tcPr>
            <w:tcW w:w="1454" w:type="dxa"/>
            <w:vAlign w:val="center"/>
          </w:tcPr>
          <w:p w14:paraId="51215A4F">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流线分析</w:t>
            </w:r>
          </w:p>
        </w:tc>
        <w:tc>
          <w:tcPr>
            <w:tcW w:w="5240" w:type="dxa"/>
            <w:vAlign w:val="center"/>
          </w:tcPr>
          <w:p w14:paraId="07927C3E">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利用虚拟仿真漫游设计BIM模型，对人流、车流、物流系统、洁污分流等动线路由进行模拟分析，并提供优化意见协调人流、物流、车流应各行其道，避免交叉; 物流应区分洁、污分流等要求。</w:t>
            </w:r>
          </w:p>
        </w:tc>
        <w:tc>
          <w:tcPr>
            <w:tcW w:w="1678" w:type="dxa"/>
            <w:vAlign w:val="center"/>
          </w:tcPr>
          <w:p w14:paraId="19B50D73">
            <w:pPr>
              <w:snapToGrid w:val="0"/>
              <w:spacing w:line="46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模型、VR等多媒体</w:t>
            </w:r>
          </w:p>
        </w:tc>
      </w:tr>
      <w:tr w14:paraId="72E8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0" w:type="dxa"/>
            <w:vMerge w:val="restart"/>
            <w:vAlign w:val="center"/>
          </w:tcPr>
          <w:p w14:paraId="74026DD7">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施工阶段</w:t>
            </w:r>
          </w:p>
        </w:tc>
        <w:tc>
          <w:tcPr>
            <w:tcW w:w="1454" w:type="dxa"/>
            <w:vAlign w:val="center"/>
          </w:tcPr>
          <w:p w14:paraId="1C3CD6EE">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各专业模型创建及深化</w:t>
            </w:r>
          </w:p>
        </w:tc>
        <w:tc>
          <w:tcPr>
            <w:tcW w:w="5240" w:type="dxa"/>
            <w:vAlign w:val="center"/>
          </w:tcPr>
          <w:p w14:paraId="650E2BD2">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根据施工图纸建立各专业的BIM深化模型。</w:t>
            </w:r>
          </w:p>
        </w:tc>
        <w:tc>
          <w:tcPr>
            <w:tcW w:w="1678" w:type="dxa"/>
            <w:vAlign w:val="center"/>
          </w:tcPr>
          <w:p w14:paraId="6BB3FC71">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LOD400模型</w:t>
            </w:r>
          </w:p>
        </w:tc>
      </w:tr>
      <w:tr w14:paraId="199F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20" w:type="dxa"/>
            <w:vMerge w:val="continue"/>
            <w:vAlign w:val="center"/>
          </w:tcPr>
          <w:p w14:paraId="5749B259">
            <w:pPr>
              <w:spacing w:line="460" w:lineRule="exact"/>
              <w:rPr>
                <w:rFonts w:hint="eastAsia" w:ascii="宋体" w:hAnsi="宋体" w:cs="宋体"/>
                <w:color w:val="auto"/>
                <w:sz w:val="24"/>
                <w:highlight w:val="none"/>
              </w:rPr>
            </w:pPr>
          </w:p>
        </w:tc>
        <w:tc>
          <w:tcPr>
            <w:tcW w:w="1454" w:type="dxa"/>
            <w:vAlign w:val="center"/>
          </w:tcPr>
          <w:p w14:paraId="414BE7CF">
            <w:pPr>
              <w:snapToGrid w:val="0"/>
              <w:spacing w:line="46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幕墙及钢结构深化模型创建及复核</w:t>
            </w:r>
          </w:p>
        </w:tc>
        <w:tc>
          <w:tcPr>
            <w:tcW w:w="5240" w:type="dxa"/>
            <w:vAlign w:val="center"/>
          </w:tcPr>
          <w:p w14:paraId="1808C41F">
            <w:pPr>
              <w:snapToGrid w:val="0"/>
              <w:spacing w:line="460" w:lineRule="exact"/>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根据幕墙及钢结构深化图对重要或复杂节点进行模型搭建及模拟，综合复核幕墙节点以及与主体结构之间是否存在冲突问题，对重要节点导出深化图纸，用于指导现场施工。</w:t>
            </w:r>
          </w:p>
        </w:tc>
        <w:tc>
          <w:tcPr>
            <w:tcW w:w="1678" w:type="dxa"/>
            <w:vAlign w:val="center"/>
          </w:tcPr>
          <w:p w14:paraId="23589D86">
            <w:pPr>
              <w:snapToGrid w:val="0"/>
              <w:spacing w:line="46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LOD400模型、报告</w:t>
            </w:r>
          </w:p>
        </w:tc>
      </w:tr>
      <w:tr w14:paraId="7E2E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20" w:type="dxa"/>
            <w:vMerge w:val="continue"/>
            <w:vAlign w:val="center"/>
          </w:tcPr>
          <w:p w14:paraId="25E23DC7">
            <w:pPr>
              <w:spacing w:line="460" w:lineRule="exact"/>
              <w:rPr>
                <w:rFonts w:hint="eastAsia" w:ascii="宋体" w:hAnsi="宋体" w:cs="宋体"/>
                <w:color w:val="auto"/>
                <w:sz w:val="24"/>
                <w:highlight w:val="none"/>
              </w:rPr>
            </w:pPr>
          </w:p>
        </w:tc>
        <w:tc>
          <w:tcPr>
            <w:tcW w:w="1454" w:type="dxa"/>
            <w:vAlign w:val="center"/>
          </w:tcPr>
          <w:p w14:paraId="7368D0B5">
            <w:pPr>
              <w:snapToGrid w:val="0"/>
              <w:spacing w:line="46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精装修深化设计</w:t>
            </w:r>
          </w:p>
        </w:tc>
        <w:tc>
          <w:tcPr>
            <w:tcW w:w="5240" w:type="dxa"/>
            <w:vAlign w:val="center"/>
          </w:tcPr>
          <w:p w14:paraId="171BB2A8">
            <w:pPr>
              <w:snapToGrid w:val="0"/>
              <w:spacing w:line="460" w:lineRule="exact"/>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对室内装修BIM模型进行深化，协调精装修模型与建筑、结构、机电、医疗专项、标识系统等其他专业的模型的衔接、碰撞及施工作业空间净空、净高的合理性做出分析，并出分析报告。</w:t>
            </w:r>
          </w:p>
        </w:tc>
        <w:tc>
          <w:tcPr>
            <w:tcW w:w="1678" w:type="dxa"/>
            <w:vAlign w:val="center"/>
          </w:tcPr>
          <w:p w14:paraId="1CA19719">
            <w:pPr>
              <w:snapToGrid w:val="0"/>
              <w:spacing w:line="46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LOD400模型、报告</w:t>
            </w:r>
          </w:p>
        </w:tc>
      </w:tr>
      <w:tr w14:paraId="0E97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20" w:type="dxa"/>
            <w:vMerge w:val="continue"/>
            <w:vAlign w:val="center"/>
          </w:tcPr>
          <w:p w14:paraId="531FC493">
            <w:pPr>
              <w:spacing w:line="460" w:lineRule="exact"/>
              <w:rPr>
                <w:rFonts w:hint="eastAsia" w:ascii="宋体" w:hAnsi="宋体" w:cs="宋体"/>
                <w:color w:val="auto"/>
                <w:sz w:val="24"/>
                <w:highlight w:val="none"/>
              </w:rPr>
            </w:pPr>
          </w:p>
        </w:tc>
        <w:tc>
          <w:tcPr>
            <w:tcW w:w="1454" w:type="dxa"/>
            <w:vAlign w:val="center"/>
          </w:tcPr>
          <w:p w14:paraId="04C52248">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机电深化及出图</w:t>
            </w:r>
          </w:p>
        </w:tc>
        <w:tc>
          <w:tcPr>
            <w:tcW w:w="5240" w:type="dxa"/>
            <w:vAlign w:val="center"/>
          </w:tcPr>
          <w:p w14:paraId="19C0E6B2">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通过BIM模型对机电部分进行深化（含管线支吊架、</w:t>
            </w:r>
            <w:r>
              <w:rPr>
                <w:rFonts w:hint="eastAsia" w:ascii="宋体" w:hAnsi="宋体" w:cs="宋体"/>
                <w:color w:val="auto"/>
                <w:sz w:val="24"/>
                <w:highlight w:val="none"/>
              </w:rPr>
              <w:t>孔洞等预留预埋</w:t>
            </w:r>
            <w:r>
              <w:rPr>
                <w:rFonts w:hint="eastAsia" w:ascii="宋体" w:hAnsi="宋体" w:cs="宋体"/>
                <w:color w:val="auto"/>
                <w:sz w:val="24"/>
                <w:highlight w:val="none"/>
                <w:lang w:bidi="ar"/>
              </w:rPr>
              <w:t>、减隔震设备预留预埋、医疗设备及管道预埋和安装等），通过BIM导出深化图纸，用于指导现场施工。</w:t>
            </w:r>
          </w:p>
        </w:tc>
        <w:tc>
          <w:tcPr>
            <w:tcW w:w="1678" w:type="dxa"/>
            <w:vAlign w:val="center"/>
          </w:tcPr>
          <w:p w14:paraId="185EF988">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LOD400模型、图纸文档</w:t>
            </w:r>
          </w:p>
        </w:tc>
      </w:tr>
      <w:tr w14:paraId="2B9B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20" w:type="dxa"/>
            <w:vMerge w:val="continue"/>
            <w:vAlign w:val="center"/>
          </w:tcPr>
          <w:p w14:paraId="68D8FA85">
            <w:pPr>
              <w:spacing w:line="460" w:lineRule="exact"/>
              <w:rPr>
                <w:rFonts w:hint="eastAsia" w:ascii="宋体" w:hAnsi="宋体" w:cs="宋体"/>
                <w:color w:val="auto"/>
                <w:sz w:val="24"/>
                <w:highlight w:val="none"/>
              </w:rPr>
            </w:pPr>
          </w:p>
        </w:tc>
        <w:tc>
          <w:tcPr>
            <w:tcW w:w="1454" w:type="dxa"/>
            <w:vAlign w:val="center"/>
          </w:tcPr>
          <w:p w14:paraId="670FA11F">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预留预埋检查</w:t>
            </w:r>
          </w:p>
        </w:tc>
        <w:tc>
          <w:tcPr>
            <w:tcW w:w="5240" w:type="dxa"/>
            <w:vAlign w:val="center"/>
          </w:tcPr>
          <w:p w14:paraId="5DA5162D">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通过BIM模型进行预留预埋检查。</w:t>
            </w:r>
          </w:p>
        </w:tc>
        <w:tc>
          <w:tcPr>
            <w:tcW w:w="1678" w:type="dxa"/>
            <w:vMerge w:val="restart"/>
            <w:vAlign w:val="center"/>
          </w:tcPr>
          <w:p w14:paraId="2150961D">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报告</w:t>
            </w:r>
          </w:p>
        </w:tc>
      </w:tr>
      <w:tr w14:paraId="3299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20" w:type="dxa"/>
            <w:vMerge w:val="continue"/>
            <w:vAlign w:val="center"/>
          </w:tcPr>
          <w:p w14:paraId="0C857EAD">
            <w:pPr>
              <w:spacing w:line="460" w:lineRule="exact"/>
              <w:rPr>
                <w:rFonts w:hint="eastAsia" w:ascii="宋体" w:hAnsi="宋体" w:cs="宋体"/>
                <w:color w:val="auto"/>
                <w:sz w:val="24"/>
                <w:highlight w:val="none"/>
              </w:rPr>
            </w:pPr>
          </w:p>
        </w:tc>
        <w:tc>
          <w:tcPr>
            <w:tcW w:w="1454" w:type="dxa"/>
            <w:vAlign w:val="center"/>
          </w:tcPr>
          <w:p w14:paraId="78595A55">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净空优化</w:t>
            </w:r>
          </w:p>
        </w:tc>
        <w:tc>
          <w:tcPr>
            <w:tcW w:w="5240" w:type="dxa"/>
            <w:vAlign w:val="center"/>
          </w:tcPr>
          <w:p w14:paraId="16EB6485">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基于BIM模型，结合施工组织计划及施工资源数据，对施工过程进行模拟与优化管理，确保施工现场不出现吊顶、机位、机房空间不足的问题。</w:t>
            </w:r>
          </w:p>
        </w:tc>
        <w:tc>
          <w:tcPr>
            <w:tcW w:w="1678" w:type="dxa"/>
            <w:vMerge w:val="continue"/>
            <w:vAlign w:val="center"/>
          </w:tcPr>
          <w:p w14:paraId="5F7BFCAF">
            <w:pPr>
              <w:spacing w:line="460" w:lineRule="exact"/>
              <w:rPr>
                <w:rFonts w:hint="eastAsia" w:ascii="宋体" w:hAnsi="宋体" w:cs="宋体"/>
                <w:color w:val="auto"/>
                <w:sz w:val="24"/>
                <w:highlight w:val="none"/>
              </w:rPr>
            </w:pPr>
          </w:p>
        </w:tc>
      </w:tr>
      <w:tr w14:paraId="688F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20" w:type="dxa"/>
            <w:vMerge w:val="continue"/>
            <w:vAlign w:val="center"/>
          </w:tcPr>
          <w:p w14:paraId="4D627633">
            <w:pPr>
              <w:spacing w:line="460" w:lineRule="exact"/>
              <w:rPr>
                <w:rFonts w:hint="eastAsia" w:ascii="宋体" w:hAnsi="宋体" w:cs="宋体"/>
                <w:color w:val="auto"/>
                <w:sz w:val="24"/>
                <w:highlight w:val="none"/>
              </w:rPr>
            </w:pPr>
          </w:p>
        </w:tc>
        <w:tc>
          <w:tcPr>
            <w:tcW w:w="1454" w:type="dxa"/>
            <w:vAlign w:val="center"/>
          </w:tcPr>
          <w:p w14:paraId="555D7338">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可建性分析</w:t>
            </w:r>
          </w:p>
        </w:tc>
        <w:tc>
          <w:tcPr>
            <w:tcW w:w="5240" w:type="dxa"/>
            <w:vAlign w:val="center"/>
          </w:tcPr>
          <w:p w14:paraId="7D1A0C5F">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根据业主提供图纸搭建BIM三维模型，基于《项目实施计划》空间要求、冲突规则等检验项目可建性，找出问题并提供优化建议，最终生成报告。</w:t>
            </w:r>
          </w:p>
        </w:tc>
        <w:tc>
          <w:tcPr>
            <w:tcW w:w="1678" w:type="dxa"/>
            <w:vMerge w:val="continue"/>
            <w:vAlign w:val="center"/>
          </w:tcPr>
          <w:p w14:paraId="6B59A154">
            <w:pPr>
              <w:spacing w:line="460" w:lineRule="exact"/>
              <w:rPr>
                <w:rFonts w:hint="eastAsia" w:ascii="宋体" w:hAnsi="宋体" w:cs="宋体"/>
                <w:color w:val="auto"/>
                <w:sz w:val="24"/>
                <w:highlight w:val="none"/>
              </w:rPr>
            </w:pPr>
          </w:p>
        </w:tc>
      </w:tr>
      <w:tr w14:paraId="007A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20" w:type="dxa"/>
            <w:vMerge w:val="continue"/>
            <w:vAlign w:val="center"/>
          </w:tcPr>
          <w:p w14:paraId="521CE0CD">
            <w:pPr>
              <w:spacing w:line="460" w:lineRule="exact"/>
              <w:rPr>
                <w:rFonts w:hint="eastAsia" w:ascii="宋体" w:hAnsi="宋体" w:cs="宋体"/>
                <w:color w:val="auto"/>
                <w:sz w:val="24"/>
                <w:highlight w:val="none"/>
              </w:rPr>
            </w:pPr>
          </w:p>
        </w:tc>
        <w:tc>
          <w:tcPr>
            <w:tcW w:w="1454" w:type="dxa"/>
            <w:vAlign w:val="center"/>
          </w:tcPr>
          <w:p w14:paraId="38E8EA25">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场地布置</w:t>
            </w:r>
          </w:p>
        </w:tc>
        <w:tc>
          <w:tcPr>
            <w:tcW w:w="5240" w:type="dxa"/>
            <w:vAlign w:val="center"/>
          </w:tcPr>
          <w:p w14:paraId="5A6B66D4">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通过BIM对施工现场事先进行虚拟布置，提前将生活区、作业区、现场材料堆放区、加工区、临时道路等进行合理的规划，可以直观的反映现场整体情况，减少施工过程施工用地及材料运输调配、安全隐患。</w:t>
            </w:r>
          </w:p>
        </w:tc>
        <w:tc>
          <w:tcPr>
            <w:tcW w:w="1678" w:type="dxa"/>
            <w:vMerge w:val="restart"/>
            <w:vAlign w:val="center"/>
          </w:tcPr>
          <w:p w14:paraId="6554C79A">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动画、报告文档</w:t>
            </w:r>
          </w:p>
        </w:tc>
      </w:tr>
      <w:tr w14:paraId="17E2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20" w:type="dxa"/>
            <w:vMerge w:val="continue"/>
            <w:vAlign w:val="center"/>
          </w:tcPr>
          <w:p w14:paraId="6F849ECA">
            <w:pPr>
              <w:spacing w:line="460" w:lineRule="exact"/>
              <w:rPr>
                <w:rFonts w:hint="eastAsia" w:ascii="宋体" w:hAnsi="宋体" w:cs="宋体"/>
                <w:color w:val="auto"/>
                <w:sz w:val="24"/>
                <w:highlight w:val="none"/>
              </w:rPr>
            </w:pPr>
          </w:p>
        </w:tc>
        <w:tc>
          <w:tcPr>
            <w:tcW w:w="1454" w:type="dxa"/>
            <w:vAlign w:val="center"/>
          </w:tcPr>
          <w:p w14:paraId="4DCC8C44">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施工进度控制</w:t>
            </w:r>
          </w:p>
        </w:tc>
        <w:tc>
          <w:tcPr>
            <w:tcW w:w="5240" w:type="dxa"/>
            <w:vAlign w:val="center"/>
          </w:tcPr>
          <w:p w14:paraId="3B2DECD6">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通过计划进度与实际进度的对比，分析施工工序的合理性、施工进度计划关键线路的合理性，优化施工总控计划，查看工程是否按期进行，如有异常可直接查看不同时段施工进度情况并分析原因，为保证后续工期做出适当调整。在施工过程中，要求施工企业每日提供现场照片，每日更新于PIMS数据服务器，与施工企业提供的4D模拟模型进行对比，查看当日进度与计划的差异。让工程经理与项目管理团队及时掌握现场实际进度与计划进度的差异，做到及时把控，及时调整，及时预案。要求按月提交施工相关的BIM月度进度报告文件。</w:t>
            </w:r>
          </w:p>
        </w:tc>
        <w:tc>
          <w:tcPr>
            <w:tcW w:w="1678" w:type="dxa"/>
            <w:vMerge w:val="continue"/>
            <w:vAlign w:val="center"/>
          </w:tcPr>
          <w:p w14:paraId="6BE3A94D">
            <w:pPr>
              <w:spacing w:line="460" w:lineRule="exact"/>
              <w:rPr>
                <w:rFonts w:hint="eastAsia" w:ascii="宋体" w:hAnsi="宋体" w:cs="宋体"/>
                <w:color w:val="auto"/>
                <w:sz w:val="24"/>
                <w:highlight w:val="none"/>
              </w:rPr>
            </w:pPr>
          </w:p>
        </w:tc>
      </w:tr>
      <w:tr w14:paraId="0F1E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20" w:type="dxa"/>
            <w:vMerge w:val="continue"/>
            <w:vAlign w:val="center"/>
          </w:tcPr>
          <w:p w14:paraId="77CAA56B">
            <w:pPr>
              <w:spacing w:line="460" w:lineRule="exact"/>
              <w:rPr>
                <w:rFonts w:hint="eastAsia" w:ascii="宋体" w:hAnsi="宋体" w:cs="宋体"/>
                <w:color w:val="auto"/>
                <w:sz w:val="24"/>
                <w:highlight w:val="none"/>
              </w:rPr>
            </w:pPr>
          </w:p>
        </w:tc>
        <w:tc>
          <w:tcPr>
            <w:tcW w:w="1454" w:type="dxa"/>
            <w:vAlign w:val="center"/>
          </w:tcPr>
          <w:p w14:paraId="3438FE0C">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质量与安全管理</w:t>
            </w:r>
          </w:p>
        </w:tc>
        <w:tc>
          <w:tcPr>
            <w:tcW w:w="5240" w:type="dxa"/>
            <w:vAlign w:val="center"/>
          </w:tcPr>
          <w:p w14:paraId="0976D5B9">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利用BIM模型的直观可视性，配合iPAD等移动终端设备，可在iPAD端BIM数据中建立指定区域、指定部位的现场检查视点。用于对现场安装质量进行把控。</w:t>
            </w:r>
          </w:p>
        </w:tc>
        <w:tc>
          <w:tcPr>
            <w:tcW w:w="1678" w:type="dxa"/>
            <w:vAlign w:val="center"/>
          </w:tcPr>
          <w:p w14:paraId="2EF1D900">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LOD400模型</w:t>
            </w:r>
          </w:p>
        </w:tc>
      </w:tr>
      <w:tr w14:paraId="21B6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0" w:type="dxa"/>
            <w:vMerge w:val="continue"/>
            <w:vAlign w:val="center"/>
          </w:tcPr>
          <w:p w14:paraId="22A2B3C5">
            <w:pPr>
              <w:spacing w:line="460" w:lineRule="exact"/>
              <w:rPr>
                <w:rFonts w:hint="eastAsia" w:ascii="宋体" w:hAnsi="宋体" w:cs="宋体"/>
                <w:color w:val="auto"/>
                <w:sz w:val="24"/>
                <w:highlight w:val="none"/>
              </w:rPr>
            </w:pPr>
          </w:p>
        </w:tc>
        <w:tc>
          <w:tcPr>
            <w:tcW w:w="1454" w:type="dxa"/>
            <w:vAlign w:val="center"/>
          </w:tcPr>
          <w:p w14:paraId="56D746A3">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施工工艺模拟</w:t>
            </w:r>
          </w:p>
        </w:tc>
        <w:tc>
          <w:tcPr>
            <w:tcW w:w="5240" w:type="dxa"/>
            <w:vAlign w:val="center"/>
          </w:tcPr>
          <w:p w14:paraId="1BBDAC4A">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以动画形式、三维可视化等模拟施工工艺，指导施工交底，让施工人员全面了解施工过程，避免质量问题、安全问题，减少返工和整改。在施工前提供4D视觉仿真图及工序模拟图。施工人员应在施工前通过BIM模型辅助，并以施工接口协调会议结果，于实际现场施工修正BIM模型。</w:t>
            </w:r>
          </w:p>
        </w:tc>
        <w:tc>
          <w:tcPr>
            <w:tcW w:w="1678" w:type="dxa"/>
            <w:vAlign w:val="center"/>
          </w:tcPr>
          <w:p w14:paraId="56875AE3">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模型、动画等多媒体形式</w:t>
            </w:r>
          </w:p>
        </w:tc>
      </w:tr>
      <w:tr w14:paraId="7EC2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20" w:type="dxa"/>
            <w:vMerge w:val="continue"/>
            <w:vAlign w:val="center"/>
          </w:tcPr>
          <w:p w14:paraId="76FE0D26">
            <w:pPr>
              <w:spacing w:line="460" w:lineRule="exact"/>
              <w:rPr>
                <w:rFonts w:hint="eastAsia" w:ascii="宋体" w:hAnsi="宋体" w:cs="宋体"/>
                <w:color w:val="auto"/>
                <w:sz w:val="24"/>
                <w:highlight w:val="none"/>
              </w:rPr>
            </w:pPr>
          </w:p>
        </w:tc>
        <w:tc>
          <w:tcPr>
            <w:tcW w:w="1454" w:type="dxa"/>
            <w:vAlign w:val="center"/>
          </w:tcPr>
          <w:p w14:paraId="0B4B52F5">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变更管理</w:t>
            </w:r>
          </w:p>
        </w:tc>
        <w:tc>
          <w:tcPr>
            <w:tcW w:w="5240" w:type="dxa"/>
            <w:vAlign w:val="center"/>
          </w:tcPr>
          <w:p w14:paraId="63BA470F">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通过变更后的BIM模型，直观地展现变更前后模型的变化，快速对比变更前后工程量的变化，确保变更的内容不会导致新的问题发生。并做到更新过的模型构件与变更单编号一一对应，以确保数据的可追溯性。</w:t>
            </w:r>
          </w:p>
        </w:tc>
        <w:tc>
          <w:tcPr>
            <w:tcW w:w="1678" w:type="dxa"/>
            <w:vAlign w:val="center"/>
          </w:tcPr>
          <w:p w14:paraId="7C450447">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图纸文档、报告</w:t>
            </w:r>
          </w:p>
        </w:tc>
      </w:tr>
      <w:tr w14:paraId="1E4B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20" w:type="dxa"/>
            <w:vMerge w:val="continue"/>
            <w:vAlign w:val="center"/>
          </w:tcPr>
          <w:p w14:paraId="791F0C5C">
            <w:pPr>
              <w:spacing w:line="460" w:lineRule="exact"/>
              <w:rPr>
                <w:rFonts w:hint="eastAsia" w:ascii="宋体" w:hAnsi="宋体" w:cs="宋体"/>
                <w:color w:val="auto"/>
                <w:sz w:val="24"/>
                <w:highlight w:val="none"/>
              </w:rPr>
            </w:pPr>
          </w:p>
        </w:tc>
        <w:tc>
          <w:tcPr>
            <w:tcW w:w="1454" w:type="dxa"/>
            <w:vAlign w:val="center"/>
          </w:tcPr>
          <w:p w14:paraId="372A2793">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BIM交底会议</w:t>
            </w:r>
          </w:p>
        </w:tc>
        <w:tc>
          <w:tcPr>
            <w:tcW w:w="5240" w:type="dxa"/>
            <w:vAlign w:val="center"/>
          </w:tcPr>
          <w:p w14:paraId="673CF982">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对复杂节点和施工难点，以三维模型或动画等形式与施工人员进行交底。</w:t>
            </w:r>
          </w:p>
        </w:tc>
        <w:tc>
          <w:tcPr>
            <w:tcW w:w="1678" w:type="dxa"/>
            <w:vAlign w:val="center"/>
          </w:tcPr>
          <w:p w14:paraId="293CD887">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现场会议</w:t>
            </w:r>
          </w:p>
        </w:tc>
      </w:tr>
      <w:tr w14:paraId="686A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20" w:type="dxa"/>
            <w:vMerge w:val="continue"/>
            <w:vAlign w:val="center"/>
          </w:tcPr>
          <w:p w14:paraId="5282961E">
            <w:pPr>
              <w:spacing w:line="460" w:lineRule="exact"/>
              <w:rPr>
                <w:rFonts w:hint="eastAsia" w:ascii="宋体" w:hAnsi="宋体" w:cs="宋体"/>
                <w:color w:val="auto"/>
                <w:sz w:val="24"/>
                <w:highlight w:val="none"/>
              </w:rPr>
            </w:pPr>
          </w:p>
        </w:tc>
        <w:tc>
          <w:tcPr>
            <w:tcW w:w="1454" w:type="dxa"/>
            <w:vAlign w:val="center"/>
          </w:tcPr>
          <w:p w14:paraId="76C5ED10">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制作施工BIM规则</w:t>
            </w:r>
          </w:p>
        </w:tc>
        <w:tc>
          <w:tcPr>
            <w:tcW w:w="5240" w:type="dxa"/>
            <w:vAlign w:val="center"/>
          </w:tcPr>
          <w:p w14:paraId="22247BCC">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为实现在项目全过程管理中应用BIM，将辅助业主提供相关BIM管理规范和条文，以便于在后期施工合同中对施工企业在项目中BIM应用进行约束与规范。</w:t>
            </w:r>
          </w:p>
        </w:tc>
        <w:tc>
          <w:tcPr>
            <w:tcW w:w="1678" w:type="dxa"/>
            <w:vMerge w:val="restart"/>
            <w:vAlign w:val="center"/>
          </w:tcPr>
          <w:p w14:paraId="6CADF3AF">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文档</w:t>
            </w:r>
          </w:p>
        </w:tc>
      </w:tr>
      <w:tr w14:paraId="01C0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20" w:type="dxa"/>
            <w:vMerge w:val="continue"/>
            <w:vAlign w:val="center"/>
          </w:tcPr>
          <w:p w14:paraId="56995E1C">
            <w:pPr>
              <w:spacing w:line="460" w:lineRule="exact"/>
              <w:rPr>
                <w:rFonts w:hint="eastAsia" w:ascii="宋体" w:hAnsi="宋体" w:cs="宋体"/>
                <w:color w:val="auto"/>
                <w:sz w:val="24"/>
                <w:highlight w:val="none"/>
              </w:rPr>
            </w:pPr>
          </w:p>
        </w:tc>
        <w:tc>
          <w:tcPr>
            <w:tcW w:w="1454" w:type="dxa"/>
            <w:vAlign w:val="center"/>
          </w:tcPr>
          <w:p w14:paraId="54BC2FD6">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审批及管理施工方BIM成果</w:t>
            </w:r>
          </w:p>
        </w:tc>
        <w:tc>
          <w:tcPr>
            <w:tcW w:w="5240" w:type="dxa"/>
            <w:vAlign w:val="center"/>
          </w:tcPr>
          <w:p w14:paraId="52841283">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对于施工单位提交的BIM工作计划、模型、应用交付等，将根据招标条文的要求对成果进行检查与复核，确保施工单位提交的BIM成果能贯穿项目全过程，起到应有的作用。</w:t>
            </w:r>
          </w:p>
        </w:tc>
        <w:tc>
          <w:tcPr>
            <w:tcW w:w="1678" w:type="dxa"/>
            <w:vMerge w:val="continue"/>
            <w:vAlign w:val="center"/>
          </w:tcPr>
          <w:p w14:paraId="2FC70967">
            <w:pPr>
              <w:spacing w:line="460" w:lineRule="exact"/>
              <w:rPr>
                <w:rFonts w:hint="eastAsia" w:ascii="宋体" w:hAnsi="宋体" w:cs="宋体"/>
                <w:color w:val="auto"/>
                <w:sz w:val="24"/>
                <w:highlight w:val="none"/>
              </w:rPr>
            </w:pPr>
          </w:p>
        </w:tc>
      </w:tr>
      <w:tr w14:paraId="3E8E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20" w:type="dxa"/>
            <w:vAlign w:val="center"/>
          </w:tcPr>
          <w:p w14:paraId="4FBFF272">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竣工阶段</w:t>
            </w:r>
          </w:p>
        </w:tc>
        <w:tc>
          <w:tcPr>
            <w:tcW w:w="1454" w:type="dxa"/>
            <w:vAlign w:val="center"/>
          </w:tcPr>
          <w:p w14:paraId="11C4E180">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BIM竣工模型</w:t>
            </w:r>
          </w:p>
        </w:tc>
        <w:tc>
          <w:tcPr>
            <w:tcW w:w="5240" w:type="dxa"/>
            <w:vAlign w:val="center"/>
          </w:tcPr>
          <w:p w14:paraId="490BAD10">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建立BIM竣工模型，确保BIM模型与现场的一致性，所有数据和信息可以从模型中获取和调用。</w:t>
            </w:r>
          </w:p>
        </w:tc>
        <w:tc>
          <w:tcPr>
            <w:tcW w:w="1678" w:type="dxa"/>
            <w:vAlign w:val="center"/>
          </w:tcPr>
          <w:p w14:paraId="5FFB162D">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LOD500模型</w:t>
            </w:r>
          </w:p>
        </w:tc>
      </w:tr>
      <w:tr w14:paraId="1476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20" w:type="dxa"/>
            <w:vMerge w:val="restart"/>
            <w:vAlign w:val="center"/>
          </w:tcPr>
          <w:p w14:paraId="03B38C9B">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其它</w:t>
            </w:r>
          </w:p>
        </w:tc>
        <w:tc>
          <w:tcPr>
            <w:tcW w:w="1454" w:type="dxa"/>
            <w:vAlign w:val="center"/>
          </w:tcPr>
          <w:p w14:paraId="1A25D82C">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参加相关BIM协调会议</w:t>
            </w:r>
          </w:p>
        </w:tc>
        <w:tc>
          <w:tcPr>
            <w:tcW w:w="5240" w:type="dxa"/>
            <w:vAlign w:val="center"/>
          </w:tcPr>
          <w:p w14:paraId="38E2DCDD">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参加各阶段召开的BIM相关协调会议</w:t>
            </w:r>
          </w:p>
        </w:tc>
        <w:tc>
          <w:tcPr>
            <w:tcW w:w="1678" w:type="dxa"/>
            <w:vAlign w:val="center"/>
          </w:tcPr>
          <w:p w14:paraId="723FCBB2">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BIM会议记录</w:t>
            </w:r>
          </w:p>
        </w:tc>
      </w:tr>
      <w:tr w14:paraId="0A9D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20" w:type="dxa"/>
            <w:vMerge w:val="continue"/>
            <w:vAlign w:val="center"/>
          </w:tcPr>
          <w:p w14:paraId="1B9F71A5">
            <w:pPr>
              <w:spacing w:line="460" w:lineRule="exact"/>
              <w:rPr>
                <w:rFonts w:hint="eastAsia" w:ascii="宋体" w:hAnsi="宋体" w:cs="宋体"/>
                <w:color w:val="auto"/>
                <w:sz w:val="24"/>
                <w:highlight w:val="none"/>
              </w:rPr>
            </w:pPr>
          </w:p>
        </w:tc>
        <w:tc>
          <w:tcPr>
            <w:tcW w:w="1454" w:type="dxa"/>
            <w:vAlign w:val="center"/>
          </w:tcPr>
          <w:p w14:paraId="4ED78E1F">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BIM奖项申报</w:t>
            </w:r>
          </w:p>
        </w:tc>
        <w:tc>
          <w:tcPr>
            <w:tcW w:w="5240" w:type="dxa"/>
            <w:vAlign w:val="center"/>
          </w:tcPr>
          <w:p w14:paraId="3E742A88">
            <w:pPr>
              <w:snapToGrid w:val="0"/>
              <w:spacing w:line="460" w:lineRule="exact"/>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w:t>
            </w:r>
            <w:r>
              <w:rPr>
                <w:rFonts w:hint="eastAsia" w:ascii="宋体" w:hAnsi="宋体"/>
                <w:color w:val="auto"/>
                <w:sz w:val="24"/>
                <w:highlight w:val="none"/>
              </w:rPr>
              <w:t>配合项目获得“中国建设工程鲁班奖”或“国家优质工程奖”，提供BIM相关材料；</w:t>
            </w:r>
          </w:p>
          <w:p w14:paraId="09907322">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2、协助获得BIM应用大赛相关奖项，负责评奖材料的编制、申报、汇报等工作；</w:t>
            </w:r>
          </w:p>
        </w:tc>
        <w:tc>
          <w:tcPr>
            <w:tcW w:w="1678" w:type="dxa"/>
            <w:vAlign w:val="center"/>
          </w:tcPr>
          <w:p w14:paraId="059D9D05">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BIM奖项</w:t>
            </w:r>
          </w:p>
        </w:tc>
      </w:tr>
      <w:tr w14:paraId="5AAC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20" w:type="dxa"/>
            <w:vMerge w:val="continue"/>
            <w:vAlign w:val="center"/>
          </w:tcPr>
          <w:p w14:paraId="59879A75">
            <w:pPr>
              <w:spacing w:line="460" w:lineRule="exact"/>
              <w:rPr>
                <w:rFonts w:hint="eastAsia" w:ascii="宋体" w:hAnsi="宋体" w:cs="宋体"/>
                <w:color w:val="auto"/>
                <w:sz w:val="24"/>
                <w:highlight w:val="none"/>
              </w:rPr>
            </w:pPr>
          </w:p>
        </w:tc>
        <w:tc>
          <w:tcPr>
            <w:tcW w:w="1454" w:type="dxa"/>
            <w:vAlign w:val="center"/>
          </w:tcPr>
          <w:p w14:paraId="423D5551">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BIM技术应用咨询与培训</w:t>
            </w:r>
          </w:p>
        </w:tc>
        <w:tc>
          <w:tcPr>
            <w:tcW w:w="5240" w:type="dxa"/>
            <w:vAlign w:val="center"/>
          </w:tcPr>
          <w:p w14:paraId="45FEE3F6">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制定BIM培训计划，为项目各参建单位提供全面的BIM管理及技术应用培训，培训内容包括BIM协同管理平台管理及应用培训、BIM基础知识培训、BIM技术应用培训及BIM管理应用培训，总体培训时间不少于10天。</w:t>
            </w:r>
          </w:p>
        </w:tc>
        <w:tc>
          <w:tcPr>
            <w:tcW w:w="1678" w:type="dxa"/>
            <w:vAlign w:val="center"/>
          </w:tcPr>
          <w:p w14:paraId="5E7C1E8B">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BIM技术应用咨询与培训</w:t>
            </w:r>
          </w:p>
        </w:tc>
      </w:tr>
      <w:tr w14:paraId="49CB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continue"/>
            <w:vAlign w:val="center"/>
          </w:tcPr>
          <w:p w14:paraId="2E808257">
            <w:pPr>
              <w:spacing w:line="460" w:lineRule="exact"/>
              <w:rPr>
                <w:rFonts w:hint="eastAsia" w:ascii="宋体" w:hAnsi="宋体" w:cs="宋体"/>
                <w:color w:val="auto"/>
                <w:sz w:val="24"/>
                <w:highlight w:val="none"/>
              </w:rPr>
            </w:pPr>
          </w:p>
        </w:tc>
        <w:tc>
          <w:tcPr>
            <w:tcW w:w="6694" w:type="dxa"/>
            <w:gridSpan w:val="2"/>
            <w:vAlign w:val="center"/>
          </w:tcPr>
          <w:p w14:paraId="13151043">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按发包人要求驻场：设计阶段安排不少于2名BIM工程师按发包人要求合署办公；施工阶段要求BIM实施单位安排不少于1名土建BIM工程师及1名机电BIM工程师同时驻场，负责完成现场BIM的沟通、协调、管理和可视化施工交底等工作。</w:t>
            </w:r>
          </w:p>
        </w:tc>
        <w:tc>
          <w:tcPr>
            <w:tcW w:w="1678" w:type="dxa"/>
            <w:vAlign w:val="center"/>
          </w:tcPr>
          <w:p w14:paraId="2A1D86D9">
            <w:pPr>
              <w:snapToGrid w:val="0"/>
              <w:spacing w:line="460" w:lineRule="exact"/>
              <w:jc w:val="center"/>
              <w:rPr>
                <w:rFonts w:hint="eastAsia" w:ascii="宋体" w:hAnsi="宋体" w:cs="宋体"/>
                <w:color w:val="auto"/>
                <w:sz w:val="24"/>
                <w:highlight w:val="none"/>
              </w:rPr>
            </w:pPr>
          </w:p>
        </w:tc>
      </w:tr>
      <w:tr w14:paraId="36C5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continue"/>
            <w:vAlign w:val="center"/>
          </w:tcPr>
          <w:p w14:paraId="0D16BB25">
            <w:pPr>
              <w:spacing w:line="460" w:lineRule="exact"/>
              <w:rPr>
                <w:rFonts w:hint="eastAsia" w:ascii="宋体" w:hAnsi="宋体" w:cs="宋体"/>
                <w:color w:val="auto"/>
                <w:sz w:val="24"/>
                <w:highlight w:val="none"/>
              </w:rPr>
            </w:pPr>
          </w:p>
        </w:tc>
        <w:tc>
          <w:tcPr>
            <w:tcW w:w="6694" w:type="dxa"/>
            <w:gridSpan w:val="2"/>
            <w:vAlign w:val="center"/>
          </w:tcPr>
          <w:p w14:paraId="3C1625D3">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参加发包人组织的例会</w:t>
            </w:r>
          </w:p>
        </w:tc>
        <w:tc>
          <w:tcPr>
            <w:tcW w:w="1678" w:type="dxa"/>
            <w:vAlign w:val="center"/>
          </w:tcPr>
          <w:p w14:paraId="38B5F003">
            <w:pPr>
              <w:snapToGrid w:val="0"/>
              <w:spacing w:line="460" w:lineRule="exact"/>
              <w:jc w:val="center"/>
              <w:rPr>
                <w:rFonts w:hint="eastAsia" w:ascii="宋体" w:hAnsi="宋体" w:cs="宋体"/>
                <w:color w:val="auto"/>
                <w:sz w:val="24"/>
                <w:highlight w:val="none"/>
              </w:rPr>
            </w:pPr>
          </w:p>
        </w:tc>
      </w:tr>
    </w:tbl>
    <w:p w14:paraId="4EFAE34A">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09EE7CB5">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（1）模型的细度等级、应用及成果的要求必须符合《浙江省建筑信息模型应用统一标准》，应满足发包人对不同阶段模型元素的内容和信息的特殊要求。</w:t>
      </w:r>
    </w:p>
    <w:p w14:paraId="1D32D1AC">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（2）BIM交付的文件格式，如使用其他软件（如 3ds max、Rhino、civil 3d 等）创建的 BIM 模型，要与 Autodesk Revit 和 Autodesk Navisworks 软件兼容。交付物包括模型、图纸、表格及相关文档等，不同表现形式之间的数据、信息应一致。</w:t>
      </w:r>
    </w:p>
    <w:p w14:paraId="41A26383">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（3）信息化平台满足BIM模型的轻量化浏览，BIM模型信息的提取、存储、共享和使用要求。制定BIM管理平台管理流程和办法。指导、监督项目各参与方进行过程文档的整理，BIM模型、数据文档上传和更新。</w:t>
      </w:r>
    </w:p>
    <w:p w14:paraId="0DD082FE">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依据工程计划书核定内容，交付建立各分项BIM模型档案，如建筑、结构（含钢结构、基坑及边坡支护、减隔震）、给排水系统、电力系统、消防系统、空调系统、医疗专项系统等模型档案。档案均上传于BIM资源管理平台。</w:t>
      </w:r>
    </w:p>
    <w:p w14:paraId="133DFB0E">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（5）提交可供施工会议使用的各类模型和数据，在施工月报中将BIM内容列入并配合提交相应的BIM模型文本说明。</w:t>
      </w:r>
    </w:p>
    <w:p w14:paraId="4BD50514">
      <w:pPr>
        <w:pStyle w:val="6"/>
        <w:tabs>
          <w:tab w:val="left" w:pos="312"/>
        </w:tabs>
        <w:spacing w:line="460" w:lineRule="exact"/>
        <w:ind w:left="420" w:leftChars="200" w:firstLine="0"/>
        <w:rPr>
          <w:rFonts w:hint="eastAsia" w:hAnsi="宋体"/>
          <w:color w:val="auto"/>
          <w:highlight w:val="none"/>
        </w:rPr>
      </w:pPr>
      <w:r>
        <w:rPr>
          <w:rFonts w:hint="eastAsia" w:hAnsi="宋体" w:cs="宋体"/>
          <w:color w:val="auto"/>
          <w:sz w:val="24"/>
          <w:szCs w:val="24"/>
          <w:highlight w:val="none"/>
        </w:rPr>
        <w:t>5.</w:t>
      </w:r>
      <w:r>
        <w:rPr>
          <w:rFonts w:hint="eastAsia" w:hAnsi="宋体" w:cs="宋体"/>
          <w:bCs/>
          <w:color w:val="auto"/>
          <w:kern w:val="0"/>
          <w:sz w:val="24"/>
          <w:szCs w:val="24"/>
          <w:highlight w:val="none"/>
          <w:lang w:bidi="ar"/>
        </w:rPr>
        <w:t>BIM服务成果文件交付时间</w:t>
      </w:r>
      <w:r>
        <w:rPr>
          <w:rFonts w:hint="eastAsia" w:hAnsi="宋体" w:cs="宋体"/>
          <w:color w:val="auto"/>
          <w:sz w:val="24"/>
          <w:highlight w:val="none"/>
        </w:rPr>
        <w:t>要求：</w:t>
      </w:r>
    </w:p>
    <w:p w14:paraId="4630A48F">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（1）BIM实施准备阶段：编制《项目BIM执行计划》，签订合同后10天内提供终版。</w:t>
      </w:r>
    </w:p>
    <w:p w14:paraId="5325E90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（2）BIM设计阶段成果：收到各阶段图纸后一个月内完成全专业整体BIM模型、分层分专业BIM模型，完成相关碰撞及优化报告成果，并根据设计及工程进度更新。</w:t>
      </w:r>
    </w:p>
    <w:p w14:paraId="706A6F29">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BIM施工阶段成果：根据发包人项目施工进展要求提供成果，相关成果需经发包人确认，其中在施工阶段BIM深化开始前，需按项目实际情况，更新《项目BIM执行计划》；各专业深化模型需在施工总包单位进场后一个月内完成，相关施工模拟分析模型需在现场施工前一周完成，并且在施工过程中每月需进行动态更新及形成报告。</w:t>
      </w:r>
    </w:p>
    <w:p w14:paraId="3E377720">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6.其他服务要求：</w:t>
      </w:r>
    </w:p>
    <w:p w14:paraId="70E1CA95">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BIM 技术应用团队配置、BIM 团队软件/硬件工作环境要求、BIM团队的组织管理及驻场要求，以业主书面通知为准。</w:t>
      </w:r>
    </w:p>
    <w:p w14:paraId="2125ACAB">
      <w:pPr>
        <w:spacing w:before="240" w:line="360" w:lineRule="auto"/>
        <w:outlineLvl w:val="0"/>
        <w:rPr>
          <w:rFonts w:hint="eastAsia" w:ascii="宋体" w:hAnsi="宋体" w:cs="宋体"/>
          <w:b/>
          <w:bCs/>
          <w:color w:val="auto"/>
          <w:sz w:val="24"/>
          <w:highlight w:val="none"/>
        </w:rPr>
      </w:pPr>
      <w:r>
        <w:rPr>
          <w:rFonts w:hint="eastAsia" w:ascii="宋体" w:hAnsi="宋体" w:cs="宋体"/>
          <w:b/>
          <w:bCs/>
          <w:color w:val="auto"/>
          <w:sz w:val="24"/>
          <w:highlight w:val="none"/>
        </w:rPr>
        <w:t>三、项目人员基本要求</w:t>
      </w:r>
    </w:p>
    <w:p w14:paraId="3D5DDD62">
      <w:pPr>
        <w:numPr>
          <w:ilvl w:val="0"/>
          <w:numId w:val="2"/>
        </w:num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投标人在人员、设备、资金等方面具有承担本项目的能力；</w:t>
      </w:r>
    </w:p>
    <w:p w14:paraId="5502DA75">
      <w:pPr>
        <w:numPr>
          <w:ilvl w:val="0"/>
          <w:numId w:val="2"/>
        </w:num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拟派本项目人员汇总表，配备固定驻场人员各专业人员须单独注明，项目组人员专业结构搭配合理；</w:t>
      </w:r>
    </w:p>
    <w:p w14:paraId="69839CE2">
      <w:pPr>
        <w:numPr>
          <w:ilvl w:val="0"/>
          <w:numId w:val="2"/>
        </w:num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拟派项目负责人1名，按照招标人实际需要提供每周1-2天的驻场指导。</w:t>
      </w:r>
    </w:p>
    <w:p w14:paraId="792676E5">
      <w:pPr>
        <w:numPr>
          <w:ilvl w:val="0"/>
          <w:numId w:val="2"/>
        </w:num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拟驻派现场 BIM 组成员必须具有全国 BIM 技能等级证书；提供人员资格审查表（提供资格证书）。</w:t>
      </w:r>
    </w:p>
    <w:p w14:paraId="53AC2581">
      <w:pPr>
        <w:numPr>
          <w:ilvl w:val="0"/>
          <w:numId w:val="2"/>
        </w:num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服务于本项目的 BIM 技术团队驻场工程师不少于2人（自项目施工图设计至项目竣工验收阶段）。</w:t>
      </w:r>
    </w:p>
    <w:p w14:paraId="0E279883">
      <w:pPr>
        <w:numPr>
          <w:ilvl w:val="0"/>
          <w:numId w:val="2"/>
        </w:num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中标后未经招标人同意，所有项目组人员不得更换。中标后若项目负责人及固定驻场人员未按合同约定常驻项目现场或未经招标人同意更换项目组负责人的，合同立即解除，同时中标人须承担项目总投资额 0.01%的违约金。</w:t>
      </w:r>
    </w:p>
    <w:p w14:paraId="20129A7B">
      <w:pPr>
        <w:numPr>
          <w:ilvl w:val="0"/>
          <w:numId w:val="2"/>
        </w:num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中标后提供项目组成员近三个月单位社保缴纳明细。</w:t>
      </w:r>
    </w:p>
    <w:p w14:paraId="04BD1FB4">
      <w:pPr>
        <w:numPr>
          <w:ilvl w:val="0"/>
          <w:numId w:val="2"/>
        </w:num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实施团队与现场服务其他要求</w:t>
      </w:r>
    </w:p>
    <w:p w14:paraId="6675E6A6">
      <w:pPr>
        <w:numPr>
          <w:ilvl w:val="0"/>
          <w:numId w:val="2"/>
        </w:num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中标单位必须根据项目需求，派驻足够的 BIM 系统专业技术人员常驻项目，进场后需提供本工程 BIM 实施策划方案、工作流程等相关资料, 进行建模及信息录入等工作，并保证现场进度需要；</w:t>
      </w:r>
    </w:p>
    <w:p w14:paraId="541E593A">
      <w:pPr>
        <w:numPr>
          <w:ilvl w:val="0"/>
          <w:numId w:val="2"/>
        </w:num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公司具备一定的软件二次开发能力，能根据项目实际应用要求进行 BIM 数据接口或 BIM 应用功能的开发；</w:t>
      </w:r>
    </w:p>
    <w:p w14:paraId="2B51E7A1">
      <w:pPr>
        <w:numPr>
          <w:ilvl w:val="0"/>
          <w:numId w:val="2"/>
        </w:num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合同签订后，建立完整的可以胜任服务期内所有BIM工作的专业团队，并根据采购人要求及各阶段需求指派相关专业人员驻场提供技术服务，参加相关重要会议，按需进场负责BIM工作的沟通及协调。团队成员应具备建筑、结构或机电等的专业背景。</w:t>
      </w:r>
    </w:p>
    <w:p w14:paraId="002FD200">
      <w:pPr>
        <w:numPr>
          <w:ilvl w:val="0"/>
          <w:numId w:val="2"/>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0"/>
          <w:sz w:val="24"/>
          <w:highlight w:val="none"/>
        </w:rPr>
        <w:t>中标人按照采购人要求指派相关专业人员驻场提供技术服务，参加相关重要会议。可在施工现场或采购人指定的办公地点，及时配合采购人各</w:t>
      </w:r>
      <w:r>
        <w:rPr>
          <w:rFonts w:hint="eastAsia" w:ascii="宋体" w:hAnsi="宋体" w:cs="宋体"/>
          <w:color w:val="auto"/>
          <w:sz w:val="24"/>
          <w:highlight w:val="none"/>
        </w:rPr>
        <w:t>部门与现场设计单位解决各类深化设计，模型移交及使用过程中出现的问题。</w:t>
      </w:r>
    </w:p>
    <w:p w14:paraId="4597FA8E">
      <w:pPr>
        <w:spacing w:line="360" w:lineRule="auto"/>
        <w:outlineLvl w:val="0"/>
        <w:rPr>
          <w:rFonts w:hint="eastAsia" w:ascii="宋体" w:hAnsi="宋体" w:cs="宋体"/>
          <w:b/>
          <w:bCs/>
          <w:color w:val="auto"/>
          <w:sz w:val="24"/>
          <w:highlight w:val="none"/>
        </w:rPr>
      </w:pPr>
      <w:r>
        <w:rPr>
          <w:rFonts w:hint="eastAsia" w:ascii="宋体" w:hAnsi="宋体" w:cs="宋体"/>
          <w:b/>
          <w:bCs/>
          <w:color w:val="auto"/>
          <w:sz w:val="24"/>
          <w:highlight w:val="none"/>
        </w:rPr>
        <w:t>四、本项目服务期及进度安排</w:t>
      </w:r>
    </w:p>
    <w:p w14:paraId="7273E809">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本项目服务期：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u w:val="single"/>
        </w:rPr>
        <w:t>合同签订之日起至整体项目竣工验收合格止</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bCs/>
          <w:color w:val="auto"/>
          <w:kern w:val="0"/>
          <w:sz w:val="24"/>
          <w:szCs w:val="24"/>
          <w:highlight w:val="none"/>
        </w:rPr>
        <w:t>具体工作进程</w:t>
      </w:r>
      <w:r>
        <w:rPr>
          <w:rFonts w:hint="eastAsia" w:asciiTheme="minorEastAsia" w:hAnsiTheme="minorEastAsia" w:eastAsiaTheme="minorEastAsia" w:cstheme="minorEastAsia"/>
          <w:color w:val="auto"/>
          <w:sz w:val="24"/>
          <w:szCs w:val="24"/>
          <w:highlight w:val="none"/>
        </w:rPr>
        <w:t>按照招标文件项目技术规范、服务要求和甲方要求分阶段实施。</w:t>
      </w:r>
      <w:r>
        <w:rPr>
          <w:rFonts w:hint="eastAsia" w:asciiTheme="minorEastAsia" w:hAnsiTheme="minorEastAsia" w:eastAsiaTheme="minorEastAsia" w:cstheme="minorEastAsia"/>
          <w:color w:val="auto"/>
          <w:sz w:val="24"/>
          <w:szCs w:val="24"/>
          <w:highlight w:val="none"/>
          <w:u w:val="single"/>
        </w:rPr>
        <w:t>初步安排如下：</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6"/>
        <w:gridCol w:w="4110"/>
        <w:gridCol w:w="4390"/>
      </w:tblGrid>
      <w:tr w14:paraId="7A580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B8CCE4"/>
          </w:tcPr>
          <w:p w14:paraId="63999050">
            <w:pPr>
              <w:overflowPunct w:val="0"/>
              <w:jc w:val="center"/>
              <w:rPr>
                <w:rFonts w:hint="eastAsia" w:ascii="宋体" w:hAnsi="宋体" w:cs="宋体"/>
                <w:color w:val="auto"/>
                <w:sz w:val="24"/>
                <w:highlight w:val="none"/>
              </w:rPr>
            </w:pPr>
            <w:r>
              <w:rPr>
                <w:rFonts w:hint="eastAsia" w:ascii="宋体" w:hAnsi="宋体" w:cs="宋体"/>
                <w:color w:val="auto"/>
                <w:sz w:val="24"/>
                <w:highlight w:val="none"/>
              </w:rPr>
              <w:t>阶段</w:t>
            </w:r>
          </w:p>
        </w:tc>
        <w:tc>
          <w:tcPr>
            <w:tcW w:w="2213" w:type="pct"/>
            <w:tcBorders>
              <w:top w:val="single" w:color="000000" w:sz="4" w:space="0"/>
              <w:left w:val="single" w:color="000000" w:sz="4" w:space="0"/>
              <w:bottom w:val="single" w:color="000000" w:sz="4" w:space="0"/>
              <w:right w:val="single" w:color="000000" w:sz="4" w:space="0"/>
            </w:tcBorders>
            <w:shd w:val="clear" w:color="auto" w:fill="B8CCE4"/>
            <w:vAlign w:val="center"/>
          </w:tcPr>
          <w:p w14:paraId="15422E66">
            <w:pPr>
              <w:overflowPunct w:val="0"/>
              <w:jc w:val="center"/>
              <w:rPr>
                <w:rFonts w:hint="eastAsia" w:ascii="宋体" w:hAnsi="宋体" w:cs="宋体"/>
                <w:color w:val="auto"/>
                <w:sz w:val="24"/>
                <w:highlight w:val="none"/>
              </w:rPr>
            </w:pPr>
            <w:r>
              <w:rPr>
                <w:rFonts w:hint="eastAsia" w:ascii="宋体" w:hAnsi="宋体" w:cs="宋体"/>
                <w:color w:val="auto"/>
                <w:sz w:val="24"/>
                <w:highlight w:val="none"/>
              </w:rPr>
              <w:t>成果描述</w:t>
            </w:r>
          </w:p>
        </w:tc>
        <w:tc>
          <w:tcPr>
            <w:tcW w:w="2363" w:type="pct"/>
            <w:tcBorders>
              <w:top w:val="single" w:color="000000" w:sz="4" w:space="0"/>
              <w:left w:val="single" w:color="000000" w:sz="4" w:space="0"/>
              <w:bottom w:val="single" w:color="000000" w:sz="4" w:space="0"/>
              <w:right w:val="single" w:color="000000" w:sz="4" w:space="0"/>
            </w:tcBorders>
            <w:shd w:val="clear" w:color="auto" w:fill="B8CCE4"/>
            <w:vAlign w:val="center"/>
          </w:tcPr>
          <w:p w14:paraId="26FAB0A9">
            <w:pPr>
              <w:overflowPunct w:val="0"/>
              <w:jc w:val="center"/>
              <w:rPr>
                <w:rFonts w:hint="eastAsia" w:ascii="宋体" w:hAnsi="宋体" w:cs="宋体"/>
                <w:color w:val="auto"/>
                <w:sz w:val="24"/>
                <w:highlight w:val="none"/>
              </w:rPr>
            </w:pPr>
            <w:r>
              <w:rPr>
                <w:rFonts w:hint="eastAsia" w:ascii="宋体" w:hAnsi="宋体" w:cs="宋体"/>
                <w:color w:val="auto"/>
                <w:sz w:val="24"/>
                <w:highlight w:val="none"/>
              </w:rPr>
              <w:t>完成时间</w:t>
            </w:r>
          </w:p>
        </w:tc>
      </w:tr>
      <w:tr w14:paraId="5D029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restart"/>
            <w:tcBorders>
              <w:top w:val="single" w:color="000000" w:sz="4" w:space="0"/>
              <w:left w:val="single" w:color="000000" w:sz="4" w:space="0"/>
              <w:right w:val="single" w:color="000000" w:sz="4" w:space="0"/>
            </w:tcBorders>
            <w:vAlign w:val="center"/>
          </w:tcPr>
          <w:p w14:paraId="1D10CA64">
            <w:pPr>
              <w:overflowPunct w:val="0"/>
              <w:rPr>
                <w:rFonts w:hint="eastAsia" w:ascii="宋体" w:hAnsi="宋体" w:cs="宋体"/>
                <w:color w:val="auto"/>
                <w:sz w:val="24"/>
                <w:highlight w:val="none"/>
              </w:rPr>
            </w:pPr>
            <w:r>
              <w:rPr>
                <w:rFonts w:hint="eastAsia" w:ascii="宋体" w:hAnsi="宋体" w:cs="宋体"/>
                <w:color w:val="auto"/>
                <w:sz w:val="24"/>
                <w:highlight w:val="none"/>
              </w:rPr>
              <w:t>准备阶段</w:t>
            </w:r>
          </w:p>
        </w:tc>
        <w:tc>
          <w:tcPr>
            <w:tcW w:w="2213" w:type="pct"/>
            <w:tcBorders>
              <w:top w:val="single" w:color="000000" w:sz="4" w:space="0"/>
              <w:left w:val="single" w:color="000000" w:sz="4" w:space="0"/>
              <w:bottom w:val="single" w:color="000000" w:sz="4" w:space="0"/>
              <w:right w:val="single" w:color="000000" w:sz="4" w:space="0"/>
            </w:tcBorders>
            <w:vAlign w:val="center"/>
          </w:tcPr>
          <w:p w14:paraId="28312330">
            <w:pPr>
              <w:overflowPunct w:val="0"/>
              <w:rPr>
                <w:rFonts w:hint="eastAsia" w:ascii="宋体" w:hAnsi="宋体" w:cs="宋体"/>
                <w:color w:val="auto"/>
                <w:sz w:val="24"/>
                <w:highlight w:val="none"/>
              </w:rPr>
            </w:pPr>
            <w:r>
              <w:rPr>
                <w:rFonts w:hint="eastAsia" w:ascii="宋体" w:hAnsi="宋体" w:cs="宋体"/>
                <w:color w:val="auto"/>
                <w:sz w:val="24"/>
                <w:highlight w:val="none"/>
              </w:rPr>
              <w:t>BIM团队的组建</w:t>
            </w:r>
          </w:p>
        </w:tc>
        <w:tc>
          <w:tcPr>
            <w:tcW w:w="2363" w:type="pct"/>
            <w:tcBorders>
              <w:top w:val="single" w:color="000000" w:sz="4" w:space="0"/>
              <w:left w:val="single" w:color="000000" w:sz="4" w:space="0"/>
              <w:bottom w:val="single" w:color="000000" w:sz="4" w:space="0"/>
              <w:right w:val="single" w:color="000000" w:sz="4" w:space="0"/>
            </w:tcBorders>
            <w:vAlign w:val="center"/>
          </w:tcPr>
          <w:p w14:paraId="001FBF82">
            <w:pPr>
              <w:overflowPunct w:val="0"/>
              <w:rPr>
                <w:rFonts w:hint="eastAsia" w:ascii="宋体" w:hAnsi="宋体" w:cs="宋体"/>
                <w:color w:val="auto"/>
                <w:sz w:val="24"/>
                <w:highlight w:val="none"/>
              </w:rPr>
            </w:pPr>
            <w:r>
              <w:rPr>
                <w:rFonts w:hint="eastAsia" w:ascii="宋体" w:hAnsi="宋体" w:cs="宋体"/>
                <w:color w:val="auto"/>
                <w:sz w:val="24"/>
                <w:highlight w:val="none"/>
              </w:rPr>
              <w:t>合同签订前完成BIM团队的召集工作，中标通知书下发后7个工作日历天内完成整体BIM团队的组建工作</w:t>
            </w:r>
          </w:p>
        </w:tc>
      </w:tr>
      <w:tr w14:paraId="1EB8B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3" w:type="pct"/>
            <w:vMerge w:val="continue"/>
            <w:tcBorders>
              <w:left w:val="single" w:color="000000" w:sz="4" w:space="0"/>
              <w:bottom w:val="single" w:color="000000" w:sz="4" w:space="0"/>
              <w:right w:val="single" w:color="000000" w:sz="4" w:space="0"/>
            </w:tcBorders>
          </w:tcPr>
          <w:p w14:paraId="46FE33AB">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vAlign w:val="center"/>
          </w:tcPr>
          <w:p w14:paraId="2110F5DF">
            <w:pPr>
              <w:overflowPunct w:val="0"/>
              <w:rPr>
                <w:rFonts w:hint="eastAsia" w:ascii="宋体" w:hAnsi="宋体" w:cs="宋体"/>
                <w:color w:val="auto"/>
                <w:sz w:val="24"/>
                <w:highlight w:val="none"/>
              </w:rPr>
            </w:pPr>
            <w:r>
              <w:rPr>
                <w:rFonts w:hint="eastAsia" w:ascii="宋体" w:hAnsi="宋体" w:cs="宋体"/>
                <w:color w:val="auto"/>
                <w:sz w:val="24"/>
                <w:highlight w:val="none"/>
              </w:rPr>
              <w:t>BIM总体实施框架和实施方案</w:t>
            </w:r>
          </w:p>
        </w:tc>
        <w:tc>
          <w:tcPr>
            <w:tcW w:w="2363" w:type="pct"/>
            <w:tcBorders>
              <w:top w:val="single" w:color="000000" w:sz="4" w:space="0"/>
              <w:left w:val="single" w:color="000000" w:sz="4" w:space="0"/>
              <w:bottom w:val="single" w:color="000000" w:sz="4" w:space="0"/>
              <w:right w:val="single" w:color="000000" w:sz="4" w:space="0"/>
            </w:tcBorders>
            <w:vAlign w:val="center"/>
          </w:tcPr>
          <w:p w14:paraId="22B5422E">
            <w:pPr>
              <w:pStyle w:val="7"/>
              <w:rPr>
                <w:rFonts w:hint="eastAsia" w:ascii="宋体" w:hAnsi="宋体" w:cs="宋体"/>
                <w:color w:val="auto"/>
                <w:sz w:val="24"/>
                <w:highlight w:val="none"/>
              </w:rPr>
            </w:pPr>
            <w:r>
              <w:rPr>
                <w:rFonts w:hint="eastAsia" w:ascii="宋体" w:hAnsi="宋体" w:cs="宋体"/>
                <w:color w:val="auto"/>
                <w:sz w:val="24"/>
                <w:highlight w:val="none"/>
              </w:rPr>
              <w:t>合同签订后的15个工作日内</w:t>
            </w:r>
          </w:p>
        </w:tc>
      </w:tr>
      <w:tr w14:paraId="1712E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3" w:type="pct"/>
            <w:vMerge w:val="restart"/>
            <w:tcBorders>
              <w:left w:val="single" w:color="000000" w:sz="4" w:space="0"/>
              <w:right w:val="single" w:color="000000" w:sz="4" w:space="0"/>
            </w:tcBorders>
          </w:tcPr>
          <w:p w14:paraId="2EE61266">
            <w:pPr>
              <w:overflowPunct w:val="0"/>
              <w:rPr>
                <w:rFonts w:hint="eastAsia" w:ascii="宋体" w:hAnsi="宋体" w:cs="宋体"/>
                <w:color w:val="auto"/>
                <w:sz w:val="24"/>
                <w:highlight w:val="none"/>
              </w:rPr>
            </w:pPr>
            <w:r>
              <w:rPr>
                <w:rFonts w:hint="eastAsia" w:ascii="宋体" w:hAnsi="宋体" w:cs="宋体"/>
                <w:color w:val="auto"/>
                <w:sz w:val="24"/>
                <w:highlight w:val="none"/>
              </w:rPr>
              <w:t>施工图设计阶段</w:t>
            </w: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C8EEC">
            <w:pPr>
              <w:overflowPunct w:val="0"/>
              <w:rPr>
                <w:rFonts w:hint="eastAsia" w:ascii="宋体" w:hAnsi="宋体" w:cs="宋体"/>
                <w:color w:val="auto"/>
                <w:sz w:val="24"/>
                <w:highlight w:val="none"/>
              </w:rPr>
            </w:pPr>
            <w:r>
              <w:rPr>
                <w:rFonts w:hint="eastAsia" w:ascii="宋体" w:hAnsi="宋体" w:cs="宋体"/>
                <w:color w:val="auto"/>
                <w:sz w:val="24"/>
                <w:highlight w:val="none"/>
              </w:rPr>
              <w:t>施工图设计BIM模型完善</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3D298">
            <w:pPr>
              <w:overflowPunct w:val="0"/>
              <w:rPr>
                <w:rFonts w:hint="eastAsia" w:ascii="宋体" w:hAnsi="宋体" w:cs="宋体"/>
                <w:color w:val="auto"/>
                <w:sz w:val="24"/>
                <w:highlight w:val="none"/>
              </w:rPr>
            </w:pPr>
            <w:r>
              <w:rPr>
                <w:rFonts w:hint="eastAsia" w:ascii="宋体" w:hAnsi="宋体" w:cs="宋体"/>
                <w:color w:val="auto"/>
                <w:sz w:val="24"/>
                <w:highlight w:val="none"/>
              </w:rPr>
              <w:t>取得施工图设计成果30日历天内，专项设计BIM成果要求在取得施工图设计成果15日历天内完成</w:t>
            </w:r>
          </w:p>
        </w:tc>
      </w:tr>
      <w:tr w14:paraId="52E6B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3" w:type="pct"/>
            <w:vMerge w:val="continue"/>
            <w:tcBorders>
              <w:left w:val="single" w:color="000000" w:sz="4" w:space="0"/>
              <w:right w:val="single" w:color="000000" w:sz="4" w:space="0"/>
            </w:tcBorders>
          </w:tcPr>
          <w:p w14:paraId="4B9132F7">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D150F">
            <w:pPr>
              <w:overflowPunct w:val="0"/>
              <w:rPr>
                <w:rFonts w:hint="eastAsia" w:ascii="宋体" w:hAnsi="宋体" w:cs="宋体"/>
                <w:color w:val="auto"/>
                <w:sz w:val="24"/>
                <w:highlight w:val="none"/>
              </w:rPr>
            </w:pPr>
            <w:r>
              <w:rPr>
                <w:rFonts w:hint="eastAsia" w:ascii="宋体" w:hAnsi="宋体" w:cs="宋体"/>
                <w:color w:val="auto"/>
                <w:sz w:val="24"/>
                <w:highlight w:val="none"/>
              </w:rPr>
              <w:t>施工图设计模型碰撞报告</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DA66F">
            <w:pPr>
              <w:overflowPunct w:val="0"/>
              <w:rPr>
                <w:rFonts w:hint="eastAsia" w:ascii="宋体" w:hAnsi="宋体" w:cs="宋体"/>
                <w:color w:val="auto"/>
                <w:sz w:val="24"/>
                <w:highlight w:val="none"/>
              </w:rPr>
            </w:pPr>
            <w:r>
              <w:rPr>
                <w:rFonts w:hint="eastAsia" w:ascii="宋体" w:hAnsi="宋体" w:cs="宋体"/>
                <w:color w:val="auto"/>
                <w:sz w:val="24"/>
                <w:highlight w:val="none"/>
              </w:rPr>
              <w:t>完成施工图设计BIM模型5日历天内</w:t>
            </w:r>
          </w:p>
        </w:tc>
      </w:tr>
      <w:tr w14:paraId="58836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3" w:type="pct"/>
            <w:vMerge w:val="continue"/>
            <w:tcBorders>
              <w:left w:val="single" w:color="000000" w:sz="4" w:space="0"/>
              <w:right w:val="single" w:color="000000" w:sz="4" w:space="0"/>
            </w:tcBorders>
          </w:tcPr>
          <w:p w14:paraId="78E6D5F2">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AA950">
            <w:pPr>
              <w:overflowPunct w:val="0"/>
              <w:rPr>
                <w:rFonts w:hint="eastAsia" w:ascii="宋体" w:hAnsi="宋体" w:cs="宋体"/>
                <w:color w:val="auto"/>
                <w:sz w:val="24"/>
                <w:highlight w:val="none"/>
              </w:rPr>
            </w:pPr>
            <w:r>
              <w:rPr>
                <w:rFonts w:hint="eastAsia" w:ascii="宋体" w:hAnsi="宋体" w:cs="宋体"/>
                <w:color w:val="auto"/>
                <w:sz w:val="24"/>
                <w:highlight w:val="none"/>
              </w:rPr>
              <w:t>施工图设计BIM模型管综与设计优化</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3A68">
            <w:pPr>
              <w:overflowPunct w:val="0"/>
              <w:rPr>
                <w:rFonts w:hint="eastAsia" w:ascii="宋体" w:hAnsi="宋体" w:cs="宋体"/>
                <w:color w:val="auto"/>
                <w:sz w:val="24"/>
                <w:highlight w:val="none"/>
              </w:rPr>
            </w:pPr>
            <w:r>
              <w:rPr>
                <w:rFonts w:hint="eastAsia" w:ascii="宋体" w:hAnsi="宋体" w:cs="宋体"/>
                <w:color w:val="auto"/>
                <w:sz w:val="24"/>
                <w:highlight w:val="none"/>
              </w:rPr>
              <w:t>完成施工图设计BIM模型30日历天内</w:t>
            </w:r>
          </w:p>
        </w:tc>
      </w:tr>
      <w:tr w14:paraId="022BD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3" w:type="pct"/>
            <w:vMerge w:val="continue"/>
            <w:tcBorders>
              <w:left w:val="single" w:color="000000" w:sz="4" w:space="0"/>
              <w:bottom w:val="single" w:color="000000" w:sz="4" w:space="0"/>
              <w:right w:val="single" w:color="000000" w:sz="4" w:space="0"/>
            </w:tcBorders>
          </w:tcPr>
          <w:p w14:paraId="4333DA6F">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F9B0F">
            <w:pPr>
              <w:overflowPunct w:val="0"/>
              <w:rPr>
                <w:rFonts w:hint="eastAsia" w:ascii="宋体" w:hAnsi="宋体" w:cs="宋体"/>
                <w:color w:val="auto"/>
                <w:sz w:val="24"/>
                <w:highlight w:val="none"/>
              </w:rPr>
            </w:pPr>
            <w:r>
              <w:rPr>
                <w:rFonts w:hint="eastAsia" w:ascii="宋体" w:hAnsi="宋体" w:cs="宋体"/>
                <w:color w:val="auto"/>
                <w:sz w:val="24"/>
                <w:highlight w:val="none"/>
              </w:rPr>
              <w:t>施工图设计BIM技术应用点</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C53E9">
            <w:pPr>
              <w:overflowPunct w:val="0"/>
              <w:rPr>
                <w:rFonts w:hint="eastAsia" w:ascii="宋体" w:hAnsi="宋体" w:cs="宋体"/>
                <w:color w:val="auto"/>
                <w:sz w:val="24"/>
                <w:highlight w:val="none"/>
              </w:rPr>
            </w:pPr>
            <w:r>
              <w:rPr>
                <w:rFonts w:hint="eastAsia" w:ascii="宋体" w:hAnsi="宋体" w:cs="宋体"/>
                <w:color w:val="auto"/>
                <w:sz w:val="24"/>
                <w:highlight w:val="none"/>
              </w:rPr>
              <w:t>依据采购人及设计需求，配合设计汇报提供</w:t>
            </w:r>
          </w:p>
        </w:tc>
      </w:tr>
      <w:tr w14:paraId="2DB63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423" w:type="pct"/>
            <w:vMerge w:val="restart"/>
            <w:tcBorders>
              <w:left w:val="single" w:color="000000" w:sz="4" w:space="0"/>
              <w:right w:val="single" w:color="000000" w:sz="4" w:space="0"/>
            </w:tcBorders>
          </w:tcPr>
          <w:p w14:paraId="66668EB7">
            <w:pPr>
              <w:overflowPunct w:val="0"/>
              <w:rPr>
                <w:rFonts w:hint="eastAsia" w:ascii="宋体" w:hAnsi="宋体" w:cs="宋体"/>
                <w:color w:val="auto"/>
                <w:sz w:val="24"/>
                <w:highlight w:val="none"/>
              </w:rPr>
            </w:pPr>
            <w:r>
              <w:rPr>
                <w:rFonts w:hint="eastAsia" w:ascii="宋体" w:hAnsi="宋体" w:cs="宋体"/>
                <w:color w:val="auto"/>
                <w:sz w:val="24"/>
                <w:highlight w:val="none"/>
              </w:rPr>
              <w:t>施工阶段</w:t>
            </w: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DDDE6">
            <w:pPr>
              <w:overflowPunct w:val="0"/>
              <w:rPr>
                <w:rFonts w:hint="eastAsia" w:ascii="宋体" w:hAnsi="宋体" w:cs="宋体"/>
                <w:color w:val="auto"/>
                <w:sz w:val="24"/>
                <w:highlight w:val="none"/>
              </w:rPr>
            </w:pPr>
            <w:r>
              <w:rPr>
                <w:rFonts w:hint="eastAsia" w:ascii="宋体" w:hAnsi="宋体" w:cs="宋体"/>
                <w:color w:val="auto"/>
                <w:sz w:val="24"/>
                <w:highlight w:val="none"/>
              </w:rPr>
              <w:t>施工阶段BIM模型深化</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67BC1">
            <w:pPr>
              <w:overflowPunct w:val="0"/>
              <w:rPr>
                <w:rFonts w:hint="eastAsia" w:ascii="宋体" w:hAnsi="宋体" w:cs="宋体"/>
                <w:color w:val="auto"/>
                <w:sz w:val="24"/>
                <w:highlight w:val="none"/>
              </w:rPr>
            </w:pPr>
            <w:r>
              <w:rPr>
                <w:rFonts w:hint="eastAsia" w:ascii="宋体" w:hAnsi="宋体" w:cs="宋体"/>
                <w:color w:val="auto"/>
                <w:sz w:val="24"/>
                <w:highlight w:val="none"/>
              </w:rPr>
              <w:t>在施工图设计BIM模型完成后90日历天内</w:t>
            </w:r>
          </w:p>
        </w:tc>
      </w:tr>
      <w:tr w14:paraId="22812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vAlign w:val="center"/>
          </w:tcPr>
          <w:p w14:paraId="430C29E5">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1BA5">
            <w:pPr>
              <w:overflowPunct w:val="0"/>
              <w:rPr>
                <w:rFonts w:hint="eastAsia" w:ascii="宋体" w:hAnsi="宋体" w:cs="宋体"/>
                <w:color w:val="auto"/>
                <w:sz w:val="24"/>
                <w:highlight w:val="none"/>
              </w:rPr>
            </w:pPr>
            <w:r>
              <w:rPr>
                <w:rFonts w:hint="eastAsia" w:ascii="宋体" w:hAnsi="宋体" w:cs="宋体"/>
                <w:color w:val="auto"/>
                <w:sz w:val="24"/>
                <w:highlight w:val="none"/>
              </w:rPr>
              <w:t>CSD、CBWD等施工深化模型</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16089">
            <w:pPr>
              <w:overflowPunct w:val="0"/>
              <w:rPr>
                <w:rFonts w:hint="eastAsia" w:ascii="宋体" w:hAnsi="宋体" w:cs="宋体"/>
                <w:color w:val="auto"/>
                <w:sz w:val="24"/>
                <w:highlight w:val="none"/>
              </w:rPr>
            </w:pPr>
            <w:r>
              <w:rPr>
                <w:rFonts w:hint="eastAsia" w:ascii="宋体" w:hAnsi="宋体" w:cs="宋体"/>
                <w:color w:val="auto"/>
                <w:sz w:val="24"/>
                <w:highlight w:val="none"/>
              </w:rPr>
              <w:t>在BIM模型深化完成后15日历天内</w:t>
            </w:r>
          </w:p>
        </w:tc>
      </w:tr>
      <w:tr w14:paraId="27C37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tcPr>
          <w:p w14:paraId="4FF05B2F">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7036C">
            <w:pPr>
              <w:overflowPunct w:val="0"/>
              <w:rPr>
                <w:rFonts w:hint="eastAsia" w:ascii="宋体" w:hAnsi="宋体" w:cs="宋体"/>
                <w:color w:val="auto"/>
                <w:sz w:val="24"/>
                <w:highlight w:val="none"/>
              </w:rPr>
            </w:pPr>
            <w:r>
              <w:rPr>
                <w:rFonts w:hint="eastAsia" w:ascii="宋体" w:hAnsi="宋体" w:cs="宋体"/>
                <w:color w:val="auto"/>
                <w:sz w:val="24"/>
                <w:highlight w:val="none"/>
              </w:rPr>
              <w:t>基于BIM模型完成施工图会审</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B2EEA">
            <w:pPr>
              <w:overflowPunct w:val="0"/>
              <w:rPr>
                <w:rFonts w:hint="eastAsia" w:ascii="宋体" w:hAnsi="宋体" w:cs="宋体"/>
                <w:color w:val="auto"/>
                <w:sz w:val="24"/>
                <w:highlight w:val="none"/>
              </w:rPr>
            </w:pPr>
            <w:r>
              <w:rPr>
                <w:rFonts w:hint="eastAsia" w:ascii="宋体" w:hAnsi="宋体" w:cs="宋体"/>
                <w:color w:val="auto"/>
                <w:sz w:val="24"/>
                <w:highlight w:val="none"/>
              </w:rPr>
              <w:t>和图纸会审一起完成，提交给发包人</w:t>
            </w:r>
          </w:p>
        </w:tc>
      </w:tr>
      <w:tr w14:paraId="20E85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tcPr>
          <w:p w14:paraId="0FD1A925">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BC1E">
            <w:pPr>
              <w:overflowPunct w:val="0"/>
              <w:rPr>
                <w:rFonts w:hint="eastAsia" w:ascii="宋体" w:hAnsi="宋体" w:cs="宋体"/>
                <w:color w:val="auto"/>
                <w:sz w:val="24"/>
                <w:highlight w:val="none"/>
              </w:rPr>
            </w:pPr>
            <w:r>
              <w:rPr>
                <w:rFonts w:hint="eastAsia" w:ascii="宋体" w:hAnsi="宋体" w:cs="宋体"/>
                <w:color w:val="auto"/>
                <w:sz w:val="24"/>
                <w:highlight w:val="none"/>
              </w:rPr>
              <w:t>施工变更引起的模型修改</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B645">
            <w:pPr>
              <w:overflowPunct w:val="0"/>
              <w:rPr>
                <w:rFonts w:hint="eastAsia" w:ascii="宋体" w:hAnsi="宋体" w:cs="宋体"/>
                <w:color w:val="auto"/>
                <w:sz w:val="24"/>
                <w:highlight w:val="none"/>
              </w:rPr>
            </w:pPr>
            <w:r>
              <w:rPr>
                <w:rFonts w:hint="eastAsia" w:ascii="宋体" w:hAnsi="宋体" w:cs="宋体"/>
                <w:color w:val="auto"/>
                <w:sz w:val="24"/>
                <w:highlight w:val="none"/>
              </w:rPr>
              <w:t>在收到变更单后的7日历天内</w:t>
            </w:r>
          </w:p>
        </w:tc>
      </w:tr>
      <w:tr w14:paraId="6C469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tcPr>
          <w:p w14:paraId="0CD718A2">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8B480">
            <w:pPr>
              <w:overflowPunct w:val="0"/>
              <w:rPr>
                <w:rFonts w:hint="eastAsia" w:ascii="宋体" w:hAnsi="宋体" w:cs="宋体"/>
                <w:color w:val="auto"/>
                <w:sz w:val="24"/>
                <w:highlight w:val="none"/>
              </w:rPr>
            </w:pPr>
            <w:r>
              <w:rPr>
                <w:rFonts w:hint="eastAsia" w:ascii="宋体" w:hAnsi="宋体" w:cs="宋体"/>
                <w:color w:val="auto"/>
                <w:sz w:val="24"/>
                <w:highlight w:val="none"/>
              </w:rPr>
              <w:t>碰撞检测报告及解决碰撞</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16E70">
            <w:pPr>
              <w:overflowPunct w:val="0"/>
              <w:rPr>
                <w:rFonts w:hint="eastAsia" w:ascii="宋体" w:hAnsi="宋体" w:cs="宋体"/>
                <w:color w:val="auto"/>
                <w:sz w:val="24"/>
                <w:highlight w:val="none"/>
              </w:rPr>
            </w:pPr>
            <w:r>
              <w:rPr>
                <w:rFonts w:hint="eastAsia" w:ascii="宋体" w:hAnsi="宋体" w:cs="宋体"/>
                <w:color w:val="auto"/>
                <w:sz w:val="24"/>
                <w:highlight w:val="none"/>
              </w:rPr>
              <w:t>在相应部位施工前的30日历天内</w:t>
            </w:r>
          </w:p>
        </w:tc>
      </w:tr>
      <w:tr w14:paraId="2924E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tcPr>
          <w:p w14:paraId="6A9B6D1E">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6170D">
            <w:pPr>
              <w:overflowPunct w:val="0"/>
              <w:rPr>
                <w:rFonts w:hint="eastAsia" w:ascii="宋体" w:hAnsi="宋体" w:cs="宋体"/>
                <w:color w:val="auto"/>
                <w:sz w:val="24"/>
                <w:highlight w:val="none"/>
              </w:rPr>
            </w:pPr>
            <w:r>
              <w:rPr>
                <w:rFonts w:hint="eastAsia" w:ascii="宋体" w:hAnsi="宋体" w:cs="宋体"/>
                <w:color w:val="auto"/>
                <w:sz w:val="24"/>
                <w:highlight w:val="none"/>
              </w:rPr>
              <w:t>基坑阶段BIM模型</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F30ED">
            <w:pPr>
              <w:overflowPunct w:val="0"/>
              <w:rPr>
                <w:rFonts w:hint="eastAsia" w:ascii="宋体" w:hAnsi="宋体" w:cs="宋体"/>
                <w:color w:val="auto"/>
                <w:sz w:val="24"/>
                <w:highlight w:val="none"/>
              </w:rPr>
            </w:pPr>
            <w:r>
              <w:rPr>
                <w:rFonts w:hint="eastAsia" w:ascii="宋体" w:hAnsi="宋体" w:cs="宋体"/>
                <w:color w:val="auto"/>
                <w:sz w:val="24"/>
                <w:highlight w:val="none"/>
              </w:rPr>
              <w:t>取得施工方案后15日历天内</w:t>
            </w:r>
          </w:p>
        </w:tc>
      </w:tr>
      <w:tr w14:paraId="42900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tcPr>
          <w:p w14:paraId="06D1A146">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AAC2">
            <w:pPr>
              <w:overflowPunct w:val="0"/>
              <w:rPr>
                <w:rFonts w:hint="eastAsia" w:ascii="宋体" w:hAnsi="宋体" w:cs="宋体"/>
                <w:color w:val="auto"/>
                <w:sz w:val="24"/>
                <w:highlight w:val="none"/>
              </w:rPr>
            </w:pPr>
            <w:r>
              <w:rPr>
                <w:rFonts w:hint="eastAsia" w:ascii="宋体" w:hAnsi="宋体" w:cs="宋体"/>
                <w:color w:val="auto"/>
                <w:sz w:val="24"/>
                <w:highlight w:val="none"/>
              </w:rPr>
              <w:t>施工方案模拟</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7B463">
            <w:pPr>
              <w:overflowPunct w:val="0"/>
              <w:rPr>
                <w:rFonts w:hint="eastAsia" w:ascii="宋体" w:hAnsi="宋体" w:cs="宋体"/>
                <w:color w:val="auto"/>
                <w:sz w:val="24"/>
                <w:highlight w:val="none"/>
              </w:rPr>
            </w:pPr>
            <w:r>
              <w:rPr>
                <w:rFonts w:hint="eastAsia" w:ascii="宋体" w:hAnsi="宋体" w:cs="宋体"/>
                <w:color w:val="auto"/>
                <w:sz w:val="24"/>
                <w:highlight w:val="none"/>
              </w:rPr>
              <w:t>取得施工方案后15日历天内，并在相应部位施工前的15日历天内</w:t>
            </w:r>
          </w:p>
        </w:tc>
      </w:tr>
      <w:tr w14:paraId="7FD4F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tcPr>
          <w:p w14:paraId="2974B89E">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B4B9A">
            <w:pPr>
              <w:overflowPunct w:val="0"/>
              <w:rPr>
                <w:rFonts w:hint="eastAsia" w:ascii="宋体" w:hAnsi="宋体" w:cs="宋体"/>
                <w:color w:val="auto"/>
                <w:sz w:val="24"/>
                <w:highlight w:val="none"/>
              </w:rPr>
            </w:pPr>
            <w:r>
              <w:rPr>
                <w:rFonts w:hint="eastAsia" w:ascii="宋体" w:hAnsi="宋体" w:cs="宋体"/>
                <w:color w:val="auto"/>
                <w:sz w:val="24"/>
                <w:highlight w:val="none"/>
              </w:rPr>
              <w:t>施工工艺模拟</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05AB7">
            <w:pPr>
              <w:overflowPunct w:val="0"/>
              <w:rPr>
                <w:rFonts w:hint="eastAsia" w:ascii="宋体" w:hAnsi="宋体" w:cs="宋体"/>
                <w:color w:val="auto"/>
                <w:sz w:val="24"/>
                <w:highlight w:val="none"/>
              </w:rPr>
            </w:pPr>
            <w:r>
              <w:rPr>
                <w:rFonts w:hint="eastAsia" w:ascii="宋体" w:hAnsi="宋体" w:cs="宋体"/>
                <w:color w:val="auto"/>
                <w:sz w:val="24"/>
                <w:highlight w:val="none"/>
              </w:rPr>
              <w:t>取得施工方案后15日历天内，并在相应部位施工前的15日历天内</w:t>
            </w:r>
          </w:p>
        </w:tc>
      </w:tr>
      <w:tr w14:paraId="2FA21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tcPr>
          <w:p w14:paraId="290AAAAB">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22FF9">
            <w:pPr>
              <w:overflowPunct w:val="0"/>
              <w:rPr>
                <w:rFonts w:hint="eastAsia" w:ascii="宋体" w:hAnsi="宋体" w:cs="宋体"/>
                <w:color w:val="auto"/>
                <w:sz w:val="24"/>
                <w:highlight w:val="none"/>
              </w:rPr>
            </w:pPr>
            <w:r>
              <w:rPr>
                <w:rFonts w:hint="eastAsia" w:ascii="宋体" w:hAnsi="宋体" w:cs="宋体"/>
                <w:color w:val="auto"/>
                <w:sz w:val="24"/>
                <w:highlight w:val="none"/>
              </w:rPr>
              <w:t>4D施工模拟及进度优化</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732BC">
            <w:pPr>
              <w:overflowPunct w:val="0"/>
              <w:rPr>
                <w:rFonts w:hint="eastAsia" w:ascii="宋体" w:hAnsi="宋体" w:cs="宋体"/>
                <w:color w:val="auto"/>
                <w:sz w:val="24"/>
                <w:highlight w:val="none"/>
              </w:rPr>
            </w:pPr>
            <w:r>
              <w:rPr>
                <w:rFonts w:hint="eastAsia" w:ascii="宋体" w:hAnsi="宋体" w:cs="宋体"/>
                <w:color w:val="auto"/>
                <w:sz w:val="24"/>
                <w:highlight w:val="none"/>
              </w:rPr>
              <w:t>在相应部位施工前的30日历天内</w:t>
            </w:r>
          </w:p>
        </w:tc>
      </w:tr>
      <w:tr w14:paraId="35DB8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tcPr>
          <w:p w14:paraId="776076F6">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A17E">
            <w:pPr>
              <w:overflowPunct w:val="0"/>
              <w:rPr>
                <w:rFonts w:hint="eastAsia" w:ascii="宋体" w:hAnsi="宋体" w:cs="宋体"/>
                <w:color w:val="auto"/>
                <w:sz w:val="24"/>
                <w:highlight w:val="none"/>
              </w:rPr>
            </w:pPr>
            <w:r>
              <w:rPr>
                <w:rFonts w:hint="eastAsia" w:ascii="宋体" w:hAnsi="宋体" w:cs="宋体"/>
                <w:color w:val="auto"/>
                <w:sz w:val="24"/>
                <w:highlight w:val="none"/>
              </w:rPr>
              <w:t>BIM竣工模型的协调、集成</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04ECA">
            <w:pPr>
              <w:overflowPunct w:val="0"/>
              <w:rPr>
                <w:rFonts w:hint="eastAsia" w:ascii="宋体" w:hAnsi="宋体" w:cs="宋体"/>
                <w:color w:val="auto"/>
                <w:sz w:val="24"/>
                <w:highlight w:val="none"/>
              </w:rPr>
            </w:pPr>
            <w:r>
              <w:rPr>
                <w:rFonts w:hint="eastAsia" w:ascii="宋体" w:hAnsi="宋体" w:cs="宋体"/>
                <w:color w:val="auto"/>
                <w:sz w:val="24"/>
                <w:highlight w:val="none"/>
              </w:rPr>
              <w:t>在出具竣工证明前，完成各专业BIM竣工模型的整合及验收</w:t>
            </w:r>
          </w:p>
        </w:tc>
      </w:tr>
      <w:tr w14:paraId="54170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423" w:type="pct"/>
            <w:tcBorders>
              <w:top w:val="single" w:color="000000" w:sz="4" w:space="0"/>
              <w:left w:val="single" w:color="000000" w:sz="4" w:space="0"/>
              <w:bottom w:val="single" w:color="000000" w:sz="4" w:space="0"/>
              <w:right w:val="single" w:color="000000" w:sz="4" w:space="0"/>
            </w:tcBorders>
          </w:tcPr>
          <w:p w14:paraId="425A58C8">
            <w:pPr>
              <w:overflowPunct w:val="0"/>
              <w:rPr>
                <w:rFonts w:hint="eastAsia" w:ascii="宋体" w:hAnsi="宋体" w:cs="宋体"/>
                <w:color w:val="auto"/>
                <w:sz w:val="24"/>
                <w:highlight w:val="none"/>
              </w:rPr>
            </w:pPr>
            <w:r>
              <w:rPr>
                <w:rFonts w:hint="eastAsia" w:ascii="宋体" w:hAnsi="宋体" w:cs="宋体"/>
                <w:color w:val="auto"/>
                <w:sz w:val="24"/>
                <w:highlight w:val="none"/>
              </w:rPr>
              <w:t>竣工阶段</w:t>
            </w:r>
          </w:p>
        </w:tc>
        <w:tc>
          <w:tcPr>
            <w:tcW w:w="2213" w:type="pct"/>
            <w:tcBorders>
              <w:top w:val="single" w:color="000000" w:sz="4" w:space="0"/>
              <w:left w:val="single" w:color="000000" w:sz="4" w:space="0"/>
              <w:bottom w:val="single" w:color="000000" w:sz="4" w:space="0"/>
              <w:right w:val="single" w:color="000000" w:sz="4" w:space="0"/>
            </w:tcBorders>
            <w:vAlign w:val="center"/>
          </w:tcPr>
          <w:p w14:paraId="1F0CBAB0">
            <w:pPr>
              <w:overflowPunct w:val="0"/>
              <w:rPr>
                <w:rFonts w:hint="eastAsia" w:ascii="宋体" w:hAnsi="宋体" w:cs="宋体"/>
                <w:color w:val="auto"/>
                <w:sz w:val="24"/>
                <w:highlight w:val="none"/>
              </w:rPr>
            </w:pPr>
            <w:r>
              <w:rPr>
                <w:rFonts w:hint="eastAsia" w:ascii="宋体" w:hAnsi="宋体" w:cs="宋体"/>
                <w:color w:val="auto"/>
                <w:sz w:val="24"/>
                <w:highlight w:val="none"/>
              </w:rPr>
              <w:t>BIM竣工模型</w:t>
            </w:r>
          </w:p>
        </w:tc>
        <w:tc>
          <w:tcPr>
            <w:tcW w:w="2363" w:type="pct"/>
            <w:tcBorders>
              <w:top w:val="single" w:color="000000" w:sz="4" w:space="0"/>
              <w:left w:val="single" w:color="000000" w:sz="4" w:space="0"/>
              <w:bottom w:val="single" w:color="000000" w:sz="4" w:space="0"/>
              <w:right w:val="single" w:color="000000" w:sz="4" w:space="0"/>
            </w:tcBorders>
            <w:vAlign w:val="center"/>
          </w:tcPr>
          <w:p w14:paraId="4662B719">
            <w:pPr>
              <w:overflowPunct w:val="0"/>
              <w:rPr>
                <w:rFonts w:hint="eastAsia" w:ascii="宋体" w:hAnsi="宋体" w:cs="宋体"/>
                <w:color w:val="auto"/>
                <w:sz w:val="24"/>
                <w:highlight w:val="none"/>
              </w:rPr>
            </w:pPr>
            <w:r>
              <w:rPr>
                <w:rFonts w:hint="eastAsia" w:ascii="宋体" w:hAnsi="宋体" w:cs="宋体"/>
                <w:color w:val="auto"/>
                <w:sz w:val="24"/>
                <w:highlight w:val="none"/>
              </w:rPr>
              <w:t>在竣工验收前。</w:t>
            </w:r>
          </w:p>
        </w:tc>
      </w:tr>
      <w:tr w14:paraId="0E7A9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tcPr>
          <w:p w14:paraId="12674D4D">
            <w:pPr>
              <w:overflowPunct w:val="0"/>
              <w:rPr>
                <w:rFonts w:hint="eastAsia" w:ascii="宋体" w:hAnsi="宋体" w:cs="宋体"/>
                <w:color w:val="auto"/>
                <w:sz w:val="24"/>
                <w:highlight w:val="none"/>
              </w:rPr>
            </w:pPr>
            <w:r>
              <w:rPr>
                <w:rFonts w:hint="eastAsia" w:ascii="宋体" w:hAnsi="宋体" w:cs="宋体"/>
                <w:color w:val="auto"/>
                <w:sz w:val="24"/>
                <w:highlight w:val="none"/>
              </w:rPr>
              <w:t>注：</w:t>
            </w:r>
          </w:p>
          <w:p w14:paraId="200D3687">
            <w:pPr>
              <w:overflowPunct w:val="0"/>
              <w:rPr>
                <w:rFonts w:hint="eastAsia" w:ascii="宋体" w:hAnsi="宋体" w:cs="宋体"/>
                <w:b/>
                <w:bCs/>
                <w:color w:val="auto"/>
                <w:sz w:val="24"/>
                <w:highlight w:val="none"/>
              </w:rPr>
            </w:pPr>
            <w:r>
              <w:rPr>
                <w:rFonts w:hint="eastAsia" w:ascii="宋体" w:hAnsi="宋体" w:cs="宋体"/>
                <w:color w:val="auto"/>
                <w:sz w:val="24"/>
                <w:highlight w:val="none"/>
              </w:rPr>
              <w:t>1、施工阶段BIM模型细度及技术应用点包括施工方案模拟、施工工艺模拟工作应用等具体内容参考业主方及施工单位提出需求，模拟深度要求参见《浙江省建筑信息模型(BIM)技术应用导则》并满足施工交底指导施工要求。</w:t>
            </w:r>
          </w:p>
          <w:p w14:paraId="35F18B52">
            <w:pPr>
              <w:rPr>
                <w:rFonts w:hint="eastAsia" w:ascii="宋体" w:hAnsi="宋体" w:cs="宋体"/>
                <w:color w:val="auto"/>
                <w:sz w:val="24"/>
                <w:highlight w:val="none"/>
              </w:rPr>
            </w:pPr>
            <w:r>
              <w:rPr>
                <w:rFonts w:hint="eastAsia" w:ascii="宋体" w:hAnsi="宋体" w:cs="宋体"/>
                <w:color w:val="auto"/>
                <w:sz w:val="24"/>
                <w:highlight w:val="none"/>
              </w:rPr>
              <w:t>2、如采购人有其他工作要求，需15日历天内完成采购人提出的其他工作内容，并出具相应报告。</w:t>
            </w:r>
          </w:p>
        </w:tc>
      </w:tr>
    </w:tbl>
    <w:p w14:paraId="110E740D">
      <w:pPr>
        <w:rPr>
          <w:color w:val="auto"/>
          <w:highlight w:val="none"/>
        </w:rPr>
      </w:pPr>
    </w:p>
    <w:p w14:paraId="7286DEF3">
      <w:pPr>
        <w:spacing w:line="360" w:lineRule="auto"/>
        <w:outlineLvl w:val="0"/>
        <w:rPr>
          <w:rFonts w:hint="eastAsia" w:ascii="宋体" w:hAnsi="宋体" w:cs="宋体"/>
          <w:b/>
          <w:bCs/>
          <w:color w:val="auto"/>
          <w:sz w:val="24"/>
          <w:highlight w:val="none"/>
        </w:rPr>
      </w:pPr>
      <w:r>
        <w:rPr>
          <w:rFonts w:hint="eastAsia" w:ascii="宋体" w:hAnsi="宋体" w:cs="宋体"/>
          <w:b/>
          <w:bCs/>
          <w:color w:val="auto"/>
          <w:sz w:val="24"/>
          <w:highlight w:val="none"/>
        </w:rPr>
        <w:t>五、其他要求</w:t>
      </w:r>
    </w:p>
    <w:p w14:paraId="3B24146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中标人需完成下列但不限于门诊大厅、急诊大厅、标准病房及卫生间、护理单元护士站（含过道）、医疗街、会议中心、体检中心、门诊诊室、电梯前室、院史展览区等室内空间仿真漫游、室外空间仿真漫游、医疗流程模拟及各个主要部位的VR模拟。</w:t>
      </w:r>
    </w:p>
    <w:p w14:paraId="722E89B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硬件要求：VR眼镜1台及图形处理器3台，用于业主过程中使用。</w:t>
      </w:r>
    </w:p>
    <w:p w14:paraId="7E65AEA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图形处理器配置：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278"/>
        <w:gridCol w:w="4755"/>
        <w:gridCol w:w="1389"/>
      </w:tblGrid>
      <w:tr w14:paraId="104D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4" w:type="pct"/>
            <w:noWrap/>
            <w:vAlign w:val="center"/>
          </w:tcPr>
          <w:p w14:paraId="1DE95A97">
            <w:pPr>
              <w:spacing w:line="360" w:lineRule="auto"/>
              <w:ind w:firstLine="241" w:firstLineChars="100"/>
              <w:jc w:val="center"/>
              <w:rPr>
                <w:rFonts w:hint="eastAsia" w:ascii="宋体" w:hAnsi="宋体" w:cs="仿宋"/>
                <w:b/>
                <w:bCs/>
                <w:color w:val="auto"/>
                <w:sz w:val="24"/>
                <w:highlight w:val="none"/>
              </w:rPr>
            </w:pPr>
            <w:r>
              <w:rPr>
                <w:rFonts w:hint="eastAsia" w:ascii="宋体" w:hAnsi="宋体" w:cs="仿宋"/>
                <w:b/>
                <w:bCs/>
                <w:color w:val="auto"/>
                <w:sz w:val="24"/>
                <w:highlight w:val="none"/>
              </w:rPr>
              <w:t>分类</w:t>
            </w:r>
          </w:p>
        </w:tc>
        <w:tc>
          <w:tcPr>
            <w:tcW w:w="688" w:type="pct"/>
            <w:vAlign w:val="center"/>
          </w:tcPr>
          <w:p w14:paraId="1C450F53">
            <w:pPr>
              <w:spacing w:line="360" w:lineRule="auto"/>
              <w:ind w:firstLine="241" w:firstLineChars="100"/>
              <w:jc w:val="center"/>
              <w:rPr>
                <w:rFonts w:hint="eastAsia" w:ascii="宋体" w:hAnsi="宋体" w:cs="仿宋"/>
                <w:b/>
                <w:bCs/>
                <w:color w:val="auto"/>
                <w:sz w:val="24"/>
                <w:highlight w:val="none"/>
              </w:rPr>
            </w:pPr>
            <w:r>
              <w:rPr>
                <w:rFonts w:hint="eastAsia" w:ascii="宋体" w:hAnsi="宋体" w:cs="仿宋"/>
                <w:b/>
                <w:bCs/>
                <w:color w:val="auto"/>
                <w:sz w:val="24"/>
                <w:highlight w:val="none"/>
              </w:rPr>
              <w:t>指标项</w:t>
            </w:r>
          </w:p>
        </w:tc>
        <w:tc>
          <w:tcPr>
            <w:tcW w:w="2560" w:type="pct"/>
            <w:vAlign w:val="center"/>
          </w:tcPr>
          <w:p w14:paraId="2069AD09">
            <w:pPr>
              <w:spacing w:line="360" w:lineRule="auto"/>
              <w:ind w:firstLine="241" w:firstLineChars="100"/>
              <w:jc w:val="center"/>
              <w:rPr>
                <w:rFonts w:hint="eastAsia" w:ascii="宋体" w:hAnsi="宋体" w:cs="仿宋"/>
                <w:b/>
                <w:bCs/>
                <w:color w:val="auto"/>
                <w:sz w:val="24"/>
                <w:highlight w:val="none"/>
              </w:rPr>
            </w:pPr>
            <w:r>
              <w:rPr>
                <w:rFonts w:hint="eastAsia" w:ascii="宋体" w:hAnsi="宋体" w:cs="仿宋"/>
                <w:b/>
                <w:bCs/>
                <w:color w:val="auto"/>
                <w:sz w:val="24"/>
                <w:highlight w:val="none"/>
              </w:rPr>
              <w:t>技术规格要求</w:t>
            </w:r>
          </w:p>
        </w:tc>
        <w:tc>
          <w:tcPr>
            <w:tcW w:w="748" w:type="pct"/>
            <w:noWrap/>
            <w:vAlign w:val="center"/>
          </w:tcPr>
          <w:p w14:paraId="111FE97F">
            <w:pPr>
              <w:spacing w:line="360" w:lineRule="auto"/>
              <w:jc w:val="center"/>
              <w:rPr>
                <w:rFonts w:hint="eastAsia" w:ascii="宋体" w:hAnsi="宋体" w:cs="仿宋"/>
                <w:b/>
                <w:bCs/>
                <w:color w:val="auto"/>
                <w:sz w:val="24"/>
                <w:highlight w:val="none"/>
              </w:rPr>
            </w:pPr>
            <w:r>
              <w:rPr>
                <w:rFonts w:hint="eastAsia" w:ascii="宋体" w:hAnsi="宋体" w:cs="仿宋"/>
                <w:b/>
                <w:bCs/>
                <w:color w:val="auto"/>
                <w:sz w:val="24"/>
                <w:highlight w:val="none"/>
              </w:rPr>
              <w:t>数量</w:t>
            </w:r>
          </w:p>
        </w:tc>
      </w:tr>
      <w:tr w14:paraId="6056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4" w:type="pct"/>
            <w:vMerge w:val="restart"/>
            <w:vAlign w:val="center"/>
          </w:tcPr>
          <w:p w14:paraId="02BFA160">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图形处理器</w:t>
            </w:r>
          </w:p>
        </w:tc>
        <w:tc>
          <w:tcPr>
            <w:tcW w:w="688" w:type="pct"/>
            <w:vMerge w:val="restart"/>
            <w:vAlign w:val="center"/>
          </w:tcPr>
          <w:p w14:paraId="0C9E9A79">
            <w:pPr>
              <w:spacing w:line="360" w:lineRule="auto"/>
              <w:rPr>
                <w:rFonts w:hint="eastAsia" w:ascii="宋体" w:hAnsi="宋体" w:cs="仿宋"/>
                <w:color w:val="auto"/>
                <w:sz w:val="24"/>
                <w:highlight w:val="none"/>
              </w:rPr>
            </w:pPr>
            <w:r>
              <w:rPr>
                <w:rFonts w:hint="eastAsia" w:ascii="宋体" w:hAnsi="宋体" w:cs="仿宋"/>
                <w:color w:val="auto"/>
                <w:sz w:val="24"/>
                <w:highlight w:val="none"/>
              </w:rPr>
              <w:t>规格要求</w:t>
            </w:r>
          </w:p>
        </w:tc>
        <w:tc>
          <w:tcPr>
            <w:tcW w:w="2560" w:type="pct"/>
            <w:vAlign w:val="center"/>
          </w:tcPr>
          <w:p w14:paraId="3B98C916">
            <w:pPr>
              <w:spacing w:line="360" w:lineRule="auto"/>
              <w:ind w:firstLine="240" w:firstLineChars="100"/>
              <w:rPr>
                <w:rFonts w:hint="eastAsia" w:ascii="宋体" w:hAnsi="宋体" w:cs="仿宋"/>
                <w:color w:val="auto"/>
                <w:sz w:val="24"/>
                <w:highlight w:val="none"/>
              </w:rPr>
            </w:pPr>
            <w:r>
              <w:rPr>
                <w:rFonts w:ascii="宋体" w:hAnsi="宋体" w:cs="仿宋"/>
                <w:color w:val="auto"/>
                <w:sz w:val="24"/>
                <w:highlight w:val="none"/>
              </w:rPr>
              <w:t>CPU：I7-1</w:t>
            </w:r>
            <w:r>
              <w:rPr>
                <w:rFonts w:hint="eastAsia" w:ascii="宋体" w:hAnsi="宋体" w:cs="仿宋"/>
                <w:color w:val="auto"/>
                <w:sz w:val="24"/>
                <w:highlight w:val="none"/>
              </w:rPr>
              <w:t>2</w:t>
            </w:r>
            <w:r>
              <w:rPr>
                <w:rFonts w:ascii="宋体" w:hAnsi="宋体" w:cs="仿宋"/>
                <w:color w:val="auto"/>
                <w:sz w:val="24"/>
                <w:highlight w:val="none"/>
              </w:rPr>
              <w:t>700K</w:t>
            </w:r>
            <w:r>
              <w:rPr>
                <w:rFonts w:hint="eastAsia" w:ascii="宋体" w:hAnsi="宋体" w:cs="仿宋"/>
                <w:color w:val="auto"/>
                <w:sz w:val="24"/>
                <w:highlight w:val="none"/>
              </w:rPr>
              <w:t>F</w:t>
            </w:r>
          </w:p>
        </w:tc>
        <w:tc>
          <w:tcPr>
            <w:tcW w:w="748" w:type="pct"/>
            <w:vMerge w:val="restart"/>
            <w:vAlign w:val="center"/>
          </w:tcPr>
          <w:p w14:paraId="6F671324">
            <w:pPr>
              <w:spacing w:line="360" w:lineRule="auto"/>
              <w:ind w:firstLine="240" w:firstLineChars="100"/>
              <w:rPr>
                <w:rFonts w:hint="eastAsia" w:ascii="宋体" w:hAnsi="宋体" w:cs="仿宋"/>
                <w:color w:val="auto"/>
                <w:sz w:val="24"/>
                <w:highlight w:val="none"/>
              </w:rPr>
            </w:pPr>
            <w:r>
              <w:rPr>
                <w:rFonts w:hint="eastAsia" w:ascii="宋体" w:hAnsi="宋体" w:cs="仿宋"/>
                <w:color w:val="auto"/>
                <w:sz w:val="24"/>
                <w:highlight w:val="none"/>
              </w:rPr>
              <w:t>3套</w:t>
            </w:r>
          </w:p>
        </w:tc>
      </w:tr>
      <w:tr w14:paraId="3177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4" w:type="pct"/>
            <w:vMerge w:val="continue"/>
            <w:vAlign w:val="center"/>
          </w:tcPr>
          <w:p w14:paraId="69AAD89F">
            <w:pPr>
              <w:spacing w:line="360" w:lineRule="auto"/>
              <w:ind w:firstLine="240" w:firstLineChars="100"/>
              <w:rPr>
                <w:rFonts w:hint="eastAsia" w:ascii="宋体" w:hAnsi="宋体" w:cs="仿宋"/>
                <w:color w:val="auto"/>
                <w:sz w:val="24"/>
                <w:highlight w:val="none"/>
              </w:rPr>
            </w:pPr>
          </w:p>
        </w:tc>
        <w:tc>
          <w:tcPr>
            <w:tcW w:w="688" w:type="pct"/>
            <w:vMerge w:val="continue"/>
            <w:vAlign w:val="center"/>
          </w:tcPr>
          <w:p w14:paraId="5A4547B1">
            <w:pPr>
              <w:spacing w:line="360" w:lineRule="auto"/>
              <w:ind w:firstLine="240" w:firstLineChars="100"/>
              <w:rPr>
                <w:rFonts w:hint="eastAsia" w:ascii="宋体" w:hAnsi="宋体" w:cs="仿宋"/>
                <w:color w:val="auto"/>
                <w:sz w:val="24"/>
                <w:highlight w:val="none"/>
              </w:rPr>
            </w:pPr>
          </w:p>
        </w:tc>
        <w:tc>
          <w:tcPr>
            <w:tcW w:w="2560" w:type="pct"/>
            <w:vAlign w:val="center"/>
          </w:tcPr>
          <w:p w14:paraId="2EDC3BC6">
            <w:pPr>
              <w:spacing w:line="360" w:lineRule="auto"/>
              <w:ind w:right="-386" w:rightChars="-184" w:firstLine="240" w:firstLineChars="100"/>
              <w:rPr>
                <w:rFonts w:hint="eastAsia" w:ascii="宋体" w:hAnsi="宋体" w:cs="仿宋"/>
                <w:color w:val="auto"/>
                <w:sz w:val="24"/>
                <w:highlight w:val="none"/>
              </w:rPr>
            </w:pPr>
            <w:r>
              <w:rPr>
                <w:rFonts w:hint="eastAsia" w:ascii="宋体" w:hAnsi="宋体" w:cs="仿宋"/>
                <w:color w:val="auto"/>
                <w:sz w:val="24"/>
                <w:highlight w:val="none"/>
              </w:rPr>
              <w:t>主板：B760</w:t>
            </w:r>
          </w:p>
        </w:tc>
        <w:tc>
          <w:tcPr>
            <w:tcW w:w="748" w:type="pct"/>
            <w:vMerge w:val="continue"/>
            <w:vAlign w:val="center"/>
          </w:tcPr>
          <w:p w14:paraId="51EDF90A">
            <w:pPr>
              <w:spacing w:line="360" w:lineRule="auto"/>
              <w:ind w:firstLine="240" w:firstLineChars="100"/>
              <w:rPr>
                <w:rFonts w:hint="eastAsia" w:ascii="宋体" w:hAnsi="宋体" w:cs="仿宋"/>
                <w:color w:val="auto"/>
                <w:sz w:val="24"/>
                <w:highlight w:val="none"/>
              </w:rPr>
            </w:pPr>
          </w:p>
        </w:tc>
      </w:tr>
      <w:tr w14:paraId="10E7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4" w:type="pct"/>
            <w:vMerge w:val="continue"/>
            <w:vAlign w:val="center"/>
          </w:tcPr>
          <w:p w14:paraId="5D07C051">
            <w:pPr>
              <w:spacing w:line="360" w:lineRule="auto"/>
              <w:ind w:firstLine="240" w:firstLineChars="100"/>
              <w:rPr>
                <w:rFonts w:hint="eastAsia" w:ascii="宋体" w:hAnsi="宋体" w:cs="仿宋"/>
                <w:color w:val="auto"/>
                <w:sz w:val="24"/>
                <w:highlight w:val="none"/>
              </w:rPr>
            </w:pPr>
          </w:p>
        </w:tc>
        <w:tc>
          <w:tcPr>
            <w:tcW w:w="688" w:type="pct"/>
            <w:vMerge w:val="continue"/>
            <w:vAlign w:val="center"/>
          </w:tcPr>
          <w:p w14:paraId="0D69C702">
            <w:pPr>
              <w:spacing w:line="360" w:lineRule="auto"/>
              <w:ind w:firstLine="240" w:firstLineChars="100"/>
              <w:rPr>
                <w:rFonts w:hint="eastAsia" w:ascii="宋体" w:hAnsi="宋体" w:cs="仿宋"/>
                <w:color w:val="auto"/>
                <w:sz w:val="24"/>
                <w:highlight w:val="none"/>
              </w:rPr>
            </w:pPr>
          </w:p>
        </w:tc>
        <w:tc>
          <w:tcPr>
            <w:tcW w:w="2560" w:type="pct"/>
            <w:vAlign w:val="center"/>
          </w:tcPr>
          <w:p w14:paraId="2E045A90">
            <w:pPr>
              <w:spacing w:line="360" w:lineRule="auto"/>
              <w:ind w:right="-386" w:rightChars="-184" w:firstLine="240" w:firstLineChars="100"/>
              <w:rPr>
                <w:rFonts w:hint="eastAsia" w:ascii="宋体" w:hAnsi="宋体" w:cs="仿宋"/>
                <w:color w:val="auto"/>
                <w:sz w:val="24"/>
                <w:highlight w:val="none"/>
              </w:rPr>
            </w:pPr>
            <w:r>
              <w:rPr>
                <w:rFonts w:hint="eastAsia" w:ascii="宋体" w:hAnsi="宋体" w:cs="仿宋"/>
                <w:color w:val="auto"/>
                <w:sz w:val="24"/>
                <w:highlight w:val="none"/>
              </w:rPr>
              <w:t>内存：DDR5 6800 64GB(</w:t>
            </w:r>
            <w:r>
              <w:rPr>
                <w:rFonts w:ascii="宋体" w:hAnsi="宋体" w:cs="仿宋"/>
                <w:color w:val="auto"/>
                <w:sz w:val="24"/>
                <w:highlight w:val="none"/>
              </w:rPr>
              <w:t>32G</w:t>
            </w:r>
            <w:r>
              <w:rPr>
                <w:rFonts w:hint="eastAsia" w:ascii="宋体" w:hAnsi="宋体" w:cs="仿宋"/>
                <w:color w:val="auto"/>
                <w:sz w:val="24"/>
                <w:highlight w:val="none"/>
              </w:rPr>
              <w:t>×2)</w:t>
            </w:r>
          </w:p>
        </w:tc>
        <w:tc>
          <w:tcPr>
            <w:tcW w:w="748" w:type="pct"/>
            <w:vMerge w:val="continue"/>
            <w:vAlign w:val="center"/>
          </w:tcPr>
          <w:p w14:paraId="7813210C">
            <w:pPr>
              <w:spacing w:line="360" w:lineRule="auto"/>
              <w:ind w:firstLine="240" w:firstLineChars="100"/>
              <w:rPr>
                <w:rFonts w:hint="eastAsia" w:ascii="宋体" w:hAnsi="宋体" w:cs="仿宋"/>
                <w:color w:val="auto"/>
                <w:sz w:val="24"/>
                <w:highlight w:val="none"/>
              </w:rPr>
            </w:pPr>
          </w:p>
        </w:tc>
      </w:tr>
      <w:tr w14:paraId="0A4E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4" w:type="pct"/>
            <w:vMerge w:val="continue"/>
            <w:vAlign w:val="center"/>
          </w:tcPr>
          <w:p w14:paraId="26FB8D56">
            <w:pPr>
              <w:spacing w:line="360" w:lineRule="auto"/>
              <w:ind w:firstLine="240" w:firstLineChars="100"/>
              <w:rPr>
                <w:rFonts w:hint="eastAsia" w:ascii="宋体" w:hAnsi="宋体" w:cs="仿宋"/>
                <w:color w:val="auto"/>
                <w:sz w:val="24"/>
                <w:highlight w:val="none"/>
              </w:rPr>
            </w:pPr>
          </w:p>
        </w:tc>
        <w:tc>
          <w:tcPr>
            <w:tcW w:w="688" w:type="pct"/>
            <w:vMerge w:val="continue"/>
            <w:vAlign w:val="center"/>
          </w:tcPr>
          <w:p w14:paraId="1B69D68A">
            <w:pPr>
              <w:spacing w:line="360" w:lineRule="auto"/>
              <w:ind w:firstLine="240" w:firstLineChars="100"/>
              <w:rPr>
                <w:rFonts w:hint="eastAsia" w:ascii="宋体" w:hAnsi="宋体" w:cs="仿宋"/>
                <w:color w:val="auto"/>
                <w:sz w:val="24"/>
                <w:highlight w:val="none"/>
              </w:rPr>
            </w:pPr>
          </w:p>
        </w:tc>
        <w:tc>
          <w:tcPr>
            <w:tcW w:w="2560" w:type="pct"/>
            <w:vAlign w:val="center"/>
          </w:tcPr>
          <w:p w14:paraId="46582BBF">
            <w:pPr>
              <w:spacing w:line="360" w:lineRule="auto"/>
              <w:ind w:firstLine="240" w:firstLineChars="100"/>
              <w:rPr>
                <w:rFonts w:hint="eastAsia" w:ascii="宋体" w:hAnsi="宋体" w:cs="仿宋"/>
                <w:color w:val="auto"/>
                <w:sz w:val="24"/>
                <w:highlight w:val="none"/>
              </w:rPr>
            </w:pPr>
            <w:r>
              <w:rPr>
                <w:rFonts w:hint="eastAsia" w:ascii="宋体" w:hAnsi="宋体" w:cs="仿宋"/>
                <w:color w:val="auto"/>
                <w:sz w:val="24"/>
                <w:highlight w:val="none"/>
              </w:rPr>
              <w:t>显卡：</w:t>
            </w:r>
            <w:r>
              <w:rPr>
                <w:rFonts w:ascii="宋体" w:hAnsi="宋体" w:cs="仿宋"/>
                <w:color w:val="auto"/>
                <w:sz w:val="24"/>
                <w:highlight w:val="none"/>
              </w:rPr>
              <w:t>RTX3070S</w:t>
            </w:r>
          </w:p>
        </w:tc>
        <w:tc>
          <w:tcPr>
            <w:tcW w:w="748" w:type="pct"/>
            <w:vMerge w:val="continue"/>
            <w:vAlign w:val="center"/>
          </w:tcPr>
          <w:p w14:paraId="3F932065">
            <w:pPr>
              <w:spacing w:line="360" w:lineRule="auto"/>
              <w:ind w:firstLine="240" w:firstLineChars="100"/>
              <w:rPr>
                <w:rFonts w:hint="eastAsia" w:ascii="宋体" w:hAnsi="宋体" w:cs="仿宋"/>
                <w:color w:val="auto"/>
                <w:sz w:val="24"/>
                <w:highlight w:val="none"/>
              </w:rPr>
            </w:pPr>
          </w:p>
        </w:tc>
      </w:tr>
      <w:tr w14:paraId="1E49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4" w:type="pct"/>
            <w:vMerge w:val="continue"/>
            <w:vAlign w:val="center"/>
          </w:tcPr>
          <w:p w14:paraId="02767A80">
            <w:pPr>
              <w:spacing w:line="360" w:lineRule="auto"/>
              <w:ind w:firstLine="240" w:firstLineChars="100"/>
              <w:rPr>
                <w:rFonts w:hint="eastAsia" w:ascii="宋体" w:hAnsi="宋体" w:cs="仿宋"/>
                <w:color w:val="auto"/>
                <w:sz w:val="24"/>
                <w:highlight w:val="none"/>
              </w:rPr>
            </w:pPr>
          </w:p>
        </w:tc>
        <w:tc>
          <w:tcPr>
            <w:tcW w:w="688" w:type="pct"/>
            <w:vMerge w:val="continue"/>
            <w:vAlign w:val="center"/>
          </w:tcPr>
          <w:p w14:paraId="16462AD6">
            <w:pPr>
              <w:spacing w:line="360" w:lineRule="auto"/>
              <w:ind w:firstLine="240" w:firstLineChars="100"/>
              <w:rPr>
                <w:rFonts w:hint="eastAsia" w:ascii="宋体" w:hAnsi="宋体" w:cs="仿宋"/>
                <w:color w:val="auto"/>
                <w:sz w:val="24"/>
                <w:highlight w:val="none"/>
              </w:rPr>
            </w:pPr>
          </w:p>
        </w:tc>
        <w:tc>
          <w:tcPr>
            <w:tcW w:w="2560" w:type="pct"/>
            <w:vAlign w:val="center"/>
          </w:tcPr>
          <w:p w14:paraId="1CE61F46">
            <w:pPr>
              <w:spacing w:line="360" w:lineRule="auto"/>
              <w:ind w:firstLine="240" w:firstLineChars="100"/>
              <w:rPr>
                <w:rFonts w:hint="eastAsia" w:ascii="宋体" w:hAnsi="宋体" w:cs="仿宋"/>
                <w:color w:val="auto"/>
                <w:sz w:val="24"/>
                <w:highlight w:val="none"/>
              </w:rPr>
            </w:pPr>
            <w:r>
              <w:rPr>
                <w:rFonts w:hint="eastAsia" w:ascii="宋体" w:hAnsi="宋体" w:cs="仿宋"/>
                <w:color w:val="auto"/>
                <w:sz w:val="24"/>
                <w:highlight w:val="none"/>
              </w:rPr>
              <w:t>硬盘：1TB</w:t>
            </w:r>
            <w:r>
              <w:rPr>
                <w:rFonts w:ascii="宋体" w:hAnsi="宋体" w:cs="仿宋"/>
                <w:color w:val="auto"/>
                <w:sz w:val="24"/>
                <w:highlight w:val="none"/>
              </w:rPr>
              <w:t xml:space="preserve"> SSD+</w:t>
            </w:r>
            <w:r>
              <w:rPr>
                <w:rFonts w:hint="eastAsia" w:ascii="宋体" w:hAnsi="宋体" w:cs="仿宋"/>
                <w:color w:val="auto"/>
                <w:sz w:val="24"/>
                <w:highlight w:val="none"/>
              </w:rPr>
              <w:t>3</w:t>
            </w:r>
            <w:r>
              <w:rPr>
                <w:rFonts w:ascii="宋体" w:hAnsi="宋体" w:cs="仿宋"/>
                <w:color w:val="auto"/>
                <w:sz w:val="24"/>
                <w:highlight w:val="none"/>
              </w:rPr>
              <w:t>T</w:t>
            </w:r>
            <w:r>
              <w:rPr>
                <w:rFonts w:hint="eastAsia" w:ascii="宋体" w:hAnsi="宋体" w:cs="仿宋"/>
                <w:color w:val="auto"/>
                <w:sz w:val="24"/>
                <w:highlight w:val="none"/>
              </w:rPr>
              <w:t>B</w:t>
            </w:r>
          </w:p>
        </w:tc>
        <w:tc>
          <w:tcPr>
            <w:tcW w:w="748" w:type="pct"/>
            <w:vMerge w:val="continue"/>
            <w:vAlign w:val="center"/>
          </w:tcPr>
          <w:p w14:paraId="434A8E81">
            <w:pPr>
              <w:spacing w:line="360" w:lineRule="auto"/>
              <w:ind w:firstLine="240" w:firstLineChars="100"/>
              <w:rPr>
                <w:rFonts w:hint="eastAsia" w:ascii="宋体" w:hAnsi="宋体" w:cs="仿宋"/>
                <w:color w:val="auto"/>
                <w:sz w:val="24"/>
                <w:highlight w:val="none"/>
              </w:rPr>
            </w:pPr>
          </w:p>
        </w:tc>
      </w:tr>
      <w:tr w14:paraId="0193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04" w:type="pct"/>
            <w:vMerge w:val="continue"/>
            <w:vAlign w:val="center"/>
          </w:tcPr>
          <w:p w14:paraId="1098AD38">
            <w:pPr>
              <w:spacing w:line="360" w:lineRule="auto"/>
              <w:ind w:firstLine="240" w:firstLineChars="100"/>
              <w:rPr>
                <w:rFonts w:hint="eastAsia" w:ascii="宋体" w:hAnsi="宋体" w:cs="仿宋"/>
                <w:color w:val="auto"/>
                <w:sz w:val="24"/>
                <w:highlight w:val="none"/>
              </w:rPr>
            </w:pPr>
          </w:p>
        </w:tc>
        <w:tc>
          <w:tcPr>
            <w:tcW w:w="688" w:type="pct"/>
            <w:vMerge w:val="continue"/>
            <w:vAlign w:val="center"/>
          </w:tcPr>
          <w:p w14:paraId="4C39F71D">
            <w:pPr>
              <w:spacing w:line="360" w:lineRule="auto"/>
              <w:ind w:firstLine="240" w:firstLineChars="100"/>
              <w:rPr>
                <w:rFonts w:hint="eastAsia" w:ascii="宋体" w:hAnsi="宋体" w:cs="仿宋"/>
                <w:color w:val="auto"/>
                <w:sz w:val="24"/>
                <w:highlight w:val="none"/>
              </w:rPr>
            </w:pPr>
          </w:p>
        </w:tc>
        <w:tc>
          <w:tcPr>
            <w:tcW w:w="2560" w:type="pct"/>
            <w:vAlign w:val="center"/>
          </w:tcPr>
          <w:p w14:paraId="66C9EF18">
            <w:pPr>
              <w:spacing w:line="360" w:lineRule="auto"/>
              <w:ind w:firstLine="240" w:firstLineChars="100"/>
              <w:rPr>
                <w:rFonts w:hint="eastAsia" w:ascii="宋体" w:hAnsi="宋体" w:cs="仿宋"/>
                <w:color w:val="auto"/>
                <w:sz w:val="24"/>
                <w:highlight w:val="none"/>
              </w:rPr>
            </w:pPr>
            <w:r>
              <w:rPr>
                <w:rFonts w:hint="eastAsia" w:ascii="宋体" w:hAnsi="宋体" w:cs="仿宋"/>
                <w:color w:val="auto"/>
                <w:sz w:val="24"/>
                <w:highlight w:val="none"/>
              </w:rPr>
              <w:t>显示器：</w:t>
            </w:r>
            <w:r>
              <w:rPr>
                <w:rFonts w:ascii="宋体" w:hAnsi="宋体" w:cs="仿宋"/>
                <w:color w:val="auto"/>
                <w:sz w:val="24"/>
                <w:highlight w:val="none"/>
              </w:rPr>
              <w:t>27寸</w:t>
            </w:r>
            <w:r>
              <w:rPr>
                <w:rFonts w:hint="eastAsia" w:ascii="宋体" w:hAnsi="宋体" w:cs="仿宋"/>
                <w:color w:val="auto"/>
                <w:sz w:val="24"/>
                <w:highlight w:val="none"/>
              </w:rPr>
              <w:t>，分辨率不低于2K</w:t>
            </w:r>
          </w:p>
        </w:tc>
        <w:tc>
          <w:tcPr>
            <w:tcW w:w="748" w:type="pct"/>
            <w:vMerge w:val="continue"/>
            <w:vAlign w:val="center"/>
          </w:tcPr>
          <w:p w14:paraId="6BE66A92">
            <w:pPr>
              <w:spacing w:line="360" w:lineRule="auto"/>
              <w:ind w:firstLine="240" w:firstLineChars="100"/>
              <w:rPr>
                <w:rFonts w:hint="eastAsia" w:ascii="宋体" w:hAnsi="宋体" w:cs="仿宋"/>
                <w:color w:val="auto"/>
                <w:sz w:val="24"/>
                <w:highlight w:val="none"/>
              </w:rPr>
            </w:pPr>
          </w:p>
        </w:tc>
      </w:tr>
    </w:tbl>
    <w:p w14:paraId="0B8D1324">
      <w:pPr>
        <w:spacing w:line="360" w:lineRule="auto"/>
        <w:outlineLvl w:val="0"/>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六、服务费用</w:t>
      </w:r>
    </w:p>
    <w:p w14:paraId="6AD573F5">
      <w:pPr>
        <w:widowControl/>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服务费用采用含税固定总价，如遇国家增值税率调整，以不含税金额为基数，按调整后税率计算合同金额，除合同另有约定外，该价款已经包含中标人完成本项目全部工作所需的全部费用（包括且不限于BIM模型构建、碰撞检测、综合优化、技术咨询、协同管理平台服务、成果交付、售后服务以及为提供上述服务所产生人工费、现场测量费、专家咨询费、外出考察费、会议费、交通、住宿、检测费、验收费（含专家费）、差旅费、管理费、软件使用费、通讯费、设备（仪器）费、利润、进驻施工现场人员工伤保险费和意外伤害保险费、税金、风险费以及政策和行业规定的各项税费），凡未列入的均将被认为已包含在投标总价中，上述没有提及但该项目仍需要的内容，请供应商均已考虑一并计入投标报价中,合同签订后中标人不得再向采购人主张任何款项。</w:t>
      </w:r>
    </w:p>
    <w:p w14:paraId="50C30AB9">
      <w:pPr>
        <w:widowControl/>
        <w:spacing w:line="360" w:lineRule="auto"/>
        <w:ind w:firstLine="480" w:firstLineChars="200"/>
        <w:jc w:val="left"/>
        <w:rPr>
          <w:rFonts w:hint="eastAsia" w:ascii="宋体" w:hAnsi="宋体" w:cs="宋体"/>
          <w:color w:val="auto"/>
          <w:sz w:val="24"/>
          <w:highlight w:val="none"/>
          <w:lang w:val="en-US" w:eastAsia="zh-CN"/>
        </w:rPr>
      </w:pPr>
    </w:p>
    <w:p w14:paraId="3E241390">
      <w:pPr>
        <w:spacing w:line="360" w:lineRule="auto"/>
        <w:ind w:firstLine="480"/>
        <w:jc w:val="left"/>
        <w:rPr>
          <w:rFonts w:hint="eastAsia" w:ascii="宋体" w:hAnsi="宋体" w:cs="仿宋"/>
          <w:color w:val="auto"/>
          <w:sz w:val="24"/>
          <w:highlight w:val="none"/>
          <w:lang w:val="en"/>
        </w:rPr>
      </w:pPr>
    </w:p>
    <w:p w14:paraId="090F453C">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5" w:name="_Toc184308038"/>
      <w:bookmarkEnd w:id="35"/>
      <w:bookmarkStart w:id="36" w:name="_Toc184314418"/>
      <w:bookmarkEnd w:id="36"/>
      <w:bookmarkStart w:id="37" w:name="_Toc184310308"/>
      <w:bookmarkEnd w:id="37"/>
      <w:bookmarkStart w:id="38" w:name="_Toc184313268"/>
      <w:bookmarkEnd w:id="38"/>
      <w:bookmarkStart w:id="39" w:name="_Toc184308079"/>
      <w:bookmarkEnd w:id="39"/>
      <w:bookmarkStart w:id="40" w:name="_Toc184313249"/>
      <w:bookmarkEnd w:id="40"/>
      <w:bookmarkStart w:id="41" w:name="_Toc184314478"/>
      <w:bookmarkEnd w:id="41"/>
      <w:bookmarkStart w:id="42" w:name="_Toc184310309"/>
      <w:bookmarkEnd w:id="42"/>
      <w:bookmarkStart w:id="43" w:name="_Toc184308046"/>
      <w:bookmarkEnd w:id="43"/>
      <w:bookmarkStart w:id="44" w:name="_Toc184312118"/>
      <w:bookmarkEnd w:id="44"/>
      <w:bookmarkStart w:id="45" w:name="_Toc184308040"/>
      <w:bookmarkEnd w:id="45"/>
      <w:bookmarkStart w:id="46" w:name="_Toc184312111"/>
      <w:bookmarkEnd w:id="46"/>
      <w:bookmarkStart w:id="47" w:name="_Toc184310307"/>
      <w:bookmarkEnd w:id="47"/>
      <w:bookmarkStart w:id="48" w:name="_Toc184312092"/>
      <w:bookmarkEnd w:id="48"/>
      <w:bookmarkStart w:id="49" w:name="_Toc184312135"/>
      <w:bookmarkEnd w:id="49"/>
      <w:bookmarkStart w:id="50" w:name="_Toc184308086"/>
      <w:bookmarkEnd w:id="50"/>
      <w:bookmarkStart w:id="51" w:name="_Toc184310297"/>
      <w:bookmarkEnd w:id="51"/>
      <w:bookmarkStart w:id="52" w:name="_Toc184312072"/>
      <w:bookmarkEnd w:id="52"/>
      <w:bookmarkStart w:id="53" w:name="_Toc184313261"/>
      <w:bookmarkEnd w:id="53"/>
      <w:bookmarkStart w:id="54" w:name="_Toc184310333"/>
      <w:bookmarkEnd w:id="54"/>
      <w:bookmarkStart w:id="55" w:name="_Toc184314424"/>
      <w:bookmarkEnd w:id="55"/>
      <w:bookmarkStart w:id="56" w:name="_Toc184308089"/>
      <w:bookmarkEnd w:id="56"/>
      <w:bookmarkStart w:id="57" w:name="_Toc184312120"/>
      <w:bookmarkEnd w:id="57"/>
      <w:bookmarkStart w:id="58" w:name="_Toc184313300"/>
      <w:bookmarkEnd w:id="58"/>
      <w:bookmarkStart w:id="59" w:name="_Toc184314452"/>
      <w:bookmarkEnd w:id="59"/>
      <w:bookmarkStart w:id="60" w:name="_Toc184308104"/>
      <w:bookmarkEnd w:id="60"/>
      <w:bookmarkStart w:id="61" w:name="_Toc184314436"/>
      <w:bookmarkEnd w:id="61"/>
      <w:bookmarkStart w:id="62" w:name="_Toc184312091"/>
      <w:bookmarkEnd w:id="62"/>
      <w:bookmarkStart w:id="63" w:name="_Toc184314464"/>
      <w:bookmarkEnd w:id="63"/>
      <w:bookmarkStart w:id="64" w:name="_Toc184314454"/>
      <w:bookmarkEnd w:id="64"/>
      <w:bookmarkStart w:id="65" w:name="_Toc184308100"/>
      <w:bookmarkEnd w:id="65"/>
      <w:bookmarkStart w:id="66" w:name="_Toc184308073"/>
      <w:bookmarkEnd w:id="66"/>
      <w:bookmarkStart w:id="67" w:name="_Toc184312129"/>
      <w:bookmarkEnd w:id="67"/>
      <w:bookmarkStart w:id="68" w:name="_Toc184310339"/>
      <w:bookmarkEnd w:id="68"/>
      <w:bookmarkStart w:id="69" w:name="_Toc184314410"/>
      <w:bookmarkEnd w:id="69"/>
      <w:bookmarkStart w:id="70" w:name="_Toc184308047"/>
      <w:bookmarkEnd w:id="70"/>
      <w:bookmarkStart w:id="71" w:name="_Toc184312093"/>
      <w:bookmarkEnd w:id="71"/>
      <w:bookmarkStart w:id="72" w:name="_Toc184314420"/>
      <w:bookmarkEnd w:id="72"/>
      <w:bookmarkStart w:id="73" w:name="_Toc184310327"/>
      <w:bookmarkEnd w:id="73"/>
      <w:bookmarkStart w:id="74" w:name="_Toc184310304"/>
      <w:bookmarkEnd w:id="74"/>
      <w:bookmarkStart w:id="75" w:name="_Toc184313256"/>
      <w:bookmarkEnd w:id="75"/>
      <w:bookmarkStart w:id="76" w:name="_Toc184312105"/>
      <w:bookmarkEnd w:id="76"/>
      <w:bookmarkStart w:id="77" w:name="_Toc184313251"/>
      <w:bookmarkEnd w:id="77"/>
      <w:bookmarkStart w:id="78" w:name="_Toc184312073"/>
      <w:bookmarkEnd w:id="78"/>
      <w:bookmarkStart w:id="79" w:name="_Toc184310302"/>
      <w:bookmarkEnd w:id="79"/>
      <w:bookmarkStart w:id="80" w:name="_Toc184313290"/>
      <w:bookmarkEnd w:id="80"/>
      <w:bookmarkStart w:id="81" w:name="_Toc184314466"/>
      <w:bookmarkEnd w:id="81"/>
      <w:bookmarkStart w:id="82" w:name="_Toc184308074"/>
      <w:bookmarkEnd w:id="82"/>
      <w:bookmarkStart w:id="83" w:name="_Toc184313257"/>
      <w:bookmarkEnd w:id="83"/>
      <w:bookmarkStart w:id="84" w:name="_Toc184314480"/>
      <w:bookmarkEnd w:id="84"/>
      <w:bookmarkStart w:id="85" w:name="_Toc184312134"/>
      <w:bookmarkEnd w:id="85"/>
      <w:bookmarkStart w:id="86" w:name="_Toc184313271"/>
      <w:bookmarkEnd w:id="86"/>
      <w:bookmarkStart w:id="87" w:name="_Toc184314438"/>
      <w:bookmarkEnd w:id="87"/>
      <w:bookmarkStart w:id="88" w:name="_Toc184308092"/>
      <w:bookmarkEnd w:id="88"/>
      <w:bookmarkStart w:id="89" w:name="_Toc184308061"/>
      <w:bookmarkEnd w:id="89"/>
      <w:bookmarkStart w:id="90" w:name="_Toc184308090"/>
      <w:bookmarkEnd w:id="90"/>
      <w:bookmarkStart w:id="91" w:name="_Toc184310340"/>
      <w:bookmarkEnd w:id="91"/>
      <w:bookmarkStart w:id="92" w:name="_Toc184310289"/>
      <w:bookmarkEnd w:id="92"/>
      <w:bookmarkStart w:id="93" w:name="_Toc184310342"/>
      <w:bookmarkEnd w:id="93"/>
      <w:bookmarkStart w:id="94" w:name="_Toc184308056"/>
      <w:bookmarkEnd w:id="94"/>
      <w:bookmarkStart w:id="95" w:name="_Toc184313267"/>
      <w:bookmarkEnd w:id="95"/>
      <w:bookmarkStart w:id="96" w:name="_Toc184313274"/>
      <w:bookmarkEnd w:id="96"/>
      <w:bookmarkStart w:id="97" w:name="_Toc184312096"/>
      <w:bookmarkEnd w:id="97"/>
      <w:bookmarkStart w:id="98" w:name="_Toc184314465"/>
      <w:bookmarkEnd w:id="98"/>
      <w:bookmarkStart w:id="99" w:name="_Toc184312100"/>
      <w:bookmarkEnd w:id="99"/>
      <w:bookmarkStart w:id="100" w:name="_Toc184308067"/>
      <w:bookmarkEnd w:id="100"/>
      <w:bookmarkStart w:id="101" w:name="_Toc184308096"/>
      <w:bookmarkEnd w:id="101"/>
      <w:bookmarkStart w:id="102" w:name="_Toc184313246"/>
      <w:bookmarkEnd w:id="102"/>
      <w:bookmarkStart w:id="103" w:name="_Toc184312078"/>
      <w:bookmarkEnd w:id="103"/>
      <w:bookmarkStart w:id="104" w:name="_Toc184314468"/>
      <w:bookmarkEnd w:id="104"/>
      <w:bookmarkStart w:id="105" w:name="_Toc184310319"/>
      <w:bookmarkEnd w:id="105"/>
      <w:bookmarkStart w:id="106" w:name="_Toc184308049"/>
      <w:bookmarkEnd w:id="106"/>
      <w:bookmarkStart w:id="107" w:name="_Toc184313250"/>
      <w:bookmarkEnd w:id="107"/>
      <w:bookmarkStart w:id="108" w:name="_Toc184310344"/>
      <w:bookmarkEnd w:id="108"/>
      <w:bookmarkStart w:id="109" w:name="_Toc184314456"/>
      <w:bookmarkEnd w:id="109"/>
      <w:bookmarkStart w:id="110" w:name="_Toc184312136"/>
      <w:bookmarkEnd w:id="110"/>
      <w:bookmarkStart w:id="111" w:name="_Toc184308048"/>
      <w:bookmarkEnd w:id="111"/>
      <w:bookmarkStart w:id="112" w:name="_Toc184314427"/>
      <w:bookmarkEnd w:id="112"/>
      <w:bookmarkStart w:id="113" w:name="_Toc184313263"/>
      <w:bookmarkEnd w:id="113"/>
      <w:bookmarkStart w:id="114" w:name="_Toc184314426"/>
      <w:bookmarkEnd w:id="114"/>
      <w:bookmarkStart w:id="115" w:name="_Toc184313285"/>
      <w:bookmarkEnd w:id="115"/>
      <w:bookmarkStart w:id="116" w:name="_Toc184308039"/>
      <w:bookmarkEnd w:id="116"/>
      <w:bookmarkStart w:id="117" w:name="_Toc184313301"/>
      <w:bookmarkEnd w:id="117"/>
      <w:bookmarkStart w:id="118" w:name="_Toc184313239"/>
      <w:bookmarkEnd w:id="118"/>
      <w:bookmarkStart w:id="119" w:name="_Toc184310283"/>
      <w:bookmarkEnd w:id="119"/>
      <w:bookmarkStart w:id="120" w:name="_Toc184313252"/>
      <w:bookmarkEnd w:id="120"/>
      <w:bookmarkStart w:id="121" w:name="_Toc184310277"/>
      <w:bookmarkEnd w:id="121"/>
      <w:bookmarkStart w:id="122" w:name="_Toc184312094"/>
      <w:bookmarkEnd w:id="122"/>
      <w:bookmarkStart w:id="123" w:name="_Toc184313255"/>
      <w:bookmarkEnd w:id="123"/>
      <w:bookmarkStart w:id="124" w:name="_Toc184312087"/>
      <w:bookmarkEnd w:id="124"/>
      <w:bookmarkStart w:id="125" w:name="_Toc184314446"/>
      <w:bookmarkEnd w:id="125"/>
      <w:bookmarkStart w:id="126" w:name="_Toc184308037"/>
      <w:bookmarkEnd w:id="126"/>
      <w:bookmarkStart w:id="127" w:name="_Toc184312123"/>
      <w:bookmarkEnd w:id="127"/>
      <w:bookmarkStart w:id="128" w:name="_Toc184310287"/>
      <w:bookmarkEnd w:id="128"/>
      <w:bookmarkStart w:id="129" w:name="_Toc184308059"/>
      <w:bookmarkEnd w:id="129"/>
      <w:bookmarkStart w:id="130" w:name="_Toc184310311"/>
      <w:bookmarkEnd w:id="130"/>
      <w:bookmarkStart w:id="131" w:name="_Toc184312070"/>
      <w:bookmarkEnd w:id="131"/>
      <w:bookmarkStart w:id="132" w:name="_Toc184313282"/>
      <w:bookmarkEnd w:id="132"/>
      <w:bookmarkStart w:id="133" w:name="_Toc184312110"/>
      <w:bookmarkEnd w:id="133"/>
      <w:bookmarkStart w:id="134" w:name="_Toc184308072"/>
      <w:bookmarkEnd w:id="134"/>
      <w:bookmarkStart w:id="135" w:name="_Toc184312109"/>
      <w:bookmarkEnd w:id="135"/>
      <w:bookmarkStart w:id="136" w:name="_Toc184308044"/>
      <w:bookmarkEnd w:id="136"/>
      <w:bookmarkStart w:id="137" w:name="_Toc184314440"/>
      <w:bookmarkEnd w:id="137"/>
      <w:bookmarkStart w:id="138" w:name="_Toc184312079"/>
      <w:bookmarkEnd w:id="138"/>
      <w:bookmarkStart w:id="139" w:name="_Toc184308066"/>
      <w:bookmarkEnd w:id="139"/>
      <w:bookmarkStart w:id="140" w:name="_Toc184310279"/>
      <w:bookmarkEnd w:id="140"/>
      <w:bookmarkStart w:id="141" w:name="_Toc184310281"/>
      <w:bookmarkEnd w:id="141"/>
      <w:bookmarkStart w:id="142" w:name="_Toc184314442"/>
      <w:bookmarkEnd w:id="142"/>
      <w:bookmarkStart w:id="143" w:name="_Toc184310294"/>
      <w:bookmarkEnd w:id="143"/>
      <w:bookmarkStart w:id="144" w:name="_Toc184313276"/>
      <w:bookmarkEnd w:id="144"/>
      <w:bookmarkStart w:id="145" w:name="_Toc184308085"/>
      <w:bookmarkEnd w:id="145"/>
      <w:bookmarkStart w:id="146" w:name="_Toc184308045"/>
      <w:bookmarkEnd w:id="146"/>
      <w:bookmarkStart w:id="147" w:name="_Toc184314423"/>
      <w:bookmarkEnd w:id="147"/>
      <w:bookmarkStart w:id="148" w:name="_Toc184308095"/>
      <w:bookmarkEnd w:id="148"/>
      <w:bookmarkStart w:id="149" w:name="_Toc184314443"/>
      <w:bookmarkEnd w:id="149"/>
      <w:bookmarkStart w:id="150" w:name="_Toc184314459"/>
      <w:bookmarkEnd w:id="150"/>
      <w:bookmarkStart w:id="151" w:name="_Toc184313265"/>
      <w:bookmarkEnd w:id="151"/>
      <w:bookmarkStart w:id="152" w:name="_Toc184313245"/>
      <w:bookmarkEnd w:id="152"/>
      <w:bookmarkStart w:id="153" w:name="_Toc184313278"/>
      <w:bookmarkEnd w:id="153"/>
      <w:bookmarkStart w:id="154" w:name="_Toc184314461"/>
      <w:bookmarkEnd w:id="154"/>
      <w:bookmarkStart w:id="155" w:name="_Toc184313248"/>
      <w:bookmarkEnd w:id="155"/>
      <w:bookmarkStart w:id="156" w:name="_Toc184312126"/>
      <w:bookmarkEnd w:id="156"/>
      <w:bookmarkStart w:id="157" w:name="_Toc184312104"/>
      <w:bookmarkEnd w:id="157"/>
      <w:bookmarkStart w:id="158" w:name="_Toc184308081"/>
      <w:bookmarkEnd w:id="158"/>
      <w:bookmarkStart w:id="159" w:name="_Toc184314471"/>
      <w:bookmarkEnd w:id="159"/>
      <w:bookmarkStart w:id="160" w:name="_Toc184314412"/>
      <w:bookmarkEnd w:id="160"/>
      <w:bookmarkStart w:id="161" w:name="_Toc184314445"/>
      <w:bookmarkEnd w:id="161"/>
      <w:bookmarkStart w:id="162" w:name="_Toc184313310"/>
      <w:bookmarkEnd w:id="162"/>
      <w:bookmarkStart w:id="163" w:name="_Toc184314477"/>
      <w:bookmarkEnd w:id="163"/>
      <w:bookmarkStart w:id="164" w:name="_Toc184310331"/>
      <w:bookmarkEnd w:id="164"/>
      <w:bookmarkStart w:id="165" w:name="_Toc184314425"/>
      <w:bookmarkEnd w:id="165"/>
      <w:bookmarkStart w:id="166" w:name="_Toc184310313"/>
      <w:bookmarkEnd w:id="166"/>
      <w:bookmarkStart w:id="167" w:name="_Toc184314413"/>
      <w:bookmarkEnd w:id="167"/>
      <w:bookmarkStart w:id="168" w:name="_Toc184313281"/>
      <w:bookmarkEnd w:id="168"/>
      <w:bookmarkStart w:id="169" w:name="_Toc184308070"/>
      <w:bookmarkEnd w:id="169"/>
      <w:bookmarkStart w:id="170" w:name="_Toc184308098"/>
      <w:bookmarkEnd w:id="170"/>
      <w:bookmarkStart w:id="171" w:name="_Toc184313298"/>
      <w:bookmarkEnd w:id="171"/>
      <w:bookmarkStart w:id="172" w:name="_Toc184313288"/>
      <w:bookmarkEnd w:id="172"/>
      <w:bookmarkStart w:id="173" w:name="_Toc184308083"/>
      <w:bookmarkEnd w:id="173"/>
      <w:bookmarkStart w:id="174" w:name="_Toc184308093"/>
      <w:bookmarkEnd w:id="174"/>
      <w:bookmarkStart w:id="175" w:name="_Toc184314455"/>
      <w:bookmarkEnd w:id="175"/>
      <w:bookmarkStart w:id="176" w:name="_Toc184308107"/>
      <w:bookmarkEnd w:id="176"/>
      <w:bookmarkStart w:id="177" w:name="_Toc184308068"/>
      <w:bookmarkEnd w:id="177"/>
      <w:bookmarkStart w:id="178" w:name="_Toc184310306"/>
      <w:bookmarkEnd w:id="178"/>
      <w:bookmarkStart w:id="179" w:name="_Toc184313286"/>
      <w:bookmarkEnd w:id="179"/>
      <w:bookmarkStart w:id="180" w:name="_Toc184313243"/>
      <w:bookmarkEnd w:id="180"/>
      <w:bookmarkStart w:id="181" w:name="_Toc184308087"/>
      <w:bookmarkEnd w:id="181"/>
      <w:bookmarkStart w:id="182" w:name="_Toc184314447"/>
      <w:bookmarkEnd w:id="182"/>
      <w:bookmarkStart w:id="183" w:name="_Toc184308076"/>
      <w:bookmarkEnd w:id="183"/>
      <w:bookmarkStart w:id="184" w:name="_Toc184313242"/>
      <w:bookmarkEnd w:id="184"/>
      <w:bookmarkStart w:id="185" w:name="_Toc184313303"/>
      <w:bookmarkEnd w:id="185"/>
      <w:bookmarkStart w:id="186" w:name="_Toc184314428"/>
      <w:bookmarkEnd w:id="186"/>
      <w:bookmarkStart w:id="187" w:name="_Toc184314437"/>
      <w:bookmarkEnd w:id="187"/>
      <w:bookmarkStart w:id="188" w:name="_Toc184313284"/>
      <w:bookmarkEnd w:id="188"/>
      <w:bookmarkStart w:id="189" w:name="_Toc184310286"/>
      <w:bookmarkEnd w:id="189"/>
      <w:bookmarkStart w:id="190" w:name="_Toc184312095"/>
      <w:bookmarkEnd w:id="190"/>
      <w:bookmarkStart w:id="191" w:name="_Toc184312128"/>
      <w:bookmarkEnd w:id="191"/>
      <w:bookmarkStart w:id="192" w:name="_Toc184314463"/>
      <w:bookmarkEnd w:id="192"/>
      <w:bookmarkStart w:id="193" w:name="_Toc184312090"/>
      <w:bookmarkEnd w:id="193"/>
      <w:bookmarkStart w:id="194" w:name="_Toc184312137"/>
      <w:bookmarkEnd w:id="194"/>
      <w:bookmarkStart w:id="195" w:name="_Toc184312101"/>
      <w:bookmarkEnd w:id="195"/>
      <w:bookmarkStart w:id="196" w:name="_Toc184310326"/>
      <w:bookmarkEnd w:id="196"/>
      <w:bookmarkStart w:id="197" w:name="_Toc184312115"/>
      <w:bookmarkEnd w:id="197"/>
      <w:bookmarkStart w:id="198" w:name="_Toc184310318"/>
      <w:bookmarkEnd w:id="198"/>
      <w:bookmarkStart w:id="199" w:name="_Toc184308063"/>
      <w:bookmarkEnd w:id="199"/>
      <w:bookmarkStart w:id="200" w:name="_Toc184310338"/>
      <w:bookmarkEnd w:id="200"/>
      <w:bookmarkStart w:id="201" w:name="_Toc184313292"/>
      <w:bookmarkEnd w:id="201"/>
      <w:bookmarkStart w:id="202" w:name="_Toc184310341"/>
      <w:bookmarkEnd w:id="202"/>
      <w:bookmarkStart w:id="203" w:name="_Toc184313294"/>
      <w:bookmarkEnd w:id="203"/>
      <w:bookmarkStart w:id="204" w:name="_Toc184314439"/>
      <w:bookmarkEnd w:id="204"/>
      <w:bookmarkStart w:id="205" w:name="_Toc184314441"/>
      <w:bookmarkEnd w:id="205"/>
      <w:bookmarkStart w:id="206" w:name="_Toc184310317"/>
      <w:bookmarkEnd w:id="206"/>
      <w:bookmarkStart w:id="207" w:name="_Toc184308053"/>
      <w:bookmarkEnd w:id="207"/>
      <w:bookmarkStart w:id="208" w:name="_Toc184312107"/>
      <w:bookmarkEnd w:id="208"/>
      <w:bookmarkStart w:id="209" w:name="_Toc184313259"/>
      <w:bookmarkEnd w:id="209"/>
      <w:bookmarkStart w:id="210" w:name="_Toc184312080"/>
      <w:bookmarkEnd w:id="210"/>
      <w:bookmarkStart w:id="211" w:name="_Toc184313293"/>
      <w:bookmarkEnd w:id="211"/>
      <w:bookmarkStart w:id="212" w:name="_Toc184308102"/>
      <w:bookmarkEnd w:id="212"/>
      <w:bookmarkStart w:id="213" w:name="_Toc184313244"/>
      <w:bookmarkEnd w:id="213"/>
      <w:bookmarkStart w:id="214" w:name="_Toc184310303"/>
      <w:bookmarkEnd w:id="214"/>
      <w:bookmarkStart w:id="215" w:name="_Toc184312124"/>
      <w:bookmarkEnd w:id="215"/>
      <w:bookmarkStart w:id="216" w:name="_Toc184308052"/>
      <w:bookmarkEnd w:id="216"/>
      <w:bookmarkStart w:id="217" w:name="_Toc184308057"/>
      <w:bookmarkEnd w:id="217"/>
      <w:bookmarkStart w:id="218" w:name="_Toc184310343"/>
      <w:bookmarkEnd w:id="218"/>
      <w:bookmarkStart w:id="219" w:name="_Toc184313269"/>
      <w:bookmarkEnd w:id="219"/>
      <w:bookmarkStart w:id="220" w:name="_Toc184308106"/>
      <w:bookmarkEnd w:id="220"/>
      <w:bookmarkStart w:id="221" w:name="_Toc184312082"/>
      <w:bookmarkEnd w:id="221"/>
      <w:bookmarkStart w:id="222" w:name="_Toc184312068"/>
      <w:bookmarkEnd w:id="222"/>
      <w:bookmarkStart w:id="223" w:name="_Toc184312139"/>
      <w:bookmarkEnd w:id="223"/>
      <w:bookmarkStart w:id="224" w:name="_Toc184312102"/>
      <w:bookmarkEnd w:id="224"/>
      <w:bookmarkStart w:id="225" w:name="_Toc184312075"/>
      <w:bookmarkEnd w:id="225"/>
      <w:bookmarkStart w:id="226" w:name="_Toc184310305"/>
      <w:bookmarkEnd w:id="226"/>
      <w:bookmarkStart w:id="227" w:name="_Toc184313306"/>
      <w:bookmarkEnd w:id="227"/>
      <w:bookmarkStart w:id="228" w:name="_Toc184313253"/>
      <w:bookmarkEnd w:id="228"/>
      <w:bookmarkStart w:id="229" w:name="_Toc184313241"/>
      <w:bookmarkEnd w:id="229"/>
      <w:bookmarkStart w:id="230" w:name="_Toc184310301"/>
      <w:bookmarkEnd w:id="230"/>
      <w:bookmarkStart w:id="231" w:name="_Toc184314414"/>
      <w:bookmarkEnd w:id="231"/>
      <w:bookmarkStart w:id="232" w:name="_Toc184312088"/>
      <w:bookmarkEnd w:id="232"/>
      <w:bookmarkStart w:id="233" w:name="_Toc184310335"/>
      <w:bookmarkEnd w:id="233"/>
      <w:bookmarkStart w:id="234" w:name="_Toc184308050"/>
      <w:bookmarkEnd w:id="234"/>
      <w:bookmarkStart w:id="235" w:name="_Toc184310315"/>
      <w:bookmarkEnd w:id="235"/>
      <w:bookmarkStart w:id="236" w:name="_Toc184308065"/>
      <w:bookmarkEnd w:id="236"/>
      <w:bookmarkStart w:id="237" w:name="_Toc184310295"/>
      <w:bookmarkEnd w:id="237"/>
      <w:bookmarkStart w:id="238" w:name="_Toc184314435"/>
      <w:bookmarkEnd w:id="238"/>
      <w:bookmarkStart w:id="239" w:name="_Toc184312106"/>
      <w:bookmarkEnd w:id="239"/>
      <w:bookmarkStart w:id="240" w:name="_Toc184313280"/>
      <w:bookmarkEnd w:id="240"/>
      <w:bookmarkStart w:id="241" w:name="_Toc184314433"/>
      <w:bookmarkEnd w:id="241"/>
      <w:bookmarkStart w:id="242" w:name="_Toc184308094"/>
      <w:bookmarkEnd w:id="242"/>
      <w:bookmarkStart w:id="243" w:name="_Toc184313305"/>
      <w:bookmarkEnd w:id="243"/>
      <w:bookmarkStart w:id="244" w:name="_Toc184310275"/>
      <w:bookmarkEnd w:id="244"/>
      <w:bookmarkStart w:id="245" w:name="_Toc184308060"/>
      <w:bookmarkEnd w:id="245"/>
      <w:bookmarkStart w:id="246" w:name="_Toc184308108"/>
      <w:bookmarkEnd w:id="246"/>
      <w:bookmarkStart w:id="247" w:name="_Toc184308084"/>
      <w:bookmarkEnd w:id="247"/>
      <w:bookmarkStart w:id="248" w:name="_Toc184308062"/>
      <w:bookmarkEnd w:id="248"/>
      <w:bookmarkStart w:id="249" w:name="_Toc184313275"/>
      <w:bookmarkEnd w:id="249"/>
      <w:bookmarkStart w:id="250" w:name="_Toc184314475"/>
      <w:bookmarkEnd w:id="250"/>
      <w:bookmarkStart w:id="251" w:name="_Toc184312125"/>
      <w:bookmarkEnd w:id="251"/>
      <w:bookmarkStart w:id="252" w:name="_Toc184308097"/>
      <w:bookmarkEnd w:id="252"/>
      <w:bookmarkStart w:id="253" w:name="_Toc184310322"/>
      <w:bookmarkEnd w:id="253"/>
      <w:bookmarkStart w:id="254" w:name="_Toc184310320"/>
      <w:bookmarkEnd w:id="254"/>
      <w:bookmarkStart w:id="255" w:name="_Toc184314415"/>
      <w:bookmarkEnd w:id="255"/>
      <w:bookmarkStart w:id="256" w:name="_Toc184314432"/>
      <w:bookmarkEnd w:id="256"/>
      <w:bookmarkStart w:id="257" w:name="_Toc184310330"/>
      <w:bookmarkEnd w:id="257"/>
      <w:bookmarkStart w:id="258" w:name="_Toc184314450"/>
      <w:bookmarkEnd w:id="258"/>
      <w:bookmarkStart w:id="259" w:name="_Toc184308103"/>
      <w:bookmarkEnd w:id="259"/>
      <w:bookmarkStart w:id="260" w:name="_Toc184308099"/>
      <w:bookmarkEnd w:id="260"/>
      <w:bookmarkStart w:id="261" w:name="_Toc184312114"/>
      <w:bookmarkEnd w:id="261"/>
      <w:bookmarkStart w:id="262" w:name="_Toc184312084"/>
      <w:bookmarkEnd w:id="262"/>
      <w:bookmarkStart w:id="263" w:name="_Toc184312069"/>
      <w:bookmarkEnd w:id="263"/>
      <w:bookmarkStart w:id="264" w:name="_Toc184314417"/>
      <w:bookmarkEnd w:id="264"/>
      <w:bookmarkStart w:id="265" w:name="_Toc184314457"/>
      <w:bookmarkEnd w:id="265"/>
      <w:bookmarkStart w:id="266" w:name="_Toc184313247"/>
      <w:bookmarkEnd w:id="266"/>
      <w:bookmarkStart w:id="267" w:name="_Toc184310288"/>
      <w:bookmarkEnd w:id="267"/>
      <w:bookmarkStart w:id="268" w:name="_Toc184313289"/>
      <w:bookmarkEnd w:id="268"/>
      <w:bookmarkStart w:id="269" w:name="_Toc184314460"/>
      <w:bookmarkEnd w:id="269"/>
      <w:bookmarkStart w:id="270" w:name="_Toc184308075"/>
      <w:bookmarkEnd w:id="270"/>
      <w:bookmarkStart w:id="271" w:name="_Toc184310324"/>
      <w:bookmarkEnd w:id="271"/>
      <w:bookmarkStart w:id="272" w:name="_Toc184313309"/>
      <w:bookmarkEnd w:id="272"/>
      <w:bookmarkStart w:id="273" w:name="_Toc184314476"/>
      <w:bookmarkEnd w:id="273"/>
      <w:bookmarkStart w:id="274" w:name="_Toc184313264"/>
      <w:bookmarkEnd w:id="274"/>
      <w:bookmarkStart w:id="275" w:name="_Toc184310278"/>
      <w:bookmarkEnd w:id="275"/>
      <w:bookmarkStart w:id="276" w:name="_Toc184312098"/>
      <w:bookmarkEnd w:id="276"/>
      <w:bookmarkStart w:id="277" w:name="_Toc184308051"/>
      <w:bookmarkEnd w:id="277"/>
      <w:bookmarkStart w:id="278" w:name="_Toc184313266"/>
      <w:bookmarkEnd w:id="278"/>
      <w:bookmarkStart w:id="279" w:name="_Toc184308077"/>
      <w:bookmarkEnd w:id="279"/>
      <w:bookmarkStart w:id="280" w:name="_Toc184313304"/>
      <w:bookmarkEnd w:id="280"/>
      <w:bookmarkStart w:id="281" w:name="_Toc184313272"/>
      <w:bookmarkEnd w:id="281"/>
      <w:bookmarkStart w:id="282" w:name="_Toc184314451"/>
      <w:bookmarkEnd w:id="282"/>
      <w:bookmarkStart w:id="283" w:name="_Toc184310290"/>
      <w:bookmarkEnd w:id="283"/>
      <w:bookmarkStart w:id="284" w:name="_Toc184310321"/>
      <w:bookmarkEnd w:id="284"/>
      <w:bookmarkStart w:id="285" w:name="_Toc184312081"/>
      <w:bookmarkEnd w:id="285"/>
      <w:bookmarkStart w:id="286" w:name="_Toc184312097"/>
      <w:bookmarkEnd w:id="286"/>
      <w:bookmarkStart w:id="287" w:name="_Toc184312074"/>
      <w:bookmarkEnd w:id="287"/>
      <w:bookmarkStart w:id="288" w:name="_Toc184314469"/>
      <w:bookmarkEnd w:id="288"/>
      <w:bookmarkStart w:id="289" w:name="_Toc184310310"/>
      <w:bookmarkEnd w:id="289"/>
      <w:bookmarkStart w:id="290" w:name="_Toc184313254"/>
      <w:bookmarkEnd w:id="290"/>
      <w:bookmarkStart w:id="291" w:name="_Toc184314434"/>
      <w:bookmarkEnd w:id="291"/>
      <w:bookmarkStart w:id="292" w:name="_Toc184310325"/>
      <w:bookmarkEnd w:id="292"/>
      <w:bookmarkStart w:id="293" w:name="_Toc184308071"/>
      <w:bookmarkEnd w:id="293"/>
      <w:bookmarkStart w:id="294" w:name="_Toc184310299"/>
      <w:bookmarkEnd w:id="294"/>
      <w:bookmarkStart w:id="295" w:name="_Toc184310298"/>
      <w:bookmarkEnd w:id="295"/>
      <w:bookmarkStart w:id="296" w:name="_Toc184313307"/>
      <w:bookmarkEnd w:id="296"/>
      <w:bookmarkStart w:id="297" w:name="_Toc184312089"/>
      <w:bookmarkEnd w:id="297"/>
      <w:bookmarkStart w:id="298" w:name="_Toc184312086"/>
      <w:bookmarkEnd w:id="298"/>
      <w:bookmarkStart w:id="299" w:name="_Toc184314421"/>
      <w:bookmarkEnd w:id="299"/>
      <w:bookmarkStart w:id="300" w:name="_Toc184312132"/>
      <w:bookmarkEnd w:id="300"/>
      <w:bookmarkStart w:id="301" w:name="_Toc184312127"/>
      <w:bookmarkEnd w:id="301"/>
      <w:bookmarkStart w:id="302" w:name="_Toc184314449"/>
      <w:bookmarkEnd w:id="302"/>
      <w:bookmarkStart w:id="303" w:name="_Toc184312113"/>
      <w:bookmarkEnd w:id="303"/>
      <w:bookmarkStart w:id="304" w:name="_Toc184310328"/>
      <w:bookmarkEnd w:id="304"/>
      <w:bookmarkStart w:id="305" w:name="_Toc184312103"/>
      <w:bookmarkEnd w:id="305"/>
      <w:bookmarkStart w:id="306" w:name="_Toc184312077"/>
      <w:bookmarkEnd w:id="306"/>
      <w:bookmarkStart w:id="307" w:name="_Toc184308058"/>
      <w:bookmarkEnd w:id="307"/>
      <w:bookmarkStart w:id="308" w:name="_Toc184310273"/>
      <w:bookmarkEnd w:id="308"/>
      <w:bookmarkStart w:id="309" w:name="_Toc184312117"/>
      <w:bookmarkEnd w:id="309"/>
      <w:bookmarkStart w:id="310" w:name="_Toc184308069"/>
      <w:bookmarkEnd w:id="310"/>
      <w:bookmarkStart w:id="311" w:name="_Toc184313273"/>
      <w:bookmarkEnd w:id="311"/>
      <w:bookmarkStart w:id="312" w:name="_Toc184313262"/>
      <w:bookmarkEnd w:id="312"/>
      <w:bookmarkStart w:id="313" w:name="_Toc184308036"/>
      <w:bookmarkEnd w:id="313"/>
      <w:bookmarkStart w:id="314" w:name="_Toc184310292"/>
      <w:bookmarkEnd w:id="314"/>
      <w:bookmarkStart w:id="315" w:name="_Toc184314444"/>
      <w:bookmarkEnd w:id="315"/>
      <w:bookmarkStart w:id="316" w:name="_Toc184310336"/>
      <w:bookmarkEnd w:id="316"/>
      <w:bookmarkStart w:id="317" w:name="_Toc184308088"/>
      <w:bookmarkEnd w:id="317"/>
      <w:bookmarkStart w:id="318" w:name="_Toc184313291"/>
      <w:bookmarkEnd w:id="318"/>
      <w:bookmarkStart w:id="319" w:name="_Toc184313238"/>
      <w:bookmarkEnd w:id="319"/>
      <w:bookmarkStart w:id="320" w:name="_Toc184314467"/>
      <w:bookmarkEnd w:id="320"/>
      <w:bookmarkStart w:id="321" w:name="_Toc184310285"/>
      <w:bookmarkEnd w:id="321"/>
      <w:bookmarkStart w:id="322" w:name="_Toc184308055"/>
      <w:bookmarkEnd w:id="322"/>
      <w:bookmarkStart w:id="323" w:name="_Toc184313270"/>
      <w:bookmarkEnd w:id="323"/>
      <w:bookmarkStart w:id="324" w:name="_Toc184312071"/>
      <w:bookmarkEnd w:id="324"/>
      <w:bookmarkStart w:id="325" w:name="_Toc184313287"/>
      <w:bookmarkEnd w:id="325"/>
      <w:bookmarkStart w:id="326" w:name="_Toc184310280"/>
      <w:bookmarkEnd w:id="326"/>
      <w:bookmarkStart w:id="327" w:name="_Toc184314470"/>
      <w:bookmarkEnd w:id="327"/>
      <w:bookmarkStart w:id="328" w:name="_Toc184314481"/>
      <w:bookmarkEnd w:id="328"/>
      <w:bookmarkStart w:id="329" w:name="_Toc184313295"/>
      <w:bookmarkEnd w:id="329"/>
      <w:bookmarkStart w:id="330" w:name="_Toc184314472"/>
      <w:bookmarkEnd w:id="330"/>
      <w:bookmarkStart w:id="331" w:name="_Toc184314429"/>
      <w:bookmarkEnd w:id="331"/>
      <w:bookmarkStart w:id="332" w:name="_Toc184308064"/>
      <w:bookmarkEnd w:id="332"/>
      <w:bookmarkStart w:id="333" w:name="_Toc184312130"/>
      <w:bookmarkEnd w:id="333"/>
      <w:bookmarkStart w:id="334" w:name="_Toc184313283"/>
      <w:bookmarkEnd w:id="334"/>
      <w:bookmarkStart w:id="335" w:name="_Toc184314453"/>
      <w:bookmarkEnd w:id="335"/>
      <w:bookmarkStart w:id="336" w:name="_Toc184313260"/>
      <w:bookmarkEnd w:id="336"/>
      <w:bookmarkStart w:id="337" w:name="_Toc184310337"/>
      <w:bookmarkEnd w:id="337"/>
      <w:bookmarkStart w:id="338" w:name="_Toc184310296"/>
      <w:bookmarkEnd w:id="338"/>
      <w:bookmarkStart w:id="339" w:name="_Toc184312067"/>
      <w:bookmarkEnd w:id="339"/>
      <w:bookmarkStart w:id="340" w:name="_Toc184314430"/>
      <w:bookmarkEnd w:id="340"/>
      <w:bookmarkStart w:id="341" w:name="_Toc184314419"/>
      <w:bookmarkEnd w:id="341"/>
      <w:bookmarkStart w:id="342" w:name="_Toc184312119"/>
      <w:bookmarkEnd w:id="342"/>
      <w:bookmarkStart w:id="343" w:name="_Toc184312108"/>
      <w:bookmarkEnd w:id="343"/>
      <w:bookmarkStart w:id="344" w:name="_Toc184314416"/>
      <w:bookmarkEnd w:id="344"/>
      <w:bookmarkStart w:id="345" w:name="_Toc184314462"/>
      <w:bookmarkEnd w:id="345"/>
      <w:bookmarkStart w:id="346" w:name="_Toc184313277"/>
      <w:bookmarkEnd w:id="346"/>
      <w:bookmarkStart w:id="347" w:name="_Toc184312116"/>
      <w:bookmarkEnd w:id="347"/>
      <w:bookmarkStart w:id="348" w:name="_Toc184310276"/>
      <w:bookmarkEnd w:id="348"/>
      <w:bookmarkStart w:id="349" w:name="_Toc184313258"/>
      <w:bookmarkEnd w:id="349"/>
      <w:bookmarkStart w:id="350" w:name="_Toc184310314"/>
      <w:bookmarkEnd w:id="350"/>
      <w:bookmarkStart w:id="351" w:name="_Toc184314458"/>
      <w:bookmarkEnd w:id="351"/>
      <w:bookmarkStart w:id="352" w:name="_Toc184310293"/>
      <w:bookmarkEnd w:id="352"/>
      <w:bookmarkStart w:id="353" w:name="_Toc184310323"/>
      <w:bookmarkEnd w:id="353"/>
      <w:bookmarkStart w:id="354" w:name="_Toc184314431"/>
      <w:bookmarkEnd w:id="354"/>
      <w:bookmarkStart w:id="355" w:name="_Toc184308105"/>
      <w:bookmarkEnd w:id="355"/>
      <w:bookmarkStart w:id="356" w:name="_Toc184313308"/>
      <w:bookmarkEnd w:id="356"/>
      <w:bookmarkStart w:id="357" w:name="_Toc184312099"/>
      <w:bookmarkEnd w:id="357"/>
      <w:bookmarkStart w:id="358" w:name="_Toc184312085"/>
      <w:bookmarkEnd w:id="358"/>
      <w:bookmarkStart w:id="359" w:name="_Toc184310329"/>
      <w:bookmarkEnd w:id="359"/>
      <w:bookmarkStart w:id="360" w:name="_Toc184312083"/>
      <w:bookmarkEnd w:id="360"/>
      <w:bookmarkStart w:id="361" w:name="_Toc184312133"/>
      <w:bookmarkEnd w:id="361"/>
      <w:bookmarkStart w:id="362" w:name="_Toc184313297"/>
      <w:bookmarkEnd w:id="362"/>
      <w:bookmarkStart w:id="363" w:name="_Toc184312076"/>
      <w:bookmarkEnd w:id="363"/>
      <w:bookmarkStart w:id="364" w:name="_Toc184312121"/>
      <w:bookmarkEnd w:id="364"/>
      <w:bookmarkStart w:id="365" w:name="_Toc184310312"/>
      <w:bookmarkEnd w:id="365"/>
      <w:bookmarkStart w:id="366" w:name="_Toc184308091"/>
      <w:bookmarkEnd w:id="366"/>
      <w:bookmarkStart w:id="367" w:name="_Toc184312122"/>
      <w:bookmarkEnd w:id="367"/>
      <w:bookmarkStart w:id="368" w:name="_Toc184310282"/>
      <w:bookmarkEnd w:id="368"/>
      <w:bookmarkStart w:id="369" w:name="_Toc184314411"/>
      <w:bookmarkEnd w:id="369"/>
      <w:bookmarkStart w:id="370" w:name="_Toc184310284"/>
      <w:bookmarkEnd w:id="370"/>
      <w:bookmarkStart w:id="371" w:name="_Toc184310274"/>
      <w:bookmarkEnd w:id="371"/>
      <w:bookmarkStart w:id="372" w:name="_Toc184312131"/>
      <w:bookmarkEnd w:id="372"/>
      <w:bookmarkStart w:id="373" w:name="_Toc184310291"/>
      <w:bookmarkEnd w:id="373"/>
      <w:bookmarkStart w:id="374" w:name="_Toc184313279"/>
      <w:bookmarkEnd w:id="374"/>
      <w:bookmarkStart w:id="375" w:name="_Toc184308041"/>
      <w:bookmarkEnd w:id="375"/>
      <w:bookmarkStart w:id="376" w:name="_Toc184314448"/>
      <w:bookmarkEnd w:id="376"/>
      <w:bookmarkStart w:id="377" w:name="_Toc184313302"/>
      <w:bookmarkEnd w:id="377"/>
      <w:bookmarkStart w:id="378" w:name="_Toc184314422"/>
      <w:bookmarkEnd w:id="378"/>
      <w:bookmarkStart w:id="379" w:name="_Toc184308080"/>
      <w:bookmarkEnd w:id="379"/>
      <w:bookmarkStart w:id="380" w:name="_Toc184308082"/>
      <w:bookmarkEnd w:id="380"/>
      <w:bookmarkStart w:id="381" w:name="_Toc184308078"/>
      <w:bookmarkEnd w:id="381"/>
      <w:bookmarkStart w:id="382" w:name="_Toc184314482"/>
      <w:bookmarkEnd w:id="382"/>
      <w:bookmarkStart w:id="383" w:name="_Toc184312112"/>
      <w:bookmarkEnd w:id="383"/>
      <w:bookmarkStart w:id="384" w:name="_Toc184310334"/>
      <w:bookmarkEnd w:id="384"/>
      <w:bookmarkStart w:id="385" w:name="_Toc184314473"/>
      <w:bookmarkEnd w:id="385"/>
      <w:bookmarkStart w:id="386" w:name="_Toc184313240"/>
      <w:bookmarkEnd w:id="386"/>
      <w:bookmarkStart w:id="387" w:name="_Toc184314474"/>
      <w:bookmarkEnd w:id="387"/>
      <w:bookmarkStart w:id="388" w:name="_Toc184313296"/>
      <w:bookmarkEnd w:id="388"/>
      <w:bookmarkStart w:id="389" w:name="_Toc184310300"/>
      <w:bookmarkEnd w:id="389"/>
      <w:bookmarkStart w:id="390" w:name="_Toc184308101"/>
      <w:bookmarkEnd w:id="390"/>
      <w:bookmarkStart w:id="391" w:name="_Toc184314479"/>
      <w:bookmarkEnd w:id="391"/>
      <w:bookmarkStart w:id="392" w:name="_Toc184310272"/>
      <w:bookmarkEnd w:id="392"/>
      <w:bookmarkStart w:id="393" w:name="_Toc184312138"/>
      <w:bookmarkEnd w:id="393"/>
      <w:bookmarkStart w:id="394" w:name="_Toc184308042"/>
      <w:bookmarkEnd w:id="394"/>
      <w:bookmarkStart w:id="395" w:name="_Toc184308054"/>
      <w:bookmarkEnd w:id="395"/>
      <w:bookmarkStart w:id="396" w:name="_Toc184313299"/>
      <w:bookmarkEnd w:id="396"/>
      <w:bookmarkStart w:id="397" w:name="_Toc184310316"/>
      <w:bookmarkEnd w:id="397"/>
      <w:bookmarkStart w:id="398" w:name="_Toc184310332"/>
      <w:bookmarkEnd w:id="398"/>
      <w:bookmarkStart w:id="399" w:name="_Toc184308043"/>
      <w:bookmarkEnd w:id="399"/>
      <w:r>
        <w:rPr>
          <w:rFonts w:hint="eastAsia" w:ascii="宋体" w:hAnsi="宋体" w:cs="宋体"/>
          <w:b/>
          <w:color w:val="auto"/>
          <w:sz w:val="36"/>
          <w:szCs w:val="36"/>
          <w:highlight w:val="none"/>
        </w:rPr>
        <w:t>评标办法</w:t>
      </w:r>
    </w:p>
    <w:p w14:paraId="29DFB65C">
      <w:pPr>
        <w:spacing w:line="360" w:lineRule="auto"/>
        <w:jc w:val="center"/>
        <w:outlineLvl w:val="0"/>
        <w:rPr>
          <w:rFonts w:hint="eastAsia" w:ascii="宋体" w:hAnsi="宋体" w:cs="宋体"/>
          <w:b/>
          <w:color w:val="auto"/>
          <w:sz w:val="24"/>
          <w:highlight w:val="none"/>
        </w:rPr>
      </w:pPr>
      <w:r>
        <w:rPr>
          <w:rFonts w:hint="eastAsia" w:ascii="宋体" w:hAnsi="宋体" w:cs="宋体"/>
          <w:b/>
          <w:color w:val="auto"/>
          <w:sz w:val="24"/>
          <w:highlight w:val="none"/>
        </w:rPr>
        <w:t>评标办法前附表</w:t>
      </w:r>
    </w:p>
    <w:tbl>
      <w:tblPr>
        <w:tblStyle w:val="16"/>
        <w:tblpPr w:leftFromText="180" w:rightFromText="180" w:vertAnchor="text" w:horzAnchor="page" w:tblpX="1031" w:tblpY="425"/>
        <w:tblW w:w="55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015"/>
        <w:gridCol w:w="4217"/>
        <w:gridCol w:w="1019"/>
        <w:gridCol w:w="1596"/>
        <w:gridCol w:w="1743"/>
      </w:tblGrid>
      <w:tr w14:paraId="1082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349" w:type="pct"/>
            <w:vAlign w:val="center"/>
          </w:tcPr>
          <w:p w14:paraId="0663BDAB">
            <w:pPr>
              <w:jc w:val="center"/>
              <w:outlineLvl w:val="0"/>
              <w:rPr>
                <w:rFonts w:hint="eastAsia" w:ascii="宋体" w:hAnsi="宋体" w:cs="宋体"/>
                <w:bCs/>
                <w:color w:val="auto"/>
                <w:sz w:val="24"/>
                <w:highlight w:val="none"/>
              </w:rPr>
            </w:pPr>
            <w:bookmarkStart w:id="400" w:name="_Hlk92870771"/>
            <w:r>
              <w:rPr>
                <w:rFonts w:hint="eastAsia" w:ascii="宋体" w:hAnsi="宋体" w:cs="宋体"/>
                <w:bCs/>
                <w:color w:val="auto"/>
                <w:sz w:val="24"/>
                <w:highlight w:val="none"/>
              </w:rPr>
              <w:t>序号</w:t>
            </w:r>
          </w:p>
        </w:tc>
        <w:tc>
          <w:tcPr>
            <w:tcW w:w="492" w:type="pct"/>
            <w:vAlign w:val="center"/>
          </w:tcPr>
          <w:p w14:paraId="3B6FFF38">
            <w:pPr>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评分项目</w:t>
            </w:r>
          </w:p>
        </w:tc>
        <w:tc>
          <w:tcPr>
            <w:tcW w:w="2045" w:type="pct"/>
            <w:vAlign w:val="center"/>
          </w:tcPr>
          <w:p w14:paraId="529EE6BA">
            <w:pPr>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评标标准</w:t>
            </w:r>
          </w:p>
        </w:tc>
        <w:tc>
          <w:tcPr>
            <w:tcW w:w="494" w:type="pct"/>
            <w:vAlign w:val="center"/>
          </w:tcPr>
          <w:p w14:paraId="3506502D">
            <w:pPr>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权重</w:t>
            </w:r>
          </w:p>
        </w:tc>
        <w:tc>
          <w:tcPr>
            <w:tcW w:w="774" w:type="pct"/>
            <w:vAlign w:val="center"/>
          </w:tcPr>
          <w:p w14:paraId="4E3EA9AF">
            <w:pPr>
              <w:jc w:val="center"/>
              <w:outlineLvl w:val="0"/>
              <w:rPr>
                <w:rFonts w:hint="eastAsia" w:ascii="宋体" w:hAnsi="宋体" w:cs="宋体"/>
                <w:bCs/>
                <w:color w:val="auto"/>
                <w:sz w:val="24"/>
                <w:highlight w:val="none"/>
              </w:rPr>
            </w:pPr>
            <w:r>
              <w:rPr>
                <w:rFonts w:hint="eastAsia" w:ascii="宋体" w:hAnsi="宋体" w:cs="宋体"/>
                <w:color w:val="auto"/>
                <w:sz w:val="24"/>
                <w:highlight w:val="none"/>
              </w:rPr>
              <w:t>主观分/客观分属性</w:t>
            </w:r>
          </w:p>
        </w:tc>
        <w:tc>
          <w:tcPr>
            <w:tcW w:w="845" w:type="pct"/>
            <w:vAlign w:val="center"/>
          </w:tcPr>
          <w:p w14:paraId="55008886">
            <w:pPr>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r>
              <w:rPr>
                <w:rFonts w:hint="eastAsia" w:ascii="宋体" w:hAnsi="宋体" w:cs="宋体"/>
                <w:color w:val="auto"/>
                <w:sz w:val="24"/>
                <w:highlight w:val="none"/>
                <w:shd w:val="clear" w:color="auto" w:fill="FFFFFF"/>
              </w:rPr>
              <w:t> *</w:t>
            </w:r>
          </w:p>
        </w:tc>
      </w:tr>
      <w:tr w14:paraId="67C4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49" w:type="pct"/>
            <w:vAlign w:val="center"/>
          </w:tcPr>
          <w:p w14:paraId="72524897">
            <w:pPr>
              <w:jc w:val="center"/>
              <w:outlineLvl w:val="0"/>
              <w:rPr>
                <w:rFonts w:hint="eastAsia" w:ascii="宋体" w:hAnsi="宋体" w:cs="宋体"/>
                <w:color w:val="auto"/>
                <w:sz w:val="24"/>
                <w:highlight w:val="none"/>
              </w:rPr>
            </w:pPr>
            <w:r>
              <w:rPr>
                <w:rFonts w:hint="eastAsia" w:ascii="宋体" w:hAnsi="宋体" w:cs="宋体"/>
                <w:color w:val="auto"/>
                <w:sz w:val="24"/>
                <w:highlight w:val="none"/>
              </w:rPr>
              <w:t>1</w:t>
            </w:r>
          </w:p>
        </w:tc>
        <w:tc>
          <w:tcPr>
            <w:tcW w:w="492" w:type="pct"/>
            <w:vAlign w:val="center"/>
          </w:tcPr>
          <w:p w14:paraId="59B7C144">
            <w:pPr>
              <w:pStyle w:val="10"/>
              <w:jc w:val="center"/>
              <w:rPr>
                <w:rFonts w:hint="eastAsia" w:hAnsi="宋体" w:cs="宋体"/>
                <w:color w:val="auto"/>
                <w:sz w:val="24"/>
                <w:szCs w:val="24"/>
                <w:highlight w:val="none"/>
              </w:rPr>
            </w:pPr>
            <w:r>
              <w:rPr>
                <w:rFonts w:hint="eastAsia" w:hAnsi="宋体" w:cs="宋体"/>
                <w:color w:val="auto"/>
                <w:sz w:val="24"/>
                <w:szCs w:val="24"/>
                <w:highlight w:val="none"/>
              </w:rPr>
              <w:t>投标人业绩</w:t>
            </w:r>
          </w:p>
        </w:tc>
        <w:tc>
          <w:tcPr>
            <w:tcW w:w="2045" w:type="pct"/>
          </w:tcPr>
          <w:p w14:paraId="797E23A5">
            <w:pPr>
              <w:pStyle w:val="10"/>
              <w:jc w:val="left"/>
              <w:rPr>
                <w:rFonts w:hint="eastAsia" w:hAnsi="宋体" w:cs="宋体"/>
                <w:color w:val="auto"/>
                <w:sz w:val="24"/>
                <w:szCs w:val="24"/>
                <w:highlight w:val="none"/>
              </w:rPr>
            </w:pPr>
            <w:r>
              <w:rPr>
                <w:rFonts w:hint="eastAsia" w:hAnsi="宋体" w:cs="宋体"/>
                <w:color w:val="auto"/>
                <w:sz w:val="24"/>
                <w:szCs w:val="24"/>
                <w:highlight w:val="none"/>
              </w:rPr>
              <w:t>投标人自2020年1月1日以来（以合同签订时间为准）独立完成过BIM技术咨询服务的公共建筑项目整体阶段（设计、施工、竣工）项目业绩，每个得0.5分，最高分1.5分。</w:t>
            </w:r>
          </w:p>
          <w:p w14:paraId="772A57E4">
            <w:pPr>
              <w:pStyle w:val="10"/>
              <w:jc w:val="left"/>
              <w:rPr>
                <w:rFonts w:hint="eastAsia" w:hAnsi="宋体" w:cs="宋体"/>
                <w:color w:val="auto"/>
                <w:sz w:val="24"/>
                <w:szCs w:val="24"/>
                <w:highlight w:val="none"/>
              </w:rPr>
            </w:pPr>
            <w:r>
              <w:rPr>
                <w:rFonts w:hint="eastAsia" w:hAnsi="宋体" w:cs="宋体"/>
                <w:color w:val="auto"/>
                <w:sz w:val="24"/>
                <w:szCs w:val="24"/>
                <w:highlight w:val="none"/>
              </w:rPr>
              <w:t>注：需提供中标通知书及合同复印件。如上述资料不能体现业绩内容要求的，应提供BIM咨询服务委托单位的证明予以说明（复印件加盖公章）。</w:t>
            </w:r>
          </w:p>
        </w:tc>
        <w:tc>
          <w:tcPr>
            <w:tcW w:w="494" w:type="pct"/>
            <w:vAlign w:val="center"/>
          </w:tcPr>
          <w:p w14:paraId="2E7AB5D9">
            <w:pPr>
              <w:pStyle w:val="10"/>
              <w:jc w:val="center"/>
              <w:rPr>
                <w:rFonts w:hint="eastAsia" w:hAnsi="宋体" w:cs="宋体"/>
                <w:color w:val="auto"/>
                <w:sz w:val="24"/>
                <w:szCs w:val="24"/>
                <w:highlight w:val="none"/>
              </w:rPr>
            </w:pPr>
            <w:r>
              <w:rPr>
                <w:rFonts w:hint="eastAsia" w:hAnsi="宋体" w:cs="宋体"/>
                <w:color w:val="auto"/>
                <w:sz w:val="24"/>
                <w:szCs w:val="24"/>
                <w:highlight w:val="none"/>
              </w:rPr>
              <w:t>1.5</w:t>
            </w:r>
          </w:p>
        </w:tc>
        <w:tc>
          <w:tcPr>
            <w:tcW w:w="774" w:type="pct"/>
            <w:vAlign w:val="center"/>
          </w:tcPr>
          <w:p w14:paraId="349F0E97">
            <w:pPr>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845" w:type="pct"/>
            <w:vAlign w:val="center"/>
          </w:tcPr>
          <w:p w14:paraId="54FF78A4">
            <w:pPr>
              <w:jc w:val="center"/>
              <w:outlineLvl w:val="0"/>
              <w:rPr>
                <w:rFonts w:hint="eastAsia" w:ascii="宋体" w:hAnsi="宋体" w:cs="宋体"/>
                <w:color w:val="auto"/>
                <w:sz w:val="24"/>
                <w:highlight w:val="none"/>
              </w:rPr>
            </w:pPr>
          </w:p>
        </w:tc>
      </w:tr>
      <w:tr w14:paraId="555C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9" w:type="pct"/>
            <w:vAlign w:val="center"/>
          </w:tcPr>
          <w:p w14:paraId="68D3CBBA">
            <w:pPr>
              <w:jc w:val="center"/>
              <w:outlineLvl w:val="0"/>
              <w:rPr>
                <w:rFonts w:hint="eastAsia" w:ascii="宋体" w:hAnsi="宋体" w:cs="宋体"/>
                <w:color w:val="auto"/>
                <w:sz w:val="24"/>
                <w:highlight w:val="none"/>
              </w:rPr>
            </w:pPr>
            <w:r>
              <w:rPr>
                <w:rFonts w:hint="eastAsia" w:ascii="宋体" w:hAnsi="宋体" w:cs="宋体"/>
                <w:color w:val="auto"/>
                <w:sz w:val="24"/>
                <w:highlight w:val="none"/>
              </w:rPr>
              <w:t>2</w:t>
            </w:r>
          </w:p>
        </w:tc>
        <w:tc>
          <w:tcPr>
            <w:tcW w:w="492" w:type="pct"/>
            <w:shd w:val="clear" w:color="auto" w:fill="auto"/>
            <w:vAlign w:val="center"/>
          </w:tcPr>
          <w:p w14:paraId="203B8DFE">
            <w:pPr>
              <w:pStyle w:val="10"/>
              <w:jc w:val="center"/>
              <w:rPr>
                <w:rFonts w:hint="eastAsia" w:hAnsi="宋体" w:cs="宋体"/>
                <w:color w:val="auto"/>
                <w:sz w:val="24"/>
                <w:szCs w:val="24"/>
                <w:highlight w:val="none"/>
              </w:rPr>
            </w:pPr>
            <w:r>
              <w:rPr>
                <w:rFonts w:hint="eastAsia" w:hAnsi="宋体" w:cs="宋体"/>
                <w:color w:val="auto"/>
                <w:sz w:val="24"/>
                <w:szCs w:val="24"/>
                <w:highlight w:val="none"/>
              </w:rPr>
              <w:t>软件著作权证书</w:t>
            </w:r>
          </w:p>
        </w:tc>
        <w:tc>
          <w:tcPr>
            <w:tcW w:w="2045" w:type="pct"/>
            <w:shd w:val="clear" w:color="auto" w:fill="auto"/>
          </w:tcPr>
          <w:p w14:paraId="27C30093">
            <w:pPr>
              <w:jc w:val="left"/>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投标人具有BIM应用相关技术方面的计算机软件著作权证书，每提供1项得 0.5分，最高得1分。</w:t>
            </w:r>
          </w:p>
          <w:p w14:paraId="7EF9BCD3">
            <w:pPr>
              <w:jc w:val="left"/>
              <w:rPr>
                <w:rFonts w:hint="eastAsia" w:ascii="宋体" w:hAnsi="宋体" w:cs="宋体"/>
                <w:snapToGrid w:val="0"/>
                <w:color w:val="auto"/>
                <w:sz w:val="24"/>
                <w:highlight w:val="none"/>
              </w:rPr>
            </w:pPr>
            <w:r>
              <w:rPr>
                <w:rFonts w:hint="eastAsia" w:ascii="宋体" w:hAnsi="宋体" w:cs="宋体"/>
                <w:snapToGrid w:val="0"/>
                <w:color w:val="auto"/>
                <w:sz w:val="24"/>
                <w:highlight w:val="none"/>
              </w:rPr>
              <w:t>注：提供证书复印件加盖公章，未提供或提供的材料不符合要求的不得分。</w:t>
            </w:r>
          </w:p>
        </w:tc>
        <w:tc>
          <w:tcPr>
            <w:tcW w:w="494" w:type="pct"/>
            <w:shd w:val="clear" w:color="auto" w:fill="auto"/>
            <w:vAlign w:val="center"/>
          </w:tcPr>
          <w:p w14:paraId="4DCDD80C">
            <w:pPr>
              <w:pStyle w:val="10"/>
              <w:jc w:val="center"/>
              <w:rPr>
                <w:rFonts w:hint="eastAsia" w:hAnsi="宋体" w:cs="宋体"/>
                <w:color w:val="auto"/>
                <w:sz w:val="24"/>
                <w:szCs w:val="24"/>
                <w:highlight w:val="none"/>
              </w:rPr>
            </w:pPr>
            <w:r>
              <w:rPr>
                <w:rFonts w:hint="eastAsia" w:hAnsi="宋体" w:cs="宋体"/>
                <w:color w:val="auto"/>
                <w:sz w:val="24"/>
                <w:szCs w:val="24"/>
                <w:highlight w:val="none"/>
              </w:rPr>
              <w:t>1</w:t>
            </w:r>
          </w:p>
        </w:tc>
        <w:tc>
          <w:tcPr>
            <w:tcW w:w="774" w:type="pct"/>
            <w:shd w:val="clear" w:color="auto" w:fill="auto"/>
            <w:vAlign w:val="center"/>
          </w:tcPr>
          <w:p w14:paraId="6CE625B0">
            <w:pPr>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845" w:type="pct"/>
          </w:tcPr>
          <w:p w14:paraId="5440CF44">
            <w:pPr>
              <w:outlineLvl w:val="0"/>
              <w:rPr>
                <w:rFonts w:hint="eastAsia" w:ascii="宋体" w:hAnsi="宋体" w:cs="宋体"/>
                <w:color w:val="auto"/>
                <w:sz w:val="24"/>
                <w:highlight w:val="none"/>
              </w:rPr>
            </w:pPr>
          </w:p>
        </w:tc>
      </w:tr>
      <w:tr w14:paraId="501B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9" w:type="pct"/>
            <w:vAlign w:val="center"/>
          </w:tcPr>
          <w:p w14:paraId="5021BE9D">
            <w:pPr>
              <w:jc w:val="center"/>
              <w:outlineLvl w:val="0"/>
              <w:rPr>
                <w:rFonts w:hint="eastAsia" w:ascii="宋体" w:hAnsi="宋体" w:cs="宋体"/>
                <w:color w:val="auto"/>
                <w:sz w:val="24"/>
                <w:highlight w:val="none"/>
              </w:rPr>
            </w:pPr>
            <w:r>
              <w:rPr>
                <w:rFonts w:hint="eastAsia" w:ascii="宋体" w:hAnsi="宋体" w:cs="宋体"/>
                <w:color w:val="auto"/>
                <w:sz w:val="24"/>
                <w:highlight w:val="none"/>
              </w:rPr>
              <w:t>3</w:t>
            </w:r>
          </w:p>
        </w:tc>
        <w:tc>
          <w:tcPr>
            <w:tcW w:w="492" w:type="pct"/>
            <w:shd w:val="clear" w:color="auto" w:fill="auto"/>
            <w:vAlign w:val="center"/>
          </w:tcPr>
          <w:p w14:paraId="399A7004">
            <w:pPr>
              <w:pStyle w:val="10"/>
              <w:jc w:val="center"/>
              <w:rPr>
                <w:rFonts w:hint="eastAsia" w:hAnsi="宋体" w:cs="宋体"/>
                <w:color w:val="auto"/>
                <w:sz w:val="24"/>
                <w:szCs w:val="24"/>
                <w:highlight w:val="none"/>
              </w:rPr>
            </w:pPr>
            <w:r>
              <w:rPr>
                <w:rFonts w:hint="eastAsia" w:hAnsi="宋体" w:cs="宋体"/>
                <w:color w:val="auto"/>
                <w:sz w:val="24"/>
                <w:szCs w:val="24"/>
                <w:highlight w:val="none"/>
              </w:rPr>
              <w:t>体系认证</w:t>
            </w:r>
          </w:p>
        </w:tc>
        <w:tc>
          <w:tcPr>
            <w:tcW w:w="2045" w:type="pct"/>
            <w:shd w:val="clear" w:color="auto" w:fill="auto"/>
          </w:tcPr>
          <w:p w14:paraId="74C82144">
            <w:pPr>
              <w:tabs>
                <w:tab w:val="left" w:pos="0"/>
              </w:tabs>
              <w:snapToGrid w:val="0"/>
              <w:rPr>
                <w:rFonts w:hint="eastAsia" w:ascii="宋体" w:hAnsi="宋体" w:cs="宋体"/>
                <w:snapToGrid w:val="0"/>
                <w:color w:val="auto"/>
                <w:sz w:val="24"/>
                <w:highlight w:val="none"/>
              </w:rPr>
            </w:pPr>
            <w:r>
              <w:rPr>
                <w:rFonts w:hint="eastAsia" w:ascii="宋体" w:hAnsi="宋体" w:cs="宋体"/>
                <w:snapToGrid w:val="0"/>
                <w:color w:val="auto"/>
                <w:sz w:val="24"/>
                <w:highlight w:val="none"/>
              </w:rPr>
              <w:t xml:space="preserve">投标人具有有效的质量管理体系认证证书、环境管理体系认证证书、职业健康安全管理体系认证证书、信息安全管理体系认证证书、信息技术服务体系认证证书的，每提供一个证书得0.5分，最高得2.5分。注： 提供证书复印件加盖公章，未提供或提供的材料不符合要求的不得分。 </w:t>
            </w:r>
          </w:p>
        </w:tc>
        <w:tc>
          <w:tcPr>
            <w:tcW w:w="494" w:type="pct"/>
            <w:shd w:val="clear" w:color="auto" w:fill="auto"/>
            <w:vAlign w:val="center"/>
          </w:tcPr>
          <w:p w14:paraId="3CB12969">
            <w:pPr>
              <w:pStyle w:val="10"/>
              <w:jc w:val="center"/>
              <w:rPr>
                <w:rFonts w:hint="eastAsia" w:hAnsi="宋体" w:cs="宋体"/>
                <w:color w:val="auto"/>
                <w:sz w:val="24"/>
                <w:szCs w:val="24"/>
                <w:highlight w:val="none"/>
              </w:rPr>
            </w:pPr>
            <w:r>
              <w:rPr>
                <w:rFonts w:hint="eastAsia" w:hAnsi="宋体" w:cs="宋体"/>
                <w:color w:val="auto"/>
                <w:sz w:val="24"/>
                <w:szCs w:val="24"/>
                <w:highlight w:val="none"/>
              </w:rPr>
              <w:t>2.5</w:t>
            </w:r>
          </w:p>
        </w:tc>
        <w:tc>
          <w:tcPr>
            <w:tcW w:w="774" w:type="pct"/>
            <w:shd w:val="clear" w:color="auto" w:fill="auto"/>
            <w:vAlign w:val="center"/>
          </w:tcPr>
          <w:p w14:paraId="738E76C9">
            <w:pPr>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845" w:type="pct"/>
          </w:tcPr>
          <w:p w14:paraId="3B6FEE76">
            <w:pPr>
              <w:outlineLvl w:val="0"/>
              <w:rPr>
                <w:rFonts w:hint="eastAsia" w:ascii="宋体" w:hAnsi="宋体" w:cs="宋体"/>
                <w:color w:val="auto"/>
                <w:sz w:val="24"/>
                <w:highlight w:val="none"/>
              </w:rPr>
            </w:pPr>
          </w:p>
        </w:tc>
      </w:tr>
      <w:tr w14:paraId="47EF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9" w:type="pct"/>
            <w:vAlign w:val="center"/>
          </w:tcPr>
          <w:p w14:paraId="5D12B6E8">
            <w:pPr>
              <w:jc w:val="center"/>
              <w:outlineLvl w:val="0"/>
              <w:rPr>
                <w:rFonts w:hint="eastAsia" w:ascii="宋体" w:hAnsi="宋体" w:cs="宋体"/>
                <w:color w:val="auto"/>
                <w:sz w:val="24"/>
                <w:highlight w:val="none"/>
              </w:rPr>
            </w:pPr>
            <w:r>
              <w:rPr>
                <w:rFonts w:hint="eastAsia" w:ascii="宋体" w:hAnsi="宋体" w:cs="宋体"/>
                <w:color w:val="auto"/>
                <w:sz w:val="24"/>
                <w:highlight w:val="none"/>
              </w:rPr>
              <w:t>4</w:t>
            </w:r>
          </w:p>
        </w:tc>
        <w:tc>
          <w:tcPr>
            <w:tcW w:w="492" w:type="pct"/>
            <w:shd w:val="clear" w:color="auto" w:fill="auto"/>
            <w:vAlign w:val="center"/>
          </w:tcPr>
          <w:p w14:paraId="31FFD18D">
            <w:pPr>
              <w:pStyle w:val="10"/>
              <w:jc w:val="center"/>
              <w:rPr>
                <w:rFonts w:hint="eastAsia" w:hAnsi="宋体" w:cs="宋体"/>
                <w:color w:val="auto"/>
                <w:sz w:val="24"/>
                <w:szCs w:val="24"/>
                <w:highlight w:val="none"/>
              </w:rPr>
            </w:pPr>
            <w:r>
              <w:rPr>
                <w:rFonts w:hint="eastAsia" w:hAnsi="宋体" w:cs="宋体"/>
                <w:color w:val="auto"/>
                <w:sz w:val="24"/>
                <w:szCs w:val="24"/>
                <w:highlight w:val="none"/>
              </w:rPr>
              <w:t>项目负责人能力</w:t>
            </w:r>
          </w:p>
        </w:tc>
        <w:tc>
          <w:tcPr>
            <w:tcW w:w="2045" w:type="pct"/>
            <w:shd w:val="clear" w:color="auto" w:fill="auto"/>
          </w:tcPr>
          <w:p w14:paraId="3E16DDF2">
            <w:pPr>
              <w:tabs>
                <w:tab w:val="left" w:pos="0"/>
              </w:tabs>
              <w:snapToGrid w:val="0"/>
              <w:rPr>
                <w:rFonts w:hint="eastAsia" w:ascii="宋体" w:hAnsi="宋体" w:cs="宋体"/>
                <w:snapToGrid w:val="0"/>
                <w:color w:val="auto"/>
                <w:sz w:val="24"/>
                <w:highlight w:val="none"/>
              </w:rPr>
            </w:pPr>
            <w:r>
              <w:rPr>
                <w:rFonts w:hint="eastAsia" w:ascii="宋体" w:hAnsi="宋体" w:cs="宋体"/>
                <w:snapToGrid w:val="0"/>
                <w:color w:val="auto"/>
                <w:sz w:val="24"/>
                <w:highlight w:val="none"/>
              </w:rPr>
              <w:t>项目负责人具有高级工程师职称的得2分，具有工程类注册执业资格证书（如注册建造师或注册建筑师或注册监理工程师等）的得2分。本项最高得4分。</w:t>
            </w:r>
          </w:p>
          <w:p w14:paraId="0E4D70F2">
            <w:pPr>
              <w:pStyle w:val="10"/>
              <w:jc w:val="left"/>
              <w:rPr>
                <w:rFonts w:hint="eastAsia" w:hAnsi="宋体" w:cs="宋体"/>
                <w:color w:val="auto"/>
                <w:sz w:val="24"/>
                <w:szCs w:val="24"/>
                <w:highlight w:val="none"/>
              </w:rPr>
            </w:pPr>
            <w:r>
              <w:rPr>
                <w:rFonts w:hint="eastAsia" w:hAnsi="宋体" w:cs="宋体"/>
                <w:color w:val="auto"/>
                <w:sz w:val="24"/>
                <w:szCs w:val="24"/>
                <w:highlight w:val="none"/>
              </w:rPr>
              <w:t>注：（1）提供职称证书、注册执业资格证书复印件加盖公章。（2）投标人须提供投标人为项目负责人缴纳社保资金的有效的社保证明材料。</w:t>
            </w:r>
          </w:p>
        </w:tc>
        <w:tc>
          <w:tcPr>
            <w:tcW w:w="494" w:type="pct"/>
            <w:shd w:val="clear" w:color="auto" w:fill="auto"/>
            <w:vAlign w:val="center"/>
          </w:tcPr>
          <w:p w14:paraId="4BF2BA32">
            <w:pPr>
              <w:pStyle w:val="10"/>
              <w:jc w:val="center"/>
              <w:rPr>
                <w:rFonts w:hint="eastAsia" w:hAnsi="宋体" w:cs="宋体"/>
                <w:color w:val="auto"/>
                <w:sz w:val="24"/>
                <w:szCs w:val="24"/>
                <w:highlight w:val="none"/>
              </w:rPr>
            </w:pPr>
            <w:r>
              <w:rPr>
                <w:rFonts w:hint="eastAsia" w:hAnsi="宋体" w:cs="宋体"/>
                <w:color w:val="auto"/>
                <w:sz w:val="24"/>
                <w:szCs w:val="24"/>
                <w:highlight w:val="none"/>
              </w:rPr>
              <w:t>4</w:t>
            </w:r>
          </w:p>
        </w:tc>
        <w:tc>
          <w:tcPr>
            <w:tcW w:w="774" w:type="pct"/>
            <w:shd w:val="clear" w:color="auto" w:fill="auto"/>
            <w:vAlign w:val="center"/>
          </w:tcPr>
          <w:p w14:paraId="39DDF88A">
            <w:pPr>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845" w:type="pct"/>
          </w:tcPr>
          <w:p w14:paraId="1394A0F3">
            <w:pPr>
              <w:outlineLvl w:val="0"/>
              <w:rPr>
                <w:rFonts w:hint="eastAsia" w:ascii="宋体" w:hAnsi="宋体" w:cs="宋体"/>
                <w:color w:val="auto"/>
                <w:sz w:val="24"/>
                <w:highlight w:val="none"/>
              </w:rPr>
            </w:pPr>
          </w:p>
        </w:tc>
      </w:tr>
      <w:tr w14:paraId="70E5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9" w:type="pct"/>
            <w:vAlign w:val="center"/>
          </w:tcPr>
          <w:p w14:paraId="40FB5CF5">
            <w:pPr>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492" w:type="pct"/>
            <w:vMerge w:val="restart"/>
            <w:shd w:val="clear" w:color="auto" w:fill="auto"/>
            <w:vAlign w:val="center"/>
          </w:tcPr>
          <w:p w14:paraId="0629F61A">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项目组人员配置及分工</w:t>
            </w:r>
          </w:p>
        </w:tc>
        <w:tc>
          <w:tcPr>
            <w:tcW w:w="2045" w:type="pct"/>
            <w:shd w:val="clear" w:color="auto" w:fill="auto"/>
          </w:tcPr>
          <w:p w14:paraId="12D307C8">
            <w:pPr>
              <w:pStyle w:val="10"/>
              <w:jc w:val="left"/>
              <w:rPr>
                <w:rFonts w:hint="eastAsia" w:hAnsi="宋体" w:cs="宋体"/>
                <w:color w:val="auto"/>
                <w:sz w:val="24"/>
                <w:szCs w:val="24"/>
                <w:highlight w:val="none"/>
              </w:rPr>
            </w:pPr>
            <w:r>
              <w:rPr>
                <w:rFonts w:hint="eastAsia" w:hAnsi="宋体" w:cs="宋体"/>
                <w:color w:val="auto"/>
                <w:sz w:val="24"/>
                <w:szCs w:val="24"/>
                <w:highlight w:val="none"/>
                <w:lang w:val="en-US" w:eastAsia="zh-CN"/>
              </w:rPr>
              <w:t>①</w:t>
            </w:r>
            <w:r>
              <w:rPr>
                <w:rFonts w:hint="eastAsia" w:hAnsi="宋体" w:cs="宋体"/>
                <w:color w:val="auto"/>
                <w:sz w:val="24"/>
                <w:szCs w:val="24"/>
                <w:highlight w:val="none"/>
              </w:rPr>
              <w:t>项目团队成员（负责人以外）具有工程类注册执业资格证书（或建筑相关专业高级工程师及以上技术职称证书）的，每提供1人得1分，最高2分；</w:t>
            </w:r>
          </w:p>
          <w:p w14:paraId="44DE504F">
            <w:pPr>
              <w:pStyle w:val="10"/>
              <w:jc w:val="left"/>
              <w:rPr>
                <w:rFonts w:hint="eastAsia" w:hAnsi="宋体" w:cs="宋体"/>
                <w:color w:val="auto"/>
                <w:sz w:val="24"/>
                <w:szCs w:val="24"/>
                <w:highlight w:val="none"/>
              </w:rPr>
            </w:pPr>
            <w:r>
              <w:rPr>
                <w:rFonts w:hint="eastAsia" w:hAnsi="宋体" w:cs="宋体"/>
                <w:color w:val="auto"/>
                <w:sz w:val="24"/>
                <w:szCs w:val="24"/>
                <w:highlight w:val="none"/>
              </w:rPr>
              <w:t>②项目组人员（不含项目负责人）</w:t>
            </w:r>
            <w:r>
              <w:rPr>
                <w:rFonts w:hint="eastAsia" w:hAnsi="宋体" w:cs="宋体"/>
                <w:color w:val="auto"/>
                <w:sz w:val="24"/>
                <w:highlight w:val="none"/>
              </w:rPr>
              <w:t>具有</w:t>
            </w:r>
            <w:bookmarkStart w:id="401" w:name="OLE_LINK1"/>
            <w:r>
              <w:rPr>
                <w:rFonts w:hint="eastAsia" w:hAnsi="宋体" w:cs="宋体"/>
                <w:color w:val="auto"/>
                <w:sz w:val="24"/>
                <w:highlight w:val="none"/>
              </w:rPr>
              <w:t>建筑设计专业的全国BIM二级技能等级证书</w:t>
            </w:r>
            <w:bookmarkEnd w:id="401"/>
            <w:r>
              <w:rPr>
                <w:rFonts w:hint="eastAsia" w:hAnsi="宋体" w:cs="宋体"/>
                <w:color w:val="auto"/>
                <w:sz w:val="24"/>
                <w:highlight w:val="none"/>
              </w:rPr>
              <w:t>，每人得1分，最高2分； 具有结构设计专业的全国BIM二级技能等级证书，每人得1分，最高2分；具有设备设计专业的全国BIM二级技能等级证书，每人得1分，最高2分；本项最高6分。</w:t>
            </w:r>
          </w:p>
          <w:p w14:paraId="1FBBB992">
            <w:pPr>
              <w:pStyle w:val="10"/>
              <w:jc w:val="left"/>
              <w:rPr>
                <w:rFonts w:hint="eastAsia" w:hAnsi="宋体" w:cs="宋体"/>
                <w:color w:val="auto"/>
                <w:sz w:val="24"/>
                <w:szCs w:val="24"/>
                <w:highlight w:val="none"/>
              </w:rPr>
            </w:pPr>
            <w:r>
              <w:rPr>
                <w:rFonts w:hint="eastAsia" w:hAnsi="宋体" w:cs="宋体"/>
                <w:color w:val="auto"/>
                <w:sz w:val="24"/>
                <w:szCs w:val="24"/>
                <w:highlight w:val="none"/>
              </w:rPr>
              <w:t>注：（1）提供证书复印件加盖公章。（2）投标人须提供投标人为项目团队成员缴纳社保资金的有效的社保证明材料。</w:t>
            </w:r>
          </w:p>
        </w:tc>
        <w:tc>
          <w:tcPr>
            <w:tcW w:w="494" w:type="pct"/>
            <w:shd w:val="clear" w:color="auto" w:fill="auto"/>
            <w:vAlign w:val="center"/>
          </w:tcPr>
          <w:p w14:paraId="7FCAEBD4">
            <w:pPr>
              <w:pStyle w:val="10"/>
              <w:jc w:val="center"/>
              <w:rPr>
                <w:rFonts w:hint="eastAsia" w:hAnsi="宋体" w:cs="宋体"/>
                <w:color w:val="auto"/>
                <w:sz w:val="24"/>
                <w:szCs w:val="24"/>
                <w:highlight w:val="none"/>
              </w:rPr>
            </w:pPr>
            <w:r>
              <w:rPr>
                <w:rFonts w:hint="eastAsia" w:hAnsi="宋体" w:cs="宋体"/>
                <w:color w:val="auto"/>
                <w:sz w:val="24"/>
                <w:szCs w:val="24"/>
                <w:highlight w:val="none"/>
              </w:rPr>
              <w:t>8</w:t>
            </w:r>
          </w:p>
        </w:tc>
        <w:tc>
          <w:tcPr>
            <w:tcW w:w="774" w:type="pct"/>
            <w:shd w:val="clear" w:color="auto" w:fill="auto"/>
            <w:vAlign w:val="center"/>
          </w:tcPr>
          <w:p w14:paraId="26C62365">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845" w:type="pct"/>
          </w:tcPr>
          <w:p w14:paraId="1A48AB71">
            <w:pPr>
              <w:outlineLvl w:val="0"/>
              <w:rPr>
                <w:rFonts w:hint="eastAsia" w:ascii="宋体" w:hAnsi="宋体" w:cs="宋体"/>
                <w:color w:val="auto"/>
                <w:sz w:val="24"/>
                <w:highlight w:val="none"/>
              </w:rPr>
            </w:pPr>
          </w:p>
        </w:tc>
      </w:tr>
      <w:tr w14:paraId="1F02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49" w:type="pct"/>
            <w:vAlign w:val="center"/>
          </w:tcPr>
          <w:p w14:paraId="3A383E77">
            <w:pPr>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492" w:type="pct"/>
            <w:vMerge w:val="continue"/>
            <w:vAlign w:val="center"/>
          </w:tcPr>
          <w:p w14:paraId="1AC1276F">
            <w:pPr>
              <w:tabs>
                <w:tab w:val="left" w:pos="0"/>
              </w:tabs>
              <w:snapToGrid w:val="0"/>
              <w:jc w:val="center"/>
              <w:rPr>
                <w:rFonts w:hint="eastAsia" w:ascii="宋体" w:hAnsi="宋体" w:cs="宋体"/>
                <w:color w:val="auto"/>
                <w:sz w:val="24"/>
                <w:highlight w:val="none"/>
              </w:rPr>
            </w:pPr>
          </w:p>
        </w:tc>
        <w:tc>
          <w:tcPr>
            <w:tcW w:w="2045" w:type="pct"/>
          </w:tcPr>
          <w:p w14:paraId="7F129CBF">
            <w:pPr>
              <w:pStyle w:val="10"/>
              <w:jc w:val="left"/>
              <w:rPr>
                <w:rFonts w:hint="eastAsia" w:hAnsi="宋体" w:cs="宋体"/>
                <w:color w:val="auto"/>
                <w:sz w:val="24"/>
                <w:szCs w:val="24"/>
                <w:highlight w:val="none"/>
              </w:rPr>
            </w:pPr>
            <w:r>
              <w:rPr>
                <w:rFonts w:hint="eastAsia" w:hAnsi="宋体" w:cs="宋体"/>
                <w:color w:val="auto"/>
                <w:sz w:val="24"/>
                <w:szCs w:val="24"/>
                <w:highlight w:val="none"/>
              </w:rPr>
              <w:t>拟派项目组人员配置是否充足，专业是否齐全，人员分工是否合理，以职称证书为准，人员配置合理、组织架构清晰、分工明确的得5分，人员配置较合理、组织架构及分工较清晰的得3.5分，人员配置基本合理、组织架构及分工基本可行的得2分，人员配置不足、组织架构、分工混乱的得1分；</w:t>
            </w:r>
          </w:p>
        </w:tc>
        <w:tc>
          <w:tcPr>
            <w:tcW w:w="494" w:type="pct"/>
            <w:shd w:val="clear" w:color="auto" w:fill="auto"/>
            <w:vAlign w:val="center"/>
          </w:tcPr>
          <w:p w14:paraId="081439E9">
            <w:pPr>
              <w:pStyle w:val="10"/>
              <w:jc w:val="center"/>
              <w:rPr>
                <w:rFonts w:hint="eastAsia" w:hAnsi="宋体" w:cs="宋体"/>
                <w:color w:val="auto"/>
                <w:sz w:val="24"/>
                <w:szCs w:val="24"/>
                <w:highlight w:val="none"/>
              </w:rPr>
            </w:pPr>
            <w:r>
              <w:rPr>
                <w:rFonts w:hint="eastAsia" w:hAnsi="宋体" w:cs="宋体"/>
                <w:color w:val="auto"/>
                <w:sz w:val="24"/>
                <w:szCs w:val="24"/>
                <w:highlight w:val="none"/>
              </w:rPr>
              <w:t>5</w:t>
            </w:r>
          </w:p>
        </w:tc>
        <w:tc>
          <w:tcPr>
            <w:tcW w:w="774" w:type="pct"/>
            <w:shd w:val="clear" w:color="auto" w:fill="auto"/>
            <w:vAlign w:val="center"/>
          </w:tcPr>
          <w:p w14:paraId="0AFE5020">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845" w:type="pct"/>
          </w:tcPr>
          <w:p w14:paraId="5954A31B">
            <w:pPr>
              <w:rPr>
                <w:rFonts w:hint="eastAsia" w:ascii="宋体" w:hAnsi="宋体" w:cs="宋体"/>
                <w:color w:val="auto"/>
                <w:sz w:val="24"/>
                <w:highlight w:val="none"/>
              </w:rPr>
            </w:pPr>
          </w:p>
        </w:tc>
      </w:tr>
      <w:tr w14:paraId="2ABD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49" w:type="pct"/>
            <w:vAlign w:val="center"/>
          </w:tcPr>
          <w:p w14:paraId="30B58B19">
            <w:pPr>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492" w:type="pct"/>
            <w:vAlign w:val="center"/>
          </w:tcPr>
          <w:p w14:paraId="3FA5FD3F">
            <w:pPr>
              <w:pStyle w:val="10"/>
              <w:jc w:val="center"/>
              <w:rPr>
                <w:rFonts w:hint="eastAsia" w:hAnsi="宋体" w:cs="宋体"/>
                <w:color w:val="auto"/>
                <w:sz w:val="24"/>
                <w:szCs w:val="24"/>
                <w:highlight w:val="none"/>
              </w:rPr>
            </w:pPr>
            <w:r>
              <w:rPr>
                <w:rFonts w:hint="eastAsia" w:hAnsi="宋体" w:cs="宋体"/>
                <w:color w:val="auto"/>
                <w:sz w:val="24"/>
                <w:szCs w:val="24"/>
                <w:highlight w:val="none"/>
              </w:rPr>
              <w:t>BIM实施框架及规则制定咨询服务技术方案</w:t>
            </w:r>
          </w:p>
        </w:tc>
        <w:tc>
          <w:tcPr>
            <w:tcW w:w="2045" w:type="pct"/>
          </w:tcPr>
          <w:p w14:paraId="5DF13872">
            <w:pPr>
              <w:snapToGrid w:val="0"/>
              <w:rPr>
                <w:rFonts w:hint="eastAsia" w:ascii="宋体" w:hAnsi="宋体" w:cs="宋体"/>
                <w:color w:val="auto"/>
                <w:sz w:val="24"/>
                <w:highlight w:val="none"/>
              </w:rPr>
            </w:pPr>
            <w:r>
              <w:rPr>
                <w:rFonts w:hint="eastAsia" w:ascii="宋体" w:hAnsi="宋体" w:cs="宋体"/>
                <w:color w:val="auto"/>
                <w:sz w:val="24"/>
                <w:highlight w:val="none"/>
              </w:rPr>
              <w:t>BIM整体实施规划目标明确，思路清晰。BIM实施框架（平台）兼容性强，可扩展性高，能有效整合各阶段BIM工作成果；组织方案合理、各方职责界定清晰、BIM应用标准完善。</w:t>
            </w:r>
          </w:p>
          <w:p w14:paraId="0A0F5019">
            <w:pPr>
              <w:snapToGrid w:val="0"/>
              <w:rPr>
                <w:rFonts w:hint="eastAsia" w:ascii="宋体" w:hAnsi="宋体" w:cs="宋体"/>
                <w:color w:val="auto"/>
                <w:sz w:val="24"/>
                <w:highlight w:val="none"/>
              </w:rPr>
            </w:pPr>
            <w:r>
              <w:rPr>
                <w:rFonts w:hint="eastAsia" w:ascii="宋体" w:hAnsi="宋体" w:cs="宋体"/>
                <w:color w:val="auto"/>
                <w:sz w:val="24"/>
                <w:highlight w:val="none"/>
              </w:rPr>
              <w:t>方案具体详细全面、可操作性强且符合本项目要求的得5分；</w:t>
            </w:r>
          </w:p>
          <w:p w14:paraId="08808B07">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方案可操作性好、可行性好，有针对性的得4分；</w:t>
            </w:r>
          </w:p>
          <w:p w14:paraId="46624B02">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方案可操作性较好、可行性较好，较有针对性的得3分；</w:t>
            </w:r>
          </w:p>
          <w:p w14:paraId="43E45FCC">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方案可操作性、可行性较普通，针对性欠佳得2分；</w:t>
            </w:r>
          </w:p>
          <w:p w14:paraId="2B3BE74F">
            <w:pPr>
              <w:snapToGrid w:val="0"/>
              <w:rPr>
                <w:rFonts w:hint="eastAsia" w:ascii="宋体" w:hAnsi="宋体" w:cs="宋体"/>
                <w:color w:val="auto"/>
                <w:sz w:val="24"/>
                <w:highlight w:val="none"/>
              </w:rPr>
            </w:pPr>
            <w:r>
              <w:rPr>
                <w:rFonts w:hint="eastAsia" w:ascii="宋体" w:hAnsi="宋体" w:cs="宋体"/>
                <w:color w:val="auto"/>
                <w:sz w:val="24"/>
                <w:highlight w:val="none"/>
              </w:rPr>
              <w:t>方案较差，并不明确、无针对性的得1分；</w:t>
            </w:r>
          </w:p>
          <w:p w14:paraId="34257F24">
            <w:pPr>
              <w:snapToGrid w:val="0"/>
              <w:rPr>
                <w:color w:val="auto"/>
                <w:sz w:val="24"/>
                <w:highlight w:val="none"/>
              </w:rPr>
            </w:pPr>
            <w:r>
              <w:rPr>
                <w:rFonts w:hint="eastAsia" w:ascii="宋体" w:hAnsi="宋体" w:cs="宋体"/>
                <w:color w:val="auto"/>
                <w:sz w:val="24"/>
                <w:highlight w:val="none"/>
                <w:lang w:val="zh-CN"/>
              </w:rPr>
              <w:t>不提供的</w:t>
            </w:r>
            <w:r>
              <w:rPr>
                <w:rFonts w:hint="eastAsia" w:ascii="宋体" w:hAnsi="宋体" w:cs="宋体"/>
                <w:color w:val="auto"/>
                <w:sz w:val="24"/>
                <w:highlight w:val="none"/>
              </w:rPr>
              <w:t>得0分。</w:t>
            </w:r>
          </w:p>
        </w:tc>
        <w:tc>
          <w:tcPr>
            <w:tcW w:w="494" w:type="pct"/>
            <w:vAlign w:val="center"/>
          </w:tcPr>
          <w:p w14:paraId="1D8B5FD2">
            <w:pPr>
              <w:pStyle w:val="10"/>
              <w:jc w:val="center"/>
              <w:rPr>
                <w:rFonts w:hint="eastAsia" w:hAnsi="宋体" w:cs="宋体"/>
                <w:color w:val="auto"/>
                <w:sz w:val="24"/>
                <w:szCs w:val="24"/>
                <w:highlight w:val="none"/>
              </w:rPr>
            </w:pPr>
            <w:r>
              <w:rPr>
                <w:rFonts w:hint="eastAsia" w:hAnsi="宋体" w:cs="宋体"/>
                <w:color w:val="auto"/>
                <w:sz w:val="24"/>
                <w:szCs w:val="24"/>
                <w:highlight w:val="none"/>
              </w:rPr>
              <w:t>5</w:t>
            </w:r>
          </w:p>
        </w:tc>
        <w:tc>
          <w:tcPr>
            <w:tcW w:w="774" w:type="pct"/>
            <w:vAlign w:val="center"/>
          </w:tcPr>
          <w:p w14:paraId="06E7C9AB">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845" w:type="pct"/>
          </w:tcPr>
          <w:p w14:paraId="05305873">
            <w:pPr>
              <w:rPr>
                <w:rFonts w:hint="eastAsia" w:ascii="宋体" w:hAnsi="宋体" w:cs="宋体"/>
                <w:color w:val="auto"/>
                <w:sz w:val="24"/>
                <w:highlight w:val="none"/>
              </w:rPr>
            </w:pPr>
          </w:p>
        </w:tc>
      </w:tr>
      <w:tr w14:paraId="0593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49" w:type="pct"/>
            <w:vAlign w:val="center"/>
          </w:tcPr>
          <w:p w14:paraId="54CD3E38">
            <w:pPr>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492" w:type="pct"/>
            <w:shd w:val="clear" w:color="auto" w:fill="auto"/>
            <w:vAlign w:val="center"/>
          </w:tcPr>
          <w:p w14:paraId="60D8DE2E">
            <w:pPr>
              <w:snapToGrid w:val="0"/>
              <w:jc w:val="center"/>
              <w:rPr>
                <w:rFonts w:hint="eastAsia" w:ascii="宋体" w:hAnsi="宋体" w:cs="宋体"/>
                <w:color w:val="auto"/>
                <w:sz w:val="24"/>
                <w:highlight w:val="none"/>
              </w:rPr>
            </w:pPr>
            <w:r>
              <w:rPr>
                <w:rFonts w:hint="eastAsia" w:ascii="宋体" w:hAnsi="宋体" w:cs="宋体"/>
                <w:color w:val="auto"/>
                <w:sz w:val="24"/>
                <w:highlight w:val="none"/>
              </w:rPr>
              <w:t>施工图设计阶段BIM咨询服务实施方案</w:t>
            </w:r>
          </w:p>
        </w:tc>
        <w:tc>
          <w:tcPr>
            <w:tcW w:w="2045" w:type="pct"/>
            <w:shd w:val="clear" w:color="auto" w:fill="auto"/>
            <w:vAlign w:val="center"/>
          </w:tcPr>
          <w:p w14:paraId="7AD083DE">
            <w:pPr>
              <w:snapToGrid w:val="0"/>
              <w:rPr>
                <w:rFonts w:hint="eastAsia" w:ascii="宋体" w:hAnsi="宋体" w:cs="宋体"/>
                <w:color w:val="auto"/>
                <w:sz w:val="24"/>
                <w:highlight w:val="none"/>
              </w:rPr>
            </w:pPr>
            <w:r>
              <w:rPr>
                <w:rFonts w:hint="eastAsia" w:ascii="宋体" w:hAnsi="宋体" w:cs="宋体"/>
                <w:color w:val="auto"/>
                <w:sz w:val="24"/>
                <w:highlight w:val="none"/>
              </w:rPr>
              <w:t>设计阶段BIM应用流程清晰、合理；各方职责划分合理、界定明确；BIM应用点全面且界定清晰；交付成果界定明确。</w:t>
            </w:r>
          </w:p>
          <w:p w14:paraId="2C5FD0D6">
            <w:pPr>
              <w:snapToGrid w:val="0"/>
              <w:rPr>
                <w:rFonts w:hint="eastAsia" w:ascii="宋体" w:hAnsi="宋体" w:cs="宋体"/>
                <w:color w:val="auto"/>
                <w:sz w:val="24"/>
                <w:highlight w:val="none"/>
              </w:rPr>
            </w:pPr>
            <w:r>
              <w:rPr>
                <w:rFonts w:hint="eastAsia" w:ascii="宋体" w:hAnsi="宋体" w:cs="宋体"/>
                <w:color w:val="auto"/>
                <w:sz w:val="24"/>
                <w:highlight w:val="none"/>
              </w:rPr>
              <w:t>方案具体详细全面、可操作性强且符合本项目要求的得5分；</w:t>
            </w:r>
          </w:p>
          <w:p w14:paraId="72DB7EE0">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方案可操作性好、可行性好，有针对性的得4分；</w:t>
            </w:r>
          </w:p>
          <w:p w14:paraId="699F4F1C">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方案可操作性较好、可行性较好，较有针对性的得3分；</w:t>
            </w:r>
          </w:p>
          <w:p w14:paraId="1FAAC934">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方案可操作性、可行性较普通，针对性欠佳得2分；</w:t>
            </w:r>
          </w:p>
          <w:p w14:paraId="75F5962C">
            <w:pPr>
              <w:snapToGrid w:val="0"/>
              <w:rPr>
                <w:rFonts w:hint="eastAsia" w:ascii="宋体" w:hAnsi="宋体" w:cs="宋体"/>
                <w:color w:val="auto"/>
                <w:sz w:val="24"/>
                <w:highlight w:val="none"/>
              </w:rPr>
            </w:pPr>
            <w:r>
              <w:rPr>
                <w:rFonts w:hint="eastAsia" w:ascii="宋体" w:hAnsi="宋体" w:cs="宋体"/>
                <w:color w:val="auto"/>
                <w:sz w:val="24"/>
                <w:highlight w:val="none"/>
              </w:rPr>
              <w:t>方案较差，并不明确、无针对性的得1分；</w:t>
            </w:r>
          </w:p>
          <w:p w14:paraId="698EFE5B">
            <w:pPr>
              <w:pStyle w:val="6"/>
              <w:spacing w:line="240" w:lineRule="auto"/>
              <w:ind w:firstLine="0"/>
              <w:rPr>
                <w:color w:val="auto"/>
                <w:sz w:val="24"/>
                <w:szCs w:val="24"/>
                <w:highlight w:val="none"/>
              </w:rPr>
            </w:pPr>
            <w:r>
              <w:rPr>
                <w:rFonts w:hint="eastAsia" w:hAnsi="宋体" w:cs="宋体"/>
                <w:color w:val="auto"/>
                <w:sz w:val="24"/>
                <w:szCs w:val="24"/>
                <w:highlight w:val="none"/>
                <w:lang w:val="zh-CN"/>
              </w:rPr>
              <w:t>不提供的</w:t>
            </w:r>
            <w:r>
              <w:rPr>
                <w:rFonts w:hint="eastAsia" w:hAnsi="宋体" w:cs="宋体"/>
                <w:color w:val="auto"/>
                <w:sz w:val="24"/>
                <w:szCs w:val="24"/>
                <w:highlight w:val="none"/>
              </w:rPr>
              <w:t>得0分。</w:t>
            </w:r>
          </w:p>
        </w:tc>
        <w:tc>
          <w:tcPr>
            <w:tcW w:w="494" w:type="pct"/>
            <w:shd w:val="clear" w:color="auto" w:fill="auto"/>
            <w:vAlign w:val="center"/>
          </w:tcPr>
          <w:p w14:paraId="2DC0EA50">
            <w:pPr>
              <w:pStyle w:val="10"/>
              <w:jc w:val="center"/>
              <w:rPr>
                <w:rFonts w:hint="eastAsia" w:hAnsi="宋体" w:cs="宋体"/>
                <w:color w:val="auto"/>
                <w:sz w:val="24"/>
                <w:szCs w:val="24"/>
                <w:highlight w:val="none"/>
              </w:rPr>
            </w:pPr>
            <w:r>
              <w:rPr>
                <w:rFonts w:hint="eastAsia" w:hAnsi="宋体" w:cs="宋体"/>
                <w:color w:val="auto"/>
                <w:sz w:val="24"/>
                <w:szCs w:val="24"/>
                <w:highlight w:val="none"/>
              </w:rPr>
              <w:t>5</w:t>
            </w:r>
          </w:p>
        </w:tc>
        <w:tc>
          <w:tcPr>
            <w:tcW w:w="774" w:type="pct"/>
            <w:vAlign w:val="center"/>
          </w:tcPr>
          <w:p w14:paraId="5CE9BF33">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845" w:type="pct"/>
          </w:tcPr>
          <w:p w14:paraId="0E58F3F4">
            <w:pPr>
              <w:rPr>
                <w:rFonts w:hint="eastAsia" w:ascii="宋体" w:hAnsi="宋体" w:cs="宋体"/>
                <w:color w:val="auto"/>
                <w:sz w:val="24"/>
                <w:highlight w:val="none"/>
              </w:rPr>
            </w:pPr>
          </w:p>
        </w:tc>
      </w:tr>
      <w:tr w14:paraId="03EA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49" w:type="pct"/>
            <w:vAlign w:val="center"/>
          </w:tcPr>
          <w:p w14:paraId="07587A91">
            <w:pPr>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492" w:type="pct"/>
            <w:vAlign w:val="center"/>
          </w:tcPr>
          <w:p w14:paraId="6862C4B8">
            <w:pPr>
              <w:snapToGrid w:val="0"/>
              <w:jc w:val="center"/>
              <w:rPr>
                <w:rFonts w:hint="eastAsia" w:ascii="宋体" w:hAnsi="宋体" w:cs="宋体"/>
                <w:color w:val="auto"/>
                <w:sz w:val="24"/>
                <w:highlight w:val="none"/>
              </w:rPr>
            </w:pPr>
            <w:r>
              <w:rPr>
                <w:rFonts w:hint="eastAsia" w:ascii="宋体" w:hAnsi="宋体" w:cs="宋体"/>
                <w:color w:val="auto"/>
                <w:sz w:val="24"/>
                <w:highlight w:val="none"/>
              </w:rPr>
              <w:t>施工准备阶段BIM咨询服务实施方案</w:t>
            </w:r>
          </w:p>
        </w:tc>
        <w:tc>
          <w:tcPr>
            <w:tcW w:w="2045" w:type="pct"/>
            <w:vAlign w:val="center"/>
          </w:tcPr>
          <w:p w14:paraId="3021C1F4">
            <w:pPr>
              <w:snapToGrid w:val="0"/>
              <w:rPr>
                <w:rFonts w:hint="eastAsia" w:ascii="宋体" w:hAnsi="宋体" w:cs="宋体"/>
                <w:color w:val="auto"/>
                <w:sz w:val="24"/>
                <w:highlight w:val="none"/>
              </w:rPr>
            </w:pPr>
            <w:r>
              <w:rPr>
                <w:rFonts w:hint="eastAsia" w:ascii="宋体" w:hAnsi="宋体" w:cs="宋体"/>
                <w:color w:val="auto"/>
                <w:sz w:val="24"/>
                <w:highlight w:val="none"/>
              </w:rPr>
              <w:t>施工准备阶段BIM应用流程清晰、合理；各方职责划分合理、界定明确；BIM应用点全面且界定清晰；交付成果界定明确。</w:t>
            </w:r>
          </w:p>
          <w:p w14:paraId="1A1A71D4">
            <w:pPr>
              <w:snapToGrid w:val="0"/>
              <w:rPr>
                <w:rFonts w:hint="eastAsia" w:ascii="宋体" w:hAnsi="宋体" w:cs="宋体"/>
                <w:color w:val="auto"/>
                <w:sz w:val="24"/>
                <w:highlight w:val="none"/>
              </w:rPr>
            </w:pPr>
            <w:r>
              <w:rPr>
                <w:rFonts w:hint="eastAsia" w:ascii="宋体" w:hAnsi="宋体" w:cs="宋体"/>
                <w:color w:val="auto"/>
                <w:sz w:val="24"/>
                <w:highlight w:val="none"/>
              </w:rPr>
              <w:t>方案具体详细全面、可操作性强且符合本项目要求的得5分；</w:t>
            </w:r>
          </w:p>
          <w:p w14:paraId="038D90BC">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方案可操作性好、可行性好，有针对性的得4分；</w:t>
            </w:r>
          </w:p>
          <w:p w14:paraId="68F6310B">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方案可操作性较好、可行性较好，较有针对性的得3分；</w:t>
            </w:r>
          </w:p>
          <w:p w14:paraId="47C46E67">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方案可操作性、可行性较普通，针对性欠佳得2分；</w:t>
            </w:r>
          </w:p>
          <w:p w14:paraId="55CC457A">
            <w:pPr>
              <w:snapToGrid w:val="0"/>
              <w:rPr>
                <w:rFonts w:hint="eastAsia" w:ascii="宋体" w:hAnsi="宋体" w:cs="宋体"/>
                <w:color w:val="auto"/>
                <w:sz w:val="24"/>
                <w:highlight w:val="none"/>
              </w:rPr>
            </w:pPr>
            <w:r>
              <w:rPr>
                <w:rFonts w:hint="eastAsia" w:ascii="宋体" w:hAnsi="宋体" w:cs="宋体"/>
                <w:color w:val="auto"/>
                <w:sz w:val="24"/>
                <w:highlight w:val="none"/>
              </w:rPr>
              <w:t>方案较差，并不明确、无针对性的得1分；</w:t>
            </w:r>
          </w:p>
          <w:p w14:paraId="18922DEB">
            <w:pPr>
              <w:pStyle w:val="6"/>
              <w:spacing w:line="240" w:lineRule="auto"/>
              <w:ind w:firstLine="0"/>
              <w:rPr>
                <w:color w:val="auto"/>
                <w:sz w:val="24"/>
                <w:szCs w:val="24"/>
                <w:highlight w:val="none"/>
              </w:rPr>
            </w:pPr>
            <w:r>
              <w:rPr>
                <w:rFonts w:hint="eastAsia" w:hAnsi="宋体" w:cs="宋体"/>
                <w:color w:val="auto"/>
                <w:sz w:val="24"/>
                <w:szCs w:val="24"/>
                <w:highlight w:val="none"/>
                <w:lang w:val="zh-CN"/>
              </w:rPr>
              <w:t>不提供的</w:t>
            </w:r>
            <w:r>
              <w:rPr>
                <w:rFonts w:hint="eastAsia" w:hAnsi="宋体" w:cs="宋体"/>
                <w:color w:val="auto"/>
                <w:sz w:val="24"/>
                <w:szCs w:val="24"/>
                <w:highlight w:val="none"/>
              </w:rPr>
              <w:t>得0分。</w:t>
            </w:r>
          </w:p>
        </w:tc>
        <w:tc>
          <w:tcPr>
            <w:tcW w:w="494" w:type="pct"/>
            <w:vAlign w:val="center"/>
          </w:tcPr>
          <w:p w14:paraId="3AF8469F">
            <w:pPr>
              <w:pStyle w:val="10"/>
              <w:jc w:val="center"/>
              <w:rPr>
                <w:rFonts w:hint="eastAsia" w:hAnsi="宋体" w:cs="宋体"/>
                <w:color w:val="auto"/>
                <w:sz w:val="24"/>
                <w:szCs w:val="24"/>
                <w:highlight w:val="none"/>
              </w:rPr>
            </w:pPr>
            <w:r>
              <w:rPr>
                <w:rFonts w:hint="eastAsia" w:hAnsi="宋体" w:cs="宋体"/>
                <w:color w:val="auto"/>
                <w:sz w:val="24"/>
                <w:szCs w:val="24"/>
                <w:highlight w:val="none"/>
              </w:rPr>
              <w:t>5</w:t>
            </w:r>
          </w:p>
        </w:tc>
        <w:tc>
          <w:tcPr>
            <w:tcW w:w="774" w:type="pct"/>
            <w:vAlign w:val="center"/>
          </w:tcPr>
          <w:p w14:paraId="61BA08B8">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845" w:type="pct"/>
          </w:tcPr>
          <w:p w14:paraId="38ED5535">
            <w:pPr>
              <w:rPr>
                <w:rFonts w:hint="eastAsia" w:ascii="宋体" w:hAnsi="宋体" w:cs="宋体"/>
                <w:color w:val="auto"/>
                <w:sz w:val="24"/>
                <w:highlight w:val="none"/>
              </w:rPr>
            </w:pPr>
          </w:p>
        </w:tc>
      </w:tr>
      <w:tr w14:paraId="2E01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49" w:type="pct"/>
            <w:vAlign w:val="center"/>
          </w:tcPr>
          <w:p w14:paraId="5D2F2282">
            <w:pPr>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492" w:type="pct"/>
            <w:vAlign w:val="center"/>
          </w:tcPr>
          <w:p w14:paraId="744BCC6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施工阶段BIM咨询服务实施方案</w:t>
            </w:r>
          </w:p>
        </w:tc>
        <w:tc>
          <w:tcPr>
            <w:tcW w:w="2045" w:type="pct"/>
            <w:vAlign w:val="center"/>
          </w:tcPr>
          <w:p w14:paraId="1AEEBE28">
            <w:pPr>
              <w:snapToGrid w:val="0"/>
              <w:rPr>
                <w:rFonts w:hint="eastAsia" w:ascii="宋体" w:hAnsi="宋体" w:cs="宋体"/>
                <w:color w:val="auto"/>
                <w:sz w:val="24"/>
                <w:highlight w:val="none"/>
              </w:rPr>
            </w:pPr>
            <w:r>
              <w:rPr>
                <w:rFonts w:hint="eastAsia" w:ascii="宋体" w:hAnsi="宋体" w:cs="宋体"/>
                <w:color w:val="auto"/>
                <w:sz w:val="24"/>
                <w:highlight w:val="none"/>
              </w:rPr>
              <w:t>施工阶段BIM应用流程清晰、合理；各方职责划分合理、界定明确；BIM应用点全面且界定清晰；交付成果界定明确。</w:t>
            </w:r>
          </w:p>
          <w:p w14:paraId="5401B383">
            <w:pPr>
              <w:snapToGrid w:val="0"/>
              <w:rPr>
                <w:rFonts w:hint="eastAsia" w:ascii="宋体" w:hAnsi="宋体" w:cs="宋体"/>
                <w:color w:val="auto"/>
                <w:sz w:val="24"/>
                <w:highlight w:val="none"/>
              </w:rPr>
            </w:pPr>
            <w:r>
              <w:rPr>
                <w:rFonts w:hint="eastAsia" w:ascii="宋体" w:hAnsi="宋体" w:cs="宋体"/>
                <w:color w:val="auto"/>
                <w:sz w:val="24"/>
                <w:highlight w:val="none"/>
              </w:rPr>
              <w:t>方案具体详细全面、可操作性强且符合本项目要求的得5分；</w:t>
            </w:r>
          </w:p>
          <w:p w14:paraId="60507E28">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方案可操作性好、可行性好，有针对性的得4分；</w:t>
            </w:r>
          </w:p>
          <w:p w14:paraId="0B04AF02">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方案可操作性较好、可行性较好，较有针对性的得3分；</w:t>
            </w:r>
          </w:p>
          <w:p w14:paraId="4DBA9779">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方案可操作性、可行性较普通，针对性欠佳得2分；</w:t>
            </w:r>
          </w:p>
          <w:p w14:paraId="0A51DC32">
            <w:pPr>
              <w:snapToGrid w:val="0"/>
              <w:rPr>
                <w:rFonts w:hint="eastAsia" w:ascii="宋体" w:hAnsi="宋体" w:cs="宋体"/>
                <w:color w:val="auto"/>
                <w:sz w:val="24"/>
                <w:highlight w:val="none"/>
              </w:rPr>
            </w:pPr>
            <w:r>
              <w:rPr>
                <w:rFonts w:hint="eastAsia" w:ascii="宋体" w:hAnsi="宋体" w:cs="宋体"/>
                <w:color w:val="auto"/>
                <w:sz w:val="24"/>
                <w:highlight w:val="none"/>
              </w:rPr>
              <w:t>方案较差，并不明确、无针对性的得1分；</w:t>
            </w:r>
          </w:p>
          <w:p w14:paraId="01791879">
            <w:pPr>
              <w:pStyle w:val="6"/>
              <w:spacing w:line="240" w:lineRule="auto"/>
              <w:ind w:firstLine="0"/>
              <w:rPr>
                <w:color w:val="auto"/>
                <w:sz w:val="24"/>
                <w:szCs w:val="24"/>
                <w:highlight w:val="none"/>
              </w:rPr>
            </w:pPr>
            <w:r>
              <w:rPr>
                <w:rFonts w:hint="eastAsia" w:hAnsi="宋体" w:cs="宋体"/>
                <w:color w:val="auto"/>
                <w:sz w:val="24"/>
                <w:szCs w:val="24"/>
                <w:highlight w:val="none"/>
                <w:lang w:val="zh-CN"/>
              </w:rPr>
              <w:t>不提供的</w:t>
            </w:r>
            <w:r>
              <w:rPr>
                <w:rFonts w:hint="eastAsia" w:hAnsi="宋体" w:cs="宋体"/>
                <w:color w:val="auto"/>
                <w:sz w:val="24"/>
                <w:szCs w:val="24"/>
                <w:highlight w:val="none"/>
              </w:rPr>
              <w:t>得0分。</w:t>
            </w:r>
          </w:p>
        </w:tc>
        <w:tc>
          <w:tcPr>
            <w:tcW w:w="494" w:type="pct"/>
            <w:vAlign w:val="center"/>
          </w:tcPr>
          <w:p w14:paraId="1DAC972D">
            <w:pPr>
              <w:pStyle w:val="10"/>
              <w:jc w:val="center"/>
              <w:rPr>
                <w:rFonts w:hint="eastAsia" w:hAnsi="宋体" w:cs="宋体"/>
                <w:color w:val="auto"/>
                <w:sz w:val="24"/>
                <w:szCs w:val="24"/>
                <w:highlight w:val="none"/>
              </w:rPr>
            </w:pPr>
            <w:r>
              <w:rPr>
                <w:rFonts w:hint="eastAsia" w:hAnsi="宋体" w:cs="宋体"/>
                <w:color w:val="auto"/>
                <w:sz w:val="24"/>
                <w:szCs w:val="24"/>
                <w:highlight w:val="none"/>
              </w:rPr>
              <w:t>5</w:t>
            </w:r>
          </w:p>
        </w:tc>
        <w:tc>
          <w:tcPr>
            <w:tcW w:w="774" w:type="pct"/>
            <w:vAlign w:val="center"/>
          </w:tcPr>
          <w:p w14:paraId="01305C30">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845" w:type="pct"/>
          </w:tcPr>
          <w:p w14:paraId="374D5D51">
            <w:pPr>
              <w:rPr>
                <w:rFonts w:hint="eastAsia" w:ascii="宋体" w:hAnsi="宋体" w:cs="宋体"/>
                <w:color w:val="auto"/>
                <w:sz w:val="24"/>
                <w:highlight w:val="none"/>
              </w:rPr>
            </w:pPr>
          </w:p>
        </w:tc>
      </w:tr>
      <w:tr w14:paraId="6B01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49" w:type="pct"/>
            <w:vAlign w:val="center"/>
          </w:tcPr>
          <w:p w14:paraId="11615703">
            <w:pPr>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492" w:type="pct"/>
            <w:vAlign w:val="center"/>
          </w:tcPr>
          <w:p w14:paraId="5E53B5E0">
            <w:pPr>
              <w:snapToGrid w:val="0"/>
              <w:jc w:val="center"/>
              <w:rPr>
                <w:rFonts w:hint="eastAsia" w:ascii="宋体" w:hAnsi="宋体" w:cs="宋体"/>
                <w:color w:val="auto"/>
                <w:sz w:val="24"/>
                <w:highlight w:val="none"/>
              </w:rPr>
            </w:pPr>
            <w:r>
              <w:rPr>
                <w:rFonts w:hint="eastAsia" w:ascii="宋体" w:hAnsi="宋体" w:cs="宋体"/>
                <w:color w:val="auto"/>
                <w:sz w:val="24"/>
                <w:highlight w:val="none"/>
              </w:rPr>
              <w:t>竣工阶段BIM咨询服务实施方案</w:t>
            </w:r>
          </w:p>
        </w:tc>
        <w:tc>
          <w:tcPr>
            <w:tcW w:w="2045" w:type="pct"/>
            <w:vAlign w:val="center"/>
          </w:tcPr>
          <w:p w14:paraId="4C753D86">
            <w:pPr>
              <w:snapToGrid w:val="0"/>
              <w:rPr>
                <w:rFonts w:hint="eastAsia" w:ascii="宋体" w:hAnsi="宋体" w:cs="宋体"/>
                <w:color w:val="auto"/>
                <w:sz w:val="24"/>
                <w:highlight w:val="none"/>
              </w:rPr>
            </w:pPr>
            <w:r>
              <w:rPr>
                <w:rFonts w:hint="eastAsia" w:ascii="宋体" w:hAnsi="宋体" w:cs="宋体"/>
                <w:color w:val="auto"/>
                <w:sz w:val="24"/>
                <w:highlight w:val="none"/>
              </w:rPr>
              <w:t>竣工阶段BIM应用流程清晰、合理；各方职责划分合理、界定明确；BIM应用点全面且界定清晰；交付成果界定明确。</w:t>
            </w:r>
          </w:p>
          <w:p w14:paraId="48C60DC7">
            <w:pPr>
              <w:snapToGrid w:val="0"/>
              <w:rPr>
                <w:rFonts w:hint="eastAsia" w:ascii="宋体" w:hAnsi="宋体" w:cs="宋体"/>
                <w:color w:val="auto"/>
                <w:sz w:val="24"/>
                <w:highlight w:val="none"/>
              </w:rPr>
            </w:pPr>
            <w:r>
              <w:rPr>
                <w:rFonts w:hint="eastAsia" w:ascii="宋体" w:hAnsi="宋体" w:cs="宋体"/>
                <w:color w:val="auto"/>
                <w:sz w:val="24"/>
                <w:highlight w:val="none"/>
              </w:rPr>
              <w:t>方案具体详细全面、可操作性强且符合本项目要求的得5分；</w:t>
            </w:r>
          </w:p>
          <w:p w14:paraId="710B6BCC">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方案可操作性好、可行性好，有针对性的得4分；</w:t>
            </w:r>
          </w:p>
          <w:p w14:paraId="5E336F83">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方案可操作性较好、可行性较好，较有针对性的得3分；</w:t>
            </w:r>
          </w:p>
          <w:p w14:paraId="7649DEE9">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方案可操作性、可行性较普通，针对性欠佳得2分；</w:t>
            </w:r>
          </w:p>
          <w:p w14:paraId="0AF9872F">
            <w:pPr>
              <w:snapToGrid w:val="0"/>
              <w:rPr>
                <w:rFonts w:hint="eastAsia" w:ascii="宋体" w:hAnsi="宋体" w:cs="宋体"/>
                <w:color w:val="auto"/>
                <w:sz w:val="24"/>
                <w:highlight w:val="none"/>
              </w:rPr>
            </w:pPr>
            <w:r>
              <w:rPr>
                <w:rFonts w:hint="eastAsia" w:ascii="宋体" w:hAnsi="宋体" w:cs="宋体"/>
                <w:color w:val="auto"/>
                <w:sz w:val="24"/>
                <w:highlight w:val="none"/>
              </w:rPr>
              <w:t>方案较差，并不明确、无针对性的得1分；</w:t>
            </w:r>
          </w:p>
          <w:p w14:paraId="21C3D757">
            <w:pPr>
              <w:pStyle w:val="6"/>
              <w:spacing w:line="240" w:lineRule="auto"/>
              <w:ind w:firstLine="0"/>
              <w:rPr>
                <w:color w:val="auto"/>
                <w:sz w:val="24"/>
                <w:szCs w:val="24"/>
                <w:highlight w:val="none"/>
              </w:rPr>
            </w:pPr>
            <w:r>
              <w:rPr>
                <w:rFonts w:hint="eastAsia" w:hAnsi="宋体" w:cs="宋体"/>
                <w:color w:val="auto"/>
                <w:sz w:val="24"/>
                <w:szCs w:val="24"/>
                <w:highlight w:val="none"/>
                <w:lang w:val="zh-CN"/>
              </w:rPr>
              <w:t>不提供的</w:t>
            </w:r>
            <w:r>
              <w:rPr>
                <w:rFonts w:hint="eastAsia" w:hAnsi="宋体" w:cs="宋体"/>
                <w:color w:val="auto"/>
                <w:sz w:val="24"/>
                <w:szCs w:val="24"/>
                <w:highlight w:val="none"/>
              </w:rPr>
              <w:t>得0分。</w:t>
            </w:r>
          </w:p>
        </w:tc>
        <w:tc>
          <w:tcPr>
            <w:tcW w:w="494" w:type="pct"/>
            <w:vAlign w:val="center"/>
          </w:tcPr>
          <w:p w14:paraId="7128E019">
            <w:pPr>
              <w:pStyle w:val="10"/>
              <w:jc w:val="center"/>
              <w:rPr>
                <w:rFonts w:hint="eastAsia" w:hAnsi="宋体" w:cs="宋体"/>
                <w:color w:val="auto"/>
                <w:sz w:val="24"/>
                <w:szCs w:val="24"/>
                <w:highlight w:val="none"/>
              </w:rPr>
            </w:pPr>
            <w:r>
              <w:rPr>
                <w:rFonts w:hint="eastAsia" w:hAnsi="宋体" w:cs="宋体"/>
                <w:color w:val="auto"/>
                <w:sz w:val="24"/>
                <w:szCs w:val="24"/>
                <w:highlight w:val="none"/>
              </w:rPr>
              <w:t>5</w:t>
            </w:r>
          </w:p>
        </w:tc>
        <w:tc>
          <w:tcPr>
            <w:tcW w:w="774" w:type="pct"/>
            <w:vAlign w:val="center"/>
          </w:tcPr>
          <w:p w14:paraId="482A0176">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845" w:type="pct"/>
          </w:tcPr>
          <w:p w14:paraId="0E86F8BE">
            <w:pPr>
              <w:rPr>
                <w:rFonts w:hint="eastAsia" w:ascii="宋体" w:hAnsi="宋体" w:cs="宋体"/>
                <w:color w:val="auto"/>
                <w:sz w:val="24"/>
                <w:highlight w:val="none"/>
              </w:rPr>
            </w:pPr>
          </w:p>
        </w:tc>
      </w:tr>
      <w:tr w14:paraId="3675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49" w:type="pct"/>
            <w:vAlign w:val="center"/>
          </w:tcPr>
          <w:p w14:paraId="2A3D9938">
            <w:pPr>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492" w:type="pct"/>
            <w:vAlign w:val="center"/>
          </w:tcPr>
          <w:p w14:paraId="182BB3B7">
            <w:pPr>
              <w:pStyle w:val="10"/>
              <w:jc w:val="center"/>
              <w:rPr>
                <w:rFonts w:hint="eastAsia" w:hAnsi="宋体" w:cs="宋体"/>
                <w:color w:val="auto"/>
                <w:sz w:val="24"/>
                <w:szCs w:val="24"/>
                <w:highlight w:val="none"/>
              </w:rPr>
            </w:pPr>
            <w:r>
              <w:rPr>
                <w:rFonts w:hint="eastAsia" w:hAnsi="宋体" w:cs="宋体"/>
                <w:color w:val="auto"/>
                <w:sz w:val="24"/>
                <w:szCs w:val="24"/>
                <w:highlight w:val="none"/>
              </w:rPr>
              <w:t>质量保障措施及方案</w:t>
            </w:r>
          </w:p>
        </w:tc>
        <w:tc>
          <w:tcPr>
            <w:tcW w:w="2045" w:type="pct"/>
            <w:vAlign w:val="center"/>
          </w:tcPr>
          <w:p w14:paraId="5F9A3A10">
            <w:pPr>
              <w:pStyle w:val="10"/>
              <w:jc w:val="left"/>
              <w:rPr>
                <w:rFonts w:hint="eastAsia" w:hAnsi="宋体" w:cs="宋体"/>
                <w:color w:val="auto"/>
                <w:sz w:val="24"/>
                <w:szCs w:val="24"/>
                <w:highlight w:val="none"/>
              </w:rPr>
            </w:pPr>
            <w:r>
              <w:rPr>
                <w:rFonts w:hint="eastAsia" w:hAnsi="宋体" w:cs="宋体"/>
                <w:color w:val="auto"/>
                <w:sz w:val="24"/>
                <w:szCs w:val="24"/>
                <w:highlight w:val="none"/>
              </w:rPr>
              <w:t>质量保障措施基本具备，有风险管理措施；有内部审核机制；能基于项目提供二次开发等信息化技术支持；提供完善的BIM会议支持，BIM培训等服务。</w:t>
            </w:r>
          </w:p>
          <w:p w14:paraId="3AB255B3">
            <w:pPr>
              <w:snapToGrid w:val="0"/>
              <w:rPr>
                <w:rFonts w:hint="eastAsia" w:ascii="宋体" w:hAnsi="宋体" w:cs="宋体"/>
                <w:color w:val="auto"/>
                <w:sz w:val="24"/>
                <w:highlight w:val="none"/>
              </w:rPr>
            </w:pPr>
            <w:r>
              <w:rPr>
                <w:rFonts w:hint="eastAsia" w:ascii="宋体" w:hAnsi="宋体" w:cs="宋体"/>
                <w:color w:val="auto"/>
                <w:sz w:val="24"/>
                <w:highlight w:val="none"/>
              </w:rPr>
              <w:t>方案具体详细全面、可操作性强且符合本项目要求的得5分；</w:t>
            </w:r>
          </w:p>
          <w:p w14:paraId="668E7E5B">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方案可操作性好、可行性好，有针对性的得4分；</w:t>
            </w:r>
          </w:p>
          <w:p w14:paraId="03924A18">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方案可操作性较好、可行性较好，较有针对性的得3分；</w:t>
            </w:r>
          </w:p>
          <w:p w14:paraId="1E3136D0">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方案可操作性、可行性较普通，针对性欠佳得2分；</w:t>
            </w:r>
          </w:p>
          <w:p w14:paraId="611096F6">
            <w:pPr>
              <w:snapToGrid w:val="0"/>
              <w:rPr>
                <w:rFonts w:hint="eastAsia" w:ascii="宋体" w:hAnsi="宋体" w:cs="宋体"/>
                <w:color w:val="auto"/>
                <w:sz w:val="24"/>
                <w:highlight w:val="none"/>
              </w:rPr>
            </w:pPr>
            <w:r>
              <w:rPr>
                <w:rFonts w:hint="eastAsia" w:ascii="宋体" w:hAnsi="宋体" w:cs="宋体"/>
                <w:color w:val="auto"/>
                <w:sz w:val="24"/>
                <w:highlight w:val="none"/>
              </w:rPr>
              <w:t>方案较差，并不明确、无针对性的得1分；</w:t>
            </w:r>
          </w:p>
          <w:p w14:paraId="547C4D8F">
            <w:pPr>
              <w:pStyle w:val="10"/>
              <w:jc w:val="left"/>
              <w:rPr>
                <w:rFonts w:hint="eastAsia" w:hAnsi="宋体" w:cs="宋体"/>
                <w:color w:val="auto"/>
                <w:sz w:val="24"/>
                <w:szCs w:val="24"/>
                <w:highlight w:val="none"/>
              </w:rPr>
            </w:pPr>
            <w:r>
              <w:rPr>
                <w:rFonts w:hint="eastAsia" w:hAnsi="宋体" w:cs="宋体"/>
                <w:color w:val="auto"/>
                <w:sz w:val="24"/>
                <w:szCs w:val="24"/>
                <w:highlight w:val="none"/>
                <w:lang w:val="zh-CN"/>
              </w:rPr>
              <w:t>不提供的</w:t>
            </w:r>
            <w:r>
              <w:rPr>
                <w:rFonts w:hint="eastAsia" w:hAnsi="宋体" w:cs="宋体"/>
                <w:color w:val="auto"/>
                <w:sz w:val="24"/>
                <w:szCs w:val="24"/>
                <w:highlight w:val="none"/>
              </w:rPr>
              <w:t>得0分。</w:t>
            </w:r>
          </w:p>
        </w:tc>
        <w:tc>
          <w:tcPr>
            <w:tcW w:w="494" w:type="pct"/>
            <w:vAlign w:val="center"/>
          </w:tcPr>
          <w:p w14:paraId="3FB839E5">
            <w:pPr>
              <w:pStyle w:val="10"/>
              <w:jc w:val="center"/>
              <w:rPr>
                <w:rFonts w:hint="eastAsia" w:hAnsi="宋体" w:cs="宋体"/>
                <w:color w:val="auto"/>
                <w:sz w:val="24"/>
                <w:szCs w:val="24"/>
                <w:highlight w:val="none"/>
              </w:rPr>
            </w:pPr>
            <w:r>
              <w:rPr>
                <w:rFonts w:hint="eastAsia" w:hAnsi="宋体" w:cs="宋体"/>
                <w:color w:val="auto"/>
                <w:sz w:val="24"/>
                <w:szCs w:val="24"/>
                <w:highlight w:val="none"/>
              </w:rPr>
              <w:t>5</w:t>
            </w:r>
          </w:p>
        </w:tc>
        <w:tc>
          <w:tcPr>
            <w:tcW w:w="774" w:type="pct"/>
            <w:vAlign w:val="center"/>
          </w:tcPr>
          <w:p w14:paraId="1991E2F5">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845" w:type="pct"/>
          </w:tcPr>
          <w:p w14:paraId="0CBC7F8A">
            <w:pPr>
              <w:rPr>
                <w:rFonts w:hint="eastAsia" w:ascii="宋体" w:hAnsi="宋体" w:cs="宋体"/>
                <w:color w:val="auto"/>
                <w:sz w:val="24"/>
                <w:highlight w:val="none"/>
              </w:rPr>
            </w:pPr>
          </w:p>
        </w:tc>
      </w:tr>
      <w:tr w14:paraId="6B7E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49" w:type="pct"/>
            <w:vAlign w:val="center"/>
          </w:tcPr>
          <w:p w14:paraId="544513AA">
            <w:pPr>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492" w:type="pct"/>
            <w:vAlign w:val="center"/>
          </w:tcPr>
          <w:p w14:paraId="79103C9E">
            <w:pPr>
              <w:pStyle w:val="10"/>
              <w:jc w:val="center"/>
              <w:rPr>
                <w:rFonts w:hint="eastAsia" w:hAnsi="宋体" w:cs="宋体"/>
                <w:color w:val="auto"/>
                <w:sz w:val="24"/>
                <w:szCs w:val="24"/>
                <w:highlight w:val="none"/>
              </w:rPr>
            </w:pPr>
            <w:r>
              <w:rPr>
                <w:rFonts w:hint="eastAsia" w:hAnsi="宋体" w:cs="宋体"/>
                <w:color w:val="auto"/>
                <w:sz w:val="24"/>
                <w:szCs w:val="24"/>
                <w:highlight w:val="none"/>
              </w:rPr>
              <w:t>进度保障措施及方案</w:t>
            </w:r>
          </w:p>
        </w:tc>
        <w:tc>
          <w:tcPr>
            <w:tcW w:w="2045" w:type="pct"/>
            <w:vAlign w:val="center"/>
          </w:tcPr>
          <w:p w14:paraId="7EF26DC2">
            <w:pPr>
              <w:rPr>
                <w:rFonts w:hint="eastAsia" w:ascii="宋体" w:hAnsi="宋体" w:cs="宋体"/>
                <w:color w:val="auto"/>
                <w:sz w:val="24"/>
                <w:highlight w:val="none"/>
              </w:rPr>
            </w:pPr>
            <w:r>
              <w:rPr>
                <w:rFonts w:hint="eastAsia" w:ascii="宋体" w:hAnsi="宋体" w:cs="宋体"/>
                <w:color w:val="auto"/>
                <w:sz w:val="24"/>
                <w:highlight w:val="none"/>
              </w:rPr>
              <w:t>工期目标描述是否正确，BIM实施进度计划是否详尽、合理、可靠。</w:t>
            </w:r>
          </w:p>
          <w:p w14:paraId="3569AF20">
            <w:pPr>
              <w:snapToGrid w:val="0"/>
              <w:rPr>
                <w:rFonts w:hint="eastAsia" w:ascii="宋体" w:hAnsi="宋体" w:cs="宋体"/>
                <w:color w:val="auto"/>
                <w:sz w:val="24"/>
                <w:highlight w:val="none"/>
              </w:rPr>
            </w:pPr>
            <w:r>
              <w:rPr>
                <w:rFonts w:hint="eastAsia" w:ascii="宋体" w:hAnsi="宋体" w:cs="宋体"/>
                <w:color w:val="auto"/>
                <w:sz w:val="24"/>
                <w:highlight w:val="none"/>
              </w:rPr>
              <w:t>方案具体详细全面、可操作性强且符合本项目要求的得5分；</w:t>
            </w:r>
          </w:p>
          <w:p w14:paraId="32703E03">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方案可操作性好、可行性好，有针对性的得4分；</w:t>
            </w:r>
          </w:p>
          <w:p w14:paraId="1707B556">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方案可操作性较好、可行性较好，较有针对性的得3分；</w:t>
            </w:r>
          </w:p>
          <w:p w14:paraId="1DC45938">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方案可操作性、可行性较普通，针对性欠佳得2分；</w:t>
            </w:r>
          </w:p>
          <w:p w14:paraId="109F7CEF">
            <w:pPr>
              <w:snapToGrid w:val="0"/>
              <w:rPr>
                <w:rFonts w:hint="eastAsia" w:ascii="宋体" w:hAnsi="宋体" w:cs="宋体"/>
                <w:color w:val="auto"/>
                <w:sz w:val="24"/>
                <w:highlight w:val="none"/>
              </w:rPr>
            </w:pPr>
            <w:r>
              <w:rPr>
                <w:rFonts w:hint="eastAsia" w:ascii="宋体" w:hAnsi="宋体" w:cs="宋体"/>
                <w:color w:val="auto"/>
                <w:sz w:val="24"/>
                <w:highlight w:val="none"/>
              </w:rPr>
              <w:t>方案较差，并不明确、无针对性的得1分；</w:t>
            </w:r>
          </w:p>
          <w:p w14:paraId="51888A28">
            <w:pPr>
              <w:pStyle w:val="6"/>
              <w:spacing w:line="240" w:lineRule="auto"/>
              <w:ind w:firstLine="0"/>
              <w:rPr>
                <w:color w:val="auto"/>
                <w:sz w:val="24"/>
                <w:szCs w:val="24"/>
                <w:highlight w:val="none"/>
              </w:rPr>
            </w:pPr>
            <w:r>
              <w:rPr>
                <w:rFonts w:hint="eastAsia" w:hAnsi="宋体" w:cs="宋体"/>
                <w:color w:val="auto"/>
                <w:sz w:val="24"/>
                <w:szCs w:val="24"/>
                <w:highlight w:val="none"/>
                <w:lang w:val="zh-CN"/>
              </w:rPr>
              <w:t>不提供的</w:t>
            </w:r>
            <w:r>
              <w:rPr>
                <w:rFonts w:hint="eastAsia" w:hAnsi="宋体" w:cs="宋体"/>
                <w:color w:val="auto"/>
                <w:sz w:val="24"/>
                <w:szCs w:val="24"/>
                <w:highlight w:val="none"/>
              </w:rPr>
              <w:t>得0分。</w:t>
            </w:r>
          </w:p>
        </w:tc>
        <w:tc>
          <w:tcPr>
            <w:tcW w:w="494" w:type="pct"/>
            <w:vAlign w:val="center"/>
          </w:tcPr>
          <w:p w14:paraId="7E28F63F">
            <w:pPr>
              <w:pStyle w:val="10"/>
              <w:jc w:val="center"/>
              <w:rPr>
                <w:rFonts w:hint="eastAsia" w:hAnsi="宋体" w:cs="宋体"/>
                <w:color w:val="auto"/>
                <w:sz w:val="24"/>
                <w:szCs w:val="24"/>
                <w:highlight w:val="none"/>
              </w:rPr>
            </w:pPr>
            <w:r>
              <w:rPr>
                <w:rFonts w:hint="eastAsia" w:hAnsi="宋体" w:cs="宋体"/>
                <w:color w:val="auto"/>
                <w:sz w:val="24"/>
                <w:szCs w:val="24"/>
                <w:highlight w:val="none"/>
              </w:rPr>
              <w:t>5</w:t>
            </w:r>
          </w:p>
        </w:tc>
        <w:tc>
          <w:tcPr>
            <w:tcW w:w="774" w:type="pct"/>
            <w:vAlign w:val="center"/>
          </w:tcPr>
          <w:p w14:paraId="047BC74D">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845" w:type="pct"/>
          </w:tcPr>
          <w:p w14:paraId="1B99848E">
            <w:pPr>
              <w:rPr>
                <w:rFonts w:hint="eastAsia" w:ascii="宋体" w:hAnsi="宋体" w:cs="宋体"/>
                <w:color w:val="auto"/>
                <w:sz w:val="24"/>
                <w:highlight w:val="none"/>
              </w:rPr>
            </w:pPr>
          </w:p>
        </w:tc>
      </w:tr>
      <w:tr w14:paraId="1DFC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49" w:type="pct"/>
            <w:vAlign w:val="center"/>
          </w:tcPr>
          <w:p w14:paraId="019D13DB">
            <w:pPr>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492" w:type="pct"/>
            <w:vAlign w:val="center"/>
          </w:tcPr>
          <w:p w14:paraId="020F7362">
            <w:pPr>
              <w:pStyle w:val="10"/>
              <w:jc w:val="center"/>
              <w:rPr>
                <w:rFonts w:hint="eastAsia" w:hAnsi="宋体" w:cs="宋体"/>
                <w:color w:val="auto"/>
                <w:sz w:val="24"/>
                <w:szCs w:val="24"/>
                <w:highlight w:val="none"/>
              </w:rPr>
            </w:pPr>
            <w:r>
              <w:rPr>
                <w:rFonts w:hint="eastAsia" w:hAnsi="宋体" w:cs="宋体"/>
                <w:color w:val="auto"/>
                <w:sz w:val="24"/>
                <w:szCs w:val="24"/>
                <w:highlight w:val="none"/>
              </w:rPr>
              <w:t>人员驻场服务方案</w:t>
            </w:r>
          </w:p>
        </w:tc>
        <w:tc>
          <w:tcPr>
            <w:tcW w:w="2045" w:type="pct"/>
            <w:vAlign w:val="center"/>
          </w:tcPr>
          <w:p w14:paraId="25CA1A45">
            <w:pPr>
              <w:pStyle w:val="10"/>
              <w:rPr>
                <w:rFonts w:hint="eastAsia" w:hAnsi="宋体" w:cs="宋体"/>
                <w:color w:val="auto"/>
                <w:sz w:val="24"/>
                <w:szCs w:val="24"/>
                <w:highlight w:val="none"/>
              </w:rPr>
            </w:pPr>
            <w:r>
              <w:rPr>
                <w:rFonts w:hint="eastAsia" w:hAnsi="宋体" w:cs="宋体"/>
                <w:color w:val="auto"/>
                <w:sz w:val="24"/>
                <w:szCs w:val="24"/>
                <w:highlight w:val="none"/>
              </w:rPr>
              <w:t>驻场人员安排是否符合招标文件需求，有全面、可行的驻场服务方案。</w:t>
            </w:r>
            <w:r>
              <w:rPr>
                <w:rFonts w:hint="eastAsia" w:hAnsi="宋体"/>
                <w:color w:val="auto"/>
                <w:sz w:val="24"/>
                <w:szCs w:val="24"/>
                <w:highlight w:val="none"/>
              </w:rPr>
              <w:t>根据供应商提供的驻场服务方案评分，包括：日常技术问题的处理速度；对BIM工程协同平台及基础运维信息平台故障报修的响应时间；定期巡检以及技术支持；软件升级；技术培训等服务；</w:t>
            </w:r>
          </w:p>
          <w:p w14:paraId="555E99B9">
            <w:pPr>
              <w:snapToGrid w:val="0"/>
              <w:rPr>
                <w:rFonts w:hint="eastAsia" w:ascii="宋体" w:hAnsi="宋体" w:cs="宋体"/>
                <w:color w:val="auto"/>
                <w:sz w:val="24"/>
                <w:highlight w:val="none"/>
              </w:rPr>
            </w:pPr>
            <w:r>
              <w:rPr>
                <w:rFonts w:hint="eastAsia" w:ascii="宋体" w:hAnsi="宋体" w:cs="宋体"/>
                <w:color w:val="auto"/>
                <w:sz w:val="24"/>
                <w:highlight w:val="none"/>
              </w:rPr>
              <w:t>方案具体详细全面、可操作性强且符合本项目要求的得5分；</w:t>
            </w:r>
          </w:p>
          <w:p w14:paraId="293C38CB">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方案可操作性好、可行性好，有针对性的得4分；</w:t>
            </w:r>
          </w:p>
          <w:p w14:paraId="065B992B">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方案可操作性较好、可行性较好，较有针对性的得3分；</w:t>
            </w:r>
          </w:p>
          <w:p w14:paraId="030FBCCC">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方案可操作性、可行性较普通，针对性欠佳得2分；</w:t>
            </w:r>
          </w:p>
          <w:p w14:paraId="0DCA9E1A">
            <w:pPr>
              <w:snapToGrid w:val="0"/>
              <w:rPr>
                <w:rFonts w:hint="eastAsia" w:ascii="宋体" w:hAnsi="宋体" w:cs="宋体"/>
                <w:color w:val="auto"/>
                <w:sz w:val="24"/>
                <w:highlight w:val="none"/>
              </w:rPr>
            </w:pPr>
            <w:r>
              <w:rPr>
                <w:rFonts w:hint="eastAsia" w:ascii="宋体" w:hAnsi="宋体" w:cs="宋体"/>
                <w:color w:val="auto"/>
                <w:sz w:val="24"/>
                <w:highlight w:val="none"/>
              </w:rPr>
              <w:t>方案较差，并不明确、无针对性的得1分；</w:t>
            </w:r>
          </w:p>
          <w:p w14:paraId="31200392">
            <w:pPr>
              <w:pStyle w:val="10"/>
              <w:rPr>
                <w:rFonts w:hint="eastAsia" w:hAnsi="宋体"/>
                <w:color w:val="auto"/>
                <w:sz w:val="24"/>
                <w:szCs w:val="24"/>
                <w:highlight w:val="none"/>
              </w:rPr>
            </w:pPr>
            <w:r>
              <w:rPr>
                <w:rFonts w:hint="eastAsia" w:hAnsi="宋体" w:cs="宋体"/>
                <w:color w:val="auto"/>
                <w:sz w:val="24"/>
                <w:szCs w:val="24"/>
                <w:highlight w:val="none"/>
                <w:lang w:val="zh-CN"/>
              </w:rPr>
              <w:t>不提供的</w:t>
            </w:r>
            <w:r>
              <w:rPr>
                <w:rFonts w:hint="eastAsia" w:hAnsi="宋体" w:cs="宋体"/>
                <w:color w:val="auto"/>
                <w:sz w:val="24"/>
                <w:szCs w:val="24"/>
                <w:highlight w:val="none"/>
              </w:rPr>
              <w:t>得0分。</w:t>
            </w:r>
          </w:p>
        </w:tc>
        <w:tc>
          <w:tcPr>
            <w:tcW w:w="494" w:type="pct"/>
            <w:vAlign w:val="center"/>
          </w:tcPr>
          <w:p w14:paraId="3435C464">
            <w:pPr>
              <w:pStyle w:val="10"/>
              <w:jc w:val="center"/>
              <w:rPr>
                <w:rFonts w:hint="eastAsia" w:hAnsi="宋体" w:cs="宋体"/>
                <w:color w:val="auto"/>
                <w:sz w:val="24"/>
                <w:szCs w:val="24"/>
                <w:highlight w:val="none"/>
              </w:rPr>
            </w:pPr>
            <w:r>
              <w:rPr>
                <w:rFonts w:hint="eastAsia" w:hAnsi="宋体" w:cs="宋体"/>
                <w:color w:val="auto"/>
                <w:sz w:val="24"/>
                <w:szCs w:val="24"/>
                <w:highlight w:val="none"/>
              </w:rPr>
              <w:t>5</w:t>
            </w:r>
          </w:p>
        </w:tc>
        <w:tc>
          <w:tcPr>
            <w:tcW w:w="774" w:type="pct"/>
            <w:vAlign w:val="center"/>
          </w:tcPr>
          <w:p w14:paraId="0DBC0DB1">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845" w:type="pct"/>
          </w:tcPr>
          <w:p w14:paraId="0265FF38">
            <w:pPr>
              <w:rPr>
                <w:rFonts w:hint="eastAsia" w:ascii="宋体" w:hAnsi="宋体" w:cs="宋体"/>
                <w:color w:val="auto"/>
                <w:sz w:val="24"/>
                <w:highlight w:val="none"/>
              </w:rPr>
            </w:pPr>
          </w:p>
        </w:tc>
      </w:tr>
      <w:tr w14:paraId="6238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49" w:type="pct"/>
            <w:vAlign w:val="center"/>
          </w:tcPr>
          <w:p w14:paraId="033EBFFA">
            <w:pPr>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492" w:type="pct"/>
            <w:shd w:val="clear" w:color="auto" w:fill="auto"/>
            <w:vAlign w:val="center"/>
          </w:tcPr>
          <w:p w14:paraId="19578A27">
            <w:pPr>
              <w:pStyle w:val="10"/>
              <w:jc w:val="center"/>
              <w:rPr>
                <w:rFonts w:hint="eastAsia" w:hAnsi="宋体" w:cs="宋体"/>
                <w:color w:val="auto"/>
                <w:sz w:val="24"/>
                <w:szCs w:val="24"/>
                <w:highlight w:val="none"/>
              </w:rPr>
            </w:pPr>
            <w:r>
              <w:rPr>
                <w:rFonts w:hint="eastAsia" w:hAnsi="宋体" w:cs="宋体"/>
                <w:color w:val="auto"/>
                <w:sz w:val="24"/>
                <w:szCs w:val="24"/>
                <w:highlight w:val="none"/>
              </w:rPr>
              <w:t>协同管理平台方案</w:t>
            </w:r>
          </w:p>
        </w:tc>
        <w:tc>
          <w:tcPr>
            <w:tcW w:w="2045" w:type="pct"/>
            <w:shd w:val="clear" w:color="auto" w:fill="auto"/>
            <w:vAlign w:val="center"/>
          </w:tcPr>
          <w:p w14:paraId="4E5BB3B7">
            <w:pPr>
              <w:pStyle w:val="10"/>
              <w:jc w:val="left"/>
              <w:rPr>
                <w:rFonts w:hint="eastAsia" w:hAnsi="宋体" w:cs="宋体"/>
                <w:color w:val="auto"/>
                <w:sz w:val="24"/>
                <w:szCs w:val="24"/>
                <w:highlight w:val="none"/>
              </w:rPr>
            </w:pPr>
            <w:r>
              <w:rPr>
                <w:rFonts w:hint="eastAsia" w:hAnsi="宋体" w:cs="宋体"/>
                <w:color w:val="auto"/>
                <w:sz w:val="24"/>
                <w:szCs w:val="24"/>
                <w:highlight w:val="none"/>
              </w:rPr>
              <w:t>提供的协同管理平台搭建方案及思路是否完整、合理、可行。</w:t>
            </w:r>
          </w:p>
          <w:p w14:paraId="2F0A5124">
            <w:pPr>
              <w:snapToGrid w:val="0"/>
              <w:rPr>
                <w:rFonts w:hint="eastAsia" w:ascii="宋体" w:hAnsi="宋体" w:cs="宋体"/>
                <w:color w:val="auto"/>
                <w:sz w:val="24"/>
                <w:highlight w:val="none"/>
              </w:rPr>
            </w:pPr>
            <w:r>
              <w:rPr>
                <w:rFonts w:hint="eastAsia" w:ascii="宋体" w:hAnsi="宋体" w:cs="宋体"/>
                <w:color w:val="auto"/>
                <w:sz w:val="24"/>
                <w:highlight w:val="none"/>
              </w:rPr>
              <w:t>方案具体详细全面、可操作性强且符合本项目要求的得4分；</w:t>
            </w:r>
          </w:p>
          <w:p w14:paraId="39D7ADDE">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方案可操作性较好、可行性较好，较有针对性的得3分；</w:t>
            </w:r>
          </w:p>
          <w:p w14:paraId="2235E4AF">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方案可操作性、可行性较普通，针对性欠佳得2分；</w:t>
            </w:r>
          </w:p>
          <w:p w14:paraId="0892C88C">
            <w:pPr>
              <w:snapToGrid w:val="0"/>
              <w:rPr>
                <w:rFonts w:hint="eastAsia" w:ascii="宋体" w:hAnsi="宋体" w:cs="宋体"/>
                <w:color w:val="auto"/>
                <w:sz w:val="24"/>
                <w:highlight w:val="none"/>
              </w:rPr>
            </w:pPr>
            <w:r>
              <w:rPr>
                <w:rFonts w:hint="eastAsia" w:ascii="宋体" w:hAnsi="宋体" w:cs="宋体"/>
                <w:color w:val="auto"/>
                <w:sz w:val="24"/>
                <w:highlight w:val="none"/>
              </w:rPr>
              <w:t>方案较差，并不明确、无针对性的得1分；</w:t>
            </w:r>
          </w:p>
          <w:p w14:paraId="02245477">
            <w:pPr>
              <w:pStyle w:val="10"/>
              <w:jc w:val="left"/>
              <w:rPr>
                <w:rFonts w:hint="eastAsia" w:hAnsi="宋体" w:cs="宋体"/>
                <w:color w:val="auto"/>
                <w:sz w:val="24"/>
                <w:szCs w:val="24"/>
                <w:highlight w:val="none"/>
              </w:rPr>
            </w:pPr>
            <w:r>
              <w:rPr>
                <w:rFonts w:hint="eastAsia" w:hAnsi="宋体" w:cs="宋体"/>
                <w:color w:val="auto"/>
                <w:sz w:val="24"/>
                <w:szCs w:val="24"/>
                <w:highlight w:val="none"/>
                <w:lang w:val="zh-CN"/>
              </w:rPr>
              <w:t>不提供的</w:t>
            </w:r>
            <w:r>
              <w:rPr>
                <w:rFonts w:hint="eastAsia" w:hAnsi="宋体" w:cs="宋体"/>
                <w:color w:val="auto"/>
                <w:sz w:val="24"/>
                <w:szCs w:val="24"/>
                <w:highlight w:val="none"/>
              </w:rPr>
              <w:t>得0分。</w:t>
            </w:r>
          </w:p>
        </w:tc>
        <w:tc>
          <w:tcPr>
            <w:tcW w:w="494" w:type="pct"/>
            <w:shd w:val="clear" w:color="auto" w:fill="auto"/>
            <w:vAlign w:val="center"/>
          </w:tcPr>
          <w:p w14:paraId="46C91626">
            <w:pPr>
              <w:pStyle w:val="10"/>
              <w:jc w:val="center"/>
              <w:rPr>
                <w:rFonts w:hint="eastAsia" w:hAnsi="宋体" w:cs="宋体"/>
                <w:color w:val="auto"/>
                <w:sz w:val="24"/>
                <w:szCs w:val="24"/>
                <w:highlight w:val="none"/>
              </w:rPr>
            </w:pPr>
            <w:r>
              <w:rPr>
                <w:rFonts w:hint="eastAsia" w:hAnsi="宋体" w:cs="宋体"/>
                <w:color w:val="auto"/>
                <w:sz w:val="24"/>
                <w:szCs w:val="24"/>
                <w:highlight w:val="none"/>
              </w:rPr>
              <w:t>4</w:t>
            </w:r>
          </w:p>
        </w:tc>
        <w:tc>
          <w:tcPr>
            <w:tcW w:w="774" w:type="pct"/>
            <w:vAlign w:val="center"/>
          </w:tcPr>
          <w:p w14:paraId="2B637D22">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845" w:type="pct"/>
          </w:tcPr>
          <w:p w14:paraId="22C45D37">
            <w:pPr>
              <w:rPr>
                <w:rFonts w:hint="eastAsia" w:ascii="宋体" w:hAnsi="宋体" w:cs="宋体"/>
                <w:color w:val="auto"/>
                <w:sz w:val="24"/>
                <w:highlight w:val="none"/>
              </w:rPr>
            </w:pPr>
          </w:p>
        </w:tc>
      </w:tr>
      <w:tr w14:paraId="6A69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49" w:type="pct"/>
            <w:vAlign w:val="center"/>
          </w:tcPr>
          <w:p w14:paraId="394F7E65">
            <w:pPr>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492" w:type="pct"/>
            <w:shd w:val="clear" w:color="auto" w:fill="auto"/>
            <w:vAlign w:val="center"/>
          </w:tcPr>
          <w:p w14:paraId="39B0C108">
            <w:pPr>
              <w:pStyle w:val="10"/>
              <w:jc w:val="center"/>
              <w:rPr>
                <w:rFonts w:hint="eastAsia" w:hAnsi="宋体" w:cs="宋体"/>
                <w:color w:val="auto"/>
                <w:sz w:val="24"/>
                <w:szCs w:val="24"/>
                <w:highlight w:val="none"/>
              </w:rPr>
            </w:pPr>
            <w:r>
              <w:rPr>
                <w:rFonts w:hint="eastAsia" w:hAnsi="宋体" w:cs="宋体"/>
                <w:color w:val="auto"/>
                <w:sz w:val="24"/>
                <w:szCs w:val="24"/>
                <w:highlight w:val="none"/>
              </w:rPr>
              <w:t>重点、难点分析及解决措施及方案</w:t>
            </w:r>
          </w:p>
        </w:tc>
        <w:tc>
          <w:tcPr>
            <w:tcW w:w="2045" w:type="pct"/>
            <w:shd w:val="clear" w:color="auto" w:fill="auto"/>
            <w:vAlign w:val="center"/>
          </w:tcPr>
          <w:p w14:paraId="4CEA2FAA">
            <w:pPr>
              <w:pStyle w:val="10"/>
              <w:jc w:val="left"/>
              <w:rPr>
                <w:rFonts w:hint="eastAsia" w:hAnsi="宋体" w:cs="宋体"/>
                <w:color w:val="auto"/>
                <w:sz w:val="24"/>
                <w:szCs w:val="24"/>
                <w:highlight w:val="none"/>
              </w:rPr>
            </w:pPr>
            <w:r>
              <w:rPr>
                <w:rFonts w:hint="eastAsia" w:hAnsi="宋体" w:cs="宋体"/>
                <w:color w:val="auto"/>
                <w:sz w:val="24"/>
                <w:szCs w:val="24"/>
                <w:highlight w:val="none"/>
              </w:rPr>
              <w:t>对BIM解决项目关键点的认识是否准确，解决的措施是否完整、合理、可行。</w:t>
            </w:r>
          </w:p>
          <w:p w14:paraId="4F336BD7">
            <w:pPr>
              <w:snapToGrid w:val="0"/>
              <w:rPr>
                <w:rFonts w:hint="eastAsia" w:ascii="宋体" w:hAnsi="宋体" w:cs="宋体"/>
                <w:color w:val="auto"/>
                <w:sz w:val="24"/>
                <w:highlight w:val="none"/>
              </w:rPr>
            </w:pPr>
            <w:r>
              <w:rPr>
                <w:rFonts w:hint="eastAsia" w:ascii="宋体" w:hAnsi="宋体" w:cs="宋体"/>
                <w:color w:val="auto"/>
                <w:sz w:val="24"/>
                <w:highlight w:val="none"/>
              </w:rPr>
              <w:t>方案具体详细全面、可操作性强且符合本项目要求的得4分；</w:t>
            </w:r>
          </w:p>
          <w:p w14:paraId="02BD0435">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方案可操作性好、可行性好，有针对性的得3分；</w:t>
            </w:r>
          </w:p>
          <w:p w14:paraId="2857045A">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方案可操作性较好、可行性较好，较有针对性的得2分；</w:t>
            </w:r>
          </w:p>
          <w:p w14:paraId="2D4EB2C9">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方案可操作性、可行性较普通，针对性欠佳得1分；</w:t>
            </w:r>
          </w:p>
          <w:p w14:paraId="3F2D9B71">
            <w:pPr>
              <w:pStyle w:val="10"/>
              <w:jc w:val="left"/>
              <w:rPr>
                <w:rFonts w:hint="eastAsia" w:hAnsi="宋体" w:cs="宋体"/>
                <w:color w:val="auto"/>
                <w:sz w:val="24"/>
                <w:szCs w:val="24"/>
                <w:highlight w:val="none"/>
              </w:rPr>
            </w:pPr>
            <w:r>
              <w:rPr>
                <w:rFonts w:hint="eastAsia" w:hAnsi="宋体" w:cs="宋体"/>
                <w:color w:val="auto"/>
                <w:sz w:val="24"/>
                <w:szCs w:val="24"/>
                <w:highlight w:val="none"/>
                <w:lang w:val="zh-CN"/>
              </w:rPr>
              <w:t>不提供的</w:t>
            </w:r>
            <w:r>
              <w:rPr>
                <w:rFonts w:hint="eastAsia" w:hAnsi="宋体" w:cs="宋体"/>
                <w:color w:val="auto"/>
                <w:sz w:val="24"/>
                <w:szCs w:val="24"/>
                <w:highlight w:val="none"/>
              </w:rPr>
              <w:t>得0分。</w:t>
            </w:r>
          </w:p>
        </w:tc>
        <w:tc>
          <w:tcPr>
            <w:tcW w:w="494" w:type="pct"/>
            <w:shd w:val="clear" w:color="auto" w:fill="auto"/>
            <w:vAlign w:val="center"/>
          </w:tcPr>
          <w:p w14:paraId="53B11065">
            <w:pPr>
              <w:pStyle w:val="10"/>
              <w:jc w:val="center"/>
              <w:rPr>
                <w:rFonts w:hint="eastAsia" w:hAnsi="宋体" w:cs="宋体"/>
                <w:color w:val="auto"/>
                <w:sz w:val="24"/>
                <w:szCs w:val="24"/>
                <w:highlight w:val="none"/>
              </w:rPr>
            </w:pPr>
            <w:r>
              <w:rPr>
                <w:rFonts w:hint="eastAsia" w:hAnsi="宋体" w:cs="宋体"/>
                <w:color w:val="auto"/>
                <w:sz w:val="24"/>
                <w:szCs w:val="24"/>
                <w:highlight w:val="none"/>
              </w:rPr>
              <w:t>4</w:t>
            </w:r>
          </w:p>
        </w:tc>
        <w:tc>
          <w:tcPr>
            <w:tcW w:w="774" w:type="pct"/>
            <w:vAlign w:val="center"/>
          </w:tcPr>
          <w:p w14:paraId="4ACEE46F">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845" w:type="pct"/>
          </w:tcPr>
          <w:p w14:paraId="7E1E45D2">
            <w:pPr>
              <w:rPr>
                <w:rFonts w:hint="eastAsia" w:ascii="宋体" w:hAnsi="宋体" w:cs="宋体"/>
                <w:color w:val="auto"/>
                <w:sz w:val="24"/>
                <w:highlight w:val="none"/>
              </w:rPr>
            </w:pPr>
          </w:p>
        </w:tc>
      </w:tr>
      <w:tr w14:paraId="2A58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49" w:type="pct"/>
            <w:vAlign w:val="center"/>
          </w:tcPr>
          <w:p w14:paraId="6C316AF0">
            <w:pPr>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492" w:type="pct"/>
            <w:shd w:val="clear" w:color="auto" w:fill="auto"/>
            <w:vAlign w:val="center"/>
          </w:tcPr>
          <w:p w14:paraId="3EE06070">
            <w:pPr>
              <w:pStyle w:val="10"/>
              <w:jc w:val="center"/>
              <w:rPr>
                <w:rFonts w:hint="eastAsia" w:hAnsi="宋体" w:cs="宋体"/>
                <w:color w:val="auto"/>
                <w:sz w:val="24"/>
                <w:szCs w:val="24"/>
                <w:highlight w:val="none"/>
              </w:rPr>
            </w:pPr>
            <w:r>
              <w:rPr>
                <w:rFonts w:hint="eastAsia" w:hAnsi="宋体" w:cs="宋体"/>
                <w:color w:val="auto"/>
                <w:sz w:val="24"/>
                <w:szCs w:val="24"/>
                <w:highlight w:val="none"/>
              </w:rPr>
              <w:t>投资控制方法</w:t>
            </w:r>
          </w:p>
        </w:tc>
        <w:tc>
          <w:tcPr>
            <w:tcW w:w="2045" w:type="pct"/>
            <w:shd w:val="clear" w:color="auto" w:fill="auto"/>
            <w:vAlign w:val="center"/>
          </w:tcPr>
          <w:p w14:paraId="40E08E37">
            <w:pPr>
              <w:pStyle w:val="10"/>
              <w:jc w:val="left"/>
              <w:rPr>
                <w:rFonts w:hint="eastAsia" w:hAnsi="宋体" w:cs="宋体"/>
                <w:color w:val="auto"/>
                <w:sz w:val="24"/>
                <w:szCs w:val="24"/>
                <w:highlight w:val="none"/>
              </w:rPr>
            </w:pPr>
            <w:r>
              <w:rPr>
                <w:rFonts w:hint="eastAsia" w:hAnsi="宋体" w:cs="宋体"/>
                <w:color w:val="auto"/>
                <w:sz w:val="24"/>
                <w:szCs w:val="24"/>
                <w:highlight w:val="none"/>
              </w:rPr>
              <w:t>根据投标人提供的投资控制方法是否合理、可行评审；</w:t>
            </w:r>
          </w:p>
          <w:p w14:paraId="01BCB28B">
            <w:pPr>
              <w:snapToGrid w:val="0"/>
              <w:rPr>
                <w:rFonts w:hint="eastAsia" w:ascii="宋体" w:hAnsi="宋体" w:cs="宋体"/>
                <w:color w:val="auto"/>
                <w:sz w:val="24"/>
                <w:highlight w:val="none"/>
              </w:rPr>
            </w:pPr>
            <w:r>
              <w:rPr>
                <w:rFonts w:hint="eastAsia" w:ascii="宋体" w:hAnsi="宋体" w:cs="宋体"/>
                <w:color w:val="auto"/>
                <w:sz w:val="24"/>
                <w:highlight w:val="none"/>
              </w:rPr>
              <w:t>方案具体详细全面、可操作性强且符合本项目要求的得5分；</w:t>
            </w:r>
          </w:p>
          <w:p w14:paraId="3F1A3AD0">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方案可操作性好、可行性好，有针对性的得4分；</w:t>
            </w:r>
          </w:p>
          <w:p w14:paraId="6C4F1FDE">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方案可操作性较好、可行性较好，较有针对性的得3分；</w:t>
            </w:r>
          </w:p>
          <w:p w14:paraId="3286847B">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方案可操作性、可行性较普通，针对性欠佳得2分；</w:t>
            </w:r>
          </w:p>
          <w:p w14:paraId="6D952DD6">
            <w:pPr>
              <w:snapToGrid w:val="0"/>
              <w:rPr>
                <w:rFonts w:hint="eastAsia" w:ascii="宋体" w:hAnsi="宋体" w:cs="宋体"/>
                <w:color w:val="auto"/>
                <w:sz w:val="24"/>
                <w:highlight w:val="none"/>
              </w:rPr>
            </w:pPr>
            <w:r>
              <w:rPr>
                <w:rFonts w:hint="eastAsia" w:ascii="宋体" w:hAnsi="宋体" w:cs="宋体"/>
                <w:color w:val="auto"/>
                <w:sz w:val="24"/>
                <w:highlight w:val="none"/>
              </w:rPr>
              <w:t>方案较差，并不明确、无针对性的得1分；</w:t>
            </w:r>
          </w:p>
          <w:p w14:paraId="0F0C4BB4">
            <w:pPr>
              <w:pStyle w:val="10"/>
              <w:jc w:val="left"/>
              <w:rPr>
                <w:rFonts w:hint="eastAsia" w:hAnsi="宋体" w:cs="宋体"/>
                <w:color w:val="auto"/>
                <w:sz w:val="24"/>
                <w:szCs w:val="24"/>
                <w:highlight w:val="none"/>
              </w:rPr>
            </w:pPr>
            <w:r>
              <w:rPr>
                <w:rFonts w:hint="eastAsia" w:hAnsi="宋体" w:cs="宋体"/>
                <w:color w:val="auto"/>
                <w:sz w:val="24"/>
                <w:szCs w:val="24"/>
                <w:highlight w:val="none"/>
                <w:lang w:val="zh-CN"/>
              </w:rPr>
              <w:t>不提供的</w:t>
            </w:r>
            <w:r>
              <w:rPr>
                <w:rFonts w:hint="eastAsia" w:hAnsi="宋体" w:cs="宋体"/>
                <w:color w:val="auto"/>
                <w:sz w:val="24"/>
                <w:szCs w:val="24"/>
                <w:highlight w:val="none"/>
              </w:rPr>
              <w:t>得0分。</w:t>
            </w:r>
          </w:p>
        </w:tc>
        <w:tc>
          <w:tcPr>
            <w:tcW w:w="494" w:type="pct"/>
            <w:shd w:val="clear" w:color="auto" w:fill="auto"/>
            <w:vAlign w:val="center"/>
          </w:tcPr>
          <w:p w14:paraId="65C0EDAA">
            <w:pPr>
              <w:pStyle w:val="10"/>
              <w:jc w:val="center"/>
              <w:rPr>
                <w:rFonts w:hint="eastAsia" w:hAnsi="宋体" w:cs="宋体"/>
                <w:color w:val="auto"/>
                <w:sz w:val="24"/>
                <w:szCs w:val="24"/>
                <w:highlight w:val="none"/>
              </w:rPr>
            </w:pPr>
            <w:r>
              <w:rPr>
                <w:rFonts w:hint="eastAsia" w:hAnsi="宋体" w:cs="宋体"/>
                <w:color w:val="auto"/>
                <w:sz w:val="24"/>
                <w:szCs w:val="24"/>
                <w:highlight w:val="none"/>
              </w:rPr>
              <w:t>5</w:t>
            </w:r>
          </w:p>
        </w:tc>
        <w:tc>
          <w:tcPr>
            <w:tcW w:w="774" w:type="pct"/>
            <w:vAlign w:val="center"/>
          </w:tcPr>
          <w:p w14:paraId="356A7238">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845" w:type="pct"/>
          </w:tcPr>
          <w:p w14:paraId="4FAC918E">
            <w:pPr>
              <w:rPr>
                <w:rFonts w:hint="eastAsia" w:ascii="宋体" w:hAnsi="宋体" w:cs="宋体"/>
                <w:color w:val="auto"/>
                <w:sz w:val="24"/>
                <w:highlight w:val="none"/>
              </w:rPr>
            </w:pPr>
          </w:p>
        </w:tc>
      </w:tr>
      <w:tr w14:paraId="312E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49" w:type="pct"/>
            <w:vAlign w:val="center"/>
          </w:tcPr>
          <w:p w14:paraId="2B8F61CC">
            <w:pPr>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18</w:t>
            </w:r>
          </w:p>
        </w:tc>
        <w:tc>
          <w:tcPr>
            <w:tcW w:w="492" w:type="pct"/>
            <w:shd w:val="clear" w:color="auto" w:fill="auto"/>
            <w:vAlign w:val="center"/>
          </w:tcPr>
          <w:p w14:paraId="36A79F49">
            <w:pPr>
              <w:pStyle w:val="10"/>
              <w:jc w:val="center"/>
              <w:rPr>
                <w:rFonts w:hint="eastAsia" w:hAnsi="宋体" w:cs="宋体"/>
                <w:color w:val="auto"/>
                <w:sz w:val="24"/>
                <w:szCs w:val="24"/>
                <w:highlight w:val="none"/>
              </w:rPr>
            </w:pPr>
            <w:r>
              <w:rPr>
                <w:rFonts w:hint="eastAsia" w:hAnsi="宋体" w:cs="宋体"/>
                <w:color w:val="auto"/>
                <w:sz w:val="24"/>
                <w:szCs w:val="24"/>
                <w:highlight w:val="none"/>
              </w:rPr>
              <w:t>服务承诺</w:t>
            </w:r>
          </w:p>
        </w:tc>
        <w:tc>
          <w:tcPr>
            <w:tcW w:w="2045" w:type="pct"/>
            <w:shd w:val="clear" w:color="auto" w:fill="auto"/>
            <w:vAlign w:val="center"/>
          </w:tcPr>
          <w:p w14:paraId="579674A2">
            <w:pPr>
              <w:pStyle w:val="10"/>
              <w:jc w:val="left"/>
              <w:rPr>
                <w:rFonts w:hint="eastAsia" w:hAnsi="宋体" w:cs="宋体"/>
                <w:color w:val="auto"/>
                <w:sz w:val="24"/>
                <w:szCs w:val="24"/>
                <w:highlight w:val="none"/>
              </w:rPr>
            </w:pPr>
            <w:r>
              <w:rPr>
                <w:rFonts w:hint="eastAsia" w:hAnsi="宋体" w:cs="宋体"/>
                <w:color w:val="auto"/>
                <w:sz w:val="24"/>
                <w:szCs w:val="24"/>
                <w:highlight w:val="none"/>
              </w:rPr>
              <w:t>服务计划、质量保证承诺、服务响应的及时性、出现质量问题的应急承诺及保证措施详述等；是否满足项目需求程度。</w:t>
            </w:r>
          </w:p>
          <w:p w14:paraId="42053EC5">
            <w:pPr>
              <w:snapToGrid w:val="0"/>
              <w:rPr>
                <w:rFonts w:hint="eastAsia" w:ascii="宋体" w:hAnsi="宋体" w:cs="宋体"/>
                <w:color w:val="auto"/>
                <w:sz w:val="24"/>
                <w:highlight w:val="none"/>
              </w:rPr>
            </w:pPr>
            <w:r>
              <w:rPr>
                <w:rFonts w:hint="eastAsia" w:ascii="宋体" w:hAnsi="宋体" w:cs="宋体"/>
                <w:color w:val="auto"/>
                <w:sz w:val="24"/>
                <w:highlight w:val="none"/>
              </w:rPr>
              <w:t>承诺具体详细全面、可操作性强且符合本项目要求的得4分；</w:t>
            </w:r>
          </w:p>
          <w:p w14:paraId="5E45F630">
            <w:pPr>
              <w:snapToGrid w:val="0"/>
              <w:rPr>
                <w:rFonts w:hint="eastAsia" w:ascii="宋体" w:hAnsi="宋体" w:cs="宋体"/>
                <w:color w:val="auto"/>
                <w:sz w:val="24"/>
                <w:highlight w:val="none"/>
              </w:rPr>
            </w:pPr>
            <w:r>
              <w:rPr>
                <w:rFonts w:hint="eastAsia" w:ascii="宋体" w:hAnsi="宋体" w:cs="宋体"/>
                <w:color w:val="auto"/>
                <w:sz w:val="24"/>
                <w:highlight w:val="none"/>
              </w:rPr>
              <w:t>承诺可操作性好、可行性好，有针对性的得3分；</w:t>
            </w:r>
          </w:p>
          <w:p w14:paraId="3D027B7C">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方案可操作性较好、可行性较好，较有针对性的得2分；</w:t>
            </w:r>
          </w:p>
          <w:p w14:paraId="23481B0A">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方案可操作性、可行性较普通，针对性欠佳得1分；</w:t>
            </w:r>
          </w:p>
          <w:p w14:paraId="2042240E">
            <w:pPr>
              <w:pStyle w:val="10"/>
              <w:jc w:val="left"/>
              <w:rPr>
                <w:rFonts w:hint="eastAsia" w:hAnsi="宋体" w:cs="宋体"/>
                <w:color w:val="auto"/>
                <w:sz w:val="24"/>
                <w:szCs w:val="24"/>
                <w:highlight w:val="none"/>
              </w:rPr>
            </w:pPr>
            <w:r>
              <w:rPr>
                <w:rFonts w:hint="eastAsia" w:hAnsi="宋体" w:cs="宋体"/>
                <w:color w:val="auto"/>
                <w:sz w:val="24"/>
                <w:szCs w:val="24"/>
                <w:highlight w:val="none"/>
                <w:lang w:val="zh-CN"/>
              </w:rPr>
              <w:t>不提供的</w:t>
            </w:r>
            <w:r>
              <w:rPr>
                <w:rFonts w:hint="eastAsia" w:hAnsi="宋体" w:cs="宋体"/>
                <w:color w:val="auto"/>
                <w:sz w:val="24"/>
                <w:szCs w:val="24"/>
                <w:highlight w:val="none"/>
              </w:rPr>
              <w:t>得0分。</w:t>
            </w:r>
          </w:p>
        </w:tc>
        <w:tc>
          <w:tcPr>
            <w:tcW w:w="494" w:type="pct"/>
            <w:shd w:val="clear" w:color="auto" w:fill="auto"/>
            <w:vAlign w:val="center"/>
          </w:tcPr>
          <w:p w14:paraId="246DE343">
            <w:pPr>
              <w:pStyle w:val="10"/>
              <w:jc w:val="center"/>
              <w:rPr>
                <w:rFonts w:hint="eastAsia" w:hAnsi="宋体" w:cs="宋体"/>
                <w:color w:val="auto"/>
                <w:sz w:val="24"/>
                <w:szCs w:val="24"/>
                <w:highlight w:val="none"/>
              </w:rPr>
            </w:pPr>
            <w:r>
              <w:rPr>
                <w:rFonts w:hint="eastAsia" w:hAnsi="宋体" w:cs="宋体"/>
                <w:color w:val="auto"/>
                <w:sz w:val="24"/>
                <w:szCs w:val="24"/>
                <w:highlight w:val="none"/>
              </w:rPr>
              <w:t>4</w:t>
            </w:r>
          </w:p>
        </w:tc>
        <w:tc>
          <w:tcPr>
            <w:tcW w:w="774" w:type="pct"/>
            <w:vAlign w:val="center"/>
          </w:tcPr>
          <w:p w14:paraId="26B44155">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845" w:type="pct"/>
          </w:tcPr>
          <w:p w14:paraId="6C3B11FF">
            <w:pPr>
              <w:rPr>
                <w:rFonts w:hint="eastAsia" w:ascii="宋体" w:hAnsi="宋体" w:cs="宋体"/>
                <w:color w:val="auto"/>
                <w:sz w:val="24"/>
                <w:highlight w:val="none"/>
              </w:rPr>
            </w:pPr>
          </w:p>
        </w:tc>
      </w:tr>
      <w:tr w14:paraId="5ABD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49" w:type="pct"/>
            <w:vAlign w:val="center"/>
          </w:tcPr>
          <w:p w14:paraId="5C00DD8B">
            <w:pPr>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492" w:type="pct"/>
            <w:shd w:val="clear" w:color="auto" w:fill="auto"/>
            <w:vAlign w:val="center"/>
          </w:tcPr>
          <w:p w14:paraId="284002F3">
            <w:pPr>
              <w:pStyle w:val="10"/>
              <w:jc w:val="center"/>
              <w:rPr>
                <w:rFonts w:hint="eastAsia" w:hAnsi="宋体" w:cs="宋体"/>
                <w:color w:val="auto"/>
                <w:sz w:val="24"/>
                <w:szCs w:val="24"/>
                <w:highlight w:val="none"/>
              </w:rPr>
            </w:pPr>
            <w:r>
              <w:rPr>
                <w:rFonts w:hint="eastAsia" w:hAnsi="宋体" w:cs="宋体"/>
                <w:color w:val="auto"/>
                <w:sz w:val="24"/>
                <w:szCs w:val="24"/>
                <w:highlight w:val="none"/>
              </w:rPr>
              <w:t>与项目相关的其他服务措施及方案</w:t>
            </w:r>
          </w:p>
        </w:tc>
        <w:tc>
          <w:tcPr>
            <w:tcW w:w="2045" w:type="pct"/>
            <w:shd w:val="clear" w:color="auto" w:fill="auto"/>
            <w:vAlign w:val="center"/>
          </w:tcPr>
          <w:p w14:paraId="3ABDFBDF">
            <w:pPr>
              <w:snapToGrid w:val="0"/>
              <w:rPr>
                <w:rFonts w:hint="eastAsia" w:ascii="宋体" w:hAnsi="宋体" w:cs="宋体"/>
                <w:color w:val="auto"/>
                <w:sz w:val="24"/>
                <w:highlight w:val="none"/>
              </w:rPr>
            </w:pPr>
            <w:r>
              <w:rPr>
                <w:rFonts w:hint="eastAsia" w:ascii="宋体" w:hAnsi="宋体" w:cs="宋体"/>
                <w:color w:val="auto"/>
                <w:sz w:val="24"/>
                <w:highlight w:val="none"/>
              </w:rPr>
              <w:t>提供</w:t>
            </w:r>
            <w:r>
              <w:rPr>
                <w:rFonts w:hint="eastAsia" w:hAnsi="宋体" w:cs="宋体"/>
                <w:color w:val="auto"/>
                <w:sz w:val="24"/>
                <w:highlight w:val="none"/>
              </w:rPr>
              <w:t>的与本项目相关的其他</w:t>
            </w:r>
            <w:r>
              <w:rPr>
                <w:rFonts w:hint="eastAsia" w:ascii="宋体" w:hAnsi="宋体" w:cs="宋体"/>
                <w:color w:val="auto"/>
                <w:sz w:val="24"/>
                <w:highlight w:val="none"/>
              </w:rPr>
              <w:t>服务措施，如舒适性分析、声场分析等。方案可操作性好、可行性好，有针对性的得4分；</w:t>
            </w:r>
          </w:p>
          <w:p w14:paraId="25745A74">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方案可操作性较好、可行性较好，较有针对性的得3分；</w:t>
            </w:r>
          </w:p>
          <w:p w14:paraId="7BBECFB5">
            <w:pPr>
              <w:snapToGrid w:val="0"/>
              <w:rPr>
                <w:rFonts w:hint="eastAsia" w:ascii="宋体" w:hAnsi="宋体" w:cs="宋体"/>
                <w:color w:val="auto"/>
                <w:sz w:val="24"/>
                <w:highlight w:val="none"/>
              </w:rPr>
            </w:pPr>
            <w:r>
              <w:rPr>
                <w:rFonts w:hint="eastAsia" w:ascii="宋体" w:hAnsi="宋体" w:cs="宋体"/>
                <w:color w:val="auto"/>
                <w:sz w:val="24"/>
                <w:highlight w:val="none"/>
              </w:rPr>
              <w:t>方案可操作性、可行性较普通，针对性欠佳得2分；</w:t>
            </w:r>
          </w:p>
          <w:p w14:paraId="62333C1A">
            <w:pPr>
              <w:snapToGrid w:val="0"/>
              <w:rPr>
                <w:rFonts w:hint="eastAsia" w:ascii="宋体" w:hAnsi="宋体" w:cs="宋体"/>
                <w:color w:val="auto"/>
                <w:sz w:val="24"/>
                <w:highlight w:val="none"/>
              </w:rPr>
            </w:pPr>
            <w:r>
              <w:rPr>
                <w:rFonts w:hint="eastAsia" w:ascii="宋体" w:hAnsi="宋体" w:cs="宋体"/>
                <w:color w:val="auto"/>
                <w:sz w:val="24"/>
                <w:highlight w:val="none"/>
              </w:rPr>
              <w:t>方案较差，并不明确、无针对性的得1分；</w:t>
            </w:r>
          </w:p>
          <w:p w14:paraId="62959A45">
            <w:pPr>
              <w:snapToGrid w:val="0"/>
              <w:rPr>
                <w:rFonts w:hint="eastAsia" w:ascii="宋体" w:hAnsi="宋体" w:cs="宋体"/>
                <w:snapToGrid w:val="0"/>
                <w:color w:val="auto"/>
                <w:sz w:val="24"/>
                <w:highlight w:val="none"/>
              </w:rPr>
            </w:pPr>
            <w:r>
              <w:rPr>
                <w:rFonts w:hint="eastAsia" w:ascii="宋体" w:hAnsi="宋体" w:cs="宋体"/>
                <w:color w:val="auto"/>
                <w:sz w:val="24"/>
                <w:highlight w:val="none"/>
                <w:lang w:val="zh-CN"/>
              </w:rPr>
              <w:t>不提供的</w:t>
            </w:r>
            <w:r>
              <w:rPr>
                <w:rFonts w:hint="eastAsia" w:ascii="宋体" w:hAnsi="宋体" w:cs="宋体"/>
                <w:color w:val="auto"/>
                <w:sz w:val="24"/>
                <w:highlight w:val="none"/>
              </w:rPr>
              <w:t>得0分。</w:t>
            </w:r>
          </w:p>
        </w:tc>
        <w:tc>
          <w:tcPr>
            <w:tcW w:w="494" w:type="pct"/>
            <w:shd w:val="clear" w:color="auto" w:fill="auto"/>
            <w:vAlign w:val="center"/>
          </w:tcPr>
          <w:p w14:paraId="204C2754">
            <w:pPr>
              <w:pStyle w:val="10"/>
              <w:jc w:val="center"/>
              <w:rPr>
                <w:rFonts w:hint="eastAsia" w:hAnsi="宋体" w:cs="宋体"/>
                <w:color w:val="auto"/>
                <w:sz w:val="24"/>
                <w:szCs w:val="24"/>
                <w:highlight w:val="none"/>
              </w:rPr>
            </w:pPr>
            <w:r>
              <w:rPr>
                <w:rFonts w:hint="eastAsia" w:hAnsi="宋体" w:cs="宋体"/>
                <w:color w:val="auto"/>
                <w:sz w:val="24"/>
                <w:szCs w:val="24"/>
                <w:highlight w:val="none"/>
              </w:rPr>
              <w:t>4</w:t>
            </w:r>
          </w:p>
        </w:tc>
        <w:tc>
          <w:tcPr>
            <w:tcW w:w="774" w:type="pct"/>
            <w:vAlign w:val="center"/>
          </w:tcPr>
          <w:p w14:paraId="248D8853">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845" w:type="pct"/>
          </w:tcPr>
          <w:p w14:paraId="64B3A494">
            <w:pPr>
              <w:rPr>
                <w:rFonts w:hint="eastAsia" w:ascii="宋体" w:hAnsi="宋体" w:cs="宋体"/>
                <w:color w:val="auto"/>
                <w:sz w:val="24"/>
                <w:highlight w:val="none"/>
              </w:rPr>
            </w:pPr>
          </w:p>
        </w:tc>
      </w:tr>
      <w:tr w14:paraId="00ED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49" w:type="pct"/>
            <w:vAlign w:val="center"/>
          </w:tcPr>
          <w:p w14:paraId="3899C8E0">
            <w:pPr>
              <w:ind w:firstLine="240" w:firstLineChars="100"/>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492" w:type="pct"/>
            <w:vAlign w:val="center"/>
          </w:tcPr>
          <w:p w14:paraId="7EBC1143">
            <w:pPr>
              <w:pStyle w:val="10"/>
              <w:jc w:val="center"/>
              <w:rPr>
                <w:rFonts w:hint="eastAsia" w:hAnsi="宋体" w:cs="宋体"/>
                <w:color w:val="auto"/>
                <w:sz w:val="24"/>
                <w:szCs w:val="24"/>
                <w:highlight w:val="none"/>
              </w:rPr>
            </w:pPr>
            <w:r>
              <w:rPr>
                <w:rFonts w:hint="eastAsia" w:hAnsi="宋体" w:cs="宋体"/>
                <w:color w:val="auto"/>
                <w:sz w:val="24"/>
                <w:szCs w:val="24"/>
                <w:highlight w:val="none"/>
              </w:rPr>
              <w:t>合理化建议</w:t>
            </w:r>
          </w:p>
        </w:tc>
        <w:tc>
          <w:tcPr>
            <w:tcW w:w="2045" w:type="pct"/>
            <w:vAlign w:val="center"/>
          </w:tcPr>
          <w:p w14:paraId="0FEF3A05">
            <w:pPr>
              <w:snapToGrid w:val="0"/>
              <w:rPr>
                <w:rFonts w:hint="eastAsia" w:ascii="宋体" w:hAnsi="宋体" w:cs="宋体"/>
                <w:color w:val="auto"/>
                <w:sz w:val="24"/>
                <w:highlight w:val="none"/>
              </w:rPr>
            </w:pPr>
            <w:r>
              <w:rPr>
                <w:rFonts w:hint="eastAsia" w:ascii="宋体" w:hAnsi="宋体" w:cs="宋体"/>
                <w:color w:val="auto"/>
                <w:sz w:val="24"/>
                <w:highlight w:val="none"/>
              </w:rPr>
              <w:t>竣工BIM模型与今后运维平台对接的合理化建议或其他合理化建议。</w:t>
            </w:r>
          </w:p>
          <w:p w14:paraId="67917CE6">
            <w:pPr>
              <w:snapToGrid w:val="0"/>
              <w:rPr>
                <w:rFonts w:hint="eastAsia" w:ascii="宋体" w:hAnsi="宋体" w:cs="宋体"/>
                <w:color w:val="auto"/>
                <w:sz w:val="24"/>
                <w:highlight w:val="none"/>
              </w:rPr>
            </w:pPr>
            <w:r>
              <w:rPr>
                <w:rFonts w:hint="eastAsia" w:ascii="宋体" w:hAnsi="宋体" w:cs="宋体"/>
                <w:color w:val="auto"/>
                <w:sz w:val="24"/>
                <w:highlight w:val="none"/>
              </w:rPr>
              <w:t>合理化建议具体详细全面、可操作性强且符合本项目要求的得2分；</w:t>
            </w:r>
          </w:p>
          <w:p w14:paraId="53716E67">
            <w:pPr>
              <w:snapToGrid w:val="0"/>
              <w:rPr>
                <w:rFonts w:hint="eastAsia" w:ascii="宋体" w:hAnsi="宋体" w:cs="宋体"/>
                <w:color w:val="auto"/>
                <w:sz w:val="24"/>
                <w:highlight w:val="none"/>
              </w:rPr>
            </w:pPr>
            <w:r>
              <w:rPr>
                <w:rFonts w:hint="eastAsia" w:ascii="宋体" w:hAnsi="宋体" w:cs="宋体"/>
                <w:color w:val="auto"/>
                <w:sz w:val="24"/>
                <w:highlight w:val="none"/>
              </w:rPr>
              <w:t>合理化建议可操作性、可行性较普通，针对性欠佳得1分；</w:t>
            </w:r>
          </w:p>
          <w:p w14:paraId="41A54002">
            <w:pPr>
              <w:snapToGrid w:val="0"/>
              <w:rPr>
                <w:rFonts w:hint="eastAsia" w:ascii="宋体" w:hAnsi="宋体" w:cs="宋体"/>
                <w:color w:val="auto"/>
                <w:sz w:val="24"/>
                <w:highlight w:val="none"/>
              </w:rPr>
            </w:pPr>
            <w:r>
              <w:rPr>
                <w:rFonts w:hint="eastAsia" w:ascii="宋体" w:hAnsi="宋体" w:cs="宋体"/>
                <w:color w:val="auto"/>
                <w:sz w:val="24"/>
                <w:highlight w:val="none"/>
              </w:rPr>
              <w:t>合理化建议较差，并不明确、无针对性的得0.5分；</w:t>
            </w:r>
          </w:p>
          <w:p w14:paraId="7B95575A">
            <w:pPr>
              <w:pStyle w:val="10"/>
              <w:jc w:val="left"/>
              <w:rPr>
                <w:rFonts w:hint="eastAsia" w:hAnsi="宋体" w:cs="宋体"/>
                <w:color w:val="auto"/>
                <w:sz w:val="24"/>
                <w:szCs w:val="24"/>
                <w:highlight w:val="none"/>
              </w:rPr>
            </w:pPr>
            <w:r>
              <w:rPr>
                <w:rFonts w:hint="eastAsia" w:hAnsi="宋体" w:cs="宋体"/>
                <w:color w:val="auto"/>
                <w:sz w:val="24"/>
                <w:szCs w:val="24"/>
                <w:highlight w:val="none"/>
                <w:lang w:val="zh-CN"/>
              </w:rPr>
              <w:t>不提供的</w:t>
            </w:r>
            <w:r>
              <w:rPr>
                <w:rFonts w:hint="eastAsia" w:hAnsi="宋体" w:cs="宋体"/>
                <w:color w:val="auto"/>
                <w:sz w:val="24"/>
                <w:szCs w:val="24"/>
                <w:highlight w:val="none"/>
              </w:rPr>
              <w:t>得0分。</w:t>
            </w:r>
          </w:p>
        </w:tc>
        <w:tc>
          <w:tcPr>
            <w:tcW w:w="494" w:type="pct"/>
            <w:vAlign w:val="center"/>
          </w:tcPr>
          <w:p w14:paraId="2B45149A">
            <w:pPr>
              <w:pStyle w:val="10"/>
              <w:jc w:val="center"/>
              <w:rPr>
                <w:rFonts w:hint="eastAsia" w:hAnsi="宋体" w:cs="宋体"/>
                <w:color w:val="auto"/>
                <w:sz w:val="24"/>
                <w:szCs w:val="24"/>
                <w:highlight w:val="none"/>
              </w:rPr>
            </w:pPr>
            <w:r>
              <w:rPr>
                <w:rFonts w:hint="eastAsia" w:hAnsi="宋体" w:cs="宋体"/>
                <w:color w:val="auto"/>
                <w:sz w:val="24"/>
                <w:szCs w:val="24"/>
                <w:highlight w:val="none"/>
              </w:rPr>
              <w:t>2</w:t>
            </w:r>
          </w:p>
        </w:tc>
        <w:tc>
          <w:tcPr>
            <w:tcW w:w="774" w:type="pct"/>
            <w:vAlign w:val="center"/>
          </w:tcPr>
          <w:p w14:paraId="143429FF">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845" w:type="pct"/>
          </w:tcPr>
          <w:p w14:paraId="303BCB24">
            <w:pPr>
              <w:rPr>
                <w:rFonts w:hint="eastAsia" w:ascii="宋体" w:hAnsi="宋体" w:cs="宋体"/>
                <w:color w:val="auto"/>
                <w:sz w:val="24"/>
                <w:highlight w:val="none"/>
              </w:rPr>
            </w:pPr>
          </w:p>
        </w:tc>
      </w:tr>
      <w:tr w14:paraId="68CA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49" w:type="pct"/>
            <w:vAlign w:val="center"/>
          </w:tcPr>
          <w:p w14:paraId="1FC1A771">
            <w:pPr>
              <w:ind w:left="239" w:leftChars="114"/>
              <w:jc w:val="center"/>
              <w:outlineLvl w:val="0"/>
              <w:rPr>
                <w:rFonts w:hint="eastAsia" w:ascii="宋体" w:hAnsi="宋体" w:cs="宋体"/>
                <w:color w:val="auto"/>
                <w:sz w:val="24"/>
                <w:highlight w:val="none"/>
              </w:rPr>
            </w:pPr>
            <w:r>
              <w:rPr>
                <w:rFonts w:hint="eastAsia" w:ascii="宋体" w:hAnsi="宋体" w:cs="宋体"/>
                <w:color w:val="auto"/>
                <w:sz w:val="24"/>
                <w:highlight w:val="none"/>
              </w:rPr>
              <w:t>报价</w:t>
            </w:r>
          </w:p>
        </w:tc>
        <w:tc>
          <w:tcPr>
            <w:tcW w:w="2537" w:type="pct"/>
            <w:gridSpan w:val="2"/>
            <w:vAlign w:val="center"/>
          </w:tcPr>
          <w:p w14:paraId="6341546B">
            <w:pPr>
              <w:jc w:val="left"/>
              <w:outlineLvl w:val="0"/>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有效投标报价的最低价作为评标基准价，其最低报价为满分；按［投标报价得分=（评标基准价/投标报价）*15］的计算公式计算。</w:t>
            </w:r>
          </w:p>
          <w:p w14:paraId="5C508551">
            <w:pPr>
              <w:snapToGrid w:val="0"/>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181760ED">
            <w:pPr>
              <w:widowControl/>
              <w:shd w:val="clear" w:color="auto" w:fill="FFFFFF"/>
              <w:adjustRightInd/>
              <w:spacing w:after="225"/>
              <w:jc w:val="left"/>
              <w:rPr>
                <w:color w:val="auto"/>
                <w:sz w:val="24"/>
                <w:highlight w:val="none"/>
              </w:rPr>
            </w:pPr>
            <w:r>
              <w:rPr>
                <w:rFonts w:hint="eastAsia" w:ascii="宋体" w:hAnsi="宋体" w:cs="宋体"/>
                <w:color w:val="auto"/>
                <w:sz w:val="24"/>
                <w:highlight w:val="none"/>
              </w:rPr>
              <w:t>因落实政府采购政策需要进行价格调整的，以调整后的价格计算评标基准价和投标报价。</w:t>
            </w:r>
          </w:p>
        </w:tc>
        <w:tc>
          <w:tcPr>
            <w:tcW w:w="494" w:type="pct"/>
            <w:vAlign w:val="center"/>
          </w:tcPr>
          <w:p w14:paraId="53EE182C">
            <w:pPr>
              <w:ind w:firstLine="120" w:firstLineChars="50"/>
              <w:outlineLvl w:val="0"/>
              <w:rPr>
                <w:rFonts w:hint="eastAsia" w:ascii="宋体" w:hAnsi="宋体" w:cs="宋体"/>
                <w:color w:val="auto"/>
                <w:sz w:val="24"/>
                <w:highlight w:val="none"/>
              </w:rPr>
            </w:pPr>
            <w:r>
              <w:rPr>
                <w:rFonts w:hint="eastAsia" w:ascii="宋体" w:hAnsi="宋体" w:cs="宋体"/>
                <w:color w:val="auto"/>
                <w:sz w:val="24"/>
                <w:highlight w:val="none"/>
              </w:rPr>
              <w:t>15</w:t>
            </w:r>
          </w:p>
        </w:tc>
        <w:tc>
          <w:tcPr>
            <w:tcW w:w="774" w:type="pct"/>
            <w:vAlign w:val="center"/>
          </w:tcPr>
          <w:p w14:paraId="70223309">
            <w:pPr>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845" w:type="pct"/>
            <w:vAlign w:val="center"/>
          </w:tcPr>
          <w:p w14:paraId="6B0CE56A">
            <w:pPr>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bookmarkEnd w:id="400"/>
    </w:tbl>
    <w:p w14:paraId="2A1B4D9C">
      <w:pPr>
        <w:snapToGrid w:val="0"/>
        <w:spacing w:line="360" w:lineRule="auto"/>
        <w:rPr>
          <w:rFonts w:hint="eastAsia" w:ascii="宋体" w:hAnsi="宋体" w:cs="宋体"/>
          <w:color w:val="auto"/>
          <w:sz w:val="24"/>
          <w:highlight w:val="none"/>
          <w:shd w:val="clear" w:color="auto" w:fill="FFFFFF"/>
        </w:rPr>
      </w:pPr>
    </w:p>
    <w:p w14:paraId="747D1D1B">
      <w:pPr>
        <w:snapToGrid w:val="0"/>
        <w:spacing w:line="360" w:lineRule="auto"/>
        <w:rPr>
          <w:rFonts w:hint="eastAsia" w:ascii="宋体" w:hAnsi="宋体" w:cs="宋体"/>
          <w:b/>
          <w:color w:val="auto"/>
          <w:sz w:val="24"/>
          <w:highlight w:val="none"/>
        </w:rPr>
      </w:pPr>
      <w:r>
        <w:rPr>
          <w:rFonts w:hint="eastAsia" w:ascii="宋体" w:hAnsi="宋体" w:cs="宋体"/>
          <w:color w:val="auto"/>
          <w:sz w:val="24"/>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ED280ED">
      <w:pPr>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一、评标方法</w:t>
      </w:r>
    </w:p>
    <w:p w14:paraId="6CA9087E">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BB7C87B">
      <w:pPr>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二、评标标准</w:t>
      </w:r>
    </w:p>
    <w:p w14:paraId="4492D027">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F484E38">
      <w:pPr>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三、评标程序</w:t>
      </w:r>
    </w:p>
    <w:p w14:paraId="23EDA352">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E9F469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F6526B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68A218E">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C36028D">
      <w:pPr>
        <w:pStyle w:val="25"/>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F0CBD61">
      <w:pPr>
        <w:pStyle w:val="2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6CA0A21">
      <w:pPr>
        <w:pStyle w:val="2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F3704C">
      <w:pPr>
        <w:pStyle w:val="2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9280B6C">
      <w:pPr>
        <w:pStyle w:val="2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04AF2CB">
      <w:pPr>
        <w:pStyle w:val="2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651374D">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4C371D8">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8F34262">
      <w:pPr>
        <w:pStyle w:val="2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469E6A">
      <w:pPr>
        <w:pStyle w:val="2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w:t>
      </w:r>
      <w:r>
        <w:rPr>
          <w:rFonts w:ascii="宋体" w:hAnsi="宋体" w:cs="宋体"/>
          <w:color w:val="auto"/>
          <w:kern w:val="0"/>
          <w:szCs w:val="24"/>
          <w:highlight w:val="none"/>
        </w:rPr>
        <w:t>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B38292A">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490163C">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B1DDCD">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评标委员会按照评审得分由高到低顺序推荐 1 名中标候选人，并编写评审报告。评标委员会成员对需要共同认定的事项存在争议的，应当按照少数服从多数的原则作出结论。持不同意见的评标委员会成员应当在评标报告上签署不同意见及理由，否则视为同意评标报告。</w:t>
      </w:r>
    </w:p>
    <w:p w14:paraId="5096F1CA">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9C6B6F0">
      <w:pPr>
        <w:pStyle w:val="25"/>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764E5E2">
      <w:pPr>
        <w:pStyle w:val="8"/>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4D400F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436EDB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A4A25F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9A0A18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2623FB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E3330BD">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CE193C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4F03B2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F1AF20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7C4F29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99AFC64">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9D186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61C3EF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7D6144CA">
      <w:pPr>
        <w:spacing w:line="360" w:lineRule="auto"/>
        <w:ind w:firstLine="480" w:firstLineChars="20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4.2.14</w:t>
      </w:r>
      <w:r>
        <w:rPr>
          <w:rFonts w:hint="eastAsia" w:ascii="宋体" w:hAnsi="宋体" w:cs="宋体"/>
          <w:color w:val="auto"/>
          <w:kern w:val="0"/>
          <w:sz w:val="24"/>
          <w:highlight w:val="none"/>
          <w:lang w:eastAsia="zh-CN"/>
        </w:rPr>
        <w:t>参与同一标段（包）的投标人（供应商）存在MAC地址相同、计算机硬盘序列号相同、响应文件细节错误一致且无合理解释、供应商手机号相同等情形的</w:t>
      </w:r>
    </w:p>
    <w:p w14:paraId="29512A6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5EEEE428">
      <w:pPr>
        <w:pStyle w:val="8"/>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DB3B870">
      <w:pPr>
        <w:pStyle w:val="8"/>
        <w:snapToGrid w:val="0"/>
        <w:spacing w:line="360" w:lineRule="auto"/>
        <w:rPr>
          <w:rFonts w:hint="eastAsia" w:cs="宋体"/>
          <w:color w:val="auto"/>
          <w:highlight w:val="none"/>
        </w:rPr>
      </w:pPr>
      <w:r>
        <w:rPr>
          <w:rFonts w:hint="eastAsia" w:cs="宋体"/>
          <w:color w:val="auto"/>
          <w:highlight w:val="none"/>
        </w:rPr>
        <w:t>5.1符合专业条件的投标人或者对招标文件作实质响应的投标人不足3家的；</w:t>
      </w:r>
    </w:p>
    <w:p w14:paraId="42B7555D">
      <w:pPr>
        <w:pStyle w:val="8"/>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0E529EDD">
      <w:pPr>
        <w:pStyle w:val="8"/>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12A5421B">
      <w:pPr>
        <w:pStyle w:val="8"/>
        <w:snapToGrid w:val="0"/>
        <w:spacing w:line="360" w:lineRule="auto"/>
        <w:rPr>
          <w:rFonts w:hint="eastAsia" w:cs="宋体"/>
          <w:color w:val="auto"/>
          <w:highlight w:val="none"/>
        </w:rPr>
      </w:pPr>
      <w:r>
        <w:rPr>
          <w:rFonts w:hint="eastAsia" w:cs="宋体"/>
          <w:color w:val="auto"/>
          <w:highlight w:val="none"/>
        </w:rPr>
        <w:t>5.4因重大变故，采购任务取消的。</w:t>
      </w:r>
    </w:p>
    <w:p w14:paraId="68E5B3AA">
      <w:pPr>
        <w:pStyle w:val="8"/>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4F2A60E4">
      <w:pPr>
        <w:pStyle w:val="8"/>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7D3E664">
      <w:pPr>
        <w:pStyle w:val="8"/>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73A62D2">
      <w:pPr>
        <w:pStyle w:val="8"/>
        <w:snapToGrid w:val="0"/>
        <w:spacing w:line="360" w:lineRule="auto"/>
        <w:rPr>
          <w:rFonts w:hint="eastAsia" w:cs="宋体"/>
          <w:color w:val="auto"/>
          <w:highlight w:val="none"/>
        </w:rPr>
      </w:pPr>
      <w:r>
        <w:rPr>
          <w:rFonts w:hint="eastAsia" w:cs="宋体"/>
          <w:color w:val="auto"/>
          <w:highlight w:val="none"/>
        </w:rPr>
        <w:t>7.1未确定中标人的，终止本次政府采购活动，重新开展政府采购活动。</w:t>
      </w:r>
    </w:p>
    <w:p w14:paraId="65EDD99E">
      <w:pPr>
        <w:pStyle w:val="8"/>
        <w:snapToGrid w:val="0"/>
        <w:spacing w:line="360" w:lineRule="auto"/>
        <w:rPr>
          <w:rFonts w:hint="eastAsia" w:cs="宋体"/>
          <w:color w:val="auto"/>
          <w:highlight w:val="none"/>
        </w:rPr>
      </w:pPr>
      <w:r>
        <w:rPr>
          <w:rFonts w:hint="eastAsia" w:cs="宋体"/>
          <w:color w:val="auto"/>
          <w:highlight w:val="none"/>
        </w:rPr>
        <w:t>7.2已确定中标人但尚未签订政府采购合同的，中标结果无效，从合格的中标候选人中另行确定中标人；没有合格的中标候选人的，重新开展政府采购活动。</w:t>
      </w:r>
    </w:p>
    <w:p w14:paraId="70C27F9A">
      <w:pPr>
        <w:pStyle w:val="8"/>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7.3政府采购合同已签订但尚未履行的，撤销合同，从合格的中标候选人中另行确定中标人；没有合格的中标候选人的，重新开展政府采购活动。</w:t>
      </w:r>
    </w:p>
    <w:p w14:paraId="70A624CA">
      <w:pPr>
        <w:pStyle w:val="8"/>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30DE3E50">
      <w:pPr>
        <w:pStyle w:val="8"/>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3"/>
      <w:bookmarkStart w:id="402" w:name="第五部分"/>
      <w:bookmarkStart w:id="403" w:name="_Toc86217003"/>
    </w:p>
    <w:p w14:paraId="59095050">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第五部分 拟签订的合同文本</w:t>
      </w:r>
    </w:p>
    <w:p w14:paraId="555AF151">
      <w:pPr>
        <w:rPr>
          <w:rFonts w:hint="eastAsia"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1CE88B9E">
      <w:pPr>
        <w:pStyle w:val="10"/>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甲方（单位全称）：_________________________________  </w:t>
      </w:r>
    </w:p>
    <w:p w14:paraId="2040E20D">
      <w:pPr>
        <w:pStyle w:val="10"/>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乙方（单位全称）：_________________________________</w:t>
      </w:r>
    </w:p>
    <w:p w14:paraId="77696BA1">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经友好协商，依据《中华人民共和国民法典》合同编及相关法律、法规的规定，现就甲方委托乙方进行杭州市第四人民医院（杭州市肿瘤医院）迁建工程BIM技术咨询服务项目之相关事宜，达成如下协议，以资共同遵守。</w:t>
      </w:r>
    </w:p>
    <w:p w14:paraId="22530A2F">
      <w:pPr>
        <w:pStyle w:val="10"/>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第一条 技术咨询服务的内容、成果及要求</w:t>
      </w:r>
    </w:p>
    <w:p w14:paraId="66BA68F1">
      <w:pPr>
        <w:pStyle w:val="29"/>
        <w:widowControl w:val="0"/>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本项目BIM咨询服务包括但不限于施工图设计阶段、施工阶段、竣工阶段的BIM技术应用服务。具体内容包括但不限于：</w:t>
      </w:r>
    </w:p>
    <w:p w14:paraId="1858C46A">
      <w:pPr>
        <w:pStyle w:val="29"/>
        <w:widowControl w:val="0"/>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1.搭建BIM集成化协同管理平台；</w:t>
      </w:r>
    </w:p>
    <w:p w14:paraId="2073C856">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2.施工图设计阶段：用BIM 搭建场地模型、结构模型、建筑模型和设备模型，并利用其多专业协同设计的独特优势，用于施工图设计的校审和优化。校审的内容包括设计中各专业的错漏碰问题查验，发现施工中的冲突点和难点，加以优化和协调。模型定稿后，抽取工程量，为工程的概、预算提供准确的数据，为招标、分包、材料、工程管理等施工管理工作服务。包括但不限于以下工作：</w:t>
      </w:r>
    </w:p>
    <w:p w14:paraId="14D95D11">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a.本项目全专业（</w:t>
      </w:r>
      <w:r>
        <w:rPr>
          <w:rFonts w:hint="eastAsia" w:ascii="宋体" w:hAnsi="宋体" w:cs="仿宋_GB2312"/>
          <w:color w:val="auto"/>
          <w:sz w:val="24"/>
          <w:highlight w:val="none"/>
        </w:rPr>
        <w:t>建筑、结构（含钢结构、减隔震及地基处理）、给排水、暖通、强弱电、智能化（含光纤入户及信号覆盖）、室内外装修、人防工程、消防工程、幕墙、燃气、室外市政、永久用电、室外配套、景观绿化、电梯、医疗专项、医疗家具、基坑及边坡支护、接入外线工程等</w:t>
      </w:r>
      <w:r>
        <w:rPr>
          <w:rFonts w:hint="eastAsia" w:ascii="宋体" w:hAnsi="宋体" w:cs="宋体"/>
          <w:color w:val="auto"/>
          <w:sz w:val="24"/>
          <w:highlight w:val="none"/>
        </w:rPr>
        <w:t>）BIM 设计建模；</w:t>
      </w:r>
    </w:p>
    <w:p w14:paraId="71D41623">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b.引用设计单位提供的土建、机电、装修、医疗专项等各专业图纸，对a.部分的设计内容进行三维可视化建模并检查，出具碰撞检查报告，净高分析报告，提出优化建议，并根据设计调整更新BIM模型，封闭各项设计问题；利用BIM模型实现虚拟漫游、三维可视化，同时对人流、车流、物流等进行模拟分析；</w:t>
      </w:r>
    </w:p>
    <w:p w14:paraId="7062290F">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c.建立各自专业的族库文件，按照设计LOD300规范分类管理；</w:t>
      </w:r>
    </w:p>
    <w:p w14:paraId="00CE1778">
      <w:pPr>
        <w:autoSpaceDE w:val="0"/>
        <w:autoSpaceDN w:val="0"/>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d.按采购人要求出席设计例会、项目例会、设计交底会等工程会议，并在会议中进行BIM 模型的操作；</w:t>
      </w:r>
    </w:p>
    <w:p w14:paraId="7D67032C">
      <w:pPr>
        <w:pStyle w:val="29"/>
        <w:widowControl w:val="0"/>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e.</w:t>
      </w:r>
      <w:r>
        <w:rPr>
          <w:rFonts w:hint="eastAsia" w:ascii="宋体" w:hAnsi="宋体" w:cs="仿宋_GB2312"/>
          <w:color w:val="auto"/>
          <w:sz w:val="24"/>
          <w:szCs w:val="24"/>
          <w:highlight w:val="none"/>
        </w:rPr>
        <w:t>为项目各参建单位提供全面的BIM管理及技术应用培训，培训内容包括BIM协同管理平台应用培训、BIM基础知识培训、BIM技术应用培训及BIM管理应用培训。</w:t>
      </w:r>
    </w:p>
    <w:p w14:paraId="73F1B21B">
      <w:pPr>
        <w:pStyle w:val="29"/>
        <w:widowControl w:val="0"/>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3.施工阶段：包括但不限于</w:t>
      </w:r>
      <w:r>
        <w:rPr>
          <w:rFonts w:hint="eastAsia" w:ascii="宋体" w:hAnsi="宋体" w:cs="仿宋_GB2312"/>
          <w:color w:val="auto"/>
          <w:sz w:val="24"/>
          <w:szCs w:val="24"/>
          <w:highlight w:val="none"/>
        </w:rPr>
        <w:t>各专业深化设计、</w:t>
      </w:r>
      <w:r>
        <w:rPr>
          <w:rFonts w:hint="eastAsia" w:ascii="宋体" w:hAnsi="宋体" w:cs="宋体"/>
          <w:color w:val="auto"/>
          <w:sz w:val="24"/>
          <w:szCs w:val="24"/>
          <w:highlight w:val="none"/>
        </w:rPr>
        <w:t>施工阶段施工组织、施工工艺、进度、质量、安全、验收BIM技术应用。</w:t>
      </w:r>
    </w:p>
    <w:p w14:paraId="1A4ABC9B">
      <w:pPr>
        <w:pStyle w:val="29"/>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 xml:space="preserve">4.竣工验收后，依据竣工资料完成整个项目的 BIM 竣工模型（包含建筑、结构、机电、医疗专项工程、室外配套）的创建。辅助甲方完成竣工资料信息化归档及项目移交工作。 </w:t>
      </w:r>
    </w:p>
    <w:p w14:paraId="40325775">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具体服务内容详见下表：</w:t>
      </w:r>
    </w:p>
    <w:tbl>
      <w:tblPr>
        <w:tblStyle w:val="16"/>
        <w:tblW w:w="970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454"/>
        <w:gridCol w:w="5573"/>
        <w:gridCol w:w="1759"/>
      </w:tblGrid>
      <w:tr w14:paraId="7C18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Align w:val="center"/>
          </w:tcPr>
          <w:p w14:paraId="6651F27A">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阶段</w:t>
            </w:r>
          </w:p>
        </w:tc>
        <w:tc>
          <w:tcPr>
            <w:tcW w:w="1454" w:type="dxa"/>
            <w:vAlign w:val="center"/>
          </w:tcPr>
          <w:p w14:paraId="70D01D64">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BIM服务内容</w:t>
            </w:r>
          </w:p>
        </w:tc>
        <w:tc>
          <w:tcPr>
            <w:tcW w:w="5573" w:type="dxa"/>
            <w:vAlign w:val="center"/>
          </w:tcPr>
          <w:p w14:paraId="7B0474D1">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服务描述</w:t>
            </w:r>
          </w:p>
        </w:tc>
        <w:tc>
          <w:tcPr>
            <w:tcW w:w="1759" w:type="dxa"/>
            <w:vAlign w:val="center"/>
          </w:tcPr>
          <w:p w14:paraId="750280EA">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交付成果</w:t>
            </w:r>
          </w:p>
        </w:tc>
      </w:tr>
      <w:tr w14:paraId="522F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restart"/>
            <w:vAlign w:val="center"/>
          </w:tcPr>
          <w:p w14:paraId="553719FC">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BIM准备服务</w:t>
            </w:r>
          </w:p>
        </w:tc>
        <w:tc>
          <w:tcPr>
            <w:tcW w:w="1454" w:type="dxa"/>
            <w:vMerge w:val="restart"/>
            <w:vAlign w:val="center"/>
          </w:tcPr>
          <w:p w14:paraId="3DECB948">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制定及规划项目BIM要求</w:t>
            </w:r>
          </w:p>
        </w:tc>
        <w:tc>
          <w:tcPr>
            <w:tcW w:w="5573" w:type="dxa"/>
            <w:vAlign w:val="center"/>
          </w:tcPr>
          <w:p w14:paraId="3D8CC5BD">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1.1 主持BIM启动会议及需求调研</w:t>
            </w:r>
          </w:p>
        </w:tc>
        <w:tc>
          <w:tcPr>
            <w:tcW w:w="1759" w:type="dxa"/>
            <w:vMerge w:val="restart"/>
            <w:vAlign w:val="center"/>
          </w:tcPr>
          <w:p w14:paraId="5C8AC18B">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《BIM服务执行计划》（doc/pdf文件）</w:t>
            </w:r>
          </w:p>
        </w:tc>
      </w:tr>
      <w:tr w14:paraId="593A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continue"/>
            <w:vAlign w:val="center"/>
          </w:tcPr>
          <w:p w14:paraId="12052C79">
            <w:pPr>
              <w:spacing w:line="460" w:lineRule="exact"/>
              <w:rPr>
                <w:rFonts w:hint="eastAsia" w:ascii="宋体" w:hAnsi="宋体" w:cs="宋体"/>
                <w:color w:val="auto"/>
                <w:sz w:val="24"/>
                <w:highlight w:val="none"/>
              </w:rPr>
            </w:pPr>
          </w:p>
        </w:tc>
        <w:tc>
          <w:tcPr>
            <w:tcW w:w="1454" w:type="dxa"/>
            <w:vMerge w:val="continue"/>
            <w:vAlign w:val="center"/>
          </w:tcPr>
          <w:p w14:paraId="6B87DA0C">
            <w:pPr>
              <w:spacing w:line="460" w:lineRule="exact"/>
              <w:rPr>
                <w:rFonts w:hint="eastAsia" w:ascii="宋体" w:hAnsi="宋体" w:cs="宋体"/>
                <w:color w:val="auto"/>
                <w:sz w:val="24"/>
                <w:highlight w:val="none"/>
              </w:rPr>
            </w:pPr>
          </w:p>
        </w:tc>
        <w:tc>
          <w:tcPr>
            <w:tcW w:w="5573" w:type="dxa"/>
            <w:vAlign w:val="center"/>
          </w:tcPr>
          <w:p w14:paraId="55C4F21F">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1.2 制定模型深度标准及创建规则</w:t>
            </w:r>
          </w:p>
        </w:tc>
        <w:tc>
          <w:tcPr>
            <w:tcW w:w="1759" w:type="dxa"/>
            <w:vMerge w:val="continue"/>
            <w:vAlign w:val="center"/>
          </w:tcPr>
          <w:p w14:paraId="7F898186">
            <w:pPr>
              <w:spacing w:line="460" w:lineRule="exact"/>
              <w:rPr>
                <w:rFonts w:hint="eastAsia" w:ascii="宋体" w:hAnsi="宋体" w:cs="宋体"/>
                <w:color w:val="auto"/>
                <w:sz w:val="24"/>
                <w:highlight w:val="none"/>
              </w:rPr>
            </w:pPr>
          </w:p>
        </w:tc>
      </w:tr>
      <w:tr w14:paraId="5492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continue"/>
            <w:vAlign w:val="center"/>
          </w:tcPr>
          <w:p w14:paraId="45611CA5">
            <w:pPr>
              <w:spacing w:line="460" w:lineRule="exact"/>
              <w:rPr>
                <w:rFonts w:hint="eastAsia" w:ascii="宋体" w:hAnsi="宋体" w:cs="宋体"/>
                <w:color w:val="auto"/>
                <w:sz w:val="24"/>
                <w:highlight w:val="none"/>
              </w:rPr>
            </w:pPr>
          </w:p>
        </w:tc>
        <w:tc>
          <w:tcPr>
            <w:tcW w:w="1454" w:type="dxa"/>
            <w:vMerge w:val="continue"/>
            <w:vAlign w:val="center"/>
          </w:tcPr>
          <w:p w14:paraId="3994BB36">
            <w:pPr>
              <w:spacing w:line="460" w:lineRule="exact"/>
              <w:rPr>
                <w:rFonts w:hint="eastAsia" w:ascii="宋体" w:hAnsi="宋体" w:cs="宋体"/>
                <w:color w:val="auto"/>
                <w:sz w:val="24"/>
                <w:highlight w:val="none"/>
              </w:rPr>
            </w:pPr>
          </w:p>
        </w:tc>
        <w:tc>
          <w:tcPr>
            <w:tcW w:w="5573" w:type="dxa"/>
            <w:vAlign w:val="center"/>
          </w:tcPr>
          <w:p w14:paraId="19DED538">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1.3 制定数字化样板房模型深度和渲染要求</w:t>
            </w:r>
          </w:p>
        </w:tc>
        <w:tc>
          <w:tcPr>
            <w:tcW w:w="1759" w:type="dxa"/>
            <w:vMerge w:val="continue"/>
            <w:vAlign w:val="center"/>
          </w:tcPr>
          <w:p w14:paraId="14A68D94">
            <w:pPr>
              <w:spacing w:line="460" w:lineRule="exact"/>
              <w:rPr>
                <w:rFonts w:hint="eastAsia" w:ascii="宋体" w:hAnsi="宋体" w:cs="宋体"/>
                <w:color w:val="auto"/>
                <w:sz w:val="24"/>
                <w:highlight w:val="none"/>
              </w:rPr>
            </w:pPr>
          </w:p>
        </w:tc>
      </w:tr>
      <w:tr w14:paraId="3CCD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continue"/>
            <w:vAlign w:val="center"/>
          </w:tcPr>
          <w:p w14:paraId="049B0779">
            <w:pPr>
              <w:spacing w:line="460" w:lineRule="exact"/>
              <w:rPr>
                <w:rFonts w:hint="eastAsia" w:ascii="宋体" w:hAnsi="宋体" w:cs="宋体"/>
                <w:color w:val="auto"/>
                <w:sz w:val="24"/>
                <w:highlight w:val="none"/>
              </w:rPr>
            </w:pPr>
          </w:p>
        </w:tc>
        <w:tc>
          <w:tcPr>
            <w:tcW w:w="1454" w:type="dxa"/>
            <w:vMerge w:val="continue"/>
            <w:vAlign w:val="center"/>
          </w:tcPr>
          <w:p w14:paraId="4A7A6FDE">
            <w:pPr>
              <w:spacing w:line="460" w:lineRule="exact"/>
              <w:rPr>
                <w:rFonts w:hint="eastAsia" w:ascii="宋体" w:hAnsi="宋体" w:cs="宋体"/>
                <w:color w:val="auto"/>
                <w:sz w:val="24"/>
                <w:highlight w:val="none"/>
              </w:rPr>
            </w:pPr>
          </w:p>
        </w:tc>
        <w:tc>
          <w:tcPr>
            <w:tcW w:w="5573" w:type="dxa"/>
            <w:vAlign w:val="center"/>
          </w:tcPr>
          <w:p w14:paraId="5622795B">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1.4 制定BIM模型深度要求</w:t>
            </w:r>
          </w:p>
        </w:tc>
        <w:tc>
          <w:tcPr>
            <w:tcW w:w="1759" w:type="dxa"/>
            <w:vMerge w:val="continue"/>
            <w:vAlign w:val="center"/>
          </w:tcPr>
          <w:p w14:paraId="03966C82">
            <w:pPr>
              <w:spacing w:line="460" w:lineRule="exact"/>
              <w:rPr>
                <w:rFonts w:hint="eastAsia" w:ascii="宋体" w:hAnsi="宋体" w:cs="宋体"/>
                <w:color w:val="auto"/>
                <w:sz w:val="24"/>
                <w:highlight w:val="none"/>
              </w:rPr>
            </w:pPr>
          </w:p>
        </w:tc>
      </w:tr>
      <w:tr w14:paraId="18B6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continue"/>
            <w:vAlign w:val="center"/>
          </w:tcPr>
          <w:p w14:paraId="2DD70055">
            <w:pPr>
              <w:spacing w:line="460" w:lineRule="exact"/>
              <w:rPr>
                <w:rFonts w:hint="eastAsia" w:ascii="宋体" w:hAnsi="宋体" w:cs="宋体"/>
                <w:color w:val="auto"/>
                <w:sz w:val="24"/>
                <w:highlight w:val="none"/>
              </w:rPr>
            </w:pPr>
          </w:p>
        </w:tc>
        <w:tc>
          <w:tcPr>
            <w:tcW w:w="1454" w:type="dxa"/>
            <w:vMerge w:val="continue"/>
            <w:vAlign w:val="center"/>
          </w:tcPr>
          <w:p w14:paraId="2C34967F">
            <w:pPr>
              <w:spacing w:line="460" w:lineRule="exact"/>
              <w:rPr>
                <w:rFonts w:hint="eastAsia" w:ascii="宋体" w:hAnsi="宋体" w:cs="宋体"/>
                <w:color w:val="auto"/>
                <w:sz w:val="24"/>
                <w:highlight w:val="none"/>
              </w:rPr>
            </w:pPr>
          </w:p>
        </w:tc>
        <w:tc>
          <w:tcPr>
            <w:tcW w:w="5573" w:type="dxa"/>
            <w:vAlign w:val="center"/>
          </w:tcPr>
          <w:p w14:paraId="787E42E7">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1.5 制定BIM技术基础设施（软件、硬件、平台）要求</w:t>
            </w:r>
          </w:p>
        </w:tc>
        <w:tc>
          <w:tcPr>
            <w:tcW w:w="1759" w:type="dxa"/>
            <w:vMerge w:val="continue"/>
            <w:vAlign w:val="center"/>
          </w:tcPr>
          <w:p w14:paraId="1ED97DAC">
            <w:pPr>
              <w:spacing w:line="460" w:lineRule="exact"/>
              <w:rPr>
                <w:rFonts w:hint="eastAsia" w:ascii="宋体" w:hAnsi="宋体" w:cs="宋体"/>
                <w:color w:val="auto"/>
                <w:sz w:val="24"/>
                <w:highlight w:val="none"/>
              </w:rPr>
            </w:pPr>
          </w:p>
        </w:tc>
      </w:tr>
      <w:tr w14:paraId="0FF6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continue"/>
            <w:vAlign w:val="center"/>
          </w:tcPr>
          <w:p w14:paraId="3F0A9C8D">
            <w:pPr>
              <w:spacing w:line="460" w:lineRule="exact"/>
              <w:rPr>
                <w:rFonts w:hint="eastAsia" w:ascii="宋体" w:hAnsi="宋体" w:cs="宋体"/>
                <w:color w:val="auto"/>
                <w:sz w:val="24"/>
                <w:highlight w:val="none"/>
              </w:rPr>
            </w:pPr>
          </w:p>
        </w:tc>
        <w:tc>
          <w:tcPr>
            <w:tcW w:w="1454" w:type="dxa"/>
            <w:vMerge w:val="continue"/>
            <w:vAlign w:val="center"/>
          </w:tcPr>
          <w:p w14:paraId="1524A86A">
            <w:pPr>
              <w:spacing w:line="460" w:lineRule="exact"/>
              <w:rPr>
                <w:rFonts w:hint="eastAsia" w:ascii="宋体" w:hAnsi="宋体" w:cs="宋体"/>
                <w:color w:val="auto"/>
                <w:sz w:val="24"/>
                <w:highlight w:val="none"/>
              </w:rPr>
            </w:pPr>
          </w:p>
        </w:tc>
        <w:tc>
          <w:tcPr>
            <w:tcW w:w="5573" w:type="dxa"/>
            <w:vAlign w:val="center"/>
          </w:tcPr>
          <w:p w14:paraId="3A5DA028">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1.6 制定项目BIM交付的数据标准</w:t>
            </w:r>
          </w:p>
        </w:tc>
        <w:tc>
          <w:tcPr>
            <w:tcW w:w="1759" w:type="dxa"/>
            <w:vMerge w:val="continue"/>
            <w:vAlign w:val="center"/>
          </w:tcPr>
          <w:p w14:paraId="34D5FA78">
            <w:pPr>
              <w:spacing w:line="460" w:lineRule="exact"/>
              <w:rPr>
                <w:rFonts w:hint="eastAsia" w:ascii="宋体" w:hAnsi="宋体" w:cs="宋体"/>
                <w:color w:val="auto"/>
                <w:sz w:val="24"/>
                <w:highlight w:val="none"/>
              </w:rPr>
            </w:pPr>
          </w:p>
        </w:tc>
      </w:tr>
      <w:tr w14:paraId="6225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continue"/>
            <w:vAlign w:val="center"/>
          </w:tcPr>
          <w:p w14:paraId="03C74768">
            <w:pPr>
              <w:spacing w:line="460" w:lineRule="exact"/>
              <w:rPr>
                <w:rFonts w:hint="eastAsia" w:ascii="宋体" w:hAnsi="宋体" w:cs="宋体"/>
                <w:color w:val="auto"/>
                <w:sz w:val="24"/>
                <w:highlight w:val="none"/>
              </w:rPr>
            </w:pPr>
          </w:p>
        </w:tc>
        <w:tc>
          <w:tcPr>
            <w:tcW w:w="1454" w:type="dxa"/>
            <w:vMerge w:val="continue"/>
            <w:vAlign w:val="center"/>
          </w:tcPr>
          <w:p w14:paraId="0F0B1323">
            <w:pPr>
              <w:spacing w:line="460" w:lineRule="exact"/>
              <w:rPr>
                <w:rFonts w:hint="eastAsia" w:ascii="宋体" w:hAnsi="宋体" w:cs="宋体"/>
                <w:color w:val="auto"/>
                <w:sz w:val="24"/>
                <w:highlight w:val="none"/>
              </w:rPr>
            </w:pPr>
          </w:p>
        </w:tc>
        <w:tc>
          <w:tcPr>
            <w:tcW w:w="5573" w:type="dxa"/>
            <w:vAlign w:val="center"/>
          </w:tcPr>
          <w:p w14:paraId="36E9DB97">
            <w:pPr>
              <w:snapToGrid w:val="0"/>
              <w:spacing w:line="460" w:lineRule="exact"/>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1.7项目样板文件包括但不限于BIM模型基础定位文件、BIM模型样板、分析报告样板、净高分析图样板、BIM深化出图样板、问题追踪统计销项样板等，以便在项目实施过程中统一BIM实施的模型、数据、报告、图纸等成果性文件。</w:t>
            </w:r>
          </w:p>
        </w:tc>
        <w:tc>
          <w:tcPr>
            <w:tcW w:w="1759" w:type="dxa"/>
            <w:vMerge w:val="continue"/>
            <w:vAlign w:val="center"/>
          </w:tcPr>
          <w:p w14:paraId="4499FA56">
            <w:pPr>
              <w:spacing w:line="460" w:lineRule="exact"/>
              <w:rPr>
                <w:rFonts w:hint="eastAsia" w:ascii="宋体" w:hAnsi="宋体" w:cs="宋体"/>
                <w:color w:val="auto"/>
                <w:sz w:val="24"/>
                <w:highlight w:val="none"/>
              </w:rPr>
            </w:pPr>
          </w:p>
        </w:tc>
      </w:tr>
      <w:tr w14:paraId="589A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920" w:type="dxa"/>
            <w:vMerge w:val="continue"/>
            <w:vAlign w:val="center"/>
          </w:tcPr>
          <w:p w14:paraId="5359C80B">
            <w:pPr>
              <w:spacing w:line="460" w:lineRule="exact"/>
              <w:rPr>
                <w:rFonts w:hint="eastAsia" w:ascii="宋体" w:hAnsi="宋体" w:cs="宋体"/>
                <w:color w:val="auto"/>
                <w:sz w:val="24"/>
                <w:highlight w:val="none"/>
              </w:rPr>
            </w:pPr>
          </w:p>
        </w:tc>
        <w:tc>
          <w:tcPr>
            <w:tcW w:w="1454" w:type="dxa"/>
            <w:vAlign w:val="center"/>
          </w:tcPr>
          <w:p w14:paraId="365C4283">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BIM执行计划</w:t>
            </w:r>
          </w:p>
        </w:tc>
        <w:tc>
          <w:tcPr>
            <w:tcW w:w="5573" w:type="dxa"/>
            <w:vAlign w:val="center"/>
          </w:tcPr>
          <w:p w14:paraId="0C706061">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项目执行计划是BIM服务的开展依据。对项目中各阶段的工作内容、工作周期、模型深度、分析内容等做出明确的要求，同时可作为工作验收与工作协调的基础文件。</w:t>
            </w:r>
          </w:p>
        </w:tc>
        <w:tc>
          <w:tcPr>
            <w:tcW w:w="1759" w:type="dxa"/>
            <w:vAlign w:val="center"/>
          </w:tcPr>
          <w:p w14:paraId="4E2E12F9">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《BIM服务执行计划》（doc/pdf文件）</w:t>
            </w:r>
          </w:p>
        </w:tc>
      </w:tr>
      <w:tr w14:paraId="7965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20" w:type="dxa"/>
            <w:vMerge w:val="continue"/>
            <w:vAlign w:val="center"/>
          </w:tcPr>
          <w:p w14:paraId="43036DC5">
            <w:pPr>
              <w:spacing w:line="460" w:lineRule="exact"/>
              <w:rPr>
                <w:rFonts w:hint="eastAsia" w:ascii="宋体" w:hAnsi="宋体" w:cs="宋体"/>
                <w:color w:val="auto"/>
                <w:sz w:val="24"/>
                <w:highlight w:val="none"/>
              </w:rPr>
            </w:pPr>
          </w:p>
        </w:tc>
        <w:tc>
          <w:tcPr>
            <w:tcW w:w="1454" w:type="dxa"/>
            <w:vAlign w:val="center"/>
          </w:tcPr>
          <w:p w14:paraId="759708D0">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提供BIM管理平台及相关模型浏览应用</w:t>
            </w:r>
          </w:p>
        </w:tc>
        <w:tc>
          <w:tcPr>
            <w:tcW w:w="5573" w:type="dxa"/>
            <w:vAlign w:val="center"/>
          </w:tcPr>
          <w:p w14:paraId="3E3A0322">
            <w:pPr>
              <w:snapToGrid w:val="0"/>
              <w:spacing w:line="460" w:lineRule="exact"/>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为设计方、总包方、业主等项目相关人员提供了一个全新的跨部门协同工作平台，满足项目的需求，可将BIM数据通过移动终端进行管理和查看，实现对BIM数据的实时把控。</w:t>
            </w:r>
          </w:p>
          <w:p w14:paraId="5296F4A9">
            <w:pPr>
              <w:snapToGrid w:val="0"/>
              <w:spacing w:line="460" w:lineRule="exact"/>
              <w:jc w:val="left"/>
              <w:rPr>
                <w:rFonts w:hint="eastAsia" w:ascii="宋体" w:hAnsi="宋体"/>
                <w:color w:val="auto"/>
                <w:highlight w:val="none"/>
              </w:rPr>
            </w:pPr>
            <w:r>
              <w:rPr>
                <w:rFonts w:hint="eastAsia" w:ascii="宋体" w:hAnsi="宋体" w:cs="宋体"/>
                <w:color w:val="auto"/>
                <w:sz w:val="24"/>
                <w:highlight w:val="none"/>
                <w:lang w:bidi="ar"/>
              </w:rPr>
              <w:t>BIM管理平台功能至少包括BIM模型及图档的数字化存储管理、轻量化BIM模型查看、质量安全追踪管理，平台不限用户数、不限存储容量，提供Android及iOS移动客户端数据访问。在项目实施过程中，应持续更新平台数据，同时数据应通过BIM协同管理平台分发至项目各参与方。</w:t>
            </w:r>
          </w:p>
        </w:tc>
        <w:tc>
          <w:tcPr>
            <w:tcW w:w="1759" w:type="dxa"/>
            <w:vAlign w:val="center"/>
          </w:tcPr>
          <w:p w14:paraId="0434D1E9">
            <w:pPr>
              <w:snapToGrid w:val="0"/>
              <w:spacing w:line="460" w:lineRule="exact"/>
              <w:jc w:val="center"/>
              <w:rPr>
                <w:rFonts w:hint="eastAsia" w:ascii="宋体" w:hAnsi="宋体" w:cs="宋体"/>
                <w:color w:val="auto"/>
                <w:sz w:val="24"/>
                <w:highlight w:val="none"/>
              </w:rPr>
            </w:pPr>
          </w:p>
        </w:tc>
      </w:tr>
      <w:tr w14:paraId="5D7B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920" w:type="dxa"/>
            <w:vMerge w:val="restart"/>
            <w:vAlign w:val="center"/>
          </w:tcPr>
          <w:p w14:paraId="4A03DA00">
            <w:pPr>
              <w:spacing w:line="460" w:lineRule="exact"/>
              <w:rPr>
                <w:rFonts w:hint="eastAsia" w:ascii="宋体" w:hAnsi="宋体" w:cs="宋体"/>
                <w:color w:val="auto"/>
                <w:sz w:val="24"/>
                <w:highlight w:val="none"/>
              </w:rPr>
            </w:pPr>
            <w:r>
              <w:rPr>
                <w:rFonts w:hint="eastAsia" w:ascii="宋体" w:hAnsi="宋体" w:cs="宋体"/>
                <w:color w:val="auto"/>
                <w:sz w:val="24"/>
                <w:highlight w:val="none"/>
                <w:lang w:bidi="ar"/>
              </w:rPr>
              <w:t>施工图设计阶段</w:t>
            </w:r>
          </w:p>
        </w:tc>
        <w:tc>
          <w:tcPr>
            <w:tcW w:w="1454" w:type="dxa"/>
            <w:shd w:val="clear" w:color="auto" w:fill="auto"/>
            <w:vAlign w:val="center"/>
          </w:tcPr>
          <w:p w14:paraId="10CF03C0">
            <w:pPr>
              <w:snapToGrid w:val="0"/>
              <w:spacing w:line="46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rPr>
              <w:t>施工图设计阶段</w:t>
            </w:r>
          </w:p>
        </w:tc>
        <w:tc>
          <w:tcPr>
            <w:tcW w:w="5573" w:type="dxa"/>
            <w:shd w:val="clear" w:color="auto" w:fill="auto"/>
            <w:vAlign w:val="center"/>
          </w:tcPr>
          <w:p w14:paraId="70CF96BE">
            <w:pPr>
              <w:snapToGrid w:val="0"/>
              <w:spacing w:line="460" w:lineRule="exact"/>
              <w:jc w:val="left"/>
              <w:rPr>
                <w:rFonts w:hint="eastAsia" w:ascii="宋体" w:hAnsi="宋体" w:cs="宋体"/>
                <w:color w:val="auto"/>
                <w:sz w:val="24"/>
                <w:highlight w:val="none"/>
                <w:lang w:bidi="ar"/>
              </w:rPr>
            </w:pPr>
            <w:r>
              <w:rPr>
                <w:rFonts w:hint="eastAsia" w:ascii="宋体" w:hAnsi="宋体" w:cs="宋体"/>
                <w:color w:val="auto"/>
                <w:sz w:val="24"/>
                <w:highlight w:val="none"/>
              </w:rPr>
              <w:t>完成本阶段可视化BIM建模、BIM模型工程量的快速提取及精确计算、出具碰撞检查报告及净高分析报告，并进行各专业BIM设计复核及优化分析，协调指导设计完成预留孔洞图及主要管线深化排布图纸。跟踪BIM问题的销项工作。</w:t>
            </w:r>
          </w:p>
        </w:tc>
        <w:tc>
          <w:tcPr>
            <w:tcW w:w="1759" w:type="dxa"/>
            <w:shd w:val="clear" w:color="auto" w:fill="auto"/>
            <w:vAlign w:val="center"/>
          </w:tcPr>
          <w:p w14:paraId="66D6E77D">
            <w:pPr>
              <w:snapToGrid w:val="0"/>
              <w:spacing w:line="46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LOD300模型、报告</w:t>
            </w:r>
          </w:p>
        </w:tc>
      </w:tr>
      <w:tr w14:paraId="5A38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0" w:type="dxa"/>
            <w:vMerge w:val="continue"/>
            <w:vAlign w:val="center"/>
          </w:tcPr>
          <w:p w14:paraId="69A87E3E">
            <w:pPr>
              <w:spacing w:line="460" w:lineRule="exact"/>
              <w:rPr>
                <w:rFonts w:hint="eastAsia" w:ascii="宋体" w:hAnsi="宋体" w:cs="宋体"/>
                <w:color w:val="auto"/>
                <w:sz w:val="24"/>
                <w:highlight w:val="none"/>
                <w:lang w:bidi="ar"/>
              </w:rPr>
            </w:pPr>
          </w:p>
        </w:tc>
        <w:tc>
          <w:tcPr>
            <w:tcW w:w="1454" w:type="dxa"/>
            <w:vAlign w:val="center"/>
          </w:tcPr>
          <w:p w14:paraId="7FFFFF0A">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管线综合优化</w:t>
            </w:r>
          </w:p>
        </w:tc>
        <w:tc>
          <w:tcPr>
            <w:tcW w:w="5573" w:type="dxa"/>
            <w:vAlign w:val="center"/>
          </w:tcPr>
          <w:p w14:paraId="1AE81FC4">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对本项目全专业机电综合管线进行碰撞检测并优化管线排布，配合设计图纸更新工作，协助施工机电深化设计。</w:t>
            </w:r>
          </w:p>
        </w:tc>
        <w:tc>
          <w:tcPr>
            <w:tcW w:w="1759" w:type="dxa"/>
            <w:vAlign w:val="center"/>
          </w:tcPr>
          <w:p w14:paraId="561762DD">
            <w:pPr>
              <w:snapToGrid w:val="0"/>
              <w:spacing w:line="46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LOD300模型、报告</w:t>
            </w:r>
          </w:p>
        </w:tc>
      </w:tr>
      <w:tr w14:paraId="5361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0" w:type="dxa"/>
            <w:vMerge w:val="continue"/>
            <w:vAlign w:val="center"/>
          </w:tcPr>
          <w:p w14:paraId="4BA3153F">
            <w:pPr>
              <w:spacing w:line="460" w:lineRule="exact"/>
              <w:rPr>
                <w:rFonts w:hint="eastAsia" w:ascii="宋体" w:hAnsi="宋体" w:cs="宋体"/>
                <w:color w:val="auto"/>
                <w:sz w:val="24"/>
                <w:highlight w:val="none"/>
                <w:lang w:bidi="ar"/>
              </w:rPr>
            </w:pPr>
          </w:p>
        </w:tc>
        <w:tc>
          <w:tcPr>
            <w:tcW w:w="1454" w:type="dxa"/>
            <w:vAlign w:val="center"/>
          </w:tcPr>
          <w:p w14:paraId="4A72FBAF">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流线分析</w:t>
            </w:r>
          </w:p>
        </w:tc>
        <w:tc>
          <w:tcPr>
            <w:tcW w:w="5573" w:type="dxa"/>
            <w:vAlign w:val="center"/>
          </w:tcPr>
          <w:p w14:paraId="382E54B2">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利用虚拟仿真漫游设计BIM模型，对人流、车流、物流系统、洁污分流等动线路由进行模拟分析，并提供优化意见协调人流、物流、车流应各行其道，避免交叉; 物流应区分洁、污分流等要求。</w:t>
            </w:r>
          </w:p>
        </w:tc>
        <w:tc>
          <w:tcPr>
            <w:tcW w:w="1759" w:type="dxa"/>
            <w:vAlign w:val="center"/>
          </w:tcPr>
          <w:p w14:paraId="64740E9F">
            <w:pPr>
              <w:snapToGrid w:val="0"/>
              <w:spacing w:line="46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模型、VR等多媒体</w:t>
            </w:r>
          </w:p>
        </w:tc>
      </w:tr>
      <w:tr w14:paraId="6471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0" w:type="dxa"/>
            <w:vMerge w:val="restart"/>
            <w:vAlign w:val="center"/>
          </w:tcPr>
          <w:p w14:paraId="6D11C925">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施工阶段</w:t>
            </w:r>
          </w:p>
        </w:tc>
        <w:tc>
          <w:tcPr>
            <w:tcW w:w="1454" w:type="dxa"/>
            <w:vAlign w:val="center"/>
          </w:tcPr>
          <w:p w14:paraId="5E5E7345">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各专业模型创建及深化</w:t>
            </w:r>
          </w:p>
        </w:tc>
        <w:tc>
          <w:tcPr>
            <w:tcW w:w="5573" w:type="dxa"/>
            <w:vAlign w:val="center"/>
          </w:tcPr>
          <w:p w14:paraId="68790E62">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根据施工图纸建立各专业的BIM深化模型。</w:t>
            </w:r>
          </w:p>
        </w:tc>
        <w:tc>
          <w:tcPr>
            <w:tcW w:w="1759" w:type="dxa"/>
            <w:vAlign w:val="center"/>
          </w:tcPr>
          <w:p w14:paraId="0729AA29">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LOD400模型</w:t>
            </w:r>
          </w:p>
        </w:tc>
      </w:tr>
      <w:tr w14:paraId="4102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20" w:type="dxa"/>
            <w:vMerge w:val="continue"/>
            <w:vAlign w:val="center"/>
          </w:tcPr>
          <w:p w14:paraId="73DD4FF5">
            <w:pPr>
              <w:spacing w:line="460" w:lineRule="exact"/>
              <w:rPr>
                <w:rFonts w:hint="eastAsia" w:ascii="宋体" w:hAnsi="宋体" w:cs="宋体"/>
                <w:color w:val="auto"/>
                <w:sz w:val="24"/>
                <w:highlight w:val="none"/>
              </w:rPr>
            </w:pPr>
          </w:p>
        </w:tc>
        <w:tc>
          <w:tcPr>
            <w:tcW w:w="1454" w:type="dxa"/>
            <w:vAlign w:val="center"/>
          </w:tcPr>
          <w:p w14:paraId="0C516DCE">
            <w:pPr>
              <w:snapToGrid w:val="0"/>
              <w:spacing w:line="46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幕墙及钢结构深化模型创建及复核</w:t>
            </w:r>
          </w:p>
        </w:tc>
        <w:tc>
          <w:tcPr>
            <w:tcW w:w="5573" w:type="dxa"/>
            <w:vAlign w:val="center"/>
          </w:tcPr>
          <w:p w14:paraId="2AEE3ECB">
            <w:pPr>
              <w:snapToGrid w:val="0"/>
              <w:spacing w:line="460" w:lineRule="exact"/>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根据幕墙及钢结构深化图对重要或复杂节点进行模型搭建及模拟，综合复核幕墙节点以及与主体结构之间是否存在冲突问题，对重要节点导出深化图纸，用于指导现场施工。</w:t>
            </w:r>
          </w:p>
        </w:tc>
        <w:tc>
          <w:tcPr>
            <w:tcW w:w="1759" w:type="dxa"/>
            <w:vAlign w:val="center"/>
          </w:tcPr>
          <w:p w14:paraId="10EBCC1D">
            <w:pPr>
              <w:snapToGrid w:val="0"/>
              <w:spacing w:line="46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LOD400模型、报告</w:t>
            </w:r>
          </w:p>
        </w:tc>
      </w:tr>
      <w:tr w14:paraId="12C3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0" w:type="dxa"/>
            <w:vMerge w:val="continue"/>
            <w:vAlign w:val="center"/>
          </w:tcPr>
          <w:p w14:paraId="0B1C08E3">
            <w:pPr>
              <w:spacing w:line="460" w:lineRule="exact"/>
              <w:rPr>
                <w:rFonts w:hint="eastAsia" w:ascii="宋体" w:hAnsi="宋体" w:cs="宋体"/>
                <w:color w:val="auto"/>
                <w:sz w:val="24"/>
                <w:highlight w:val="none"/>
              </w:rPr>
            </w:pPr>
          </w:p>
        </w:tc>
        <w:tc>
          <w:tcPr>
            <w:tcW w:w="1454" w:type="dxa"/>
            <w:vAlign w:val="center"/>
          </w:tcPr>
          <w:p w14:paraId="4D8D96F3">
            <w:pPr>
              <w:snapToGrid w:val="0"/>
              <w:spacing w:line="46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精装修深化设计</w:t>
            </w:r>
          </w:p>
        </w:tc>
        <w:tc>
          <w:tcPr>
            <w:tcW w:w="5573" w:type="dxa"/>
            <w:vAlign w:val="center"/>
          </w:tcPr>
          <w:p w14:paraId="4BE4C1BE">
            <w:pPr>
              <w:snapToGrid w:val="0"/>
              <w:spacing w:line="460" w:lineRule="exact"/>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对室内装修BIM模型进行深化，协调精装修模型与建筑、结构、机电、医疗专项、标识系统等其他专业的模型的衔接、碰撞及施工作业空间净空、净高的合理性做出分析，并出分析报告。</w:t>
            </w:r>
          </w:p>
        </w:tc>
        <w:tc>
          <w:tcPr>
            <w:tcW w:w="1759" w:type="dxa"/>
            <w:vAlign w:val="center"/>
          </w:tcPr>
          <w:p w14:paraId="21E96B38">
            <w:pPr>
              <w:snapToGrid w:val="0"/>
              <w:spacing w:line="460" w:lineRule="exact"/>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LOD400模型、报告</w:t>
            </w:r>
          </w:p>
        </w:tc>
      </w:tr>
      <w:tr w14:paraId="114C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20" w:type="dxa"/>
            <w:vMerge w:val="continue"/>
            <w:vAlign w:val="center"/>
          </w:tcPr>
          <w:p w14:paraId="5F88E52C">
            <w:pPr>
              <w:spacing w:line="460" w:lineRule="exact"/>
              <w:rPr>
                <w:rFonts w:hint="eastAsia" w:ascii="宋体" w:hAnsi="宋体" w:cs="宋体"/>
                <w:color w:val="auto"/>
                <w:sz w:val="24"/>
                <w:highlight w:val="none"/>
              </w:rPr>
            </w:pPr>
          </w:p>
        </w:tc>
        <w:tc>
          <w:tcPr>
            <w:tcW w:w="1454" w:type="dxa"/>
            <w:vAlign w:val="center"/>
          </w:tcPr>
          <w:p w14:paraId="21CCA659">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机电深化及出图</w:t>
            </w:r>
          </w:p>
        </w:tc>
        <w:tc>
          <w:tcPr>
            <w:tcW w:w="5573" w:type="dxa"/>
            <w:vAlign w:val="center"/>
          </w:tcPr>
          <w:p w14:paraId="4316643F">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通过BIM模型对机电部分进行深化（含管线支吊架、</w:t>
            </w:r>
            <w:r>
              <w:rPr>
                <w:rFonts w:hint="eastAsia" w:ascii="宋体" w:hAnsi="宋体" w:cs="宋体"/>
                <w:color w:val="auto"/>
                <w:sz w:val="24"/>
                <w:highlight w:val="none"/>
              </w:rPr>
              <w:t>孔洞等预留预埋</w:t>
            </w:r>
            <w:r>
              <w:rPr>
                <w:rFonts w:hint="eastAsia" w:ascii="宋体" w:hAnsi="宋体" w:cs="宋体"/>
                <w:color w:val="auto"/>
                <w:sz w:val="24"/>
                <w:highlight w:val="none"/>
                <w:lang w:bidi="ar"/>
              </w:rPr>
              <w:t>、减隔震设备预留预埋、医疗设备及管道预埋和安装等），通过BIM导出深化图纸，用于指导现场施工。</w:t>
            </w:r>
          </w:p>
        </w:tc>
        <w:tc>
          <w:tcPr>
            <w:tcW w:w="1759" w:type="dxa"/>
            <w:vAlign w:val="center"/>
          </w:tcPr>
          <w:p w14:paraId="4D109C67">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LOD400模型、图纸文档</w:t>
            </w:r>
          </w:p>
        </w:tc>
      </w:tr>
      <w:tr w14:paraId="7A88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20" w:type="dxa"/>
            <w:vMerge w:val="continue"/>
            <w:vAlign w:val="center"/>
          </w:tcPr>
          <w:p w14:paraId="514FAC4D">
            <w:pPr>
              <w:spacing w:line="460" w:lineRule="exact"/>
              <w:rPr>
                <w:rFonts w:hint="eastAsia" w:ascii="宋体" w:hAnsi="宋体" w:cs="宋体"/>
                <w:color w:val="auto"/>
                <w:sz w:val="24"/>
                <w:highlight w:val="none"/>
              </w:rPr>
            </w:pPr>
          </w:p>
        </w:tc>
        <w:tc>
          <w:tcPr>
            <w:tcW w:w="1454" w:type="dxa"/>
            <w:vAlign w:val="center"/>
          </w:tcPr>
          <w:p w14:paraId="7891EEF2">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预留预埋检查</w:t>
            </w:r>
          </w:p>
        </w:tc>
        <w:tc>
          <w:tcPr>
            <w:tcW w:w="5573" w:type="dxa"/>
            <w:vAlign w:val="center"/>
          </w:tcPr>
          <w:p w14:paraId="1188A61D">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通过BIM模型进行预留预埋检查。</w:t>
            </w:r>
          </w:p>
        </w:tc>
        <w:tc>
          <w:tcPr>
            <w:tcW w:w="1759" w:type="dxa"/>
            <w:vMerge w:val="restart"/>
            <w:vAlign w:val="center"/>
          </w:tcPr>
          <w:p w14:paraId="4259651A">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报告</w:t>
            </w:r>
          </w:p>
        </w:tc>
      </w:tr>
      <w:tr w14:paraId="1289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20" w:type="dxa"/>
            <w:vMerge w:val="continue"/>
            <w:vAlign w:val="center"/>
          </w:tcPr>
          <w:p w14:paraId="5D62A80C">
            <w:pPr>
              <w:spacing w:line="460" w:lineRule="exact"/>
              <w:rPr>
                <w:rFonts w:hint="eastAsia" w:ascii="宋体" w:hAnsi="宋体" w:cs="宋体"/>
                <w:color w:val="auto"/>
                <w:sz w:val="24"/>
                <w:highlight w:val="none"/>
              </w:rPr>
            </w:pPr>
          </w:p>
        </w:tc>
        <w:tc>
          <w:tcPr>
            <w:tcW w:w="1454" w:type="dxa"/>
            <w:vAlign w:val="center"/>
          </w:tcPr>
          <w:p w14:paraId="2CD5B3BF">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净空优化</w:t>
            </w:r>
          </w:p>
        </w:tc>
        <w:tc>
          <w:tcPr>
            <w:tcW w:w="5573" w:type="dxa"/>
            <w:vAlign w:val="center"/>
          </w:tcPr>
          <w:p w14:paraId="1D5D62A2">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基于BIM模型，结合施工组织计划及施工资源数据，对施工过程进行模拟与优化管理，确保施工现场不出现吊顶、机位、机房空间不足的问题。</w:t>
            </w:r>
          </w:p>
        </w:tc>
        <w:tc>
          <w:tcPr>
            <w:tcW w:w="1759" w:type="dxa"/>
            <w:vMerge w:val="continue"/>
            <w:vAlign w:val="center"/>
          </w:tcPr>
          <w:p w14:paraId="229D95D4">
            <w:pPr>
              <w:spacing w:line="460" w:lineRule="exact"/>
              <w:rPr>
                <w:rFonts w:hint="eastAsia" w:ascii="宋体" w:hAnsi="宋体" w:cs="宋体"/>
                <w:color w:val="auto"/>
                <w:sz w:val="24"/>
                <w:highlight w:val="none"/>
              </w:rPr>
            </w:pPr>
          </w:p>
        </w:tc>
      </w:tr>
      <w:tr w14:paraId="32FD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20" w:type="dxa"/>
            <w:vMerge w:val="continue"/>
            <w:vAlign w:val="center"/>
          </w:tcPr>
          <w:p w14:paraId="463C4CA4">
            <w:pPr>
              <w:spacing w:line="460" w:lineRule="exact"/>
              <w:rPr>
                <w:rFonts w:hint="eastAsia" w:ascii="宋体" w:hAnsi="宋体" w:cs="宋体"/>
                <w:color w:val="auto"/>
                <w:sz w:val="24"/>
                <w:highlight w:val="none"/>
              </w:rPr>
            </w:pPr>
          </w:p>
        </w:tc>
        <w:tc>
          <w:tcPr>
            <w:tcW w:w="1454" w:type="dxa"/>
            <w:vAlign w:val="center"/>
          </w:tcPr>
          <w:p w14:paraId="1255054D">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可建性分析</w:t>
            </w:r>
          </w:p>
        </w:tc>
        <w:tc>
          <w:tcPr>
            <w:tcW w:w="5573" w:type="dxa"/>
            <w:vAlign w:val="center"/>
          </w:tcPr>
          <w:p w14:paraId="62B906A7">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根据业主提供图纸搭建BIM三维模型，基于《项目实施计划》空间要求、冲突规则等检验项目可建性，找出问题并提供优化建议，最终生成报告。</w:t>
            </w:r>
          </w:p>
        </w:tc>
        <w:tc>
          <w:tcPr>
            <w:tcW w:w="1759" w:type="dxa"/>
            <w:vMerge w:val="continue"/>
            <w:vAlign w:val="center"/>
          </w:tcPr>
          <w:p w14:paraId="6F4130E6">
            <w:pPr>
              <w:spacing w:line="460" w:lineRule="exact"/>
              <w:rPr>
                <w:rFonts w:hint="eastAsia" w:ascii="宋体" w:hAnsi="宋体" w:cs="宋体"/>
                <w:color w:val="auto"/>
                <w:sz w:val="24"/>
                <w:highlight w:val="none"/>
              </w:rPr>
            </w:pPr>
          </w:p>
        </w:tc>
      </w:tr>
      <w:tr w14:paraId="3B56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20" w:type="dxa"/>
            <w:vMerge w:val="continue"/>
            <w:vAlign w:val="center"/>
          </w:tcPr>
          <w:p w14:paraId="4CDCC6D5">
            <w:pPr>
              <w:spacing w:line="460" w:lineRule="exact"/>
              <w:rPr>
                <w:rFonts w:hint="eastAsia" w:ascii="宋体" w:hAnsi="宋体" w:cs="宋体"/>
                <w:color w:val="auto"/>
                <w:sz w:val="24"/>
                <w:highlight w:val="none"/>
              </w:rPr>
            </w:pPr>
          </w:p>
        </w:tc>
        <w:tc>
          <w:tcPr>
            <w:tcW w:w="1454" w:type="dxa"/>
            <w:vAlign w:val="center"/>
          </w:tcPr>
          <w:p w14:paraId="4CC4C114">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场地布置</w:t>
            </w:r>
          </w:p>
        </w:tc>
        <w:tc>
          <w:tcPr>
            <w:tcW w:w="5573" w:type="dxa"/>
            <w:vAlign w:val="center"/>
          </w:tcPr>
          <w:p w14:paraId="33300517">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通过BIM对施工现场事先进行虚拟布置，提前将生活区、作业区、现场材料堆放区、加工区、临时道路等进行合理的规划，可以直观的反映现场整体情况，减少施工过程施工用地及材料运输调配、安全隐患。</w:t>
            </w:r>
          </w:p>
        </w:tc>
        <w:tc>
          <w:tcPr>
            <w:tcW w:w="1759" w:type="dxa"/>
            <w:vMerge w:val="restart"/>
            <w:vAlign w:val="center"/>
          </w:tcPr>
          <w:p w14:paraId="5440219D">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动画、报告文档</w:t>
            </w:r>
          </w:p>
        </w:tc>
      </w:tr>
      <w:tr w14:paraId="4CD7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20" w:type="dxa"/>
            <w:vMerge w:val="continue"/>
            <w:vAlign w:val="center"/>
          </w:tcPr>
          <w:p w14:paraId="7E41CAAD">
            <w:pPr>
              <w:spacing w:line="460" w:lineRule="exact"/>
              <w:rPr>
                <w:rFonts w:hint="eastAsia" w:ascii="宋体" w:hAnsi="宋体" w:cs="宋体"/>
                <w:color w:val="auto"/>
                <w:sz w:val="24"/>
                <w:highlight w:val="none"/>
              </w:rPr>
            </w:pPr>
          </w:p>
        </w:tc>
        <w:tc>
          <w:tcPr>
            <w:tcW w:w="1454" w:type="dxa"/>
            <w:vAlign w:val="center"/>
          </w:tcPr>
          <w:p w14:paraId="3D09598A">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施工进度控制</w:t>
            </w:r>
          </w:p>
        </w:tc>
        <w:tc>
          <w:tcPr>
            <w:tcW w:w="5573" w:type="dxa"/>
            <w:vAlign w:val="center"/>
          </w:tcPr>
          <w:p w14:paraId="2ABCE55E">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通过计划进度与实际进度的对比，分析施工工序的合理性、施工进度计划关键线路的合理性，优化施工总控计划，查看工程是否按期进行，如有异常可直接查看不同时段施工进度情况并分析原因，为保证后续工期做出适当调整。在施工过程中，要求施工企业每日提供现场照片，每日更新于PIMS数据服务器，与施工企业提供的4D模拟模型进行对比，查看当日进度与计划的差异。让工程经理与项目管理团队及时掌握现场实际进度与计划进度的差异，做到及时把控，及时调整，及时预案。要求按月提交施工相关的BIM月度进度报告文件。</w:t>
            </w:r>
          </w:p>
        </w:tc>
        <w:tc>
          <w:tcPr>
            <w:tcW w:w="1759" w:type="dxa"/>
            <w:vMerge w:val="continue"/>
            <w:vAlign w:val="center"/>
          </w:tcPr>
          <w:p w14:paraId="2BB7FFA5">
            <w:pPr>
              <w:spacing w:line="460" w:lineRule="exact"/>
              <w:rPr>
                <w:rFonts w:hint="eastAsia" w:ascii="宋体" w:hAnsi="宋体" w:cs="宋体"/>
                <w:color w:val="auto"/>
                <w:sz w:val="24"/>
                <w:highlight w:val="none"/>
              </w:rPr>
            </w:pPr>
          </w:p>
        </w:tc>
      </w:tr>
      <w:tr w14:paraId="4641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20" w:type="dxa"/>
            <w:vMerge w:val="continue"/>
            <w:vAlign w:val="center"/>
          </w:tcPr>
          <w:p w14:paraId="771E2B2C">
            <w:pPr>
              <w:spacing w:line="460" w:lineRule="exact"/>
              <w:rPr>
                <w:rFonts w:hint="eastAsia" w:ascii="宋体" w:hAnsi="宋体" w:cs="宋体"/>
                <w:color w:val="auto"/>
                <w:sz w:val="24"/>
                <w:highlight w:val="none"/>
              </w:rPr>
            </w:pPr>
          </w:p>
        </w:tc>
        <w:tc>
          <w:tcPr>
            <w:tcW w:w="1454" w:type="dxa"/>
            <w:vAlign w:val="center"/>
          </w:tcPr>
          <w:p w14:paraId="5B6B1E4F">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质量与安全管理</w:t>
            </w:r>
          </w:p>
        </w:tc>
        <w:tc>
          <w:tcPr>
            <w:tcW w:w="5573" w:type="dxa"/>
            <w:vAlign w:val="center"/>
          </w:tcPr>
          <w:p w14:paraId="3776A91F">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利用BIM模型的直观可视性，配合iPAD等移动终端设备，可在iPAD端BIM数据中建立指定区域、指定部位的现场检查视点。用于对现场安装质量进行把控。</w:t>
            </w:r>
          </w:p>
        </w:tc>
        <w:tc>
          <w:tcPr>
            <w:tcW w:w="1759" w:type="dxa"/>
            <w:vAlign w:val="center"/>
          </w:tcPr>
          <w:p w14:paraId="5E42DDBB">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LOD400模型</w:t>
            </w:r>
          </w:p>
        </w:tc>
      </w:tr>
      <w:tr w14:paraId="154E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0" w:type="dxa"/>
            <w:vMerge w:val="continue"/>
            <w:vAlign w:val="center"/>
          </w:tcPr>
          <w:p w14:paraId="4EC5AE95">
            <w:pPr>
              <w:spacing w:line="460" w:lineRule="exact"/>
              <w:rPr>
                <w:rFonts w:hint="eastAsia" w:ascii="宋体" w:hAnsi="宋体" w:cs="宋体"/>
                <w:color w:val="auto"/>
                <w:sz w:val="24"/>
                <w:highlight w:val="none"/>
              </w:rPr>
            </w:pPr>
          </w:p>
        </w:tc>
        <w:tc>
          <w:tcPr>
            <w:tcW w:w="1454" w:type="dxa"/>
            <w:vAlign w:val="center"/>
          </w:tcPr>
          <w:p w14:paraId="10C75EE0">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施工工艺模拟</w:t>
            </w:r>
          </w:p>
        </w:tc>
        <w:tc>
          <w:tcPr>
            <w:tcW w:w="5573" w:type="dxa"/>
            <w:vAlign w:val="center"/>
          </w:tcPr>
          <w:p w14:paraId="4B8F7B8F">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以动画形式、三维可视化等模拟施工工艺，指导施工交底，让施工人员全面了解施工过程，避免质量问题、安全问题，减少返工和整改。在施工前提供4D视觉仿真图及工序模拟图。施工人员应在施工前通过BIM模型辅助，并以施工接口协调会议结果，于实际现场施工修正BIM模型。</w:t>
            </w:r>
          </w:p>
        </w:tc>
        <w:tc>
          <w:tcPr>
            <w:tcW w:w="1759" w:type="dxa"/>
            <w:vAlign w:val="center"/>
          </w:tcPr>
          <w:p w14:paraId="5A840207">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模型、动画等多媒体形式</w:t>
            </w:r>
          </w:p>
        </w:tc>
      </w:tr>
      <w:tr w14:paraId="0854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20" w:type="dxa"/>
            <w:vMerge w:val="continue"/>
            <w:vAlign w:val="center"/>
          </w:tcPr>
          <w:p w14:paraId="049C7F14">
            <w:pPr>
              <w:spacing w:line="460" w:lineRule="exact"/>
              <w:rPr>
                <w:rFonts w:hint="eastAsia" w:ascii="宋体" w:hAnsi="宋体" w:cs="宋体"/>
                <w:color w:val="auto"/>
                <w:sz w:val="24"/>
                <w:highlight w:val="none"/>
              </w:rPr>
            </w:pPr>
          </w:p>
        </w:tc>
        <w:tc>
          <w:tcPr>
            <w:tcW w:w="1454" w:type="dxa"/>
            <w:vAlign w:val="center"/>
          </w:tcPr>
          <w:p w14:paraId="02C3DBF7">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变更管理</w:t>
            </w:r>
          </w:p>
        </w:tc>
        <w:tc>
          <w:tcPr>
            <w:tcW w:w="5573" w:type="dxa"/>
            <w:vAlign w:val="center"/>
          </w:tcPr>
          <w:p w14:paraId="2EDA40F6">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通过变更后的BIM模型，直观地展现变更前后模型的变化，快速对比变更前后工程量的变化，确保变更的内容不会导致新的问题发生。并做到更新过的模型构件与变更单编号一一对应，以确保数据的可追溯性。</w:t>
            </w:r>
          </w:p>
        </w:tc>
        <w:tc>
          <w:tcPr>
            <w:tcW w:w="1759" w:type="dxa"/>
            <w:vAlign w:val="center"/>
          </w:tcPr>
          <w:p w14:paraId="05FAF9FC">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图纸文档、报告</w:t>
            </w:r>
          </w:p>
        </w:tc>
      </w:tr>
      <w:tr w14:paraId="715E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20" w:type="dxa"/>
            <w:vMerge w:val="continue"/>
            <w:vAlign w:val="center"/>
          </w:tcPr>
          <w:p w14:paraId="3D8D8CBD">
            <w:pPr>
              <w:spacing w:line="460" w:lineRule="exact"/>
              <w:rPr>
                <w:rFonts w:hint="eastAsia" w:ascii="宋体" w:hAnsi="宋体" w:cs="宋体"/>
                <w:color w:val="auto"/>
                <w:sz w:val="24"/>
                <w:highlight w:val="none"/>
              </w:rPr>
            </w:pPr>
          </w:p>
        </w:tc>
        <w:tc>
          <w:tcPr>
            <w:tcW w:w="1454" w:type="dxa"/>
            <w:vAlign w:val="center"/>
          </w:tcPr>
          <w:p w14:paraId="7A5D0B91">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BIM交底会议</w:t>
            </w:r>
          </w:p>
        </w:tc>
        <w:tc>
          <w:tcPr>
            <w:tcW w:w="5573" w:type="dxa"/>
            <w:vAlign w:val="center"/>
          </w:tcPr>
          <w:p w14:paraId="5E91C2DE">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对复杂节点和施工难点，以三维模型或动画等形式与施工人员进行交底。</w:t>
            </w:r>
          </w:p>
        </w:tc>
        <w:tc>
          <w:tcPr>
            <w:tcW w:w="1759" w:type="dxa"/>
            <w:vAlign w:val="center"/>
          </w:tcPr>
          <w:p w14:paraId="18EDAEF8">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现场会议</w:t>
            </w:r>
          </w:p>
        </w:tc>
      </w:tr>
      <w:tr w14:paraId="3B7A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20" w:type="dxa"/>
            <w:vMerge w:val="continue"/>
            <w:vAlign w:val="center"/>
          </w:tcPr>
          <w:p w14:paraId="42BCA738">
            <w:pPr>
              <w:spacing w:line="460" w:lineRule="exact"/>
              <w:rPr>
                <w:rFonts w:hint="eastAsia" w:ascii="宋体" w:hAnsi="宋体" w:cs="宋体"/>
                <w:color w:val="auto"/>
                <w:sz w:val="24"/>
                <w:highlight w:val="none"/>
              </w:rPr>
            </w:pPr>
          </w:p>
        </w:tc>
        <w:tc>
          <w:tcPr>
            <w:tcW w:w="1454" w:type="dxa"/>
            <w:vAlign w:val="center"/>
          </w:tcPr>
          <w:p w14:paraId="5A67DAF2">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制作施工BIM规则</w:t>
            </w:r>
          </w:p>
        </w:tc>
        <w:tc>
          <w:tcPr>
            <w:tcW w:w="5573" w:type="dxa"/>
            <w:vAlign w:val="center"/>
          </w:tcPr>
          <w:p w14:paraId="5D475A51">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为实现在项目全过程管理中应用BIM，将辅助业主提供相关BIM管理规范和条文，以便于在后期施工合同中对施工企业在项目中BIM应用进行约束与规范。</w:t>
            </w:r>
          </w:p>
        </w:tc>
        <w:tc>
          <w:tcPr>
            <w:tcW w:w="1759" w:type="dxa"/>
            <w:vMerge w:val="restart"/>
            <w:vAlign w:val="center"/>
          </w:tcPr>
          <w:p w14:paraId="1560BE8E">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文档</w:t>
            </w:r>
          </w:p>
        </w:tc>
      </w:tr>
      <w:tr w14:paraId="2388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20" w:type="dxa"/>
            <w:vMerge w:val="continue"/>
            <w:vAlign w:val="center"/>
          </w:tcPr>
          <w:p w14:paraId="77FBBEF5">
            <w:pPr>
              <w:spacing w:line="460" w:lineRule="exact"/>
              <w:rPr>
                <w:rFonts w:hint="eastAsia" w:ascii="宋体" w:hAnsi="宋体" w:cs="宋体"/>
                <w:color w:val="auto"/>
                <w:sz w:val="24"/>
                <w:highlight w:val="none"/>
              </w:rPr>
            </w:pPr>
          </w:p>
        </w:tc>
        <w:tc>
          <w:tcPr>
            <w:tcW w:w="1454" w:type="dxa"/>
            <w:vAlign w:val="center"/>
          </w:tcPr>
          <w:p w14:paraId="0FD9B14C">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审批及管理施工方BIM成果</w:t>
            </w:r>
          </w:p>
        </w:tc>
        <w:tc>
          <w:tcPr>
            <w:tcW w:w="5573" w:type="dxa"/>
            <w:vAlign w:val="center"/>
          </w:tcPr>
          <w:p w14:paraId="2D73607D">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对于施工单位提交的BIM工作计划、模型、应用交付等，将根据招标条文的要求对成果进行检查与复核，确保施工单位提交的BIM成果能贯穿项目全过程，起到应有的作用。</w:t>
            </w:r>
          </w:p>
        </w:tc>
        <w:tc>
          <w:tcPr>
            <w:tcW w:w="1759" w:type="dxa"/>
            <w:vMerge w:val="continue"/>
            <w:vAlign w:val="center"/>
          </w:tcPr>
          <w:p w14:paraId="3E4977DF">
            <w:pPr>
              <w:spacing w:line="460" w:lineRule="exact"/>
              <w:rPr>
                <w:rFonts w:hint="eastAsia" w:ascii="宋体" w:hAnsi="宋体" w:cs="宋体"/>
                <w:color w:val="auto"/>
                <w:sz w:val="24"/>
                <w:highlight w:val="none"/>
              </w:rPr>
            </w:pPr>
          </w:p>
        </w:tc>
      </w:tr>
      <w:tr w14:paraId="2E59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20" w:type="dxa"/>
            <w:vMerge w:val="restart"/>
            <w:vAlign w:val="center"/>
          </w:tcPr>
          <w:p w14:paraId="4772564C">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竣工阶段</w:t>
            </w:r>
          </w:p>
        </w:tc>
        <w:tc>
          <w:tcPr>
            <w:tcW w:w="1454" w:type="dxa"/>
            <w:vAlign w:val="center"/>
          </w:tcPr>
          <w:p w14:paraId="08657CF3">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BIM竣工模型</w:t>
            </w:r>
          </w:p>
        </w:tc>
        <w:tc>
          <w:tcPr>
            <w:tcW w:w="5573" w:type="dxa"/>
            <w:vAlign w:val="center"/>
          </w:tcPr>
          <w:p w14:paraId="387739DD">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建立BIM竣工模型，确保BIM模型与现场的一致性，所有数据和信息可以从模型中获取和调用。</w:t>
            </w:r>
          </w:p>
        </w:tc>
        <w:tc>
          <w:tcPr>
            <w:tcW w:w="1759" w:type="dxa"/>
            <w:vMerge w:val="restart"/>
            <w:vAlign w:val="center"/>
          </w:tcPr>
          <w:p w14:paraId="50F3A6FB">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LOD500模型</w:t>
            </w:r>
          </w:p>
        </w:tc>
      </w:tr>
      <w:tr w14:paraId="1546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20" w:type="dxa"/>
            <w:vMerge w:val="restart"/>
            <w:vAlign w:val="center"/>
          </w:tcPr>
          <w:p w14:paraId="444A2FF7">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其它</w:t>
            </w:r>
          </w:p>
        </w:tc>
        <w:tc>
          <w:tcPr>
            <w:tcW w:w="1454" w:type="dxa"/>
            <w:vAlign w:val="center"/>
          </w:tcPr>
          <w:p w14:paraId="6D1EEC99">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参加相关BIM协调会议</w:t>
            </w:r>
          </w:p>
        </w:tc>
        <w:tc>
          <w:tcPr>
            <w:tcW w:w="5573" w:type="dxa"/>
            <w:vAlign w:val="center"/>
          </w:tcPr>
          <w:p w14:paraId="56678990">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参加各阶段召开的BIM相关协调会议</w:t>
            </w:r>
          </w:p>
        </w:tc>
        <w:tc>
          <w:tcPr>
            <w:tcW w:w="1759" w:type="dxa"/>
            <w:vAlign w:val="center"/>
          </w:tcPr>
          <w:p w14:paraId="5D154D60">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BIM会议记录</w:t>
            </w:r>
          </w:p>
        </w:tc>
      </w:tr>
      <w:tr w14:paraId="7964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20" w:type="dxa"/>
            <w:vMerge w:val="continue"/>
            <w:vAlign w:val="center"/>
          </w:tcPr>
          <w:p w14:paraId="439B473A">
            <w:pPr>
              <w:spacing w:line="460" w:lineRule="exact"/>
              <w:rPr>
                <w:rFonts w:hint="eastAsia" w:ascii="宋体" w:hAnsi="宋体" w:cs="宋体"/>
                <w:color w:val="auto"/>
                <w:sz w:val="24"/>
                <w:highlight w:val="none"/>
              </w:rPr>
            </w:pPr>
          </w:p>
        </w:tc>
        <w:tc>
          <w:tcPr>
            <w:tcW w:w="1454" w:type="dxa"/>
            <w:vAlign w:val="center"/>
          </w:tcPr>
          <w:p w14:paraId="37085A55">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BIM奖项申报</w:t>
            </w:r>
          </w:p>
        </w:tc>
        <w:tc>
          <w:tcPr>
            <w:tcW w:w="5573" w:type="dxa"/>
            <w:vAlign w:val="center"/>
          </w:tcPr>
          <w:p w14:paraId="567E35AF">
            <w:pPr>
              <w:snapToGrid w:val="0"/>
              <w:spacing w:line="460" w:lineRule="exact"/>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w:t>
            </w:r>
            <w:r>
              <w:rPr>
                <w:rFonts w:hint="eastAsia" w:ascii="宋体" w:hAnsi="宋体"/>
                <w:color w:val="auto"/>
                <w:sz w:val="24"/>
                <w:highlight w:val="none"/>
              </w:rPr>
              <w:t>配合项目获得“中国建设工程鲁班奖”或“国家优质工程奖”，提供BIM相关材料；</w:t>
            </w:r>
          </w:p>
          <w:p w14:paraId="42DE6D5D">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lang w:bidi="ar"/>
              </w:rPr>
              <w:t>2、协助获得BIM应用大赛相关奖项，负责评奖材料的编制、申报、汇报等工作；</w:t>
            </w:r>
          </w:p>
        </w:tc>
        <w:tc>
          <w:tcPr>
            <w:tcW w:w="1759" w:type="dxa"/>
            <w:vAlign w:val="center"/>
          </w:tcPr>
          <w:p w14:paraId="6A166D1D">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BIM奖项</w:t>
            </w:r>
          </w:p>
        </w:tc>
      </w:tr>
      <w:tr w14:paraId="47EA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20" w:type="dxa"/>
            <w:vMerge w:val="continue"/>
            <w:vAlign w:val="center"/>
          </w:tcPr>
          <w:p w14:paraId="2C1A0531">
            <w:pPr>
              <w:spacing w:line="460" w:lineRule="exact"/>
              <w:rPr>
                <w:rFonts w:hint="eastAsia" w:ascii="宋体" w:hAnsi="宋体" w:cs="宋体"/>
                <w:color w:val="auto"/>
                <w:sz w:val="24"/>
                <w:highlight w:val="none"/>
              </w:rPr>
            </w:pPr>
          </w:p>
        </w:tc>
        <w:tc>
          <w:tcPr>
            <w:tcW w:w="1454" w:type="dxa"/>
            <w:vAlign w:val="center"/>
          </w:tcPr>
          <w:p w14:paraId="7D46052F">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BIM技术应用咨询与培训</w:t>
            </w:r>
          </w:p>
        </w:tc>
        <w:tc>
          <w:tcPr>
            <w:tcW w:w="5573" w:type="dxa"/>
            <w:vAlign w:val="center"/>
          </w:tcPr>
          <w:p w14:paraId="0241DADB">
            <w:pPr>
              <w:snapToGrid w:val="0"/>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制定BIM培训计划，为项目各参建单位提供全面的BIM管理及技术应用培训，培训内容包括BIM协同管理平台管理及应用培训、BIM基础知识培训、BIM技术应用培训及BIM管理应用培训，总体培训时间不少于10天。</w:t>
            </w:r>
          </w:p>
        </w:tc>
        <w:tc>
          <w:tcPr>
            <w:tcW w:w="1759" w:type="dxa"/>
            <w:vAlign w:val="center"/>
          </w:tcPr>
          <w:p w14:paraId="3375C3EC">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BIM技术应用咨询与培训</w:t>
            </w:r>
          </w:p>
        </w:tc>
      </w:tr>
      <w:tr w14:paraId="3E1B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continue"/>
            <w:vAlign w:val="center"/>
          </w:tcPr>
          <w:p w14:paraId="79692422">
            <w:pPr>
              <w:spacing w:line="460" w:lineRule="exact"/>
              <w:rPr>
                <w:rFonts w:hint="eastAsia" w:ascii="宋体" w:hAnsi="宋体" w:cs="宋体"/>
                <w:color w:val="auto"/>
                <w:sz w:val="24"/>
                <w:highlight w:val="none"/>
              </w:rPr>
            </w:pPr>
          </w:p>
        </w:tc>
        <w:tc>
          <w:tcPr>
            <w:tcW w:w="7027" w:type="dxa"/>
            <w:gridSpan w:val="2"/>
            <w:vAlign w:val="center"/>
          </w:tcPr>
          <w:p w14:paraId="519C31F3">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按采购人要求驻场：设计阶段安排不少于2名BIM工程师按采购人要求合署办公；施工阶段要求BIM实施单位安排不少于1名土建BIM工程师及1名机电BIM工程师同时驻场，负责完成现场BIM的沟通、协调、管理和可视化施工交底等工作。</w:t>
            </w:r>
          </w:p>
        </w:tc>
        <w:tc>
          <w:tcPr>
            <w:tcW w:w="1759" w:type="dxa"/>
            <w:vAlign w:val="center"/>
          </w:tcPr>
          <w:p w14:paraId="70350C05">
            <w:pPr>
              <w:snapToGrid w:val="0"/>
              <w:spacing w:line="460" w:lineRule="exact"/>
              <w:jc w:val="center"/>
              <w:rPr>
                <w:rFonts w:hint="eastAsia" w:ascii="宋体" w:hAnsi="宋体" w:cs="宋体"/>
                <w:color w:val="auto"/>
                <w:sz w:val="24"/>
                <w:highlight w:val="none"/>
              </w:rPr>
            </w:pPr>
          </w:p>
        </w:tc>
      </w:tr>
      <w:tr w14:paraId="42E1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0" w:type="dxa"/>
            <w:vMerge w:val="continue"/>
            <w:vAlign w:val="center"/>
          </w:tcPr>
          <w:p w14:paraId="2DD00304">
            <w:pPr>
              <w:spacing w:line="460" w:lineRule="exact"/>
              <w:rPr>
                <w:rFonts w:hint="eastAsia" w:ascii="宋体" w:hAnsi="宋体" w:cs="宋体"/>
                <w:color w:val="auto"/>
                <w:sz w:val="24"/>
                <w:highlight w:val="none"/>
              </w:rPr>
            </w:pPr>
          </w:p>
        </w:tc>
        <w:tc>
          <w:tcPr>
            <w:tcW w:w="7027" w:type="dxa"/>
            <w:gridSpan w:val="2"/>
            <w:vAlign w:val="center"/>
          </w:tcPr>
          <w:p w14:paraId="20107324">
            <w:pPr>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bidi="ar"/>
              </w:rPr>
              <w:t>参加采购人组织的例会</w:t>
            </w:r>
          </w:p>
        </w:tc>
        <w:tc>
          <w:tcPr>
            <w:tcW w:w="1759" w:type="dxa"/>
            <w:vAlign w:val="center"/>
          </w:tcPr>
          <w:p w14:paraId="321DF8E1">
            <w:pPr>
              <w:snapToGrid w:val="0"/>
              <w:spacing w:line="460" w:lineRule="exact"/>
              <w:jc w:val="center"/>
              <w:rPr>
                <w:rFonts w:hint="eastAsia" w:ascii="宋体" w:hAnsi="宋体" w:cs="宋体"/>
                <w:color w:val="auto"/>
                <w:sz w:val="24"/>
                <w:highlight w:val="none"/>
              </w:rPr>
            </w:pPr>
          </w:p>
        </w:tc>
      </w:tr>
    </w:tbl>
    <w:p w14:paraId="673EB868">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6C356DE8">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（1）模型的细度等级、应用及成果的要求必须符合《浙江省建筑信息模型应用统一标准》，应满足采购人对不同阶段模型元素的内容和信息的特殊要求。</w:t>
      </w:r>
    </w:p>
    <w:p w14:paraId="58C64E59">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（2）BIM交付的文件格式，如使用其他软件（如 3ds max、Rhino、civil 3d 等）创建的 BIM 模型，要与 Autodesk Revit 和 Autodesk Navisworks 软件兼容。交付物包括模型、图纸、表格及相关文档等，不同表现形式之间的数据、信息应一致。</w:t>
      </w:r>
    </w:p>
    <w:p w14:paraId="4AB889EB">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（3）信息化平台满足BIM模型的轻量化浏览，BIM模型信息的提取、存储、共享和使用要求。制定BIM管理平台管理流程和办法。指导、监督项目各参与方进行过程文档的整理，BIM模型、数据文档上传和更新。</w:t>
      </w:r>
    </w:p>
    <w:p w14:paraId="248FD13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依据工程计划书核定内容，交付建立各分项BIM模型档案，如建筑、结构（含钢结构、基坑及边坡支护、减隔震）、给排水系统、电力系统、消防系统、空调系统、医疗专项系统等模型档案。档案均上传于BIM资源管理平台。</w:t>
      </w:r>
    </w:p>
    <w:p w14:paraId="3C590FF4">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hAnsi="宋体" w:cs="宋体"/>
          <w:color w:val="auto"/>
          <w:sz w:val="24"/>
          <w:highlight w:val="none"/>
        </w:rPr>
        <w:t>（5）提交可供施工会议使用的各类模型和数据，在施工月报中将BIM内容列入并配合提交相应的BIM模型文本说明。</w:t>
      </w:r>
    </w:p>
    <w:p w14:paraId="3FC5E499">
      <w:pPr>
        <w:pStyle w:val="10"/>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第二条 乙方完成咨询工作的时间</w:t>
      </w:r>
    </w:p>
    <w:p w14:paraId="25DF9D12">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2.1 咨询服务进度计划：</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kern w:val="0"/>
          <w:sz w:val="24"/>
          <w:szCs w:val="24"/>
          <w:highlight w:val="none"/>
          <w:u w:val="single"/>
        </w:rPr>
        <w:t>合同签订之日起至整体项目竣工验收合格止</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bCs/>
          <w:color w:val="auto"/>
          <w:kern w:val="0"/>
          <w:sz w:val="24"/>
          <w:szCs w:val="24"/>
          <w:highlight w:val="none"/>
        </w:rPr>
        <w:t>具体工作进程</w:t>
      </w:r>
      <w:r>
        <w:rPr>
          <w:rFonts w:hint="eastAsia" w:asciiTheme="minorEastAsia" w:hAnsiTheme="minorEastAsia" w:eastAsiaTheme="minorEastAsia" w:cstheme="minorEastAsia"/>
          <w:color w:val="auto"/>
          <w:sz w:val="24"/>
          <w:szCs w:val="24"/>
          <w:highlight w:val="none"/>
        </w:rPr>
        <w:t>按照招标文件项目技术规范、服务要求和甲方要求分阶段实施。</w:t>
      </w:r>
      <w:r>
        <w:rPr>
          <w:rFonts w:hint="eastAsia" w:asciiTheme="minorEastAsia" w:hAnsiTheme="minorEastAsia" w:eastAsiaTheme="minorEastAsia" w:cstheme="minorEastAsia"/>
          <w:color w:val="auto"/>
          <w:sz w:val="24"/>
          <w:szCs w:val="24"/>
          <w:highlight w:val="none"/>
          <w:u w:val="single"/>
        </w:rPr>
        <w:t>初步安排如下：</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6"/>
        <w:gridCol w:w="4110"/>
        <w:gridCol w:w="4390"/>
      </w:tblGrid>
      <w:tr w14:paraId="58BD2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423" w:type="pct"/>
            <w:tcBorders>
              <w:top w:val="single" w:color="000000" w:sz="4" w:space="0"/>
              <w:left w:val="single" w:color="000000" w:sz="4" w:space="0"/>
              <w:bottom w:val="single" w:color="000000" w:sz="4" w:space="0"/>
              <w:right w:val="single" w:color="000000" w:sz="4" w:space="0"/>
            </w:tcBorders>
            <w:shd w:val="clear" w:color="auto" w:fill="B8CCE4"/>
          </w:tcPr>
          <w:p w14:paraId="0E998D10">
            <w:pPr>
              <w:overflowPunct w:val="0"/>
              <w:jc w:val="center"/>
              <w:rPr>
                <w:rFonts w:hint="eastAsia" w:ascii="宋体" w:hAnsi="宋体" w:cs="宋体"/>
                <w:color w:val="auto"/>
                <w:sz w:val="24"/>
                <w:highlight w:val="none"/>
              </w:rPr>
            </w:pPr>
            <w:r>
              <w:rPr>
                <w:rFonts w:hint="eastAsia" w:ascii="宋体" w:hAnsi="宋体" w:cs="宋体"/>
                <w:color w:val="auto"/>
                <w:sz w:val="24"/>
                <w:highlight w:val="none"/>
              </w:rPr>
              <w:t>阶段</w:t>
            </w:r>
          </w:p>
        </w:tc>
        <w:tc>
          <w:tcPr>
            <w:tcW w:w="2213" w:type="pct"/>
            <w:tcBorders>
              <w:top w:val="single" w:color="000000" w:sz="4" w:space="0"/>
              <w:left w:val="single" w:color="000000" w:sz="4" w:space="0"/>
              <w:bottom w:val="single" w:color="000000" w:sz="4" w:space="0"/>
              <w:right w:val="single" w:color="000000" w:sz="4" w:space="0"/>
            </w:tcBorders>
            <w:shd w:val="clear" w:color="auto" w:fill="B8CCE4"/>
            <w:vAlign w:val="center"/>
          </w:tcPr>
          <w:p w14:paraId="33C56A44">
            <w:pPr>
              <w:overflowPunct w:val="0"/>
              <w:jc w:val="center"/>
              <w:rPr>
                <w:rFonts w:hint="eastAsia" w:ascii="宋体" w:hAnsi="宋体" w:cs="宋体"/>
                <w:color w:val="auto"/>
                <w:sz w:val="24"/>
                <w:highlight w:val="none"/>
              </w:rPr>
            </w:pPr>
            <w:r>
              <w:rPr>
                <w:rFonts w:hint="eastAsia" w:ascii="宋体" w:hAnsi="宋体" w:cs="宋体"/>
                <w:color w:val="auto"/>
                <w:sz w:val="24"/>
                <w:highlight w:val="none"/>
              </w:rPr>
              <w:t>成果描述</w:t>
            </w:r>
          </w:p>
        </w:tc>
        <w:tc>
          <w:tcPr>
            <w:tcW w:w="2363" w:type="pct"/>
            <w:tcBorders>
              <w:top w:val="single" w:color="000000" w:sz="4" w:space="0"/>
              <w:left w:val="single" w:color="000000" w:sz="4" w:space="0"/>
              <w:bottom w:val="single" w:color="000000" w:sz="4" w:space="0"/>
              <w:right w:val="single" w:color="000000" w:sz="4" w:space="0"/>
            </w:tcBorders>
            <w:shd w:val="clear" w:color="auto" w:fill="B8CCE4"/>
            <w:vAlign w:val="center"/>
          </w:tcPr>
          <w:p w14:paraId="378A892C">
            <w:pPr>
              <w:overflowPunct w:val="0"/>
              <w:jc w:val="center"/>
              <w:rPr>
                <w:rFonts w:hint="eastAsia" w:ascii="宋体" w:hAnsi="宋体" w:cs="宋体"/>
                <w:color w:val="auto"/>
                <w:sz w:val="24"/>
                <w:highlight w:val="none"/>
              </w:rPr>
            </w:pPr>
            <w:r>
              <w:rPr>
                <w:rFonts w:hint="eastAsia" w:ascii="宋体" w:hAnsi="宋体" w:cs="宋体"/>
                <w:color w:val="auto"/>
                <w:sz w:val="24"/>
                <w:highlight w:val="none"/>
              </w:rPr>
              <w:t>完成时间</w:t>
            </w:r>
          </w:p>
        </w:tc>
      </w:tr>
      <w:tr w14:paraId="1F594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restart"/>
            <w:tcBorders>
              <w:top w:val="single" w:color="000000" w:sz="4" w:space="0"/>
              <w:left w:val="single" w:color="000000" w:sz="4" w:space="0"/>
              <w:right w:val="single" w:color="000000" w:sz="4" w:space="0"/>
            </w:tcBorders>
            <w:vAlign w:val="center"/>
          </w:tcPr>
          <w:p w14:paraId="6BB3E7EE">
            <w:pPr>
              <w:overflowPunct w:val="0"/>
              <w:rPr>
                <w:rFonts w:hint="eastAsia" w:ascii="宋体" w:hAnsi="宋体" w:cs="宋体"/>
                <w:color w:val="auto"/>
                <w:sz w:val="24"/>
                <w:highlight w:val="none"/>
              </w:rPr>
            </w:pPr>
            <w:r>
              <w:rPr>
                <w:rFonts w:hint="eastAsia" w:ascii="宋体" w:hAnsi="宋体" w:cs="宋体"/>
                <w:color w:val="auto"/>
                <w:sz w:val="24"/>
                <w:highlight w:val="none"/>
              </w:rPr>
              <w:t>准备阶段</w:t>
            </w:r>
          </w:p>
        </w:tc>
        <w:tc>
          <w:tcPr>
            <w:tcW w:w="2213" w:type="pct"/>
            <w:tcBorders>
              <w:top w:val="single" w:color="000000" w:sz="4" w:space="0"/>
              <w:left w:val="single" w:color="000000" w:sz="4" w:space="0"/>
              <w:bottom w:val="single" w:color="000000" w:sz="4" w:space="0"/>
              <w:right w:val="single" w:color="000000" w:sz="4" w:space="0"/>
            </w:tcBorders>
            <w:vAlign w:val="center"/>
          </w:tcPr>
          <w:p w14:paraId="6FD57930">
            <w:pPr>
              <w:overflowPunct w:val="0"/>
              <w:rPr>
                <w:rFonts w:hint="eastAsia" w:ascii="宋体" w:hAnsi="宋体" w:cs="宋体"/>
                <w:color w:val="auto"/>
                <w:sz w:val="24"/>
                <w:highlight w:val="none"/>
              </w:rPr>
            </w:pPr>
            <w:r>
              <w:rPr>
                <w:rFonts w:hint="eastAsia" w:ascii="宋体" w:hAnsi="宋体" w:cs="宋体"/>
                <w:color w:val="auto"/>
                <w:sz w:val="24"/>
                <w:highlight w:val="none"/>
              </w:rPr>
              <w:t>BIM团队的组建</w:t>
            </w:r>
          </w:p>
        </w:tc>
        <w:tc>
          <w:tcPr>
            <w:tcW w:w="2363" w:type="pct"/>
            <w:tcBorders>
              <w:top w:val="single" w:color="000000" w:sz="4" w:space="0"/>
              <w:left w:val="single" w:color="000000" w:sz="4" w:space="0"/>
              <w:bottom w:val="single" w:color="000000" w:sz="4" w:space="0"/>
              <w:right w:val="single" w:color="000000" w:sz="4" w:space="0"/>
            </w:tcBorders>
            <w:vAlign w:val="center"/>
          </w:tcPr>
          <w:p w14:paraId="6B971DA5">
            <w:pPr>
              <w:overflowPunct w:val="0"/>
              <w:rPr>
                <w:rFonts w:hint="eastAsia" w:ascii="宋体" w:hAnsi="宋体" w:cs="宋体"/>
                <w:color w:val="auto"/>
                <w:sz w:val="24"/>
                <w:highlight w:val="none"/>
              </w:rPr>
            </w:pPr>
            <w:r>
              <w:rPr>
                <w:rFonts w:hint="eastAsia" w:ascii="宋体" w:hAnsi="宋体" w:cs="宋体"/>
                <w:color w:val="auto"/>
                <w:sz w:val="24"/>
                <w:highlight w:val="none"/>
              </w:rPr>
              <w:t>合同签订前完成BIM团队的召集工作，中标通知书下发后7个工作日历天内完成整体BIM团队的组建工作</w:t>
            </w:r>
          </w:p>
        </w:tc>
      </w:tr>
      <w:tr w14:paraId="7A20F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3" w:type="pct"/>
            <w:vMerge w:val="continue"/>
            <w:tcBorders>
              <w:left w:val="single" w:color="000000" w:sz="4" w:space="0"/>
              <w:bottom w:val="single" w:color="000000" w:sz="4" w:space="0"/>
              <w:right w:val="single" w:color="000000" w:sz="4" w:space="0"/>
            </w:tcBorders>
          </w:tcPr>
          <w:p w14:paraId="3E6634B5">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vAlign w:val="center"/>
          </w:tcPr>
          <w:p w14:paraId="7200CE3B">
            <w:pPr>
              <w:overflowPunct w:val="0"/>
              <w:rPr>
                <w:rFonts w:hint="eastAsia" w:ascii="宋体" w:hAnsi="宋体" w:cs="宋体"/>
                <w:color w:val="auto"/>
                <w:sz w:val="24"/>
                <w:highlight w:val="none"/>
              </w:rPr>
            </w:pPr>
            <w:r>
              <w:rPr>
                <w:rFonts w:hint="eastAsia" w:ascii="宋体" w:hAnsi="宋体" w:cs="宋体"/>
                <w:color w:val="auto"/>
                <w:sz w:val="24"/>
                <w:highlight w:val="none"/>
              </w:rPr>
              <w:t>BIM总体实施框架和实施方案</w:t>
            </w:r>
          </w:p>
        </w:tc>
        <w:tc>
          <w:tcPr>
            <w:tcW w:w="2363" w:type="pct"/>
            <w:tcBorders>
              <w:top w:val="single" w:color="000000" w:sz="4" w:space="0"/>
              <w:left w:val="single" w:color="000000" w:sz="4" w:space="0"/>
              <w:bottom w:val="single" w:color="000000" w:sz="4" w:space="0"/>
              <w:right w:val="single" w:color="000000" w:sz="4" w:space="0"/>
            </w:tcBorders>
            <w:vAlign w:val="center"/>
          </w:tcPr>
          <w:p w14:paraId="23F49C68">
            <w:pPr>
              <w:pStyle w:val="7"/>
              <w:ind w:firstLine="480"/>
              <w:rPr>
                <w:rFonts w:hint="eastAsia" w:ascii="宋体" w:hAnsi="宋体" w:cs="宋体"/>
                <w:color w:val="auto"/>
                <w:sz w:val="24"/>
                <w:highlight w:val="none"/>
              </w:rPr>
            </w:pPr>
            <w:r>
              <w:rPr>
                <w:rFonts w:hint="eastAsia" w:ascii="宋体" w:hAnsi="宋体" w:cs="宋体"/>
                <w:color w:val="auto"/>
                <w:sz w:val="24"/>
                <w:highlight w:val="none"/>
              </w:rPr>
              <w:t>合同签订后的15个工作日内</w:t>
            </w:r>
          </w:p>
        </w:tc>
      </w:tr>
      <w:tr w14:paraId="38EF2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3" w:type="pct"/>
            <w:vMerge w:val="restart"/>
            <w:tcBorders>
              <w:left w:val="single" w:color="000000" w:sz="4" w:space="0"/>
              <w:right w:val="single" w:color="000000" w:sz="4" w:space="0"/>
            </w:tcBorders>
          </w:tcPr>
          <w:p w14:paraId="5D7EF5DF">
            <w:pPr>
              <w:overflowPunct w:val="0"/>
              <w:rPr>
                <w:rFonts w:hint="eastAsia" w:ascii="宋体" w:hAnsi="宋体" w:cs="宋体"/>
                <w:color w:val="auto"/>
                <w:sz w:val="24"/>
                <w:highlight w:val="none"/>
              </w:rPr>
            </w:pPr>
            <w:r>
              <w:rPr>
                <w:rFonts w:hint="eastAsia" w:ascii="宋体" w:hAnsi="宋体" w:cs="宋体"/>
                <w:color w:val="auto"/>
                <w:sz w:val="24"/>
                <w:highlight w:val="none"/>
              </w:rPr>
              <w:t>施工图设计阶段</w:t>
            </w: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B5309">
            <w:pPr>
              <w:overflowPunct w:val="0"/>
              <w:rPr>
                <w:rFonts w:hint="eastAsia" w:ascii="宋体" w:hAnsi="宋体" w:cs="宋体"/>
                <w:color w:val="auto"/>
                <w:sz w:val="24"/>
                <w:highlight w:val="none"/>
              </w:rPr>
            </w:pPr>
            <w:r>
              <w:rPr>
                <w:rFonts w:hint="eastAsia" w:ascii="宋体" w:hAnsi="宋体" w:cs="宋体"/>
                <w:color w:val="auto"/>
                <w:sz w:val="24"/>
                <w:highlight w:val="none"/>
              </w:rPr>
              <w:t>施工图设计BIM模型完善</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771B">
            <w:pPr>
              <w:overflowPunct w:val="0"/>
              <w:rPr>
                <w:rFonts w:hint="eastAsia" w:ascii="宋体" w:hAnsi="宋体" w:cs="宋体"/>
                <w:color w:val="auto"/>
                <w:sz w:val="24"/>
                <w:highlight w:val="none"/>
              </w:rPr>
            </w:pPr>
            <w:r>
              <w:rPr>
                <w:rFonts w:hint="eastAsia" w:ascii="宋体" w:hAnsi="宋体" w:cs="宋体"/>
                <w:color w:val="auto"/>
                <w:sz w:val="24"/>
                <w:highlight w:val="none"/>
              </w:rPr>
              <w:t>取得施工图设计成果30日历天内，专项设计BIM成果要求在取得施工图设计成果15日历天内完成</w:t>
            </w:r>
          </w:p>
        </w:tc>
      </w:tr>
      <w:tr w14:paraId="5FD41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3" w:type="pct"/>
            <w:vMerge w:val="continue"/>
            <w:tcBorders>
              <w:left w:val="single" w:color="000000" w:sz="4" w:space="0"/>
              <w:right w:val="single" w:color="000000" w:sz="4" w:space="0"/>
            </w:tcBorders>
          </w:tcPr>
          <w:p w14:paraId="493D0C8B">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1C9E">
            <w:pPr>
              <w:overflowPunct w:val="0"/>
              <w:rPr>
                <w:rFonts w:hint="eastAsia" w:ascii="宋体" w:hAnsi="宋体" w:cs="宋体"/>
                <w:color w:val="auto"/>
                <w:sz w:val="24"/>
                <w:highlight w:val="none"/>
              </w:rPr>
            </w:pPr>
            <w:r>
              <w:rPr>
                <w:rFonts w:hint="eastAsia" w:ascii="宋体" w:hAnsi="宋体" w:cs="宋体"/>
                <w:color w:val="auto"/>
                <w:sz w:val="24"/>
                <w:highlight w:val="none"/>
              </w:rPr>
              <w:t>施工图设计模型碰撞报告</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1B75B">
            <w:pPr>
              <w:overflowPunct w:val="0"/>
              <w:rPr>
                <w:rFonts w:hint="eastAsia" w:ascii="宋体" w:hAnsi="宋体" w:cs="宋体"/>
                <w:color w:val="auto"/>
                <w:sz w:val="24"/>
                <w:highlight w:val="none"/>
              </w:rPr>
            </w:pPr>
            <w:r>
              <w:rPr>
                <w:rFonts w:hint="eastAsia" w:ascii="宋体" w:hAnsi="宋体" w:cs="宋体"/>
                <w:color w:val="auto"/>
                <w:sz w:val="24"/>
                <w:highlight w:val="none"/>
              </w:rPr>
              <w:t>完成施工图设计BIM模型5日历天内</w:t>
            </w:r>
          </w:p>
        </w:tc>
      </w:tr>
      <w:tr w14:paraId="763A6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3" w:type="pct"/>
            <w:vMerge w:val="continue"/>
            <w:tcBorders>
              <w:left w:val="single" w:color="000000" w:sz="4" w:space="0"/>
              <w:right w:val="single" w:color="000000" w:sz="4" w:space="0"/>
            </w:tcBorders>
          </w:tcPr>
          <w:p w14:paraId="665210D4">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7ED0">
            <w:pPr>
              <w:overflowPunct w:val="0"/>
              <w:rPr>
                <w:rFonts w:hint="eastAsia" w:ascii="宋体" w:hAnsi="宋体" w:cs="宋体"/>
                <w:color w:val="auto"/>
                <w:sz w:val="24"/>
                <w:highlight w:val="none"/>
              </w:rPr>
            </w:pPr>
            <w:r>
              <w:rPr>
                <w:rFonts w:hint="eastAsia" w:ascii="宋体" w:hAnsi="宋体" w:cs="宋体"/>
                <w:color w:val="auto"/>
                <w:sz w:val="24"/>
                <w:highlight w:val="none"/>
              </w:rPr>
              <w:t>施工图设计BIM模型管综与设计优化</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9DDAE">
            <w:pPr>
              <w:overflowPunct w:val="0"/>
              <w:rPr>
                <w:rFonts w:hint="eastAsia" w:ascii="宋体" w:hAnsi="宋体" w:cs="宋体"/>
                <w:color w:val="auto"/>
                <w:sz w:val="24"/>
                <w:highlight w:val="none"/>
              </w:rPr>
            </w:pPr>
            <w:r>
              <w:rPr>
                <w:rFonts w:hint="eastAsia" w:ascii="宋体" w:hAnsi="宋体" w:cs="宋体"/>
                <w:color w:val="auto"/>
                <w:sz w:val="24"/>
                <w:highlight w:val="none"/>
              </w:rPr>
              <w:t>完成施工图设计BIM模型30日历天内</w:t>
            </w:r>
          </w:p>
        </w:tc>
      </w:tr>
      <w:tr w14:paraId="382A3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3" w:type="pct"/>
            <w:vMerge w:val="continue"/>
            <w:tcBorders>
              <w:left w:val="single" w:color="000000" w:sz="4" w:space="0"/>
              <w:bottom w:val="single" w:color="000000" w:sz="4" w:space="0"/>
              <w:right w:val="single" w:color="000000" w:sz="4" w:space="0"/>
            </w:tcBorders>
          </w:tcPr>
          <w:p w14:paraId="38991903">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167EC">
            <w:pPr>
              <w:overflowPunct w:val="0"/>
              <w:rPr>
                <w:rFonts w:hint="eastAsia" w:ascii="宋体" w:hAnsi="宋体" w:cs="宋体"/>
                <w:color w:val="auto"/>
                <w:sz w:val="24"/>
                <w:highlight w:val="none"/>
              </w:rPr>
            </w:pPr>
            <w:r>
              <w:rPr>
                <w:rFonts w:hint="eastAsia" w:ascii="宋体" w:hAnsi="宋体" w:cs="宋体"/>
                <w:color w:val="auto"/>
                <w:sz w:val="24"/>
                <w:highlight w:val="none"/>
              </w:rPr>
              <w:t>施工图设计BIM技术应用点</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CAECA">
            <w:pPr>
              <w:overflowPunct w:val="0"/>
              <w:rPr>
                <w:rFonts w:hint="eastAsia" w:ascii="宋体" w:hAnsi="宋体" w:cs="宋体"/>
                <w:color w:val="auto"/>
                <w:sz w:val="24"/>
                <w:highlight w:val="none"/>
              </w:rPr>
            </w:pPr>
            <w:r>
              <w:rPr>
                <w:rFonts w:hint="eastAsia" w:ascii="宋体" w:hAnsi="宋体" w:cs="宋体"/>
                <w:color w:val="auto"/>
                <w:sz w:val="24"/>
                <w:highlight w:val="none"/>
              </w:rPr>
              <w:t>依据业主及设计需求，配合设计汇报提供</w:t>
            </w:r>
          </w:p>
        </w:tc>
      </w:tr>
      <w:tr w14:paraId="18090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423" w:type="pct"/>
            <w:vMerge w:val="restart"/>
            <w:tcBorders>
              <w:left w:val="single" w:color="000000" w:sz="4" w:space="0"/>
              <w:right w:val="single" w:color="000000" w:sz="4" w:space="0"/>
            </w:tcBorders>
          </w:tcPr>
          <w:p w14:paraId="47992578">
            <w:pPr>
              <w:overflowPunct w:val="0"/>
              <w:rPr>
                <w:rFonts w:hint="eastAsia" w:ascii="宋体" w:hAnsi="宋体" w:cs="宋体"/>
                <w:color w:val="auto"/>
                <w:sz w:val="24"/>
                <w:highlight w:val="none"/>
              </w:rPr>
            </w:pPr>
            <w:r>
              <w:rPr>
                <w:rFonts w:hint="eastAsia" w:ascii="宋体" w:hAnsi="宋体" w:cs="宋体"/>
                <w:color w:val="auto"/>
                <w:sz w:val="24"/>
                <w:highlight w:val="none"/>
              </w:rPr>
              <w:t>施工阶段</w:t>
            </w: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5185">
            <w:pPr>
              <w:overflowPunct w:val="0"/>
              <w:rPr>
                <w:rFonts w:hint="eastAsia" w:ascii="宋体" w:hAnsi="宋体" w:cs="宋体"/>
                <w:color w:val="auto"/>
                <w:sz w:val="24"/>
                <w:highlight w:val="none"/>
              </w:rPr>
            </w:pPr>
            <w:r>
              <w:rPr>
                <w:rFonts w:hint="eastAsia" w:ascii="宋体" w:hAnsi="宋体" w:cs="宋体"/>
                <w:color w:val="auto"/>
                <w:sz w:val="24"/>
                <w:highlight w:val="none"/>
              </w:rPr>
              <w:t>施工阶段BIM模型深化</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74EDA">
            <w:pPr>
              <w:overflowPunct w:val="0"/>
              <w:rPr>
                <w:rFonts w:hint="eastAsia" w:ascii="宋体" w:hAnsi="宋体" w:cs="宋体"/>
                <w:color w:val="auto"/>
                <w:sz w:val="24"/>
                <w:highlight w:val="none"/>
              </w:rPr>
            </w:pPr>
            <w:r>
              <w:rPr>
                <w:rFonts w:hint="eastAsia" w:ascii="宋体" w:hAnsi="宋体" w:cs="宋体"/>
                <w:color w:val="auto"/>
                <w:sz w:val="24"/>
                <w:highlight w:val="none"/>
              </w:rPr>
              <w:t>在施工图设计BIM模型完成后90日历天内</w:t>
            </w:r>
          </w:p>
        </w:tc>
      </w:tr>
      <w:tr w14:paraId="03318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vAlign w:val="center"/>
          </w:tcPr>
          <w:p w14:paraId="2D0BB1DB">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2DACD">
            <w:pPr>
              <w:overflowPunct w:val="0"/>
              <w:rPr>
                <w:rFonts w:hint="eastAsia" w:ascii="宋体" w:hAnsi="宋体" w:cs="宋体"/>
                <w:color w:val="auto"/>
                <w:sz w:val="24"/>
                <w:highlight w:val="none"/>
              </w:rPr>
            </w:pPr>
            <w:r>
              <w:rPr>
                <w:rFonts w:hint="eastAsia" w:ascii="宋体" w:hAnsi="宋体" w:cs="宋体"/>
                <w:color w:val="auto"/>
                <w:sz w:val="24"/>
                <w:highlight w:val="none"/>
              </w:rPr>
              <w:t>CSD、CBWD等施工深化模型</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C5CF">
            <w:pPr>
              <w:overflowPunct w:val="0"/>
              <w:rPr>
                <w:rFonts w:hint="eastAsia" w:ascii="宋体" w:hAnsi="宋体" w:cs="宋体"/>
                <w:color w:val="auto"/>
                <w:sz w:val="24"/>
                <w:highlight w:val="none"/>
              </w:rPr>
            </w:pPr>
            <w:r>
              <w:rPr>
                <w:rFonts w:hint="eastAsia" w:ascii="宋体" w:hAnsi="宋体" w:cs="宋体"/>
                <w:color w:val="auto"/>
                <w:sz w:val="24"/>
                <w:highlight w:val="none"/>
              </w:rPr>
              <w:t>在BIM模型深化完成后15日历天内</w:t>
            </w:r>
          </w:p>
        </w:tc>
      </w:tr>
      <w:tr w14:paraId="2A8C2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tcPr>
          <w:p w14:paraId="1D0E0581">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5D539">
            <w:pPr>
              <w:overflowPunct w:val="0"/>
              <w:rPr>
                <w:rFonts w:hint="eastAsia" w:ascii="宋体" w:hAnsi="宋体" w:cs="宋体"/>
                <w:color w:val="auto"/>
                <w:sz w:val="24"/>
                <w:highlight w:val="none"/>
              </w:rPr>
            </w:pPr>
            <w:r>
              <w:rPr>
                <w:rFonts w:hint="eastAsia" w:ascii="宋体" w:hAnsi="宋体" w:cs="宋体"/>
                <w:color w:val="auto"/>
                <w:sz w:val="24"/>
                <w:highlight w:val="none"/>
              </w:rPr>
              <w:t>基于BIM模型完成施工图会审</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1AE65">
            <w:pPr>
              <w:overflowPunct w:val="0"/>
              <w:rPr>
                <w:rFonts w:hint="eastAsia" w:ascii="宋体" w:hAnsi="宋体" w:cs="宋体"/>
                <w:color w:val="auto"/>
                <w:sz w:val="24"/>
                <w:highlight w:val="none"/>
              </w:rPr>
            </w:pPr>
            <w:r>
              <w:rPr>
                <w:rFonts w:hint="eastAsia" w:ascii="宋体" w:hAnsi="宋体" w:cs="宋体"/>
                <w:color w:val="auto"/>
                <w:sz w:val="24"/>
                <w:highlight w:val="none"/>
              </w:rPr>
              <w:t>和图纸会审一起完成，提交给采购人</w:t>
            </w:r>
          </w:p>
        </w:tc>
      </w:tr>
      <w:tr w14:paraId="18CBE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tcPr>
          <w:p w14:paraId="5D873394">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2A8AE">
            <w:pPr>
              <w:overflowPunct w:val="0"/>
              <w:rPr>
                <w:rFonts w:hint="eastAsia" w:ascii="宋体" w:hAnsi="宋体" w:cs="宋体"/>
                <w:color w:val="auto"/>
                <w:sz w:val="24"/>
                <w:highlight w:val="none"/>
              </w:rPr>
            </w:pPr>
            <w:r>
              <w:rPr>
                <w:rFonts w:hint="eastAsia" w:ascii="宋体" w:hAnsi="宋体" w:cs="宋体"/>
                <w:color w:val="auto"/>
                <w:sz w:val="24"/>
                <w:highlight w:val="none"/>
              </w:rPr>
              <w:t>施工变更引起的模型修改</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F4F9">
            <w:pPr>
              <w:overflowPunct w:val="0"/>
              <w:rPr>
                <w:rFonts w:hint="eastAsia" w:ascii="宋体" w:hAnsi="宋体" w:cs="宋体"/>
                <w:color w:val="auto"/>
                <w:sz w:val="24"/>
                <w:highlight w:val="none"/>
              </w:rPr>
            </w:pPr>
            <w:r>
              <w:rPr>
                <w:rFonts w:hint="eastAsia" w:ascii="宋体" w:hAnsi="宋体" w:cs="宋体"/>
                <w:color w:val="auto"/>
                <w:sz w:val="24"/>
                <w:highlight w:val="none"/>
              </w:rPr>
              <w:t>在收到变更单后的7日历天内</w:t>
            </w:r>
          </w:p>
        </w:tc>
      </w:tr>
      <w:tr w14:paraId="78496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tcPr>
          <w:p w14:paraId="61312343">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2BC86">
            <w:pPr>
              <w:overflowPunct w:val="0"/>
              <w:rPr>
                <w:rFonts w:hint="eastAsia" w:ascii="宋体" w:hAnsi="宋体" w:cs="宋体"/>
                <w:color w:val="auto"/>
                <w:sz w:val="24"/>
                <w:highlight w:val="none"/>
              </w:rPr>
            </w:pPr>
            <w:r>
              <w:rPr>
                <w:rFonts w:hint="eastAsia" w:ascii="宋体" w:hAnsi="宋体" w:cs="宋体"/>
                <w:color w:val="auto"/>
                <w:sz w:val="24"/>
                <w:highlight w:val="none"/>
              </w:rPr>
              <w:t>碰撞检测报告及解决碰撞</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72BD6">
            <w:pPr>
              <w:overflowPunct w:val="0"/>
              <w:rPr>
                <w:rFonts w:hint="eastAsia" w:ascii="宋体" w:hAnsi="宋体" w:cs="宋体"/>
                <w:color w:val="auto"/>
                <w:sz w:val="24"/>
                <w:highlight w:val="none"/>
              </w:rPr>
            </w:pPr>
            <w:r>
              <w:rPr>
                <w:rFonts w:hint="eastAsia" w:ascii="宋体" w:hAnsi="宋体" w:cs="宋体"/>
                <w:color w:val="auto"/>
                <w:sz w:val="24"/>
                <w:highlight w:val="none"/>
              </w:rPr>
              <w:t>在相应部位施工前的30日历天内</w:t>
            </w:r>
          </w:p>
        </w:tc>
      </w:tr>
      <w:tr w14:paraId="2287F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tcPr>
          <w:p w14:paraId="33A79DBB">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AE088">
            <w:pPr>
              <w:overflowPunct w:val="0"/>
              <w:rPr>
                <w:rFonts w:hint="eastAsia" w:ascii="宋体" w:hAnsi="宋体" w:cs="宋体"/>
                <w:color w:val="auto"/>
                <w:sz w:val="24"/>
                <w:highlight w:val="none"/>
              </w:rPr>
            </w:pPr>
            <w:r>
              <w:rPr>
                <w:rFonts w:hint="eastAsia" w:ascii="宋体" w:hAnsi="宋体" w:cs="宋体"/>
                <w:color w:val="auto"/>
                <w:sz w:val="24"/>
                <w:highlight w:val="none"/>
              </w:rPr>
              <w:t>基坑阶段BIM模型</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93D3">
            <w:pPr>
              <w:overflowPunct w:val="0"/>
              <w:rPr>
                <w:rFonts w:hint="eastAsia" w:ascii="宋体" w:hAnsi="宋体" w:cs="宋体"/>
                <w:color w:val="auto"/>
                <w:sz w:val="24"/>
                <w:highlight w:val="none"/>
              </w:rPr>
            </w:pPr>
            <w:r>
              <w:rPr>
                <w:rFonts w:hint="eastAsia" w:ascii="宋体" w:hAnsi="宋体" w:cs="宋体"/>
                <w:color w:val="auto"/>
                <w:sz w:val="24"/>
                <w:highlight w:val="none"/>
              </w:rPr>
              <w:t>取得施工方案后15日历天内</w:t>
            </w:r>
          </w:p>
        </w:tc>
      </w:tr>
      <w:tr w14:paraId="29146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tcPr>
          <w:p w14:paraId="5636013D">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57A0">
            <w:pPr>
              <w:overflowPunct w:val="0"/>
              <w:rPr>
                <w:rFonts w:hint="eastAsia" w:ascii="宋体" w:hAnsi="宋体" w:cs="宋体"/>
                <w:color w:val="auto"/>
                <w:sz w:val="24"/>
                <w:highlight w:val="none"/>
              </w:rPr>
            </w:pPr>
            <w:r>
              <w:rPr>
                <w:rFonts w:hint="eastAsia" w:ascii="宋体" w:hAnsi="宋体" w:cs="宋体"/>
                <w:color w:val="auto"/>
                <w:sz w:val="24"/>
                <w:highlight w:val="none"/>
              </w:rPr>
              <w:t>施工方案模拟</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867F">
            <w:pPr>
              <w:overflowPunct w:val="0"/>
              <w:rPr>
                <w:rFonts w:hint="eastAsia" w:ascii="宋体" w:hAnsi="宋体" w:cs="宋体"/>
                <w:color w:val="auto"/>
                <w:sz w:val="24"/>
                <w:highlight w:val="none"/>
              </w:rPr>
            </w:pPr>
            <w:r>
              <w:rPr>
                <w:rFonts w:hint="eastAsia" w:ascii="宋体" w:hAnsi="宋体" w:cs="宋体"/>
                <w:color w:val="auto"/>
                <w:sz w:val="24"/>
                <w:highlight w:val="none"/>
              </w:rPr>
              <w:t>取得施工方案后15日历天内，并在相应部位施工前的15日历天内</w:t>
            </w:r>
          </w:p>
        </w:tc>
      </w:tr>
      <w:tr w14:paraId="4610F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tcPr>
          <w:p w14:paraId="0E21C95A">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627FC">
            <w:pPr>
              <w:overflowPunct w:val="0"/>
              <w:rPr>
                <w:rFonts w:hint="eastAsia" w:ascii="宋体" w:hAnsi="宋体" w:cs="宋体"/>
                <w:color w:val="auto"/>
                <w:sz w:val="24"/>
                <w:highlight w:val="none"/>
              </w:rPr>
            </w:pPr>
            <w:r>
              <w:rPr>
                <w:rFonts w:hint="eastAsia" w:ascii="宋体" w:hAnsi="宋体" w:cs="宋体"/>
                <w:color w:val="auto"/>
                <w:sz w:val="24"/>
                <w:highlight w:val="none"/>
              </w:rPr>
              <w:t>施工工艺模拟</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C16B">
            <w:pPr>
              <w:overflowPunct w:val="0"/>
              <w:rPr>
                <w:rFonts w:hint="eastAsia" w:ascii="宋体" w:hAnsi="宋体" w:cs="宋体"/>
                <w:color w:val="auto"/>
                <w:sz w:val="24"/>
                <w:highlight w:val="none"/>
              </w:rPr>
            </w:pPr>
            <w:r>
              <w:rPr>
                <w:rFonts w:hint="eastAsia" w:ascii="宋体" w:hAnsi="宋体" w:cs="宋体"/>
                <w:color w:val="auto"/>
                <w:sz w:val="24"/>
                <w:highlight w:val="none"/>
              </w:rPr>
              <w:t>取得施工方案后15日历天内，并在相应部位施工前的15日历天内</w:t>
            </w:r>
          </w:p>
        </w:tc>
      </w:tr>
      <w:tr w14:paraId="26E9D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tcPr>
          <w:p w14:paraId="149381C7">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65AAC">
            <w:pPr>
              <w:overflowPunct w:val="0"/>
              <w:rPr>
                <w:rFonts w:hint="eastAsia" w:ascii="宋体" w:hAnsi="宋体" w:cs="宋体"/>
                <w:color w:val="auto"/>
                <w:sz w:val="24"/>
                <w:highlight w:val="none"/>
              </w:rPr>
            </w:pPr>
            <w:r>
              <w:rPr>
                <w:rFonts w:hint="eastAsia" w:ascii="宋体" w:hAnsi="宋体" w:cs="宋体"/>
                <w:color w:val="auto"/>
                <w:sz w:val="24"/>
                <w:highlight w:val="none"/>
              </w:rPr>
              <w:t>4D施工模拟及进度优化</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17F35">
            <w:pPr>
              <w:overflowPunct w:val="0"/>
              <w:rPr>
                <w:rFonts w:hint="eastAsia" w:ascii="宋体" w:hAnsi="宋体" w:cs="宋体"/>
                <w:color w:val="auto"/>
                <w:sz w:val="24"/>
                <w:highlight w:val="none"/>
              </w:rPr>
            </w:pPr>
            <w:r>
              <w:rPr>
                <w:rFonts w:hint="eastAsia" w:ascii="宋体" w:hAnsi="宋体" w:cs="宋体"/>
                <w:color w:val="auto"/>
                <w:sz w:val="24"/>
                <w:highlight w:val="none"/>
              </w:rPr>
              <w:t>在相应部位施工前的30日历天内</w:t>
            </w:r>
          </w:p>
        </w:tc>
      </w:tr>
      <w:tr w14:paraId="306F3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423" w:type="pct"/>
            <w:vMerge w:val="continue"/>
            <w:tcBorders>
              <w:left w:val="single" w:color="000000" w:sz="4" w:space="0"/>
              <w:right w:val="single" w:color="000000" w:sz="4" w:space="0"/>
            </w:tcBorders>
          </w:tcPr>
          <w:p w14:paraId="7509FB4A">
            <w:pPr>
              <w:overflowPunct w:val="0"/>
              <w:rPr>
                <w:rFonts w:hint="eastAsia" w:ascii="宋体" w:hAnsi="宋体" w:cs="宋体"/>
                <w:color w:val="auto"/>
                <w:sz w:val="24"/>
                <w:highlight w:val="none"/>
              </w:rPr>
            </w:pPr>
          </w:p>
        </w:tc>
        <w:tc>
          <w:tcPr>
            <w:tcW w:w="2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A2C76">
            <w:pPr>
              <w:overflowPunct w:val="0"/>
              <w:rPr>
                <w:rFonts w:hint="eastAsia" w:ascii="宋体" w:hAnsi="宋体" w:cs="宋体"/>
                <w:color w:val="auto"/>
                <w:sz w:val="24"/>
                <w:highlight w:val="none"/>
              </w:rPr>
            </w:pPr>
            <w:r>
              <w:rPr>
                <w:rFonts w:hint="eastAsia" w:ascii="宋体" w:hAnsi="宋体" w:cs="宋体"/>
                <w:color w:val="auto"/>
                <w:sz w:val="24"/>
                <w:highlight w:val="none"/>
              </w:rPr>
              <w:t>BIM竣工模型的协调、集成</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877F9">
            <w:pPr>
              <w:overflowPunct w:val="0"/>
              <w:rPr>
                <w:rFonts w:hint="eastAsia" w:ascii="宋体" w:hAnsi="宋体" w:cs="宋体"/>
                <w:color w:val="auto"/>
                <w:sz w:val="24"/>
                <w:highlight w:val="none"/>
              </w:rPr>
            </w:pPr>
            <w:r>
              <w:rPr>
                <w:rFonts w:hint="eastAsia" w:ascii="宋体" w:hAnsi="宋体" w:cs="宋体"/>
                <w:color w:val="auto"/>
                <w:sz w:val="24"/>
                <w:highlight w:val="none"/>
              </w:rPr>
              <w:t>在出具竣工证明前，完成各专业BIM竣工模型的整合及验收</w:t>
            </w:r>
          </w:p>
        </w:tc>
      </w:tr>
      <w:tr w14:paraId="73514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423" w:type="pct"/>
            <w:tcBorders>
              <w:top w:val="single" w:color="000000" w:sz="4" w:space="0"/>
              <w:left w:val="single" w:color="000000" w:sz="4" w:space="0"/>
              <w:bottom w:val="single" w:color="000000" w:sz="4" w:space="0"/>
              <w:right w:val="single" w:color="000000" w:sz="4" w:space="0"/>
            </w:tcBorders>
          </w:tcPr>
          <w:p w14:paraId="36470E93">
            <w:pPr>
              <w:overflowPunct w:val="0"/>
              <w:rPr>
                <w:rFonts w:hint="eastAsia" w:ascii="宋体" w:hAnsi="宋体" w:cs="宋体"/>
                <w:color w:val="auto"/>
                <w:sz w:val="24"/>
                <w:highlight w:val="none"/>
              </w:rPr>
            </w:pPr>
            <w:r>
              <w:rPr>
                <w:rFonts w:hint="eastAsia" w:ascii="宋体" w:hAnsi="宋体" w:cs="宋体"/>
                <w:color w:val="auto"/>
                <w:sz w:val="24"/>
                <w:highlight w:val="none"/>
              </w:rPr>
              <w:t>竣工阶段</w:t>
            </w:r>
          </w:p>
        </w:tc>
        <w:tc>
          <w:tcPr>
            <w:tcW w:w="2213" w:type="pct"/>
            <w:tcBorders>
              <w:top w:val="single" w:color="000000" w:sz="4" w:space="0"/>
              <w:left w:val="single" w:color="000000" w:sz="4" w:space="0"/>
              <w:bottom w:val="single" w:color="000000" w:sz="4" w:space="0"/>
              <w:right w:val="single" w:color="000000" w:sz="4" w:space="0"/>
            </w:tcBorders>
            <w:vAlign w:val="center"/>
          </w:tcPr>
          <w:p w14:paraId="5F06F8AA">
            <w:pPr>
              <w:overflowPunct w:val="0"/>
              <w:rPr>
                <w:rFonts w:hint="eastAsia" w:ascii="宋体" w:hAnsi="宋体" w:cs="宋体"/>
                <w:color w:val="auto"/>
                <w:sz w:val="24"/>
                <w:highlight w:val="none"/>
              </w:rPr>
            </w:pPr>
            <w:r>
              <w:rPr>
                <w:rFonts w:hint="eastAsia" w:ascii="宋体" w:hAnsi="宋体" w:cs="宋体"/>
                <w:color w:val="auto"/>
                <w:sz w:val="24"/>
                <w:highlight w:val="none"/>
              </w:rPr>
              <w:t>BIM竣工模型</w:t>
            </w:r>
          </w:p>
        </w:tc>
        <w:tc>
          <w:tcPr>
            <w:tcW w:w="2363" w:type="pct"/>
            <w:tcBorders>
              <w:top w:val="single" w:color="000000" w:sz="4" w:space="0"/>
              <w:left w:val="single" w:color="000000" w:sz="4" w:space="0"/>
              <w:bottom w:val="single" w:color="000000" w:sz="4" w:space="0"/>
              <w:right w:val="single" w:color="000000" w:sz="4" w:space="0"/>
            </w:tcBorders>
            <w:vAlign w:val="center"/>
          </w:tcPr>
          <w:p w14:paraId="297E74BD">
            <w:pPr>
              <w:overflowPunct w:val="0"/>
              <w:rPr>
                <w:rFonts w:hint="eastAsia" w:ascii="宋体" w:hAnsi="宋体" w:cs="宋体"/>
                <w:color w:val="auto"/>
                <w:sz w:val="24"/>
                <w:highlight w:val="none"/>
              </w:rPr>
            </w:pPr>
            <w:r>
              <w:rPr>
                <w:rFonts w:hint="eastAsia" w:ascii="宋体" w:hAnsi="宋体" w:cs="宋体"/>
                <w:color w:val="auto"/>
                <w:sz w:val="24"/>
                <w:highlight w:val="none"/>
              </w:rPr>
              <w:t>在竣工验收前。</w:t>
            </w:r>
          </w:p>
        </w:tc>
      </w:tr>
      <w:tr w14:paraId="086A3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tcPr>
          <w:p w14:paraId="113C73AB">
            <w:pPr>
              <w:overflowPunct w:val="0"/>
              <w:rPr>
                <w:rFonts w:hint="eastAsia" w:ascii="宋体" w:hAnsi="宋体" w:cs="宋体"/>
                <w:color w:val="auto"/>
                <w:sz w:val="24"/>
                <w:highlight w:val="none"/>
              </w:rPr>
            </w:pPr>
            <w:r>
              <w:rPr>
                <w:rFonts w:hint="eastAsia" w:ascii="宋体" w:hAnsi="宋体" w:cs="宋体"/>
                <w:color w:val="auto"/>
                <w:sz w:val="24"/>
                <w:highlight w:val="none"/>
              </w:rPr>
              <w:t>注：</w:t>
            </w:r>
          </w:p>
          <w:p w14:paraId="572E1666">
            <w:pPr>
              <w:overflowPunct w:val="0"/>
              <w:rPr>
                <w:rFonts w:hint="eastAsia" w:ascii="宋体" w:hAnsi="宋体" w:cs="宋体"/>
                <w:b/>
                <w:bCs/>
                <w:color w:val="auto"/>
                <w:sz w:val="24"/>
                <w:highlight w:val="none"/>
              </w:rPr>
            </w:pPr>
            <w:r>
              <w:rPr>
                <w:rFonts w:hint="eastAsia" w:ascii="宋体" w:hAnsi="宋体" w:cs="宋体"/>
                <w:color w:val="auto"/>
                <w:sz w:val="24"/>
                <w:highlight w:val="none"/>
              </w:rPr>
              <w:t>1、施工阶段BIM模型细度及技术应用点包括施工方案模拟、施工工艺模拟工作应用等具体内容参考业主方及施工单位提出需求，模拟深度要求参见《浙江省建筑信息模型(BIM)技术应用导则》并满足施工交底指导施工要求。</w:t>
            </w:r>
          </w:p>
          <w:p w14:paraId="1E1E3880">
            <w:pPr>
              <w:rPr>
                <w:rFonts w:hint="eastAsia" w:ascii="宋体" w:hAnsi="宋体" w:cs="宋体"/>
                <w:color w:val="auto"/>
                <w:sz w:val="24"/>
                <w:highlight w:val="none"/>
              </w:rPr>
            </w:pPr>
            <w:r>
              <w:rPr>
                <w:rFonts w:hint="eastAsia" w:ascii="宋体" w:hAnsi="宋体" w:cs="宋体"/>
                <w:color w:val="auto"/>
                <w:sz w:val="24"/>
                <w:highlight w:val="none"/>
              </w:rPr>
              <w:t>2、如采购人有其他工作要求，需15日历天内完成采购人提出的其他工作内容，并出具相应报告。</w:t>
            </w:r>
          </w:p>
        </w:tc>
      </w:tr>
    </w:tbl>
    <w:p w14:paraId="6E44BD3B">
      <w:pPr>
        <w:pStyle w:val="10"/>
        <w:spacing w:line="440" w:lineRule="exact"/>
        <w:rPr>
          <w:rFonts w:hint="eastAsia" w:asciiTheme="minorEastAsia" w:hAnsiTheme="minorEastAsia" w:eastAsiaTheme="minorEastAsia" w:cstheme="minorEastAsia"/>
          <w:color w:val="auto"/>
          <w:sz w:val="24"/>
          <w:szCs w:val="24"/>
          <w:highlight w:val="none"/>
          <w:u w:val="single"/>
        </w:rPr>
      </w:pPr>
    </w:p>
    <w:p w14:paraId="5E1C77F1">
      <w:pPr>
        <w:pStyle w:val="10"/>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第三条 甲方的协作事项</w:t>
      </w:r>
    </w:p>
    <w:p w14:paraId="05324DF8">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甲方应及时向乙方提供下列资料和工作条件</w:t>
      </w:r>
      <w:r>
        <w:rPr>
          <w:rFonts w:hint="eastAsia" w:asciiTheme="minorEastAsia" w:hAnsiTheme="minorEastAsia" w:eastAsiaTheme="minorEastAsia" w:cstheme="minorEastAsia"/>
          <w:color w:val="auto"/>
          <w:sz w:val="24"/>
          <w:szCs w:val="24"/>
          <w:highlight w:val="none"/>
          <w:u w:val="single"/>
        </w:rPr>
        <w:t xml:space="preserve"> 根据进度提供相应的资料</w:t>
      </w:r>
      <w:r>
        <w:rPr>
          <w:rFonts w:hint="eastAsia" w:asciiTheme="minorEastAsia" w:hAnsiTheme="minorEastAsia" w:eastAsiaTheme="minorEastAsia" w:cstheme="minorEastAsia"/>
          <w:color w:val="auto"/>
          <w:sz w:val="24"/>
          <w:szCs w:val="24"/>
          <w:highlight w:val="none"/>
        </w:rPr>
        <w:t>。</w:t>
      </w:r>
    </w:p>
    <w:p w14:paraId="75E5C868">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在甲方提交资料后，乙方应尽责核查材料齐全与否，并在</w:t>
      </w:r>
      <w:r>
        <w:rPr>
          <w:rFonts w:hint="eastAsia" w:asciiTheme="minorEastAsia" w:hAnsiTheme="minorEastAsia" w:eastAsiaTheme="minorEastAsia" w:cstheme="minorEastAsia"/>
          <w:color w:val="auto"/>
          <w:sz w:val="24"/>
          <w:szCs w:val="24"/>
          <w:highlight w:val="none"/>
          <w:u w:val="single"/>
        </w:rPr>
        <w:t xml:space="preserve"> 3 </w:t>
      </w:r>
      <w:r>
        <w:rPr>
          <w:rFonts w:hint="eastAsia" w:asciiTheme="minorEastAsia" w:hAnsiTheme="minorEastAsia" w:eastAsiaTheme="minorEastAsia" w:cstheme="minorEastAsia"/>
          <w:color w:val="auto"/>
          <w:sz w:val="24"/>
          <w:szCs w:val="24"/>
          <w:highlight w:val="none"/>
        </w:rPr>
        <w:t>个工作日内书面反馈材料不齐全事项，乙方未如期书面反馈的，视为认可甲方提交材料已齐全。</w:t>
      </w:r>
    </w:p>
    <w:p w14:paraId="0B462928">
      <w:pPr>
        <w:pStyle w:val="10"/>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第四条 服务费及其支付方式</w:t>
      </w:r>
    </w:p>
    <w:p w14:paraId="1DA5A24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 本合同服务费用（含税固定总价）为人民币（大写</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元),增值税税率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%,其中增值税金额为人民币（大写）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元)，合同不含税金额为人民币（大写）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元)。如遇国家增值税率调整，以不含税金额为基数，按调整后税率计算合同金额，除合同另有约定外，该价款已经包含乙方完成本合同全部工作所需的全</w:t>
      </w:r>
      <w:r>
        <w:rPr>
          <w:rFonts w:hint="eastAsia" w:asciiTheme="minorEastAsia" w:hAnsiTheme="minorEastAsia" w:eastAsiaTheme="minorEastAsia" w:cstheme="minorEastAsia"/>
          <w:color w:val="auto"/>
          <w:sz w:val="24"/>
          <w:highlight w:val="none"/>
        </w:rPr>
        <w:t>部费用（包括且不限于BIM模型构建、碰撞检测、综合优化、技术咨询、协同管理平台服务、成果交付、售后服务以及为提供上述服务所产生人工费、现场测量费、专家咨询费、外出考察费、会议费、交通、住宿、检测费、验收费（含专家费）、差旅费、管理费、软件使用费、通讯费、设备（仪器）费、利润、进驻施工现场人员工伤保险费和意外伤害保险费、税金、风险费以及政策和行业规定的各项税费），凡未列入的均将被认为已包含在投标总价中，上述没有提及但该项目仍需要的内容，请乙方均已考虑一并计入投标报价中,乙方不得再向甲方主张任何款项。</w:t>
      </w:r>
    </w:p>
    <w:p w14:paraId="764E25FF">
      <w:pPr>
        <w:pStyle w:val="10"/>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4.2 乙方应在合同签订后</w:t>
      </w:r>
      <w:r>
        <w:rPr>
          <w:rFonts w:hint="eastAsia" w:asciiTheme="minorEastAsia" w:hAnsiTheme="minorEastAsia" w:eastAsiaTheme="minorEastAsia" w:cstheme="minorEastAsia"/>
          <w:color w:val="auto"/>
          <w:sz w:val="24"/>
          <w:szCs w:val="24"/>
          <w:highlight w:val="none"/>
          <w:u w:val="single"/>
        </w:rPr>
        <w:t xml:space="preserve">  15 </w:t>
      </w:r>
      <w:r>
        <w:rPr>
          <w:rFonts w:hint="eastAsia" w:asciiTheme="minorEastAsia" w:hAnsiTheme="minorEastAsia" w:eastAsiaTheme="minorEastAsia" w:cstheme="minorEastAsia"/>
          <w:color w:val="auto"/>
          <w:sz w:val="24"/>
          <w:szCs w:val="24"/>
          <w:highlight w:val="none"/>
        </w:rPr>
        <w:t>个工作日内向甲方支付履约保证金，履约保证金为签约合同总价的</w:t>
      </w:r>
      <w:r>
        <w:rPr>
          <w:rFonts w:hint="eastAsia" w:asciiTheme="minorEastAsia" w:hAnsiTheme="minorEastAsia" w:eastAsiaTheme="minorEastAsia" w:cstheme="minorEastAsia"/>
          <w:color w:val="auto"/>
          <w:sz w:val="24"/>
          <w:szCs w:val="24"/>
          <w:highlight w:val="none"/>
          <w:u w:val="single"/>
        </w:rPr>
        <w:t xml:space="preserve">  1  </w:t>
      </w:r>
      <w:r>
        <w:rPr>
          <w:rFonts w:hint="eastAsia" w:asciiTheme="minorEastAsia" w:hAnsiTheme="minorEastAsia" w:eastAsiaTheme="minorEastAsia" w:cstheme="minorEastAsia"/>
          <w:color w:val="auto"/>
          <w:sz w:val="24"/>
          <w:szCs w:val="24"/>
          <w:highlight w:val="none"/>
        </w:rPr>
        <w:t>% ，支票（同城）、汇票、电汇或由银行、国有担保公司出具的无条件保函方式均可。</w:t>
      </w:r>
    </w:p>
    <w:p w14:paraId="2F14A30C">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 支付方式及时限：</w:t>
      </w:r>
    </w:p>
    <w:p w14:paraId="45BFBD21">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（1）合同签订完成并收到乙方合同总价1%的履约保证金（或履约保函）支付至签约合同价的40%； </w:t>
      </w:r>
    </w:p>
    <w:p w14:paraId="67C7768C">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（2）全专业（包含医疗专项设计）BIM 模型碰撞检测、管线综合优化（包含医疗专项工程管线优化）、净高分析出具相应报告并经甲方审核通过后支付至签约合同价的50%； </w:t>
      </w:r>
    </w:p>
    <w:p w14:paraId="6A1BD7B6">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（3）项目主体结顶后且完成相应 BIM 技术应用成果并经过甲方审核通过后支付至签约合同价的70%； </w:t>
      </w:r>
    </w:p>
    <w:p w14:paraId="492F4ED0">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（4）完成项目竣工模型、电子竣工档案上传BIM集成化协同管理平台经甲方审核通过后支付至签约合同价的95%；</w:t>
      </w:r>
    </w:p>
    <w:p w14:paraId="36EF5868">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（5）项目整体竣工验收合格且乙方提供的服务内容均合格，且提交全部成果后，支付剩余合同价款，并无息退还剩余履约保证金（或履约保函）。 </w:t>
      </w:r>
    </w:p>
    <w:p w14:paraId="171F5544">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上述进度款均需由乙方递交各阶段相应成果文件，成果经甲方认可且提供等额正式增值税普通发票，并经财政等有关部门审核批准后，14个工作日内支付。甲方有权通过本项目参建及管理各方共同审核各阶段成果，合格后方可进行款项支付。</w:t>
      </w:r>
    </w:p>
    <w:p w14:paraId="2816D01F">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 付款提示</w:t>
      </w:r>
    </w:p>
    <w:p w14:paraId="0E3AF481">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4.4.1 在达到合同约定甲方付款进度时，乙方应提前 30 日向甲方发出提示付款的书面通知。</w:t>
      </w:r>
    </w:p>
    <w:p w14:paraId="06C2B808">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4.4.2 若甲方对乙方提出的付款通知有异议的，甲方将在收到该付款通知7个工作日内向乙方发出异议通知，并不承担违约责任。经甲方同意确认后，甲方再行支付该笔费用。</w:t>
      </w:r>
    </w:p>
    <w:p w14:paraId="771AC319">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4.4.3 若乙方未及时发出书面通知导致甲方未支付的，甲方不承担任何违约责任。</w:t>
      </w:r>
    </w:p>
    <w:p w14:paraId="58BB9F20">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 乙方在甲方支付款项之前必须提供合法有效的增值税普通发票。若乙方不提供增值税普通发票，甲方有权拒绝支付该笔款项且不承担任何违约责任。同时，乙方不得因此而停止工作，不得影响服务质量。</w:t>
      </w:r>
    </w:p>
    <w:p w14:paraId="30D47102">
      <w:pPr>
        <w:pStyle w:val="10"/>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第五条 验收及咨询成果归属</w:t>
      </w:r>
    </w:p>
    <w:p w14:paraId="61002028">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本协议涉及之咨询过程及成果的全部内容的所有权和知识产权等一切权益均归甲方所有，但乙方依法享有署名权，乙方可以为实现合同目的而复制、使用此类文件，但不能用于与合同无关的其他事项。未经甲方书面同意，乙方不得为了合同以外的目的而复制、使用上述文件或将之提供给任何第三方。</w:t>
      </w:r>
    </w:p>
    <w:p w14:paraId="5CDE94D7">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5.2本项目验收按浙江省住房和城乡建设厅发布的浙江省工程建设标准（DB33/T1154-2018）《建筑信息模型（BIM）应用统一标准》、《浙江省建筑信息模型(BIM)技术应用导则》等国家级、省级标准的相关要求执行。</w:t>
      </w:r>
    </w:p>
    <w:p w14:paraId="6200F50A">
      <w:pPr>
        <w:pStyle w:val="10"/>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第六条 甲方的权利与义务</w:t>
      </w:r>
    </w:p>
    <w:p w14:paraId="59C560EA">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 甲方指定专人与乙方进行合作，有权对乙方提供的咨询报告或方案进行修改或确认；</w:t>
      </w:r>
    </w:p>
    <w:p w14:paraId="0423DA83">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 甲方有权对乙方完成工作事项情况进行监督；</w:t>
      </w:r>
    </w:p>
    <w:p w14:paraId="6E827D79">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 甲方应配备专人配合乙方的工作；</w:t>
      </w:r>
    </w:p>
    <w:p w14:paraId="1F147967">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 甲方为本合同之目的向乙方提供的文件及相关素材的所有权益（包括但不限于所有权和知识产权）归属甲方；</w:t>
      </w:r>
    </w:p>
    <w:p w14:paraId="6F82345D">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6.5甲方指定人员姓名：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联系方式：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11FCCB7">
      <w:pPr>
        <w:pStyle w:val="10"/>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第七条 乙方的权利与义务</w:t>
      </w:r>
    </w:p>
    <w:p w14:paraId="6BFD8F46">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 乙方保证公司经营的合法性，并将公司营业执照和资格证书复印件作为合同附件；乙方承诺，乙方拥有 BIM 咨询服务所要求的专业技术、人员和技术资源，其成果符合我国的相关规定；</w:t>
      </w:r>
    </w:p>
    <w:p w14:paraId="796E67F0">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 乙方受甲方邀请的情况下，积极参与甲方的工作例会，并汇报工作；</w:t>
      </w:r>
    </w:p>
    <w:p w14:paraId="1B96579A">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 乙方保证所提供的成果不存在任何权利上的瑕疵，包括但不限于不得侵犯他人著作权、专利权及商业秘密等权利；</w:t>
      </w:r>
    </w:p>
    <w:p w14:paraId="71AB7AB2">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 乙方工作中就该项目需与任何第三方合作时，乙方须提前通知甲方，并征得甲方书面同意；</w:t>
      </w:r>
    </w:p>
    <w:p w14:paraId="5A8EF101">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7.5 乙方应保守合同履约过程中所知悉的甲方信息和项目(含第三方)信息和甲方不愿意公开的有关事项，在合同期限内未征得甲方认可或同意的情况下，不得将上述信息或商业资料透露给任何第三方，否则，甲方有权要求乙方承担违约责任；合同期满后，乙方不得以任何方式留存甲方资料，但经甲方许可的除外；乙方保密义务还须遵照本协议保密条款之要求；</w:t>
      </w:r>
    </w:p>
    <w:p w14:paraId="38C09465">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7.6 乙方应在每月十日向甲方总结上个月的工作并提交相关工作计划，乙方应及时向甲方通报工作事项的进展情况，甲方有权随时知悉委托事项的进展情况；乙方应依据合同约定节点及时提醒甲方提供相关资料。</w:t>
      </w:r>
    </w:p>
    <w:p w14:paraId="4F09C926">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7.7 乙方有义务按照甲方的要求，对提供的方案、成果等进行修改（违反相关法律、法规及规定的除外）；</w:t>
      </w:r>
    </w:p>
    <w:p w14:paraId="45768435">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7.8 未经甲方书面同意，乙方不得以任何目的以任何方式使用、披露、泄漏或提供给任何其他方。</w:t>
      </w:r>
    </w:p>
    <w:p w14:paraId="6EBAB114">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7.9乙方完成本合同事项所产生的知识产权归甲方所有；</w:t>
      </w:r>
    </w:p>
    <w:p w14:paraId="0B284594">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7.10合同签订后，乙方建立完整的可以胜任服务期内所有BIM工作的专业团队，并根据甲方要求及各阶段需求指派相关专业人员驻场提供技术服务，参加相关重要会议，按需进场负责BIM工作的沟通及协调。团队成员应具备建筑、结构或机电等的专业背景。</w:t>
      </w:r>
    </w:p>
    <w:p w14:paraId="2301F53E">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7.11乙方按照甲方要求指派相关专业人员驻场提供技术服务，参加相关重要会议。可在施工现场或甲方（全咨方）指定的办公地点，及时配合甲方各部门与现场设计单位解决各类深化设计，模型移交及使用过程中出现的问题。</w:t>
      </w:r>
    </w:p>
    <w:p w14:paraId="1D2A0106">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7.12乙方项目负责人姓名：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联系方式：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F76112D">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7.13本项目实行代建管理，乙方需服从代建单位管理。</w:t>
      </w:r>
    </w:p>
    <w:p w14:paraId="1F7DEEED">
      <w:pPr>
        <w:pStyle w:val="10"/>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第八条 保密条款</w:t>
      </w:r>
    </w:p>
    <w:p w14:paraId="3D43AC13">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 以下信息均属于保密信息：包括但不限于甲方提供的信息、数据、技术资料等全部内容，及乙方履行本协议过程中了解到的与甲方及目标项目相关的全部信息及乙方为履行本合同过程资料、数据、信息及各项成果等全部内容。</w:t>
      </w:r>
    </w:p>
    <w:p w14:paraId="682D34A9">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 乙方同意严格按照本协议的规定使用相关信息，未经甲方的事先书面许可，不得向第三方，或允许第三方直接或间接地透露保密信息。乙方同意：</w:t>
      </w:r>
    </w:p>
    <w:p w14:paraId="294A167B">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（1）对保密信息保密，并采取所有必要的预防措施（包括但不限于双方采取的用于保护自身保密信息的措施）防止未经授权地使用及透露保密信息；</w:t>
      </w:r>
    </w:p>
    <w:p w14:paraId="1A4D336B">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（2）不得向第三方提供保密信息或由保密信息衍生的信息；</w:t>
      </w:r>
    </w:p>
    <w:p w14:paraId="1EBA5555">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（3）除了本合同确定的应用范围外，不得在任何时候使用保密信息。</w:t>
      </w:r>
    </w:p>
    <w:p w14:paraId="6D685FF7">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 双方不负责保护以下信息：</w:t>
      </w:r>
    </w:p>
    <w:p w14:paraId="58366883">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（1）已公开的信息；</w:t>
      </w:r>
    </w:p>
    <w:p w14:paraId="3A544514">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（2）由另一方从不受保密限制的第三方获得的信息；</w:t>
      </w:r>
    </w:p>
    <w:p w14:paraId="4DEAE1C9">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（3）未参考保密信息而由另一方独立开发的与本项目无关的信息；</w:t>
      </w:r>
    </w:p>
    <w:p w14:paraId="46E4CDD6">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（4）依据法律的规定或根据法律赋予的权力可以获取此信息的司法、政府机构的要求必须公开的信息。接到此类要求后的一方，应立即通知另一方，使另一方了解将要披露的内容并提出意见。</w:t>
      </w:r>
    </w:p>
    <w:p w14:paraId="52B96135">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8.4 本条款项下的义务适用于任何保密信息，或根据双方事先或目前协议由甲、乙方提供给对方的其他专有和/或保密信息。</w:t>
      </w:r>
    </w:p>
    <w:p w14:paraId="2CD31F9F">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8.5 本协议终止后，乙方应立即自费将保密信息物归原主，并归还所有含保密信息的文件或媒体及其复制件或摘要，并不得就此要求经济补偿。</w:t>
      </w:r>
    </w:p>
    <w:p w14:paraId="3A70E9C8">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8.6 如果参与本协议确定业务的双方员工不再继续参与本项目，则该方应确保立即终止该员工获得对方保密信息和信息源的途径。</w:t>
      </w:r>
    </w:p>
    <w:p w14:paraId="18C58163">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8.7 本合同提前解除或者终止后，本条款规定继续有效。</w:t>
      </w:r>
    </w:p>
    <w:p w14:paraId="6C0183BC">
      <w:pPr>
        <w:pStyle w:val="10"/>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第九条 违约责任</w:t>
      </w:r>
    </w:p>
    <w:p w14:paraId="1127BC29">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 合同履行期间，由于甲方原因而要求解除合同时，甲方承担由此给乙方造成的损失，如乙方已提供咨询服务工作的，甲方应根据各阶段认可的已有的确认合格的成果向乙方支付对应的咨询服务费用。</w:t>
      </w:r>
    </w:p>
    <w:p w14:paraId="3C6A23EC">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 甲方应按合同规定时间（日期）及时支付咨询费，不得无故拖欠，以免影响相关工作开展。</w:t>
      </w:r>
    </w:p>
    <w:p w14:paraId="4EF0E2F5">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 乙方不得无故擅自解除合同，否则乙方除应退还甲方已支付的全部费用外，还应向甲方一次性支付签约合同价的</w:t>
      </w:r>
      <w:r>
        <w:rPr>
          <w:rFonts w:hint="eastAsia" w:asciiTheme="minorEastAsia" w:hAnsiTheme="minorEastAsia" w:eastAsiaTheme="minorEastAsia" w:cstheme="minorEastAsia"/>
          <w:color w:val="auto"/>
          <w:sz w:val="24"/>
          <w:szCs w:val="24"/>
          <w:highlight w:val="none"/>
          <w:u w:val="single"/>
        </w:rPr>
        <w:t xml:space="preserve"> 20%  </w:t>
      </w:r>
      <w:r>
        <w:rPr>
          <w:rFonts w:hint="eastAsia" w:asciiTheme="minorEastAsia" w:hAnsiTheme="minorEastAsia" w:eastAsiaTheme="minorEastAsia" w:cstheme="minorEastAsia"/>
          <w:color w:val="auto"/>
          <w:sz w:val="24"/>
          <w:szCs w:val="24"/>
          <w:highlight w:val="none"/>
        </w:rPr>
        <w:t>违约金，如甲方实际损失超过该违约金金额的，超出部分由乙方另行承担。</w:t>
      </w:r>
    </w:p>
    <w:p w14:paraId="0A3FC320">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9.4 由于乙方原因，未按经建设单位确认的BIM建模计划完成技术服务，每逾期</w:t>
      </w:r>
      <w:r>
        <w:rPr>
          <w:rFonts w:hint="eastAsia" w:asciiTheme="minorEastAsia" w:hAnsiTheme="minorEastAsia" w:eastAsiaTheme="minorEastAsia" w:cstheme="minorEastAsia"/>
          <w:color w:val="auto"/>
          <w:sz w:val="24"/>
          <w:szCs w:val="24"/>
          <w:highlight w:val="none"/>
          <w:u w:val="single"/>
        </w:rPr>
        <w:t xml:space="preserve"> 1 </w:t>
      </w:r>
      <w:r>
        <w:rPr>
          <w:rFonts w:hint="eastAsia" w:asciiTheme="minorEastAsia" w:hAnsiTheme="minorEastAsia" w:eastAsiaTheme="minorEastAsia" w:cstheme="minorEastAsia"/>
          <w:color w:val="auto"/>
          <w:sz w:val="24"/>
          <w:szCs w:val="24"/>
          <w:highlight w:val="none"/>
        </w:rPr>
        <w:t>日，乙方向甲方支付签约合同价的</w:t>
      </w:r>
      <w:r>
        <w:rPr>
          <w:rFonts w:hint="eastAsia" w:asciiTheme="minorEastAsia" w:hAnsiTheme="minorEastAsia" w:eastAsiaTheme="minorEastAsia" w:cstheme="minorEastAsia"/>
          <w:color w:val="auto"/>
          <w:sz w:val="24"/>
          <w:szCs w:val="24"/>
          <w:highlight w:val="none"/>
          <w:u w:val="single"/>
        </w:rPr>
        <w:t>万分之二/日</w:t>
      </w:r>
      <w:r>
        <w:rPr>
          <w:rFonts w:hint="eastAsia" w:asciiTheme="minorEastAsia" w:hAnsiTheme="minorEastAsia" w:eastAsiaTheme="minorEastAsia" w:cstheme="minorEastAsia"/>
          <w:color w:val="auto"/>
          <w:sz w:val="24"/>
          <w:szCs w:val="24"/>
          <w:highlight w:val="none"/>
        </w:rPr>
        <w:t>的违约金；由于乙方原因，如超过</w:t>
      </w:r>
      <w:r>
        <w:rPr>
          <w:rFonts w:hint="eastAsia" w:asciiTheme="minorEastAsia" w:hAnsiTheme="minorEastAsia" w:eastAsiaTheme="minorEastAsia" w:cstheme="minorEastAsia"/>
          <w:color w:val="auto"/>
          <w:sz w:val="24"/>
          <w:szCs w:val="24"/>
          <w:highlight w:val="none"/>
          <w:u w:val="single"/>
        </w:rPr>
        <w:t xml:space="preserve"> 10 </w:t>
      </w:r>
      <w:r>
        <w:rPr>
          <w:rFonts w:hint="eastAsia" w:asciiTheme="minorEastAsia" w:hAnsiTheme="minorEastAsia" w:eastAsiaTheme="minorEastAsia" w:cstheme="minorEastAsia"/>
          <w:color w:val="auto"/>
          <w:sz w:val="24"/>
          <w:szCs w:val="24"/>
          <w:highlight w:val="none"/>
        </w:rPr>
        <w:t>日乙方仍没有完成本次咨询服务工作，甲方有权解除本合同，乙方除应退还甲方已支付的全部费用外，还需向甲方支付签约合同价</w:t>
      </w:r>
      <w:r>
        <w:rPr>
          <w:rFonts w:hint="eastAsia" w:asciiTheme="minorEastAsia" w:hAnsiTheme="minorEastAsia" w:eastAsiaTheme="minorEastAsia" w:cstheme="minorEastAsia"/>
          <w:color w:val="auto"/>
          <w:sz w:val="24"/>
          <w:szCs w:val="24"/>
          <w:highlight w:val="none"/>
          <w:u w:val="single"/>
        </w:rPr>
        <w:t xml:space="preserve"> 10%  </w:t>
      </w:r>
      <w:r>
        <w:rPr>
          <w:rFonts w:hint="eastAsia" w:asciiTheme="minorEastAsia" w:hAnsiTheme="minorEastAsia" w:eastAsiaTheme="minorEastAsia" w:cstheme="minorEastAsia"/>
          <w:color w:val="auto"/>
          <w:sz w:val="24"/>
          <w:szCs w:val="24"/>
          <w:highlight w:val="none"/>
        </w:rPr>
        <w:t>的违约金。</w:t>
      </w:r>
    </w:p>
    <w:p w14:paraId="4B2D483D">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9.5 如乙方完成的技术服务不符合本合同约定的要求，乙方应无偿按甲方要求进行改进；因改进造成未按合同工期完成技术服务的，根据本合同第9.4款承担责任；如改进后仍不符合合同约定的，甲方有权解除本合同，乙方除应退还甲方已支付的全部费用外，还需向甲方支付签约合同价</w:t>
      </w:r>
      <w:r>
        <w:rPr>
          <w:rFonts w:hint="eastAsia" w:asciiTheme="minorEastAsia" w:hAnsiTheme="minorEastAsia" w:eastAsiaTheme="minorEastAsia" w:cstheme="minorEastAsia"/>
          <w:color w:val="auto"/>
          <w:sz w:val="24"/>
          <w:szCs w:val="24"/>
          <w:highlight w:val="none"/>
          <w:u w:val="single"/>
        </w:rPr>
        <w:t xml:space="preserve"> 10%  </w:t>
      </w:r>
      <w:r>
        <w:rPr>
          <w:rFonts w:hint="eastAsia" w:asciiTheme="minorEastAsia" w:hAnsiTheme="minorEastAsia" w:eastAsiaTheme="minorEastAsia" w:cstheme="minorEastAsia"/>
          <w:color w:val="auto"/>
          <w:sz w:val="24"/>
          <w:szCs w:val="24"/>
          <w:highlight w:val="none"/>
        </w:rPr>
        <w:t>的违约金。</w:t>
      </w:r>
    </w:p>
    <w:p w14:paraId="23392D0B">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9.6 乙方及乙方的员工（包括在职员工和离职员工）违反本协议约定的保密义务的，乙方应向甲方承担违约责任，并向甲方支付签约合同价</w:t>
      </w:r>
      <w:r>
        <w:rPr>
          <w:rFonts w:hint="eastAsia" w:asciiTheme="minorEastAsia" w:hAnsiTheme="minorEastAsia" w:eastAsiaTheme="minorEastAsia" w:cstheme="minorEastAsia"/>
          <w:color w:val="auto"/>
          <w:sz w:val="24"/>
          <w:szCs w:val="24"/>
          <w:highlight w:val="none"/>
          <w:u w:val="single"/>
        </w:rPr>
        <w:t xml:space="preserve"> 5%/次</w:t>
      </w:r>
      <w:r>
        <w:rPr>
          <w:rFonts w:hint="eastAsia" w:asciiTheme="minorEastAsia" w:hAnsiTheme="minorEastAsia" w:eastAsiaTheme="minorEastAsia" w:cstheme="minorEastAsia"/>
          <w:color w:val="auto"/>
          <w:sz w:val="24"/>
          <w:szCs w:val="24"/>
          <w:highlight w:val="none"/>
        </w:rPr>
        <w:t>的违约金，且甲方有权解除合同。</w:t>
      </w:r>
    </w:p>
    <w:p w14:paraId="6381D383">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9.7 本款适用于所有乙方应向甲方支付违约金情形。自甲方发出要求乙方支付违约金的书面通知之日起</w:t>
      </w:r>
      <w:r>
        <w:rPr>
          <w:rFonts w:hint="eastAsia" w:asciiTheme="minorEastAsia" w:hAnsiTheme="minorEastAsia" w:eastAsiaTheme="minorEastAsia" w:cstheme="minorEastAsia"/>
          <w:color w:val="auto"/>
          <w:sz w:val="24"/>
          <w:szCs w:val="24"/>
          <w:highlight w:val="none"/>
          <w:u w:val="single"/>
        </w:rPr>
        <w:t xml:space="preserve"> 7 </w:t>
      </w:r>
      <w:r>
        <w:rPr>
          <w:rFonts w:hint="eastAsia" w:asciiTheme="minorEastAsia" w:hAnsiTheme="minorEastAsia" w:eastAsiaTheme="minorEastAsia" w:cstheme="minorEastAsia"/>
          <w:color w:val="auto"/>
          <w:sz w:val="24"/>
          <w:szCs w:val="24"/>
          <w:highlight w:val="none"/>
        </w:rPr>
        <w:t xml:space="preserve">个工作日内，乙方应按照合同约定的时间向甲方一次性付清符合合同约定的违约金。逾期支付的，每日应按应付违约金的百分之一另行支付滞纳金，自逾期支付之日起至乙方向甲方实际付清之日止。若逾期支付超过30日历天，甲方有权从履约保证金或暂未支付款项中先行抵扣相当于违约金和滞纳金数额之款项。违约金不足以弥补甲方所遭受损失的，甲方有权继续向乙方追偿。  </w:t>
      </w:r>
    </w:p>
    <w:p w14:paraId="069C449A">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9.8如因乙方原因导致的管线的碰撞、结构开洞，施工返工的等问题，乙方应负责处理并承担全部损失，还应按照合同签约价的5%/次承担违约责任。</w:t>
      </w:r>
    </w:p>
    <w:p w14:paraId="34006CA9">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9.9未经甲方同意，所有项目组人员不得更换。未经甲方同意更换项目负责人、专业负责人的，甲方有权解除合同，乙方除应退还甲方已支付的全部费用外，还需向甲方支付签约合同价10%的违约金。</w:t>
      </w:r>
    </w:p>
    <w:p w14:paraId="0F556963">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9.10本合同所有违约金甲方有权在履约保证金或剩余暂未支付款项中扣除。不足部分甲方有权要求乙方无条件补足。</w:t>
      </w:r>
    </w:p>
    <w:p w14:paraId="5AB8B435">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9.11 除另有约定以外，乙方未按照合同约定履行服务内容经甲方催告后仍未履行或已无履行必要的，甲方有权解除合同，乙方除应退还甲方已支付的全部费用外，还需向甲方支付签约合同价</w:t>
      </w:r>
      <w:r>
        <w:rPr>
          <w:rFonts w:hint="eastAsia" w:asciiTheme="minorEastAsia" w:hAnsiTheme="minorEastAsia" w:eastAsiaTheme="minorEastAsia" w:cstheme="minorEastAsia"/>
          <w:color w:val="auto"/>
          <w:sz w:val="24"/>
          <w:szCs w:val="24"/>
          <w:highlight w:val="none"/>
          <w:u w:val="single"/>
        </w:rPr>
        <w:t xml:space="preserve"> 5% </w:t>
      </w:r>
      <w:r>
        <w:rPr>
          <w:rFonts w:hint="eastAsia" w:asciiTheme="minorEastAsia" w:hAnsiTheme="minorEastAsia" w:eastAsiaTheme="minorEastAsia" w:cstheme="minorEastAsia"/>
          <w:color w:val="auto"/>
          <w:sz w:val="24"/>
          <w:szCs w:val="24"/>
          <w:highlight w:val="none"/>
        </w:rPr>
        <w:t>的违约金。</w:t>
      </w:r>
    </w:p>
    <w:p w14:paraId="7AE64CC3">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9.12 除另有约定以外，乙方未按约定履行或者其他行为导致甲方解除合同的，乙方除应退还甲方已支付的全部费用外，还需向甲方支付签约合同价</w:t>
      </w:r>
      <w:r>
        <w:rPr>
          <w:rFonts w:hint="eastAsia" w:asciiTheme="minorEastAsia" w:hAnsiTheme="minorEastAsia" w:eastAsiaTheme="minorEastAsia" w:cstheme="minorEastAsia"/>
          <w:color w:val="auto"/>
          <w:sz w:val="24"/>
          <w:szCs w:val="24"/>
          <w:highlight w:val="none"/>
          <w:u w:val="single"/>
        </w:rPr>
        <w:t xml:space="preserve"> 5% </w:t>
      </w:r>
      <w:r>
        <w:rPr>
          <w:rFonts w:hint="eastAsia" w:asciiTheme="minorEastAsia" w:hAnsiTheme="minorEastAsia" w:eastAsiaTheme="minorEastAsia" w:cstheme="minorEastAsia"/>
          <w:color w:val="auto"/>
          <w:sz w:val="24"/>
          <w:szCs w:val="24"/>
          <w:highlight w:val="none"/>
        </w:rPr>
        <w:t>的违约金。</w:t>
      </w:r>
    </w:p>
    <w:p w14:paraId="701BCA2D">
      <w:pPr>
        <w:pStyle w:val="10"/>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第十条 通 知</w:t>
      </w:r>
    </w:p>
    <w:p w14:paraId="75280B91">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 以本协议为目的或与之相关的任何通知均应以亲自递交、邮递或特快专递发至本合同列明的各自联系地址和/或联系方式，否则不发生效力。如果拟接受通知的协议一方的联系地址和/或联系方式发生变更，则其应毫不延迟地通知另一方这一变更情况，未通知的，视为未变更，则按合同中列明的联系地址或/或联系方式发送的均视为已送达。</w:t>
      </w:r>
    </w:p>
    <w:p w14:paraId="1C50B72F">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 通知被视为送达的日期应按如下方法决定：</w:t>
      </w:r>
    </w:p>
    <w:p w14:paraId="5F904324">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（1）专人递交的通知在专人递交之时视为有效送达；</w:t>
      </w:r>
    </w:p>
    <w:p w14:paraId="3C6C9757">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（2）以（预付邮资）的挂号信件发出的通知，应在寄出日（以邮戳为准）后第七日视为有效送达；</w:t>
      </w:r>
    </w:p>
    <w:p w14:paraId="2CF6C796">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（3）以快递发送的通知应于交予合法的快递服务发送后第三日视为有效送达；</w:t>
      </w:r>
    </w:p>
    <w:p w14:paraId="12539D50">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（4）以电子邮件发出的通知，在传送日后第一个工作日视为有效送达。</w:t>
      </w:r>
    </w:p>
    <w:p w14:paraId="2CC6B50B">
      <w:pPr>
        <w:pStyle w:val="10"/>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第十一条 继承</w:t>
      </w:r>
    </w:p>
    <w:p w14:paraId="5E1C3C90">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本协议生效后，无论甲方或乙方的名称、组织形式、企业性质、经营范围、注册资本、投资者等发生任何变更，甲方或乙方应继续或要求其权利义务的继承人恪守并履行其在本协议项下之相关义务。</w:t>
      </w:r>
    </w:p>
    <w:p w14:paraId="7C4C4AC8">
      <w:pPr>
        <w:pStyle w:val="10"/>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第十二条 不可抗力</w:t>
      </w:r>
    </w:p>
    <w:p w14:paraId="15DDDF22">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 因地震、台风、洪水、海啸、火灾、战争、暴乱、罢工、重大传染疾病及其他协议方不能预见、不能避免并不能克服的客观情况导致本协议不能履行或不能完全履行时，遭遇上述不可抗力的一方，应立即将相应情况用书面通知对方，并于七（7）天内提供不可抗力发生的详情及本协议不能履行、或者部分不能履行、或者需要延期履行的理由的有效证明文件。根据不可抗力事由对履行本协议影响的程度，由双方协商解除本协议，或者部分免除本协议的履行义务，或者延期履行本协议。</w:t>
      </w:r>
    </w:p>
    <w:p w14:paraId="7BC5D438">
      <w:pPr>
        <w:pStyle w:val="10"/>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第十三条 不弃权</w:t>
      </w:r>
    </w:p>
    <w:p w14:paraId="6F6B6360">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 任何一方未行使或延迟行使本合同项下的或与本合同有关的任何其它合同/协议项下的任何权利不应视为放弃这些权利；任何单独或部分地行使任何权利，亦不应妨碍该方将来行使这些权利。</w:t>
      </w:r>
    </w:p>
    <w:p w14:paraId="05D03D9C">
      <w:pPr>
        <w:pStyle w:val="10"/>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第十四条 附件</w:t>
      </w:r>
    </w:p>
    <w:p w14:paraId="20D83429">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 本协议所有附件为本协议不可分割之组成部分，与本协议具有同等法律效力。</w:t>
      </w:r>
    </w:p>
    <w:p w14:paraId="2155BBFF">
      <w:pPr>
        <w:pStyle w:val="10"/>
        <w:spacing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第十五条 可分割性</w:t>
      </w:r>
    </w:p>
    <w:p w14:paraId="7119FAD4">
      <w:pPr>
        <w:pStyle w:val="1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 本协议及其附件中所包含的任何条款在被认为无效或不具有强制执行力的情况下，该条款的无效性或不可执行性不得影响其他条款的效力。</w:t>
      </w:r>
    </w:p>
    <w:p w14:paraId="0CB88504">
      <w:pPr>
        <w:pStyle w:val="1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第十六条 完整合同</w:t>
      </w:r>
    </w:p>
    <w:p w14:paraId="1DD39072">
      <w:pPr>
        <w:pStyle w:val="1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 本协议构成各方对本协议所涉事项的完整合同，它取代了此前各方就该等事项作出的任何口头或书面合同或许诺。</w:t>
      </w:r>
    </w:p>
    <w:p w14:paraId="58591C69">
      <w:pPr>
        <w:pStyle w:val="1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第十七条 修改</w:t>
      </w:r>
    </w:p>
    <w:p w14:paraId="6DA3CE6B">
      <w:pPr>
        <w:pStyle w:val="1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17.1 对本协议的任何修改均须以书面形式进行，并经本协议双方盖章后方能生效，本协议中未经修改的其他条款仍然有效。</w:t>
      </w:r>
    </w:p>
    <w:p w14:paraId="4032DCC0">
      <w:pPr>
        <w:pStyle w:val="1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第十八条 适用法律</w:t>
      </w:r>
    </w:p>
    <w:p w14:paraId="7A4B9194">
      <w:pPr>
        <w:pStyle w:val="1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 本合同的签订、效力、解释、履行、终止和争议的解决，均受中华人民共和国（大陆）法律的保护和管辖。</w:t>
      </w:r>
    </w:p>
    <w:p w14:paraId="401CE72E">
      <w:pPr>
        <w:pStyle w:val="10"/>
        <w:numPr>
          <w:ilvl w:val="0"/>
          <w:numId w:val="3"/>
        </w:numPr>
        <w:spacing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争议解决</w:t>
      </w:r>
    </w:p>
    <w:p w14:paraId="2FDDB8D6">
      <w:pPr>
        <w:pStyle w:val="1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19.1 双方因履行本协议（包括但不限于有关本协议的生效、解释、履行、修改和终止）有关的一切争议、纠纷或索赔均应当首先通过友好协商解决。如果协商不成的，可向甲方所在地人民法院提起诉讼。</w:t>
      </w:r>
    </w:p>
    <w:p w14:paraId="6808BD83">
      <w:pPr>
        <w:pStyle w:val="10"/>
        <w:spacing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第二十条 标题</w:t>
      </w:r>
    </w:p>
    <w:p w14:paraId="325B2747">
      <w:pPr>
        <w:pStyle w:val="1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20.1 本协议中的标题仅作为参考，不影响本协议的含义及其解释。</w:t>
      </w:r>
    </w:p>
    <w:p w14:paraId="6DFE9CB7">
      <w:pPr>
        <w:pStyle w:val="10"/>
        <w:spacing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第二十一条 生效及文本</w:t>
      </w:r>
    </w:p>
    <w:p w14:paraId="5BCF1516">
      <w:pPr>
        <w:pStyle w:val="1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21.1本协议自甲乙双方盖章并经法定代表人或授权代表签字后即生效；本协议一式</w:t>
      </w:r>
      <w:r>
        <w:rPr>
          <w:rFonts w:hint="eastAsia" w:asciiTheme="minorEastAsia" w:hAnsiTheme="minorEastAsia" w:eastAsiaTheme="minorEastAsia" w:cstheme="minorEastAsia"/>
          <w:color w:val="auto"/>
          <w:sz w:val="24"/>
          <w:szCs w:val="24"/>
          <w:highlight w:val="none"/>
          <w:u w:val="single"/>
        </w:rPr>
        <w:t xml:space="preserve"> 捌 </w:t>
      </w:r>
      <w:r>
        <w:rPr>
          <w:rFonts w:hint="eastAsia" w:asciiTheme="minorEastAsia" w:hAnsiTheme="minorEastAsia" w:eastAsiaTheme="minorEastAsia" w:cstheme="minorEastAsia"/>
          <w:color w:val="auto"/>
          <w:sz w:val="24"/>
          <w:szCs w:val="24"/>
          <w:highlight w:val="none"/>
        </w:rPr>
        <w:t xml:space="preserve">份，甲方执 </w:t>
      </w:r>
      <w:r>
        <w:rPr>
          <w:rFonts w:hint="eastAsia" w:asciiTheme="minorEastAsia" w:hAnsiTheme="minorEastAsia" w:eastAsiaTheme="minorEastAsia" w:cstheme="minorEastAsia"/>
          <w:color w:val="auto"/>
          <w:sz w:val="24"/>
          <w:szCs w:val="24"/>
          <w:highlight w:val="none"/>
          <w:u w:val="single"/>
        </w:rPr>
        <w:t xml:space="preserve">肆  </w:t>
      </w:r>
      <w:r>
        <w:rPr>
          <w:rFonts w:hint="eastAsia" w:asciiTheme="minorEastAsia" w:hAnsiTheme="minorEastAsia" w:eastAsiaTheme="minorEastAsia" w:cstheme="minorEastAsia"/>
          <w:color w:val="auto"/>
          <w:sz w:val="24"/>
          <w:szCs w:val="24"/>
          <w:highlight w:val="none"/>
        </w:rPr>
        <w:t>份，乙方执</w:t>
      </w:r>
      <w:r>
        <w:rPr>
          <w:rFonts w:hint="eastAsia" w:asciiTheme="minorEastAsia" w:hAnsiTheme="minorEastAsia" w:eastAsiaTheme="minorEastAsia" w:cstheme="minorEastAsia"/>
          <w:color w:val="auto"/>
          <w:sz w:val="24"/>
          <w:szCs w:val="24"/>
          <w:highlight w:val="none"/>
          <w:u w:val="single"/>
        </w:rPr>
        <w:t xml:space="preserve"> 贰 </w:t>
      </w:r>
      <w:r>
        <w:rPr>
          <w:rFonts w:hint="eastAsia" w:asciiTheme="minorEastAsia" w:hAnsiTheme="minorEastAsia" w:eastAsiaTheme="minorEastAsia" w:cstheme="minorEastAsia"/>
          <w:color w:val="auto"/>
          <w:sz w:val="24"/>
          <w:szCs w:val="24"/>
          <w:highlight w:val="none"/>
        </w:rPr>
        <w:t>份，代建方执</w:t>
      </w:r>
      <w:r>
        <w:rPr>
          <w:rFonts w:hint="eastAsia" w:asciiTheme="minorEastAsia" w:hAnsiTheme="minorEastAsia" w:eastAsiaTheme="minorEastAsia" w:cstheme="minorEastAsia"/>
          <w:color w:val="auto"/>
          <w:sz w:val="24"/>
          <w:szCs w:val="24"/>
          <w:highlight w:val="none"/>
          <w:u w:val="single"/>
        </w:rPr>
        <w:t xml:space="preserve"> 贰 </w:t>
      </w:r>
      <w:r>
        <w:rPr>
          <w:rFonts w:hint="eastAsia" w:asciiTheme="minorEastAsia" w:hAnsiTheme="minorEastAsia" w:eastAsiaTheme="minorEastAsia" w:cstheme="minorEastAsia"/>
          <w:color w:val="auto"/>
          <w:sz w:val="24"/>
          <w:szCs w:val="24"/>
          <w:highlight w:val="none"/>
        </w:rPr>
        <w:t>份，具有同等法律效力。</w:t>
      </w:r>
    </w:p>
    <w:p w14:paraId="3268C988">
      <w:pPr>
        <w:pStyle w:val="10"/>
        <w:spacing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第二十二条 补充条款</w:t>
      </w:r>
    </w:p>
    <w:p w14:paraId="79082664">
      <w:pPr>
        <w:pStyle w:val="1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 须按投标时配置人员，详见附件一项目组人员配备表。</w:t>
      </w:r>
    </w:p>
    <w:p w14:paraId="48B5CF2D">
      <w:pPr>
        <w:pStyle w:val="10"/>
        <w:spacing w:line="400" w:lineRule="exact"/>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22.2乙方在服务期需无条件为甲方提供维护服务，并在服务期结束后为运维相关单位提供后续配合工作（费用包含在合同价中）。</w:t>
      </w:r>
    </w:p>
    <w:p w14:paraId="01D9CD24">
      <w:pPr>
        <w:pStyle w:val="10"/>
        <w:spacing w:line="400" w:lineRule="exact"/>
        <w:ind w:firstLine="482" w:firstLineChars="200"/>
        <w:rPr>
          <w:rFonts w:hint="eastAsia" w:asciiTheme="minorEastAsia" w:hAnsiTheme="minorEastAsia" w:eastAsiaTheme="minorEastAsia" w:cstheme="minorEastAsia"/>
          <w:b/>
          <w:bCs/>
          <w:color w:val="auto"/>
          <w:sz w:val="24"/>
          <w:szCs w:val="24"/>
          <w:highlight w:val="none"/>
        </w:rPr>
      </w:pPr>
    </w:p>
    <w:p w14:paraId="1B9F7EC0">
      <w:pPr>
        <w:pStyle w:val="10"/>
        <w:spacing w:line="400" w:lineRule="exact"/>
        <w:ind w:firstLine="482" w:firstLineChars="200"/>
        <w:rPr>
          <w:rFonts w:hint="eastAsia" w:asciiTheme="minorEastAsia" w:hAnsiTheme="minorEastAsia" w:eastAsiaTheme="minorEastAsia" w:cstheme="minorEastAsia"/>
          <w:b/>
          <w:bCs/>
          <w:color w:val="auto"/>
          <w:sz w:val="24"/>
          <w:szCs w:val="24"/>
          <w:highlight w:val="none"/>
        </w:rPr>
      </w:pPr>
    </w:p>
    <w:p w14:paraId="50CE46B8">
      <w:pPr>
        <w:pStyle w:val="1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147BEFD1">
      <w:pPr>
        <w:pStyle w:val="10"/>
        <w:spacing w:line="200" w:lineRule="exact"/>
        <w:ind w:firstLine="240" w:firstLineChars="100"/>
        <w:rPr>
          <w:rFonts w:hint="eastAsia" w:asciiTheme="minorEastAsia" w:hAnsiTheme="minorEastAsia" w:eastAsiaTheme="minorEastAsia" w:cstheme="minorEastAsia"/>
          <w:color w:val="auto"/>
          <w:sz w:val="24"/>
          <w:szCs w:val="24"/>
          <w:highlight w:val="none"/>
        </w:rPr>
      </w:pPr>
    </w:p>
    <w:p w14:paraId="71ABD8C6">
      <w:pPr>
        <w:pStyle w:val="10"/>
        <w:spacing w:line="44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甲方（盖章）：                       乙方（盖章）：</w:t>
      </w:r>
    </w:p>
    <w:p w14:paraId="68A81871">
      <w:pPr>
        <w:pStyle w:val="10"/>
        <w:spacing w:line="44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                           法定代表人</w:t>
      </w:r>
    </w:p>
    <w:p w14:paraId="13BE9247">
      <w:pPr>
        <w:pStyle w:val="10"/>
        <w:spacing w:line="44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或受委托人（签字）：                 或受委托人（签字）：</w:t>
      </w:r>
    </w:p>
    <w:p w14:paraId="10FE5E80">
      <w:pPr>
        <w:pStyle w:val="10"/>
        <w:spacing w:line="44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                             联系人：</w:t>
      </w:r>
    </w:p>
    <w:p w14:paraId="097C0A87">
      <w:pPr>
        <w:pStyle w:val="10"/>
        <w:spacing w:line="44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联系地址：                           联系地址：</w:t>
      </w:r>
    </w:p>
    <w:p w14:paraId="76AC8F18">
      <w:pPr>
        <w:pStyle w:val="10"/>
        <w:spacing w:line="44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                           联系电话：</w:t>
      </w:r>
    </w:p>
    <w:p w14:paraId="54FA7272">
      <w:pPr>
        <w:pStyle w:val="10"/>
        <w:spacing w:line="44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电子邮箱：                           电子邮箱：</w:t>
      </w:r>
    </w:p>
    <w:p w14:paraId="27055A74">
      <w:pPr>
        <w:pStyle w:val="10"/>
        <w:spacing w:line="44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                           开户银行：</w:t>
      </w:r>
    </w:p>
    <w:p w14:paraId="136BE238">
      <w:pPr>
        <w:pStyle w:val="10"/>
        <w:spacing w:line="44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帐号：                               帐号：</w:t>
      </w:r>
    </w:p>
    <w:p w14:paraId="2CD23C29">
      <w:pPr>
        <w:pStyle w:val="10"/>
        <w:spacing w:line="440" w:lineRule="exact"/>
        <w:ind w:firstLine="240" w:firstLineChars="100"/>
        <w:rPr>
          <w:rFonts w:hint="eastAsia" w:hAnsi="宋体" w:cs="宋体"/>
          <w:b/>
          <w:color w:val="auto"/>
          <w:sz w:val="36"/>
          <w:szCs w:val="20"/>
          <w:highlight w:val="none"/>
        </w:rPr>
      </w:pPr>
      <w:r>
        <w:rPr>
          <w:rFonts w:hint="eastAsia" w:asciiTheme="minorEastAsia" w:hAnsiTheme="minorEastAsia" w:eastAsiaTheme="minorEastAsia" w:cstheme="minorEastAsia"/>
          <w:color w:val="auto"/>
          <w:sz w:val="24"/>
          <w:szCs w:val="24"/>
          <w:highlight w:val="none"/>
        </w:rPr>
        <w:t>签订日期：                           签订日期：</w:t>
      </w:r>
    </w:p>
    <w:p w14:paraId="26702CA4">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54478F86">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0A44A778">
      <w:pPr>
        <w:pStyle w:val="10"/>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630A5C86">
      <w:pPr>
        <w:pStyle w:val="30"/>
        <w:ind w:firstLine="460"/>
        <w:rPr>
          <w:color w:val="auto"/>
          <w:highlight w:val="none"/>
        </w:rPr>
      </w:pPr>
    </w:p>
    <w:p w14:paraId="1F8C63AA">
      <w:pPr>
        <w:widowControl/>
        <w:adjustRightInd/>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7D82235">
      <w:pPr>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2"/>
      <w:r>
        <w:rPr>
          <w:rFonts w:hint="eastAsia" w:ascii="宋体" w:hAnsi="宋体" w:cs="宋体"/>
          <w:b/>
          <w:color w:val="auto"/>
          <w:sz w:val="36"/>
          <w:szCs w:val="20"/>
          <w:highlight w:val="none"/>
        </w:rPr>
        <w:t xml:space="preserve"> </w:t>
      </w:r>
      <w:bookmarkEnd w:id="403"/>
      <w:r>
        <w:rPr>
          <w:rFonts w:hint="eastAsia" w:ascii="宋体" w:hAnsi="宋体" w:cs="宋体"/>
          <w:b/>
          <w:color w:val="auto"/>
          <w:sz w:val="36"/>
          <w:szCs w:val="20"/>
          <w:highlight w:val="none"/>
        </w:rPr>
        <w:t>应提交的有关格式范例</w:t>
      </w:r>
    </w:p>
    <w:p w14:paraId="69A546F5">
      <w:pPr>
        <w:pStyle w:val="8"/>
        <w:rPr>
          <w:rFonts w:hint="eastAsia"/>
          <w:color w:val="auto"/>
          <w:highlight w:val="none"/>
        </w:rPr>
      </w:pPr>
    </w:p>
    <w:p w14:paraId="04A020F0">
      <w:pPr>
        <w:pStyle w:val="8"/>
        <w:spacing w:before="240"/>
        <w:ind w:firstLine="723"/>
        <w:jc w:val="center"/>
        <w:rPr>
          <w:rFonts w:hint="eastAsia"/>
          <w:b/>
          <w:bCs/>
          <w:color w:val="auto"/>
          <w:sz w:val="36"/>
          <w:szCs w:val="36"/>
          <w:highlight w:val="none"/>
        </w:rPr>
      </w:pPr>
      <w:r>
        <w:rPr>
          <w:rFonts w:hint="eastAsia"/>
          <w:b/>
          <w:bCs/>
          <w:color w:val="auto"/>
          <w:sz w:val="36"/>
          <w:szCs w:val="36"/>
          <w:highlight w:val="none"/>
        </w:rPr>
        <w:t>资格文件部分</w:t>
      </w:r>
    </w:p>
    <w:p w14:paraId="0E1C5B4D">
      <w:pPr>
        <w:pStyle w:val="8"/>
        <w:spacing w:before="240"/>
        <w:ind w:firstLine="723"/>
        <w:jc w:val="center"/>
        <w:rPr>
          <w:rFonts w:hint="eastAsia"/>
          <w:b/>
          <w:bCs/>
          <w:color w:val="auto"/>
          <w:sz w:val="36"/>
          <w:szCs w:val="36"/>
          <w:highlight w:val="none"/>
        </w:rPr>
      </w:pPr>
      <w:r>
        <w:rPr>
          <w:rFonts w:hint="eastAsia"/>
          <w:b/>
          <w:bCs/>
          <w:color w:val="auto"/>
          <w:sz w:val="36"/>
          <w:szCs w:val="36"/>
          <w:highlight w:val="none"/>
        </w:rPr>
        <w:t>目录</w:t>
      </w:r>
    </w:p>
    <w:p w14:paraId="70E750B7">
      <w:pPr>
        <w:pStyle w:val="8"/>
        <w:spacing w:before="240"/>
        <w:ind w:firstLine="723"/>
        <w:jc w:val="center"/>
        <w:rPr>
          <w:rFonts w:hint="eastAsia"/>
          <w:b/>
          <w:bCs/>
          <w:color w:val="auto"/>
          <w:sz w:val="36"/>
          <w:szCs w:val="36"/>
          <w:highlight w:val="none"/>
        </w:rPr>
      </w:pPr>
    </w:p>
    <w:p w14:paraId="7510821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55B0E03">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1354D5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4E53B6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923CF3A">
      <w:pPr>
        <w:snapToGrid w:val="0"/>
        <w:spacing w:line="360" w:lineRule="auto"/>
        <w:ind w:firstLine="480" w:firstLineChars="200"/>
        <w:rPr>
          <w:rFonts w:hint="eastAsia" w:ascii="宋体" w:hAnsi="宋体" w:cs="宋体"/>
          <w:color w:val="auto"/>
          <w:sz w:val="24"/>
          <w:highlight w:val="none"/>
        </w:rPr>
      </w:pPr>
    </w:p>
    <w:p w14:paraId="6DD1DFD9">
      <w:pPr>
        <w:spacing w:line="360" w:lineRule="auto"/>
        <w:ind w:firstLine="480" w:firstLineChars="200"/>
        <w:rPr>
          <w:rFonts w:hint="eastAsia" w:ascii="宋体" w:hAnsi="宋体" w:cs="宋体"/>
          <w:color w:val="auto"/>
          <w:sz w:val="24"/>
          <w:highlight w:val="none"/>
        </w:rPr>
      </w:pPr>
    </w:p>
    <w:p w14:paraId="27858ABC">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r>
        <w:rPr>
          <w:rFonts w:hint="eastAsia" w:ascii="宋体" w:hAnsi="宋体" w:cs="宋体"/>
          <w:b/>
          <w:color w:val="auto"/>
          <w:kern w:val="0"/>
          <w:sz w:val="32"/>
          <w:szCs w:val="32"/>
          <w:highlight w:val="none"/>
        </w:rPr>
        <w:br w:type="textWrapping"/>
      </w:r>
      <w:r>
        <w:rPr>
          <w:rFonts w:hint="eastAsia" w:ascii="宋体" w:hAnsi="宋体" w:cs="宋体"/>
          <w:b/>
          <w:color w:val="auto"/>
          <w:kern w:val="0"/>
          <w:sz w:val="32"/>
          <w:szCs w:val="32"/>
          <w:highlight w:val="none"/>
        </w:rPr>
        <w:t>（联合体形式参与的，则联合体各方均需提供）</w:t>
      </w:r>
    </w:p>
    <w:p w14:paraId="49280E5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杭州市卫生健康事业发展中心、浙江省成套招标代理有限公司：</w:t>
      </w:r>
    </w:p>
    <w:p w14:paraId="20BBC4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我方参与杭州市第四人民医院（杭州市肿瘤医院）迁建工程BIM技术咨询服务项目【招标编号：      】政府采购活动，郑重承诺：</w:t>
      </w:r>
    </w:p>
    <w:p w14:paraId="5E7C9CF7">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D9E968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801C15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662E9A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BAB0E7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C57319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81559F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62883D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B568A4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204727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1.单位负责人为同一人或者存在直接控股、管理关系的不同投标人参加同一合同项下的政府采购活动的；</w:t>
      </w:r>
    </w:p>
    <w:p w14:paraId="3FA8AFA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568554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3.我单位属于公益一类事业单位、使用事业编制且由财政拨款保障的群团组织。</w:t>
      </w:r>
    </w:p>
    <w:p w14:paraId="4E9BEE3D">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p>
    <w:p w14:paraId="4F0F808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C20014">
      <w:pPr>
        <w:snapToGrid w:val="0"/>
        <w:spacing w:line="360" w:lineRule="auto"/>
        <w:ind w:right="480"/>
        <w:jc w:val="center"/>
        <w:rPr>
          <w:rFonts w:hint="eastAsia" w:ascii="宋体" w:hAnsi="宋体" w:cs="宋体"/>
          <w:b/>
          <w:color w:val="auto"/>
          <w:kern w:val="0"/>
          <w:sz w:val="32"/>
          <w:szCs w:val="32"/>
          <w:highlight w:val="none"/>
        </w:rPr>
      </w:pPr>
    </w:p>
    <w:p w14:paraId="4D89B49D">
      <w:pPr>
        <w:snapToGrid w:val="0"/>
        <w:spacing w:line="360" w:lineRule="auto"/>
        <w:ind w:right="480"/>
        <w:jc w:val="center"/>
        <w:rPr>
          <w:rFonts w:hint="eastAsia" w:ascii="宋体" w:hAnsi="宋体" w:cs="宋体"/>
          <w:b/>
          <w:color w:val="auto"/>
          <w:kern w:val="0"/>
          <w:sz w:val="32"/>
          <w:szCs w:val="32"/>
          <w:highlight w:val="none"/>
        </w:rPr>
      </w:pPr>
    </w:p>
    <w:p w14:paraId="36E2D177">
      <w:pPr>
        <w:snapToGrid w:val="0"/>
        <w:spacing w:line="360" w:lineRule="auto"/>
        <w:ind w:right="480"/>
        <w:jc w:val="center"/>
        <w:rPr>
          <w:rFonts w:hint="eastAsia" w:ascii="宋体" w:hAnsi="宋体" w:cs="宋体"/>
          <w:b/>
          <w:color w:val="auto"/>
          <w:kern w:val="0"/>
          <w:sz w:val="32"/>
          <w:szCs w:val="32"/>
          <w:highlight w:val="none"/>
        </w:rPr>
      </w:pPr>
    </w:p>
    <w:p w14:paraId="368A8152">
      <w:pPr>
        <w:rPr>
          <w:rFonts w:hint="eastAsia" w:ascii="宋体" w:hAnsi="宋体" w:cs="宋体"/>
          <w:color w:val="auto"/>
          <w:highlight w:val="none"/>
        </w:rPr>
      </w:pPr>
    </w:p>
    <w:p w14:paraId="7A8FFE61">
      <w:pPr>
        <w:snapToGrid w:val="0"/>
        <w:spacing w:line="360" w:lineRule="auto"/>
        <w:ind w:right="480"/>
        <w:jc w:val="center"/>
        <w:rPr>
          <w:rFonts w:hint="eastAsia" w:ascii="宋体" w:hAnsi="宋体" w:cs="宋体"/>
          <w:b/>
          <w:color w:val="auto"/>
          <w:kern w:val="0"/>
          <w:sz w:val="32"/>
          <w:szCs w:val="32"/>
          <w:highlight w:val="none"/>
        </w:rPr>
      </w:pPr>
    </w:p>
    <w:p w14:paraId="011EB60B">
      <w:pPr>
        <w:widowControl/>
        <w:adjustRightInd/>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p>
    <w:p w14:paraId="123A7F91">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93CA0A9">
      <w:pPr>
        <w:snapToGrid w:val="0"/>
        <w:spacing w:line="360" w:lineRule="auto"/>
        <w:ind w:right="480"/>
        <w:jc w:val="center"/>
        <w:rPr>
          <w:rFonts w:hint="eastAsia" w:ascii="宋体" w:hAnsi="宋体" w:cs="宋体"/>
          <w:b/>
          <w:color w:val="auto"/>
          <w:kern w:val="0"/>
          <w:sz w:val="32"/>
          <w:szCs w:val="32"/>
          <w:highlight w:val="none"/>
        </w:rPr>
      </w:pPr>
    </w:p>
    <w:p w14:paraId="55EC6792">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94E2B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6D6517C">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00F1FE">
      <w:pPr>
        <w:widowControl/>
        <w:spacing w:line="360" w:lineRule="auto"/>
        <w:ind w:firstLine="480"/>
        <w:jc w:val="left"/>
        <w:rPr>
          <w:rFonts w:hint="eastAsia" w:ascii="宋体" w:hAnsi="宋体" w:cs="宋体"/>
          <w:color w:val="auto"/>
          <w:sz w:val="24"/>
          <w:highlight w:val="none"/>
        </w:rPr>
      </w:pPr>
    </w:p>
    <w:p w14:paraId="1A505F23">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），联合协议中中小企业合同金额应当达到招标公告载明的比例；如果投标人本身提供所有标的均由中小企业承接的，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85E8E98">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7E911EA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），分包意向协议中中小企业合同金额应当达到招标公告载明的比例；如果投标人本身提供所有标的均由中小企业承接的，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050F649">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5D05024B">
      <w:pPr>
        <w:widowControl/>
        <w:spacing w:line="360" w:lineRule="auto"/>
        <w:ind w:left="150"/>
        <w:jc w:val="center"/>
        <w:rPr>
          <w:rFonts w:hint="eastAsia" w:ascii="宋体" w:hAnsi="宋体" w:cs="宋体"/>
          <w:b/>
          <w:color w:val="auto"/>
          <w:kern w:val="0"/>
          <w:sz w:val="32"/>
          <w:szCs w:val="32"/>
          <w:highlight w:val="none"/>
        </w:rPr>
      </w:pPr>
    </w:p>
    <w:p w14:paraId="2435E4CB">
      <w:pPr>
        <w:widowControl/>
        <w:spacing w:line="360" w:lineRule="auto"/>
        <w:ind w:left="150"/>
        <w:jc w:val="center"/>
        <w:rPr>
          <w:rFonts w:hint="eastAsia" w:ascii="宋体" w:hAnsi="宋体" w:cs="宋体"/>
          <w:b/>
          <w:color w:val="auto"/>
          <w:kern w:val="0"/>
          <w:sz w:val="32"/>
          <w:szCs w:val="32"/>
          <w:highlight w:val="none"/>
        </w:rPr>
      </w:pPr>
    </w:p>
    <w:p w14:paraId="429708A7">
      <w:pPr>
        <w:widowControl/>
        <w:spacing w:line="360" w:lineRule="auto"/>
        <w:ind w:left="150"/>
        <w:jc w:val="center"/>
        <w:rPr>
          <w:rFonts w:hint="eastAsia" w:ascii="宋体" w:hAnsi="宋体" w:cs="宋体"/>
          <w:b/>
          <w:color w:val="auto"/>
          <w:kern w:val="0"/>
          <w:sz w:val="32"/>
          <w:szCs w:val="32"/>
          <w:highlight w:val="none"/>
        </w:rPr>
      </w:pPr>
    </w:p>
    <w:p w14:paraId="3733BE64">
      <w:pPr>
        <w:widowControl/>
        <w:spacing w:line="360" w:lineRule="auto"/>
        <w:rPr>
          <w:rFonts w:hint="eastAsia" w:ascii="宋体" w:hAnsi="宋体" w:cs="宋体"/>
          <w:b/>
          <w:color w:val="auto"/>
          <w:kern w:val="0"/>
          <w:sz w:val="32"/>
          <w:szCs w:val="32"/>
          <w:highlight w:val="none"/>
        </w:rPr>
      </w:pPr>
    </w:p>
    <w:p w14:paraId="571BE65B">
      <w:pPr>
        <w:widowControl/>
        <w:spacing w:line="360" w:lineRule="auto"/>
        <w:ind w:left="150"/>
        <w:jc w:val="center"/>
        <w:rPr>
          <w:rFonts w:hint="eastAsia" w:ascii="宋体" w:hAnsi="宋体" w:cs="宋体"/>
          <w:b/>
          <w:color w:val="auto"/>
          <w:kern w:val="0"/>
          <w:sz w:val="32"/>
          <w:szCs w:val="32"/>
          <w:highlight w:val="none"/>
        </w:rPr>
      </w:pPr>
    </w:p>
    <w:p w14:paraId="64611DB4">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CBD6AC3">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9B5BC0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sz w:val="24"/>
          <w:highlight w:val="none"/>
        </w:rPr>
        <w:t>（根据招标公告本项目的特定资格要求提供相应的材料；未要求的，无需提供）</w:t>
      </w:r>
      <w:r>
        <w:rPr>
          <w:rFonts w:ascii="宋体" w:hAnsi="宋体" w:cs="宋体"/>
          <w:color w:val="auto"/>
          <w:sz w:val="24"/>
          <w:highlight w:val="none"/>
        </w:rPr>
        <w:br w:type="textWrapping"/>
      </w:r>
    </w:p>
    <w:p w14:paraId="1BFAC4FD">
      <w:pPr>
        <w:spacing w:line="360" w:lineRule="auto"/>
        <w:jc w:val="center"/>
        <w:rPr>
          <w:rFonts w:hint="eastAsia" w:ascii="宋体" w:hAnsi="宋体" w:cs="宋体"/>
          <w:color w:val="auto"/>
          <w:sz w:val="24"/>
          <w:highlight w:val="none"/>
        </w:rPr>
      </w:pPr>
    </w:p>
    <w:p w14:paraId="7E63E816">
      <w:pPr>
        <w:rPr>
          <w:rFonts w:hint="eastAsia" w:ascii="宋体" w:hAnsi="宋体" w:cs="宋体"/>
          <w:color w:val="auto"/>
          <w:highlight w:val="none"/>
        </w:rPr>
      </w:pPr>
    </w:p>
    <w:p w14:paraId="59CB8D73">
      <w:pPr>
        <w:widowControl/>
        <w:adjustRightInd/>
        <w:jc w:val="left"/>
        <w:rPr>
          <w:rFonts w:hint="eastAsia"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0FE5F8C">
      <w:pPr>
        <w:pStyle w:val="8"/>
        <w:spacing w:before="240"/>
        <w:ind w:firstLine="723"/>
        <w:jc w:val="center"/>
        <w:rPr>
          <w:rFonts w:hint="eastAsia"/>
          <w:b/>
          <w:bCs/>
          <w:color w:val="auto"/>
          <w:sz w:val="36"/>
          <w:szCs w:val="36"/>
          <w:highlight w:val="none"/>
        </w:rPr>
      </w:pPr>
      <w:r>
        <w:rPr>
          <w:rFonts w:hint="eastAsia"/>
          <w:b/>
          <w:bCs/>
          <w:color w:val="auto"/>
          <w:sz w:val="36"/>
          <w:szCs w:val="36"/>
          <w:highlight w:val="none"/>
        </w:rPr>
        <w:t>商务技术文件部分</w:t>
      </w:r>
    </w:p>
    <w:p w14:paraId="69A477D7">
      <w:pPr>
        <w:pStyle w:val="8"/>
        <w:spacing w:before="240"/>
        <w:ind w:firstLine="723"/>
        <w:jc w:val="center"/>
        <w:rPr>
          <w:rFonts w:hint="eastAsia"/>
          <w:b/>
          <w:bCs/>
          <w:color w:val="auto"/>
          <w:sz w:val="36"/>
          <w:szCs w:val="36"/>
          <w:highlight w:val="none"/>
        </w:rPr>
      </w:pPr>
      <w:r>
        <w:rPr>
          <w:rFonts w:hint="eastAsia"/>
          <w:b/>
          <w:bCs/>
          <w:color w:val="auto"/>
          <w:sz w:val="36"/>
          <w:szCs w:val="36"/>
          <w:highlight w:val="none"/>
        </w:rPr>
        <w:t>目录</w:t>
      </w:r>
    </w:p>
    <w:p w14:paraId="65966837">
      <w:pPr>
        <w:snapToGrid w:val="0"/>
        <w:spacing w:line="360" w:lineRule="auto"/>
        <w:ind w:left="479" w:leftChars="228"/>
        <w:rPr>
          <w:rFonts w:hint="eastAsia" w:ascii="宋体" w:hAnsi="宋体" w:cs="宋体"/>
          <w:color w:val="auto"/>
          <w:sz w:val="24"/>
          <w:highlight w:val="none"/>
        </w:rPr>
      </w:pPr>
    </w:p>
    <w:p w14:paraId="56290283">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E523114">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231D623">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CF0B895">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9E60AFC">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940641B">
      <w:pPr>
        <w:snapToGrid w:val="0"/>
        <w:spacing w:line="360" w:lineRule="auto"/>
        <w:jc w:val="center"/>
        <w:rPr>
          <w:rFonts w:hint="eastAsia" w:ascii="宋体" w:hAnsi="宋体" w:cs="宋体"/>
          <w:b/>
          <w:color w:val="auto"/>
          <w:kern w:val="0"/>
          <w:sz w:val="32"/>
          <w:szCs w:val="32"/>
          <w:highlight w:val="none"/>
          <w:lang w:val="zh-CN"/>
        </w:rPr>
      </w:pPr>
    </w:p>
    <w:p w14:paraId="064D0B59">
      <w:pPr>
        <w:snapToGrid w:val="0"/>
        <w:spacing w:line="360" w:lineRule="auto"/>
        <w:jc w:val="center"/>
        <w:rPr>
          <w:rFonts w:hint="eastAsia" w:ascii="宋体" w:hAnsi="宋体" w:cs="宋体"/>
          <w:b/>
          <w:color w:val="auto"/>
          <w:kern w:val="0"/>
          <w:sz w:val="32"/>
          <w:szCs w:val="32"/>
          <w:highlight w:val="none"/>
          <w:lang w:val="zh-CN"/>
        </w:rPr>
      </w:pPr>
    </w:p>
    <w:p w14:paraId="54B8F6E6">
      <w:pPr>
        <w:snapToGrid w:val="0"/>
        <w:spacing w:line="360" w:lineRule="auto"/>
        <w:jc w:val="center"/>
        <w:rPr>
          <w:rFonts w:hint="eastAsia" w:ascii="宋体" w:hAnsi="宋体" w:cs="宋体"/>
          <w:b/>
          <w:color w:val="auto"/>
          <w:kern w:val="0"/>
          <w:sz w:val="32"/>
          <w:szCs w:val="32"/>
          <w:highlight w:val="none"/>
          <w:lang w:val="zh-CN"/>
        </w:rPr>
      </w:pPr>
    </w:p>
    <w:p w14:paraId="56E4BDC7">
      <w:pPr>
        <w:snapToGrid w:val="0"/>
        <w:spacing w:line="360" w:lineRule="auto"/>
        <w:jc w:val="center"/>
        <w:rPr>
          <w:rFonts w:hint="eastAsia" w:ascii="宋体" w:hAnsi="宋体" w:cs="宋体"/>
          <w:b/>
          <w:color w:val="auto"/>
          <w:kern w:val="0"/>
          <w:sz w:val="32"/>
          <w:szCs w:val="32"/>
          <w:highlight w:val="none"/>
          <w:lang w:val="zh-CN"/>
        </w:rPr>
      </w:pPr>
    </w:p>
    <w:p w14:paraId="20516E89">
      <w:pPr>
        <w:snapToGrid w:val="0"/>
        <w:spacing w:line="360" w:lineRule="auto"/>
        <w:jc w:val="center"/>
        <w:rPr>
          <w:rFonts w:hint="eastAsia" w:ascii="宋体" w:hAnsi="宋体" w:cs="宋体"/>
          <w:b/>
          <w:color w:val="auto"/>
          <w:kern w:val="0"/>
          <w:sz w:val="32"/>
          <w:szCs w:val="32"/>
          <w:highlight w:val="none"/>
          <w:lang w:val="zh-CN"/>
        </w:rPr>
      </w:pPr>
    </w:p>
    <w:p w14:paraId="6F0A3F2E">
      <w:pPr>
        <w:snapToGrid w:val="0"/>
        <w:spacing w:line="360" w:lineRule="auto"/>
        <w:jc w:val="center"/>
        <w:rPr>
          <w:rFonts w:hint="eastAsia" w:ascii="宋体" w:hAnsi="宋体" w:cs="宋体"/>
          <w:b/>
          <w:color w:val="auto"/>
          <w:kern w:val="0"/>
          <w:sz w:val="32"/>
          <w:szCs w:val="32"/>
          <w:highlight w:val="none"/>
          <w:lang w:val="zh-CN"/>
        </w:rPr>
      </w:pPr>
    </w:p>
    <w:p w14:paraId="7726B780">
      <w:pPr>
        <w:snapToGrid w:val="0"/>
        <w:spacing w:line="360" w:lineRule="auto"/>
        <w:jc w:val="center"/>
        <w:rPr>
          <w:rFonts w:hint="eastAsia" w:ascii="宋体" w:hAnsi="宋体" w:cs="宋体"/>
          <w:b/>
          <w:color w:val="auto"/>
          <w:kern w:val="0"/>
          <w:sz w:val="32"/>
          <w:szCs w:val="32"/>
          <w:highlight w:val="none"/>
          <w:lang w:val="zh-CN"/>
        </w:rPr>
      </w:pPr>
    </w:p>
    <w:p w14:paraId="235AAA01">
      <w:pPr>
        <w:snapToGrid w:val="0"/>
        <w:spacing w:line="360" w:lineRule="auto"/>
        <w:jc w:val="center"/>
        <w:rPr>
          <w:rFonts w:hint="eastAsia" w:ascii="宋体" w:hAnsi="宋体" w:cs="宋体"/>
          <w:b/>
          <w:color w:val="auto"/>
          <w:kern w:val="0"/>
          <w:sz w:val="32"/>
          <w:szCs w:val="32"/>
          <w:highlight w:val="none"/>
          <w:lang w:val="zh-CN"/>
        </w:rPr>
      </w:pPr>
    </w:p>
    <w:p w14:paraId="6838AF9E">
      <w:pPr>
        <w:snapToGrid w:val="0"/>
        <w:spacing w:line="360" w:lineRule="auto"/>
        <w:jc w:val="center"/>
        <w:rPr>
          <w:rFonts w:hint="eastAsia" w:ascii="宋体" w:hAnsi="宋体" w:cs="宋体"/>
          <w:b/>
          <w:color w:val="auto"/>
          <w:kern w:val="0"/>
          <w:sz w:val="32"/>
          <w:szCs w:val="32"/>
          <w:highlight w:val="none"/>
          <w:lang w:val="zh-CN"/>
        </w:rPr>
      </w:pPr>
    </w:p>
    <w:p w14:paraId="61B636A2">
      <w:pPr>
        <w:snapToGrid w:val="0"/>
        <w:spacing w:line="360" w:lineRule="auto"/>
        <w:jc w:val="center"/>
        <w:rPr>
          <w:rFonts w:hint="eastAsia" w:ascii="宋体" w:hAnsi="宋体" w:cs="宋体"/>
          <w:b/>
          <w:color w:val="auto"/>
          <w:kern w:val="0"/>
          <w:sz w:val="32"/>
          <w:szCs w:val="32"/>
          <w:highlight w:val="none"/>
          <w:lang w:val="zh-CN"/>
        </w:rPr>
      </w:pPr>
    </w:p>
    <w:p w14:paraId="265AD6D2">
      <w:pPr>
        <w:rPr>
          <w:rFonts w:hint="eastAsia" w:ascii="宋体" w:hAnsi="宋体" w:cs="宋体"/>
          <w:b/>
          <w:color w:val="auto"/>
          <w:kern w:val="0"/>
          <w:sz w:val="32"/>
          <w:szCs w:val="32"/>
          <w:highlight w:val="none"/>
          <w:lang w:val="zh-CN"/>
        </w:rPr>
      </w:pPr>
    </w:p>
    <w:p w14:paraId="05EFF455">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17D23A3">
      <w:pPr>
        <w:pStyle w:val="8"/>
        <w:spacing w:before="240" w:after="240"/>
        <w:ind w:firstLine="643"/>
        <w:jc w:val="center"/>
        <w:rPr>
          <w:rFonts w:hint="eastAsia"/>
          <w:b/>
          <w:bCs/>
          <w:color w:val="auto"/>
          <w:sz w:val="32"/>
          <w:szCs w:val="32"/>
          <w:highlight w:val="none"/>
        </w:rPr>
      </w:pPr>
      <w:r>
        <w:rPr>
          <w:rFonts w:hint="eastAsia"/>
          <w:b/>
          <w:bCs/>
          <w:color w:val="auto"/>
          <w:sz w:val="32"/>
          <w:szCs w:val="32"/>
          <w:highlight w:val="none"/>
        </w:rPr>
        <w:t>一、投标函</w:t>
      </w:r>
    </w:p>
    <w:p w14:paraId="18CD1E5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杭州市卫生健康事业发展中心、浙江省成套招标代理有限公司：</w:t>
      </w:r>
    </w:p>
    <w:p w14:paraId="1012190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我方参加你方组织的杭州市第四人民医院（杭州市肿瘤医院）迁建工程BIM技术咨询服务项目【招标编号：    】招标的有关活动，并对此项目进行投标。为此：</w:t>
      </w:r>
    </w:p>
    <w:p w14:paraId="2156A2B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3AE294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1B71F22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7D6414A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0378BA3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4" w:name="_Hlk101257010"/>
      <w:r>
        <w:rPr>
          <w:rFonts w:hint="eastAsia" w:ascii="宋体" w:hAnsi="宋体" w:cs="宋体"/>
          <w:color w:val="auto"/>
          <w:sz w:val="24"/>
          <w:highlight w:val="none"/>
        </w:rPr>
        <w:t>（如果有)</w:t>
      </w:r>
      <w:bookmarkEnd w:id="404"/>
      <w:r>
        <w:rPr>
          <w:rFonts w:hint="eastAsia" w:ascii="宋体" w:hAnsi="宋体" w:cs="宋体"/>
          <w:snapToGrid w:val="0"/>
          <w:color w:val="auto"/>
          <w:kern w:val="28"/>
          <w:sz w:val="24"/>
          <w:szCs w:val="20"/>
          <w:highlight w:val="none"/>
        </w:rPr>
        <w:t>；</w:t>
      </w:r>
    </w:p>
    <w:p w14:paraId="498B786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6973E1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335F269">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7A1A23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ED95D1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3D61DD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843A81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69310F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2FE41B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F2D25D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21065EB">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A22BB8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1818ECC">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2.3.1开标一览表（报价表）；</w:t>
      </w:r>
    </w:p>
    <w:p w14:paraId="72501700">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2.3.2报价情况说明（如有）</w:t>
      </w:r>
    </w:p>
    <w:p w14:paraId="058F549D">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2.3.3中小企业声明函（如果有）。</w:t>
      </w:r>
    </w:p>
    <w:p w14:paraId="66ADB70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3153063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59217BA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491F7E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EDF6BC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4.3按照招标文件要求提交履约保证金（如果有）； </w:t>
      </w:r>
    </w:p>
    <w:p w14:paraId="7C3565B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78BE37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A218E2">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1A168F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844EE41">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2774E64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AB29073">
      <w:pPr>
        <w:snapToGrid w:val="0"/>
        <w:spacing w:line="360" w:lineRule="auto"/>
        <w:jc w:val="center"/>
        <w:rPr>
          <w:rFonts w:hint="eastAsia" w:ascii="宋体" w:hAnsi="宋体" w:cs="宋体"/>
          <w:b/>
          <w:color w:val="auto"/>
          <w:kern w:val="0"/>
          <w:sz w:val="32"/>
          <w:szCs w:val="32"/>
          <w:highlight w:val="none"/>
        </w:rPr>
      </w:pPr>
    </w:p>
    <w:p w14:paraId="3F5C6C23">
      <w:pPr>
        <w:snapToGrid w:val="0"/>
        <w:spacing w:line="360" w:lineRule="auto"/>
        <w:rPr>
          <w:rFonts w:hint="eastAsia" w:ascii="宋体" w:hAnsi="宋体" w:cs="宋体"/>
          <w:color w:val="auto"/>
          <w:sz w:val="24"/>
          <w:highlight w:val="none"/>
        </w:rPr>
      </w:pPr>
    </w:p>
    <w:p w14:paraId="57AD44D1">
      <w:pPr>
        <w:jc w:val="center"/>
        <w:rPr>
          <w:rFonts w:hint="eastAsia" w:ascii="宋体" w:hAnsi="宋体" w:cs="宋体"/>
          <w:b/>
          <w:color w:val="auto"/>
          <w:kern w:val="0"/>
          <w:sz w:val="32"/>
          <w:szCs w:val="32"/>
          <w:highlight w:val="none"/>
        </w:rPr>
      </w:pPr>
    </w:p>
    <w:p w14:paraId="2D35F86B">
      <w:pPr>
        <w:jc w:val="center"/>
        <w:rPr>
          <w:rFonts w:hint="eastAsia" w:ascii="宋体" w:hAnsi="宋体" w:cs="宋体"/>
          <w:b/>
          <w:color w:val="auto"/>
          <w:kern w:val="0"/>
          <w:sz w:val="32"/>
          <w:szCs w:val="32"/>
          <w:highlight w:val="none"/>
        </w:rPr>
      </w:pPr>
    </w:p>
    <w:p w14:paraId="0A87E955">
      <w:pPr>
        <w:jc w:val="center"/>
        <w:rPr>
          <w:rFonts w:hint="eastAsia" w:ascii="宋体" w:hAnsi="宋体" w:cs="宋体"/>
          <w:b/>
          <w:color w:val="auto"/>
          <w:kern w:val="0"/>
          <w:sz w:val="32"/>
          <w:szCs w:val="32"/>
          <w:highlight w:val="none"/>
        </w:rPr>
      </w:pPr>
    </w:p>
    <w:p w14:paraId="1B0F07CC">
      <w:pPr>
        <w:jc w:val="center"/>
        <w:rPr>
          <w:rFonts w:hint="eastAsia" w:ascii="宋体" w:hAnsi="宋体" w:cs="宋体"/>
          <w:b/>
          <w:color w:val="auto"/>
          <w:kern w:val="0"/>
          <w:sz w:val="32"/>
          <w:szCs w:val="32"/>
          <w:highlight w:val="none"/>
        </w:rPr>
      </w:pPr>
    </w:p>
    <w:p w14:paraId="2AAACD24">
      <w:pPr>
        <w:jc w:val="center"/>
        <w:rPr>
          <w:rFonts w:hint="eastAsia" w:ascii="宋体" w:hAnsi="宋体" w:cs="宋体"/>
          <w:b/>
          <w:color w:val="auto"/>
          <w:kern w:val="0"/>
          <w:sz w:val="32"/>
          <w:szCs w:val="32"/>
          <w:highlight w:val="none"/>
        </w:rPr>
      </w:pPr>
    </w:p>
    <w:p w14:paraId="758CA21C">
      <w:pPr>
        <w:jc w:val="center"/>
        <w:rPr>
          <w:rFonts w:hint="eastAsia" w:ascii="宋体" w:hAnsi="宋体" w:cs="宋体"/>
          <w:b/>
          <w:color w:val="auto"/>
          <w:kern w:val="0"/>
          <w:sz w:val="32"/>
          <w:szCs w:val="32"/>
          <w:highlight w:val="none"/>
        </w:rPr>
      </w:pPr>
    </w:p>
    <w:p w14:paraId="2F3409AE">
      <w:pPr>
        <w:jc w:val="center"/>
        <w:rPr>
          <w:rFonts w:hint="eastAsia" w:ascii="宋体" w:hAnsi="宋体" w:cs="宋体"/>
          <w:b/>
          <w:color w:val="auto"/>
          <w:kern w:val="0"/>
          <w:sz w:val="32"/>
          <w:szCs w:val="32"/>
          <w:highlight w:val="none"/>
        </w:rPr>
      </w:pPr>
    </w:p>
    <w:p w14:paraId="7A641546">
      <w:pPr>
        <w:jc w:val="center"/>
        <w:rPr>
          <w:rFonts w:hint="eastAsia" w:ascii="宋体" w:hAnsi="宋体" w:cs="宋体"/>
          <w:b/>
          <w:color w:val="auto"/>
          <w:kern w:val="0"/>
          <w:sz w:val="32"/>
          <w:szCs w:val="32"/>
          <w:highlight w:val="none"/>
        </w:rPr>
      </w:pPr>
    </w:p>
    <w:p w14:paraId="6C91200E">
      <w:pPr>
        <w:jc w:val="center"/>
        <w:rPr>
          <w:rFonts w:hint="eastAsia" w:ascii="宋体" w:hAnsi="宋体" w:cs="宋体"/>
          <w:b/>
          <w:color w:val="auto"/>
          <w:kern w:val="0"/>
          <w:sz w:val="32"/>
          <w:szCs w:val="32"/>
          <w:highlight w:val="none"/>
        </w:rPr>
      </w:pPr>
    </w:p>
    <w:p w14:paraId="16879C38">
      <w:pPr>
        <w:jc w:val="center"/>
        <w:rPr>
          <w:rFonts w:hint="eastAsia" w:ascii="宋体" w:hAnsi="宋体" w:cs="宋体"/>
          <w:b/>
          <w:color w:val="auto"/>
          <w:kern w:val="0"/>
          <w:sz w:val="32"/>
          <w:szCs w:val="32"/>
          <w:highlight w:val="none"/>
        </w:rPr>
      </w:pPr>
    </w:p>
    <w:p w14:paraId="6B80CFCE">
      <w:pPr>
        <w:jc w:val="center"/>
        <w:rPr>
          <w:rFonts w:hint="eastAsia" w:ascii="宋体" w:hAnsi="宋体" w:cs="宋体"/>
          <w:b/>
          <w:color w:val="auto"/>
          <w:kern w:val="0"/>
          <w:sz w:val="32"/>
          <w:szCs w:val="32"/>
          <w:highlight w:val="none"/>
        </w:rPr>
      </w:pPr>
    </w:p>
    <w:p w14:paraId="47B10C45">
      <w:pPr>
        <w:jc w:val="center"/>
        <w:rPr>
          <w:rFonts w:hint="eastAsia" w:ascii="宋体" w:hAnsi="宋体" w:cs="宋体"/>
          <w:b/>
          <w:color w:val="auto"/>
          <w:kern w:val="0"/>
          <w:sz w:val="32"/>
          <w:szCs w:val="32"/>
          <w:highlight w:val="none"/>
        </w:rPr>
      </w:pPr>
    </w:p>
    <w:p w14:paraId="6E308569">
      <w:pPr>
        <w:jc w:val="center"/>
        <w:rPr>
          <w:rFonts w:hint="eastAsia" w:ascii="宋体" w:hAnsi="宋体" w:cs="宋体"/>
          <w:b/>
          <w:color w:val="auto"/>
          <w:kern w:val="0"/>
          <w:sz w:val="32"/>
          <w:szCs w:val="32"/>
          <w:highlight w:val="none"/>
        </w:rPr>
      </w:pPr>
    </w:p>
    <w:p w14:paraId="567AFEE2">
      <w:pPr>
        <w:jc w:val="center"/>
        <w:rPr>
          <w:rFonts w:hint="eastAsia" w:ascii="宋体" w:hAnsi="宋体" w:cs="宋体"/>
          <w:b/>
          <w:color w:val="auto"/>
          <w:kern w:val="0"/>
          <w:sz w:val="32"/>
          <w:szCs w:val="32"/>
          <w:highlight w:val="none"/>
        </w:rPr>
      </w:pPr>
    </w:p>
    <w:p w14:paraId="47911A1D">
      <w:pPr>
        <w:jc w:val="center"/>
        <w:rPr>
          <w:rFonts w:hint="eastAsia" w:ascii="宋体" w:hAnsi="宋体" w:cs="宋体"/>
          <w:b/>
          <w:color w:val="auto"/>
          <w:kern w:val="0"/>
          <w:sz w:val="32"/>
          <w:szCs w:val="32"/>
          <w:highlight w:val="none"/>
        </w:rPr>
      </w:pPr>
    </w:p>
    <w:p w14:paraId="24A3A799">
      <w:pPr>
        <w:jc w:val="center"/>
        <w:rPr>
          <w:rFonts w:hint="eastAsia" w:ascii="宋体" w:hAnsi="宋体" w:cs="宋体"/>
          <w:b/>
          <w:color w:val="auto"/>
          <w:kern w:val="0"/>
          <w:sz w:val="32"/>
          <w:szCs w:val="32"/>
          <w:highlight w:val="none"/>
        </w:rPr>
      </w:pPr>
    </w:p>
    <w:p w14:paraId="356162FD">
      <w:pPr>
        <w:jc w:val="center"/>
        <w:rPr>
          <w:rFonts w:hint="eastAsia" w:ascii="宋体" w:hAnsi="宋体" w:cs="宋体"/>
          <w:b/>
          <w:color w:val="auto"/>
          <w:kern w:val="0"/>
          <w:sz w:val="32"/>
          <w:szCs w:val="32"/>
          <w:highlight w:val="none"/>
        </w:rPr>
      </w:pPr>
    </w:p>
    <w:p w14:paraId="741F458B">
      <w:pPr>
        <w:jc w:val="center"/>
        <w:rPr>
          <w:rFonts w:hint="eastAsia" w:ascii="宋体" w:hAnsi="宋体" w:cs="宋体"/>
          <w:b/>
          <w:color w:val="auto"/>
          <w:kern w:val="0"/>
          <w:sz w:val="32"/>
          <w:szCs w:val="32"/>
          <w:highlight w:val="none"/>
        </w:rPr>
      </w:pPr>
    </w:p>
    <w:p w14:paraId="6EBBEA31">
      <w:pPr>
        <w:jc w:val="center"/>
        <w:rPr>
          <w:rFonts w:hint="eastAsia" w:ascii="宋体" w:hAnsi="宋体" w:cs="宋体"/>
          <w:b/>
          <w:color w:val="auto"/>
          <w:kern w:val="0"/>
          <w:sz w:val="32"/>
          <w:szCs w:val="32"/>
          <w:highlight w:val="none"/>
        </w:rPr>
      </w:pPr>
    </w:p>
    <w:p w14:paraId="3A144E04">
      <w:pPr>
        <w:jc w:val="center"/>
        <w:rPr>
          <w:rFonts w:hint="eastAsia" w:ascii="宋体" w:hAnsi="宋体" w:cs="宋体"/>
          <w:b/>
          <w:color w:val="auto"/>
          <w:kern w:val="0"/>
          <w:sz w:val="32"/>
          <w:szCs w:val="32"/>
          <w:highlight w:val="none"/>
        </w:rPr>
      </w:pPr>
    </w:p>
    <w:p w14:paraId="3801BECE">
      <w:pPr>
        <w:rPr>
          <w:rFonts w:hint="eastAsia" w:ascii="宋体" w:hAnsi="宋体" w:cs="宋体"/>
          <w:b/>
          <w:color w:val="auto"/>
          <w:kern w:val="0"/>
          <w:sz w:val="32"/>
          <w:szCs w:val="32"/>
          <w:highlight w:val="none"/>
        </w:rPr>
      </w:pPr>
    </w:p>
    <w:p w14:paraId="3601A606">
      <w:pPr>
        <w:pStyle w:val="27"/>
        <w:rPr>
          <w:rFonts w:hint="eastAsia"/>
          <w:color w:val="auto"/>
          <w:highlight w:val="none"/>
          <w:lang w:val="en-US"/>
        </w:rPr>
      </w:pPr>
    </w:p>
    <w:p w14:paraId="784B0F11">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28DE5A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8B10A45">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AE3CC9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杭州市卫生健康事业发展中心、浙江省成套招标代理有限公司</w:t>
      </w:r>
      <w:r>
        <w:rPr>
          <w:rFonts w:hint="eastAsia" w:ascii="宋体" w:hAnsi="宋体" w:cs="宋体"/>
          <w:color w:val="auto"/>
          <w:kern w:val="0"/>
          <w:sz w:val="24"/>
          <w:highlight w:val="none"/>
          <w:lang w:val="zh-CN"/>
        </w:rPr>
        <w:t>：</w:t>
      </w:r>
    </w:p>
    <w:p w14:paraId="202D6AD2">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杭州市第四人民医院（杭州市肿瘤医院）迁建工程BIM技术咨询服务项目【招标编号：</w:t>
      </w:r>
      <w:r>
        <w:rPr>
          <w:rFonts w:hint="eastAsia" w:ascii="宋体" w:hAnsi="宋体" w:cs="宋体"/>
          <w:color w:val="auto"/>
          <w:sz w:val="24"/>
          <w:highlight w:val="none"/>
          <w:lang w:eastAsia="zh-CN"/>
        </w:rPr>
        <w:t>CTZB-2025010383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967AE3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993491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2682B1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14AA1A6">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72813EE">
      <w:pPr>
        <w:snapToGrid w:val="0"/>
        <w:spacing w:line="360" w:lineRule="auto"/>
        <w:rPr>
          <w:rFonts w:hint="eastAsia" w:ascii="宋体" w:hAnsi="宋体" w:cs="宋体"/>
          <w:color w:val="auto"/>
          <w:sz w:val="24"/>
          <w:highlight w:val="none"/>
        </w:rPr>
      </w:pPr>
    </w:p>
    <w:p w14:paraId="479154E6">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D72CCD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杭州市卫生健康事业发展中心、浙江省成套招标代理有限公司</w:t>
      </w:r>
      <w:r>
        <w:rPr>
          <w:rFonts w:hint="eastAsia" w:ascii="宋体" w:hAnsi="宋体" w:cs="宋体"/>
          <w:color w:val="auto"/>
          <w:kern w:val="0"/>
          <w:sz w:val="24"/>
          <w:highlight w:val="none"/>
          <w:lang w:val="zh-CN"/>
        </w:rPr>
        <w:t>：</w:t>
      </w:r>
    </w:p>
    <w:p w14:paraId="28283436">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杭州市第四人民医院（杭州市肿瘤医院）迁建工程BIM技术咨询服务项目【招标编号：</w:t>
      </w:r>
      <w:r>
        <w:rPr>
          <w:rFonts w:hint="eastAsia" w:ascii="宋体" w:hAnsi="宋体" w:cs="宋体"/>
          <w:color w:val="auto"/>
          <w:sz w:val="24"/>
          <w:highlight w:val="none"/>
          <w:lang w:eastAsia="zh-CN"/>
        </w:rPr>
        <w:t>CTZB-2025010383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967BDA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BE2A44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0C5FD82">
      <w:pPr>
        <w:jc w:val="center"/>
        <w:rPr>
          <w:rFonts w:hint="eastAsia" w:ascii="宋体" w:hAnsi="宋体" w:cs="宋体"/>
          <w:b/>
          <w:color w:val="auto"/>
          <w:kern w:val="0"/>
          <w:sz w:val="32"/>
          <w:szCs w:val="32"/>
          <w:highlight w:val="none"/>
        </w:rPr>
      </w:pPr>
    </w:p>
    <w:p w14:paraId="169B2E69">
      <w:pPr>
        <w:rPr>
          <w:rFonts w:hint="eastAsia" w:ascii="宋体" w:hAnsi="宋体" w:cs="宋体"/>
          <w:color w:val="auto"/>
          <w:highlight w:val="none"/>
        </w:rPr>
      </w:pPr>
    </w:p>
    <w:p w14:paraId="5A501EE0">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EBD621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2683F8E">
      <w:pPr>
        <w:snapToGrid w:val="0"/>
        <w:spacing w:line="360" w:lineRule="auto"/>
        <w:ind w:left="4620" w:firstLine="42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45AFD76">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BA474C">
      <w:pPr>
        <w:autoSpaceDE w:val="0"/>
        <w:autoSpaceDN w:val="0"/>
        <w:spacing w:line="360" w:lineRule="auto"/>
        <w:jc w:val="center"/>
        <w:rPr>
          <w:rFonts w:hint="eastAsia" w:ascii="宋体" w:hAnsi="宋体" w:cs="宋体"/>
          <w:b/>
          <w:color w:val="auto"/>
          <w:kern w:val="0"/>
          <w:sz w:val="32"/>
          <w:szCs w:val="32"/>
          <w:highlight w:val="none"/>
          <w:lang w:val="zh-CN"/>
        </w:rPr>
      </w:pPr>
    </w:p>
    <w:p w14:paraId="524E07A0">
      <w:pPr>
        <w:autoSpaceDE w:val="0"/>
        <w:autoSpaceDN w:val="0"/>
        <w:spacing w:line="360" w:lineRule="auto"/>
        <w:jc w:val="center"/>
        <w:rPr>
          <w:rFonts w:hint="eastAsia" w:ascii="宋体" w:hAnsi="宋体" w:cs="宋体"/>
          <w:b/>
          <w:color w:val="auto"/>
          <w:kern w:val="0"/>
          <w:sz w:val="32"/>
          <w:szCs w:val="32"/>
          <w:highlight w:val="none"/>
          <w:lang w:val="zh-CN"/>
        </w:rPr>
      </w:pPr>
    </w:p>
    <w:p w14:paraId="168756E0">
      <w:pPr>
        <w:autoSpaceDE w:val="0"/>
        <w:autoSpaceDN w:val="0"/>
        <w:spacing w:line="360" w:lineRule="auto"/>
        <w:jc w:val="center"/>
        <w:rPr>
          <w:rFonts w:hint="eastAsia" w:ascii="宋体" w:hAnsi="宋体" w:cs="宋体"/>
          <w:b/>
          <w:color w:val="auto"/>
          <w:kern w:val="0"/>
          <w:sz w:val="32"/>
          <w:szCs w:val="32"/>
          <w:highlight w:val="none"/>
          <w:lang w:val="zh-CN"/>
        </w:rPr>
      </w:pPr>
    </w:p>
    <w:p w14:paraId="611C895E">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ECECB9E">
      <w:pPr>
        <w:pStyle w:val="31"/>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A2A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E663886">
            <w:pPr>
              <w:pStyle w:val="31"/>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32935B80">
            <w:pPr>
              <w:pStyle w:val="31"/>
              <w:adjustRightInd w:val="0"/>
              <w:spacing w:line="360" w:lineRule="auto"/>
              <w:rPr>
                <w:rFonts w:hint="eastAsia" w:hAnsi="宋体" w:cs="宋体"/>
                <w:bCs/>
                <w:color w:val="auto"/>
                <w:sz w:val="24"/>
                <w:highlight w:val="none"/>
              </w:rPr>
            </w:pPr>
          </w:p>
        </w:tc>
      </w:tr>
    </w:tbl>
    <w:p w14:paraId="19C8CD8F">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782A6DD">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A4843CC">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15DEF4E">
      <w:pPr>
        <w:jc w:val="center"/>
        <w:rPr>
          <w:rFonts w:hint="eastAsia" w:ascii="宋体" w:hAnsi="宋体" w:cs="宋体"/>
          <w:b/>
          <w:color w:val="auto"/>
          <w:kern w:val="0"/>
          <w:sz w:val="32"/>
          <w:szCs w:val="32"/>
          <w:highlight w:val="none"/>
        </w:rPr>
      </w:pPr>
    </w:p>
    <w:p w14:paraId="4BB26976">
      <w:pPr>
        <w:jc w:val="center"/>
        <w:rPr>
          <w:rFonts w:hint="eastAsia" w:ascii="宋体" w:hAnsi="宋体" w:cs="宋体"/>
          <w:b/>
          <w:color w:val="auto"/>
          <w:kern w:val="0"/>
          <w:sz w:val="32"/>
          <w:szCs w:val="32"/>
          <w:highlight w:val="none"/>
        </w:rPr>
      </w:pPr>
    </w:p>
    <w:p w14:paraId="1684C3D0">
      <w:pPr>
        <w:jc w:val="center"/>
        <w:rPr>
          <w:rFonts w:hint="eastAsia" w:ascii="宋体" w:hAnsi="宋体" w:cs="宋体"/>
          <w:b/>
          <w:color w:val="auto"/>
          <w:kern w:val="0"/>
          <w:sz w:val="32"/>
          <w:szCs w:val="32"/>
          <w:highlight w:val="none"/>
        </w:rPr>
      </w:pPr>
    </w:p>
    <w:p w14:paraId="7E58C445">
      <w:pPr>
        <w:jc w:val="center"/>
        <w:rPr>
          <w:rFonts w:hint="eastAsia" w:ascii="宋体" w:hAnsi="宋体" w:cs="宋体"/>
          <w:b/>
          <w:color w:val="auto"/>
          <w:kern w:val="0"/>
          <w:sz w:val="32"/>
          <w:szCs w:val="32"/>
          <w:highlight w:val="none"/>
        </w:rPr>
      </w:pPr>
    </w:p>
    <w:p w14:paraId="2E6E96BC">
      <w:pPr>
        <w:jc w:val="center"/>
        <w:rPr>
          <w:rFonts w:hint="eastAsia" w:ascii="宋体" w:hAnsi="宋体" w:cs="宋体"/>
          <w:b/>
          <w:color w:val="auto"/>
          <w:kern w:val="0"/>
          <w:sz w:val="32"/>
          <w:szCs w:val="32"/>
          <w:highlight w:val="none"/>
        </w:rPr>
      </w:pPr>
    </w:p>
    <w:p w14:paraId="639973F3">
      <w:pPr>
        <w:jc w:val="center"/>
        <w:rPr>
          <w:rFonts w:hint="eastAsia" w:ascii="宋体" w:hAnsi="宋体" w:cs="宋体"/>
          <w:b/>
          <w:color w:val="auto"/>
          <w:kern w:val="0"/>
          <w:sz w:val="32"/>
          <w:szCs w:val="32"/>
          <w:highlight w:val="none"/>
        </w:rPr>
      </w:pPr>
    </w:p>
    <w:p w14:paraId="11022053">
      <w:pPr>
        <w:jc w:val="center"/>
        <w:rPr>
          <w:rFonts w:hint="eastAsia" w:ascii="宋体" w:hAnsi="宋体" w:cs="宋体"/>
          <w:b/>
          <w:color w:val="auto"/>
          <w:kern w:val="0"/>
          <w:sz w:val="32"/>
          <w:szCs w:val="32"/>
          <w:highlight w:val="none"/>
        </w:rPr>
      </w:pPr>
    </w:p>
    <w:p w14:paraId="199ECAF9">
      <w:pPr>
        <w:rPr>
          <w:rFonts w:hint="eastAsia" w:ascii="宋体" w:hAnsi="宋体" w:cs="宋体"/>
          <w:b/>
          <w:color w:val="auto"/>
          <w:kern w:val="0"/>
          <w:sz w:val="32"/>
          <w:szCs w:val="32"/>
          <w:highlight w:val="none"/>
        </w:rPr>
      </w:pPr>
    </w:p>
    <w:p w14:paraId="773CCEC8">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AFD8C91">
      <w:pPr>
        <w:snapToGrid w:val="0"/>
        <w:spacing w:line="360" w:lineRule="auto"/>
        <w:ind w:firstLine="3534" w:firstLineChars="11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C0689B0">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1DD1E3F">
      <w:pPr>
        <w:snapToGrid w:val="0"/>
        <w:spacing w:line="360" w:lineRule="auto"/>
        <w:rPr>
          <w:rFonts w:hint="eastAsia" w:ascii="宋体" w:hAnsi="宋体" w:cs="宋体"/>
          <w:color w:val="auto"/>
          <w:kern w:val="0"/>
          <w:sz w:val="24"/>
          <w:highlight w:val="none"/>
        </w:rPr>
      </w:pPr>
    </w:p>
    <w:p w14:paraId="2ADE33B9">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9731C12">
      <w:pPr>
        <w:jc w:val="center"/>
        <w:rPr>
          <w:rFonts w:hint="eastAsia" w:ascii="宋体" w:hAnsi="宋体" w:cs="宋体"/>
          <w:b/>
          <w:color w:val="auto"/>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0AC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008AC8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7D0075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2B6934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13E1D7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26FCF0B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09F2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9F1518">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37F922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BBD6C1B">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CE946BC">
            <w:pPr>
              <w:rPr>
                <w:rFonts w:hint="eastAsia" w:ascii="宋体" w:hAnsi="宋体" w:cs="宋体"/>
                <w:color w:val="auto"/>
                <w:sz w:val="24"/>
                <w:highlight w:val="none"/>
              </w:rPr>
            </w:pPr>
          </w:p>
          <w:p w14:paraId="7C4B8F1B">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79BE05D4">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6F0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916119">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0246C4C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FF74E05">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D790635">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B2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4F991C">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39B1BD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2B0B143">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F8D4C39">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19C729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9E51A91">
      <w:pPr>
        <w:jc w:val="center"/>
        <w:rPr>
          <w:rFonts w:hint="eastAsia" w:ascii="宋体" w:hAnsi="宋体" w:cs="宋体"/>
          <w:b/>
          <w:color w:val="auto"/>
          <w:kern w:val="0"/>
          <w:sz w:val="32"/>
          <w:szCs w:val="32"/>
          <w:highlight w:val="none"/>
        </w:rPr>
      </w:pPr>
    </w:p>
    <w:p w14:paraId="65391559">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9F4EE18">
      <w:pPr>
        <w:jc w:val="center"/>
        <w:rPr>
          <w:rFonts w:hint="eastAsia" w:ascii="宋体" w:hAnsi="宋体" w:cs="宋体"/>
          <w:b/>
          <w:color w:val="auto"/>
          <w:kern w:val="0"/>
          <w:sz w:val="32"/>
          <w:szCs w:val="32"/>
          <w:highlight w:val="none"/>
        </w:rPr>
      </w:pPr>
    </w:p>
    <w:p w14:paraId="245EE4BD">
      <w:pPr>
        <w:jc w:val="center"/>
        <w:rPr>
          <w:rFonts w:hint="eastAsia" w:ascii="宋体" w:hAnsi="宋体" w:cs="宋体"/>
          <w:b/>
          <w:color w:val="auto"/>
          <w:kern w:val="0"/>
          <w:sz w:val="32"/>
          <w:szCs w:val="32"/>
          <w:highlight w:val="none"/>
        </w:rPr>
      </w:pPr>
    </w:p>
    <w:p w14:paraId="6779EE37">
      <w:pPr>
        <w:jc w:val="center"/>
        <w:rPr>
          <w:rFonts w:hint="eastAsia" w:ascii="宋体" w:hAnsi="宋体" w:cs="宋体"/>
          <w:b/>
          <w:color w:val="auto"/>
          <w:kern w:val="0"/>
          <w:sz w:val="32"/>
          <w:szCs w:val="32"/>
          <w:highlight w:val="none"/>
        </w:rPr>
      </w:pPr>
    </w:p>
    <w:p w14:paraId="4BB49FBA">
      <w:pPr>
        <w:jc w:val="center"/>
        <w:rPr>
          <w:rFonts w:hint="eastAsia" w:ascii="宋体" w:hAnsi="宋体" w:cs="宋体"/>
          <w:b/>
          <w:color w:val="auto"/>
          <w:kern w:val="0"/>
          <w:sz w:val="32"/>
          <w:szCs w:val="32"/>
          <w:highlight w:val="none"/>
        </w:rPr>
      </w:pPr>
    </w:p>
    <w:p w14:paraId="6B60840D">
      <w:pPr>
        <w:jc w:val="center"/>
        <w:rPr>
          <w:rFonts w:hint="eastAsia" w:ascii="宋体" w:hAnsi="宋体" w:cs="宋体"/>
          <w:b/>
          <w:color w:val="auto"/>
          <w:kern w:val="0"/>
          <w:sz w:val="32"/>
          <w:szCs w:val="32"/>
          <w:highlight w:val="none"/>
        </w:rPr>
      </w:pPr>
    </w:p>
    <w:p w14:paraId="70B6CC9F">
      <w:pPr>
        <w:jc w:val="center"/>
        <w:rPr>
          <w:rFonts w:hint="eastAsia" w:ascii="宋体" w:hAnsi="宋体" w:cs="宋体"/>
          <w:b/>
          <w:color w:val="auto"/>
          <w:kern w:val="0"/>
          <w:sz w:val="32"/>
          <w:szCs w:val="32"/>
          <w:highlight w:val="none"/>
        </w:rPr>
      </w:pPr>
    </w:p>
    <w:p w14:paraId="2FD4F12A">
      <w:pPr>
        <w:jc w:val="center"/>
        <w:rPr>
          <w:rFonts w:hint="eastAsia" w:ascii="宋体" w:hAnsi="宋体" w:cs="宋体"/>
          <w:b/>
          <w:color w:val="auto"/>
          <w:kern w:val="0"/>
          <w:sz w:val="32"/>
          <w:szCs w:val="32"/>
          <w:highlight w:val="none"/>
        </w:rPr>
      </w:pPr>
    </w:p>
    <w:p w14:paraId="1734A669">
      <w:pPr>
        <w:jc w:val="center"/>
        <w:rPr>
          <w:rFonts w:hint="eastAsia" w:ascii="宋体" w:hAnsi="宋体" w:cs="宋体"/>
          <w:b/>
          <w:color w:val="auto"/>
          <w:kern w:val="0"/>
          <w:sz w:val="32"/>
          <w:szCs w:val="32"/>
          <w:highlight w:val="none"/>
        </w:rPr>
      </w:pPr>
    </w:p>
    <w:p w14:paraId="59E0CEED">
      <w:pPr>
        <w:jc w:val="center"/>
        <w:rPr>
          <w:rFonts w:hint="eastAsia" w:ascii="宋体" w:hAnsi="宋体" w:cs="宋体"/>
          <w:b/>
          <w:color w:val="auto"/>
          <w:kern w:val="0"/>
          <w:sz w:val="32"/>
          <w:szCs w:val="32"/>
          <w:highlight w:val="none"/>
        </w:rPr>
      </w:pPr>
    </w:p>
    <w:p w14:paraId="206F5090">
      <w:pPr>
        <w:jc w:val="center"/>
        <w:rPr>
          <w:rFonts w:hint="eastAsia" w:ascii="宋体" w:hAnsi="宋体" w:cs="宋体"/>
          <w:b/>
          <w:color w:val="auto"/>
          <w:kern w:val="0"/>
          <w:sz w:val="32"/>
          <w:szCs w:val="32"/>
          <w:highlight w:val="none"/>
        </w:rPr>
      </w:pPr>
    </w:p>
    <w:p w14:paraId="69725E74">
      <w:pPr>
        <w:jc w:val="center"/>
        <w:rPr>
          <w:rFonts w:hint="eastAsia" w:ascii="宋体" w:hAnsi="宋体" w:cs="宋体"/>
          <w:b/>
          <w:color w:val="auto"/>
          <w:kern w:val="0"/>
          <w:sz w:val="32"/>
          <w:szCs w:val="32"/>
          <w:highlight w:val="none"/>
        </w:rPr>
      </w:pPr>
    </w:p>
    <w:p w14:paraId="639E868B">
      <w:pPr>
        <w:pStyle w:val="27"/>
        <w:ind w:firstLine="0" w:firstLineChars="0"/>
        <w:rPr>
          <w:rFonts w:hint="eastAsia"/>
          <w:color w:val="auto"/>
          <w:highlight w:val="none"/>
          <w:lang w:val="en-US"/>
        </w:rPr>
      </w:pPr>
    </w:p>
    <w:p w14:paraId="539C6CBE">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304A498">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42B2074">
      <w:pPr>
        <w:jc w:val="center"/>
        <w:rPr>
          <w:rFonts w:hint="eastAsia" w:ascii="宋体" w:hAnsi="宋体" w:cs="宋体"/>
          <w:b/>
          <w:color w:val="auto"/>
          <w:kern w:val="0"/>
          <w:sz w:val="32"/>
          <w:szCs w:val="32"/>
          <w:highlight w:val="none"/>
        </w:rPr>
      </w:pPr>
    </w:p>
    <w:p w14:paraId="1588D5B0">
      <w:pPr>
        <w:jc w:val="center"/>
        <w:rPr>
          <w:rFonts w:hint="eastAsia" w:ascii="宋体" w:hAnsi="宋体" w:cs="宋体"/>
          <w:b/>
          <w:color w:val="auto"/>
          <w:kern w:val="0"/>
          <w:sz w:val="32"/>
          <w:szCs w:val="32"/>
          <w:highlight w:val="none"/>
        </w:rPr>
      </w:pPr>
    </w:p>
    <w:p w14:paraId="3D7A88B8">
      <w:pPr>
        <w:jc w:val="center"/>
        <w:rPr>
          <w:rFonts w:hint="eastAsia" w:ascii="宋体" w:hAnsi="宋体" w:cs="宋体"/>
          <w:b/>
          <w:color w:val="auto"/>
          <w:kern w:val="0"/>
          <w:sz w:val="32"/>
          <w:szCs w:val="32"/>
          <w:highlight w:val="none"/>
        </w:rPr>
      </w:pPr>
    </w:p>
    <w:p w14:paraId="20DBD522">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B9E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8C4E7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DAB389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CA7FC3C">
            <w:pPr>
              <w:spacing w:line="360" w:lineRule="auto"/>
              <w:jc w:val="center"/>
              <w:rPr>
                <w:rFonts w:hint="eastAsia" w:ascii="宋体" w:hAnsi="宋体" w:cs="宋体"/>
                <w:b/>
                <w:color w:val="auto"/>
                <w:sz w:val="24"/>
                <w:highlight w:val="none"/>
              </w:rPr>
            </w:pPr>
          </w:p>
          <w:p w14:paraId="638466C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967F07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3807E4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378AE4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7C39145">
            <w:pPr>
              <w:spacing w:line="360" w:lineRule="auto"/>
              <w:jc w:val="center"/>
              <w:rPr>
                <w:rFonts w:hint="eastAsia" w:ascii="宋体" w:hAnsi="宋体" w:cs="宋体"/>
                <w:b/>
                <w:color w:val="auto"/>
                <w:sz w:val="24"/>
                <w:highlight w:val="none"/>
              </w:rPr>
            </w:pPr>
          </w:p>
          <w:p w14:paraId="34A8E0F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4DCBB9A6">
            <w:pPr>
              <w:spacing w:line="360" w:lineRule="auto"/>
              <w:jc w:val="center"/>
              <w:rPr>
                <w:rFonts w:hint="eastAsia" w:ascii="宋体" w:hAnsi="宋体" w:cs="宋体"/>
                <w:b/>
                <w:color w:val="auto"/>
                <w:sz w:val="24"/>
                <w:highlight w:val="none"/>
              </w:rPr>
            </w:pPr>
          </w:p>
        </w:tc>
      </w:tr>
      <w:tr w14:paraId="281B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47A97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3C4F3C">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4B87BF2">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77FA3C">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9C7AB6F">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C08A0C9">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0D023A">
            <w:pPr>
              <w:spacing w:line="360" w:lineRule="auto"/>
              <w:jc w:val="center"/>
              <w:rPr>
                <w:rFonts w:hint="eastAsia" w:ascii="宋体" w:hAnsi="宋体" w:cs="宋体"/>
                <w:color w:val="auto"/>
                <w:sz w:val="24"/>
                <w:highlight w:val="none"/>
              </w:rPr>
            </w:pPr>
          </w:p>
        </w:tc>
      </w:tr>
      <w:tr w14:paraId="3A74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8A92A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527FAA9">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9C80CDF">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AA29AEF">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1E8715">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D311CAE">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025EFFE">
            <w:pPr>
              <w:spacing w:line="360" w:lineRule="auto"/>
              <w:jc w:val="center"/>
              <w:rPr>
                <w:rFonts w:hint="eastAsia" w:ascii="宋体" w:hAnsi="宋体" w:cs="宋体"/>
                <w:color w:val="auto"/>
                <w:sz w:val="24"/>
                <w:highlight w:val="none"/>
              </w:rPr>
            </w:pPr>
          </w:p>
        </w:tc>
      </w:tr>
      <w:tr w14:paraId="55FE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35250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CD931BD">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55F719">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3F5794F">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3BB606">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CC2D459">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959682C">
            <w:pPr>
              <w:spacing w:line="360" w:lineRule="auto"/>
              <w:jc w:val="center"/>
              <w:rPr>
                <w:rFonts w:hint="eastAsia" w:ascii="宋体" w:hAnsi="宋体" w:cs="宋体"/>
                <w:color w:val="auto"/>
                <w:sz w:val="24"/>
                <w:highlight w:val="none"/>
              </w:rPr>
            </w:pPr>
          </w:p>
        </w:tc>
      </w:tr>
    </w:tbl>
    <w:p w14:paraId="141CEF6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5197712">
      <w:pPr>
        <w:jc w:val="center"/>
        <w:rPr>
          <w:rFonts w:hint="eastAsia" w:ascii="宋体" w:hAnsi="宋体" w:cs="宋体"/>
          <w:b/>
          <w:color w:val="auto"/>
          <w:kern w:val="0"/>
          <w:sz w:val="32"/>
          <w:szCs w:val="32"/>
          <w:highlight w:val="none"/>
        </w:rPr>
      </w:pPr>
    </w:p>
    <w:p w14:paraId="2CF9C4E8">
      <w:pPr>
        <w:jc w:val="center"/>
        <w:rPr>
          <w:rFonts w:hint="eastAsia" w:ascii="宋体" w:hAnsi="宋体" w:cs="宋体"/>
          <w:b/>
          <w:color w:val="auto"/>
          <w:kern w:val="0"/>
          <w:sz w:val="32"/>
          <w:szCs w:val="32"/>
          <w:highlight w:val="none"/>
        </w:rPr>
      </w:pPr>
    </w:p>
    <w:p w14:paraId="0503CA2F">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434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700EA4">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EEE91CE">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15C58CA">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EC705C4">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06DC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BB7D1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9BB3877">
            <w:pPr>
              <w:jc w:val="center"/>
              <w:rPr>
                <w:rFonts w:hint="eastAsia" w:ascii="宋体" w:hAnsi="宋体" w:cs="宋体"/>
                <w:b/>
                <w:color w:val="auto"/>
                <w:kern w:val="0"/>
                <w:sz w:val="32"/>
                <w:szCs w:val="32"/>
                <w:highlight w:val="none"/>
              </w:rPr>
            </w:pPr>
          </w:p>
        </w:tc>
        <w:tc>
          <w:tcPr>
            <w:tcW w:w="3546" w:type="dxa"/>
          </w:tcPr>
          <w:p w14:paraId="4E722E42">
            <w:pPr>
              <w:jc w:val="center"/>
              <w:rPr>
                <w:rFonts w:hint="eastAsia" w:ascii="宋体" w:hAnsi="宋体" w:cs="宋体"/>
                <w:b/>
                <w:color w:val="auto"/>
                <w:kern w:val="0"/>
                <w:sz w:val="32"/>
                <w:szCs w:val="32"/>
                <w:highlight w:val="none"/>
              </w:rPr>
            </w:pPr>
          </w:p>
        </w:tc>
        <w:tc>
          <w:tcPr>
            <w:tcW w:w="1276" w:type="dxa"/>
          </w:tcPr>
          <w:p w14:paraId="0D656B94">
            <w:pPr>
              <w:jc w:val="center"/>
              <w:rPr>
                <w:rFonts w:hint="eastAsia" w:ascii="宋体" w:hAnsi="宋体" w:cs="宋体"/>
                <w:b/>
                <w:color w:val="auto"/>
                <w:kern w:val="0"/>
                <w:sz w:val="32"/>
                <w:szCs w:val="32"/>
                <w:highlight w:val="none"/>
              </w:rPr>
            </w:pPr>
          </w:p>
        </w:tc>
      </w:tr>
      <w:tr w14:paraId="3D7F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AB48FF">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21C5061">
            <w:pPr>
              <w:jc w:val="center"/>
              <w:rPr>
                <w:rFonts w:hint="eastAsia" w:ascii="宋体" w:hAnsi="宋体" w:cs="宋体"/>
                <w:b/>
                <w:color w:val="auto"/>
                <w:kern w:val="0"/>
                <w:sz w:val="32"/>
                <w:szCs w:val="32"/>
                <w:highlight w:val="none"/>
              </w:rPr>
            </w:pPr>
          </w:p>
        </w:tc>
        <w:tc>
          <w:tcPr>
            <w:tcW w:w="3546" w:type="dxa"/>
          </w:tcPr>
          <w:p w14:paraId="034468BE">
            <w:pPr>
              <w:jc w:val="center"/>
              <w:rPr>
                <w:rFonts w:hint="eastAsia" w:ascii="宋体" w:hAnsi="宋体" w:cs="宋体"/>
                <w:b/>
                <w:color w:val="auto"/>
                <w:kern w:val="0"/>
                <w:sz w:val="32"/>
                <w:szCs w:val="32"/>
                <w:highlight w:val="none"/>
              </w:rPr>
            </w:pPr>
          </w:p>
        </w:tc>
        <w:tc>
          <w:tcPr>
            <w:tcW w:w="1276" w:type="dxa"/>
          </w:tcPr>
          <w:p w14:paraId="7272E9C8">
            <w:pPr>
              <w:jc w:val="center"/>
              <w:rPr>
                <w:rFonts w:hint="eastAsia" w:ascii="宋体" w:hAnsi="宋体" w:cs="宋体"/>
                <w:b/>
                <w:color w:val="auto"/>
                <w:kern w:val="0"/>
                <w:sz w:val="32"/>
                <w:szCs w:val="32"/>
                <w:highlight w:val="none"/>
              </w:rPr>
            </w:pPr>
          </w:p>
        </w:tc>
      </w:tr>
      <w:tr w14:paraId="787F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C3F603">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2C1AD68">
            <w:pPr>
              <w:jc w:val="center"/>
              <w:rPr>
                <w:rFonts w:hint="eastAsia" w:ascii="宋体" w:hAnsi="宋体" w:cs="宋体"/>
                <w:b/>
                <w:color w:val="auto"/>
                <w:kern w:val="0"/>
                <w:sz w:val="32"/>
                <w:szCs w:val="32"/>
                <w:highlight w:val="none"/>
              </w:rPr>
            </w:pPr>
          </w:p>
        </w:tc>
        <w:tc>
          <w:tcPr>
            <w:tcW w:w="3546" w:type="dxa"/>
          </w:tcPr>
          <w:p w14:paraId="2B2619DE">
            <w:pPr>
              <w:jc w:val="center"/>
              <w:rPr>
                <w:rFonts w:hint="eastAsia" w:ascii="宋体" w:hAnsi="宋体" w:cs="宋体"/>
                <w:b/>
                <w:color w:val="auto"/>
                <w:kern w:val="0"/>
                <w:sz w:val="32"/>
                <w:szCs w:val="32"/>
                <w:highlight w:val="none"/>
              </w:rPr>
            </w:pPr>
          </w:p>
        </w:tc>
        <w:tc>
          <w:tcPr>
            <w:tcW w:w="1276" w:type="dxa"/>
          </w:tcPr>
          <w:p w14:paraId="6FBB1E21">
            <w:pPr>
              <w:jc w:val="center"/>
              <w:rPr>
                <w:rFonts w:hint="eastAsia" w:ascii="宋体" w:hAnsi="宋体" w:cs="宋体"/>
                <w:b/>
                <w:color w:val="auto"/>
                <w:kern w:val="0"/>
                <w:sz w:val="32"/>
                <w:szCs w:val="32"/>
                <w:highlight w:val="none"/>
              </w:rPr>
            </w:pPr>
          </w:p>
        </w:tc>
      </w:tr>
    </w:tbl>
    <w:p w14:paraId="5BB26041">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5237B32">
      <w:pPr>
        <w:jc w:val="center"/>
        <w:rPr>
          <w:rFonts w:hint="eastAsia" w:ascii="宋体" w:hAnsi="宋体" w:cs="宋体"/>
          <w:b/>
          <w:color w:val="auto"/>
          <w:kern w:val="0"/>
          <w:sz w:val="32"/>
          <w:szCs w:val="32"/>
          <w:highlight w:val="none"/>
        </w:rPr>
      </w:pPr>
    </w:p>
    <w:p w14:paraId="1D3A285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B2AA97C">
      <w:pPr>
        <w:ind w:firstLine="1911" w:firstLineChars="595"/>
        <w:rPr>
          <w:rFonts w:hint="eastAsia" w:ascii="宋体" w:hAnsi="宋体" w:cs="宋体"/>
          <w:b/>
          <w:bCs/>
          <w:color w:val="auto"/>
          <w:sz w:val="32"/>
          <w:szCs w:val="32"/>
          <w:highlight w:val="none"/>
        </w:rPr>
      </w:pPr>
    </w:p>
    <w:p w14:paraId="0EB4DB02">
      <w:pPr>
        <w:ind w:firstLine="1911" w:firstLineChars="595"/>
        <w:rPr>
          <w:rFonts w:hint="eastAsia" w:ascii="宋体" w:hAnsi="宋体" w:cs="宋体"/>
          <w:b/>
          <w:bCs/>
          <w:color w:val="auto"/>
          <w:sz w:val="32"/>
          <w:szCs w:val="32"/>
          <w:highlight w:val="none"/>
        </w:rPr>
      </w:pPr>
    </w:p>
    <w:p w14:paraId="4B4290DA">
      <w:pPr>
        <w:ind w:firstLine="1911" w:firstLineChars="595"/>
        <w:rPr>
          <w:rFonts w:hint="eastAsia" w:ascii="宋体" w:hAnsi="宋体" w:cs="宋体"/>
          <w:b/>
          <w:bCs/>
          <w:color w:val="auto"/>
          <w:sz w:val="32"/>
          <w:szCs w:val="32"/>
          <w:highlight w:val="none"/>
        </w:rPr>
      </w:pPr>
    </w:p>
    <w:p w14:paraId="53BBCCB7">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66A97A4B">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EC58C14">
      <w:pPr>
        <w:snapToGrid w:val="0"/>
        <w:spacing w:line="360" w:lineRule="auto"/>
        <w:rPr>
          <w:rFonts w:hint="eastAsia" w:ascii="宋体" w:hAnsi="宋体" w:cs="宋体"/>
          <w:color w:val="auto"/>
          <w:sz w:val="24"/>
          <w:highlight w:val="none"/>
        </w:rPr>
      </w:pPr>
    </w:p>
    <w:p w14:paraId="4B9BA64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杭州市卫生健康事业发展中心、浙江省成套招标代理有限公司</w:t>
      </w:r>
      <w:r>
        <w:rPr>
          <w:rFonts w:hint="eastAsia" w:ascii="宋体" w:hAnsi="宋体" w:cs="宋体"/>
          <w:color w:val="auto"/>
          <w:kern w:val="0"/>
          <w:sz w:val="24"/>
          <w:highlight w:val="none"/>
          <w:lang w:val="zh-CN"/>
        </w:rPr>
        <w:t>：</w:t>
      </w:r>
    </w:p>
    <w:p w14:paraId="2D46781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379C7B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1EFD4F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8CA73A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9C4B39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A2AE92B">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B4008BC">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29C06B6">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6BA5BF7">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667097D">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9E3FCDE">
      <w:pPr>
        <w:autoSpaceDE w:val="0"/>
        <w:autoSpaceDN w:val="0"/>
        <w:spacing w:line="360" w:lineRule="auto"/>
        <w:ind w:left="2"/>
        <w:jc w:val="left"/>
        <w:rPr>
          <w:rFonts w:hint="eastAsia" w:ascii="宋体" w:hAnsi="宋体" w:cs="宋体"/>
          <w:color w:val="auto"/>
          <w:kern w:val="0"/>
          <w:sz w:val="24"/>
          <w:highlight w:val="none"/>
          <w:lang w:val="zh-CN"/>
        </w:rPr>
      </w:pPr>
    </w:p>
    <w:p w14:paraId="5A689F2C">
      <w:pPr>
        <w:pStyle w:val="27"/>
        <w:rPr>
          <w:rFonts w:hint="eastAsia"/>
          <w:color w:val="auto"/>
          <w:highlight w:val="none"/>
          <w:lang w:val="zh-CN"/>
        </w:rPr>
      </w:pPr>
    </w:p>
    <w:p w14:paraId="7AAF429B">
      <w:pPr>
        <w:autoSpaceDE w:val="0"/>
        <w:autoSpaceDN w:val="0"/>
        <w:spacing w:line="360" w:lineRule="auto"/>
        <w:ind w:left="2"/>
        <w:jc w:val="left"/>
        <w:rPr>
          <w:rFonts w:hint="eastAsia" w:ascii="宋体" w:hAnsi="宋体" w:cs="宋体"/>
          <w:color w:val="auto"/>
          <w:kern w:val="0"/>
          <w:sz w:val="24"/>
          <w:highlight w:val="none"/>
          <w:lang w:val="zh-CN"/>
        </w:rPr>
      </w:pPr>
    </w:p>
    <w:p w14:paraId="309B3C88">
      <w:pPr>
        <w:autoSpaceDE w:val="0"/>
        <w:autoSpaceDN w:val="0"/>
        <w:spacing w:line="360" w:lineRule="auto"/>
        <w:ind w:left="2"/>
        <w:jc w:val="left"/>
        <w:rPr>
          <w:rFonts w:hint="eastAsia" w:ascii="宋体" w:hAnsi="宋体" w:cs="宋体"/>
          <w:color w:val="auto"/>
          <w:kern w:val="0"/>
          <w:sz w:val="24"/>
          <w:highlight w:val="none"/>
          <w:lang w:val="zh-CN"/>
        </w:rPr>
      </w:pPr>
    </w:p>
    <w:p w14:paraId="4E6DE993">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9A680C5">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3A6F3A3">
      <w:pPr>
        <w:spacing w:line="360" w:lineRule="auto"/>
        <w:jc w:val="center"/>
        <w:rPr>
          <w:rFonts w:hint="eastAsia" w:ascii="宋体" w:hAnsi="宋体" w:cs="宋体"/>
          <w:b/>
          <w:bCs/>
          <w:color w:val="auto"/>
          <w:sz w:val="24"/>
          <w:highlight w:val="none"/>
        </w:rPr>
      </w:pPr>
    </w:p>
    <w:p w14:paraId="26DD878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845FEA8">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42D6F61">
      <w:pPr>
        <w:pStyle w:val="8"/>
        <w:spacing w:before="240"/>
        <w:ind w:firstLine="723"/>
        <w:jc w:val="center"/>
        <w:rPr>
          <w:rFonts w:hint="eastAsia"/>
          <w:b/>
          <w:bCs/>
          <w:color w:val="auto"/>
          <w:sz w:val="36"/>
          <w:szCs w:val="36"/>
          <w:highlight w:val="none"/>
        </w:rPr>
      </w:pPr>
      <w:r>
        <w:rPr>
          <w:rFonts w:hint="eastAsia"/>
          <w:b/>
          <w:bCs/>
          <w:color w:val="auto"/>
          <w:sz w:val="36"/>
          <w:szCs w:val="36"/>
          <w:highlight w:val="none"/>
        </w:rPr>
        <w:t>报价文件部分</w:t>
      </w:r>
    </w:p>
    <w:p w14:paraId="4E16B03B">
      <w:pPr>
        <w:pStyle w:val="8"/>
        <w:spacing w:before="240"/>
        <w:ind w:firstLine="723"/>
        <w:jc w:val="center"/>
        <w:rPr>
          <w:rFonts w:hint="eastAsia"/>
          <w:b/>
          <w:bCs/>
          <w:color w:val="auto"/>
          <w:sz w:val="36"/>
          <w:szCs w:val="36"/>
          <w:highlight w:val="none"/>
        </w:rPr>
      </w:pPr>
      <w:r>
        <w:rPr>
          <w:rFonts w:hint="eastAsia"/>
          <w:b/>
          <w:bCs/>
          <w:color w:val="auto"/>
          <w:sz w:val="36"/>
          <w:szCs w:val="36"/>
          <w:highlight w:val="none"/>
        </w:rPr>
        <w:t>目录</w:t>
      </w:r>
    </w:p>
    <w:p w14:paraId="5773B906">
      <w:pPr>
        <w:pStyle w:val="8"/>
        <w:spacing w:before="240"/>
        <w:ind w:firstLine="723"/>
        <w:jc w:val="center"/>
        <w:rPr>
          <w:rFonts w:hint="eastAsia"/>
          <w:b/>
          <w:bCs/>
          <w:color w:val="auto"/>
          <w:sz w:val="36"/>
          <w:szCs w:val="36"/>
          <w:highlight w:val="none"/>
        </w:rPr>
      </w:pPr>
    </w:p>
    <w:p w14:paraId="0D8E031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（1）开标一览表（报价表）………………………………………………………（页码）（2）报价情况说明……………………………………………………………………（页码）</w:t>
      </w:r>
    </w:p>
    <w:p w14:paraId="1C19FA2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2B9F623F">
      <w:pPr>
        <w:snapToGrid w:val="0"/>
        <w:spacing w:line="360" w:lineRule="auto"/>
        <w:ind w:right="480"/>
        <w:jc w:val="center"/>
        <w:rPr>
          <w:rFonts w:hint="eastAsia" w:ascii="宋体" w:hAnsi="宋体" w:cs="宋体"/>
          <w:b/>
          <w:color w:val="auto"/>
          <w:kern w:val="0"/>
          <w:sz w:val="32"/>
          <w:szCs w:val="32"/>
          <w:highlight w:val="none"/>
        </w:rPr>
      </w:pPr>
    </w:p>
    <w:p w14:paraId="1C88D2D2">
      <w:pPr>
        <w:snapToGrid w:val="0"/>
        <w:spacing w:line="360" w:lineRule="auto"/>
        <w:ind w:right="480"/>
        <w:jc w:val="center"/>
        <w:rPr>
          <w:rFonts w:hint="eastAsia" w:ascii="宋体" w:hAnsi="宋体" w:cs="宋体"/>
          <w:b/>
          <w:color w:val="auto"/>
          <w:kern w:val="0"/>
          <w:sz w:val="32"/>
          <w:szCs w:val="32"/>
          <w:highlight w:val="none"/>
        </w:rPr>
      </w:pPr>
    </w:p>
    <w:p w14:paraId="480C8427">
      <w:pPr>
        <w:snapToGrid w:val="0"/>
        <w:spacing w:line="360" w:lineRule="auto"/>
        <w:ind w:right="480"/>
        <w:jc w:val="center"/>
        <w:rPr>
          <w:rFonts w:hint="eastAsia" w:ascii="宋体" w:hAnsi="宋体" w:cs="宋体"/>
          <w:b/>
          <w:color w:val="auto"/>
          <w:kern w:val="0"/>
          <w:sz w:val="32"/>
          <w:szCs w:val="32"/>
          <w:highlight w:val="none"/>
        </w:rPr>
      </w:pPr>
    </w:p>
    <w:p w14:paraId="2336990C">
      <w:pPr>
        <w:snapToGrid w:val="0"/>
        <w:spacing w:line="360" w:lineRule="auto"/>
        <w:ind w:right="480"/>
        <w:jc w:val="center"/>
        <w:rPr>
          <w:rFonts w:hint="eastAsia" w:ascii="宋体" w:hAnsi="宋体" w:cs="宋体"/>
          <w:b/>
          <w:color w:val="auto"/>
          <w:kern w:val="0"/>
          <w:sz w:val="32"/>
          <w:szCs w:val="32"/>
          <w:highlight w:val="none"/>
        </w:rPr>
      </w:pPr>
    </w:p>
    <w:p w14:paraId="009A22C7">
      <w:pPr>
        <w:snapToGrid w:val="0"/>
        <w:spacing w:line="360" w:lineRule="auto"/>
        <w:ind w:right="480"/>
        <w:jc w:val="center"/>
        <w:rPr>
          <w:rFonts w:hint="eastAsia" w:ascii="宋体" w:hAnsi="宋体" w:cs="宋体"/>
          <w:b/>
          <w:color w:val="auto"/>
          <w:kern w:val="0"/>
          <w:sz w:val="32"/>
          <w:szCs w:val="32"/>
          <w:highlight w:val="none"/>
        </w:rPr>
      </w:pPr>
    </w:p>
    <w:p w14:paraId="3434CF5C">
      <w:pPr>
        <w:snapToGrid w:val="0"/>
        <w:spacing w:line="360" w:lineRule="auto"/>
        <w:ind w:right="480"/>
        <w:jc w:val="center"/>
        <w:rPr>
          <w:rFonts w:hint="eastAsia" w:ascii="宋体" w:hAnsi="宋体" w:cs="宋体"/>
          <w:b/>
          <w:color w:val="auto"/>
          <w:kern w:val="0"/>
          <w:sz w:val="32"/>
          <w:szCs w:val="32"/>
          <w:highlight w:val="none"/>
        </w:rPr>
      </w:pPr>
    </w:p>
    <w:p w14:paraId="6903D68F">
      <w:pPr>
        <w:snapToGrid w:val="0"/>
        <w:spacing w:line="360" w:lineRule="auto"/>
        <w:ind w:right="480"/>
        <w:jc w:val="center"/>
        <w:rPr>
          <w:rFonts w:hint="eastAsia" w:ascii="宋体" w:hAnsi="宋体" w:cs="宋体"/>
          <w:b/>
          <w:color w:val="auto"/>
          <w:kern w:val="0"/>
          <w:sz w:val="32"/>
          <w:szCs w:val="32"/>
          <w:highlight w:val="none"/>
        </w:rPr>
      </w:pPr>
    </w:p>
    <w:p w14:paraId="534B24FF">
      <w:pPr>
        <w:snapToGrid w:val="0"/>
        <w:spacing w:line="360" w:lineRule="auto"/>
        <w:ind w:right="480"/>
        <w:jc w:val="center"/>
        <w:rPr>
          <w:rFonts w:hint="eastAsia" w:ascii="宋体" w:hAnsi="宋体" w:cs="宋体"/>
          <w:b/>
          <w:color w:val="auto"/>
          <w:kern w:val="0"/>
          <w:sz w:val="32"/>
          <w:szCs w:val="32"/>
          <w:highlight w:val="none"/>
        </w:rPr>
      </w:pPr>
    </w:p>
    <w:p w14:paraId="04D72228">
      <w:pPr>
        <w:snapToGrid w:val="0"/>
        <w:spacing w:line="360" w:lineRule="auto"/>
        <w:ind w:right="480"/>
        <w:jc w:val="center"/>
        <w:rPr>
          <w:rFonts w:hint="eastAsia" w:ascii="宋体" w:hAnsi="宋体" w:cs="宋体"/>
          <w:b/>
          <w:color w:val="auto"/>
          <w:kern w:val="0"/>
          <w:sz w:val="32"/>
          <w:szCs w:val="32"/>
          <w:highlight w:val="none"/>
        </w:rPr>
      </w:pPr>
    </w:p>
    <w:p w14:paraId="4C461200">
      <w:pPr>
        <w:snapToGrid w:val="0"/>
        <w:spacing w:line="360" w:lineRule="auto"/>
        <w:ind w:right="480"/>
        <w:jc w:val="center"/>
        <w:rPr>
          <w:rFonts w:hint="eastAsia" w:ascii="宋体" w:hAnsi="宋体" w:cs="宋体"/>
          <w:b/>
          <w:color w:val="auto"/>
          <w:kern w:val="0"/>
          <w:sz w:val="32"/>
          <w:szCs w:val="32"/>
          <w:highlight w:val="none"/>
        </w:rPr>
      </w:pPr>
    </w:p>
    <w:p w14:paraId="372D700E">
      <w:pPr>
        <w:snapToGrid w:val="0"/>
        <w:spacing w:line="360" w:lineRule="auto"/>
        <w:ind w:right="480"/>
        <w:jc w:val="center"/>
        <w:rPr>
          <w:rFonts w:hint="eastAsia" w:ascii="宋体" w:hAnsi="宋体" w:cs="宋体"/>
          <w:b/>
          <w:color w:val="auto"/>
          <w:kern w:val="0"/>
          <w:sz w:val="32"/>
          <w:szCs w:val="32"/>
          <w:highlight w:val="none"/>
        </w:rPr>
      </w:pPr>
    </w:p>
    <w:p w14:paraId="65308BB2">
      <w:pPr>
        <w:snapToGrid w:val="0"/>
        <w:spacing w:line="360" w:lineRule="auto"/>
        <w:ind w:right="480"/>
        <w:jc w:val="center"/>
        <w:rPr>
          <w:rFonts w:hint="eastAsia" w:ascii="宋体" w:hAnsi="宋体" w:cs="宋体"/>
          <w:b/>
          <w:color w:val="auto"/>
          <w:kern w:val="0"/>
          <w:sz w:val="32"/>
          <w:szCs w:val="32"/>
          <w:highlight w:val="none"/>
        </w:rPr>
      </w:pPr>
    </w:p>
    <w:p w14:paraId="126C17DD">
      <w:pPr>
        <w:snapToGrid w:val="0"/>
        <w:spacing w:line="360" w:lineRule="auto"/>
        <w:ind w:right="480"/>
        <w:jc w:val="center"/>
        <w:rPr>
          <w:rFonts w:hint="eastAsia" w:ascii="宋体" w:hAnsi="宋体" w:cs="宋体"/>
          <w:b/>
          <w:color w:val="auto"/>
          <w:kern w:val="0"/>
          <w:sz w:val="32"/>
          <w:szCs w:val="32"/>
          <w:highlight w:val="none"/>
        </w:rPr>
      </w:pPr>
    </w:p>
    <w:p w14:paraId="57DC37D9">
      <w:pPr>
        <w:snapToGrid w:val="0"/>
        <w:spacing w:line="360" w:lineRule="auto"/>
        <w:ind w:right="480"/>
        <w:jc w:val="center"/>
        <w:rPr>
          <w:rFonts w:hint="eastAsia" w:ascii="宋体" w:hAnsi="宋体" w:cs="宋体"/>
          <w:b/>
          <w:color w:val="auto"/>
          <w:kern w:val="0"/>
          <w:sz w:val="32"/>
          <w:szCs w:val="32"/>
          <w:highlight w:val="none"/>
        </w:rPr>
      </w:pPr>
    </w:p>
    <w:p w14:paraId="1FB1A6C2">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3F1E0CC">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149D16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杭州市卫生健康事业发展中心、浙江省成套招标代理有限公司</w:t>
      </w:r>
      <w:r>
        <w:rPr>
          <w:rFonts w:hint="eastAsia" w:ascii="宋体" w:hAnsi="宋体" w:cs="宋体"/>
          <w:color w:val="auto"/>
          <w:kern w:val="0"/>
          <w:sz w:val="24"/>
          <w:highlight w:val="none"/>
          <w:lang w:val="zh-CN"/>
        </w:rPr>
        <w:t>：</w:t>
      </w:r>
    </w:p>
    <w:p w14:paraId="07F3D183">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杭州市第四人民医院（杭州市肿瘤医院）迁建工程BIM技术咨询服务项目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CTZB-2025010383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FB947B0">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31"/>
        <w:gridCol w:w="1276"/>
        <w:gridCol w:w="1701"/>
        <w:gridCol w:w="1530"/>
        <w:gridCol w:w="2126"/>
        <w:gridCol w:w="2127"/>
        <w:gridCol w:w="2126"/>
      </w:tblGrid>
      <w:tr w14:paraId="01EE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17" w:type="dxa"/>
            <w:vAlign w:val="center"/>
          </w:tcPr>
          <w:p w14:paraId="71FFF9A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3431" w:type="dxa"/>
            <w:vAlign w:val="center"/>
          </w:tcPr>
          <w:p w14:paraId="04193B2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276" w:type="dxa"/>
            <w:vAlign w:val="center"/>
          </w:tcPr>
          <w:p w14:paraId="56FFCB6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701" w:type="dxa"/>
            <w:vAlign w:val="center"/>
          </w:tcPr>
          <w:p w14:paraId="2E2AB55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1530" w:type="dxa"/>
            <w:vAlign w:val="center"/>
          </w:tcPr>
          <w:p w14:paraId="377A8CD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378DDB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center"/>
          </w:tcPr>
          <w:p w14:paraId="7EDF246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1854D2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分项报价明细</w:t>
            </w:r>
          </w:p>
        </w:tc>
      </w:tr>
      <w:tr w14:paraId="5406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A94D578">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1</w:t>
            </w:r>
          </w:p>
        </w:tc>
        <w:tc>
          <w:tcPr>
            <w:tcW w:w="3431" w:type="dxa"/>
            <w:shd w:val="clear" w:color="auto" w:fill="auto"/>
            <w:vAlign w:val="center"/>
          </w:tcPr>
          <w:p w14:paraId="7ACE3109">
            <w:pPr>
              <w:snapToGrid w:val="0"/>
              <w:spacing w:line="360" w:lineRule="auto"/>
              <w:jc w:val="center"/>
              <w:rPr>
                <w:rFonts w:hint="eastAsia" w:ascii="仿宋" w:hAnsi="仿宋" w:eastAsia="仿宋" w:cs="仿宋"/>
                <w:color w:val="auto"/>
                <w:kern w:val="0"/>
                <w:sz w:val="24"/>
                <w:highlight w:val="none"/>
              </w:rPr>
            </w:pPr>
          </w:p>
        </w:tc>
        <w:tc>
          <w:tcPr>
            <w:tcW w:w="1276" w:type="dxa"/>
            <w:vAlign w:val="center"/>
          </w:tcPr>
          <w:p w14:paraId="533C324F">
            <w:pPr>
              <w:snapToGrid w:val="0"/>
              <w:spacing w:line="360" w:lineRule="auto"/>
              <w:jc w:val="center"/>
              <w:rPr>
                <w:rFonts w:hint="eastAsia" w:ascii="宋体" w:hAnsi="宋体" w:cs="宋体"/>
                <w:color w:val="auto"/>
                <w:sz w:val="24"/>
                <w:highlight w:val="none"/>
              </w:rPr>
            </w:pPr>
          </w:p>
        </w:tc>
        <w:tc>
          <w:tcPr>
            <w:tcW w:w="1701" w:type="dxa"/>
            <w:vAlign w:val="center"/>
          </w:tcPr>
          <w:p w14:paraId="4762ED45">
            <w:pPr>
              <w:snapToGrid w:val="0"/>
              <w:spacing w:line="360" w:lineRule="auto"/>
              <w:jc w:val="center"/>
              <w:rPr>
                <w:rFonts w:hint="eastAsia" w:ascii="宋体" w:hAnsi="宋体" w:cs="宋体"/>
                <w:color w:val="auto"/>
                <w:sz w:val="24"/>
                <w:highlight w:val="none"/>
              </w:rPr>
            </w:pPr>
          </w:p>
        </w:tc>
        <w:tc>
          <w:tcPr>
            <w:tcW w:w="1530" w:type="dxa"/>
            <w:vAlign w:val="center"/>
          </w:tcPr>
          <w:p w14:paraId="39355179">
            <w:pPr>
              <w:snapToGrid w:val="0"/>
              <w:spacing w:line="360" w:lineRule="auto"/>
              <w:jc w:val="center"/>
              <w:rPr>
                <w:rFonts w:hint="eastAsia" w:ascii="宋体" w:hAnsi="宋体" w:cs="宋体"/>
                <w:color w:val="auto"/>
                <w:sz w:val="24"/>
                <w:highlight w:val="none"/>
              </w:rPr>
            </w:pPr>
          </w:p>
        </w:tc>
        <w:tc>
          <w:tcPr>
            <w:tcW w:w="2126" w:type="dxa"/>
            <w:vAlign w:val="center"/>
          </w:tcPr>
          <w:p w14:paraId="4D836DE4">
            <w:pPr>
              <w:spacing w:line="360" w:lineRule="auto"/>
              <w:jc w:val="center"/>
              <w:rPr>
                <w:rFonts w:hint="eastAsia" w:ascii="宋体" w:hAnsi="宋体" w:cs="宋体"/>
                <w:color w:val="auto"/>
                <w:sz w:val="24"/>
                <w:highlight w:val="none"/>
              </w:rPr>
            </w:pPr>
          </w:p>
        </w:tc>
        <w:tc>
          <w:tcPr>
            <w:tcW w:w="2127" w:type="dxa"/>
            <w:vAlign w:val="center"/>
          </w:tcPr>
          <w:p w14:paraId="461BA2FD">
            <w:pPr>
              <w:spacing w:line="360" w:lineRule="auto"/>
              <w:jc w:val="center"/>
              <w:rPr>
                <w:rFonts w:hint="eastAsia" w:ascii="宋体" w:hAnsi="宋体" w:cs="宋体"/>
                <w:color w:val="auto"/>
                <w:sz w:val="24"/>
                <w:highlight w:val="none"/>
              </w:rPr>
            </w:pPr>
          </w:p>
        </w:tc>
        <w:tc>
          <w:tcPr>
            <w:tcW w:w="2126" w:type="dxa"/>
            <w:vAlign w:val="center"/>
          </w:tcPr>
          <w:p w14:paraId="2D48919D">
            <w:pPr>
              <w:spacing w:line="360" w:lineRule="auto"/>
              <w:jc w:val="center"/>
              <w:rPr>
                <w:rFonts w:hint="eastAsia" w:ascii="宋体" w:hAnsi="宋体" w:cs="宋体"/>
                <w:color w:val="auto"/>
                <w:sz w:val="24"/>
                <w:highlight w:val="none"/>
              </w:rPr>
            </w:pPr>
          </w:p>
        </w:tc>
      </w:tr>
      <w:tr w14:paraId="78AA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002657">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2</w:t>
            </w:r>
          </w:p>
        </w:tc>
        <w:tc>
          <w:tcPr>
            <w:tcW w:w="3431" w:type="dxa"/>
            <w:shd w:val="clear" w:color="auto" w:fill="auto"/>
            <w:vAlign w:val="center"/>
          </w:tcPr>
          <w:p w14:paraId="62CB8F80">
            <w:pPr>
              <w:snapToGrid w:val="0"/>
              <w:spacing w:line="360" w:lineRule="auto"/>
              <w:jc w:val="center"/>
              <w:rPr>
                <w:rFonts w:hint="eastAsia" w:ascii="仿宋" w:hAnsi="仿宋" w:eastAsia="仿宋" w:cs="仿宋"/>
                <w:color w:val="auto"/>
                <w:kern w:val="0"/>
                <w:sz w:val="24"/>
                <w:highlight w:val="none"/>
              </w:rPr>
            </w:pPr>
          </w:p>
        </w:tc>
        <w:tc>
          <w:tcPr>
            <w:tcW w:w="1276" w:type="dxa"/>
            <w:vAlign w:val="center"/>
          </w:tcPr>
          <w:p w14:paraId="364D0EAC">
            <w:pPr>
              <w:snapToGrid w:val="0"/>
              <w:spacing w:line="360" w:lineRule="auto"/>
              <w:jc w:val="center"/>
              <w:rPr>
                <w:rFonts w:hint="eastAsia" w:ascii="宋体" w:hAnsi="宋体" w:cs="宋体"/>
                <w:color w:val="auto"/>
                <w:sz w:val="24"/>
                <w:highlight w:val="none"/>
              </w:rPr>
            </w:pPr>
          </w:p>
        </w:tc>
        <w:tc>
          <w:tcPr>
            <w:tcW w:w="1701" w:type="dxa"/>
            <w:vAlign w:val="center"/>
          </w:tcPr>
          <w:p w14:paraId="4538A8E9">
            <w:pPr>
              <w:snapToGrid w:val="0"/>
              <w:spacing w:line="360" w:lineRule="auto"/>
              <w:jc w:val="center"/>
              <w:rPr>
                <w:rFonts w:hint="eastAsia" w:ascii="宋体" w:hAnsi="宋体" w:cs="宋体"/>
                <w:color w:val="auto"/>
                <w:sz w:val="24"/>
                <w:highlight w:val="none"/>
              </w:rPr>
            </w:pPr>
          </w:p>
        </w:tc>
        <w:tc>
          <w:tcPr>
            <w:tcW w:w="1530" w:type="dxa"/>
            <w:vAlign w:val="center"/>
          </w:tcPr>
          <w:p w14:paraId="29B4D6FA">
            <w:pPr>
              <w:snapToGrid w:val="0"/>
              <w:spacing w:line="360" w:lineRule="auto"/>
              <w:jc w:val="center"/>
              <w:rPr>
                <w:rFonts w:hint="eastAsia" w:ascii="宋体" w:hAnsi="宋体" w:cs="宋体"/>
                <w:color w:val="auto"/>
                <w:sz w:val="24"/>
                <w:highlight w:val="none"/>
              </w:rPr>
            </w:pPr>
          </w:p>
        </w:tc>
        <w:tc>
          <w:tcPr>
            <w:tcW w:w="2126" w:type="dxa"/>
            <w:vAlign w:val="center"/>
          </w:tcPr>
          <w:p w14:paraId="19A7F09E">
            <w:pPr>
              <w:spacing w:line="360" w:lineRule="auto"/>
              <w:jc w:val="center"/>
              <w:rPr>
                <w:rFonts w:hint="eastAsia" w:ascii="宋体" w:hAnsi="宋体" w:cs="宋体"/>
                <w:color w:val="auto"/>
                <w:sz w:val="24"/>
                <w:highlight w:val="none"/>
              </w:rPr>
            </w:pPr>
          </w:p>
        </w:tc>
        <w:tc>
          <w:tcPr>
            <w:tcW w:w="2127" w:type="dxa"/>
            <w:vAlign w:val="center"/>
          </w:tcPr>
          <w:p w14:paraId="5AC68EED">
            <w:pPr>
              <w:spacing w:line="360" w:lineRule="auto"/>
              <w:jc w:val="center"/>
              <w:rPr>
                <w:rFonts w:hint="eastAsia" w:ascii="宋体" w:hAnsi="宋体" w:cs="宋体"/>
                <w:color w:val="auto"/>
                <w:sz w:val="24"/>
                <w:highlight w:val="none"/>
              </w:rPr>
            </w:pPr>
          </w:p>
        </w:tc>
        <w:tc>
          <w:tcPr>
            <w:tcW w:w="2126" w:type="dxa"/>
            <w:vAlign w:val="center"/>
          </w:tcPr>
          <w:p w14:paraId="0E65F66A">
            <w:pPr>
              <w:spacing w:line="360" w:lineRule="auto"/>
              <w:jc w:val="center"/>
              <w:rPr>
                <w:rFonts w:hint="eastAsia" w:ascii="宋体" w:hAnsi="宋体" w:cs="宋体"/>
                <w:color w:val="auto"/>
                <w:sz w:val="24"/>
                <w:highlight w:val="none"/>
              </w:rPr>
            </w:pPr>
          </w:p>
        </w:tc>
      </w:tr>
      <w:tr w14:paraId="0DE0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1CEAB4">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3</w:t>
            </w:r>
          </w:p>
        </w:tc>
        <w:tc>
          <w:tcPr>
            <w:tcW w:w="3431" w:type="dxa"/>
            <w:shd w:val="clear" w:color="auto" w:fill="auto"/>
            <w:vAlign w:val="center"/>
          </w:tcPr>
          <w:p w14:paraId="0064D622">
            <w:pPr>
              <w:snapToGrid w:val="0"/>
              <w:spacing w:line="360" w:lineRule="auto"/>
              <w:jc w:val="center"/>
              <w:rPr>
                <w:rFonts w:hint="eastAsia" w:ascii="仿宋" w:hAnsi="仿宋" w:eastAsia="仿宋" w:cs="仿宋"/>
                <w:color w:val="auto"/>
                <w:kern w:val="0"/>
                <w:sz w:val="24"/>
                <w:highlight w:val="none"/>
              </w:rPr>
            </w:pPr>
          </w:p>
        </w:tc>
        <w:tc>
          <w:tcPr>
            <w:tcW w:w="1276" w:type="dxa"/>
            <w:vAlign w:val="center"/>
          </w:tcPr>
          <w:p w14:paraId="3777888E">
            <w:pPr>
              <w:snapToGrid w:val="0"/>
              <w:spacing w:line="360" w:lineRule="auto"/>
              <w:jc w:val="center"/>
              <w:rPr>
                <w:rFonts w:hint="eastAsia" w:ascii="宋体" w:hAnsi="宋体" w:cs="宋体"/>
                <w:color w:val="auto"/>
                <w:sz w:val="24"/>
                <w:highlight w:val="none"/>
              </w:rPr>
            </w:pPr>
          </w:p>
        </w:tc>
        <w:tc>
          <w:tcPr>
            <w:tcW w:w="1701" w:type="dxa"/>
            <w:vAlign w:val="center"/>
          </w:tcPr>
          <w:p w14:paraId="7FBE7DE2">
            <w:pPr>
              <w:snapToGrid w:val="0"/>
              <w:spacing w:line="360" w:lineRule="auto"/>
              <w:jc w:val="center"/>
              <w:rPr>
                <w:rFonts w:hint="eastAsia" w:ascii="宋体" w:hAnsi="宋体" w:cs="宋体"/>
                <w:color w:val="auto"/>
                <w:sz w:val="24"/>
                <w:highlight w:val="none"/>
              </w:rPr>
            </w:pPr>
          </w:p>
        </w:tc>
        <w:tc>
          <w:tcPr>
            <w:tcW w:w="1530" w:type="dxa"/>
            <w:vAlign w:val="center"/>
          </w:tcPr>
          <w:p w14:paraId="49F04E92">
            <w:pPr>
              <w:snapToGrid w:val="0"/>
              <w:spacing w:line="360" w:lineRule="auto"/>
              <w:jc w:val="center"/>
              <w:rPr>
                <w:rFonts w:hint="eastAsia" w:ascii="宋体" w:hAnsi="宋体" w:cs="宋体"/>
                <w:color w:val="auto"/>
                <w:sz w:val="24"/>
                <w:highlight w:val="none"/>
              </w:rPr>
            </w:pPr>
          </w:p>
        </w:tc>
        <w:tc>
          <w:tcPr>
            <w:tcW w:w="2126" w:type="dxa"/>
            <w:vAlign w:val="center"/>
          </w:tcPr>
          <w:p w14:paraId="23032077">
            <w:pPr>
              <w:spacing w:line="360" w:lineRule="auto"/>
              <w:jc w:val="center"/>
              <w:rPr>
                <w:rFonts w:hint="eastAsia" w:ascii="宋体" w:hAnsi="宋体" w:cs="宋体"/>
                <w:color w:val="auto"/>
                <w:sz w:val="24"/>
                <w:highlight w:val="none"/>
              </w:rPr>
            </w:pPr>
          </w:p>
        </w:tc>
        <w:tc>
          <w:tcPr>
            <w:tcW w:w="2127" w:type="dxa"/>
            <w:vAlign w:val="center"/>
          </w:tcPr>
          <w:p w14:paraId="4A013E83">
            <w:pPr>
              <w:spacing w:line="360" w:lineRule="auto"/>
              <w:jc w:val="center"/>
              <w:rPr>
                <w:rFonts w:hint="eastAsia" w:ascii="宋体" w:hAnsi="宋体" w:cs="宋体"/>
                <w:color w:val="auto"/>
                <w:sz w:val="24"/>
                <w:highlight w:val="none"/>
              </w:rPr>
            </w:pPr>
          </w:p>
        </w:tc>
        <w:tc>
          <w:tcPr>
            <w:tcW w:w="2126" w:type="dxa"/>
            <w:vAlign w:val="center"/>
          </w:tcPr>
          <w:p w14:paraId="2CC7F3CB">
            <w:pPr>
              <w:spacing w:line="360" w:lineRule="auto"/>
              <w:jc w:val="center"/>
              <w:rPr>
                <w:rFonts w:hint="eastAsia" w:ascii="宋体" w:hAnsi="宋体" w:cs="宋体"/>
                <w:color w:val="auto"/>
                <w:sz w:val="24"/>
                <w:highlight w:val="none"/>
              </w:rPr>
            </w:pPr>
          </w:p>
        </w:tc>
      </w:tr>
      <w:tr w14:paraId="6F65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EE9A23">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4</w:t>
            </w:r>
          </w:p>
        </w:tc>
        <w:tc>
          <w:tcPr>
            <w:tcW w:w="3431" w:type="dxa"/>
            <w:shd w:val="clear" w:color="auto" w:fill="auto"/>
            <w:vAlign w:val="center"/>
          </w:tcPr>
          <w:p w14:paraId="749C2DD8">
            <w:pPr>
              <w:snapToGrid w:val="0"/>
              <w:spacing w:line="360" w:lineRule="auto"/>
              <w:jc w:val="center"/>
              <w:rPr>
                <w:rFonts w:hint="eastAsia" w:ascii="仿宋" w:hAnsi="仿宋" w:eastAsia="仿宋" w:cs="仿宋"/>
                <w:color w:val="auto"/>
                <w:kern w:val="0"/>
                <w:sz w:val="24"/>
                <w:highlight w:val="none"/>
              </w:rPr>
            </w:pPr>
          </w:p>
        </w:tc>
        <w:tc>
          <w:tcPr>
            <w:tcW w:w="1276" w:type="dxa"/>
            <w:vAlign w:val="center"/>
          </w:tcPr>
          <w:p w14:paraId="26979E7F">
            <w:pPr>
              <w:snapToGrid w:val="0"/>
              <w:spacing w:line="360" w:lineRule="auto"/>
              <w:jc w:val="center"/>
              <w:rPr>
                <w:rFonts w:hint="eastAsia" w:ascii="宋体" w:hAnsi="宋体" w:cs="宋体"/>
                <w:color w:val="auto"/>
                <w:sz w:val="24"/>
                <w:highlight w:val="none"/>
              </w:rPr>
            </w:pPr>
          </w:p>
        </w:tc>
        <w:tc>
          <w:tcPr>
            <w:tcW w:w="1701" w:type="dxa"/>
            <w:vAlign w:val="center"/>
          </w:tcPr>
          <w:p w14:paraId="21A83EB0">
            <w:pPr>
              <w:snapToGrid w:val="0"/>
              <w:spacing w:line="360" w:lineRule="auto"/>
              <w:jc w:val="center"/>
              <w:rPr>
                <w:rFonts w:hint="eastAsia" w:ascii="宋体" w:hAnsi="宋体" w:cs="宋体"/>
                <w:color w:val="auto"/>
                <w:sz w:val="24"/>
                <w:highlight w:val="none"/>
              </w:rPr>
            </w:pPr>
          </w:p>
        </w:tc>
        <w:tc>
          <w:tcPr>
            <w:tcW w:w="1530" w:type="dxa"/>
            <w:vAlign w:val="center"/>
          </w:tcPr>
          <w:p w14:paraId="4E79A387">
            <w:pPr>
              <w:snapToGrid w:val="0"/>
              <w:spacing w:line="360" w:lineRule="auto"/>
              <w:jc w:val="center"/>
              <w:rPr>
                <w:rFonts w:hint="eastAsia" w:ascii="宋体" w:hAnsi="宋体" w:cs="宋体"/>
                <w:color w:val="auto"/>
                <w:sz w:val="24"/>
                <w:highlight w:val="none"/>
              </w:rPr>
            </w:pPr>
          </w:p>
        </w:tc>
        <w:tc>
          <w:tcPr>
            <w:tcW w:w="2126" w:type="dxa"/>
            <w:vAlign w:val="center"/>
          </w:tcPr>
          <w:p w14:paraId="2B8357B9">
            <w:pPr>
              <w:spacing w:line="360" w:lineRule="auto"/>
              <w:jc w:val="center"/>
              <w:rPr>
                <w:rFonts w:hint="eastAsia" w:ascii="宋体" w:hAnsi="宋体" w:cs="宋体"/>
                <w:color w:val="auto"/>
                <w:sz w:val="24"/>
                <w:highlight w:val="none"/>
              </w:rPr>
            </w:pPr>
          </w:p>
        </w:tc>
        <w:tc>
          <w:tcPr>
            <w:tcW w:w="2127" w:type="dxa"/>
            <w:vAlign w:val="center"/>
          </w:tcPr>
          <w:p w14:paraId="68C91A56">
            <w:pPr>
              <w:spacing w:line="360" w:lineRule="auto"/>
              <w:jc w:val="center"/>
              <w:rPr>
                <w:rFonts w:hint="eastAsia" w:ascii="宋体" w:hAnsi="宋体" w:cs="宋体"/>
                <w:color w:val="auto"/>
                <w:sz w:val="24"/>
                <w:highlight w:val="none"/>
              </w:rPr>
            </w:pPr>
          </w:p>
        </w:tc>
        <w:tc>
          <w:tcPr>
            <w:tcW w:w="2126" w:type="dxa"/>
            <w:vAlign w:val="center"/>
          </w:tcPr>
          <w:p w14:paraId="0604560C">
            <w:pPr>
              <w:spacing w:line="360" w:lineRule="auto"/>
              <w:jc w:val="center"/>
              <w:rPr>
                <w:rFonts w:hint="eastAsia" w:ascii="宋体" w:hAnsi="宋体" w:cs="宋体"/>
                <w:color w:val="auto"/>
                <w:sz w:val="24"/>
                <w:highlight w:val="none"/>
              </w:rPr>
            </w:pPr>
          </w:p>
        </w:tc>
      </w:tr>
      <w:tr w14:paraId="2FE0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921C82">
            <w:pPr>
              <w:spacing w:line="360" w:lineRule="auto"/>
              <w:jc w:val="center"/>
              <w:rPr>
                <w:rFonts w:hint="eastAsia" w:ascii="宋体" w:hAnsi="宋体" w:cs="宋体"/>
                <w:color w:val="auto"/>
                <w:sz w:val="24"/>
                <w:highlight w:val="none"/>
              </w:rPr>
            </w:pPr>
            <w:r>
              <w:rPr>
                <w:rFonts w:ascii="宋体" w:hAnsi="宋体" w:cs="宋体"/>
                <w:color w:val="auto"/>
                <w:sz w:val="24"/>
                <w:highlight w:val="none"/>
              </w:rPr>
              <w:t>…</w:t>
            </w:r>
          </w:p>
        </w:tc>
        <w:tc>
          <w:tcPr>
            <w:tcW w:w="3431" w:type="dxa"/>
            <w:vAlign w:val="center"/>
          </w:tcPr>
          <w:p w14:paraId="365C7886">
            <w:pPr>
              <w:snapToGrid w:val="0"/>
              <w:spacing w:line="360" w:lineRule="auto"/>
              <w:jc w:val="center"/>
              <w:rPr>
                <w:rFonts w:hint="eastAsia" w:ascii="宋体" w:hAnsi="宋体" w:cs="仿宋"/>
                <w:color w:val="auto"/>
                <w:kern w:val="0"/>
                <w:sz w:val="24"/>
                <w:highlight w:val="none"/>
                <w:lang w:bidi="ar"/>
              </w:rPr>
            </w:pPr>
            <w:r>
              <w:rPr>
                <w:rFonts w:ascii="宋体" w:hAnsi="宋体" w:cs="仿宋"/>
                <w:color w:val="auto"/>
                <w:kern w:val="0"/>
                <w:sz w:val="24"/>
                <w:highlight w:val="none"/>
                <w:lang w:bidi="ar"/>
              </w:rPr>
              <w:t>………</w:t>
            </w:r>
          </w:p>
        </w:tc>
        <w:tc>
          <w:tcPr>
            <w:tcW w:w="1276" w:type="dxa"/>
            <w:vAlign w:val="center"/>
          </w:tcPr>
          <w:p w14:paraId="14888998">
            <w:pPr>
              <w:snapToGrid w:val="0"/>
              <w:spacing w:line="360" w:lineRule="auto"/>
              <w:jc w:val="center"/>
              <w:rPr>
                <w:rFonts w:hint="eastAsia" w:ascii="宋体" w:hAnsi="宋体" w:cs="宋体"/>
                <w:color w:val="auto"/>
                <w:sz w:val="24"/>
                <w:highlight w:val="none"/>
              </w:rPr>
            </w:pPr>
          </w:p>
        </w:tc>
        <w:tc>
          <w:tcPr>
            <w:tcW w:w="1701" w:type="dxa"/>
            <w:vAlign w:val="center"/>
          </w:tcPr>
          <w:p w14:paraId="551348AF">
            <w:pPr>
              <w:snapToGrid w:val="0"/>
              <w:spacing w:line="360" w:lineRule="auto"/>
              <w:jc w:val="center"/>
              <w:rPr>
                <w:rFonts w:hint="eastAsia" w:ascii="宋体" w:hAnsi="宋体" w:cs="宋体"/>
                <w:color w:val="auto"/>
                <w:sz w:val="24"/>
                <w:highlight w:val="none"/>
              </w:rPr>
            </w:pPr>
          </w:p>
        </w:tc>
        <w:tc>
          <w:tcPr>
            <w:tcW w:w="1530" w:type="dxa"/>
            <w:vAlign w:val="center"/>
          </w:tcPr>
          <w:p w14:paraId="5FD851D1">
            <w:pPr>
              <w:snapToGrid w:val="0"/>
              <w:spacing w:line="360" w:lineRule="auto"/>
              <w:jc w:val="center"/>
              <w:rPr>
                <w:rFonts w:hint="eastAsia" w:ascii="宋体" w:hAnsi="宋体" w:cs="宋体"/>
                <w:color w:val="auto"/>
                <w:sz w:val="24"/>
                <w:highlight w:val="none"/>
              </w:rPr>
            </w:pPr>
          </w:p>
        </w:tc>
        <w:tc>
          <w:tcPr>
            <w:tcW w:w="2126" w:type="dxa"/>
            <w:vAlign w:val="center"/>
          </w:tcPr>
          <w:p w14:paraId="08C79C84">
            <w:pPr>
              <w:spacing w:line="360" w:lineRule="auto"/>
              <w:jc w:val="center"/>
              <w:rPr>
                <w:rFonts w:hint="eastAsia" w:ascii="宋体" w:hAnsi="宋体" w:cs="宋体"/>
                <w:color w:val="auto"/>
                <w:sz w:val="24"/>
                <w:highlight w:val="none"/>
              </w:rPr>
            </w:pPr>
          </w:p>
        </w:tc>
        <w:tc>
          <w:tcPr>
            <w:tcW w:w="2127" w:type="dxa"/>
            <w:vAlign w:val="center"/>
          </w:tcPr>
          <w:p w14:paraId="6CCC2268">
            <w:pPr>
              <w:spacing w:line="360" w:lineRule="auto"/>
              <w:jc w:val="center"/>
              <w:rPr>
                <w:rFonts w:hint="eastAsia" w:ascii="宋体" w:hAnsi="宋体" w:cs="宋体"/>
                <w:color w:val="auto"/>
                <w:sz w:val="24"/>
                <w:highlight w:val="none"/>
              </w:rPr>
            </w:pPr>
          </w:p>
        </w:tc>
        <w:tc>
          <w:tcPr>
            <w:tcW w:w="2126" w:type="dxa"/>
            <w:vAlign w:val="center"/>
          </w:tcPr>
          <w:p w14:paraId="6E50E14C">
            <w:pPr>
              <w:spacing w:line="360" w:lineRule="auto"/>
              <w:jc w:val="center"/>
              <w:rPr>
                <w:rFonts w:hint="eastAsia" w:ascii="宋体" w:hAnsi="宋体" w:cs="宋体"/>
                <w:color w:val="auto"/>
                <w:sz w:val="24"/>
                <w:highlight w:val="none"/>
              </w:rPr>
            </w:pPr>
          </w:p>
        </w:tc>
      </w:tr>
      <w:tr w14:paraId="3CE4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225" w:type="dxa"/>
            <w:gridSpan w:val="4"/>
            <w:vAlign w:val="center"/>
          </w:tcPr>
          <w:p w14:paraId="3FABD31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909" w:type="dxa"/>
            <w:gridSpan w:val="4"/>
            <w:vAlign w:val="center"/>
          </w:tcPr>
          <w:p w14:paraId="3DCEAD8B">
            <w:pPr>
              <w:spacing w:line="360" w:lineRule="auto"/>
              <w:jc w:val="center"/>
              <w:rPr>
                <w:rFonts w:hint="eastAsia" w:ascii="宋体" w:hAnsi="宋体" w:cs="宋体"/>
                <w:color w:val="auto"/>
                <w:sz w:val="24"/>
                <w:highlight w:val="none"/>
              </w:rPr>
            </w:pPr>
          </w:p>
        </w:tc>
      </w:tr>
      <w:tr w14:paraId="061D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25" w:type="dxa"/>
            <w:gridSpan w:val="4"/>
            <w:vAlign w:val="center"/>
          </w:tcPr>
          <w:p w14:paraId="23711F3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909" w:type="dxa"/>
            <w:gridSpan w:val="4"/>
            <w:vAlign w:val="center"/>
          </w:tcPr>
          <w:p w14:paraId="45C733DB">
            <w:pPr>
              <w:spacing w:line="360" w:lineRule="auto"/>
              <w:jc w:val="center"/>
              <w:rPr>
                <w:rFonts w:hint="eastAsia" w:ascii="宋体" w:hAnsi="宋体" w:cs="宋体"/>
                <w:color w:val="auto"/>
                <w:sz w:val="24"/>
                <w:highlight w:val="none"/>
              </w:rPr>
            </w:pPr>
          </w:p>
        </w:tc>
      </w:tr>
      <w:tr w14:paraId="4A2A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25" w:type="dxa"/>
            <w:gridSpan w:val="4"/>
            <w:vAlign w:val="center"/>
          </w:tcPr>
          <w:p w14:paraId="2B0ECE9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增值税税率</w:t>
            </w:r>
          </w:p>
        </w:tc>
        <w:tc>
          <w:tcPr>
            <w:tcW w:w="7909" w:type="dxa"/>
            <w:gridSpan w:val="4"/>
            <w:vAlign w:val="center"/>
          </w:tcPr>
          <w:p w14:paraId="72192843">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%（由投标人依据相关法规规定并根据本单位实际情况填写）</w:t>
            </w:r>
          </w:p>
        </w:tc>
      </w:tr>
    </w:tbl>
    <w:p w14:paraId="5AA15A25">
      <w:pPr>
        <w:autoSpaceDE w:val="0"/>
        <w:autoSpaceDN w:val="0"/>
        <w:spacing w:line="360" w:lineRule="auto"/>
        <w:ind w:left="2" w:leftChars="1" w:right="1120" w:firstLine="9120" w:firstLineChars="38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B0C164E">
      <w:pPr>
        <w:spacing w:line="360" w:lineRule="auto"/>
        <w:ind w:left="4620" w:leftChars="2200" w:firstLine="4560" w:firstLineChars="19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9C09883">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CA79BE8">
      <w:pPr>
        <w:spacing w:line="360" w:lineRule="auto"/>
        <w:ind w:left="-2" w:leftChars="-1" w:firstLine="482" w:firstLineChars="200"/>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lang w:val="zh-CN"/>
        </w:rPr>
        <w:t>1.</w:t>
      </w:r>
      <w:r>
        <w:rPr>
          <w:rFonts w:hint="eastAsia" w:ascii="宋体" w:hAnsi="宋体" w:cs="宋体"/>
          <w:color w:val="auto"/>
          <w:kern w:val="0"/>
          <w:sz w:val="24"/>
          <w:highlight w:val="none"/>
          <w:lang w:val="zh-CN"/>
        </w:rPr>
        <w:t>投标人需按本表格式填写（以上实际方案中如有细化，请细化报价明细，如无，则按大框架填写）。</w:t>
      </w:r>
    </w:p>
    <w:p w14:paraId="1514BD3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7ACC292">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19B14D15">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1E6E3A3">
      <w:pPr>
        <w:spacing w:line="360" w:lineRule="auto"/>
        <w:ind w:firstLine="482" w:firstLineChars="200"/>
        <w:rPr>
          <w:rFonts w:hint="eastAsia" w:ascii="宋体" w:hAnsi="宋体" w:cs="宋体"/>
          <w:b/>
          <w:color w:val="auto"/>
          <w:kern w:val="0"/>
          <w:sz w:val="24"/>
          <w:highlight w:val="none"/>
        </w:rPr>
      </w:pPr>
    </w:p>
    <w:p w14:paraId="51B7C938">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DF7FA7C">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579" w:left="1276" w:header="851" w:footer="340" w:gutter="0"/>
          <w:cols w:space="720" w:num="1"/>
          <w:titlePg/>
          <w:docGrid w:linePitch="312" w:charSpace="0"/>
        </w:sectPr>
      </w:pPr>
    </w:p>
    <w:p w14:paraId="67D6BD9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32"/>
          <w:szCs w:val="32"/>
          <w:highlight w:val="none"/>
        </w:rPr>
        <w:t>二、报价情况说明</w:t>
      </w:r>
    </w:p>
    <w:p w14:paraId="34339016">
      <w:pPr>
        <w:snapToGrid w:val="0"/>
        <w:spacing w:before="120" w:after="120"/>
        <w:ind w:firstLine="643"/>
        <w:rPr>
          <w:rFonts w:hint="eastAsia" w:ascii="宋体" w:hAnsi="宋体" w:cs="宋体"/>
          <w:color w:val="auto"/>
          <w:sz w:val="32"/>
          <w:szCs w:val="32"/>
          <w:highlight w:val="none"/>
        </w:rPr>
      </w:pPr>
      <w:r>
        <w:rPr>
          <w:rFonts w:hint="eastAsia" w:ascii="宋体" w:hAnsi="宋体" w:cs="宋体"/>
          <w:color w:val="auto"/>
          <w:sz w:val="24"/>
          <w:highlight w:val="none"/>
        </w:rPr>
        <w:t>如投标人报价低于项目预算50%的，应当提交本文档，详细阐述不影响产品质量或者诚信履约的具体原因</w:t>
      </w:r>
    </w:p>
    <w:p w14:paraId="392B741C">
      <w:pPr>
        <w:snapToGrid w:val="0"/>
        <w:spacing w:before="120" w:after="120"/>
        <w:ind w:firstLine="643"/>
        <w:rPr>
          <w:rFonts w:hint="eastAsia" w:ascii="宋体" w:hAnsi="宋体" w:cs="宋体"/>
          <w:color w:val="auto"/>
          <w:sz w:val="32"/>
          <w:szCs w:val="32"/>
          <w:highlight w:val="none"/>
        </w:rPr>
      </w:pPr>
      <w:r>
        <w:rPr>
          <w:rFonts w:ascii="宋体" w:hAnsi="宋体" w:cs="宋体"/>
          <w:color w:val="auto"/>
          <w:sz w:val="32"/>
          <w:szCs w:val="32"/>
          <w:highlight w:val="none"/>
        </w:rPr>
        <w:br w:type="page"/>
      </w:r>
    </w:p>
    <w:p w14:paraId="53122106">
      <w:pPr>
        <w:pStyle w:val="3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7989CEA0">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6C8BC19">
      <w:pPr>
        <w:pStyle w:val="3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DE4DB2E">
      <w:pPr>
        <w:spacing w:line="360" w:lineRule="auto"/>
        <w:ind w:right="420" w:firstLine="3614" w:firstLineChars="1000"/>
        <w:rPr>
          <w:rFonts w:hint="eastAsia" w:ascii="宋体" w:hAnsi="宋体" w:cs="宋体"/>
          <w:b/>
          <w:color w:val="auto"/>
          <w:kern w:val="0"/>
          <w:sz w:val="36"/>
          <w:szCs w:val="36"/>
          <w:highlight w:val="none"/>
        </w:rPr>
      </w:pPr>
    </w:p>
    <w:p w14:paraId="5FB95438">
      <w:pPr>
        <w:spacing w:line="360" w:lineRule="auto"/>
        <w:ind w:right="420" w:firstLine="3614" w:firstLineChars="1000"/>
        <w:rPr>
          <w:rFonts w:hint="eastAsia" w:ascii="宋体" w:hAnsi="宋体" w:cs="宋体"/>
          <w:b/>
          <w:color w:val="auto"/>
          <w:kern w:val="0"/>
          <w:sz w:val="36"/>
          <w:szCs w:val="36"/>
          <w:highlight w:val="none"/>
        </w:rPr>
      </w:pPr>
    </w:p>
    <w:p w14:paraId="63E0C062">
      <w:pPr>
        <w:spacing w:line="360" w:lineRule="auto"/>
        <w:ind w:right="420" w:firstLine="3614" w:firstLineChars="1000"/>
        <w:rPr>
          <w:rFonts w:hint="eastAsia" w:ascii="宋体" w:hAnsi="宋体" w:cs="宋体"/>
          <w:b/>
          <w:color w:val="auto"/>
          <w:kern w:val="0"/>
          <w:sz w:val="36"/>
          <w:szCs w:val="36"/>
          <w:highlight w:val="none"/>
        </w:rPr>
      </w:pPr>
    </w:p>
    <w:p w14:paraId="404159DA">
      <w:pPr>
        <w:spacing w:line="360" w:lineRule="auto"/>
        <w:ind w:right="420" w:firstLine="3614" w:firstLineChars="1000"/>
        <w:rPr>
          <w:rFonts w:hint="eastAsia" w:ascii="宋体" w:hAnsi="宋体" w:cs="宋体"/>
          <w:b/>
          <w:color w:val="auto"/>
          <w:kern w:val="0"/>
          <w:sz w:val="36"/>
          <w:szCs w:val="36"/>
          <w:highlight w:val="none"/>
        </w:rPr>
      </w:pPr>
    </w:p>
    <w:p w14:paraId="2620C967">
      <w:pPr>
        <w:spacing w:line="360" w:lineRule="auto"/>
        <w:ind w:right="420" w:firstLine="3614" w:firstLineChars="1000"/>
        <w:rPr>
          <w:rFonts w:hint="eastAsia" w:ascii="宋体" w:hAnsi="宋体" w:cs="宋体"/>
          <w:b/>
          <w:color w:val="auto"/>
          <w:kern w:val="0"/>
          <w:sz w:val="36"/>
          <w:szCs w:val="36"/>
          <w:highlight w:val="none"/>
        </w:rPr>
      </w:pPr>
    </w:p>
    <w:p w14:paraId="52DB39A7">
      <w:pPr>
        <w:spacing w:line="360" w:lineRule="auto"/>
        <w:ind w:right="420" w:firstLine="3614" w:firstLineChars="1000"/>
        <w:rPr>
          <w:rFonts w:hint="eastAsia" w:ascii="宋体" w:hAnsi="宋体" w:cs="宋体"/>
          <w:b/>
          <w:color w:val="auto"/>
          <w:kern w:val="0"/>
          <w:sz w:val="36"/>
          <w:szCs w:val="36"/>
          <w:highlight w:val="none"/>
        </w:rPr>
      </w:pPr>
    </w:p>
    <w:p w14:paraId="3F3F8F37">
      <w:pPr>
        <w:spacing w:line="360" w:lineRule="auto"/>
        <w:ind w:right="420" w:firstLine="3614" w:firstLineChars="1000"/>
        <w:rPr>
          <w:rFonts w:hint="eastAsia" w:ascii="宋体" w:hAnsi="宋体" w:cs="宋体"/>
          <w:b/>
          <w:color w:val="auto"/>
          <w:kern w:val="0"/>
          <w:sz w:val="36"/>
          <w:szCs w:val="36"/>
          <w:highlight w:val="none"/>
        </w:rPr>
      </w:pPr>
    </w:p>
    <w:p w14:paraId="0465F8C4">
      <w:pPr>
        <w:spacing w:line="360" w:lineRule="auto"/>
        <w:ind w:right="420" w:firstLine="3614" w:firstLineChars="1000"/>
        <w:rPr>
          <w:rFonts w:hint="eastAsia" w:ascii="宋体" w:hAnsi="宋体" w:cs="宋体"/>
          <w:b/>
          <w:color w:val="auto"/>
          <w:kern w:val="0"/>
          <w:sz w:val="36"/>
          <w:szCs w:val="36"/>
          <w:highlight w:val="none"/>
        </w:rPr>
      </w:pPr>
    </w:p>
    <w:p w14:paraId="57052B21">
      <w:pPr>
        <w:spacing w:line="360" w:lineRule="auto"/>
        <w:ind w:right="420" w:firstLine="3614" w:firstLineChars="1000"/>
        <w:rPr>
          <w:rFonts w:hint="eastAsia" w:ascii="宋体" w:hAnsi="宋体" w:cs="宋体"/>
          <w:b/>
          <w:color w:val="auto"/>
          <w:kern w:val="0"/>
          <w:sz w:val="36"/>
          <w:szCs w:val="36"/>
          <w:highlight w:val="none"/>
        </w:rPr>
      </w:pPr>
    </w:p>
    <w:p w14:paraId="7C54661A">
      <w:pPr>
        <w:spacing w:line="360" w:lineRule="auto"/>
        <w:ind w:right="420" w:firstLine="3614" w:firstLineChars="1000"/>
        <w:rPr>
          <w:rFonts w:hint="eastAsia" w:ascii="宋体" w:hAnsi="宋体" w:cs="宋体"/>
          <w:b/>
          <w:color w:val="auto"/>
          <w:kern w:val="0"/>
          <w:sz w:val="36"/>
          <w:szCs w:val="36"/>
          <w:highlight w:val="none"/>
        </w:rPr>
      </w:pPr>
    </w:p>
    <w:p w14:paraId="4CDE00D6">
      <w:pPr>
        <w:spacing w:line="360" w:lineRule="auto"/>
        <w:ind w:right="420" w:firstLine="3614" w:firstLineChars="1000"/>
        <w:rPr>
          <w:rFonts w:hint="eastAsia" w:ascii="宋体" w:hAnsi="宋体" w:cs="宋体"/>
          <w:b/>
          <w:color w:val="auto"/>
          <w:kern w:val="0"/>
          <w:sz w:val="36"/>
          <w:szCs w:val="36"/>
          <w:highlight w:val="none"/>
        </w:rPr>
      </w:pPr>
    </w:p>
    <w:p w14:paraId="7BD2E249">
      <w:pPr>
        <w:spacing w:line="360" w:lineRule="auto"/>
        <w:ind w:right="420" w:firstLine="3614" w:firstLineChars="1000"/>
        <w:rPr>
          <w:rFonts w:hint="eastAsia" w:ascii="宋体" w:hAnsi="宋体" w:cs="宋体"/>
          <w:b/>
          <w:color w:val="auto"/>
          <w:kern w:val="0"/>
          <w:sz w:val="36"/>
          <w:szCs w:val="36"/>
          <w:highlight w:val="none"/>
        </w:rPr>
      </w:pPr>
    </w:p>
    <w:p w14:paraId="644014D6">
      <w:pPr>
        <w:spacing w:line="360" w:lineRule="auto"/>
        <w:ind w:right="420" w:firstLine="3614" w:firstLineChars="1000"/>
        <w:rPr>
          <w:rFonts w:hint="eastAsia" w:ascii="宋体" w:hAnsi="宋体" w:cs="宋体"/>
          <w:b/>
          <w:color w:val="auto"/>
          <w:kern w:val="0"/>
          <w:sz w:val="36"/>
          <w:szCs w:val="36"/>
          <w:highlight w:val="none"/>
        </w:rPr>
      </w:pPr>
    </w:p>
    <w:p w14:paraId="096C3B93">
      <w:pPr>
        <w:spacing w:line="360" w:lineRule="auto"/>
        <w:ind w:right="420" w:firstLine="3614" w:firstLineChars="1000"/>
        <w:rPr>
          <w:rFonts w:hint="eastAsia" w:ascii="宋体" w:hAnsi="宋体" w:cs="宋体"/>
          <w:b/>
          <w:color w:val="auto"/>
          <w:kern w:val="0"/>
          <w:sz w:val="36"/>
          <w:szCs w:val="36"/>
          <w:highlight w:val="none"/>
        </w:rPr>
      </w:pPr>
    </w:p>
    <w:p w14:paraId="1836241D">
      <w:pPr>
        <w:spacing w:line="360" w:lineRule="auto"/>
        <w:ind w:right="420" w:firstLine="3614" w:firstLineChars="1000"/>
        <w:rPr>
          <w:rFonts w:hint="eastAsia" w:ascii="宋体" w:hAnsi="宋体" w:cs="宋体"/>
          <w:b/>
          <w:color w:val="auto"/>
          <w:kern w:val="0"/>
          <w:sz w:val="36"/>
          <w:szCs w:val="36"/>
          <w:highlight w:val="none"/>
        </w:rPr>
      </w:pPr>
    </w:p>
    <w:p w14:paraId="7014185E">
      <w:pPr>
        <w:spacing w:line="360" w:lineRule="auto"/>
        <w:ind w:right="420" w:firstLine="3614" w:firstLineChars="1000"/>
        <w:rPr>
          <w:rFonts w:hint="eastAsia" w:ascii="宋体" w:hAnsi="宋体" w:cs="宋体"/>
          <w:b/>
          <w:color w:val="auto"/>
          <w:kern w:val="0"/>
          <w:sz w:val="36"/>
          <w:szCs w:val="36"/>
          <w:highlight w:val="none"/>
        </w:rPr>
      </w:pPr>
    </w:p>
    <w:p w14:paraId="4DF7B1F4">
      <w:pPr>
        <w:pStyle w:val="8"/>
        <w:spacing w:before="240" w:after="240"/>
        <w:ind w:firstLine="723"/>
        <w:jc w:val="center"/>
        <w:rPr>
          <w:rFonts w:hint="eastAsia"/>
          <w:b/>
          <w:bCs/>
          <w:color w:val="auto"/>
          <w:sz w:val="36"/>
          <w:szCs w:val="36"/>
          <w:highlight w:val="none"/>
        </w:rPr>
      </w:pPr>
      <w:r>
        <w:rPr>
          <w:rFonts w:hint="eastAsia"/>
          <w:b/>
          <w:bCs/>
          <w:color w:val="auto"/>
          <w:sz w:val="36"/>
          <w:szCs w:val="36"/>
          <w:highlight w:val="none"/>
        </w:rPr>
        <w:t>附件</w:t>
      </w:r>
    </w:p>
    <w:p w14:paraId="3272B562">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5A53EF9">
      <w:pPr>
        <w:spacing w:line="360" w:lineRule="auto"/>
        <w:jc w:val="center"/>
        <w:rPr>
          <w:rFonts w:hint="eastAsia" w:ascii="宋体" w:hAnsi="宋体" w:cs="宋体"/>
          <w:b/>
          <w:color w:val="auto"/>
          <w:spacing w:val="6"/>
          <w:sz w:val="32"/>
          <w:szCs w:val="32"/>
          <w:highlight w:val="none"/>
        </w:rPr>
      </w:pPr>
      <w:bookmarkStart w:id="405" w:name="OLE_LINK14"/>
      <w:bookmarkStart w:id="406" w:name="OLE_LINK13"/>
      <w:r>
        <w:rPr>
          <w:rFonts w:hint="eastAsia" w:ascii="宋体" w:hAnsi="宋体" w:cs="宋体"/>
          <w:b/>
          <w:color w:val="auto"/>
          <w:spacing w:val="6"/>
          <w:sz w:val="32"/>
          <w:szCs w:val="32"/>
          <w:highlight w:val="none"/>
        </w:rPr>
        <w:t>残疾人福利性单位声明函</w:t>
      </w:r>
    </w:p>
    <w:bookmarkEnd w:id="405"/>
    <w:bookmarkEnd w:id="406"/>
    <w:p w14:paraId="5F6DD682">
      <w:pPr>
        <w:spacing w:line="360" w:lineRule="auto"/>
        <w:rPr>
          <w:rFonts w:hint="eastAsia" w:ascii="宋体" w:hAnsi="宋体" w:cs="宋体"/>
          <w:b/>
          <w:color w:val="auto"/>
          <w:spacing w:val="6"/>
          <w:sz w:val="30"/>
          <w:szCs w:val="30"/>
          <w:highlight w:val="none"/>
        </w:rPr>
      </w:pPr>
    </w:p>
    <w:p w14:paraId="13CB23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杭州市第四人民医院（杭州市肿瘤医院）迁建工程BIM技术咨询服务</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319E8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3FF3E63">
      <w:pPr>
        <w:spacing w:line="360" w:lineRule="auto"/>
        <w:ind w:firstLine="480" w:firstLineChars="200"/>
        <w:rPr>
          <w:rFonts w:hint="eastAsia" w:ascii="宋体" w:hAnsi="宋体" w:cs="宋体"/>
          <w:color w:val="auto"/>
          <w:sz w:val="24"/>
          <w:highlight w:val="none"/>
        </w:rPr>
      </w:pPr>
    </w:p>
    <w:p w14:paraId="32092F36">
      <w:pPr>
        <w:spacing w:line="360" w:lineRule="auto"/>
        <w:ind w:firstLine="480" w:firstLineChars="200"/>
        <w:rPr>
          <w:rFonts w:hint="eastAsia" w:ascii="宋体" w:hAnsi="宋体" w:cs="宋体"/>
          <w:color w:val="auto"/>
          <w:sz w:val="24"/>
          <w:highlight w:val="none"/>
        </w:rPr>
      </w:pPr>
    </w:p>
    <w:p w14:paraId="2564FCE4">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E467B3D">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60F2A6C7">
      <w:pPr>
        <w:spacing w:line="360" w:lineRule="auto"/>
        <w:ind w:firstLine="480" w:firstLineChars="200"/>
        <w:rPr>
          <w:rFonts w:hint="eastAsia" w:ascii="宋体" w:hAnsi="宋体" w:cs="宋体"/>
          <w:color w:val="auto"/>
          <w:sz w:val="24"/>
          <w:highlight w:val="none"/>
        </w:rPr>
      </w:pPr>
    </w:p>
    <w:p w14:paraId="57F51568">
      <w:pPr>
        <w:spacing w:line="360" w:lineRule="auto"/>
        <w:ind w:firstLine="420" w:firstLineChars="200"/>
        <w:rPr>
          <w:rFonts w:hint="eastAsia" w:ascii="宋体" w:hAnsi="宋体" w:cs="宋体"/>
          <w:color w:val="auto"/>
          <w:highlight w:val="none"/>
        </w:rPr>
      </w:pPr>
    </w:p>
    <w:p w14:paraId="70430CF2">
      <w:pPr>
        <w:spacing w:line="360" w:lineRule="auto"/>
        <w:ind w:firstLine="420" w:firstLineChars="200"/>
        <w:rPr>
          <w:rFonts w:hint="eastAsia" w:ascii="宋体" w:hAnsi="宋体" w:cs="宋体"/>
          <w:color w:val="auto"/>
          <w:highlight w:val="none"/>
        </w:rPr>
      </w:pPr>
    </w:p>
    <w:p w14:paraId="57549BC5">
      <w:pPr>
        <w:spacing w:line="360" w:lineRule="auto"/>
        <w:ind w:firstLine="420" w:firstLineChars="200"/>
        <w:rPr>
          <w:rFonts w:hint="eastAsia" w:ascii="宋体" w:hAnsi="宋体" w:cs="宋体"/>
          <w:color w:val="auto"/>
          <w:highlight w:val="none"/>
        </w:rPr>
      </w:pPr>
    </w:p>
    <w:p w14:paraId="63E8B825">
      <w:pPr>
        <w:spacing w:line="360" w:lineRule="auto"/>
        <w:ind w:firstLine="420" w:firstLineChars="200"/>
        <w:rPr>
          <w:rFonts w:hint="eastAsia" w:ascii="宋体" w:hAnsi="宋体" w:cs="宋体"/>
          <w:color w:val="auto"/>
          <w:highlight w:val="none"/>
        </w:rPr>
      </w:pPr>
    </w:p>
    <w:p w14:paraId="71ED4CA3">
      <w:pPr>
        <w:spacing w:line="360" w:lineRule="auto"/>
        <w:rPr>
          <w:rFonts w:hint="eastAsia" w:ascii="宋体" w:hAnsi="宋体" w:cs="宋体"/>
          <w:b/>
          <w:color w:val="auto"/>
          <w:sz w:val="24"/>
          <w:highlight w:val="none"/>
        </w:rPr>
      </w:pPr>
    </w:p>
    <w:p w14:paraId="37A20A51">
      <w:pPr>
        <w:spacing w:line="360" w:lineRule="auto"/>
        <w:rPr>
          <w:rFonts w:hint="eastAsia" w:ascii="宋体" w:hAnsi="宋体" w:cs="宋体"/>
          <w:b/>
          <w:color w:val="auto"/>
          <w:sz w:val="24"/>
          <w:highlight w:val="none"/>
        </w:rPr>
      </w:pPr>
    </w:p>
    <w:p w14:paraId="5E729E10">
      <w:pPr>
        <w:spacing w:line="360" w:lineRule="auto"/>
        <w:rPr>
          <w:rFonts w:hint="eastAsia" w:ascii="宋体" w:hAnsi="宋体" w:cs="宋体"/>
          <w:b/>
          <w:color w:val="auto"/>
          <w:sz w:val="24"/>
          <w:highlight w:val="none"/>
        </w:rPr>
      </w:pPr>
    </w:p>
    <w:p w14:paraId="6E26C771">
      <w:pPr>
        <w:spacing w:line="360" w:lineRule="auto"/>
        <w:rPr>
          <w:rFonts w:hint="eastAsia" w:ascii="宋体" w:hAnsi="宋体" w:cs="宋体"/>
          <w:b/>
          <w:color w:val="auto"/>
          <w:sz w:val="24"/>
          <w:highlight w:val="none"/>
        </w:rPr>
      </w:pPr>
    </w:p>
    <w:p w14:paraId="60BE2F03">
      <w:pPr>
        <w:spacing w:line="360" w:lineRule="auto"/>
        <w:rPr>
          <w:rFonts w:hint="eastAsia" w:ascii="宋体" w:hAnsi="宋体" w:cs="宋体"/>
          <w:b/>
          <w:color w:val="auto"/>
          <w:sz w:val="24"/>
          <w:highlight w:val="none"/>
        </w:rPr>
      </w:pPr>
    </w:p>
    <w:p w14:paraId="7B1E74C1">
      <w:pPr>
        <w:spacing w:line="360" w:lineRule="auto"/>
        <w:rPr>
          <w:rFonts w:hint="eastAsia" w:ascii="宋体" w:hAnsi="宋体" w:cs="宋体"/>
          <w:b/>
          <w:color w:val="auto"/>
          <w:sz w:val="24"/>
          <w:highlight w:val="none"/>
        </w:rPr>
      </w:pPr>
    </w:p>
    <w:p w14:paraId="5A721B2E">
      <w:pPr>
        <w:spacing w:line="360" w:lineRule="auto"/>
        <w:rPr>
          <w:rFonts w:hint="eastAsia" w:ascii="宋体" w:hAnsi="宋体" w:cs="宋体"/>
          <w:b/>
          <w:color w:val="auto"/>
          <w:sz w:val="24"/>
          <w:highlight w:val="none"/>
        </w:rPr>
      </w:pPr>
    </w:p>
    <w:p w14:paraId="66899258">
      <w:pPr>
        <w:spacing w:line="360" w:lineRule="auto"/>
        <w:rPr>
          <w:rFonts w:hint="eastAsia" w:ascii="宋体" w:hAnsi="宋体" w:cs="宋体"/>
          <w:b/>
          <w:color w:val="auto"/>
          <w:sz w:val="24"/>
          <w:highlight w:val="none"/>
        </w:rPr>
      </w:pPr>
    </w:p>
    <w:p w14:paraId="46C0239E">
      <w:pPr>
        <w:spacing w:line="360" w:lineRule="auto"/>
        <w:rPr>
          <w:rFonts w:hint="eastAsia" w:ascii="宋体" w:hAnsi="宋体" w:cs="宋体"/>
          <w:b/>
          <w:color w:val="auto"/>
          <w:sz w:val="24"/>
          <w:highlight w:val="none"/>
        </w:rPr>
      </w:pPr>
    </w:p>
    <w:p w14:paraId="54234295">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7BE3454">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6EA716E">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w:t>
      </w:r>
      <w:r>
        <w:rPr>
          <w:rFonts w:hint="eastAsia" w:ascii="宋体" w:hAnsi="宋体" w:cs="宋体"/>
          <w:color w:val="auto"/>
          <w:sz w:val="24"/>
          <w:highlight w:val="none"/>
        </w:rPr>
        <w:t>供应商</w:t>
      </w:r>
      <w:r>
        <w:rPr>
          <w:rFonts w:hint="eastAsia" w:ascii="宋体" w:hAnsi="宋体" w:cs="宋体"/>
          <w:bCs/>
          <w:color w:val="auto"/>
          <w:sz w:val="24"/>
          <w:highlight w:val="none"/>
        </w:rPr>
        <w:t>基本信息</w:t>
      </w:r>
    </w:p>
    <w:p w14:paraId="6B0E468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DB574E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552882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3D150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45CB2D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45C14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6141B8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0C71E5D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88C098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F5578D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D0AE92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69ED3B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462D9BF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EC5A72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FAA5B2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25770AA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2DFB62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B5CC79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7161031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31C0FF32">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40AF9A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41869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78EEBA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0F246F8">
      <w:pPr>
        <w:spacing w:line="360" w:lineRule="auto"/>
        <w:jc w:val="center"/>
        <w:rPr>
          <w:rFonts w:hint="eastAsia" w:ascii="宋体" w:hAnsi="宋体" w:cs="宋体"/>
          <w:b/>
          <w:bCs/>
          <w:color w:val="auto"/>
          <w:sz w:val="24"/>
          <w:highlight w:val="none"/>
        </w:rPr>
      </w:pPr>
    </w:p>
    <w:p w14:paraId="29997D06">
      <w:pPr>
        <w:spacing w:line="360" w:lineRule="auto"/>
        <w:rPr>
          <w:rFonts w:hint="eastAsia" w:ascii="宋体" w:hAnsi="宋体" w:cs="宋体"/>
          <w:b/>
          <w:color w:val="auto"/>
          <w:sz w:val="24"/>
          <w:highlight w:val="none"/>
        </w:rPr>
      </w:pPr>
    </w:p>
    <w:p w14:paraId="005E1C5C">
      <w:pPr>
        <w:spacing w:line="360" w:lineRule="auto"/>
        <w:rPr>
          <w:rFonts w:hint="eastAsia" w:ascii="宋体" w:hAnsi="宋体" w:cs="宋体"/>
          <w:b/>
          <w:color w:val="auto"/>
          <w:sz w:val="24"/>
          <w:highlight w:val="none"/>
        </w:rPr>
      </w:pPr>
    </w:p>
    <w:p w14:paraId="3572AC58">
      <w:pPr>
        <w:spacing w:line="360" w:lineRule="auto"/>
        <w:rPr>
          <w:rFonts w:hint="eastAsia" w:ascii="宋体" w:hAnsi="宋体" w:cs="宋体"/>
          <w:b/>
          <w:color w:val="auto"/>
          <w:sz w:val="24"/>
          <w:highlight w:val="none"/>
        </w:rPr>
      </w:pPr>
    </w:p>
    <w:p w14:paraId="0B4A8B4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45CE0CD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 供应商提出质疑时，应提交质疑函和必要的证明材料。</w:t>
      </w:r>
    </w:p>
    <w:p w14:paraId="0CCE889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2.质疑供应商若委托代理人进行质疑的，质疑函应按要求列明“授权代表”的有关内容，并在附件中提交由质疑供应商</w:t>
      </w:r>
      <w:r>
        <w:rPr>
          <w:rFonts w:hint="eastAsia" w:ascii="宋体" w:hAnsi="宋体" w:cs="宋体"/>
          <w:color w:val="auto"/>
          <w:kern w:val="0"/>
          <w:sz w:val="24"/>
          <w:highlight w:val="none"/>
        </w:rPr>
        <w:t>签署的授权委托书。授权委托书应载明代理人的姓名或者名称、代理事项、具体权限、期限和相关事项。</w:t>
      </w:r>
    </w:p>
    <w:p w14:paraId="6A5ADA7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A7B669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B1A74A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0FA42C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BE0756F">
      <w:pPr>
        <w:widowControl/>
        <w:spacing w:line="360" w:lineRule="auto"/>
        <w:ind w:firstLine="600" w:firstLineChars="200"/>
        <w:jc w:val="left"/>
        <w:rPr>
          <w:rFonts w:hint="eastAsia" w:ascii="宋体" w:hAnsi="宋体" w:cs="宋体"/>
          <w:color w:val="auto"/>
          <w:sz w:val="30"/>
          <w:szCs w:val="30"/>
          <w:highlight w:val="none"/>
        </w:rPr>
      </w:pPr>
    </w:p>
    <w:p w14:paraId="3D05CC16">
      <w:pPr>
        <w:spacing w:line="360" w:lineRule="auto"/>
        <w:jc w:val="center"/>
        <w:rPr>
          <w:rFonts w:hint="eastAsia" w:ascii="宋体" w:hAnsi="宋体" w:cs="宋体"/>
          <w:b/>
          <w:color w:val="auto"/>
          <w:spacing w:val="6"/>
          <w:sz w:val="32"/>
          <w:szCs w:val="32"/>
          <w:highlight w:val="none"/>
        </w:rPr>
      </w:pPr>
    </w:p>
    <w:p w14:paraId="22733AA4">
      <w:pPr>
        <w:spacing w:line="360" w:lineRule="auto"/>
        <w:jc w:val="center"/>
        <w:rPr>
          <w:rFonts w:hint="eastAsia" w:ascii="宋体" w:hAnsi="宋体" w:cs="宋体"/>
          <w:b/>
          <w:color w:val="auto"/>
          <w:spacing w:val="6"/>
          <w:sz w:val="32"/>
          <w:szCs w:val="32"/>
          <w:highlight w:val="none"/>
        </w:rPr>
      </w:pPr>
    </w:p>
    <w:p w14:paraId="399D6677">
      <w:pPr>
        <w:spacing w:line="360" w:lineRule="auto"/>
        <w:jc w:val="center"/>
        <w:rPr>
          <w:rFonts w:hint="eastAsia" w:ascii="宋体" w:hAnsi="宋体" w:cs="宋体"/>
          <w:b/>
          <w:color w:val="auto"/>
          <w:spacing w:val="6"/>
          <w:sz w:val="32"/>
          <w:szCs w:val="32"/>
          <w:highlight w:val="none"/>
        </w:rPr>
      </w:pPr>
    </w:p>
    <w:p w14:paraId="6670C89B">
      <w:pPr>
        <w:spacing w:line="360" w:lineRule="auto"/>
        <w:jc w:val="center"/>
        <w:rPr>
          <w:rFonts w:hint="eastAsia" w:ascii="宋体" w:hAnsi="宋体" w:cs="宋体"/>
          <w:b/>
          <w:color w:val="auto"/>
          <w:spacing w:val="6"/>
          <w:sz w:val="32"/>
          <w:szCs w:val="32"/>
          <w:highlight w:val="none"/>
        </w:rPr>
      </w:pPr>
    </w:p>
    <w:p w14:paraId="0FCCD94C">
      <w:pPr>
        <w:spacing w:line="360" w:lineRule="auto"/>
        <w:jc w:val="center"/>
        <w:rPr>
          <w:rFonts w:hint="eastAsia" w:ascii="宋体" w:hAnsi="宋体" w:cs="宋体"/>
          <w:b/>
          <w:color w:val="auto"/>
          <w:spacing w:val="6"/>
          <w:sz w:val="32"/>
          <w:szCs w:val="32"/>
          <w:highlight w:val="none"/>
        </w:rPr>
      </w:pPr>
    </w:p>
    <w:p w14:paraId="40B8FD2B">
      <w:pPr>
        <w:spacing w:line="360" w:lineRule="auto"/>
        <w:jc w:val="center"/>
        <w:rPr>
          <w:rFonts w:hint="eastAsia" w:ascii="宋体" w:hAnsi="宋体" w:cs="宋体"/>
          <w:b/>
          <w:color w:val="auto"/>
          <w:spacing w:val="6"/>
          <w:sz w:val="32"/>
          <w:szCs w:val="32"/>
          <w:highlight w:val="none"/>
        </w:rPr>
      </w:pPr>
    </w:p>
    <w:p w14:paraId="13D53C2E">
      <w:pPr>
        <w:spacing w:line="360" w:lineRule="auto"/>
        <w:jc w:val="center"/>
        <w:rPr>
          <w:rFonts w:hint="eastAsia" w:ascii="宋体" w:hAnsi="宋体" w:cs="宋体"/>
          <w:b/>
          <w:color w:val="auto"/>
          <w:spacing w:val="6"/>
          <w:sz w:val="32"/>
          <w:szCs w:val="32"/>
          <w:highlight w:val="none"/>
        </w:rPr>
      </w:pPr>
    </w:p>
    <w:p w14:paraId="76727737">
      <w:pPr>
        <w:spacing w:line="360" w:lineRule="auto"/>
        <w:jc w:val="center"/>
        <w:rPr>
          <w:rFonts w:hint="eastAsia" w:ascii="宋体" w:hAnsi="宋体" w:cs="宋体"/>
          <w:b/>
          <w:color w:val="auto"/>
          <w:spacing w:val="6"/>
          <w:sz w:val="32"/>
          <w:szCs w:val="32"/>
          <w:highlight w:val="none"/>
        </w:rPr>
      </w:pPr>
    </w:p>
    <w:p w14:paraId="20547643">
      <w:pPr>
        <w:spacing w:line="360" w:lineRule="auto"/>
        <w:jc w:val="center"/>
        <w:rPr>
          <w:rFonts w:hint="eastAsia" w:ascii="宋体" w:hAnsi="宋体" w:cs="宋体"/>
          <w:b/>
          <w:color w:val="auto"/>
          <w:spacing w:val="6"/>
          <w:sz w:val="32"/>
          <w:szCs w:val="32"/>
          <w:highlight w:val="none"/>
        </w:rPr>
      </w:pPr>
    </w:p>
    <w:p w14:paraId="6349B6CA">
      <w:pPr>
        <w:spacing w:line="360" w:lineRule="auto"/>
        <w:jc w:val="center"/>
        <w:rPr>
          <w:rFonts w:hint="eastAsia" w:ascii="宋体" w:hAnsi="宋体" w:cs="宋体"/>
          <w:b/>
          <w:color w:val="auto"/>
          <w:spacing w:val="6"/>
          <w:sz w:val="32"/>
          <w:szCs w:val="32"/>
          <w:highlight w:val="none"/>
        </w:rPr>
      </w:pPr>
    </w:p>
    <w:p w14:paraId="1DF6440B">
      <w:pPr>
        <w:spacing w:line="360" w:lineRule="auto"/>
        <w:jc w:val="center"/>
        <w:rPr>
          <w:rFonts w:hint="eastAsia" w:ascii="宋体" w:hAnsi="宋体" w:cs="宋体"/>
          <w:b/>
          <w:color w:val="auto"/>
          <w:spacing w:val="6"/>
          <w:sz w:val="32"/>
          <w:szCs w:val="32"/>
          <w:highlight w:val="none"/>
        </w:rPr>
      </w:pPr>
    </w:p>
    <w:p w14:paraId="0B9D199D">
      <w:pPr>
        <w:spacing w:line="360" w:lineRule="auto"/>
        <w:jc w:val="center"/>
        <w:rPr>
          <w:rFonts w:hint="eastAsia" w:ascii="宋体" w:hAnsi="宋体" w:cs="宋体"/>
          <w:b/>
          <w:color w:val="auto"/>
          <w:spacing w:val="6"/>
          <w:sz w:val="32"/>
          <w:szCs w:val="32"/>
          <w:highlight w:val="none"/>
        </w:rPr>
      </w:pPr>
    </w:p>
    <w:p w14:paraId="24EC57AE">
      <w:pPr>
        <w:spacing w:line="360" w:lineRule="auto"/>
        <w:jc w:val="left"/>
        <w:rPr>
          <w:rFonts w:hint="eastAsia" w:ascii="宋体" w:hAnsi="宋体" w:cs="宋体"/>
          <w:b/>
          <w:color w:val="auto"/>
          <w:spacing w:val="6"/>
          <w:sz w:val="32"/>
          <w:szCs w:val="32"/>
          <w:highlight w:val="none"/>
        </w:rPr>
      </w:pPr>
    </w:p>
    <w:p w14:paraId="19EC782B">
      <w:pPr>
        <w:spacing w:line="360" w:lineRule="auto"/>
        <w:jc w:val="left"/>
        <w:rPr>
          <w:rFonts w:hint="eastAsia" w:ascii="宋体" w:hAnsi="宋体" w:cs="宋体"/>
          <w:b/>
          <w:color w:val="auto"/>
          <w:spacing w:val="6"/>
          <w:sz w:val="32"/>
          <w:szCs w:val="32"/>
          <w:highlight w:val="none"/>
        </w:rPr>
      </w:pPr>
    </w:p>
    <w:p w14:paraId="1FCAC7D0">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1604743">
      <w:pPr>
        <w:spacing w:line="360" w:lineRule="auto"/>
        <w:jc w:val="center"/>
        <w:rPr>
          <w:rFonts w:hint="eastAsia" w:ascii="宋体" w:hAnsi="宋体" w:cs="宋体"/>
          <w:b/>
          <w:color w:val="auto"/>
          <w:sz w:val="24"/>
          <w:highlight w:val="none"/>
        </w:rPr>
      </w:pPr>
    </w:p>
    <w:p w14:paraId="259AA0DF">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81A421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2660CD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008C0C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D825C6">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2DFF77">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CAE33F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20BC23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8260A6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6AC0A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6DA45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4606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066CA55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1110E87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B38EA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74599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9D9CD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4695E92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01E2DF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0D58045">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A6AB5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A08DDE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36064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09C2C23">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2255F9BB">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75A4B8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117182">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E3C69C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2EB30A8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5A7B3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DAFB2D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86BDC9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CFA261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394BB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0BF60AE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90C3E4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5BE93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B3E768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06558A5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AA9AE3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A8C14D7">
      <w:pPr>
        <w:spacing w:line="360" w:lineRule="auto"/>
        <w:rPr>
          <w:rFonts w:hint="eastAsia" w:ascii="宋体" w:hAnsi="宋体" w:cs="宋体"/>
          <w:b/>
          <w:color w:val="auto"/>
          <w:sz w:val="24"/>
          <w:highlight w:val="none"/>
        </w:rPr>
      </w:pPr>
    </w:p>
    <w:p w14:paraId="6B087F27">
      <w:pPr>
        <w:spacing w:line="360" w:lineRule="auto"/>
        <w:rPr>
          <w:rFonts w:hint="eastAsia" w:ascii="宋体" w:hAnsi="宋体" w:cs="宋体"/>
          <w:b/>
          <w:color w:val="auto"/>
          <w:sz w:val="24"/>
          <w:highlight w:val="none"/>
        </w:rPr>
      </w:pPr>
    </w:p>
    <w:p w14:paraId="4002EF8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4BAC11B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32F929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318464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54E242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1CDFC4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6532EC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035F748">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15C7C84">
      <w:pPr>
        <w:spacing w:line="360" w:lineRule="auto"/>
        <w:rPr>
          <w:rFonts w:hint="eastAsia" w:ascii="宋体" w:hAnsi="宋体" w:cs="宋体"/>
          <w:b/>
          <w:color w:val="auto"/>
          <w:sz w:val="24"/>
          <w:highlight w:val="none"/>
        </w:rPr>
      </w:pPr>
    </w:p>
    <w:p w14:paraId="3421BB6E">
      <w:pPr>
        <w:autoSpaceDE w:val="0"/>
        <w:autoSpaceDN w:val="0"/>
        <w:jc w:val="center"/>
        <w:rPr>
          <w:rFonts w:hint="eastAsia" w:ascii="宋体" w:hAnsi="宋体" w:cs="宋体"/>
          <w:b/>
          <w:color w:val="auto"/>
          <w:spacing w:val="6"/>
          <w:sz w:val="32"/>
          <w:szCs w:val="32"/>
          <w:highlight w:val="none"/>
        </w:rPr>
      </w:pPr>
    </w:p>
    <w:p w14:paraId="0D203EE2">
      <w:pPr>
        <w:autoSpaceDE w:val="0"/>
        <w:autoSpaceDN w:val="0"/>
        <w:jc w:val="center"/>
        <w:rPr>
          <w:rFonts w:hint="eastAsia" w:ascii="宋体" w:hAnsi="宋体" w:cs="宋体"/>
          <w:b/>
          <w:color w:val="auto"/>
          <w:spacing w:val="6"/>
          <w:sz w:val="32"/>
          <w:szCs w:val="32"/>
          <w:highlight w:val="none"/>
        </w:rPr>
      </w:pPr>
    </w:p>
    <w:p w14:paraId="2919285D">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52E3D78">
      <w:pPr>
        <w:spacing w:line="360" w:lineRule="auto"/>
        <w:rPr>
          <w:rFonts w:hint="eastAsia" w:ascii="宋体" w:hAnsi="宋体" w:cs="宋体"/>
          <w:color w:val="auto"/>
          <w:sz w:val="24"/>
          <w:highlight w:val="none"/>
          <w:u w:val="single"/>
        </w:rPr>
      </w:pPr>
    </w:p>
    <w:p w14:paraId="19F8FB97">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杭州市卫生健康事业发展中心、浙江省成套招标代理有限公司：</w:t>
      </w:r>
    </w:p>
    <w:p w14:paraId="7FD87E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你方组织的杭州市第四人民医院（杭州市肿瘤医院）迁建工程BIM技术咨询服务项目【招标编号：</w:t>
      </w:r>
      <w:r>
        <w:rPr>
          <w:rFonts w:hint="eastAsia" w:ascii="宋体" w:hAnsi="宋体" w:cs="宋体"/>
          <w:color w:val="auto"/>
          <w:sz w:val="24"/>
          <w:highlight w:val="none"/>
          <w:lang w:eastAsia="zh-CN"/>
        </w:rPr>
        <w:t>CTZB-2025010383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F898D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4AFA0423">
      <w:pPr>
        <w:spacing w:line="360" w:lineRule="auto"/>
        <w:ind w:firstLine="494"/>
        <w:rPr>
          <w:rFonts w:hint="eastAsia" w:ascii="宋体" w:hAnsi="宋体" w:cs="宋体"/>
          <w:color w:val="auto"/>
          <w:sz w:val="24"/>
          <w:highlight w:val="none"/>
        </w:rPr>
      </w:pPr>
    </w:p>
    <w:p w14:paraId="747D982A">
      <w:pPr>
        <w:spacing w:line="360" w:lineRule="auto"/>
        <w:ind w:firstLine="494"/>
        <w:rPr>
          <w:rFonts w:hint="eastAsia" w:ascii="宋体" w:hAnsi="宋体" w:cs="宋体"/>
          <w:color w:val="auto"/>
          <w:sz w:val="24"/>
          <w:highlight w:val="none"/>
        </w:rPr>
      </w:pPr>
    </w:p>
    <w:p w14:paraId="11438137">
      <w:pPr>
        <w:spacing w:line="360" w:lineRule="auto"/>
        <w:ind w:firstLine="494"/>
        <w:rPr>
          <w:rFonts w:hint="eastAsia" w:ascii="宋体" w:hAnsi="宋体" w:cs="宋体"/>
          <w:color w:val="auto"/>
          <w:sz w:val="24"/>
          <w:highlight w:val="none"/>
        </w:rPr>
      </w:pPr>
    </w:p>
    <w:p w14:paraId="65C0DB7E">
      <w:pPr>
        <w:spacing w:line="360" w:lineRule="auto"/>
        <w:ind w:firstLine="494"/>
        <w:rPr>
          <w:rFonts w:hint="eastAsia" w:ascii="宋体" w:hAnsi="宋体" w:cs="宋体"/>
          <w:color w:val="auto"/>
          <w:sz w:val="24"/>
          <w:highlight w:val="none"/>
        </w:rPr>
      </w:pPr>
    </w:p>
    <w:p w14:paraId="32B159AD">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58CA00B6">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88A2F2A">
      <w:pPr>
        <w:rPr>
          <w:rFonts w:hint="eastAsia" w:ascii="宋体" w:hAnsi="宋体" w:cs="宋体"/>
          <w:color w:val="auto"/>
          <w:sz w:val="24"/>
          <w:highlight w:val="none"/>
        </w:rPr>
      </w:pPr>
      <w:r>
        <w:rPr>
          <w:rFonts w:hint="eastAsia" w:ascii="宋体" w:hAnsi="宋体" w:cs="宋体"/>
          <w:b/>
          <w:bCs/>
          <w:color w:val="auto"/>
          <w:sz w:val="24"/>
          <w:highlight w:val="none"/>
        </w:rPr>
        <w:t>附：</w:t>
      </w:r>
    </w:p>
    <w:p w14:paraId="4840516C">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6807D0A">
      <w:pPr>
        <w:autoSpaceDE w:val="0"/>
        <w:autoSpaceDN w:val="0"/>
        <w:jc w:val="center"/>
        <w:rPr>
          <w:rFonts w:hint="eastAsia" w:ascii="宋体" w:hAnsi="宋体" w:cs="宋体"/>
          <w:b/>
          <w:color w:val="auto"/>
          <w:spacing w:val="6"/>
          <w:sz w:val="32"/>
          <w:szCs w:val="32"/>
          <w:highlight w:val="none"/>
        </w:rPr>
      </w:pPr>
    </w:p>
    <w:p w14:paraId="6A49DC8B">
      <w:pPr>
        <w:autoSpaceDE w:val="0"/>
        <w:autoSpaceDN w:val="0"/>
        <w:jc w:val="center"/>
        <w:rPr>
          <w:rFonts w:hint="eastAsia" w:ascii="宋体" w:hAnsi="宋体" w:cs="宋体"/>
          <w:b/>
          <w:color w:val="auto"/>
          <w:spacing w:val="6"/>
          <w:sz w:val="32"/>
          <w:szCs w:val="32"/>
          <w:highlight w:val="none"/>
        </w:rPr>
      </w:pPr>
    </w:p>
    <w:p w14:paraId="2E9EC0A0">
      <w:pPr>
        <w:autoSpaceDE w:val="0"/>
        <w:autoSpaceDN w:val="0"/>
        <w:jc w:val="center"/>
        <w:rPr>
          <w:rFonts w:hint="eastAsia" w:ascii="宋体" w:hAnsi="宋体" w:cs="宋体"/>
          <w:b/>
          <w:color w:val="auto"/>
          <w:spacing w:val="6"/>
          <w:sz w:val="32"/>
          <w:szCs w:val="32"/>
          <w:highlight w:val="none"/>
        </w:rPr>
      </w:pPr>
    </w:p>
    <w:p w14:paraId="1B5084D5">
      <w:pPr>
        <w:autoSpaceDE w:val="0"/>
        <w:autoSpaceDN w:val="0"/>
        <w:jc w:val="center"/>
        <w:rPr>
          <w:rFonts w:hint="eastAsia" w:ascii="宋体" w:hAnsi="宋体" w:cs="宋体"/>
          <w:b/>
          <w:color w:val="auto"/>
          <w:spacing w:val="6"/>
          <w:sz w:val="32"/>
          <w:szCs w:val="32"/>
          <w:highlight w:val="none"/>
        </w:rPr>
      </w:pPr>
    </w:p>
    <w:p w14:paraId="7B049686">
      <w:pPr>
        <w:autoSpaceDE w:val="0"/>
        <w:autoSpaceDN w:val="0"/>
        <w:jc w:val="center"/>
        <w:rPr>
          <w:rFonts w:hint="eastAsia" w:ascii="宋体" w:hAnsi="宋体" w:cs="宋体"/>
          <w:b/>
          <w:color w:val="auto"/>
          <w:spacing w:val="6"/>
          <w:sz w:val="32"/>
          <w:szCs w:val="32"/>
          <w:highlight w:val="none"/>
        </w:rPr>
      </w:pPr>
    </w:p>
    <w:p w14:paraId="7A0F86E4">
      <w:pPr>
        <w:autoSpaceDE w:val="0"/>
        <w:autoSpaceDN w:val="0"/>
        <w:jc w:val="center"/>
        <w:rPr>
          <w:rFonts w:hint="eastAsia" w:ascii="宋体" w:hAnsi="宋体" w:cs="宋体"/>
          <w:b/>
          <w:color w:val="auto"/>
          <w:spacing w:val="6"/>
          <w:sz w:val="32"/>
          <w:szCs w:val="32"/>
          <w:highlight w:val="none"/>
        </w:rPr>
      </w:pPr>
    </w:p>
    <w:p w14:paraId="40B6CE8A">
      <w:pPr>
        <w:autoSpaceDE w:val="0"/>
        <w:autoSpaceDN w:val="0"/>
        <w:jc w:val="center"/>
        <w:rPr>
          <w:rFonts w:hint="eastAsia" w:ascii="宋体" w:hAnsi="宋体" w:cs="宋体"/>
          <w:b/>
          <w:color w:val="auto"/>
          <w:spacing w:val="6"/>
          <w:sz w:val="32"/>
          <w:szCs w:val="32"/>
          <w:highlight w:val="none"/>
        </w:rPr>
      </w:pPr>
    </w:p>
    <w:p w14:paraId="401E6BC2">
      <w:pPr>
        <w:autoSpaceDE w:val="0"/>
        <w:autoSpaceDN w:val="0"/>
        <w:jc w:val="center"/>
        <w:rPr>
          <w:rFonts w:hint="eastAsia" w:ascii="宋体" w:hAnsi="宋体" w:cs="宋体"/>
          <w:b/>
          <w:color w:val="auto"/>
          <w:spacing w:val="6"/>
          <w:sz w:val="32"/>
          <w:szCs w:val="32"/>
          <w:highlight w:val="none"/>
        </w:rPr>
      </w:pPr>
    </w:p>
    <w:p w14:paraId="6A18D355">
      <w:pPr>
        <w:autoSpaceDE w:val="0"/>
        <w:autoSpaceDN w:val="0"/>
        <w:jc w:val="center"/>
        <w:rPr>
          <w:rFonts w:hint="eastAsia" w:ascii="宋体" w:hAnsi="宋体" w:cs="宋体"/>
          <w:b/>
          <w:color w:val="auto"/>
          <w:spacing w:val="6"/>
          <w:sz w:val="32"/>
          <w:szCs w:val="32"/>
          <w:highlight w:val="none"/>
        </w:rPr>
      </w:pPr>
    </w:p>
    <w:p w14:paraId="55704642">
      <w:pPr>
        <w:autoSpaceDE w:val="0"/>
        <w:autoSpaceDN w:val="0"/>
        <w:jc w:val="center"/>
        <w:rPr>
          <w:rFonts w:hint="eastAsia" w:ascii="宋体" w:hAnsi="宋体" w:cs="宋体"/>
          <w:b/>
          <w:color w:val="auto"/>
          <w:spacing w:val="6"/>
          <w:sz w:val="32"/>
          <w:szCs w:val="32"/>
          <w:highlight w:val="none"/>
        </w:rPr>
      </w:pPr>
    </w:p>
    <w:p w14:paraId="4F443EC6">
      <w:pPr>
        <w:autoSpaceDE w:val="0"/>
        <w:autoSpaceDN w:val="0"/>
        <w:jc w:val="center"/>
        <w:rPr>
          <w:rFonts w:hint="eastAsia" w:ascii="宋体" w:hAnsi="宋体" w:cs="宋体"/>
          <w:b/>
          <w:color w:val="auto"/>
          <w:spacing w:val="6"/>
          <w:sz w:val="32"/>
          <w:szCs w:val="32"/>
          <w:highlight w:val="none"/>
        </w:rPr>
      </w:pPr>
    </w:p>
    <w:p w14:paraId="082901E2">
      <w:pPr>
        <w:autoSpaceDE w:val="0"/>
        <w:autoSpaceDN w:val="0"/>
        <w:rPr>
          <w:rFonts w:hint="eastAsia" w:ascii="宋体" w:hAnsi="宋体" w:cs="宋体"/>
          <w:b/>
          <w:color w:val="auto"/>
          <w:spacing w:val="6"/>
          <w:sz w:val="32"/>
          <w:szCs w:val="32"/>
          <w:highlight w:val="none"/>
        </w:rPr>
      </w:pPr>
    </w:p>
    <w:p w14:paraId="2839E750">
      <w:pPr>
        <w:pStyle w:val="8"/>
        <w:ind w:firstLine="667"/>
        <w:rPr>
          <w:rFonts w:hint="eastAsia" w:cs="宋体"/>
          <w:b/>
          <w:color w:val="auto"/>
          <w:spacing w:val="6"/>
          <w:sz w:val="32"/>
          <w:szCs w:val="32"/>
          <w:highlight w:val="none"/>
        </w:rPr>
      </w:pPr>
    </w:p>
    <w:p w14:paraId="506BA1FB">
      <w:pPr>
        <w:rPr>
          <w:color w:val="auto"/>
          <w:highlight w:val="none"/>
        </w:rPr>
      </w:pPr>
    </w:p>
    <w:p w14:paraId="4C3203AF">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5C420D3">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02C06B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杭州市第四人民医院（杭州市肿瘤医院）迁建工程BIM技术咨询服务项目【招标编号：</w:t>
      </w:r>
      <w:r>
        <w:rPr>
          <w:rFonts w:hint="eastAsia" w:ascii="宋体" w:hAnsi="宋体" w:cs="宋体"/>
          <w:color w:val="auto"/>
          <w:sz w:val="24"/>
          <w:highlight w:val="none"/>
          <w:lang w:eastAsia="zh-CN"/>
        </w:rPr>
        <w:t>CTZB-2025010383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40B2A1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B5AC5B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45FE60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E079D3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52618B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18E51D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BE64B2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CDE94F3">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cs="宋体"/>
          <w:b/>
          <w:color w:val="auto"/>
          <w:sz w:val="24"/>
          <w:highlight w:val="none"/>
        </w:rPr>
        <w:t>拟享受以上价格扣除政策的，填写有关内容。</w:t>
      </w:r>
      <w:bookmarkEnd w:id="408"/>
      <w:r>
        <w:rPr>
          <w:rFonts w:hint="eastAsia" w:ascii="宋体" w:hAnsi="宋体" w:cs="宋体"/>
          <w:b/>
          <w:color w:val="auto"/>
          <w:kern w:val="0"/>
          <w:sz w:val="24"/>
          <w:highlight w:val="none"/>
          <w:lang w:val="zh-CN"/>
        </w:rPr>
        <w:t>）</w:t>
      </w:r>
    </w:p>
    <w:p w14:paraId="4205106F">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0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要求以联合体形式参加的项目或采购包，投标人按招标文件第一部分招标公告申请人的资格要求中规定的联合协议中中小企业、小微企业合同金额应当达到的比例要求填写。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9"/>
    </w:p>
    <w:p w14:paraId="57544A3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7AFFC4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56E9AB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1、联合体各方不再单独参加或者与其他投标人另外组成联合体参加同一合同项下的政府采购活动。</w:t>
      </w:r>
    </w:p>
    <w:p w14:paraId="4F31632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2、联合体中有同类资质的各方按照联合体分工承担相同工作的，按照资质等级较低的投标人确定资质等级。</w:t>
      </w:r>
    </w:p>
    <w:p w14:paraId="34B5836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27E8452">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A71455">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6C3D2DA">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17CC419">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A7BB0D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63B5BE7">
      <w:pPr>
        <w:autoSpaceDE w:val="0"/>
        <w:autoSpaceDN w:val="0"/>
        <w:jc w:val="center"/>
        <w:rPr>
          <w:rFonts w:hint="eastAsia" w:ascii="宋体" w:hAnsi="宋体" w:cs="宋体"/>
          <w:b/>
          <w:color w:val="auto"/>
          <w:spacing w:val="6"/>
          <w:sz w:val="32"/>
          <w:szCs w:val="32"/>
          <w:highlight w:val="none"/>
        </w:rPr>
      </w:pPr>
    </w:p>
    <w:p w14:paraId="5E41913F">
      <w:pPr>
        <w:autoSpaceDE w:val="0"/>
        <w:autoSpaceDN w:val="0"/>
        <w:jc w:val="center"/>
        <w:rPr>
          <w:rFonts w:hint="eastAsia" w:ascii="宋体" w:hAnsi="宋体" w:cs="宋体"/>
          <w:b/>
          <w:color w:val="auto"/>
          <w:spacing w:val="6"/>
          <w:sz w:val="32"/>
          <w:szCs w:val="32"/>
          <w:highlight w:val="none"/>
        </w:rPr>
      </w:pPr>
    </w:p>
    <w:p w14:paraId="146E001F">
      <w:pPr>
        <w:autoSpaceDE w:val="0"/>
        <w:autoSpaceDN w:val="0"/>
        <w:jc w:val="center"/>
        <w:rPr>
          <w:rFonts w:hint="eastAsia" w:ascii="宋体" w:hAnsi="宋体" w:cs="宋体"/>
          <w:b/>
          <w:color w:val="auto"/>
          <w:spacing w:val="6"/>
          <w:sz w:val="32"/>
          <w:szCs w:val="32"/>
          <w:highlight w:val="none"/>
        </w:rPr>
      </w:pPr>
    </w:p>
    <w:p w14:paraId="5B075DC2">
      <w:pPr>
        <w:autoSpaceDE w:val="0"/>
        <w:autoSpaceDN w:val="0"/>
        <w:jc w:val="center"/>
        <w:rPr>
          <w:rFonts w:hint="eastAsia" w:ascii="宋体" w:hAnsi="宋体" w:cs="宋体"/>
          <w:b/>
          <w:color w:val="auto"/>
          <w:spacing w:val="6"/>
          <w:sz w:val="32"/>
          <w:szCs w:val="32"/>
          <w:highlight w:val="none"/>
        </w:rPr>
      </w:pPr>
    </w:p>
    <w:p w14:paraId="44A4B3AB">
      <w:pPr>
        <w:autoSpaceDE w:val="0"/>
        <w:autoSpaceDN w:val="0"/>
        <w:jc w:val="center"/>
        <w:rPr>
          <w:rFonts w:hint="eastAsia" w:ascii="宋体" w:hAnsi="宋体" w:cs="宋体"/>
          <w:b/>
          <w:color w:val="auto"/>
          <w:spacing w:val="6"/>
          <w:sz w:val="32"/>
          <w:szCs w:val="32"/>
          <w:highlight w:val="none"/>
        </w:rPr>
      </w:pPr>
    </w:p>
    <w:p w14:paraId="7D8D78F0">
      <w:pPr>
        <w:autoSpaceDE w:val="0"/>
        <w:autoSpaceDN w:val="0"/>
        <w:jc w:val="center"/>
        <w:rPr>
          <w:rFonts w:hint="eastAsia" w:ascii="宋体" w:hAnsi="宋体" w:cs="宋体"/>
          <w:b/>
          <w:color w:val="auto"/>
          <w:spacing w:val="6"/>
          <w:sz w:val="32"/>
          <w:szCs w:val="32"/>
          <w:highlight w:val="none"/>
        </w:rPr>
      </w:pPr>
    </w:p>
    <w:p w14:paraId="37659CE1">
      <w:pPr>
        <w:autoSpaceDE w:val="0"/>
        <w:autoSpaceDN w:val="0"/>
        <w:jc w:val="center"/>
        <w:rPr>
          <w:rFonts w:hint="eastAsia" w:ascii="宋体" w:hAnsi="宋体" w:cs="宋体"/>
          <w:b/>
          <w:color w:val="auto"/>
          <w:spacing w:val="6"/>
          <w:sz w:val="32"/>
          <w:szCs w:val="32"/>
          <w:highlight w:val="none"/>
        </w:rPr>
      </w:pPr>
    </w:p>
    <w:p w14:paraId="504029CC">
      <w:pPr>
        <w:autoSpaceDE w:val="0"/>
        <w:autoSpaceDN w:val="0"/>
        <w:jc w:val="center"/>
        <w:rPr>
          <w:rFonts w:hint="eastAsia" w:ascii="宋体" w:hAnsi="宋体" w:cs="宋体"/>
          <w:b/>
          <w:color w:val="auto"/>
          <w:spacing w:val="6"/>
          <w:sz w:val="32"/>
          <w:szCs w:val="32"/>
          <w:highlight w:val="none"/>
        </w:rPr>
      </w:pPr>
    </w:p>
    <w:p w14:paraId="48904A94">
      <w:pPr>
        <w:autoSpaceDE w:val="0"/>
        <w:autoSpaceDN w:val="0"/>
        <w:jc w:val="center"/>
        <w:rPr>
          <w:rFonts w:hint="eastAsia" w:ascii="宋体" w:hAnsi="宋体" w:cs="宋体"/>
          <w:b/>
          <w:color w:val="auto"/>
          <w:spacing w:val="6"/>
          <w:sz w:val="32"/>
          <w:szCs w:val="32"/>
          <w:highlight w:val="none"/>
        </w:rPr>
      </w:pPr>
    </w:p>
    <w:p w14:paraId="6289F6F1">
      <w:pPr>
        <w:autoSpaceDE w:val="0"/>
        <w:autoSpaceDN w:val="0"/>
        <w:jc w:val="center"/>
        <w:rPr>
          <w:rFonts w:hint="eastAsia" w:ascii="宋体" w:hAnsi="宋体" w:cs="宋体"/>
          <w:b/>
          <w:color w:val="auto"/>
          <w:spacing w:val="6"/>
          <w:sz w:val="32"/>
          <w:szCs w:val="32"/>
          <w:highlight w:val="none"/>
        </w:rPr>
      </w:pPr>
    </w:p>
    <w:p w14:paraId="61D359F5">
      <w:pPr>
        <w:autoSpaceDE w:val="0"/>
        <w:autoSpaceDN w:val="0"/>
        <w:jc w:val="center"/>
        <w:rPr>
          <w:rFonts w:hint="eastAsia" w:ascii="宋体" w:hAnsi="宋体" w:cs="宋体"/>
          <w:b/>
          <w:color w:val="auto"/>
          <w:spacing w:val="6"/>
          <w:sz w:val="32"/>
          <w:szCs w:val="32"/>
          <w:highlight w:val="none"/>
        </w:rPr>
      </w:pPr>
    </w:p>
    <w:p w14:paraId="042F071D">
      <w:pPr>
        <w:autoSpaceDE w:val="0"/>
        <w:autoSpaceDN w:val="0"/>
        <w:jc w:val="center"/>
        <w:rPr>
          <w:rFonts w:hint="eastAsia" w:ascii="宋体" w:hAnsi="宋体" w:cs="宋体"/>
          <w:b/>
          <w:color w:val="auto"/>
          <w:spacing w:val="6"/>
          <w:sz w:val="32"/>
          <w:szCs w:val="32"/>
          <w:highlight w:val="none"/>
        </w:rPr>
      </w:pPr>
    </w:p>
    <w:p w14:paraId="1B30A7B9">
      <w:pPr>
        <w:autoSpaceDE w:val="0"/>
        <w:autoSpaceDN w:val="0"/>
        <w:jc w:val="center"/>
        <w:rPr>
          <w:rFonts w:hint="eastAsia" w:ascii="宋体" w:hAnsi="宋体" w:cs="宋体"/>
          <w:b/>
          <w:color w:val="auto"/>
          <w:spacing w:val="6"/>
          <w:sz w:val="32"/>
          <w:szCs w:val="32"/>
          <w:highlight w:val="none"/>
        </w:rPr>
      </w:pPr>
    </w:p>
    <w:p w14:paraId="349F22EC">
      <w:pPr>
        <w:autoSpaceDE w:val="0"/>
        <w:autoSpaceDN w:val="0"/>
        <w:jc w:val="center"/>
        <w:rPr>
          <w:rFonts w:hint="eastAsia" w:ascii="宋体" w:hAnsi="宋体" w:cs="宋体"/>
          <w:b/>
          <w:color w:val="auto"/>
          <w:spacing w:val="6"/>
          <w:sz w:val="32"/>
          <w:szCs w:val="32"/>
          <w:highlight w:val="none"/>
        </w:rPr>
      </w:pPr>
    </w:p>
    <w:p w14:paraId="580B92D9">
      <w:pPr>
        <w:autoSpaceDE w:val="0"/>
        <w:autoSpaceDN w:val="0"/>
        <w:jc w:val="center"/>
        <w:rPr>
          <w:rFonts w:hint="eastAsia" w:ascii="宋体" w:hAnsi="宋体" w:cs="宋体"/>
          <w:b/>
          <w:color w:val="auto"/>
          <w:spacing w:val="6"/>
          <w:sz w:val="32"/>
          <w:szCs w:val="32"/>
          <w:highlight w:val="none"/>
        </w:rPr>
      </w:pPr>
    </w:p>
    <w:p w14:paraId="4F0D63E0">
      <w:pPr>
        <w:autoSpaceDE w:val="0"/>
        <w:autoSpaceDN w:val="0"/>
        <w:jc w:val="center"/>
        <w:rPr>
          <w:rFonts w:hint="eastAsia" w:ascii="宋体" w:hAnsi="宋体" w:cs="宋体"/>
          <w:b/>
          <w:color w:val="auto"/>
          <w:spacing w:val="6"/>
          <w:sz w:val="32"/>
          <w:szCs w:val="32"/>
          <w:highlight w:val="none"/>
        </w:rPr>
      </w:pPr>
    </w:p>
    <w:p w14:paraId="4FBD686F">
      <w:pPr>
        <w:autoSpaceDE w:val="0"/>
        <w:autoSpaceDN w:val="0"/>
        <w:jc w:val="center"/>
        <w:rPr>
          <w:rFonts w:hint="eastAsia" w:ascii="宋体" w:hAnsi="宋体" w:cs="宋体"/>
          <w:b/>
          <w:color w:val="auto"/>
          <w:spacing w:val="6"/>
          <w:sz w:val="32"/>
          <w:szCs w:val="32"/>
          <w:highlight w:val="none"/>
        </w:rPr>
      </w:pPr>
    </w:p>
    <w:p w14:paraId="305C3EEB">
      <w:pPr>
        <w:autoSpaceDE w:val="0"/>
        <w:autoSpaceDN w:val="0"/>
        <w:jc w:val="center"/>
        <w:rPr>
          <w:rFonts w:hint="eastAsia" w:ascii="宋体" w:hAnsi="宋体" w:cs="宋体"/>
          <w:b/>
          <w:color w:val="auto"/>
          <w:spacing w:val="6"/>
          <w:sz w:val="32"/>
          <w:szCs w:val="32"/>
          <w:highlight w:val="none"/>
        </w:rPr>
      </w:pPr>
    </w:p>
    <w:p w14:paraId="5DE699FB">
      <w:pPr>
        <w:autoSpaceDE w:val="0"/>
        <w:autoSpaceDN w:val="0"/>
        <w:rPr>
          <w:rFonts w:hint="eastAsia" w:ascii="宋体" w:hAnsi="宋体" w:cs="宋体"/>
          <w:b/>
          <w:color w:val="auto"/>
          <w:spacing w:val="6"/>
          <w:sz w:val="32"/>
          <w:szCs w:val="32"/>
          <w:highlight w:val="none"/>
        </w:rPr>
      </w:pPr>
    </w:p>
    <w:p w14:paraId="72AE1F80">
      <w:pPr>
        <w:autoSpaceDE w:val="0"/>
        <w:autoSpaceDN w:val="0"/>
        <w:jc w:val="center"/>
        <w:rPr>
          <w:rFonts w:hint="eastAsia" w:ascii="宋体" w:hAnsi="宋体" w:cs="宋体"/>
          <w:b/>
          <w:color w:val="auto"/>
          <w:spacing w:val="6"/>
          <w:sz w:val="32"/>
          <w:szCs w:val="32"/>
          <w:highlight w:val="none"/>
        </w:rPr>
      </w:pPr>
    </w:p>
    <w:p w14:paraId="1CFB723B">
      <w:pPr>
        <w:widowControl/>
        <w:adjustRightInd/>
        <w:jc w:val="left"/>
        <w:rPr>
          <w:rFonts w:hint="eastAsia" w:ascii="宋体" w:hAnsi="宋体" w:cs="宋体"/>
          <w:b/>
          <w:color w:val="auto"/>
          <w:spacing w:val="6"/>
          <w:sz w:val="32"/>
          <w:szCs w:val="32"/>
          <w:highlight w:val="none"/>
        </w:rPr>
      </w:pPr>
    </w:p>
    <w:p w14:paraId="7559F74E">
      <w:pPr>
        <w:snapToGrid w:val="0"/>
        <w:spacing w:line="360" w:lineRule="auto"/>
        <w:ind w:firstLine="3666" w:firstLineChars="1100"/>
        <w:rPr>
          <w:rFonts w:hint="eastAsia" w:ascii="宋体" w:hAnsi="宋体" w:cs="宋体"/>
          <w:b/>
          <w:color w:val="auto"/>
          <w:spacing w:val="6"/>
          <w:sz w:val="32"/>
          <w:szCs w:val="32"/>
          <w:highlight w:val="none"/>
        </w:rPr>
      </w:pPr>
    </w:p>
    <w:p w14:paraId="17715C2E">
      <w:pPr>
        <w:widowControl/>
        <w:adjustRightInd/>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2EA1977">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9DFD262">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A96BFA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sz w:val="24"/>
          <w:highlight w:val="none"/>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杭州市第四人民医院（杭州市肿瘤医院）迁建工程BIM技术咨询服务项目【招标编号：</w:t>
      </w:r>
      <w:r>
        <w:rPr>
          <w:rFonts w:hint="eastAsia" w:ascii="宋体" w:hAnsi="宋体" w:cs="宋体"/>
          <w:color w:val="auto"/>
          <w:sz w:val="24"/>
          <w:highlight w:val="none"/>
          <w:lang w:eastAsia="zh-CN"/>
        </w:rPr>
        <w:t>CTZB-2025010383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的中标人，将依法采取分包方式履行合同。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sz w:val="24"/>
          <w:highlight w:val="none"/>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w:t>
      </w:r>
      <w:r>
        <w:rPr>
          <w:rFonts w:hint="eastAsia" w:ascii="宋体" w:hAnsi="宋体" w:cs="宋体"/>
          <w:color w:val="auto"/>
          <w:sz w:val="24"/>
          <w:highlight w:val="none"/>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44389D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E0CCA7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sz w:val="24"/>
          <w:highlight w:val="none"/>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w:t>
      </w:r>
      <w:r>
        <w:rPr>
          <w:rFonts w:hint="eastAsia" w:ascii="宋体" w:hAnsi="宋体" w:cs="宋体"/>
          <w:color w:val="auto"/>
          <w:sz w:val="24"/>
          <w:highlight w:val="none"/>
        </w:rPr>
        <w:t>供应商</w:t>
      </w:r>
      <w:r>
        <w:rPr>
          <w:rFonts w:hint="eastAsia" w:ascii="宋体" w:hAnsi="宋体" w:cs="宋体"/>
          <w:color w:val="auto"/>
          <w:kern w:val="0"/>
          <w:sz w:val="24"/>
          <w:highlight w:val="none"/>
          <w:u w:val="single"/>
        </w:rPr>
        <w:t>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w:t>
      </w:r>
      <w:r>
        <w:rPr>
          <w:rFonts w:hint="eastAsia" w:ascii="宋体" w:hAnsi="宋体" w:cs="宋体"/>
          <w:color w:val="auto"/>
          <w:sz w:val="24"/>
          <w:highlight w:val="none"/>
        </w:rPr>
        <w:t>供应商</w:t>
      </w:r>
      <w:r>
        <w:rPr>
          <w:rFonts w:hint="eastAsia" w:ascii="宋体" w:hAnsi="宋体" w:cs="宋体"/>
          <w:color w:val="auto"/>
          <w:kern w:val="0"/>
          <w:sz w:val="24"/>
          <w:highlight w:val="none"/>
          <w:u w:val="single"/>
        </w:rPr>
        <w:t>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BBFEF46">
      <w:pPr>
        <w:pStyle w:val="8"/>
        <w:jc w:val="left"/>
        <w:rPr>
          <w:rFonts w:hint="eastAsia"/>
          <w:color w:val="auto"/>
          <w:highlight w:val="none"/>
        </w:rPr>
      </w:pPr>
      <w:r>
        <w:rPr>
          <w:rFonts w:hint="eastAsia"/>
          <w:color w:val="auto"/>
          <w:highlight w:val="none"/>
        </w:rPr>
        <w:t>……</w:t>
      </w:r>
    </w:p>
    <w:p w14:paraId="0D4B4B8A">
      <w:pPr>
        <w:rPr>
          <w:color w:val="auto"/>
          <w:highlight w:val="none"/>
        </w:rPr>
      </w:pPr>
      <w:r>
        <w:rPr>
          <w:rFonts w:hint="eastAsia"/>
          <w:color w:val="auto"/>
          <w:highlight w:val="none"/>
          <w:lang w:val="zh-CN"/>
        </w:rPr>
        <w:t xml:space="preserve"> </w:t>
      </w:r>
    </w:p>
    <w:p w14:paraId="1C9DB16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w:t>
      </w:r>
      <w:r>
        <w:rPr>
          <w:rFonts w:hint="eastAsia" w:ascii="宋体" w:hAnsi="宋体" w:cs="宋体"/>
          <w:color w:val="auto"/>
          <w:sz w:val="24"/>
          <w:highlight w:val="none"/>
        </w:rPr>
        <w:t>供应商</w:t>
      </w:r>
      <w:r>
        <w:rPr>
          <w:rFonts w:hint="eastAsia" w:ascii="宋体" w:hAnsi="宋体" w:cs="宋体"/>
          <w:color w:val="auto"/>
          <w:kern w:val="0"/>
          <w:sz w:val="24"/>
          <w:highlight w:val="none"/>
          <w:lang w:val="zh-CN"/>
        </w:rPr>
        <w:t>中小企业合同份额</w:t>
      </w:r>
    </w:p>
    <w:p w14:paraId="68AB355F">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B2B7ADF">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要求合同分包形式参加的项目或采购包，投标人按招标文件第一部分招标公告申请人的资格要求中规定的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E156C1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6DFA4B7">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3CBEC07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CEA9A1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F25CCF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835793F">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794B57">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64C205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81C4B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A642D7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30322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400BD70">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B703F29">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分包投标人名称(电子签名/公章)：</w:t>
      </w:r>
    </w:p>
    <w:p w14:paraId="4C34010E">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21944FD">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E785BA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A60E2ED">
      <w:pPr>
        <w:autoSpaceDE w:val="0"/>
        <w:autoSpaceDN w:val="0"/>
        <w:jc w:val="center"/>
        <w:rPr>
          <w:rFonts w:hint="eastAsia" w:ascii="宋体" w:hAnsi="宋体" w:cs="宋体"/>
          <w:b/>
          <w:color w:val="auto"/>
          <w:spacing w:val="6"/>
          <w:sz w:val="32"/>
          <w:szCs w:val="32"/>
          <w:highlight w:val="none"/>
        </w:rPr>
      </w:pPr>
    </w:p>
    <w:p w14:paraId="41EE4CA1">
      <w:pPr>
        <w:autoSpaceDE w:val="0"/>
        <w:autoSpaceDN w:val="0"/>
        <w:jc w:val="center"/>
        <w:rPr>
          <w:rFonts w:hint="eastAsia" w:ascii="宋体" w:hAnsi="宋体" w:cs="宋体"/>
          <w:b/>
          <w:color w:val="auto"/>
          <w:spacing w:val="6"/>
          <w:sz w:val="32"/>
          <w:szCs w:val="32"/>
          <w:highlight w:val="none"/>
        </w:rPr>
      </w:pPr>
    </w:p>
    <w:p w14:paraId="6DFE8E9B">
      <w:pPr>
        <w:autoSpaceDE w:val="0"/>
        <w:autoSpaceDN w:val="0"/>
        <w:jc w:val="center"/>
        <w:rPr>
          <w:rFonts w:hint="eastAsia" w:ascii="宋体" w:hAnsi="宋体" w:cs="宋体"/>
          <w:b/>
          <w:color w:val="auto"/>
          <w:spacing w:val="6"/>
          <w:sz w:val="32"/>
          <w:szCs w:val="32"/>
          <w:highlight w:val="none"/>
        </w:rPr>
      </w:pPr>
    </w:p>
    <w:p w14:paraId="59B1D382">
      <w:pPr>
        <w:autoSpaceDE w:val="0"/>
        <w:autoSpaceDN w:val="0"/>
        <w:jc w:val="center"/>
        <w:rPr>
          <w:rFonts w:hint="eastAsia" w:ascii="宋体" w:hAnsi="宋体" w:cs="宋体"/>
          <w:b/>
          <w:color w:val="auto"/>
          <w:spacing w:val="6"/>
          <w:sz w:val="32"/>
          <w:szCs w:val="32"/>
          <w:highlight w:val="none"/>
        </w:rPr>
      </w:pPr>
    </w:p>
    <w:p w14:paraId="160BFE2B">
      <w:pPr>
        <w:autoSpaceDE w:val="0"/>
        <w:autoSpaceDN w:val="0"/>
        <w:jc w:val="center"/>
        <w:rPr>
          <w:rFonts w:hint="eastAsia" w:ascii="宋体" w:hAnsi="宋体" w:cs="宋体"/>
          <w:b/>
          <w:color w:val="auto"/>
          <w:spacing w:val="6"/>
          <w:sz w:val="32"/>
          <w:szCs w:val="32"/>
          <w:highlight w:val="none"/>
        </w:rPr>
      </w:pPr>
    </w:p>
    <w:p w14:paraId="65226639">
      <w:pPr>
        <w:autoSpaceDE w:val="0"/>
        <w:autoSpaceDN w:val="0"/>
        <w:jc w:val="center"/>
        <w:rPr>
          <w:rFonts w:hint="eastAsia" w:ascii="宋体" w:hAnsi="宋体" w:cs="宋体"/>
          <w:b/>
          <w:color w:val="auto"/>
          <w:spacing w:val="6"/>
          <w:sz w:val="32"/>
          <w:szCs w:val="32"/>
          <w:highlight w:val="none"/>
        </w:rPr>
      </w:pPr>
    </w:p>
    <w:p w14:paraId="73B89828">
      <w:pPr>
        <w:autoSpaceDE w:val="0"/>
        <w:autoSpaceDN w:val="0"/>
        <w:jc w:val="center"/>
        <w:rPr>
          <w:rFonts w:hint="eastAsia" w:ascii="宋体" w:hAnsi="宋体" w:cs="宋体"/>
          <w:b/>
          <w:color w:val="auto"/>
          <w:spacing w:val="6"/>
          <w:sz w:val="32"/>
          <w:szCs w:val="32"/>
          <w:highlight w:val="none"/>
        </w:rPr>
      </w:pPr>
    </w:p>
    <w:p w14:paraId="0BB2359D">
      <w:pPr>
        <w:autoSpaceDE w:val="0"/>
        <w:autoSpaceDN w:val="0"/>
        <w:jc w:val="center"/>
        <w:rPr>
          <w:rFonts w:hint="eastAsia" w:ascii="宋体" w:hAnsi="宋体" w:cs="宋体"/>
          <w:b/>
          <w:color w:val="auto"/>
          <w:spacing w:val="6"/>
          <w:sz w:val="32"/>
          <w:szCs w:val="32"/>
          <w:highlight w:val="none"/>
        </w:rPr>
      </w:pPr>
    </w:p>
    <w:p w14:paraId="4EBF7DE8">
      <w:pPr>
        <w:autoSpaceDE w:val="0"/>
        <w:autoSpaceDN w:val="0"/>
        <w:jc w:val="center"/>
        <w:rPr>
          <w:rFonts w:hint="eastAsia" w:ascii="宋体" w:hAnsi="宋体" w:cs="宋体"/>
          <w:b/>
          <w:color w:val="auto"/>
          <w:spacing w:val="6"/>
          <w:sz w:val="32"/>
          <w:szCs w:val="32"/>
          <w:highlight w:val="none"/>
        </w:rPr>
      </w:pPr>
    </w:p>
    <w:p w14:paraId="234E1E20">
      <w:pPr>
        <w:autoSpaceDE w:val="0"/>
        <w:autoSpaceDN w:val="0"/>
        <w:jc w:val="center"/>
        <w:rPr>
          <w:rFonts w:hint="eastAsia" w:ascii="宋体" w:hAnsi="宋体" w:cs="宋体"/>
          <w:b/>
          <w:color w:val="auto"/>
          <w:spacing w:val="6"/>
          <w:sz w:val="32"/>
          <w:szCs w:val="32"/>
          <w:highlight w:val="none"/>
        </w:rPr>
      </w:pPr>
    </w:p>
    <w:p w14:paraId="06E67A3C">
      <w:pPr>
        <w:autoSpaceDE w:val="0"/>
        <w:autoSpaceDN w:val="0"/>
        <w:jc w:val="center"/>
        <w:rPr>
          <w:rFonts w:hint="eastAsia" w:ascii="宋体" w:hAnsi="宋体" w:cs="宋体"/>
          <w:b/>
          <w:color w:val="auto"/>
          <w:spacing w:val="6"/>
          <w:sz w:val="32"/>
          <w:szCs w:val="32"/>
          <w:highlight w:val="none"/>
        </w:rPr>
      </w:pPr>
    </w:p>
    <w:p w14:paraId="52EC03A5">
      <w:pPr>
        <w:autoSpaceDE w:val="0"/>
        <w:autoSpaceDN w:val="0"/>
        <w:jc w:val="center"/>
        <w:rPr>
          <w:rFonts w:hint="eastAsia" w:ascii="宋体" w:hAnsi="宋体" w:cs="宋体"/>
          <w:b/>
          <w:color w:val="auto"/>
          <w:spacing w:val="6"/>
          <w:sz w:val="32"/>
          <w:szCs w:val="32"/>
          <w:highlight w:val="none"/>
        </w:rPr>
      </w:pPr>
    </w:p>
    <w:p w14:paraId="4354C574">
      <w:pPr>
        <w:autoSpaceDE w:val="0"/>
        <w:autoSpaceDN w:val="0"/>
        <w:jc w:val="center"/>
        <w:rPr>
          <w:rFonts w:hint="eastAsia" w:ascii="宋体" w:hAnsi="宋体" w:cs="宋体"/>
          <w:b/>
          <w:color w:val="auto"/>
          <w:spacing w:val="6"/>
          <w:sz w:val="32"/>
          <w:szCs w:val="32"/>
          <w:highlight w:val="none"/>
        </w:rPr>
      </w:pPr>
    </w:p>
    <w:p w14:paraId="2627DE4A">
      <w:pPr>
        <w:autoSpaceDE w:val="0"/>
        <w:autoSpaceDN w:val="0"/>
        <w:jc w:val="center"/>
        <w:rPr>
          <w:rFonts w:hint="eastAsia" w:ascii="宋体" w:hAnsi="宋体" w:cs="宋体"/>
          <w:b/>
          <w:color w:val="auto"/>
          <w:spacing w:val="6"/>
          <w:sz w:val="32"/>
          <w:szCs w:val="32"/>
          <w:highlight w:val="none"/>
        </w:rPr>
      </w:pPr>
    </w:p>
    <w:p w14:paraId="62878CFB">
      <w:pPr>
        <w:autoSpaceDE w:val="0"/>
        <w:autoSpaceDN w:val="0"/>
        <w:jc w:val="center"/>
        <w:rPr>
          <w:rFonts w:hint="eastAsia" w:ascii="宋体" w:hAnsi="宋体" w:cs="宋体"/>
          <w:b/>
          <w:color w:val="auto"/>
          <w:spacing w:val="6"/>
          <w:sz w:val="32"/>
          <w:szCs w:val="32"/>
          <w:highlight w:val="none"/>
        </w:rPr>
      </w:pPr>
    </w:p>
    <w:p w14:paraId="053859B2">
      <w:pPr>
        <w:autoSpaceDE w:val="0"/>
        <w:autoSpaceDN w:val="0"/>
        <w:rPr>
          <w:rFonts w:hint="eastAsia" w:ascii="宋体" w:hAnsi="宋体" w:cs="宋体"/>
          <w:b/>
          <w:color w:val="auto"/>
          <w:spacing w:val="6"/>
          <w:sz w:val="32"/>
          <w:szCs w:val="32"/>
          <w:highlight w:val="none"/>
        </w:rPr>
      </w:pPr>
    </w:p>
    <w:p w14:paraId="5DD5B357">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A4DFADA">
      <w:pPr>
        <w:pStyle w:val="8"/>
        <w:tabs>
          <w:tab w:val="center" w:pos="4535"/>
        </w:tabs>
        <w:spacing w:before="240"/>
        <w:ind w:firstLine="0" w:firstLineChars="0"/>
        <w:jc w:val="left"/>
        <w:rPr>
          <w:rFonts w:hint="eastAsia"/>
          <w:b/>
          <w:bCs/>
          <w:color w:val="auto"/>
          <w:sz w:val="36"/>
          <w:szCs w:val="36"/>
          <w:highlight w:val="none"/>
        </w:rPr>
      </w:pPr>
      <w:r>
        <w:rPr>
          <w:rFonts w:hint="eastAsia"/>
          <w:b/>
          <w:bCs/>
          <w:color w:val="auto"/>
          <w:sz w:val="36"/>
          <w:szCs w:val="36"/>
          <w:highlight w:val="none"/>
        </w:rPr>
        <w:t>附件</w:t>
      </w:r>
      <w:r>
        <w:rPr>
          <w:b/>
          <w:bCs/>
          <w:color w:val="auto"/>
          <w:sz w:val="36"/>
          <w:szCs w:val="36"/>
          <w:highlight w:val="none"/>
        </w:rPr>
        <w:t>7</w:t>
      </w:r>
      <w:r>
        <w:rPr>
          <w:rFonts w:hint="eastAsia"/>
          <w:b/>
          <w:bCs/>
          <w:color w:val="auto"/>
          <w:sz w:val="36"/>
          <w:szCs w:val="36"/>
          <w:highlight w:val="none"/>
        </w:rPr>
        <w:t>：中小企业声明函</w:t>
      </w:r>
      <w:r>
        <w:rPr>
          <w:rFonts w:hint="eastAsia"/>
          <w:b/>
          <w:bCs/>
          <w:color w:val="auto"/>
          <w:sz w:val="36"/>
          <w:szCs w:val="36"/>
          <w:highlight w:val="none"/>
        </w:rPr>
        <w:tab/>
      </w:r>
    </w:p>
    <w:p w14:paraId="4C9D6CC3">
      <w:pPr>
        <w:spacing w:line="360" w:lineRule="auto"/>
        <w:jc w:val="center"/>
        <w:rPr>
          <w:rFonts w:hint="eastAsia" w:ascii="宋体" w:hAnsi="宋体" w:cs="宋体"/>
          <w:color w:val="auto"/>
          <w:sz w:val="24"/>
          <w:highlight w:val="none"/>
          <w:u w:val="single"/>
        </w:rPr>
      </w:pPr>
    </w:p>
    <w:p w14:paraId="4E626070">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F1A7C3C">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杭州市卫生健康事业发展中心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杭州市第四人民医院（杭州市肿瘤医院）迁建工程BIM技术咨询服务项目</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261CD19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rPr>
        <w:t>；</w:t>
      </w:r>
    </w:p>
    <w:p w14:paraId="3AA0F50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BE5EF3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4F1684E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DF5FBD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0CB6A74">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26BFCDF1">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274C5C50">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77E20A9">
      <w:pPr>
        <w:spacing w:line="360" w:lineRule="auto"/>
        <w:ind w:right="420"/>
        <w:rPr>
          <w:rFonts w:hint="eastAsia" w:ascii="宋体" w:hAnsi="宋体" w:cs="宋体"/>
          <w:color w:val="auto"/>
          <w:sz w:val="24"/>
          <w:highlight w:val="none"/>
        </w:rPr>
      </w:pPr>
    </w:p>
    <w:p w14:paraId="7CB7C4B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31019737">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w:t>
      </w:r>
      <w:r>
        <w:rPr>
          <w:rFonts w:ascii="宋体" w:hAnsi="宋体" w:cs="宋体"/>
          <w:color w:val="auto"/>
          <w:sz w:val="24"/>
          <w:highlight w:val="none"/>
        </w:rPr>
        <w:tab/>
      </w:r>
      <w:r>
        <w:rPr>
          <w:rFonts w:hint="eastAsia" w:ascii="宋体" w:hAnsi="宋体" w:cs="宋体"/>
          <w:color w:val="auto"/>
          <w:sz w:val="24"/>
          <w:highlight w:val="none"/>
        </w:rPr>
        <w:t>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声明内容不实的，属于提供虚假材料谋取中标、成交的，依法承担法律责任。</w:t>
      </w:r>
    </w:p>
    <w:p w14:paraId="2512D573">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E9366A8">
      <w:pPr>
        <w:spacing w:line="360" w:lineRule="auto"/>
        <w:rPr>
          <w:rFonts w:hint="eastAsia" w:ascii="宋体" w:hAnsi="宋体" w:cs="宋体"/>
          <w:bCs/>
          <w:color w:val="auto"/>
          <w:sz w:val="24"/>
          <w:highlight w:val="none"/>
        </w:rPr>
      </w:pPr>
    </w:p>
    <w:p w14:paraId="57D6189E">
      <w:pPr>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35BB">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CC9C2">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F982">
    <w:pPr>
      <w:pStyle w:val="11"/>
      <w:framePr w:wrap="around" w:vAnchor="text" w:hAnchor="margin" w:xAlign="right" w:y="1"/>
      <w:rPr>
        <w:rStyle w:val="19"/>
      </w:rPr>
    </w:pPr>
    <w:r>
      <w:fldChar w:fldCharType="begin"/>
    </w:r>
    <w:r>
      <w:rPr>
        <w:rStyle w:val="19"/>
      </w:rPr>
      <w:instrText xml:space="preserve">PAGE  </w:instrText>
    </w:r>
    <w:r>
      <w:fldChar w:fldCharType="separate"/>
    </w:r>
    <w:r>
      <w:rPr>
        <w:rStyle w:val="19"/>
      </w:rPr>
      <w:t>28</w:t>
    </w:r>
    <w:r>
      <w:fldChar w:fldCharType="end"/>
    </w:r>
  </w:p>
  <w:p w14:paraId="5F51BF76">
    <w:pPr>
      <w:pStyle w:val="1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73C99">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410" w:name="_Toc131845147"/>
    <w:bookmarkStart w:id="411" w:name="_Toc36110187"/>
    <w:bookmarkStart w:id="412" w:name="_Toc91899912"/>
    <w:bookmarkStart w:id="413" w:name="_Toc164085800"/>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E5F4C">
    <w:pPr>
      <w:pStyle w:val="11"/>
      <w:framePr w:wrap="around" w:vAnchor="text" w:hAnchor="margin" w:xAlign="right" w:y="1"/>
      <w:rPr>
        <w:rStyle w:val="19"/>
      </w:rPr>
    </w:pPr>
    <w:r>
      <w:fldChar w:fldCharType="begin"/>
    </w:r>
    <w:r>
      <w:rPr>
        <w:rStyle w:val="19"/>
      </w:rPr>
      <w:instrText xml:space="preserve">PAGE  </w:instrText>
    </w:r>
    <w:r>
      <w:fldChar w:fldCharType="end"/>
    </w:r>
  </w:p>
  <w:p w14:paraId="2ACAC0C0">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F4419">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A707E">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5ABA577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0069D">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w:t>
    </w:r>
  </w:p>
  <w:p w14:paraId="313A938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2EE9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180785B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8231D">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4537D66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4437E">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658E356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1574B">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7B3E984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34B89">
    <w:pPr>
      <w:pStyle w:val="12"/>
    </w:pPr>
    <w:r>
      <w:rPr>
        <w:rFonts w:hint="eastAsia"/>
      </w:rPr>
      <w:t xml:space="preserve">             </w:t>
    </w:r>
    <w:r>
      <w:t>杭州市政府采购公开招标文件</w:t>
    </w:r>
  </w:p>
  <w:p w14:paraId="72457226">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9EAC3">
    <w:pPr>
      <w:pStyle w:val="12"/>
    </w:pP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0F0F">
    <w:pPr>
      <w:pStyle w:val="12"/>
    </w:pPr>
    <w:r>
      <w:rPr>
        <w:rFonts w:hint="eastAsia"/>
        <w:lang w:val="zh-CN"/>
      </w:rPr>
      <w:t xml:space="preserve"> </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D82F2">
    <w:pPr>
      <w:pStyle w:val="12"/>
      <w:rPr>
        <w:rFonts w:ascii="仿宋_GB2312" w:eastAsia="仿宋_GB2312"/>
        <w:b/>
        <w:i/>
        <w:u w:val="single"/>
      </w:rPr>
    </w:pPr>
    <w:r>
      <w:rPr>
        <w:rFonts w:hint="eastAsia"/>
      </w:rPr>
      <w:t xml:space="preserve">                                                  </w:t>
    </w:r>
    <w:r>
      <w:t xml:space="preserve">             杭州市政府采购公开招标文件</w:t>
    </w:r>
  </w:p>
  <w:p w14:paraId="3E753F0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AF8E">
    <w:pPr>
      <w:pStyle w:val="1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BFF8">
    <w:pPr>
      <w:pStyle w:val="12"/>
      <w:rPr>
        <w:rFonts w:ascii="仿宋_GB2312" w:eastAsia="仿宋_GB2312"/>
        <w:b/>
        <w:i/>
        <w:u w:val="single"/>
      </w:rPr>
    </w:pPr>
    <w:r>
      <w:rPr>
        <w:rFonts w:hint="eastAsia"/>
      </w:rPr>
      <w:t xml:space="preserve">                                 </w:t>
    </w:r>
    <w:r>
      <w:t>杭州市政府采购公开招标文件</w:t>
    </w:r>
  </w:p>
  <w:p w14:paraId="1B0C728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E26A2">
    <w:pPr>
      <w:pStyle w:val="12"/>
    </w:pP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002E8">
    <w:pPr>
      <w:pStyle w:val="12"/>
      <w:rPr>
        <w:rFonts w:ascii="仿宋_GB2312" w:eastAsia="仿宋_GB2312"/>
        <w:b/>
        <w:i/>
        <w:u w:val="single"/>
      </w:rPr>
    </w:pPr>
    <w:r>
      <w:rPr>
        <w:rFonts w:hint="eastAsia"/>
      </w:rPr>
      <w:t xml:space="preserve">                                  </w:t>
    </w:r>
    <w:r>
      <w:t>杭州市政府采购公开招标文件</w:t>
    </w:r>
  </w:p>
  <w:p w14:paraId="764C872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E048">
    <w:pPr>
      <w:pStyle w:val="12"/>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453EA">
    <w:pPr>
      <w:pStyle w:val="12"/>
      <w:rPr>
        <w:rFonts w:ascii="仿宋_GB2312" w:eastAsia="仿宋_GB2312"/>
        <w:b/>
        <w:i/>
        <w:iCs/>
        <w:u w:val="single"/>
      </w:rPr>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7152C"/>
    <w:multiLevelType w:val="singleLevel"/>
    <w:tmpl w:val="81F7152C"/>
    <w:lvl w:ilvl="0" w:tentative="0">
      <w:start w:val="1"/>
      <w:numFmt w:val="decimal"/>
      <w:suff w:val="nothing"/>
      <w:lvlText w:val="（%1）"/>
      <w:lvlJc w:val="left"/>
    </w:lvl>
  </w:abstractNum>
  <w:abstractNum w:abstractNumId="1">
    <w:nsid w:val="D29590D5"/>
    <w:multiLevelType w:val="singleLevel"/>
    <w:tmpl w:val="D29590D5"/>
    <w:lvl w:ilvl="0" w:tentative="0">
      <w:start w:val="19"/>
      <w:numFmt w:val="chineseCounting"/>
      <w:suff w:val="space"/>
      <w:lvlText w:val="第%1条"/>
      <w:lvlJc w:val="left"/>
      <w:rPr>
        <w:rFonts w:hint="eastAsia"/>
      </w:rPr>
    </w:lvl>
  </w:abstractNum>
  <w:abstractNum w:abstractNumId="2">
    <w:nsid w:val="70956A91"/>
    <w:multiLevelType w:val="singleLevel"/>
    <w:tmpl w:val="70956A91"/>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iNWE3MDhiZmI5OWIxYzY0NDgzZDdhZTljNjY0MWIifQ=="/>
    <w:docVar w:name="KSO_WPS_MARK_KEY" w:val="708dbcb4-9998-4a01-97d9-695b1d55fc8e"/>
  </w:docVars>
  <w:rsids>
    <w:rsidRoot w:val="52AF1027"/>
    <w:rsid w:val="000210BB"/>
    <w:rsid w:val="000644EB"/>
    <w:rsid w:val="001017CF"/>
    <w:rsid w:val="00133BF4"/>
    <w:rsid w:val="001566CE"/>
    <w:rsid w:val="001836E7"/>
    <w:rsid w:val="001971E3"/>
    <w:rsid w:val="001C4302"/>
    <w:rsid w:val="002004E2"/>
    <w:rsid w:val="0022317E"/>
    <w:rsid w:val="00223B09"/>
    <w:rsid w:val="00267D1B"/>
    <w:rsid w:val="002D7084"/>
    <w:rsid w:val="002E1A26"/>
    <w:rsid w:val="00302264"/>
    <w:rsid w:val="00325A9D"/>
    <w:rsid w:val="00333F90"/>
    <w:rsid w:val="00384E0D"/>
    <w:rsid w:val="003D35AC"/>
    <w:rsid w:val="004036B7"/>
    <w:rsid w:val="0043341F"/>
    <w:rsid w:val="004366AA"/>
    <w:rsid w:val="00482E32"/>
    <w:rsid w:val="004A7A1C"/>
    <w:rsid w:val="004B01BF"/>
    <w:rsid w:val="004C5D8D"/>
    <w:rsid w:val="00537CD4"/>
    <w:rsid w:val="00540BF4"/>
    <w:rsid w:val="005A0C5F"/>
    <w:rsid w:val="00605E49"/>
    <w:rsid w:val="006406B0"/>
    <w:rsid w:val="00642979"/>
    <w:rsid w:val="00646284"/>
    <w:rsid w:val="00690D82"/>
    <w:rsid w:val="006A6CBD"/>
    <w:rsid w:val="006B2AD7"/>
    <w:rsid w:val="00700339"/>
    <w:rsid w:val="00705075"/>
    <w:rsid w:val="0070589C"/>
    <w:rsid w:val="00741381"/>
    <w:rsid w:val="00773E8D"/>
    <w:rsid w:val="0078233C"/>
    <w:rsid w:val="007825A2"/>
    <w:rsid w:val="007F73B5"/>
    <w:rsid w:val="00806683"/>
    <w:rsid w:val="0081169E"/>
    <w:rsid w:val="00833C05"/>
    <w:rsid w:val="00842AF1"/>
    <w:rsid w:val="00852913"/>
    <w:rsid w:val="00865FD6"/>
    <w:rsid w:val="008860AE"/>
    <w:rsid w:val="008A3E82"/>
    <w:rsid w:val="008E3F46"/>
    <w:rsid w:val="008F683D"/>
    <w:rsid w:val="009038B9"/>
    <w:rsid w:val="009821AD"/>
    <w:rsid w:val="009C4B17"/>
    <w:rsid w:val="009E01D6"/>
    <w:rsid w:val="009E1300"/>
    <w:rsid w:val="009E55D1"/>
    <w:rsid w:val="00A249A5"/>
    <w:rsid w:val="00A621CC"/>
    <w:rsid w:val="00A736C8"/>
    <w:rsid w:val="00AA3C3E"/>
    <w:rsid w:val="00AC7A30"/>
    <w:rsid w:val="00AD1487"/>
    <w:rsid w:val="00B0604B"/>
    <w:rsid w:val="00B11FC2"/>
    <w:rsid w:val="00B21298"/>
    <w:rsid w:val="00B3610E"/>
    <w:rsid w:val="00B45244"/>
    <w:rsid w:val="00B46B83"/>
    <w:rsid w:val="00B5053D"/>
    <w:rsid w:val="00BA69A9"/>
    <w:rsid w:val="00C2402D"/>
    <w:rsid w:val="00C27B8A"/>
    <w:rsid w:val="00C819C9"/>
    <w:rsid w:val="00C821F7"/>
    <w:rsid w:val="00C83240"/>
    <w:rsid w:val="00C842D6"/>
    <w:rsid w:val="00C93E59"/>
    <w:rsid w:val="00D034A0"/>
    <w:rsid w:val="00D12AEF"/>
    <w:rsid w:val="00D36ED6"/>
    <w:rsid w:val="00D93D06"/>
    <w:rsid w:val="00DB63A3"/>
    <w:rsid w:val="00DD4790"/>
    <w:rsid w:val="00DE71F1"/>
    <w:rsid w:val="00DE733D"/>
    <w:rsid w:val="00E01D89"/>
    <w:rsid w:val="00E067CE"/>
    <w:rsid w:val="00E77DB9"/>
    <w:rsid w:val="00EA0790"/>
    <w:rsid w:val="00EF5F4D"/>
    <w:rsid w:val="00F027A6"/>
    <w:rsid w:val="00F10489"/>
    <w:rsid w:val="00F22CD0"/>
    <w:rsid w:val="00F63AA6"/>
    <w:rsid w:val="00F932EB"/>
    <w:rsid w:val="04307DED"/>
    <w:rsid w:val="04964D2E"/>
    <w:rsid w:val="09832CE2"/>
    <w:rsid w:val="0C364685"/>
    <w:rsid w:val="0EC248F6"/>
    <w:rsid w:val="122968D9"/>
    <w:rsid w:val="12564566"/>
    <w:rsid w:val="13AB2FD2"/>
    <w:rsid w:val="182148C3"/>
    <w:rsid w:val="1A5043D4"/>
    <w:rsid w:val="1A76606E"/>
    <w:rsid w:val="1C1D1FD3"/>
    <w:rsid w:val="1FDF2441"/>
    <w:rsid w:val="22580C4B"/>
    <w:rsid w:val="22AB0EAD"/>
    <w:rsid w:val="24961554"/>
    <w:rsid w:val="295A2D3E"/>
    <w:rsid w:val="296E46BB"/>
    <w:rsid w:val="2B725BE6"/>
    <w:rsid w:val="2BBA7BCA"/>
    <w:rsid w:val="2CE41C36"/>
    <w:rsid w:val="36E01FFC"/>
    <w:rsid w:val="39D17651"/>
    <w:rsid w:val="3F8539C2"/>
    <w:rsid w:val="51F17EC1"/>
    <w:rsid w:val="52AF1027"/>
    <w:rsid w:val="53A92E27"/>
    <w:rsid w:val="560009A1"/>
    <w:rsid w:val="588600A3"/>
    <w:rsid w:val="59F10812"/>
    <w:rsid w:val="5B885B4D"/>
    <w:rsid w:val="60C301CC"/>
    <w:rsid w:val="61786679"/>
    <w:rsid w:val="66DE080D"/>
    <w:rsid w:val="67473BEB"/>
    <w:rsid w:val="697E67EC"/>
    <w:rsid w:val="6A7327B4"/>
    <w:rsid w:val="6D873ECD"/>
    <w:rsid w:val="6DDE6F4D"/>
    <w:rsid w:val="6F594B7B"/>
    <w:rsid w:val="6F66712B"/>
    <w:rsid w:val="721D2937"/>
    <w:rsid w:val="72F15C38"/>
    <w:rsid w:val="74AD06B5"/>
    <w:rsid w:val="75B92CC6"/>
    <w:rsid w:val="7904051A"/>
    <w:rsid w:val="7A0C3C8A"/>
    <w:rsid w:val="7A5B713A"/>
    <w:rsid w:val="7FEA1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hAnsi="Calibri" w:cs="Times New Roman"/>
      <w:snapToGrid/>
      <w:szCs w:val="20"/>
    </w:rPr>
  </w:style>
  <w:style w:type="paragraph" w:styleId="3">
    <w:name w:val="Body Text"/>
    <w:basedOn w:val="1"/>
    <w:next w:val="2"/>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36"/>
    <w:qFormat/>
    <w:uiPriority w:val="99"/>
    <w:pPr>
      <w:jc w:val="left"/>
    </w:p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0">
    <w:name w:val="Plain Text"/>
    <w:basedOn w:val="1"/>
    <w:link w:val="35"/>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right"/>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15">
    <w:name w:val="Body Text First Indent 2"/>
    <w:basedOn w:val="8"/>
    <w:qFormat/>
    <w:uiPriority w:val="0"/>
    <w:pPr>
      <w:adjustRightInd/>
      <w:spacing w:after="120" w:line="240" w:lineRule="auto"/>
      <w:ind w:left="420" w:leftChars="200" w:firstLine="210"/>
    </w:pPr>
    <w:rPr>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ascii="Arial" w:hAnsi="Arial" w:eastAsia="黑体" w:cs="Arial"/>
      <w:snapToGrid w:val="0"/>
      <w:kern w:val="0"/>
      <w:szCs w:val="21"/>
    </w:rPr>
  </w:style>
  <w:style w:type="character" w:styleId="20">
    <w:name w:val="Hyperlink"/>
    <w:qFormat/>
    <w:uiPriority w:val="99"/>
    <w:rPr>
      <w:rFonts w:ascii="Arial" w:hAnsi="Arial" w:eastAsia="黑体" w:cs="Arial"/>
      <w:snapToGrid w:val="0"/>
      <w:color w:val="000000"/>
      <w:kern w:val="0"/>
      <w:sz w:val="18"/>
      <w:szCs w:val="18"/>
      <w:u w:val="none"/>
    </w:rPr>
  </w:style>
  <w:style w:type="character" w:styleId="21">
    <w:name w:val="annotation reference"/>
    <w:basedOn w:val="18"/>
    <w:qFormat/>
    <w:uiPriority w:val="99"/>
    <w:rPr>
      <w:sz w:val="21"/>
      <w:szCs w:val="21"/>
    </w:rPr>
  </w:style>
  <w:style w:type="paragraph" w:customStyle="1" w:styleId="2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23">
    <w:name w:val="_Style 3"/>
    <w:basedOn w:val="1"/>
    <w:qFormat/>
    <w:uiPriority w:val="0"/>
    <w:pPr>
      <w:adjustRightInd/>
      <w:ind w:firstLine="420" w:firstLineChars="200"/>
    </w:pPr>
    <w:rPr>
      <w:rFonts w:eastAsia="仿宋_GB2312"/>
      <w:sz w:val="28"/>
    </w:rPr>
  </w:style>
  <w:style w:type="paragraph" w:customStyle="1" w:styleId="2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5">
    <w:name w:val="正文2"/>
    <w:basedOn w:val="1"/>
    <w:qFormat/>
    <w:uiPriority w:val="0"/>
    <w:pPr>
      <w:spacing w:before="156" w:line="360" w:lineRule="auto"/>
      <w:ind w:firstLine="510" w:firstLineChars="200"/>
    </w:pPr>
    <w:rPr>
      <w:sz w:val="24"/>
      <w:szCs w:val="20"/>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正文空2字"/>
    <w:basedOn w:val="2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8">
    <w:name w:val="左对齐正文"/>
    <w:qFormat/>
    <w:uiPriority w:val="99"/>
    <w:rPr>
      <w:rFonts w:ascii="Calibri" w:hAnsi="Calibri" w:eastAsia="仿宋_GB2312" w:cs="Calibri"/>
      <w:kern w:val="2"/>
      <w:sz w:val="32"/>
      <w:szCs w:val="32"/>
      <w:lang w:val="en-US" w:eastAsia="zh-CN" w:bidi="ar-SA"/>
    </w:rPr>
  </w:style>
  <w:style w:type="paragraph" w:customStyle="1" w:styleId="29">
    <w:name w:val="p0"/>
    <w:basedOn w:val="1"/>
    <w:qFormat/>
    <w:uiPriority w:val="0"/>
    <w:pPr>
      <w:widowControl/>
      <w:adjustRightInd/>
    </w:pPr>
    <w:rPr>
      <w:kern w:val="0"/>
      <w:szCs w:val="21"/>
    </w:rPr>
  </w:style>
  <w:style w:type="paragraph" w:customStyle="1" w:styleId="30">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31">
    <w:name w:val="纯文本_0_0"/>
    <w:basedOn w:val="32"/>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5">
    <w:name w:val="纯文本 字符"/>
    <w:link w:val="10"/>
    <w:qFormat/>
    <w:uiPriority w:val="0"/>
    <w:rPr>
      <w:rFonts w:ascii="宋体" w:hAnsi="Courier New" w:cs="Arial"/>
      <w:snapToGrid w:val="0"/>
      <w:kern w:val="2"/>
      <w:sz w:val="21"/>
      <w:szCs w:val="21"/>
    </w:rPr>
  </w:style>
  <w:style w:type="character" w:customStyle="1" w:styleId="36">
    <w:name w:val="批注文字 字符"/>
    <w:link w:val="7"/>
    <w:qFormat/>
    <w:uiPriority w:val="99"/>
    <w:rPr>
      <w:kern w:val="2"/>
      <w:sz w:val="21"/>
      <w:szCs w:val="24"/>
    </w:rPr>
  </w:style>
  <w:style w:type="paragraph" w:customStyle="1" w:styleId="37">
    <w:name w:val="列出段落"/>
    <w:basedOn w:val="1"/>
    <w:qFormat/>
    <w:uiPriority w:val="0"/>
    <w:pPr>
      <w:ind w:firstLine="420" w:firstLineChars="200"/>
    </w:pPr>
    <w:rPr>
      <w:rFonts w:ascii="Calibri" w:hAnsi="Calibri"/>
      <w:szCs w:val="22"/>
    </w:rPr>
  </w:style>
  <w:style w:type="paragraph" w:customStyle="1" w:styleId="3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39">
    <w:name w:val="列表段落1"/>
    <w:basedOn w:val="1"/>
    <w:qFormat/>
    <w:uiPriority w:val="34"/>
    <w:pPr>
      <w:adjustRightInd/>
      <w:ind w:right="238" w:firstLine="420"/>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5495</Words>
  <Characters>6042</Characters>
  <Lines>399</Lines>
  <Paragraphs>112</Paragraphs>
  <TotalTime>2</TotalTime>
  <ScaleCrop>false</ScaleCrop>
  <LinksUpToDate>false</LinksUpToDate>
  <CharactersWithSpaces>6429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2025-01-23T06:18:00Z</dcterms:created>
  <dc:creator>Lenovo</dc:creator>
  <cp:lastModifiedBy>小艾</cp:lastModifiedBy>
  <cp:lastPrinted>2024-12-17T07:22:00Z</cp:lastPrinted>
  <dcterms:modified xsi:type="dcterms:W3CDTF">2025-01-24T15:15:30Z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9B4336DE6A384E478594CC4BDA6F4A71_13</vt:lpwstr>
  </property>
  <property fmtid="{D5CDD505-2E9C-101B-9397-08002B2CF9AE}" pid="4" name="KSOTemplateDocerSaveRecord">
    <vt:lpwstr>eyJoZGlkIjoiNGI5ZDJkZDhlMWIzNDM4ZTgwNWE4ZTQwOWQ5MmVkNDIiLCJ1c2VySWQiOiI1OTkyNTI4MzYifQ==</vt:lpwstr>
  </property>
</Properties>
</file>