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7636A">
      <w:pPr>
        <w:spacing w:line="360" w:lineRule="auto"/>
        <w:ind w:left="120" w:firstLine="22"/>
        <w:jc w:val="center"/>
        <w:rPr>
          <w:rFonts w:hint="eastAsia" w:ascii="宋体" w:hAnsi="宋体" w:cs="宋体"/>
          <w:b/>
          <w:color w:val="auto"/>
          <w:sz w:val="24"/>
          <w:highlight w:val="none"/>
        </w:rPr>
      </w:pPr>
    </w:p>
    <w:p w14:paraId="364DCEEC">
      <w:pPr>
        <w:spacing w:line="360" w:lineRule="auto"/>
        <w:ind w:left="120" w:firstLine="22"/>
        <w:jc w:val="center"/>
        <w:rPr>
          <w:rFonts w:hint="eastAsia" w:ascii="宋体" w:hAnsi="宋体" w:cs="宋体"/>
          <w:b/>
          <w:color w:val="auto"/>
          <w:sz w:val="24"/>
          <w:highlight w:val="none"/>
        </w:rPr>
      </w:pPr>
    </w:p>
    <w:p w14:paraId="6207FF69">
      <w:pPr>
        <w:adjustRightInd/>
        <w:spacing w:line="360" w:lineRule="auto"/>
        <w:ind w:left="120" w:firstLine="22"/>
        <w:jc w:val="center"/>
        <w:rPr>
          <w:rFonts w:hint="eastAsia" w:ascii="宋体" w:hAnsi="宋体" w:cs="宋体"/>
          <w:b/>
          <w:color w:val="auto"/>
          <w:sz w:val="44"/>
          <w:szCs w:val="44"/>
          <w:highlight w:val="none"/>
        </w:rPr>
      </w:pPr>
    </w:p>
    <w:p w14:paraId="67DE4A84">
      <w:pPr>
        <w:adjustRightInd/>
        <w:spacing w:line="360" w:lineRule="auto"/>
        <w:ind w:left="120" w:firstLine="22"/>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杭州市年度城市交通运行及公众出行特征动态评估报告项目</w:t>
      </w:r>
    </w:p>
    <w:p w14:paraId="55DD8EF5">
      <w:pPr>
        <w:adjustRightInd/>
        <w:spacing w:line="360" w:lineRule="auto"/>
        <w:ind w:left="120" w:firstLine="22"/>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采购文件 </w:t>
      </w:r>
    </w:p>
    <w:p w14:paraId="2FC22126">
      <w:pPr>
        <w:adjustRightInd/>
        <w:spacing w:line="360" w:lineRule="auto"/>
        <w:ind w:left="120" w:firstLine="22"/>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57E87F8">
      <w:pPr>
        <w:pStyle w:val="4"/>
        <w:rPr>
          <w:rFonts w:hint="eastAsia"/>
          <w:color w:val="auto"/>
          <w:highlight w:val="none"/>
        </w:rPr>
      </w:pPr>
    </w:p>
    <w:p w14:paraId="223314C8">
      <w:pPr>
        <w:snapToGrid w:val="0"/>
        <w:spacing w:line="360" w:lineRule="auto"/>
        <w:ind w:left="120" w:firstLine="22"/>
        <w:jc w:val="center"/>
        <w:rPr>
          <w:rFonts w:hint="eastAsia" w:ascii="宋体" w:hAnsi="宋体" w:cs="宋体"/>
          <w:color w:val="auto"/>
          <w:sz w:val="30"/>
          <w:szCs w:val="30"/>
          <w:highlight w:val="none"/>
        </w:rPr>
      </w:pPr>
      <w:r>
        <w:rPr>
          <w:rFonts w:ascii="宋体" w:hAnsi="宋体" w:cs="宋体"/>
          <w:color w:val="auto"/>
          <w:kern w:val="0"/>
          <w:sz w:val="24"/>
          <w:highlight w:val="none"/>
        </w:rPr>
        <w:drawing>
          <wp:inline distT="0" distB="0" distL="114300" distR="114300">
            <wp:extent cx="1781175" cy="1358265"/>
            <wp:effectExtent l="0" t="0" r="9525" b="13335"/>
            <wp:docPr id="5"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6"/>
                    <pic:cNvPicPr>
                      <a:picLocks noChangeAspect="1"/>
                    </pic:cNvPicPr>
                  </pic:nvPicPr>
                  <pic:blipFill>
                    <a:blip r:embed="rId25"/>
                    <a:stretch>
                      <a:fillRect/>
                    </a:stretch>
                  </pic:blipFill>
                  <pic:spPr>
                    <a:xfrm>
                      <a:off x="0" y="0"/>
                      <a:ext cx="1781175" cy="1358265"/>
                    </a:xfrm>
                    <a:prstGeom prst="rect">
                      <a:avLst/>
                    </a:prstGeom>
                    <a:noFill/>
                    <a:ln>
                      <a:noFill/>
                    </a:ln>
                  </pic:spPr>
                </pic:pic>
              </a:graphicData>
            </a:graphic>
          </wp:inline>
        </w:drawing>
      </w:r>
    </w:p>
    <w:p w14:paraId="1CB0EE69">
      <w:pPr>
        <w:snapToGrid w:val="0"/>
        <w:spacing w:line="360" w:lineRule="auto"/>
        <w:ind w:left="120" w:firstLine="22"/>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编号:CTZB-2025010029</w:t>
      </w:r>
    </w:p>
    <w:p w14:paraId="4AB6FCFF">
      <w:pPr>
        <w:adjustRightInd/>
        <w:spacing w:line="360" w:lineRule="auto"/>
        <w:ind w:left="120" w:firstLine="22"/>
        <w:rPr>
          <w:rFonts w:hint="eastAsia" w:ascii="宋体" w:hAnsi="宋体" w:cs="宋体"/>
          <w:color w:val="auto"/>
          <w:sz w:val="28"/>
          <w:szCs w:val="20"/>
          <w:highlight w:val="none"/>
        </w:rPr>
      </w:pPr>
      <w:r>
        <w:rPr>
          <w:rFonts w:hint="eastAsia" w:ascii="宋体" w:hAnsi="宋体" w:cs="宋体"/>
          <w:color w:val="auto"/>
          <w:sz w:val="28"/>
          <w:szCs w:val="20"/>
          <w:highlight w:val="none"/>
        </w:rPr>
        <w:t xml:space="preserve">                                </w:t>
      </w:r>
    </w:p>
    <w:p w14:paraId="6914AE15">
      <w:pPr>
        <w:spacing w:line="360" w:lineRule="auto"/>
        <w:ind w:left="120" w:firstLine="22"/>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9674799">
      <w:pPr>
        <w:spacing w:line="360" w:lineRule="auto"/>
        <w:ind w:left="120" w:firstLine="22"/>
        <w:jc w:val="center"/>
        <w:rPr>
          <w:rFonts w:hint="eastAsia" w:ascii="宋体" w:hAnsi="宋体" w:cs="宋体"/>
          <w:color w:val="auto"/>
          <w:sz w:val="24"/>
          <w:highlight w:val="none"/>
        </w:rPr>
      </w:pPr>
    </w:p>
    <w:p w14:paraId="6A32AEF7">
      <w:pPr>
        <w:spacing w:line="360" w:lineRule="auto"/>
        <w:ind w:left="120" w:firstLine="22"/>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p w14:paraId="356F39A2">
      <w:pPr>
        <w:snapToGrid w:val="0"/>
        <w:spacing w:line="360" w:lineRule="auto"/>
        <w:ind w:left="120" w:firstLine="22"/>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招标人：</w:t>
      </w:r>
      <w:bookmarkStart w:id="0" w:name="OLE_LINK1"/>
      <w:r>
        <w:rPr>
          <w:rFonts w:hint="eastAsia" w:ascii="宋体" w:hAnsi="宋体" w:cs="宋体"/>
          <w:b/>
          <w:bCs/>
          <w:color w:val="auto"/>
          <w:sz w:val="32"/>
          <w:szCs w:val="32"/>
          <w:highlight w:val="none"/>
        </w:rPr>
        <w:t>杭州市交通运输局</w:t>
      </w:r>
      <w:bookmarkEnd w:id="0"/>
    </w:p>
    <w:p w14:paraId="0702D804">
      <w:pPr>
        <w:snapToGrid w:val="0"/>
        <w:spacing w:line="360" w:lineRule="auto"/>
        <w:ind w:left="120" w:firstLine="22"/>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招标代理机构：浙江省成套招标代理有限公司</w:t>
      </w:r>
    </w:p>
    <w:p w14:paraId="1325D4F7">
      <w:pPr>
        <w:snapToGrid w:val="0"/>
        <w:spacing w:line="360" w:lineRule="auto"/>
        <w:ind w:left="120" w:firstLine="22"/>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二〇二五年一月</w:t>
      </w:r>
    </w:p>
    <w:p w14:paraId="2D67D475">
      <w:pPr>
        <w:spacing w:line="360" w:lineRule="auto"/>
        <w:ind w:left="120" w:firstLine="22"/>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14:paraId="034E6659">
      <w:pPr>
        <w:pStyle w:val="636"/>
        <w:spacing w:line="360" w:lineRule="auto"/>
        <w:ind w:left="210" w:firstLine="355"/>
        <w:rPr>
          <w:color w:val="auto"/>
          <w:highlight w:val="none"/>
        </w:rPr>
      </w:pPr>
    </w:p>
    <w:p w14:paraId="71B90FA3">
      <w:pPr>
        <w:spacing w:line="360" w:lineRule="auto"/>
        <w:ind w:left="120" w:firstLine="22"/>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6399DFF8">
      <w:pPr>
        <w:spacing w:line="360" w:lineRule="auto"/>
        <w:ind w:left="120" w:firstLine="22"/>
        <w:rPr>
          <w:rFonts w:hint="eastAsia" w:ascii="宋体" w:hAnsi="宋体" w:cs="宋体"/>
          <w:color w:val="auto"/>
          <w:sz w:val="32"/>
          <w:szCs w:val="32"/>
          <w:highlight w:val="none"/>
        </w:rPr>
      </w:pPr>
    </w:p>
    <w:p w14:paraId="21321253">
      <w:pPr>
        <w:spacing w:line="360" w:lineRule="auto"/>
        <w:ind w:left="120" w:firstLine="22"/>
        <w:rPr>
          <w:rFonts w:hint="eastAsia" w:ascii="宋体" w:hAnsi="宋体" w:cs="宋体"/>
          <w:color w:val="auto"/>
          <w:sz w:val="32"/>
          <w:szCs w:val="32"/>
          <w:highlight w:val="none"/>
        </w:rPr>
      </w:pPr>
    </w:p>
    <w:p w14:paraId="18F5BCD7">
      <w:pPr>
        <w:spacing w:line="360" w:lineRule="auto"/>
        <w:ind w:left="120"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65A50E9">
      <w:pPr>
        <w:spacing w:line="360" w:lineRule="auto"/>
        <w:ind w:left="120"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1DEB516">
      <w:pPr>
        <w:spacing w:line="360" w:lineRule="auto"/>
        <w:ind w:left="120"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7D600E9">
      <w:pPr>
        <w:spacing w:line="360" w:lineRule="auto"/>
        <w:ind w:left="120"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7ED9E1F">
      <w:pPr>
        <w:spacing w:line="360" w:lineRule="auto"/>
        <w:ind w:left="120"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1D7DCEF">
      <w:pPr>
        <w:spacing w:line="360" w:lineRule="auto"/>
        <w:ind w:left="120"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1439637">
      <w:pPr>
        <w:spacing w:line="360" w:lineRule="auto"/>
        <w:ind w:left="120" w:firstLine="549" w:firstLineChars="229"/>
        <w:rPr>
          <w:rFonts w:hint="eastAsia" w:ascii="宋体" w:hAnsi="宋体" w:cs="宋体"/>
          <w:color w:val="auto"/>
          <w:sz w:val="24"/>
          <w:highlight w:val="none"/>
        </w:rPr>
      </w:pPr>
      <w:bookmarkStart w:id="2" w:name="_Hlt91233176"/>
      <w:bookmarkEnd w:id="2"/>
      <w:bookmarkStart w:id="3" w:name="_Toc91899869"/>
    </w:p>
    <w:p w14:paraId="58E68A34">
      <w:pPr>
        <w:spacing w:line="360" w:lineRule="auto"/>
        <w:ind w:left="120" w:firstLine="549" w:firstLineChars="229"/>
        <w:rPr>
          <w:rFonts w:hint="eastAsia" w:ascii="宋体" w:hAnsi="宋体" w:cs="宋体"/>
          <w:color w:val="auto"/>
          <w:sz w:val="24"/>
          <w:highlight w:val="none"/>
        </w:rPr>
      </w:pPr>
    </w:p>
    <w:p w14:paraId="1F50DF02">
      <w:pPr>
        <w:spacing w:line="360" w:lineRule="auto"/>
        <w:ind w:left="120" w:firstLine="549" w:firstLineChars="229"/>
        <w:rPr>
          <w:rFonts w:hint="eastAsia" w:ascii="宋体" w:hAnsi="宋体" w:cs="宋体"/>
          <w:color w:val="auto"/>
          <w:sz w:val="24"/>
          <w:highlight w:val="none"/>
        </w:rPr>
      </w:pPr>
    </w:p>
    <w:p w14:paraId="7C881BB3">
      <w:pPr>
        <w:spacing w:line="360" w:lineRule="auto"/>
        <w:ind w:left="120" w:firstLine="549" w:firstLineChars="229"/>
        <w:rPr>
          <w:rFonts w:hint="eastAsia" w:ascii="宋体" w:hAnsi="宋体" w:cs="宋体"/>
          <w:color w:val="auto"/>
          <w:sz w:val="24"/>
          <w:highlight w:val="none"/>
        </w:rPr>
      </w:pPr>
    </w:p>
    <w:p w14:paraId="0C9BA947">
      <w:pPr>
        <w:spacing w:line="360" w:lineRule="auto"/>
        <w:ind w:left="120" w:firstLine="549" w:firstLineChars="229"/>
        <w:rPr>
          <w:rFonts w:hint="eastAsia" w:ascii="宋体" w:hAnsi="宋体" w:cs="宋体"/>
          <w:color w:val="auto"/>
          <w:sz w:val="24"/>
          <w:highlight w:val="none"/>
        </w:rPr>
      </w:pPr>
    </w:p>
    <w:p w14:paraId="4AB9B706">
      <w:pPr>
        <w:spacing w:line="360" w:lineRule="auto"/>
        <w:ind w:left="120" w:firstLine="549" w:firstLineChars="229"/>
        <w:rPr>
          <w:rFonts w:hint="eastAsia" w:ascii="宋体" w:hAnsi="宋体" w:cs="宋体"/>
          <w:color w:val="auto"/>
          <w:sz w:val="24"/>
          <w:highlight w:val="none"/>
        </w:rPr>
      </w:pPr>
    </w:p>
    <w:p w14:paraId="51AF3DCA">
      <w:pPr>
        <w:spacing w:line="360" w:lineRule="auto"/>
        <w:ind w:left="120" w:firstLine="549" w:firstLineChars="229"/>
        <w:rPr>
          <w:rFonts w:hint="eastAsia" w:ascii="宋体" w:hAnsi="宋体" w:cs="宋体"/>
          <w:color w:val="auto"/>
          <w:sz w:val="24"/>
          <w:highlight w:val="none"/>
        </w:rPr>
      </w:pPr>
    </w:p>
    <w:p w14:paraId="4AE25BB4">
      <w:pPr>
        <w:spacing w:line="360" w:lineRule="auto"/>
        <w:ind w:left="120" w:firstLine="549" w:firstLineChars="229"/>
        <w:rPr>
          <w:rFonts w:hint="eastAsia" w:ascii="宋体" w:hAnsi="宋体" w:cs="宋体"/>
          <w:color w:val="auto"/>
          <w:sz w:val="24"/>
          <w:highlight w:val="none"/>
        </w:rPr>
      </w:pPr>
    </w:p>
    <w:p w14:paraId="68E4E2C1">
      <w:pPr>
        <w:spacing w:line="360" w:lineRule="auto"/>
        <w:ind w:left="120" w:firstLine="549" w:firstLineChars="229"/>
        <w:rPr>
          <w:rFonts w:hint="eastAsia" w:ascii="宋体" w:hAnsi="宋体" w:cs="宋体"/>
          <w:color w:val="auto"/>
          <w:sz w:val="24"/>
          <w:highlight w:val="none"/>
        </w:rPr>
      </w:pPr>
    </w:p>
    <w:p w14:paraId="2FDBE234">
      <w:pPr>
        <w:spacing w:line="360" w:lineRule="auto"/>
        <w:ind w:left="120" w:firstLine="549" w:firstLineChars="229"/>
        <w:rPr>
          <w:rFonts w:hint="eastAsia" w:ascii="宋体" w:hAnsi="宋体" w:cs="宋体"/>
          <w:color w:val="auto"/>
          <w:sz w:val="24"/>
          <w:highlight w:val="none"/>
        </w:rPr>
      </w:pPr>
    </w:p>
    <w:p w14:paraId="2181A16F">
      <w:pPr>
        <w:spacing w:line="360" w:lineRule="auto"/>
        <w:ind w:left="120" w:firstLine="549" w:firstLineChars="229"/>
        <w:rPr>
          <w:rFonts w:hint="eastAsia" w:ascii="宋体" w:hAnsi="宋体" w:cs="宋体"/>
          <w:color w:val="auto"/>
          <w:sz w:val="24"/>
          <w:highlight w:val="none"/>
        </w:rPr>
      </w:pPr>
    </w:p>
    <w:p w14:paraId="051AF02D">
      <w:pPr>
        <w:spacing w:line="360" w:lineRule="auto"/>
        <w:ind w:left="120" w:firstLine="549" w:firstLineChars="229"/>
        <w:rPr>
          <w:rFonts w:hint="eastAsia" w:ascii="宋体" w:hAnsi="宋体" w:cs="宋体"/>
          <w:color w:val="auto"/>
          <w:sz w:val="24"/>
          <w:highlight w:val="none"/>
        </w:rPr>
      </w:pPr>
    </w:p>
    <w:p w14:paraId="757CA172">
      <w:pPr>
        <w:spacing w:line="360" w:lineRule="auto"/>
        <w:ind w:left="120" w:firstLine="549" w:firstLineChars="229"/>
        <w:rPr>
          <w:rFonts w:hint="eastAsia" w:ascii="宋体" w:hAnsi="宋体" w:cs="宋体"/>
          <w:color w:val="auto"/>
          <w:sz w:val="24"/>
          <w:highlight w:val="none"/>
        </w:rPr>
      </w:pPr>
    </w:p>
    <w:p w14:paraId="494A8DF8">
      <w:pPr>
        <w:spacing w:line="360" w:lineRule="auto"/>
        <w:ind w:left="120" w:firstLine="22"/>
        <w:rPr>
          <w:rFonts w:hint="eastAsia" w:ascii="宋体" w:hAnsi="宋体" w:cs="宋体"/>
          <w:color w:val="auto"/>
          <w:sz w:val="24"/>
          <w:highlight w:val="none"/>
        </w:rPr>
      </w:pPr>
    </w:p>
    <w:p w14:paraId="4C35512A">
      <w:pPr>
        <w:adjustRightInd/>
        <w:spacing w:line="360" w:lineRule="auto"/>
        <w:ind w:left="120" w:firstLine="22"/>
        <w:jc w:val="center"/>
        <w:outlineLvl w:val="0"/>
        <w:rPr>
          <w:rFonts w:hint="eastAsia" w:ascii="宋体" w:hAnsi="宋体" w:cs="宋体"/>
          <w:b/>
          <w:color w:val="auto"/>
          <w:sz w:val="36"/>
          <w:szCs w:val="20"/>
          <w:highlight w:val="none"/>
        </w:rPr>
      </w:pPr>
      <w:bookmarkStart w:id="4" w:name="第一部分"/>
      <w:r>
        <w:rPr>
          <w:rFonts w:hint="eastAsia" w:ascii="宋体" w:hAnsi="宋体" w:cs="宋体"/>
          <w:b/>
          <w:color w:val="auto"/>
          <w:sz w:val="36"/>
          <w:szCs w:val="36"/>
          <w:highlight w:val="none"/>
        </w:rPr>
        <w:br w:type="page"/>
      </w:r>
      <w:bookmarkEnd w:id="3"/>
      <w:bookmarkEnd w:id="4"/>
      <w:bookmarkStart w:id="5" w:name="_Hlt74707423"/>
      <w:bookmarkEnd w:id="5"/>
      <w:bookmarkStart w:id="6" w:name="_Hlt74728647"/>
      <w:bookmarkEnd w:id="6"/>
      <w:bookmarkStart w:id="7" w:name="_Hlt74729822"/>
      <w:bookmarkEnd w:id="7"/>
      <w:bookmarkStart w:id="8" w:name="_Hlt74649545"/>
      <w:bookmarkEnd w:id="8"/>
      <w:bookmarkStart w:id="9" w:name="第二部分"/>
      <w:bookmarkStart w:id="10" w:name="_Toc91899870"/>
      <w:bookmarkStart w:id="11" w:name="_Toc91899871"/>
      <w:r>
        <w:rPr>
          <w:rFonts w:hint="eastAsia" w:ascii="宋体" w:hAnsi="宋体" w:cs="宋体"/>
          <w:b/>
          <w:color w:val="auto"/>
          <w:sz w:val="36"/>
          <w:szCs w:val="20"/>
          <w:highlight w:val="none"/>
        </w:rPr>
        <w:t>第一部分 招标公告</w:t>
      </w:r>
    </w:p>
    <w:p w14:paraId="34778B94">
      <w:pPr>
        <w:pBdr>
          <w:top w:val="single" w:color="auto" w:sz="4" w:space="1"/>
          <w:left w:val="single" w:color="auto" w:sz="4" w:space="4"/>
          <w:bottom w:val="single" w:color="auto" w:sz="4" w:space="1"/>
          <w:right w:val="single" w:color="auto" w:sz="4" w:space="4"/>
        </w:pBd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69328601">
      <w:pPr>
        <w:pBdr>
          <w:top w:val="single" w:color="auto" w:sz="4" w:space="1"/>
          <w:left w:val="single" w:color="auto" w:sz="4" w:space="4"/>
          <w:bottom w:val="single" w:color="auto" w:sz="4" w:space="1"/>
          <w:right w:val="single" w:color="auto" w:sz="4" w:space="4"/>
        </w:pBdr>
        <w:spacing w:line="360" w:lineRule="auto"/>
        <w:ind w:left="12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杭州市年度城市交通运行及公众出行特征动态评估报告项目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"https://www.zcygov.cn/）获取（下载）采购文件，并于2025年%20%20月%20%20日13点30分00秒"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https://www.zcygov.cn/）获取（下载）采购文件，并于2025年</w:t>
      </w:r>
      <w:r>
        <w:rPr>
          <w:rStyle w:val="77"/>
          <w:rFonts w:hint="eastAsia" w:ascii="宋体" w:hAnsi="宋体" w:eastAsia="黑体" w:cs="宋体"/>
          <w:snapToGrid/>
          <w:color w:val="auto"/>
          <w:kern w:val="2"/>
          <w:sz w:val="24"/>
          <w:szCs w:val="24"/>
          <w:highlight w:val="none"/>
          <w:lang w:val="en-US" w:eastAsia="zh-CN"/>
        </w:rPr>
        <w:t>2</w:t>
      </w:r>
      <w:r>
        <w:rPr>
          <w:rStyle w:val="77"/>
          <w:rFonts w:hint="eastAsia" w:ascii="宋体" w:hAnsi="宋体" w:eastAsia="宋体" w:cs="宋体"/>
          <w:snapToGrid/>
          <w:color w:val="auto"/>
          <w:kern w:val="2"/>
          <w:sz w:val="24"/>
          <w:szCs w:val="24"/>
          <w:highlight w:val="none"/>
        </w:rPr>
        <w:t>月</w:t>
      </w:r>
      <w:r>
        <w:rPr>
          <w:rStyle w:val="77"/>
          <w:rFonts w:hint="eastAsia" w:ascii="宋体" w:hAnsi="宋体" w:eastAsia="黑体" w:cs="宋体"/>
          <w:snapToGrid/>
          <w:color w:val="auto"/>
          <w:kern w:val="2"/>
          <w:sz w:val="24"/>
          <w:szCs w:val="24"/>
          <w:highlight w:val="none"/>
          <w:lang w:val="en-US" w:eastAsia="zh-CN"/>
        </w:rPr>
        <w:t>13</w:t>
      </w:r>
      <w:r>
        <w:rPr>
          <w:rStyle w:val="77"/>
          <w:rFonts w:hint="eastAsia" w:ascii="宋体" w:hAnsi="宋体" w:eastAsia="宋体" w:cs="宋体"/>
          <w:snapToGrid/>
          <w:color w:val="auto"/>
          <w:kern w:val="2"/>
          <w:sz w:val="24"/>
          <w:szCs w:val="24"/>
          <w:highlight w:val="none"/>
        </w:rPr>
        <w:t>日</w:t>
      </w:r>
      <w:r>
        <w:rPr>
          <w:rStyle w:val="77"/>
          <w:rFonts w:hint="eastAsia" w:ascii="宋体" w:hAnsi="宋体" w:eastAsia="黑体" w:cs="宋体"/>
          <w:snapToGrid/>
          <w:color w:val="auto"/>
          <w:kern w:val="2"/>
          <w:sz w:val="24"/>
          <w:szCs w:val="24"/>
          <w:highlight w:val="none"/>
          <w:lang w:val="en-US" w:eastAsia="zh-CN"/>
        </w:rPr>
        <w:t>09</w:t>
      </w:r>
      <w:r>
        <w:rPr>
          <w:rStyle w:val="77"/>
          <w:rFonts w:hint="eastAsia" w:ascii="宋体" w:hAnsi="宋体" w:eastAsia="宋体" w:cs="宋体"/>
          <w:snapToGrid/>
          <w:color w:val="auto"/>
          <w:kern w:val="2"/>
          <w:sz w:val="24"/>
          <w:szCs w:val="24"/>
          <w:highlight w:val="none"/>
        </w:rPr>
        <w:t>点30分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24BBB04">
      <w:pPr>
        <w:spacing w:line="360" w:lineRule="auto"/>
        <w:ind w:left="120" w:firstLine="22"/>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E525C73">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CTZB-2025010029</w:t>
      </w:r>
    </w:p>
    <w:p w14:paraId="78B17301">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杭州市年度城市交通运行及公众出行特征动态评估报告项目</w:t>
      </w:r>
    </w:p>
    <w:p w14:paraId="4A95D54A">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150</w:t>
      </w:r>
      <w:r>
        <w:rPr>
          <w:rFonts w:ascii="宋体" w:hAnsi="宋体" w:cs="宋体"/>
          <w:color w:val="auto"/>
          <w:sz w:val="24"/>
          <w:highlight w:val="none"/>
        </w:rPr>
        <w:t>0000.00</w:t>
      </w:r>
    </w:p>
    <w:p w14:paraId="71244F52">
      <w:pPr>
        <w:spacing w:line="360" w:lineRule="auto"/>
        <w:ind w:left="120" w:firstLine="482" w:firstLineChars="20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150</w:t>
      </w:r>
      <w:r>
        <w:rPr>
          <w:rFonts w:ascii="宋体" w:hAnsi="宋体" w:cs="宋体"/>
          <w:color w:val="auto"/>
          <w:sz w:val="24"/>
          <w:highlight w:val="none"/>
        </w:rPr>
        <w:t>0000.00</w:t>
      </w:r>
    </w:p>
    <w:p w14:paraId="1903FC05">
      <w:pPr>
        <w:tabs>
          <w:tab w:val="left" w:pos="525"/>
        </w:tabs>
        <w:snapToGrid w:val="0"/>
        <w:spacing w:line="360" w:lineRule="auto"/>
        <w:ind w:left="120" w:firstLine="482" w:firstLineChars="200"/>
        <w:rPr>
          <w:rFonts w:ascii="宋体"/>
          <w:color w:val="auto"/>
          <w:sz w:val="24"/>
          <w:szCs w:val="28"/>
          <w:highlight w:val="none"/>
        </w:rPr>
      </w:pPr>
      <w:r>
        <w:rPr>
          <w:rFonts w:hint="eastAsia" w:ascii="宋体" w:hAnsi="宋体" w:cs="宋体"/>
          <w:b/>
          <w:color w:val="auto"/>
          <w:sz w:val="24"/>
          <w:highlight w:val="none"/>
        </w:rPr>
        <w:t>采购需求：</w:t>
      </w:r>
      <w:r>
        <w:rPr>
          <w:rFonts w:hint="eastAsia" w:cs="Arial" w:asciiTheme="minorEastAsia" w:hAnsiTheme="minorEastAsia" w:eastAsiaTheme="minorEastAsia"/>
          <w:color w:val="auto"/>
          <w:sz w:val="24"/>
          <w:highlight w:val="none"/>
        </w:rPr>
        <w:t>开展杭州市年度城市交通运行及工作出行特征常态化动态评估分析研究，对城市交通相关方面的运行、发展情况进行全面、持续的动态评估，及时研判交通运行态势和发展趋势，并提出系统性、持续性改善措施和建议。要求编制城市交通运行月报、季报、年报体系，其中月报、季报主要是监测和分析202</w:t>
      </w:r>
      <w:r>
        <w:rPr>
          <w:rFonts w:cs="Arial" w:asciiTheme="minorEastAsia" w:hAnsiTheme="minorEastAsia" w:eastAsiaTheme="minorEastAsia"/>
          <w:color w:val="auto"/>
          <w:sz w:val="24"/>
          <w:highlight w:val="none"/>
        </w:rPr>
        <w:t>5</w:t>
      </w:r>
      <w:r>
        <w:rPr>
          <w:rFonts w:hint="eastAsia" w:cs="Arial" w:asciiTheme="minorEastAsia" w:hAnsiTheme="minorEastAsia" w:eastAsiaTheme="minorEastAsia"/>
          <w:color w:val="auto"/>
          <w:sz w:val="24"/>
          <w:highlight w:val="none"/>
        </w:rPr>
        <w:t>年度每月和每季度城市交通运行情况；年度报告主要针对202</w:t>
      </w:r>
      <w:r>
        <w:rPr>
          <w:rFonts w:cs="Arial" w:asciiTheme="minorEastAsia" w:hAnsiTheme="minorEastAsia" w:eastAsiaTheme="minorEastAsia"/>
          <w:color w:val="auto"/>
          <w:sz w:val="24"/>
          <w:highlight w:val="none"/>
        </w:rPr>
        <w:t>4</w:t>
      </w:r>
      <w:r>
        <w:rPr>
          <w:rFonts w:hint="eastAsia" w:cs="Arial" w:asciiTheme="minorEastAsia" w:hAnsiTheme="minorEastAsia" w:eastAsiaTheme="minorEastAsia"/>
          <w:color w:val="auto"/>
          <w:sz w:val="24"/>
          <w:highlight w:val="none"/>
        </w:rPr>
        <w:t>年度全年杭州市城市交通运行情况进行全面阐述、分析与评估；针对动态热点问题需定期或不定期提交交通专题分析报告；从而全面及时把握全市交通运行态势，支撑城市交通系统化综合治理决策</w:t>
      </w:r>
      <w:r>
        <w:rPr>
          <w:rFonts w:hint="eastAsia" w:cs="宋体"/>
          <w:color w:val="auto"/>
          <w:sz w:val="24"/>
          <w:highlight w:val="none"/>
        </w:rPr>
        <w:t>。具体以采购文件第三部分采购需求为准，供应商可点击本公告下方“浏览采购文件”查看采购需求。</w:t>
      </w:r>
    </w:p>
    <w:p w14:paraId="48E80FC7">
      <w:pPr>
        <w:pStyle w:val="130"/>
        <w:ind w:left="120" w:firstLine="482"/>
        <w:rPr>
          <w:rFonts w:hint="eastAsia"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snapToGrid w:val="0"/>
          <w:color w:val="auto"/>
          <w:kern w:val="0"/>
          <w:highlight w:val="none"/>
        </w:rPr>
        <w:t>合同签订之日至2026年1月31日</w:t>
      </w:r>
      <w:r>
        <w:rPr>
          <w:rFonts w:hint="eastAsia" w:ascii="宋体" w:hAnsi="宋体" w:cs="宋体"/>
          <w:b/>
          <w:color w:val="auto"/>
          <w:highlight w:val="none"/>
        </w:rPr>
        <w:t>。</w:t>
      </w:r>
    </w:p>
    <w:p w14:paraId="09B21578">
      <w:pPr>
        <w:pStyle w:val="6"/>
        <w:spacing w:line="360" w:lineRule="auto"/>
        <w:ind w:left="120" w:firstLine="482" w:firstLineChars="200"/>
        <w:rPr>
          <w:rFonts w:hint="eastAsia"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290853763"/>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hAnsi="宋体" w:cs="宋体"/>
          <w:b/>
          <w:color w:val="auto"/>
          <w:sz w:val="24"/>
          <w:highlight w:val="none"/>
        </w:rPr>
        <w:t>是；</w:t>
      </w:r>
      <w:sdt>
        <w:sdtPr>
          <w:rPr>
            <w:rFonts w:hAnsi="宋体" w:cs="宋体"/>
            <w:color w:val="auto"/>
            <w:kern w:val="0"/>
            <w:sz w:val="24"/>
            <w:highlight w:val="none"/>
          </w:rPr>
          <w:id w:val="175785927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FEE5DB6">
      <w:pPr>
        <w:spacing w:line="360" w:lineRule="auto"/>
        <w:ind w:left="120" w:firstLine="22"/>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468DBCAC">
      <w:pPr>
        <w:spacing w:line="360" w:lineRule="auto"/>
        <w:ind w:left="119" w:firstLine="480" w:firstLineChars="200"/>
        <w:rPr>
          <w:rFonts w:hint="eastAsia" w:ascii="宋体" w:hAnsi="宋体" w:cs="宋体"/>
          <w:snapToGrid w:val="0"/>
          <w:color w:val="auto"/>
          <w:kern w:val="28"/>
          <w:sz w:val="24"/>
          <w:szCs w:val="20"/>
          <w:highlight w:val="none"/>
        </w:rPr>
      </w:pPr>
      <w:bookmarkStart w:id="12" w:name="_Hlk133442352"/>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68BFD1B">
      <w:pPr>
        <w:spacing w:line="360" w:lineRule="auto"/>
        <w:ind w:left="119"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379E0DC">
      <w:pPr>
        <w:spacing w:line="360" w:lineRule="auto"/>
        <w:ind w:left="119"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5B4088C">
      <w:pPr>
        <w:spacing w:line="360" w:lineRule="auto"/>
        <w:ind w:left="119"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6B8DEA5">
      <w:pPr>
        <w:spacing w:line="360" w:lineRule="auto"/>
        <w:ind w:left="119"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72833857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D42161D">
      <w:pPr>
        <w:spacing w:line="360" w:lineRule="auto"/>
        <w:ind w:left="119"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6282834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服务全部由符合政策要求的中小企业承接，提供中小企业声明函；</w:t>
      </w:r>
    </w:p>
    <w:p w14:paraId="7B573CE2">
      <w:pPr>
        <w:spacing w:line="360" w:lineRule="auto"/>
        <w:ind w:left="119"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21115830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服务全部由符合政策要求的小微企业承接，提供小微企业声明函；</w:t>
      </w:r>
    </w:p>
    <w:p w14:paraId="5CC7AEF3">
      <w:pPr>
        <w:spacing w:line="360" w:lineRule="auto"/>
        <w:ind w:left="119"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2694222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38F7C10">
      <w:pPr>
        <w:spacing w:line="360" w:lineRule="auto"/>
        <w:ind w:left="119"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2975F35">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642C5595">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无。</w:t>
      </w:r>
    </w:p>
    <w:p w14:paraId="13DC3376">
      <w:pPr>
        <w:widowControl/>
        <w:snapToGrid w:val="0"/>
        <w:spacing w:line="360" w:lineRule="auto"/>
        <w:ind w:firstLine="480" w:firstLineChars="200"/>
        <w:jc w:val="left"/>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有特定资格要求：        ，该特定条件的法律法规依据：        。</w:t>
      </w:r>
    </w:p>
    <w:p w14:paraId="01AEF2C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5.单位</w:t>
      </w:r>
      <w:r>
        <w:rPr>
          <w:rFonts w:hint="eastAsia" w:ascii="宋体" w:hAnsi="宋体" w:cs="宋体"/>
          <w:color w:val="auto"/>
          <w:sz w:val="24"/>
          <w:highlight w:val="none"/>
        </w:rPr>
        <w:t>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2"/>
    <w:p w14:paraId="2FA4D659">
      <w:pPr>
        <w:spacing w:line="360" w:lineRule="auto"/>
        <w:ind w:left="120" w:firstLine="22"/>
        <w:rPr>
          <w:rFonts w:hint="eastAsia"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61BFD931">
      <w:pPr>
        <w:spacing w:line="360" w:lineRule="auto"/>
        <w:ind w:left="120"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7FC1AE0">
      <w:pPr>
        <w:spacing w:line="360" w:lineRule="auto"/>
        <w:ind w:left="120"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D9FB055">
      <w:pPr>
        <w:spacing w:line="360" w:lineRule="auto"/>
        <w:ind w:left="120"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23C861F">
      <w:pPr>
        <w:spacing w:line="360" w:lineRule="auto"/>
        <w:ind w:left="120"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6F2138D">
      <w:pPr>
        <w:spacing w:line="360" w:lineRule="auto"/>
        <w:ind w:left="120" w:firstLine="22"/>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FE4DC38">
      <w:pPr>
        <w:spacing w:line="360" w:lineRule="auto"/>
        <w:ind w:left="120"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点30分00秒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9E11B93">
      <w:pPr>
        <w:spacing w:line="360" w:lineRule="auto"/>
        <w:ind w:left="12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BEB97F7">
      <w:pPr>
        <w:spacing w:line="360" w:lineRule="auto"/>
        <w:ind w:left="120"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点30分00秒</w:t>
      </w:r>
      <w:r>
        <w:rPr>
          <w:rFonts w:hint="eastAsia" w:ascii="宋体" w:hAnsi="宋体" w:cs="宋体"/>
          <w:bCs/>
          <w:color w:val="auto"/>
          <w:sz w:val="24"/>
          <w:highlight w:val="none"/>
          <w:u w:val="single"/>
        </w:rPr>
        <w:t xml:space="preserve">  </w:t>
      </w:r>
    </w:p>
    <w:p w14:paraId="5831B619">
      <w:pPr>
        <w:spacing w:line="360" w:lineRule="auto"/>
        <w:ind w:left="120"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w:t>
      </w:r>
      <w:r>
        <w:rPr>
          <w:rStyle w:val="77"/>
          <w:rFonts w:hint="eastAsia" w:ascii="宋体" w:hAnsi="宋体" w:eastAsia="宋体" w:cs="宋体"/>
          <w:snapToGrid/>
          <w:color w:val="auto"/>
          <w:kern w:val="2"/>
          <w:sz w:val="24"/>
          <w:szCs w:val="24"/>
          <w:highlight w:val="none"/>
        </w:rPr>
        <w:fldChar w:fldCharType="end"/>
      </w:r>
      <w:r>
        <w:rPr>
          <w:rFonts w:hint="eastAsia" w:ascii="宋体" w:hAnsi="宋体" w:cs="宋体"/>
          <w:color w:val="auto"/>
          <w:sz w:val="24"/>
          <w:highlight w:val="none"/>
        </w:rPr>
        <w:t>），杭州市文晖路42号现代置业大厦西楼17</w:t>
      </w:r>
      <w:r>
        <w:rPr>
          <w:rFonts w:hint="eastAsia" w:ascii="宋体" w:hAnsi="宋体" w:cs="宋体"/>
          <w:color w:val="auto"/>
          <w:sz w:val="24"/>
          <w:highlight w:val="none"/>
          <w:lang w:val="en-US" w:eastAsia="zh-CN"/>
        </w:rPr>
        <w:t>楼4号会议室</w:t>
      </w:r>
      <w:r>
        <w:rPr>
          <w:rFonts w:hint="eastAsia" w:ascii="宋体" w:hAnsi="宋体" w:cs="宋体"/>
          <w:color w:val="auto"/>
          <w:sz w:val="24"/>
          <w:highlight w:val="none"/>
        </w:rPr>
        <w:t>。</w:t>
      </w:r>
    </w:p>
    <w:p w14:paraId="0623AEFC">
      <w:pPr>
        <w:tabs>
          <w:tab w:val="left" w:pos="900"/>
        </w:tabs>
        <w:snapToGrid w:val="0"/>
        <w:spacing w:line="360" w:lineRule="auto"/>
        <w:ind w:left="120" w:firstLine="22"/>
        <w:jc w:val="left"/>
        <w:rPr>
          <w:rFonts w:hint="eastAsia" w:ascii="宋体" w:hAnsi="宋体" w:cs="宋体"/>
          <w:color w:val="auto"/>
          <w:sz w:val="24"/>
          <w:highlight w:val="none"/>
        </w:rPr>
      </w:pPr>
      <w:r>
        <w:rPr>
          <w:rFonts w:hint="eastAsia" w:ascii="宋体" w:hAnsi="宋体" w:cs="宋体"/>
          <w:b/>
          <w:bCs/>
          <w:color w:val="auto"/>
          <w:sz w:val="24"/>
          <w:highlight w:val="none"/>
        </w:rPr>
        <w:t xml:space="preserve">五、采购意向公开链接 </w:t>
      </w:r>
      <w:r>
        <w:rPr>
          <w:color w:val="auto"/>
          <w:highlight w:val="none"/>
        </w:rPr>
        <w:t>https://zfcg.czt.zj.gov.cn/site/detail?parentId=600007&amp;articleId=%2FIjyujqgn6hhgwcVppjjyA%3D%3D</w:t>
      </w:r>
      <w:r>
        <w:rPr>
          <w:rFonts w:hint="eastAsia" w:ascii="宋体" w:hAnsi="宋体" w:cs="宋体"/>
          <w:b/>
          <w:color w:val="auto"/>
          <w:sz w:val="24"/>
          <w:highlight w:val="none"/>
        </w:rPr>
        <w:t xml:space="preserve">六、公告期限 </w:t>
      </w:r>
    </w:p>
    <w:p w14:paraId="21FC9B1E">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72D78FC2">
      <w:pPr>
        <w:spacing w:line="360" w:lineRule="auto"/>
        <w:ind w:left="120" w:firstLine="22"/>
        <w:rPr>
          <w:rFonts w:hint="eastAsia" w:ascii="宋体" w:hAnsi="宋体" w:cs="宋体"/>
          <w:b/>
          <w:color w:val="auto"/>
          <w:sz w:val="24"/>
          <w:highlight w:val="none"/>
        </w:rPr>
      </w:pPr>
      <w:r>
        <w:rPr>
          <w:rFonts w:hint="eastAsia" w:ascii="宋体" w:hAnsi="宋体" w:cs="宋体"/>
          <w:b/>
          <w:color w:val="auto"/>
          <w:sz w:val="24"/>
          <w:highlight w:val="none"/>
        </w:rPr>
        <w:t>七、其他补充事宜</w:t>
      </w:r>
    </w:p>
    <w:p w14:paraId="52B2F8B7">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6FC6C68">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D7A927">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80E8B3">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投标文件的传输递交：投标人在投标截止时间前将加密的投标文件上传至政府采购云平台，还可以在投标截止时间前直接提交或者以邮政快递方式递交备份投标文件1份。备份投标文件的制作、存储、密封详见采购文件第二部分第15点—“备份投标文件”；⑨投标文件的解密：投标人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采购文件公告期限与招标公告的公告期限一致。</w:t>
      </w:r>
    </w:p>
    <w:p w14:paraId="146C0953">
      <w:pPr>
        <w:spacing w:line="360" w:lineRule="auto"/>
        <w:ind w:left="120" w:firstLine="22"/>
        <w:rPr>
          <w:rFonts w:hint="eastAsia"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0FAE7705">
      <w:pPr>
        <w:pStyle w:val="965"/>
        <w:snapToGrid w:val="0"/>
        <w:ind w:left="120" w:firstLine="480"/>
        <w:jc w:val="left"/>
        <w:rPr>
          <w:rFonts w:hint="eastAsia"/>
          <w:color w:val="auto"/>
          <w:szCs w:val="24"/>
          <w:highlight w:val="none"/>
        </w:rPr>
      </w:pPr>
      <w:r>
        <w:rPr>
          <w:color w:val="auto"/>
          <w:szCs w:val="24"/>
          <w:highlight w:val="none"/>
        </w:rPr>
        <w:t>1.采购人信息</w:t>
      </w:r>
    </w:p>
    <w:p w14:paraId="3318A155">
      <w:pPr>
        <w:widowControl/>
        <w:snapToGrid w:val="0"/>
        <w:spacing w:line="360" w:lineRule="auto"/>
        <w:ind w:firstLine="566" w:firstLineChars="236"/>
        <w:rPr>
          <w:rFonts w:hint="eastAsia" w:ascii="宋体" w:hAnsi="宋体" w:cs="宋体"/>
          <w:color w:val="auto"/>
          <w:kern w:val="0"/>
          <w:sz w:val="24"/>
          <w:highlight w:val="none"/>
        </w:rPr>
      </w:pPr>
      <w:r>
        <w:rPr>
          <w:rFonts w:ascii="宋体" w:hAnsi="宋体" w:cs="宋体"/>
          <w:color w:val="auto"/>
          <w:kern w:val="0"/>
          <w:sz w:val="24"/>
          <w:highlight w:val="none"/>
        </w:rPr>
        <w:t>名称：</w:t>
      </w:r>
      <w:r>
        <w:rPr>
          <w:rFonts w:hint="eastAsia" w:ascii="宋体" w:hAnsi="宋体" w:cs="宋体"/>
          <w:color w:val="auto"/>
          <w:kern w:val="0"/>
          <w:sz w:val="24"/>
          <w:highlight w:val="none"/>
        </w:rPr>
        <w:t>杭州市交通运输局</w:t>
      </w:r>
    </w:p>
    <w:p w14:paraId="52F1FB4A">
      <w:pPr>
        <w:widowControl/>
        <w:snapToGrid w:val="0"/>
        <w:spacing w:line="360" w:lineRule="auto"/>
        <w:ind w:firstLine="566" w:firstLineChars="236"/>
        <w:rPr>
          <w:rFonts w:hint="eastAsia" w:ascii="宋体" w:hAnsi="宋体" w:cs="宋体"/>
          <w:color w:val="auto"/>
          <w:kern w:val="0"/>
          <w:sz w:val="24"/>
          <w:highlight w:val="none"/>
        </w:rPr>
      </w:pPr>
      <w:r>
        <w:rPr>
          <w:rFonts w:hint="eastAsia" w:ascii="宋体" w:hAnsi="宋体" w:cs="宋体"/>
          <w:color w:val="auto"/>
          <w:kern w:val="0"/>
          <w:sz w:val="24"/>
          <w:highlight w:val="none"/>
        </w:rPr>
        <w:t>地址：</w:t>
      </w:r>
      <w:r>
        <w:rPr>
          <w:rFonts w:ascii="宋体" w:hAnsi="宋体" w:cs="宋体"/>
          <w:color w:val="auto"/>
          <w:kern w:val="0"/>
          <w:sz w:val="24"/>
          <w:highlight w:val="none"/>
        </w:rPr>
        <w:t>浙江省杭州市</w:t>
      </w:r>
      <w:r>
        <w:rPr>
          <w:rFonts w:hint="eastAsia" w:ascii="宋体" w:hAnsi="宋体" w:cs="宋体"/>
          <w:color w:val="auto"/>
          <w:kern w:val="0"/>
          <w:sz w:val="24"/>
          <w:highlight w:val="none"/>
        </w:rPr>
        <w:t>拱墅</w:t>
      </w:r>
      <w:r>
        <w:rPr>
          <w:rFonts w:ascii="宋体" w:hAnsi="宋体" w:cs="宋体"/>
          <w:color w:val="auto"/>
          <w:kern w:val="0"/>
          <w:sz w:val="24"/>
          <w:highlight w:val="none"/>
        </w:rPr>
        <w:t>区中河北路106号交通大楼</w:t>
      </w:r>
    </w:p>
    <w:p w14:paraId="284235AD">
      <w:pPr>
        <w:pStyle w:val="4"/>
        <w:ind w:firstLine="355"/>
        <w:rPr>
          <w:rFonts w:hint="eastAsia" w:asciiTheme="minorEastAsia" w:hAnsiTheme="minorEastAsia" w:eastAsiaTheme="minorEastAsia"/>
          <w:b w:val="0"/>
          <w:bCs w:val="0"/>
          <w:snapToGrid w:val="0"/>
          <w:color w:val="auto"/>
          <w:kern w:val="0"/>
          <w:highlight w:val="none"/>
          <w:lang w:val="en-US"/>
        </w:rPr>
      </w:pPr>
      <w:bookmarkStart w:id="13" w:name="_Toc97219764"/>
      <w:bookmarkStart w:id="14" w:name="_Toc27200"/>
      <w:bookmarkStart w:id="15" w:name="_Toc18831"/>
      <w:bookmarkStart w:id="16" w:name="_Toc22159"/>
      <w:r>
        <w:rPr>
          <w:rFonts w:asciiTheme="minorEastAsia" w:hAnsiTheme="minorEastAsia" w:eastAsiaTheme="minorEastAsia"/>
          <w:b w:val="0"/>
          <w:bCs w:val="0"/>
          <w:snapToGrid w:val="0"/>
          <w:color w:val="auto"/>
          <w:kern w:val="0"/>
          <w:highlight w:val="none"/>
          <w:lang w:val="en-US"/>
        </w:rPr>
        <w:t>项目联系人（询问）：</w:t>
      </w:r>
      <w:bookmarkEnd w:id="13"/>
      <w:r>
        <w:rPr>
          <w:rFonts w:hint="eastAsia" w:asciiTheme="minorEastAsia" w:hAnsiTheme="minorEastAsia" w:eastAsiaTheme="minorEastAsia"/>
          <w:b w:val="0"/>
          <w:bCs w:val="0"/>
          <w:snapToGrid w:val="0"/>
          <w:color w:val="auto"/>
          <w:kern w:val="0"/>
          <w:highlight w:val="none"/>
          <w:lang w:val="en-US"/>
        </w:rPr>
        <w:t xml:space="preserve">苏先生  </w:t>
      </w:r>
      <w:r>
        <w:rPr>
          <w:rFonts w:asciiTheme="minorEastAsia" w:hAnsiTheme="minorEastAsia" w:eastAsiaTheme="minorEastAsia"/>
          <w:b w:val="0"/>
          <w:bCs w:val="0"/>
          <w:snapToGrid w:val="0"/>
          <w:color w:val="auto"/>
          <w:kern w:val="0"/>
          <w:highlight w:val="none"/>
          <w:lang w:val="en-US"/>
        </w:rPr>
        <w:t xml:space="preserve">   </w:t>
      </w:r>
      <w:bookmarkEnd w:id="14"/>
      <w:bookmarkEnd w:id="15"/>
      <w:bookmarkEnd w:id="16"/>
      <w:r>
        <w:rPr>
          <w:rFonts w:asciiTheme="minorEastAsia" w:hAnsiTheme="minorEastAsia" w:eastAsiaTheme="minorEastAsia"/>
          <w:b w:val="0"/>
          <w:bCs w:val="0"/>
          <w:snapToGrid w:val="0"/>
          <w:color w:val="auto"/>
          <w:kern w:val="0"/>
          <w:highlight w:val="none"/>
          <w:lang w:val="en-US"/>
        </w:rPr>
        <w:t>　　　　　　　　　　</w:t>
      </w:r>
    </w:p>
    <w:p w14:paraId="0F1207FD">
      <w:pPr>
        <w:pStyle w:val="4"/>
        <w:ind w:firstLine="355"/>
        <w:rPr>
          <w:rFonts w:hint="eastAsia" w:asciiTheme="minorEastAsia" w:hAnsiTheme="minorEastAsia" w:eastAsiaTheme="minorEastAsia"/>
          <w:b w:val="0"/>
          <w:bCs w:val="0"/>
          <w:snapToGrid w:val="0"/>
          <w:color w:val="auto"/>
          <w:kern w:val="0"/>
          <w:highlight w:val="none"/>
          <w:lang w:val="en-US"/>
        </w:rPr>
      </w:pPr>
      <w:bookmarkStart w:id="17" w:name="_Toc97219765"/>
      <w:bookmarkStart w:id="18" w:name="_Toc12185"/>
      <w:bookmarkStart w:id="19" w:name="_Toc25427"/>
      <w:bookmarkStart w:id="20" w:name="_Toc2316"/>
      <w:bookmarkStart w:id="21" w:name="_Toc12359"/>
      <w:r>
        <w:rPr>
          <w:rFonts w:asciiTheme="minorEastAsia" w:hAnsiTheme="minorEastAsia" w:eastAsiaTheme="minorEastAsia"/>
          <w:b w:val="0"/>
          <w:bCs w:val="0"/>
          <w:snapToGrid w:val="0"/>
          <w:color w:val="auto"/>
          <w:kern w:val="0"/>
          <w:highlight w:val="none"/>
          <w:lang w:val="en-US"/>
        </w:rPr>
        <w:t>项目联系方式（询问）：</w:t>
      </w:r>
      <w:bookmarkEnd w:id="17"/>
      <w:r>
        <w:rPr>
          <w:rFonts w:hint="eastAsia" w:asciiTheme="minorEastAsia" w:hAnsiTheme="minorEastAsia" w:eastAsiaTheme="minorEastAsia"/>
          <w:b w:val="0"/>
          <w:bCs w:val="0"/>
          <w:snapToGrid w:val="0"/>
          <w:color w:val="auto"/>
          <w:kern w:val="0"/>
          <w:highlight w:val="none"/>
          <w:lang w:val="en-US"/>
        </w:rPr>
        <w:t>0571-89581071</w:t>
      </w:r>
      <w:bookmarkEnd w:id="18"/>
      <w:bookmarkEnd w:id="19"/>
      <w:bookmarkEnd w:id="20"/>
      <w:bookmarkEnd w:id="21"/>
      <w:r>
        <w:rPr>
          <w:rFonts w:asciiTheme="minorEastAsia" w:hAnsiTheme="minorEastAsia" w:eastAsiaTheme="minorEastAsia"/>
          <w:b w:val="0"/>
          <w:bCs w:val="0"/>
          <w:snapToGrid w:val="0"/>
          <w:color w:val="auto"/>
          <w:kern w:val="0"/>
          <w:highlight w:val="none"/>
          <w:lang w:val="en-US"/>
        </w:rPr>
        <w:t xml:space="preserve"> 　　　　　　　</w:t>
      </w:r>
    </w:p>
    <w:p w14:paraId="41C93C18">
      <w:pPr>
        <w:pStyle w:val="4"/>
        <w:ind w:firstLine="355"/>
        <w:rPr>
          <w:rFonts w:hint="eastAsia" w:asciiTheme="minorEastAsia" w:hAnsiTheme="minorEastAsia" w:eastAsiaTheme="minorEastAsia"/>
          <w:b w:val="0"/>
          <w:bCs w:val="0"/>
          <w:snapToGrid w:val="0"/>
          <w:color w:val="auto"/>
          <w:kern w:val="0"/>
          <w:highlight w:val="none"/>
          <w:lang w:val="en-US"/>
        </w:rPr>
      </w:pPr>
      <w:bookmarkStart w:id="22" w:name="_Toc6217"/>
      <w:bookmarkStart w:id="23" w:name="_Toc23056"/>
      <w:bookmarkStart w:id="24" w:name="_Toc97219766"/>
      <w:bookmarkStart w:id="25" w:name="_Toc25507"/>
      <w:bookmarkStart w:id="26" w:name="_Toc2207"/>
      <w:r>
        <w:rPr>
          <w:rFonts w:asciiTheme="minorEastAsia" w:hAnsiTheme="minorEastAsia" w:eastAsiaTheme="minorEastAsia"/>
          <w:b w:val="0"/>
          <w:bCs w:val="0"/>
          <w:snapToGrid w:val="0"/>
          <w:color w:val="auto"/>
          <w:kern w:val="0"/>
          <w:highlight w:val="none"/>
          <w:lang w:val="en-US"/>
        </w:rPr>
        <w:t>质疑联系人：</w:t>
      </w:r>
      <w:bookmarkEnd w:id="22"/>
      <w:bookmarkEnd w:id="23"/>
      <w:bookmarkEnd w:id="24"/>
      <w:bookmarkEnd w:id="25"/>
      <w:bookmarkEnd w:id="26"/>
      <w:r>
        <w:rPr>
          <w:rFonts w:hint="eastAsia" w:asciiTheme="minorEastAsia" w:hAnsiTheme="minorEastAsia" w:eastAsiaTheme="minorEastAsia"/>
          <w:b w:val="0"/>
          <w:bCs w:val="0"/>
          <w:snapToGrid w:val="0"/>
          <w:color w:val="auto"/>
          <w:kern w:val="0"/>
          <w:highlight w:val="none"/>
          <w:lang w:val="en-US"/>
        </w:rPr>
        <w:t xml:space="preserve">施先生  </w:t>
      </w:r>
      <w:r>
        <w:rPr>
          <w:rFonts w:asciiTheme="minorEastAsia" w:hAnsiTheme="minorEastAsia" w:eastAsiaTheme="minorEastAsia"/>
          <w:b w:val="0"/>
          <w:bCs w:val="0"/>
          <w:snapToGrid w:val="0"/>
          <w:color w:val="auto"/>
          <w:kern w:val="0"/>
          <w:highlight w:val="none"/>
          <w:lang w:val="en-US"/>
        </w:rPr>
        <w:t xml:space="preserve"> </w:t>
      </w:r>
    </w:p>
    <w:p w14:paraId="60132D9F">
      <w:pPr>
        <w:widowControl/>
        <w:snapToGrid w:val="0"/>
        <w:spacing w:line="360" w:lineRule="auto"/>
        <w:ind w:firstLine="566" w:firstLineChars="236"/>
        <w:jc w:val="left"/>
        <w:rPr>
          <w:rFonts w:hint="eastAsia" w:asciiTheme="minorEastAsia" w:hAnsiTheme="minorEastAsia" w:eastAsiaTheme="minorEastAsia"/>
          <w:snapToGrid w:val="0"/>
          <w:color w:val="auto"/>
          <w:kern w:val="0"/>
          <w:sz w:val="24"/>
          <w:highlight w:val="none"/>
        </w:rPr>
      </w:pPr>
      <w:r>
        <w:rPr>
          <w:rFonts w:asciiTheme="minorEastAsia" w:hAnsiTheme="minorEastAsia" w:eastAsiaTheme="minorEastAsia"/>
          <w:snapToGrid w:val="0"/>
          <w:color w:val="auto"/>
          <w:kern w:val="0"/>
          <w:sz w:val="24"/>
          <w:highlight w:val="none"/>
        </w:rPr>
        <w:t>质疑联系方式：0571-89581067</w:t>
      </w:r>
    </w:p>
    <w:p w14:paraId="5ACA22D9">
      <w:pPr>
        <w:widowControl/>
        <w:snapToGrid w:val="0"/>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（请通过以下路径在线提起质疑：政采云-项目采购-询问质疑投诉-质疑列表）</w:t>
      </w:r>
    </w:p>
    <w:p w14:paraId="17A7C2DD">
      <w:pPr>
        <w:pStyle w:val="965"/>
        <w:adjustRightInd w:val="0"/>
        <w:snapToGrid w:val="0"/>
        <w:ind w:left="120" w:firstLine="480"/>
        <w:rPr>
          <w:rFonts w:hint="eastAsia"/>
          <w:color w:val="auto"/>
          <w:szCs w:val="24"/>
          <w:highlight w:val="none"/>
        </w:rPr>
      </w:pPr>
      <w:r>
        <w:rPr>
          <w:color w:val="auto"/>
          <w:szCs w:val="24"/>
          <w:highlight w:val="none"/>
        </w:rPr>
        <w:t xml:space="preserve">2. </w:t>
      </w:r>
      <w:r>
        <w:rPr>
          <w:rFonts w:hint="eastAsia"/>
          <w:color w:val="auto"/>
          <w:szCs w:val="24"/>
          <w:highlight w:val="none"/>
        </w:rPr>
        <w:t>采购代理机构信息</w:t>
      </w:r>
    </w:p>
    <w:p w14:paraId="19EB5E92">
      <w:pPr>
        <w:pStyle w:val="965"/>
        <w:adjustRightInd w:val="0"/>
        <w:snapToGrid w:val="0"/>
        <w:ind w:left="120" w:firstLine="480"/>
        <w:rPr>
          <w:rFonts w:hint="eastAsia"/>
          <w:color w:val="auto"/>
          <w:szCs w:val="24"/>
          <w:highlight w:val="none"/>
        </w:rPr>
      </w:pPr>
      <w:r>
        <w:rPr>
          <w:rFonts w:hint="eastAsia"/>
          <w:color w:val="auto"/>
          <w:szCs w:val="24"/>
          <w:highlight w:val="none"/>
        </w:rPr>
        <w:t>名称：浙江省成套招标代理有限公司</w:t>
      </w:r>
    </w:p>
    <w:p w14:paraId="7597C90C">
      <w:pPr>
        <w:pStyle w:val="965"/>
        <w:adjustRightInd w:val="0"/>
        <w:snapToGrid w:val="0"/>
        <w:ind w:left="120" w:firstLine="480"/>
        <w:rPr>
          <w:rFonts w:hint="eastAsia"/>
          <w:color w:val="auto"/>
          <w:szCs w:val="24"/>
          <w:highlight w:val="none"/>
        </w:rPr>
      </w:pPr>
      <w:r>
        <w:rPr>
          <w:rFonts w:hint="eastAsia"/>
          <w:color w:val="auto"/>
          <w:szCs w:val="24"/>
          <w:highlight w:val="none"/>
        </w:rPr>
        <w:t>地址：</w:t>
      </w:r>
      <w:r>
        <w:rPr>
          <w:rFonts w:hint="eastAsia"/>
          <w:color w:val="auto"/>
          <w:szCs w:val="24"/>
          <w:highlight w:val="none"/>
          <w:lang w:val="zh-CN"/>
        </w:rPr>
        <w:t>杭州市文晖路</w:t>
      </w:r>
      <w:r>
        <w:rPr>
          <w:color w:val="auto"/>
          <w:szCs w:val="24"/>
          <w:highlight w:val="none"/>
          <w:lang w:val="zh-CN"/>
        </w:rPr>
        <w:t>42号现代置业大厦西楼17、18楼</w:t>
      </w:r>
    </w:p>
    <w:p w14:paraId="5B08D289">
      <w:pPr>
        <w:pStyle w:val="965"/>
        <w:adjustRightInd w:val="0"/>
        <w:snapToGrid w:val="0"/>
        <w:ind w:left="120" w:firstLine="480"/>
        <w:rPr>
          <w:rFonts w:hint="eastAsia"/>
          <w:color w:val="auto"/>
          <w:szCs w:val="24"/>
          <w:highlight w:val="none"/>
        </w:rPr>
      </w:pPr>
      <w:r>
        <w:rPr>
          <w:rFonts w:hint="eastAsia"/>
          <w:color w:val="auto"/>
          <w:szCs w:val="24"/>
          <w:highlight w:val="none"/>
        </w:rPr>
        <w:t>传真：</w:t>
      </w:r>
      <w:r>
        <w:rPr>
          <w:color w:val="auto"/>
          <w:szCs w:val="24"/>
          <w:highlight w:val="none"/>
        </w:rPr>
        <w:t>4008-266-163转08156</w:t>
      </w:r>
    </w:p>
    <w:p w14:paraId="7C81B14D">
      <w:pPr>
        <w:pStyle w:val="965"/>
        <w:adjustRightInd w:val="0"/>
        <w:snapToGrid w:val="0"/>
        <w:ind w:left="120" w:firstLine="480"/>
        <w:rPr>
          <w:rFonts w:hint="eastAsia"/>
          <w:color w:val="auto"/>
          <w:szCs w:val="24"/>
          <w:highlight w:val="none"/>
        </w:rPr>
      </w:pPr>
      <w:r>
        <w:rPr>
          <w:rFonts w:hint="eastAsia"/>
          <w:color w:val="auto"/>
          <w:szCs w:val="24"/>
          <w:highlight w:val="none"/>
        </w:rPr>
        <w:t>项目联系人</w:t>
      </w:r>
      <w:r>
        <w:rPr>
          <w:rFonts w:hint="eastAsia"/>
          <w:color w:val="auto"/>
          <w:highlight w:val="none"/>
        </w:rPr>
        <w:t>（询问）</w:t>
      </w:r>
      <w:r>
        <w:rPr>
          <w:rFonts w:hint="eastAsia"/>
          <w:color w:val="auto"/>
          <w:szCs w:val="24"/>
          <w:highlight w:val="none"/>
        </w:rPr>
        <w:t>：陆佳</w:t>
      </w:r>
    </w:p>
    <w:p w14:paraId="167BC785">
      <w:pPr>
        <w:pStyle w:val="965"/>
        <w:adjustRightInd w:val="0"/>
        <w:snapToGrid w:val="0"/>
        <w:ind w:left="120" w:firstLine="480"/>
        <w:rPr>
          <w:rFonts w:hint="eastAsia"/>
          <w:color w:val="auto"/>
          <w:szCs w:val="24"/>
          <w:highlight w:val="none"/>
        </w:rPr>
      </w:pPr>
      <w:r>
        <w:rPr>
          <w:rFonts w:hint="eastAsia"/>
          <w:color w:val="auto"/>
          <w:szCs w:val="24"/>
          <w:highlight w:val="none"/>
        </w:rPr>
        <w:t>项目联系方式</w:t>
      </w:r>
      <w:r>
        <w:rPr>
          <w:rFonts w:hint="eastAsia"/>
          <w:color w:val="auto"/>
          <w:highlight w:val="none"/>
        </w:rPr>
        <w:t>（询问）</w:t>
      </w:r>
      <w:r>
        <w:rPr>
          <w:rFonts w:hint="eastAsia"/>
          <w:color w:val="auto"/>
          <w:szCs w:val="24"/>
          <w:highlight w:val="none"/>
        </w:rPr>
        <w:t>：</w:t>
      </w:r>
      <w:r>
        <w:rPr>
          <w:color w:val="auto"/>
          <w:szCs w:val="24"/>
          <w:highlight w:val="none"/>
        </w:rPr>
        <w:t>0571-87634685</w:t>
      </w:r>
    </w:p>
    <w:p w14:paraId="25A1E633">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质疑联系人：冯东东 </w:t>
      </w:r>
    </w:p>
    <w:p w14:paraId="4F0904CC">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质疑联系方式：0571-85331293</w:t>
      </w:r>
    </w:p>
    <w:p w14:paraId="2809F0E2">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（请通过以下路径在线提起质疑：政采云-项目采购-询问质疑投诉-质疑列表）    </w:t>
      </w:r>
    </w:p>
    <w:p w14:paraId="206AE1B9">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 xml:space="preserve">3.同级政府采购监督管理部门            </w:t>
      </w:r>
    </w:p>
    <w:p w14:paraId="3F6244F5">
      <w:pPr>
        <w:pStyle w:val="965"/>
        <w:snapToGrid w:val="0"/>
        <w:ind w:left="120" w:firstLine="480"/>
        <w:rPr>
          <w:rFonts w:hint="eastAsia"/>
          <w:color w:val="auto"/>
          <w:szCs w:val="24"/>
          <w:highlight w:val="none"/>
        </w:rPr>
      </w:pPr>
      <w:r>
        <w:rPr>
          <w:rFonts w:hint="eastAsia"/>
          <w:color w:val="auto"/>
          <w:szCs w:val="24"/>
          <w:highlight w:val="none"/>
        </w:rPr>
        <w:t>名称：杭州市财政局政府采购监管处 /浙江省政府采购行政裁决服务中心（杭州）</w:t>
      </w:r>
    </w:p>
    <w:p w14:paraId="37FC412C">
      <w:pPr>
        <w:pStyle w:val="965"/>
        <w:snapToGrid w:val="0"/>
        <w:ind w:left="120" w:firstLine="480"/>
        <w:rPr>
          <w:rFonts w:hint="eastAsia"/>
          <w:color w:val="auto"/>
          <w:szCs w:val="24"/>
          <w:highlight w:val="none"/>
        </w:rPr>
      </w:pPr>
      <w:r>
        <w:rPr>
          <w:rFonts w:hint="eastAsia"/>
          <w:color w:val="auto"/>
          <w:szCs w:val="24"/>
          <w:highlight w:val="none"/>
        </w:rPr>
        <w:t xml:space="preserve">地址：杭州市上城区清泰街549号城建综合大楼11楼（快递仅限ems或顺丰） </w:t>
      </w:r>
    </w:p>
    <w:p w14:paraId="635D0A7A">
      <w:pPr>
        <w:pStyle w:val="965"/>
        <w:snapToGrid w:val="0"/>
        <w:ind w:left="120" w:firstLine="480"/>
        <w:rPr>
          <w:rFonts w:hint="eastAsia"/>
          <w:color w:val="auto"/>
          <w:szCs w:val="24"/>
          <w:highlight w:val="none"/>
        </w:rPr>
      </w:pPr>
      <w:r>
        <w:rPr>
          <w:rFonts w:hint="eastAsia"/>
          <w:color w:val="auto"/>
          <w:szCs w:val="24"/>
          <w:highlight w:val="none"/>
        </w:rPr>
        <w:t>传真： /</w:t>
      </w:r>
    </w:p>
    <w:p w14:paraId="0367CDD4">
      <w:pPr>
        <w:pStyle w:val="965"/>
        <w:snapToGrid w:val="0"/>
        <w:ind w:left="120" w:firstLine="480"/>
        <w:rPr>
          <w:rFonts w:hint="eastAsia"/>
          <w:color w:val="auto"/>
          <w:szCs w:val="24"/>
          <w:highlight w:val="none"/>
        </w:rPr>
      </w:pPr>
      <w:r>
        <w:rPr>
          <w:rFonts w:hint="eastAsia"/>
          <w:color w:val="auto"/>
          <w:szCs w:val="24"/>
          <w:highlight w:val="none"/>
        </w:rPr>
        <w:t>联系人 ：朱女士、王女士</w:t>
      </w:r>
    </w:p>
    <w:p w14:paraId="404FF9E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w:t>
      </w:r>
    </w:p>
    <w:p w14:paraId="3BB3828F">
      <w:pPr>
        <w:spacing w:line="360" w:lineRule="auto"/>
        <w:ind w:left="119"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0A479C5">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0E061E4">
      <w:pPr>
        <w:widowControl/>
        <w:adjustRightInd/>
        <w:spacing w:line="360" w:lineRule="auto"/>
        <w:ind w:left="120" w:firstLine="22"/>
        <w:jc w:val="left"/>
        <w:rPr>
          <w:rFonts w:hint="eastAsia" w:ascii="宋体" w:hAnsi="宋体" w:cs="宋体"/>
          <w:b/>
          <w:color w:val="auto"/>
          <w:sz w:val="36"/>
          <w:szCs w:val="20"/>
          <w:highlight w:val="none"/>
        </w:rPr>
      </w:pPr>
      <w:r>
        <w:rPr>
          <w:rFonts w:ascii="宋体" w:hAnsi="宋体" w:cs="宋体"/>
          <w:b/>
          <w:color w:val="auto"/>
          <w:sz w:val="36"/>
          <w:szCs w:val="20"/>
          <w:highlight w:val="none"/>
        </w:rPr>
        <w:br w:type="page"/>
      </w:r>
    </w:p>
    <w:p w14:paraId="6B18543F">
      <w:pPr>
        <w:adjustRightInd/>
        <w:spacing w:line="360" w:lineRule="auto"/>
        <w:ind w:left="120" w:firstLine="22"/>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p>
    <w:p w14:paraId="1F64EECC">
      <w:pPr>
        <w:adjustRightInd/>
        <w:spacing w:line="360" w:lineRule="auto"/>
        <w:ind w:left="120" w:firstLine="3845" w:firstLineChars="1197"/>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D480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7E29CFF6">
            <w:pPr>
              <w:snapToGrid w:val="0"/>
              <w:spacing w:line="360" w:lineRule="auto"/>
              <w:ind w:left="120" w:firstLine="22"/>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000000" w:sz="8" w:space="0"/>
              <w:bottom w:val="single" w:color="000000" w:sz="8" w:space="0"/>
              <w:right w:val="single" w:color="000000" w:sz="8" w:space="0"/>
            </w:tcBorders>
            <w:vAlign w:val="center"/>
          </w:tcPr>
          <w:p w14:paraId="251C17FD">
            <w:pPr>
              <w:snapToGrid w:val="0"/>
              <w:spacing w:line="360" w:lineRule="auto"/>
              <w:ind w:firstLine="22"/>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8" w:space="0"/>
              <w:bottom w:val="single" w:color="000000" w:sz="8" w:space="0"/>
              <w:right w:val="single" w:color="000000" w:sz="8" w:space="0"/>
            </w:tcBorders>
            <w:vAlign w:val="center"/>
          </w:tcPr>
          <w:p w14:paraId="41D1160F">
            <w:pPr>
              <w:snapToGrid w:val="0"/>
              <w:spacing w:line="360" w:lineRule="auto"/>
              <w:ind w:firstLine="22"/>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36B41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2011764F">
            <w:pPr>
              <w:snapToGrid w:val="0"/>
              <w:spacing w:line="360" w:lineRule="auto"/>
              <w:ind w:firstLine="22"/>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000000" w:sz="8" w:space="0"/>
              <w:bottom w:val="single" w:color="000000" w:sz="8" w:space="0"/>
              <w:right w:val="single" w:color="000000" w:sz="8" w:space="0"/>
            </w:tcBorders>
            <w:vAlign w:val="center"/>
          </w:tcPr>
          <w:p w14:paraId="58F47DD4">
            <w:pPr>
              <w:snapToGrid w:val="0"/>
              <w:spacing w:line="360" w:lineRule="auto"/>
              <w:ind w:firstLine="22"/>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8" w:space="0"/>
              <w:bottom w:val="single" w:color="000000" w:sz="8" w:space="0"/>
              <w:right w:val="single" w:color="000000" w:sz="8" w:space="0"/>
            </w:tcBorders>
            <w:vAlign w:val="center"/>
          </w:tcPr>
          <w:p w14:paraId="368C12A5">
            <w:pPr>
              <w:spacing w:line="360" w:lineRule="auto"/>
              <w:ind w:firstLine="22"/>
              <w:rPr>
                <w:rFonts w:hint="eastAsia" w:ascii="宋体" w:hAnsi="宋体" w:cs="宋体"/>
                <w:color w:val="auto"/>
                <w:sz w:val="24"/>
                <w:highlight w:val="none"/>
              </w:rPr>
            </w:pPr>
            <w:r>
              <w:rPr>
                <w:rFonts w:hint="eastAsia" w:ascii="宋体" w:hAnsi="宋体" w:cs="宋体"/>
                <w:color w:val="auto"/>
                <w:sz w:val="24"/>
                <w:highlight w:val="none"/>
              </w:rPr>
              <w:t>服务类。</w:t>
            </w:r>
          </w:p>
        </w:tc>
      </w:tr>
      <w:tr w14:paraId="1A54D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3693F714">
            <w:pPr>
              <w:snapToGrid w:val="0"/>
              <w:spacing w:line="360" w:lineRule="auto"/>
              <w:ind w:firstLine="22"/>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000000" w:sz="8" w:space="0"/>
              <w:bottom w:val="single" w:color="000000" w:sz="8" w:space="0"/>
              <w:right w:val="single" w:color="000000" w:sz="8" w:space="0"/>
            </w:tcBorders>
            <w:vAlign w:val="center"/>
          </w:tcPr>
          <w:p w14:paraId="657A9813">
            <w:pPr>
              <w:snapToGrid w:val="0"/>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8" w:space="0"/>
              <w:bottom w:val="single" w:color="000000" w:sz="8" w:space="0"/>
              <w:right w:val="single" w:color="000000" w:sz="8" w:space="0"/>
            </w:tcBorders>
            <w:vAlign w:val="center"/>
          </w:tcPr>
          <w:p w14:paraId="2B28FAA1">
            <w:pPr>
              <w:snapToGrid w:val="0"/>
              <w:spacing w:line="360" w:lineRule="auto"/>
              <w:ind w:left="120"/>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rPr>
              <w:t>标的：</w:t>
            </w:r>
            <w:r>
              <w:rPr>
                <w:rFonts w:hint="eastAsia" w:ascii="宋体" w:hAnsi="宋体" w:cs="宋体"/>
                <w:b/>
                <w:bCs/>
                <w:color w:val="auto"/>
                <w:kern w:val="0"/>
                <w:sz w:val="24"/>
                <w:highlight w:val="none"/>
                <w:u w:val="single"/>
              </w:rPr>
              <w:t>杭州市年度城市交通运行及公众出行特征动态评估报告，</w:t>
            </w:r>
            <w:r>
              <w:rPr>
                <w:rFonts w:hint="eastAsia" w:ascii="宋体" w:hAnsi="宋体" w:cs="宋体"/>
                <w:b/>
                <w:bCs/>
                <w:color w:val="auto"/>
                <w:kern w:val="0"/>
                <w:sz w:val="24"/>
                <w:highlight w:val="none"/>
              </w:rPr>
              <w:t>属于</w:t>
            </w:r>
            <w:r>
              <w:rPr>
                <w:rFonts w:hint="eastAsia" w:ascii="宋体" w:hAnsi="宋体" w:cs="宋体"/>
                <w:b/>
                <w:bCs/>
                <w:color w:val="auto"/>
                <w:kern w:val="0"/>
                <w:sz w:val="24"/>
                <w:highlight w:val="none"/>
                <w:u w:val="single"/>
              </w:rPr>
              <w:t>其他未列明行业。</w:t>
            </w:r>
          </w:p>
          <w:p w14:paraId="5E23B147">
            <w:pPr>
              <w:pStyle w:val="4"/>
              <w:ind w:left="0" w:leftChars="0" w:firstLine="0" w:firstLineChars="0"/>
              <w:rPr>
                <w:rFonts w:hint="eastAsia"/>
                <w:color w:val="auto"/>
                <w:highlight w:val="none"/>
              </w:rPr>
            </w:pPr>
            <w:r>
              <w:rPr>
                <w:color w:val="auto"/>
                <w:highlight w:val="none"/>
                <w:lang w:val="en-US"/>
              </w:rPr>
              <w:t>根据</w:t>
            </w:r>
            <w:r>
              <w:rPr>
                <w:color w:val="auto"/>
                <w:highlight w:val="none"/>
              </w:rPr>
              <w:t>《关于印发中小企业划型标准规定的通知》（工信部联企业〔2011〕300）第</w:t>
            </w:r>
            <w:r>
              <w:rPr>
                <w:color w:val="auto"/>
                <w:highlight w:val="none"/>
                <w:lang w:val="en-US"/>
              </w:rPr>
              <w:t>四条第</w:t>
            </w:r>
            <w:r>
              <w:rPr>
                <w:color w:val="auto"/>
                <w:highlight w:val="none"/>
              </w:rPr>
              <w:t>（</w:t>
            </w:r>
            <w:r>
              <w:rPr>
                <w:color w:val="auto"/>
                <w:highlight w:val="none"/>
                <w:lang w:val="en-US"/>
              </w:rPr>
              <w:t>二</w:t>
            </w:r>
            <w:r>
              <w:rPr>
                <w:color w:val="auto"/>
                <w:highlight w:val="none"/>
              </w:rPr>
              <w:t>）</w:t>
            </w:r>
            <w:r>
              <w:rPr>
                <w:color w:val="auto"/>
                <w:highlight w:val="none"/>
                <w:lang w:val="en-US"/>
              </w:rPr>
              <w:t>项规定：</w:t>
            </w:r>
            <w:r>
              <w:rPr>
                <w:rFonts w:hint="eastAsia"/>
                <w:color w:val="auto"/>
                <w:highlight w:val="none"/>
              </w:rPr>
              <w:t>其他未列明行业</w:t>
            </w:r>
            <w:r>
              <w:rPr>
                <w:color w:val="auto"/>
                <w:highlight w:val="none"/>
              </w:rPr>
              <w:t>。</w:t>
            </w:r>
            <w:r>
              <w:rPr>
                <w:rFonts w:hint="eastAsia"/>
                <w:color w:val="auto"/>
                <w:highlight w:val="none"/>
              </w:rPr>
              <w:t>从业人员300人以下的为中小微型企业。其中，从业人员100人及以上的为中型企业；从业人员10人及以上的为小型企业；从业人员10人以下的为微型企业。</w:t>
            </w:r>
          </w:p>
        </w:tc>
      </w:tr>
      <w:tr w14:paraId="7AB74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432AAC4C">
            <w:pPr>
              <w:snapToGrid w:val="0"/>
              <w:spacing w:line="360" w:lineRule="auto"/>
              <w:ind w:firstLine="22"/>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000000" w:sz="8" w:space="0"/>
              <w:bottom w:val="single" w:color="000000" w:sz="8" w:space="0"/>
              <w:right w:val="single" w:color="000000" w:sz="8" w:space="0"/>
            </w:tcBorders>
            <w:vAlign w:val="center"/>
          </w:tcPr>
          <w:p w14:paraId="5720C00A">
            <w:pPr>
              <w:snapToGrid w:val="0"/>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8" w:space="0"/>
              <w:bottom w:val="single" w:color="000000" w:sz="8" w:space="0"/>
              <w:right w:val="single" w:color="000000" w:sz="8" w:space="0"/>
            </w:tcBorders>
            <w:vAlign w:val="center"/>
          </w:tcPr>
          <w:p w14:paraId="1E743712">
            <w:pPr>
              <w:spacing w:line="360" w:lineRule="auto"/>
              <w:ind w:left="120" w:firstLine="22"/>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7015961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B71758B">
            <w:pPr>
              <w:spacing w:line="360" w:lineRule="auto"/>
              <w:ind w:left="120" w:firstLine="22"/>
              <w:rPr>
                <w:rFonts w:hint="eastAsia" w:ascii="宋体" w:hAnsi="宋体" w:cs="宋体"/>
                <w:color w:val="auto"/>
                <w:highlight w:val="none"/>
              </w:rPr>
            </w:pPr>
            <w:sdt>
              <w:sdtPr>
                <w:rPr>
                  <w:rFonts w:hint="eastAsia" w:ascii="宋体" w:hAnsi="宋体" w:cs="宋体"/>
                  <w:color w:val="auto"/>
                  <w:kern w:val="0"/>
                  <w:sz w:val="24"/>
                  <w:highlight w:val="none"/>
                </w:rPr>
                <w:id w:val="15720767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A954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63D3030E">
            <w:pPr>
              <w:snapToGrid w:val="0"/>
              <w:spacing w:line="360" w:lineRule="auto"/>
              <w:ind w:firstLine="22"/>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000000" w:sz="8" w:space="0"/>
              <w:bottom w:val="single" w:color="000000" w:sz="8" w:space="0"/>
              <w:right w:val="single" w:color="000000" w:sz="8" w:space="0"/>
            </w:tcBorders>
            <w:vAlign w:val="center"/>
          </w:tcPr>
          <w:p w14:paraId="31291850">
            <w:pPr>
              <w:snapToGrid w:val="0"/>
              <w:spacing w:line="360" w:lineRule="auto"/>
              <w:ind w:firstLine="22"/>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8" w:space="0"/>
              <w:bottom w:val="single" w:color="000000" w:sz="8" w:space="0"/>
              <w:right w:val="single" w:color="000000" w:sz="8" w:space="0"/>
            </w:tcBorders>
            <w:vAlign w:val="center"/>
          </w:tcPr>
          <w:p w14:paraId="109681F1">
            <w:pPr>
              <w:snapToGrid w:val="0"/>
              <w:spacing w:line="360" w:lineRule="auto"/>
              <w:ind w:left="120" w:firstLine="22"/>
              <w:rPr>
                <w:rFonts w:hint="eastAsia" w:ascii="宋体" w:hAnsi="宋体" w:cs="宋体"/>
                <w:color w:val="auto"/>
                <w:sz w:val="24"/>
                <w:highlight w:val="none"/>
              </w:rPr>
            </w:pPr>
            <w:sdt>
              <w:sdtPr>
                <w:rPr>
                  <w:rFonts w:hint="eastAsia" w:ascii="宋体" w:hAnsi="宋体" w:cs="宋体"/>
                  <w:color w:val="auto"/>
                  <w:kern w:val="0"/>
                  <w:sz w:val="24"/>
                  <w:highlight w:val="none"/>
                </w:rPr>
                <w:id w:val="7952604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资料收集</w:t>
            </w:r>
            <w:r>
              <w:rPr>
                <w:rFonts w:hint="eastAsia" w:ascii="宋体" w:hAnsi="宋体" w:cs="宋体"/>
                <w:color w:val="auto"/>
                <w:sz w:val="24"/>
                <w:highlight w:val="none"/>
              </w:rPr>
              <w:t>工作分包，分包部分合同金额比例应达到合同总金额的</w:t>
            </w:r>
            <w:r>
              <w:rPr>
                <w:rFonts w:ascii="宋体" w:hAnsi="宋体" w:cs="宋体"/>
                <w:color w:val="auto"/>
                <w:sz w:val="24"/>
                <w:highlight w:val="none"/>
              </w:rPr>
              <w:t>1</w:t>
            </w:r>
            <w:r>
              <w:rPr>
                <w:rFonts w:hint="eastAsia" w:ascii="宋体" w:hAnsi="宋体" w:cs="宋体"/>
                <w:color w:val="auto"/>
                <w:sz w:val="24"/>
                <w:highlight w:val="none"/>
              </w:rPr>
              <w:t>%，分包供应商应具备承接分包内容所必需的设备和专业技术能力，总包供应商对分包内容承担连带责任。</w:t>
            </w:r>
          </w:p>
          <w:p w14:paraId="7903BBF6">
            <w:pPr>
              <w:spacing w:line="360" w:lineRule="auto"/>
              <w:ind w:left="120" w:firstLine="22"/>
              <w:rPr>
                <w:rFonts w:hint="eastAsia" w:ascii="宋体" w:hAnsi="宋体" w:cs="宋体"/>
                <w:color w:val="auto"/>
                <w:sz w:val="24"/>
                <w:highlight w:val="none"/>
              </w:rPr>
            </w:pPr>
            <w:sdt>
              <w:sdtPr>
                <w:rPr>
                  <w:rFonts w:hint="eastAsia" w:ascii="宋体" w:hAnsi="宋体" w:cs="宋体"/>
                  <w:color w:val="auto"/>
                  <w:kern w:val="0"/>
                  <w:sz w:val="24"/>
                  <w:highlight w:val="none"/>
                </w:rPr>
                <w:id w:val="9144020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F4EBC2A">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注：不得限制中型企业向小微企业合理分包。</w:t>
            </w:r>
          </w:p>
        </w:tc>
      </w:tr>
      <w:tr w14:paraId="107E0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3C6C5F74">
            <w:pPr>
              <w:snapToGrid w:val="0"/>
              <w:spacing w:line="360" w:lineRule="auto"/>
              <w:ind w:left="120" w:firstLine="22"/>
              <w:jc w:val="center"/>
              <w:rPr>
                <w:rFonts w:hint="eastAsia" w:ascii="宋体" w:hAnsi="宋体" w:cs="宋体"/>
                <w:color w:val="auto"/>
                <w:sz w:val="24"/>
                <w:highlight w:val="none"/>
              </w:rPr>
            </w:pPr>
          </w:p>
          <w:p w14:paraId="2496AE0C">
            <w:pPr>
              <w:snapToGrid w:val="0"/>
              <w:spacing w:line="360" w:lineRule="auto"/>
              <w:ind w:firstLine="22"/>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000000" w:sz="8" w:space="0"/>
              <w:bottom w:val="single" w:color="000000" w:sz="8" w:space="0"/>
              <w:right w:val="single" w:color="000000" w:sz="8" w:space="0"/>
            </w:tcBorders>
            <w:vAlign w:val="center"/>
          </w:tcPr>
          <w:p w14:paraId="439FD215">
            <w:pPr>
              <w:snapToGrid w:val="0"/>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8" w:space="0"/>
              <w:bottom w:val="single" w:color="000000" w:sz="8" w:space="0"/>
              <w:right w:val="single" w:color="000000" w:sz="8" w:space="0"/>
            </w:tcBorders>
            <w:vAlign w:val="center"/>
          </w:tcPr>
          <w:p w14:paraId="654B53A8">
            <w:pPr>
              <w:spacing w:line="360" w:lineRule="auto"/>
              <w:ind w:left="120" w:firstLine="22"/>
              <w:rPr>
                <w:rFonts w:hint="eastAsia" w:ascii="宋体" w:hAnsi="宋体" w:cs="宋体"/>
                <w:color w:val="auto"/>
                <w:sz w:val="24"/>
                <w:highlight w:val="none"/>
              </w:rPr>
            </w:pPr>
            <w:sdt>
              <w:sdtPr>
                <w:rPr>
                  <w:rFonts w:hint="eastAsia" w:ascii="宋体" w:hAnsi="宋体" w:cs="宋体"/>
                  <w:color w:val="auto"/>
                  <w:kern w:val="0"/>
                  <w:sz w:val="24"/>
                  <w:highlight w:val="none"/>
                </w:rPr>
                <w:id w:val="971714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5D540AE">
            <w:pPr>
              <w:spacing w:line="360" w:lineRule="auto"/>
              <w:ind w:left="120" w:firstLine="22"/>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283765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311F1539">
            <w:pPr>
              <w:spacing w:line="360" w:lineRule="auto"/>
              <w:ind w:left="120" w:firstLine="22"/>
              <w:rPr>
                <w:color w:val="auto"/>
                <w:highlight w:val="none"/>
              </w:rPr>
            </w:pPr>
            <w:r>
              <w:rPr>
                <w:rFonts w:hint="eastAsia"/>
                <w:color w:val="auto"/>
                <w:highlight w:val="none"/>
              </w:rPr>
              <w:t>☐</w:t>
            </w:r>
            <w:r>
              <w:rPr>
                <w:rFonts w:hint="eastAsia" w:ascii="宋体" w:hAnsi="宋体" w:cs="宋体"/>
                <w:color w:val="auto"/>
                <w:sz w:val="24"/>
                <w:highlight w:val="none"/>
              </w:rPr>
              <w:t>C不统一组织，供应商在获取采购文件后，自行至项目现场考察。地点： ，联系人： ，联系方式： 。</w:t>
            </w:r>
          </w:p>
        </w:tc>
      </w:tr>
      <w:tr w14:paraId="4E99C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4DCCFBD9">
            <w:pPr>
              <w:snapToGrid w:val="0"/>
              <w:spacing w:line="360" w:lineRule="auto"/>
              <w:ind w:firstLine="22"/>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000000" w:sz="8" w:space="0"/>
              <w:bottom w:val="single" w:color="000000" w:sz="8" w:space="0"/>
              <w:right w:val="single" w:color="000000" w:sz="8" w:space="0"/>
            </w:tcBorders>
            <w:vAlign w:val="center"/>
          </w:tcPr>
          <w:p w14:paraId="4BE6A460">
            <w:pPr>
              <w:snapToGrid w:val="0"/>
              <w:spacing w:line="360" w:lineRule="auto"/>
              <w:ind w:firstLine="22"/>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8" w:space="0"/>
              <w:bottom w:val="single" w:color="000000" w:sz="8" w:space="0"/>
              <w:right w:val="single" w:color="000000" w:sz="8" w:space="0"/>
            </w:tcBorders>
            <w:vAlign w:val="center"/>
          </w:tcPr>
          <w:p w14:paraId="6A3CC9F8">
            <w:pPr>
              <w:spacing w:line="360" w:lineRule="auto"/>
              <w:ind w:left="120" w:firstLine="22"/>
              <w:rPr>
                <w:rFonts w:hint="eastAsia" w:ascii="宋体" w:hAnsi="宋体" w:cs="宋体"/>
                <w:color w:val="auto"/>
                <w:sz w:val="24"/>
                <w:highlight w:val="none"/>
              </w:rPr>
            </w:pPr>
            <w:sdt>
              <w:sdtPr>
                <w:rPr>
                  <w:rFonts w:hint="eastAsia" w:ascii="宋体" w:hAnsi="宋体" w:cs="宋体"/>
                  <w:color w:val="auto"/>
                  <w:kern w:val="0"/>
                  <w:sz w:val="24"/>
                  <w:highlight w:val="none"/>
                </w:rPr>
                <w:id w:val="109891878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91D19CB">
            <w:pPr>
              <w:spacing w:line="360" w:lineRule="auto"/>
              <w:ind w:left="120" w:firstLine="22"/>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2C734D66">
            <w:pPr>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E6D14ED">
            <w:pPr>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9C89DE5">
            <w:pPr>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05E0CD8">
            <w:pPr>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31F8C36">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C52FA57">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65AA5DC">
            <w:pPr>
              <w:spacing w:line="360" w:lineRule="auto"/>
              <w:ind w:left="120" w:firstLine="22"/>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97C2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0"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7BDA241F">
            <w:pPr>
              <w:snapToGrid w:val="0"/>
              <w:spacing w:line="360" w:lineRule="auto"/>
              <w:ind w:firstLine="22"/>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000000" w:sz="8" w:space="0"/>
              <w:bottom w:val="single" w:color="000000" w:sz="8" w:space="0"/>
              <w:right w:val="single" w:color="000000" w:sz="8" w:space="0"/>
            </w:tcBorders>
            <w:vAlign w:val="center"/>
          </w:tcPr>
          <w:p w14:paraId="7AA8ACA6">
            <w:pPr>
              <w:snapToGrid w:val="0"/>
              <w:spacing w:line="360" w:lineRule="auto"/>
              <w:ind w:firstLine="22"/>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8" w:space="0"/>
              <w:bottom w:val="single" w:color="000000" w:sz="8" w:space="0"/>
              <w:right w:val="single" w:color="000000" w:sz="8" w:space="0"/>
            </w:tcBorders>
            <w:vAlign w:val="center"/>
          </w:tcPr>
          <w:p w14:paraId="33F45205">
            <w:pPr>
              <w:spacing w:line="360" w:lineRule="auto"/>
              <w:ind w:left="120" w:firstLine="22"/>
              <w:rPr>
                <w:rFonts w:hint="eastAsia" w:ascii="宋体" w:hAnsi="宋体" w:cs="宋体"/>
                <w:color w:val="auto"/>
                <w:sz w:val="24"/>
                <w:highlight w:val="none"/>
              </w:rPr>
            </w:pPr>
            <w:sdt>
              <w:sdtPr>
                <w:rPr>
                  <w:rFonts w:hint="eastAsia" w:ascii="宋体" w:hAnsi="宋体" w:cs="宋体"/>
                  <w:color w:val="auto"/>
                  <w:kern w:val="0"/>
                  <w:sz w:val="24"/>
                  <w:highlight w:val="none"/>
                </w:rPr>
                <w:id w:val="-6641640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EFB4B14">
            <w:pPr>
              <w:spacing w:line="360" w:lineRule="auto"/>
              <w:ind w:left="120" w:firstLine="22"/>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070A1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000000" w:sz="8" w:space="0"/>
              <w:left w:val="single" w:color="000000" w:sz="8" w:space="0"/>
              <w:bottom w:val="single" w:color="000000" w:sz="8" w:space="0"/>
              <w:right w:val="single" w:color="000000" w:sz="8" w:space="0"/>
            </w:tcBorders>
            <w:vAlign w:val="center"/>
          </w:tcPr>
          <w:p w14:paraId="39E927A5">
            <w:pPr>
              <w:snapToGrid w:val="0"/>
              <w:spacing w:line="360" w:lineRule="auto"/>
              <w:ind w:firstLine="22"/>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40A2AB60">
            <w:pPr>
              <w:snapToGrid w:val="0"/>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8" w:space="0"/>
              <w:bottom w:val="single" w:color="000000" w:sz="8" w:space="0"/>
              <w:right w:val="single" w:color="000000" w:sz="8" w:space="0"/>
            </w:tcBorders>
            <w:vAlign w:val="center"/>
          </w:tcPr>
          <w:p w14:paraId="3B9551D3">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6A70DE39">
            <w:pPr>
              <w:spacing w:line="360" w:lineRule="auto"/>
              <w:ind w:left="120" w:firstLine="22"/>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投标人未提供有效的资格证明文件的，视为投标人不具备采购文件中规定的资格要求，投标无效。</w:t>
            </w:r>
          </w:p>
        </w:tc>
      </w:tr>
      <w:tr w14:paraId="5B4D9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top w:val="single" w:color="000000" w:sz="8" w:space="0"/>
              <w:left w:val="single" w:color="000000" w:sz="8" w:space="0"/>
              <w:bottom w:val="single" w:color="000000" w:sz="8" w:space="0"/>
              <w:right w:val="single" w:color="000000" w:sz="8" w:space="0"/>
            </w:tcBorders>
            <w:vAlign w:val="center"/>
          </w:tcPr>
          <w:p w14:paraId="283AA369">
            <w:pPr>
              <w:snapToGrid w:val="0"/>
              <w:spacing w:line="360" w:lineRule="auto"/>
              <w:ind w:left="120" w:firstLine="22"/>
              <w:jc w:val="center"/>
              <w:rPr>
                <w:rFonts w:hint="eastAsia" w:ascii="宋体" w:hAnsi="宋体" w:cs="宋体"/>
                <w:color w:val="auto"/>
                <w:sz w:val="24"/>
                <w:highlight w:val="none"/>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6C9BC364">
            <w:pPr>
              <w:snapToGrid w:val="0"/>
              <w:spacing w:line="360" w:lineRule="auto"/>
              <w:ind w:left="120" w:firstLine="22"/>
              <w:jc w:val="center"/>
              <w:rPr>
                <w:rFonts w:hint="eastAsia" w:ascii="宋体" w:hAnsi="宋体" w:cs="宋体"/>
                <w:b/>
                <w:color w:val="auto"/>
                <w:sz w:val="24"/>
                <w:highlight w:val="none"/>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2EA3C1C6">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（2）资信证明文件：根据采购文件第四部分评标标准提供。</w:t>
            </w:r>
          </w:p>
        </w:tc>
      </w:tr>
      <w:tr w14:paraId="542E2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2"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4AEEC24F">
            <w:pPr>
              <w:snapToGrid w:val="0"/>
              <w:spacing w:line="360" w:lineRule="auto"/>
              <w:ind w:firstLine="22"/>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8" w:space="0"/>
              <w:bottom w:val="single" w:color="000000" w:sz="8" w:space="0"/>
              <w:right w:val="single" w:color="000000" w:sz="8" w:space="0"/>
            </w:tcBorders>
            <w:vAlign w:val="center"/>
          </w:tcPr>
          <w:p w14:paraId="44A130FB">
            <w:pPr>
              <w:snapToGrid w:val="0"/>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8" w:space="0"/>
              <w:bottom w:val="single" w:color="000000" w:sz="8" w:space="0"/>
              <w:right w:val="single" w:color="000000" w:sz="8" w:space="0"/>
            </w:tcBorders>
            <w:vAlign w:val="center"/>
          </w:tcPr>
          <w:p w14:paraId="763A929B">
            <w:pPr>
              <w:pStyle w:val="2"/>
              <w:spacing w:line="360" w:lineRule="auto"/>
              <w:ind w:left="0" w:firstLine="0" w:firstLineChars="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F6467D3">
            <w:pPr>
              <w:pStyle w:val="2"/>
              <w:spacing w:line="360" w:lineRule="auto"/>
              <w:ind w:firstLine="480"/>
              <w:rPr>
                <w:rFonts w:hint="eastAsia" w:ascii="宋体" w:hAnsi="宋体" w:eastAsia="宋体" w:cs="宋体"/>
                <w:color w:val="auto"/>
                <w:sz w:val="24"/>
                <w:szCs w:val="24"/>
                <w:highlight w:val="none"/>
              </w:rPr>
            </w:pPr>
            <w:sdt>
              <w:sdtPr>
                <w:rPr>
                  <w:rFonts w:hint="eastAsia" w:ascii="宋体" w:hAnsi="宋体" w:cs="宋体"/>
                  <w:color w:val="auto"/>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 xml:space="preserve">强制采购。产品：    </w:t>
            </w:r>
          </w:p>
          <w:p w14:paraId="39EFD1CF">
            <w:pPr>
              <w:pStyle w:val="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□优先采购节能产品。产品：   </w:t>
            </w:r>
          </w:p>
          <w:p w14:paraId="4050C8F7">
            <w:pPr>
              <w:pStyle w:val="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□优先采购环保产品。产品：    </w:t>
            </w:r>
          </w:p>
          <w:p w14:paraId="52A9579E">
            <w:pPr>
              <w:pStyle w:val="2"/>
              <w:spacing w:line="360" w:lineRule="auto"/>
              <w:ind w:firstLine="480" w:firstLineChars="0"/>
              <w:rPr>
                <w:rFonts w:hint="eastAsia"/>
                <w:color w:val="auto"/>
                <w:highlight w:val="none"/>
              </w:rPr>
            </w:pPr>
            <w:r>
              <w:rPr>
                <w:rFonts w:hint="eastAsia" w:ascii="宋体" w:hAnsi="宋体" w:eastAsia="宋体" w:cs="宋体"/>
                <w:color w:val="auto"/>
                <w:sz w:val="24"/>
                <w:szCs w:val="24"/>
                <w:highlight w:val="none"/>
              </w:rPr>
              <w:t>□无</w:t>
            </w:r>
          </w:p>
        </w:tc>
      </w:tr>
      <w:tr w14:paraId="6F9D9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0AE06ABD">
            <w:pPr>
              <w:snapToGrid w:val="0"/>
              <w:spacing w:line="360" w:lineRule="auto"/>
              <w:ind w:firstLine="22"/>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8" w:space="0"/>
              <w:bottom w:val="single" w:color="000000" w:sz="8" w:space="0"/>
              <w:right w:val="single" w:color="000000" w:sz="8" w:space="0"/>
            </w:tcBorders>
            <w:vAlign w:val="center"/>
          </w:tcPr>
          <w:p w14:paraId="5E6B7B19">
            <w:pPr>
              <w:snapToGrid w:val="0"/>
              <w:spacing w:line="360" w:lineRule="auto"/>
              <w:ind w:firstLine="22"/>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8" w:space="0"/>
              <w:bottom w:val="single" w:color="000000" w:sz="8" w:space="0"/>
              <w:right w:val="single" w:color="000000" w:sz="8" w:space="0"/>
            </w:tcBorders>
            <w:vAlign w:val="center"/>
          </w:tcPr>
          <w:p w14:paraId="5C5E4EE3">
            <w:pPr>
              <w:snapToGrid w:val="0"/>
              <w:spacing w:line="360" w:lineRule="auto"/>
              <w:ind w:left="120" w:firstLine="22"/>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投标文件中价格全部采用人民币报价。采购文件未列明，而投标人认为必需的费用也需列入报价。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9054E61">
            <w:pPr>
              <w:snapToGrid w:val="0"/>
              <w:spacing w:line="360" w:lineRule="auto"/>
              <w:ind w:left="120" w:firstLine="22"/>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投标报价出现下列情形的，投标无效：</w:t>
            </w:r>
          </w:p>
          <w:p w14:paraId="4B9CB901">
            <w:pPr>
              <w:snapToGrid w:val="0"/>
              <w:spacing w:line="360" w:lineRule="auto"/>
              <w:ind w:left="120" w:firstLine="22"/>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投标文件出现不是唯一的、有选择性投标报价的；</w:t>
            </w:r>
          </w:p>
          <w:p w14:paraId="56722611">
            <w:pPr>
              <w:snapToGrid w:val="0"/>
              <w:spacing w:line="360" w:lineRule="auto"/>
              <w:ind w:left="120" w:firstLine="22"/>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投标报价超过采购文件中规定的预算金额或者最高限价的;</w:t>
            </w:r>
          </w:p>
          <w:p w14:paraId="742B37AF">
            <w:pPr>
              <w:snapToGrid w:val="0"/>
              <w:spacing w:line="360" w:lineRule="auto"/>
              <w:ind w:left="120" w:firstLine="22"/>
              <w:jc w:val="left"/>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报价明显低于其他通过符合性审查投标人的报价，有可能影响产品质量或者不能诚信履约的，未能按要求提供书面说明或者提交相关证明材料证明其报价合理性的;</w:t>
            </w:r>
          </w:p>
          <w:p w14:paraId="390428CA">
            <w:pPr>
              <w:snapToGrid w:val="0"/>
              <w:spacing w:line="360" w:lineRule="auto"/>
              <w:ind w:left="120" w:firstLine="22"/>
              <w:jc w:val="left"/>
              <w:rPr>
                <w:rFonts w:hint="eastAsia" w:ascii="宋体" w:hAnsi="宋体" w:cs="宋体"/>
                <w:color w:val="auto"/>
                <w:sz w:val="24"/>
                <w:highlight w:val="none"/>
              </w:rPr>
            </w:pPr>
            <w:r>
              <w:rPr>
                <w:rFonts w:hint="eastAsia" w:ascii="宋体" w:hAnsi="宋体" w:cs="宋体"/>
                <w:b/>
                <w:bCs/>
                <w:color w:val="auto"/>
                <w:kern w:val="0"/>
                <w:sz w:val="24"/>
                <w:highlight w:val="none"/>
                <w:lang w:val="zh-CN"/>
              </w:rPr>
              <w:t>投标人对根据修正原则修正后的报价不确认的。</w:t>
            </w:r>
          </w:p>
        </w:tc>
      </w:tr>
      <w:tr w14:paraId="4688C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0C92997D">
            <w:pPr>
              <w:snapToGrid w:val="0"/>
              <w:spacing w:line="360" w:lineRule="auto"/>
              <w:ind w:firstLine="22"/>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8" w:space="0"/>
              <w:bottom w:val="single" w:color="000000" w:sz="8" w:space="0"/>
              <w:right w:val="single" w:color="000000" w:sz="8" w:space="0"/>
            </w:tcBorders>
            <w:vAlign w:val="center"/>
          </w:tcPr>
          <w:p w14:paraId="6F170515">
            <w:pPr>
              <w:snapToGrid w:val="0"/>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8" w:space="0"/>
              <w:bottom w:val="single" w:color="000000" w:sz="8" w:space="0"/>
              <w:right w:val="single" w:color="000000" w:sz="8" w:space="0"/>
            </w:tcBorders>
            <w:vAlign w:val="center"/>
          </w:tcPr>
          <w:p w14:paraId="612AEB11">
            <w:pPr>
              <w:spacing w:line="360" w:lineRule="auto"/>
              <w:ind w:left="120"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FB78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098D6A06">
            <w:pPr>
              <w:snapToGrid w:val="0"/>
              <w:spacing w:line="360" w:lineRule="auto"/>
              <w:ind w:left="120" w:firstLine="22"/>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8" w:space="0"/>
              <w:bottom w:val="single" w:color="000000" w:sz="8" w:space="0"/>
              <w:right w:val="single" w:color="000000" w:sz="8" w:space="0"/>
            </w:tcBorders>
            <w:vAlign w:val="center"/>
          </w:tcPr>
          <w:p w14:paraId="112919B6">
            <w:pPr>
              <w:snapToGrid w:val="0"/>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8" w:space="0"/>
              <w:bottom w:val="single" w:color="000000" w:sz="8" w:space="0"/>
              <w:right w:val="single" w:color="000000" w:sz="8" w:space="0"/>
            </w:tcBorders>
            <w:vAlign w:val="center"/>
          </w:tcPr>
          <w:p w14:paraId="70CC1110">
            <w:pPr>
              <w:pStyle w:val="34"/>
              <w:spacing w:line="360" w:lineRule="auto"/>
              <w:ind w:left="120" w:firstLine="22"/>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杭州市拱墅区文晖路42号现代置业大厦西楼1301室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陆佳，0571-87634685</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00C80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000000" w:sz="8" w:space="0"/>
              <w:left w:val="single" w:color="000000" w:sz="8" w:space="0"/>
              <w:bottom w:val="single" w:color="000000" w:sz="8" w:space="0"/>
              <w:right w:val="single" w:color="000000" w:sz="8" w:space="0"/>
            </w:tcBorders>
            <w:vAlign w:val="center"/>
          </w:tcPr>
          <w:p w14:paraId="1F4DE0B0">
            <w:pPr>
              <w:snapToGrid w:val="0"/>
              <w:spacing w:line="360" w:lineRule="auto"/>
              <w:ind w:left="120" w:firstLine="22"/>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09B17B22">
            <w:pPr>
              <w:snapToGrid w:val="0"/>
              <w:spacing w:line="360" w:lineRule="auto"/>
              <w:ind w:firstLine="22"/>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78CD8DDB">
            <w:pPr>
              <w:spacing w:line="360" w:lineRule="auto"/>
              <w:ind w:left="120" w:firstLine="22"/>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9A36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000000" w:sz="8" w:space="0"/>
              <w:left w:val="single" w:color="000000" w:sz="8" w:space="0"/>
              <w:bottom w:val="single" w:color="000000" w:sz="8" w:space="0"/>
              <w:right w:val="single" w:color="000000" w:sz="8" w:space="0"/>
            </w:tcBorders>
            <w:vAlign w:val="center"/>
          </w:tcPr>
          <w:p w14:paraId="14E1918F">
            <w:pPr>
              <w:snapToGrid w:val="0"/>
              <w:spacing w:line="360" w:lineRule="auto"/>
              <w:ind w:left="120" w:firstLine="22"/>
              <w:jc w:val="center"/>
              <w:rPr>
                <w:rFonts w:hint="eastAsia" w:ascii="宋体" w:hAnsi="宋体" w:cs="宋体"/>
                <w:color w:val="auto"/>
                <w:sz w:val="24"/>
                <w:highlight w:val="none"/>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2C99D53F">
            <w:pPr>
              <w:snapToGrid w:val="0"/>
              <w:spacing w:line="360" w:lineRule="auto"/>
              <w:ind w:left="120" w:firstLine="22"/>
              <w:jc w:val="center"/>
              <w:rPr>
                <w:rFonts w:hint="eastAsia" w:ascii="宋体" w:hAnsi="宋体" w:cs="宋体"/>
                <w:b/>
                <w:color w:val="auto"/>
                <w:sz w:val="24"/>
                <w:highlight w:val="none"/>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24969D01">
            <w:pPr>
              <w:spacing w:line="360" w:lineRule="auto"/>
              <w:ind w:left="120" w:firstLine="22"/>
              <w:rPr>
                <w:rFonts w:hint="eastAsia" w:ascii="宋体" w:hAnsi="宋体" w:cs="宋体"/>
                <w:snapToGrid w:val="0"/>
                <w:color w:val="auto"/>
                <w:kern w:val="28"/>
                <w:sz w:val="24"/>
                <w:highlight w:val="none"/>
              </w:rPr>
            </w:pPr>
            <w:sdt>
              <w:sdtPr>
                <w:rPr>
                  <w:rFonts w:hint="eastAsia" w:ascii="宋体" w:hAnsi="宋体" w:cs="宋体"/>
                  <w:color w:val="auto"/>
                  <w:kern w:val="0"/>
                  <w:sz w:val="24"/>
                  <w:highlight w:val="none"/>
                </w:rPr>
                <w:id w:val="7142388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联合体投标的，联合体各方均需按采购文件第四部分评标标准要求提供资信证明文件，否则视为不符合相关要求。</w:t>
            </w:r>
          </w:p>
          <w:p w14:paraId="4111F9A8">
            <w:pPr>
              <w:spacing w:line="360" w:lineRule="auto"/>
              <w:ind w:left="120" w:firstLine="22"/>
              <w:rPr>
                <w:rFonts w:hint="eastAsia" w:ascii="宋体" w:hAnsi="宋体" w:cs="宋体"/>
                <w:snapToGrid w:val="0"/>
                <w:color w:val="auto"/>
                <w:kern w:val="28"/>
                <w:sz w:val="24"/>
                <w:highlight w:val="none"/>
              </w:rPr>
            </w:pPr>
            <w:sdt>
              <w:sdtPr>
                <w:rPr>
                  <w:rFonts w:hint="eastAsia" w:ascii="宋体" w:hAnsi="宋体" w:cs="宋体"/>
                  <w:color w:val="auto"/>
                  <w:kern w:val="0"/>
                  <w:sz w:val="24"/>
                  <w:highlight w:val="none"/>
                </w:rPr>
                <w:id w:val="-96967121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联合体投标的，联合体中有一方或者联合体成员根据分工按采购文件第四部分评标标准要求提供资信证明文件的，视为符合了相关要求。</w:t>
            </w:r>
          </w:p>
        </w:tc>
      </w:tr>
      <w:tr w14:paraId="61EB9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3D82566D">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4C3A777A">
            <w:pPr>
              <w:snapToGrid w:val="0"/>
              <w:spacing w:line="360" w:lineRule="auto"/>
              <w:ind w:left="120" w:firstLine="22"/>
              <w:jc w:val="center"/>
              <w:rPr>
                <w:rFonts w:hint="eastAsia" w:ascii="宋体" w:hAnsi="宋体" w:cs="宋体"/>
                <w:b/>
                <w:color w:val="auto"/>
                <w:sz w:val="24"/>
                <w:highlight w:val="none"/>
              </w:rPr>
            </w:pPr>
            <w:r>
              <w:rPr>
                <w:rFonts w:hint="eastAsia" w:ascii="宋体" w:hAnsi="宋体" w:cs="宋体"/>
                <w:b/>
                <w:bCs/>
                <w:color w:val="auto"/>
                <w:spacing w:val="-6"/>
                <w:sz w:val="24"/>
                <w:highlight w:val="none"/>
              </w:rPr>
              <w:t>推荐中标候选人数量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14:paraId="7A066207">
            <w:pPr>
              <w:spacing w:line="360" w:lineRule="auto"/>
              <w:ind w:left="120" w:firstLine="22"/>
              <w:rPr>
                <w:rFonts w:hint="eastAsia" w:ascii="宋体" w:hAnsi="宋体" w:cs="宋体"/>
                <w:color w:val="auto"/>
                <w:spacing w:val="-6"/>
                <w:sz w:val="24"/>
                <w:highlight w:val="none"/>
              </w:rPr>
            </w:pPr>
            <w:r>
              <w:rPr>
                <w:rFonts w:hint="eastAsia" w:ascii="宋体" w:hAnsi="宋体" w:cs="宋体"/>
                <w:color w:val="auto"/>
                <w:spacing w:val="-6"/>
                <w:sz w:val="24"/>
                <w:highlight w:val="none"/>
              </w:rPr>
              <w:t>推荐中标候选人数量：</w:t>
            </w:r>
            <w:r>
              <w:rPr>
                <w:rFonts w:hint="eastAsia" w:ascii="宋体" w:hAnsi="宋体" w:cs="宋体"/>
                <w:color w:val="auto"/>
                <w:spacing w:val="-6"/>
                <w:sz w:val="24"/>
                <w:highlight w:val="none"/>
                <w:u w:val="single"/>
              </w:rPr>
              <w:t>1</w:t>
            </w:r>
            <w:r>
              <w:rPr>
                <w:rFonts w:hint="eastAsia" w:ascii="宋体" w:hAnsi="宋体" w:cs="宋体"/>
                <w:color w:val="auto"/>
                <w:spacing w:val="-6"/>
                <w:sz w:val="24"/>
                <w:highlight w:val="none"/>
              </w:rPr>
              <w:t>名</w:t>
            </w:r>
          </w:p>
        </w:tc>
      </w:tr>
      <w:tr w14:paraId="0F920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2612DA09">
            <w:pPr>
              <w:snapToGrid w:val="0"/>
              <w:spacing w:line="360" w:lineRule="auto"/>
              <w:ind w:left="120" w:firstLine="22"/>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3C435274">
            <w:pPr>
              <w:snapToGrid w:val="0"/>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代理服务费</w:t>
            </w:r>
          </w:p>
        </w:tc>
        <w:tc>
          <w:tcPr>
            <w:tcW w:w="6095" w:type="dxa"/>
            <w:tcBorders>
              <w:top w:val="single" w:color="000000" w:sz="8" w:space="0"/>
              <w:left w:val="single" w:color="000000" w:sz="8" w:space="0"/>
              <w:bottom w:val="single" w:color="000000" w:sz="8" w:space="0"/>
              <w:right w:val="single" w:color="000000" w:sz="8" w:space="0"/>
            </w:tcBorders>
            <w:vAlign w:val="center"/>
          </w:tcPr>
          <w:p w14:paraId="7DBEF50B">
            <w:pPr>
              <w:autoSpaceDE w:val="0"/>
              <w:autoSpaceDN w:val="0"/>
              <w:snapToGrid w:val="0"/>
              <w:spacing w:line="360" w:lineRule="auto"/>
              <w:ind w:left="120" w:firstLine="22"/>
              <w:textAlignment w:val="bottom"/>
              <w:rPr>
                <w:rFonts w:hint="eastAsia" w:ascii="宋体" w:hAnsi="宋体" w:cs="宋体"/>
                <w:color w:val="auto"/>
                <w:sz w:val="24"/>
                <w:highlight w:val="none"/>
              </w:rPr>
            </w:pPr>
            <w:r>
              <w:rPr>
                <w:rFonts w:hint="eastAsia" w:ascii="宋体" w:hAnsi="宋体" w:cs="宋体"/>
                <w:snapToGrid w:val="0"/>
                <w:color w:val="auto"/>
                <w:kern w:val="0"/>
                <w:sz w:val="24"/>
                <w:highlight w:val="none"/>
              </w:rPr>
              <w:t>收到中标通知书5个工作日内，中标人需向招标代理机构支付招标代理服务费。</w:t>
            </w:r>
            <w:r>
              <w:rPr>
                <w:rFonts w:hint="eastAsia" w:ascii="宋体" w:hAnsi="宋体" w:cs="宋体"/>
                <w:color w:val="auto"/>
                <w:sz w:val="24"/>
                <w:highlight w:val="none"/>
              </w:rPr>
              <w:t>参照【2002】1980号文规定的</w:t>
            </w:r>
            <w:r>
              <w:rPr>
                <w:rFonts w:ascii="宋体" w:hAnsi="宋体" w:cs="宋体"/>
                <w:color w:val="auto"/>
                <w:sz w:val="24"/>
                <w:highlight w:val="none"/>
              </w:rPr>
              <w:t>80</w:t>
            </w:r>
            <w:r>
              <w:rPr>
                <w:rFonts w:hint="eastAsia" w:ascii="宋体" w:hAnsi="宋体" w:cs="宋体"/>
                <w:color w:val="auto"/>
                <w:sz w:val="24"/>
                <w:highlight w:val="none"/>
              </w:rPr>
              <w:t>%向中标供应商收取（不足5</w:t>
            </w:r>
            <w:r>
              <w:rPr>
                <w:rFonts w:ascii="宋体" w:hAnsi="宋体" w:cs="宋体"/>
                <w:color w:val="auto"/>
                <w:sz w:val="24"/>
                <w:highlight w:val="none"/>
              </w:rPr>
              <w:t>000</w:t>
            </w:r>
            <w:r>
              <w:rPr>
                <w:rFonts w:hint="eastAsia" w:ascii="宋体" w:hAnsi="宋体" w:cs="宋体"/>
                <w:color w:val="auto"/>
                <w:sz w:val="24"/>
                <w:highlight w:val="none"/>
              </w:rPr>
              <w:t>元按5</w:t>
            </w:r>
            <w:r>
              <w:rPr>
                <w:rFonts w:ascii="宋体" w:hAnsi="宋体" w:cs="宋体"/>
                <w:color w:val="auto"/>
                <w:sz w:val="24"/>
                <w:highlight w:val="none"/>
              </w:rPr>
              <w:t>000</w:t>
            </w:r>
            <w:r>
              <w:rPr>
                <w:rFonts w:hint="eastAsia" w:ascii="宋体" w:hAnsi="宋体" w:cs="宋体"/>
                <w:color w:val="auto"/>
                <w:sz w:val="24"/>
                <w:highlight w:val="none"/>
              </w:rPr>
              <w:t>元计）。</w:t>
            </w:r>
          </w:p>
          <w:p w14:paraId="21CB9D16">
            <w:pPr>
              <w:pStyle w:val="130"/>
              <w:snapToGrid w:val="0"/>
              <w:spacing w:before="0"/>
              <w:ind w:left="120" w:firstLine="22" w:firstLineChars="0"/>
              <w:rPr>
                <w:rFonts w:hint="eastAsia" w:ascii="宋体" w:hAnsi="宋体" w:cs="宋体"/>
                <w:color w:val="auto"/>
                <w:szCs w:val="24"/>
                <w:highlight w:val="none"/>
              </w:rPr>
            </w:pPr>
            <w:r>
              <w:rPr>
                <w:rFonts w:hint="eastAsia" w:ascii="宋体" w:hAnsi="宋体" w:cs="宋体"/>
                <w:color w:val="auto"/>
                <w:spacing w:val="-6"/>
                <w:szCs w:val="24"/>
                <w:highlight w:val="none"/>
              </w:rPr>
              <w:t>收款单位（户名）：</w:t>
            </w:r>
            <w:r>
              <w:rPr>
                <w:rFonts w:hint="eastAsia" w:ascii="宋体" w:hAnsi="宋体" w:cs="宋体"/>
                <w:bCs/>
                <w:color w:val="auto"/>
                <w:kern w:val="0"/>
                <w:szCs w:val="24"/>
                <w:highlight w:val="none"/>
              </w:rPr>
              <w:t>浙江省成套招标代理有限公司；</w:t>
            </w:r>
          </w:p>
          <w:p w14:paraId="1B5612A9">
            <w:pPr>
              <w:pStyle w:val="130"/>
              <w:snapToGrid w:val="0"/>
              <w:spacing w:before="0"/>
              <w:ind w:left="120" w:firstLine="22" w:firstLineChars="0"/>
              <w:rPr>
                <w:rFonts w:hint="eastAsia" w:ascii="宋体" w:hAnsi="宋体" w:cs="宋体"/>
                <w:color w:val="auto"/>
                <w:spacing w:val="-6"/>
                <w:szCs w:val="24"/>
                <w:highlight w:val="none"/>
              </w:rPr>
            </w:pPr>
            <w:r>
              <w:rPr>
                <w:rFonts w:hint="eastAsia" w:ascii="宋体" w:hAnsi="宋体" w:cs="宋体"/>
                <w:bCs/>
                <w:color w:val="auto"/>
                <w:kern w:val="0"/>
                <w:szCs w:val="24"/>
                <w:highlight w:val="none"/>
              </w:rPr>
              <w:t>开户银行：中信</w:t>
            </w:r>
            <w:r>
              <w:rPr>
                <w:rFonts w:hint="eastAsia" w:ascii="宋体" w:hAnsi="宋体" w:cs="宋体"/>
                <w:color w:val="auto"/>
                <w:spacing w:val="-6"/>
                <w:szCs w:val="24"/>
                <w:highlight w:val="none"/>
              </w:rPr>
              <w:t>银行杭州西湖支行；</w:t>
            </w:r>
          </w:p>
          <w:p w14:paraId="5016A3AD">
            <w:pPr>
              <w:spacing w:line="360" w:lineRule="auto"/>
              <w:ind w:firstLine="228" w:firstLineChars="100"/>
              <w:rPr>
                <w:rFonts w:hint="eastAsia" w:ascii="宋体" w:hAnsi="宋体" w:cs="宋体"/>
                <w:color w:val="auto"/>
                <w:kern w:val="0"/>
                <w:sz w:val="24"/>
                <w:highlight w:val="none"/>
              </w:rPr>
            </w:pPr>
            <w:r>
              <w:rPr>
                <w:rFonts w:hint="eastAsia" w:ascii="宋体" w:hAnsi="宋体" w:cs="宋体"/>
                <w:color w:val="auto"/>
                <w:spacing w:val="-6"/>
                <w:sz w:val="24"/>
                <w:highlight w:val="none"/>
              </w:rPr>
              <w:t>银行账号：</w:t>
            </w:r>
            <w:r>
              <w:rPr>
                <w:rFonts w:ascii="宋体" w:hAnsi="宋体" w:cs="宋体"/>
                <w:color w:val="auto"/>
                <w:spacing w:val="-6"/>
                <w:sz w:val="24"/>
                <w:highlight w:val="none"/>
              </w:rPr>
              <w:t>7331 6101 8260 0126 385。</w:t>
            </w:r>
          </w:p>
        </w:tc>
      </w:tr>
    </w:tbl>
    <w:p w14:paraId="70EBC184">
      <w:pPr>
        <w:snapToGrid w:val="0"/>
        <w:spacing w:line="360" w:lineRule="auto"/>
        <w:ind w:left="120" w:firstLine="22"/>
        <w:jc w:val="center"/>
        <w:rPr>
          <w:rFonts w:hint="eastAsia" w:ascii="宋体" w:hAnsi="宋体" w:cs="宋体"/>
          <w:b/>
          <w:color w:val="auto"/>
          <w:sz w:val="32"/>
          <w:szCs w:val="20"/>
          <w:highlight w:val="none"/>
        </w:rPr>
      </w:pPr>
    </w:p>
    <w:bookmarkEnd w:id="11"/>
    <w:p w14:paraId="1F6BEADA">
      <w:pPr>
        <w:adjustRightInd/>
        <w:spacing w:line="360" w:lineRule="auto"/>
        <w:ind w:left="120" w:firstLine="3845" w:firstLineChars="1197"/>
        <w:rPr>
          <w:rFonts w:hint="eastAsia" w:ascii="宋体" w:hAnsi="宋体" w:cs="宋体"/>
          <w:b/>
          <w:color w:val="auto"/>
          <w:sz w:val="32"/>
          <w:szCs w:val="20"/>
          <w:highlight w:val="none"/>
        </w:rPr>
      </w:pPr>
      <w:bookmarkStart w:id="27" w:name="第三部分"/>
      <w:bookmarkStart w:id="28" w:name="_Toc164416483"/>
    </w:p>
    <w:p w14:paraId="0A1D7774">
      <w:pPr>
        <w:adjustRightInd/>
        <w:spacing w:line="360" w:lineRule="auto"/>
        <w:ind w:left="120" w:firstLine="3845" w:firstLineChars="1197"/>
        <w:rPr>
          <w:rFonts w:hint="eastAsia" w:ascii="宋体" w:hAnsi="宋体" w:cs="宋体"/>
          <w:b/>
          <w:color w:val="auto"/>
          <w:sz w:val="32"/>
          <w:szCs w:val="20"/>
          <w:highlight w:val="none"/>
        </w:rPr>
      </w:pPr>
    </w:p>
    <w:p w14:paraId="277C50D8">
      <w:pPr>
        <w:pStyle w:val="4"/>
        <w:rPr>
          <w:rFonts w:hint="eastAsia"/>
          <w:color w:val="auto"/>
          <w:highlight w:val="none"/>
        </w:rPr>
      </w:pPr>
    </w:p>
    <w:p w14:paraId="67362EAE">
      <w:pPr>
        <w:spacing w:line="360" w:lineRule="auto"/>
        <w:ind w:left="120" w:firstLine="22"/>
        <w:rPr>
          <w:rFonts w:hint="eastAsia" w:ascii="宋体" w:hAnsi="宋体" w:cs="宋体"/>
          <w:b/>
          <w:color w:val="auto"/>
          <w:sz w:val="32"/>
          <w:szCs w:val="20"/>
          <w:highlight w:val="none"/>
        </w:rPr>
      </w:pPr>
    </w:p>
    <w:p w14:paraId="24A9BC9A">
      <w:pPr>
        <w:pStyle w:val="4"/>
        <w:rPr>
          <w:rFonts w:hint="eastAsia"/>
          <w:color w:val="auto"/>
          <w:highlight w:val="none"/>
        </w:rPr>
      </w:pPr>
    </w:p>
    <w:p w14:paraId="1EB52F4C">
      <w:pPr>
        <w:spacing w:line="360" w:lineRule="auto"/>
        <w:ind w:left="120" w:firstLine="22"/>
        <w:rPr>
          <w:rFonts w:hint="eastAsia" w:ascii="宋体" w:hAnsi="宋体" w:cs="宋体"/>
          <w:b/>
          <w:color w:val="auto"/>
          <w:sz w:val="32"/>
          <w:szCs w:val="20"/>
          <w:highlight w:val="none"/>
        </w:rPr>
      </w:pPr>
    </w:p>
    <w:p w14:paraId="27E437CC">
      <w:pPr>
        <w:pStyle w:val="4"/>
        <w:rPr>
          <w:rFonts w:hint="eastAsia"/>
          <w:color w:val="auto"/>
          <w:highlight w:val="none"/>
        </w:rPr>
      </w:pPr>
    </w:p>
    <w:p w14:paraId="793D67FF">
      <w:pPr>
        <w:spacing w:line="360" w:lineRule="auto"/>
        <w:ind w:left="120" w:firstLine="22"/>
        <w:rPr>
          <w:rFonts w:hint="eastAsia" w:ascii="宋体" w:hAnsi="宋体" w:cs="宋体"/>
          <w:b/>
          <w:color w:val="auto"/>
          <w:sz w:val="32"/>
          <w:szCs w:val="20"/>
          <w:highlight w:val="none"/>
        </w:rPr>
      </w:pPr>
    </w:p>
    <w:p w14:paraId="43CB8824">
      <w:pPr>
        <w:pStyle w:val="4"/>
        <w:rPr>
          <w:rFonts w:hint="eastAsia"/>
          <w:color w:val="auto"/>
          <w:highlight w:val="none"/>
        </w:rPr>
      </w:pPr>
    </w:p>
    <w:p w14:paraId="72329322">
      <w:pPr>
        <w:spacing w:line="360" w:lineRule="auto"/>
        <w:ind w:left="120" w:firstLine="22"/>
        <w:rPr>
          <w:rFonts w:hint="eastAsia" w:ascii="宋体" w:hAnsi="宋体" w:cs="宋体"/>
          <w:b/>
          <w:color w:val="auto"/>
          <w:sz w:val="32"/>
          <w:szCs w:val="20"/>
          <w:highlight w:val="none"/>
        </w:rPr>
      </w:pPr>
    </w:p>
    <w:p w14:paraId="4C8CE766">
      <w:pPr>
        <w:adjustRightInd/>
        <w:spacing w:line="360" w:lineRule="auto"/>
        <w:ind w:left="120" w:firstLine="22"/>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54962066">
      <w:pPr>
        <w:snapToGrid w:val="0"/>
        <w:spacing w:line="360" w:lineRule="auto"/>
        <w:ind w:left="120" w:firstLine="361" w:firstLineChars="150"/>
        <w:jc w:val="left"/>
        <w:outlineLvl w:val="2"/>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1E65DBEC">
      <w:pPr>
        <w:snapToGrid w:val="0"/>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本采购文件适用于该项目的招标、投标、开标、资格审查及信用信息查询、评标、定标、合同、验收等行为（法律、法规另有规定的，从其规定）。</w:t>
      </w:r>
    </w:p>
    <w:p w14:paraId="44B2B1AB">
      <w:pPr>
        <w:adjustRightInd/>
        <w:snapToGrid w:val="0"/>
        <w:spacing w:line="360" w:lineRule="auto"/>
        <w:ind w:left="120" w:firstLine="361" w:firstLineChars="150"/>
        <w:jc w:val="left"/>
        <w:outlineLvl w:val="2"/>
        <w:rPr>
          <w:rFonts w:hint="eastAsia" w:ascii="宋体" w:hAnsi="宋体" w:cs="宋体"/>
          <w:b/>
          <w:color w:val="auto"/>
          <w:sz w:val="24"/>
          <w:highlight w:val="none"/>
        </w:rPr>
      </w:pPr>
      <w:r>
        <w:rPr>
          <w:rFonts w:hint="eastAsia" w:ascii="宋体" w:hAnsi="宋体" w:cs="宋体"/>
          <w:b/>
          <w:color w:val="auto"/>
          <w:sz w:val="24"/>
          <w:highlight w:val="none"/>
        </w:rPr>
        <w:t>2.定义</w:t>
      </w:r>
    </w:p>
    <w:p w14:paraId="1656CB29">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ABC95CD">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FCB8BE6">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EC2D9C2">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428D433">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D617182">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E4C5EEC">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 系指不适用本项目的要求。</w:t>
      </w:r>
    </w:p>
    <w:p w14:paraId="42E23D48">
      <w:pPr>
        <w:adjustRightInd/>
        <w:snapToGrid w:val="0"/>
        <w:spacing w:line="360" w:lineRule="auto"/>
        <w:ind w:left="120" w:firstLine="361" w:firstLineChars="150"/>
        <w:jc w:val="left"/>
        <w:outlineLvl w:val="2"/>
        <w:rPr>
          <w:rFonts w:hint="eastAsia" w:ascii="宋体" w:hAnsi="宋体" w:cs="宋体"/>
          <w:b/>
          <w:color w:val="auto"/>
          <w:sz w:val="24"/>
          <w:highlight w:val="none"/>
        </w:rPr>
      </w:pPr>
      <w:r>
        <w:rPr>
          <w:rFonts w:hint="eastAsia" w:ascii="宋体" w:hAnsi="宋体" w:cs="宋体"/>
          <w:b/>
          <w:color w:val="auto"/>
          <w:sz w:val="24"/>
          <w:highlight w:val="none"/>
        </w:rPr>
        <w:t>3. 采购项目需要落实的政府采购政策</w:t>
      </w:r>
    </w:p>
    <w:p w14:paraId="7C55B9CF">
      <w:pPr>
        <w:spacing w:line="360" w:lineRule="auto"/>
        <w:ind w:left="120"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FC6456A">
      <w:pPr>
        <w:spacing w:line="360" w:lineRule="auto"/>
        <w:ind w:left="120"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7461E03A">
      <w:pPr>
        <w:spacing w:line="360" w:lineRule="auto"/>
        <w:ind w:left="120"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9E4007D">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修缮、装修类项目采购建材的，采购人应将绿色建筑和绿色建材性能、指标等作为实质性条件纳入采购文件和合同。</w:t>
      </w:r>
    </w:p>
    <w:p w14:paraId="6AF39925">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人优先采购秸秆环保板材等资源综合利用产品。鼓励采购人优先采购绿色物流配送服务、提供新能源交通工具的租赁服务。</w:t>
      </w:r>
    </w:p>
    <w:p w14:paraId="1E470333">
      <w:pPr>
        <w:spacing w:line="360" w:lineRule="auto"/>
        <w:ind w:left="120" w:firstLine="480" w:firstLineChars="200"/>
        <w:rPr>
          <w:rFonts w:hint="eastAsia"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鼓励供应商在参加政府采购过程中开展绿色设计、选择绿色材料、打造绿色制造工艺、开展绿色运输、做好废弃产品回收处理，实现产品全周期的绿色环保。鼓励采购人对其提高预付款比例、免收履约保证金。</w:t>
      </w:r>
    </w:p>
    <w:p w14:paraId="25527E97">
      <w:pPr>
        <w:spacing w:line="360" w:lineRule="auto"/>
        <w:ind w:left="120"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68CF3022">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F767AEA">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F5658CC">
      <w:pPr>
        <w:widowControl/>
        <w:spacing w:line="360" w:lineRule="auto"/>
        <w:ind w:left="120"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E995245">
      <w:pPr>
        <w:widowControl/>
        <w:spacing w:line="360" w:lineRule="auto"/>
        <w:ind w:left="12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AF5D178">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371CF78">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0311793">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66201DF">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采购文件格式要求提供《中小企业声明函》，投标人提供的《中小企业声明函》与实际情况不符的，不享受中小企业扶持政策。声明内容不实的，属于提供虚假材料谋取中标、成交的，依法承担法律责任。</w:t>
      </w:r>
    </w:p>
    <w:p w14:paraId="28EEACF1">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76D7530">
      <w:pPr>
        <w:spacing w:line="360" w:lineRule="auto"/>
        <w:ind w:left="120"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D3591E5">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B2AE7C4">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80A217E">
      <w:pPr>
        <w:pStyle w:val="4"/>
        <w:rPr>
          <w:rFonts w:hint="eastAsia"/>
          <w:color w:val="auto"/>
          <w:highlight w:val="none"/>
        </w:rPr>
      </w:pPr>
      <w:r>
        <w:rPr>
          <w:rFonts w:hint="eastAsia"/>
          <w:color w:val="auto"/>
          <w:highlight w:val="none"/>
        </w:rPr>
        <w:t>3.4.3 采购人应当贯彻落实知识产权保护相关法律法规，应当采购使用正版软件。</w:t>
      </w:r>
    </w:p>
    <w:p w14:paraId="37B3D011">
      <w:pPr>
        <w:spacing w:line="360" w:lineRule="auto"/>
        <w:ind w:left="12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3.5平等对待内外资企业和符合条件的破产重整企业</w:t>
      </w:r>
    </w:p>
    <w:p w14:paraId="0841E83B">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平等对待内外资企业和符合条件的破产重整企业，切实保障企业公平竞争，平等维护企业的合法利益。</w:t>
      </w:r>
    </w:p>
    <w:p w14:paraId="6376E0EB">
      <w:pPr>
        <w:spacing w:line="360" w:lineRule="auto"/>
        <w:ind w:left="120"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4. 询问、质疑、投诉</w:t>
      </w:r>
      <w:r>
        <w:rPr>
          <w:rFonts w:hint="eastAsia" w:ascii="宋体" w:hAnsi="宋体" w:cs="仿宋"/>
          <w:b/>
          <w:color w:val="auto"/>
          <w:sz w:val="24"/>
          <w:highlight w:val="none"/>
        </w:rPr>
        <w:t>、补偿救济</w:t>
      </w:r>
    </w:p>
    <w:p w14:paraId="629F8E21">
      <w:pPr>
        <w:autoSpaceDE w:val="0"/>
        <w:autoSpaceDN w:val="0"/>
        <w:spacing w:line="360" w:lineRule="auto"/>
        <w:ind w:left="120"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1C845F">
      <w:pPr>
        <w:autoSpaceDE w:val="0"/>
        <w:autoSpaceDN w:val="0"/>
        <w:spacing w:line="360" w:lineRule="auto"/>
        <w:ind w:left="120"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70EF811">
      <w:pPr>
        <w:autoSpaceDE w:val="0"/>
        <w:autoSpaceDN w:val="0"/>
        <w:spacing w:line="360" w:lineRule="auto"/>
        <w:ind w:left="120"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4F8FED">
      <w:pPr>
        <w:autoSpaceDE w:val="0"/>
        <w:autoSpaceDN w:val="0"/>
        <w:spacing w:line="360" w:lineRule="auto"/>
        <w:ind w:left="120"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B513238">
      <w:pPr>
        <w:pStyle w:val="34"/>
        <w:spacing w:line="360" w:lineRule="auto"/>
        <w:ind w:left="120"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15004DE3">
      <w:pPr>
        <w:pStyle w:val="34"/>
        <w:spacing w:line="360" w:lineRule="auto"/>
        <w:ind w:left="120"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47B8B224">
      <w:pPr>
        <w:pStyle w:val="6"/>
        <w:spacing w:line="360" w:lineRule="auto"/>
        <w:ind w:left="120"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1396DD28">
      <w:pPr>
        <w:pStyle w:val="34"/>
        <w:spacing w:line="360" w:lineRule="auto"/>
        <w:ind w:left="479" w:leftChars="228" w:firstLine="22"/>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DAF0559">
      <w:pPr>
        <w:pStyle w:val="34"/>
        <w:spacing w:line="360" w:lineRule="auto"/>
        <w:ind w:left="120"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E6CFB8D">
      <w:pPr>
        <w:pStyle w:val="34"/>
        <w:spacing w:line="360" w:lineRule="auto"/>
        <w:ind w:left="120"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FB305C">
      <w:pPr>
        <w:pStyle w:val="34"/>
        <w:spacing w:line="360" w:lineRule="auto"/>
        <w:ind w:left="120"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07AEE9F">
      <w:pPr>
        <w:pStyle w:val="34"/>
        <w:spacing w:line="360" w:lineRule="auto"/>
        <w:ind w:left="120"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7212240">
      <w:pPr>
        <w:pStyle w:val="34"/>
        <w:spacing w:line="360" w:lineRule="auto"/>
        <w:ind w:left="120"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D2BDEF1">
      <w:pPr>
        <w:pStyle w:val="34"/>
        <w:spacing w:line="360" w:lineRule="auto"/>
        <w:ind w:left="120"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714C0C2">
      <w:pPr>
        <w:pStyle w:val="34"/>
        <w:spacing w:line="360" w:lineRule="auto"/>
        <w:ind w:left="120"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2339A09">
      <w:pPr>
        <w:pStyle w:val="888"/>
        <w:shd w:val="clear" w:color="auto" w:fill="FFFFFF"/>
        <w:snapToGrid w:val="0"/>
        <w:spacing w:after="240" w:afterAutospacing="0" w:line="360" w:lineRule="auto"/>
        <w:ind w:left="120" w:firstLine="22"/>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0A910A7">
      <w:pPr>
        <w:pStyle w:val="888"/>
        <w:shd w:val="clear" w:color="auto" w:fill="FFFFFF"/>
        <w:snapToGrid w:val="0"/>
        <w:spacing w:after="240" w:afterAutospacing="0" w:line="360" w:lineRule="auto"/>
        <w:ind w:left="120" w:firstLine="22"/>
        <w:contextualSpacing/>
        <w:rPr>
          <w:rFonts w:hint="eastAsia"/>
          <w:color w:val="auto"/>
          <w:highlight w:val="none"/>
        </w:rPr>
      </w:pPr>
      <w:r>
        <w:rPr>
          <w:rFonts w:hint="eastAsia"/>
          <w:color w:val="auto"/>
          <w:highlight w:val="none"/>
        </w:rPr>
        <w:t>质疑函范本及制作说明详见附件2。</w:t>
      </w:r>
    </w:p>
    <w:p w14:paraId="50F0B826">
      <w:pPr>
        <w:pStyle w:val="888"/>
        <w:shd w:val="clear" w:color="auto" w:fill="FFFFFF"/>
        <w:snapToGrid w:val="0"/>
        <w:spacing w:after="240" w:afterAutospacing="0" w:line="360" w:lineRule="auto"/>
        <w:ind w:left="120" w:firstLine="22"/>
        <w:contextualSpacing/>
        <w:rPr>
          <w:rFonts w:hint="eastAsia"/>
          <w:color w:val="auto"/>
          <w:highlight w:val="none"/>
        </w:rPr>
      </w:pPr>
      <w:r>
        <w:rPr>
          <w:rFonts w:hint="eastAsia"/>
          <w:color w:val="auto"/>
          <w:highlight w:val="none"/>
        </w:rPr>
        <w:t>4.3.4对同一采购程序环节的质疑，供应商须在法定质疑期内一次性提出。</w:t>
      </w:r>
    </w:p>
    <w:p w14:paraId="3DD56FB5">
      <w:pPr>
        <w:pStyle w:val="888"/>
        <w:shd w:val="clear" w:color="auto" w:fill="FFFFFF"/>
        <w:snapToGrid w:val="0"/>
        <w:spacing w:after="240" w:afterAutospacing="0" w:line="360" w:lineRule="auto"/>
        <w:ind w:left="120" w:firstLine="22"/>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02B4DCB">
      <w:pPr>
        <w:pStyle w:val="888"/>
        <w:shd w:val="clear" w:color="auto" w:fill="FFFFFF"/>
        <w:snapToGrid w:val="0"/>
        <w:spacing w:after="240" w:afterAutospacing="0" w:line="360" w:lineRule="auto"/>
        <w:ind w:left="120" w:firstLine="22"/>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85432D2">
      <w:pPr>
        <w:pStyle w:val="888"/>
        <w:shd w:val="clear" w:color="auto" w:fill="FFFFFF"/>
        <w:snapToGrid w:val="0"/>
        <w:spacing w:after="240" w:afterAutospacing="0" w:line="360" w:lineRule="auto"/>
        <w:ind w:left="120" w:firstLine="480" w:firstLineChars="200"/>
        <w:contextualSpacing/>
        <w:rPr>
          <w:rFonts w:hint="eastAsia"/>
          <w:color w:val="auto"/>
          <w:highlight w:val="none"/>
          <w:lang w:val="zh-CN"/>
        </w:rPr>
      </w:pPr>
      <w:r>
        <w:rPr>
          <w:rFonts w:hint="eastAsia"/>
          <w:color w:val="auto"/>
          <w:highlight w:val="none"/>
          <w:lang w:val="zh-CN"/>
        </w:rPr>
        <w:t>4.4供应商投诉</w:t>
      </w:r>
    </w:p>
    <w:p w14:paraId="312E8678">
      <w:pPr>
        <w:pStyle w:val="888"/>
        <w:shd w:val="clear" w:color="auto" w:fill="FFFFFF"/>
        <w:snapToGrid w:val="0"/>
        <w:spacing w:after="240" w:afterAutospacing="0" w:line="360" w:lineRule="auto"/>
        <w:ind w:left="120" w:firstLine="22"/>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0E97DD0">
      <w:pPr>
        <w:pStyle w:val="888"/>
        <w:shd w:val="clear" w:color="auto" w:fill="FFFFFF"/>
        <w:snapToGrid w:val="0"/>
        <w:spacing w:after="240" w:afterAutospacing="0" w:line="360" w:lineRule="auto"/>
        <w:ind w:left="120" w:firstLine="22"/>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88C74B1">
      <w:pPr>
        <w:pStyle w:val="888"/>
        <w:shd w:val="clear" w:color="auto" w:fill="FFFFFF"/>
        <w:snapToGrid w:val="0"/>
        <w:spacing w:after="240" w:afterAutospacing="0" w:line="360" w:lineRule="auto"/>
        <w:ind w:left="120" w:firstLine="22"/>
        <w:contextualSpacing/>
        <w:rPr>
          <w:rFonts w:hint="eastAsia"/>
          <w:color w:val="auto"/>
          <w:highlight w:val="none"/>
        </w:rPr>
      </w:pPr>
      <w:r>
        <w:rPr>
          <w:rFonts w:hint="eastAsia"/>
          <w:color w:val="auto"/>
          <w:highlight w:val="none"/>
        </w:rPr>
        <w:t>4.4.3供应商投诉应当有明确的请求和必要的证明材料。</w:t>
      </w:r>
    </w:p>
    <w:p w14:paraId="3F65AC3A">
      <w:pPr>
        <w:pStyle w:val="888"/>
        <w:shd w:val="clear" w:color="auto" w:fill="FFFFFF"/>
        <w:snapToGrid w:val="0"/>
        <w:spacing w:after="240" w:afterAutospacing="0" w:line="360" w:lineRule="auto"/>
        <w:ind w:left="119" w:firstLine="480" w:firstLineChars="2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3A8D05B6">
      <w:pPr>
        <w:pStyle w:val="888"/>
        <w:shd w:val="clear" w:color="auto" w:fill="FFFFFF"/>
        <w:snapToGrid w:val="0"/>
        <w:spacing w:after="240" w:afterAutospacing="0" w:line="360" w:lineRule="auto"/>
        <w:ind w:left="119"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4F20EC63">
      <w:pPr>
        <w:pStyle w:val="888"/>
        <w:shd w:val="clear" w:color="auto" w:fill="FFFFFF"/>
        <w:spacing w:after="240" w:afterAutospacing="0" w:line="360" w:lineRule="auto"/>
        <w:ind w:left="120" w:firstLine="480"/>
        <w:contextualSpacing/>
        <w:rPr>
          <w:rFonts w:hint="eastAsia"/>
          <w:color w:val="auto"/>
          <w:highlight w:val="none"/>
          <w:lang w:val="zh-CN"/>
        </w:rPr>
      </w:pPr>
      <w:r>
        <w:rPr>
          <w:rFonts w:hint="eastAsia"/>
          <w:color w:val="auto"/>
          <w:highlight w:val="none"/>
          <w:lang w:val="zh-CN"/>
        </w:rPr>
        <w:t>4.5 补偿救济</w:t>
      </w:r>
    </w:p>
    <w:p w14:paraId="3D196091">
      <w:pPr>
        <w:pStyle w:val="888"/>
        <w:spacing w:line="360" w:lineRule="auto"/>
        <w:ind w:left="119"/>
        <w:rPr>
          <w:rFonts w:hint="eastAsia"/>
          <w:color w:val="auto"/>
          <w:highlight w:val="none"/>
        </w:rPr>
      </w:pPr>
      <w:r>
        <w:rPr>
          <w:rFonts w:hint="eastAsia"/>
          <w:color w:val="auto"/>
          <w:highlight w:val="none"/>
        </w:rPr>
        <w:t>采购人（行政机关）因政策变化、规划调整而不履行政府采购合同的，供应商可依据《杭州市涉企补偿救济实施办法（试行）》向采购人（行政机关）提起补偿申请。</w:t>
      </w:r>
    </w:p>
    <w:p w14:paraId="119A62E9">
      <w:pPr>
        <w:pStyle w:val="888"/>
        <w:shd w:val="clear" w:color="auto" w:fill="FFFFFF"/>
        <w:snapToGrid w:val="0"/>
        <w:spacing w:after="240" w:afterAutospacing="0" w:line="360" w:lineRule="auto"/>
        <w:ind w:left="119" w:firstLine="480" w:firstLineChars="200"/>
        <w:contextualSpacing/>
        <w:rPr>
          <w:rFonts w:hint="eastAsia"/>
          <w:color w:val="auto"/>
          <w:highlight w:val="none"/>
        </w:rPr>
      </w:pPr>
      <w:r>
        <w:rPr>
          <w:rFonts w:hint="eastAsia"/>
          <w:color w:val="auto"/>
          <w:highlight w:val="none"/>
        </w:rPr>
        <w:t>投诉书范本及制作说明详见附件3。</w:t>
      </w:r>
    </w:p>
    <w:p w14:paraId="6AD13C04">
      <w:pPr>
        <w:pStyle w:val="130"/>
        <w:snapToGrid w:val="0"/>
        <w:spacing w:before="0"/>
        <w:ind w:left="120" w:firstLine="360"/>
        <w:rPr>
          <w:rFonts w:hint="eastAsia" w:ascii="宋体" w:hAnsi="宋体" w:cs="宋体"/>
          <w:color w:val="auto"/>
          <w:sz w:val="18"/>
          <w:szCs w:val="18"/>
          <w:highlight w:val="none"/>
        </w:rPr>
      </w:pPr>
    </w:p>
    <w:p w14:paraId="77F84835">
      <w:pPr>
        <w:adjustRightInd/>
        <w:spacing w:line="360" w:lineRule="auto"/>
        <w:ind w:left="120" w:firstLine="22"/>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0AF702AE">
      <w:pPr>
        <w:adjustRightInd/>
        <w:spacing w:line="360" w:lineRule="auto"/>
        <w:ind w:left="120" w:firstLine="22"/>
        <w:outlineLvl w:val="2"/>
        <w:rPr>
          <w:rFonts w:hint="eastAsia" w:ascii="宋体" w:hAnsi="宋体" w:cs="宋体"/>
          <w:b/>
          <w:color w:val="auto"/>
          <w:sz w:val="24"/>
          <w:highlight w:val="none"/>
          <w:lang w:val="zh-CN"/>
        </w:rPr>
      </w:pPr>
      <w:r>
        <w:rPr>
          <w:rFonts w:hint="eastAsia" w:ascii="宋体" w:hAnsi="宋体" w:cs="宋体"/>
          <w:b/>
          <w:color w:val="auto"/>
          <w:sz w:val="24"/>
          <w:highlight w:val="none"/>
          <w:lang w:val="zh-CN"/>
        </w:rPr>
        <w:t>5．采购文件的构成</w:t>
      </w:r>
    </w:p>
    <w:p w14:paraId="412E9691">
      <w:pPr>
        <w:pStyle w:val="34"/>
        <w:spacing w:line="360" w:lineRule="auto"/>
        <w:ind w:left="120" w:firstLine="480" w:firstLineChars="200"/>
        <w:rPr>
          <w:rFonts w:hint="eastAsia" w:hAnsi="宋体" w:cs="宋体"/>
          <w:color w:val="auto"/>
          <w:sz w:val="24"/>
          <w:szCs w:val="24"/>
          <w:highlight w:val="none"/>
        </w:rPr>
      </w:pPr>
      <w:r>
        <w:rPr>
          <w:rFonts w:hint="eastAsia" w:hAnsi="宋体" w:cs="宋体"/>
          <w:color w:val="auto"/>
          <w:sz w:val="24"/>
          <w:szCs w:val="24"/>
          <w:highlight w:val="none"/>
        </w:rPr>
        <w:t>5.1 采购文件包括下列文件及附件：</w:t>
      </w:r>
    </w:p>
    <w:p w14:paraId="33530BD9">
      <w:pPr>
        <w:pStyle w:val="34"/>
        <w:tabs>
          <w:tab w:val="left" w:pos="840"/>
        </w:tabs>
        <w:spacing w:line="360" w:lineRule="auto"/>
        <w:ind w:left="120"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13FA4F23">
      <w:pPr>
        <w:pStyle w:val="34"/>
        <w:tabs>
          <w:tab w:val="left" w:pos="840"/>
        </w:tabs>
        <w:spacing w:line="360" w:lineRule="auto"/>
        <w:ind w:left="120"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04BABA40">
      <w:pPr>
        <w:pStyle w:val="34"/>
        <w:tabs>
          <w:tab w:val="left" w:pos="840"/>
        </w:tabs>
        <w:spacing w:line="360" w:lineRule="auto"/>
        <w:ind w:left="120"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0A87D623">
      <w:pPr>
        <w:pStyle w:val="34"/>
        <w:tabs>
          <w:tab w:val="left" w:pos="840"/>
        </w:tabs>
        <w:spacing w:line="360" w:lineRule="auto"/>
        <w:ind w:left="120"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182EA8A0">
      <w:pPr>
        <w:pStyle w:val="34"/>
        <w:tabs>
          <w:tab w:val="left" w:pos="840"/>
        </w:tabs>
        <w:spacing w:line="360" w:lineRule="auto"/>
        <w:ind w:left="120"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5107C689">
      <w:pPr>
        <w:pStyle w:val="34"/>
        <w:tabs>
          <w:tab w:val="left" w:pos="840"/>
        </w:tabs>
        <w:spacing w:line="360" w:lineRule="auto"/>
        <w:ind w:left="120"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2584964">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00045015">
      <w:pPr>
        <w:adjustRightInd/>
        <w:spacing w:line="360" w:lineRule="auto"/>
        <w:ind w:left="120" w:firstLine="22"/>
        <w:outlineLvl w:val="2"/>
        <w:rPr>
          <w:rFonts w:hint="eastAsia" w:ascii="宋体" w:hAnsi="宋体" w:cs="宋体"/>
          <w:b/>
          <w:color w:val="auto"/>
          <w:sz w:val="24"/>
          <w:highlight w:val="none"/>
          <w:lang w:val="zh-CN"/>
        </w:rPr>
      </w:pPr>
      <w:r>
        <w:rPr>
          <w:rFonts w:hint="eastAsia" w:ascii="宋体" w:hAnsi="宋体" w:cs="宋体"/>
          <w:b/>
          <w:color w:val="auto"/>
          <w:sz w:val="24"/>
          <w:highlight w:val="none"/>
          <w:lang w:val="zh-CN"/>
        </w:rPr>
        <w:t>6. 采购文件的澄清、修改</w:t>
      </w:r>
    </w:p>
    <w:p w14:paraId="4080E56F">
      <w:pPr>
        <w:pStyle w:val="130"/>
        <w:snapToGrid w:val="0"/>
        <w:spacing w:before="0"/>
        <w:ind w:left="120" w:firstLine="480"/>
        <w:rPr>
          <w:rFonts w:hint="eastAsia" w:ascii="宋体" w:hAnsi="宋体" w:cs="宋体"/>
          <w:color w:val="auto"/>
          <w:highlight w:val="none"/>
        </w:rPr>
      </w:pPr>
      <w:r>
        <w:rPr>
          <w:rFonts w:hint="eastAsia" w:ascii="宋体" w:hAnsi="宋体" w:cs="宋体"/>
          <w:color w:val="auto"/>
          <w:highlight w:val="none"/>
        </w:rPr>
        <w:t>6.1已获取采购文件的潜在投标人，若有问题需要澄清，应于投标截止时间前，以书面形式向采购代理机构提出。</w:t>
      </w:r>
    </w:p>
    <w:p w14:paraId="2BEEA8D2">
      <w:pPr>
        <w:pStyle w:val="130"/>
        <w:snapToGrid w:val="0"/>
        <w:spacing w:before="0"/>
        <w:ind w:left="120" w:firstLine="480"/>
        <w:rPr>
          <w:rFonts w:hint="eastAsia" w:ascii="宋体" w:hAnsi="宋体" w:cs="宋体"/>
          <w:color w:val="auto"/>
          <w:highlight w:val="none"/>
        </w:rPr>
      </w:pPr>
      <w:r>
        <w:rPr>
          <w:rFonts w:hint="eastAsia" w:ascii="宋体" w:hAnsi="宋体" w:cs="宋体"/>
          <w:color w:val="auto"/>
          <w:highlight w:val="none"/>
        </w:rPr>
        <w:t>6.2 采购代理机构对采购文件进行澄清或修改的，将同时通过电子交易平台通知已获取采购文件的潜在投标人。依法应当公告的，将按规定公告，同时视情况延长投标截止时间和开标时间。该澄清或者修改的内容为采购文件的组成部分。</w:t>
      </w:r>
    </w:p>
    <w:p w14:paraId="7DCF4B4A">
      <w:pPr>
        <w:pStyle w:val="24"/>
        <w:ind w:left="120" w:firstLine="22"/>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14884F45">
      <w:pPr>
        <w:pStyle w:val="34"/>
        <w:spacing w:line="360" w:lineRule="auto"/>
        <w:ind w:left="120" w:firstLine="22"/>
        <w:outlineLvl w:val="2"/>
        <w:rPr>
          <w:rFonts w:hint="eastAsia" w:hAnsi="宋体" w:cs="宋体"/>
          <w:b/>
          <w:color w:val="auto"/>
          <w:sz w:val="24"/>
          <w:szCs w:val="24"/>
          <w:highlight w:val="none"/>
        </w:rPr>
      </w:pPr>
      <w:r>
        <w:rPr>
          <w:rFonts w:hint="eastAsia" w:hAnsi="宋体" w:cs="宋体"/>
          <w:b/>
          <w:color w:val="auto"/>
          <w:sz w:val="24"/>
          <w:szCs w:val="24"/>
          <w:highlight w:val="none"/>
        </w:rPr>
        <w:t>7.开标前答疑会或现场考察</w:t>
      </w:r>
    </w:p>
    <w:p w14:paraId="4C55C76F">
      <w:pPr>
        <w:pStyle w:val="34"/>
        <w:spacing w:line="360" w:lineRule="auto"/>
        <w:ind w:left="120"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1D0BE1A">
      <w:pPr>
        <w:adjustRightInd/>
        <w:spacing w:line="360" w:lineRule="auto"/>
        <w:ind w:left="120" w:firstLine="22"/>
        <w:jc w:val="center"/>
        <w:outlineLvl w:val="1"/>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10199795">
      <w:pPr>
        <w:pStyle w:val="34"/>
        <w:spacing w:line="360" w:lineRule="auto"/>
        <w:ind w:left="120" w:firstLine="22"/>
        <w:outlineLvl w:val="2"/>
        <w:rPr>
          <w:rFonts w:hint="eastAsia" w:hAnsi="宋体" w:cs="宋体"/>
          <w:b/>
          <w:color w:val="auto"/>
          <w:sz w:val="24"/>
          <w:szCs w:val="24"/>
          <w:highlight w:val="none"/>
          <w:lang w:val="zh-CN"/>
        </w:rPr>
      </w:pPr>
      <w:r>
        <w:rPr>
          <w:rFonts w:hint="eastAsia" w:hAnsi="宋体" w:cs="宋体"/>
          <w:b/>
          <w:color w:val="auto"/>
          <w:sz w:val="24"/>
          <w:szCs w:val="24"/>
          <w:highlight w:val="none"/>
        </w:rPr>
        <w:t>8</w:t>
      </w:r>
      <w:r>
        <w:rPr>
          <w:rFonts w:hint="eastAsia" w:hAnsi="宋体" w:cs="宋体"/>
          <w:b/>
          <w:color w:val="auto"/>
          <w:sz w:val="24"/>
          <w:szCs w:val="24"/>
          <w:highlight w:val="none"/>
          <w:lang w:val="zh-CN"/>
        </w:rPr>
        <w:t>. 采购文件的获取</w:t>
      </w:r>
    </w:p>
    <w:p w14:paraId="40D8E215">
      <w:pPr>
        <w:spacing w:line="360" w:lineRule="auto"/>
        <w:ind w:left="120"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详见招标公告中获取采购文件的时间期限、地点、方式及采购文件售价。</w:t>
      </w:r>
    </w:p>
    <w:p w14:paraId="5B6606E2">
      <w:pPr>
        <w:pStyle w:val="34"/>
        <w:spacing w:line="360" w:lineRule="auto"/>
        <w:ind w:left="120" w:firstLine="22"/>
        <w:outlineLvl w:val="2"/>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74230256">
      <w:pPr>
        <w:pStyle w:val="6"/>
        <w:spacing w:line="360" w:lineRule="auto"/>
        <w:ind w:left="120"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7E1D8F34">
      <w:pPr>
        <w:pStyle w:val="34"/>
        <w:spacing w:line="360" w:lineRule="auto"/>
        <w:ind w:left="120" w:firstLine="22"/>
        <w:outlineLvl w:val="2"/>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4F0BC8BB">
      <w:pPr>
        <w:autoSpaceDE w:val="0"/>
        <w:autoSpaceDN w:val="0"/>
        <w:spacing w:line="360" w:lineRule="auto"/>
        <w:ind w:left="12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2209E1B">
      <w:pPr>
        <w:pStyle w:val="34"/>
        <w:spacing w:line="360" w:lineRule="auto"/>
        <w:ind w:left="120" w:firstLine="22"/>
        <w:outlineLvl w:val="2"/>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085E2211">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E4D98C1">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1E9EEE5">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67E854F">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ECCF16D">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56D89B">
      <w:pPr>
        <w:snapToGrid w:val="0"/>
        <w:spacing w:line="360" w:lineRule="auto"/>
        <w:ind w:left="12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9C0B5BB">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108B7DA">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681F5C5">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2BE5CA8">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BF58DEB">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65257FF">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006B391">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23AB06">
      <w:pPr>
        <w:snapToGrid w:val="0"/>
        <w:spacing w:line="360" w:lineRule="auto"/>
        <w:ind w:left="120"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F64EDDA">
      <w:pPr>
        <w:snapToGrid w:val="0"/>
        <w:spacing w:line="360" w:lineRule="auto"/>
        <w:ind w:left="120"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E05BAF5">
      <w:pPr>
        <w:snapToGrid w:val="0"/>
        <w:spacing w:line="360" w:lineRule="auto"/>
        <w:ind w:left="120"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CE21F19">
      <w:pPr>
        <w:spacing w:line="360" w:lineRule="auto"/>
        <w:ind w:left="120"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9CFD09C">
      <w:pPr>
        <w:spacing w:line="360" w:lineRule="auto"/>
        <w:ind w:left="120"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482B1F0">
      <w:pPr>
        <w:spacing w:line="360" w:lineRule="auto"/>
        <w:ind w:left="120" w:firstLine="720" w:firstLineChars="300"/>
        <w:rPr>
          <w:rFonts w:hint="eastAsia" w:ascii="宋体" w:hAnsi="宋体"/>
          <w:color w:val="auto"/>
          <w:sz w:val="24"/>
          <w:highlight w:val="none"/>
        </w:rPr>
      </w:pPr>
      <w:r>
        <w:rPr>
          <w:rFonts w:hint="eastAsia" w:ascii="宋体" w:hAnsi="宋体"/>
          <w:color w:val="auto"/>
          <w:sz w:val="24"/>
          <w:highlight w:val="none"/>
          <w:shd w:val="clear" w:color="auto" w:fill="FFFFFF"/>
        </w:rPr>
        <w:t>投标人应对投标文件中材料的真实性、合法性负责。</w:t>
      </w:r>
    </w:p>
    <w:p w14:paraId="44F0FFAE">
      <w:pPr>
        <w:pStyle w:val="130"/>
        <w:snapToGrid w:val="0"/>
        <w:spacing w:before="0"/>
        <w:ind w:left="120" w:firstLine="22" w:firstLineChars="0"/>
        <w:outlineLvl w:val="2"/>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C8D9897">
      <w:pPr>
        <w:spacing w:line="360" w:lineRule="auto"/>
        <w:ind w:left="120"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采购文件第六部分规定的格式进行，混乱的编排导致投标文件被误读或评标委员会查找不到有效文件是投标人的风险。</w:t>
      </w:r>
    </w:p>
    <w:p w14:paraId="0F23C5A8">
      <w:pPr>
        <w:spacing w:line="360" w:lineRule="auto"/>
        <w:ind w:left="120"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12.2投标人进行电子投标应安装客户端软件—“政采云电子交易客户端”，并按照采购文件和电子交易平台的要求编制并加密投标文件。投标人未按规定加密的投标文件，电子交易平台将拒收并提示。</w:t>
      </w:r>
    </w:p>
    <w:p w14:paraId="6A62679D">
      <w:pPr>
        <w:spacing w:line="360" w:lineRule="auto"/>
        <w:ind w:left="120"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C2DEAF8">
      <w:pPr>
        <w:snapToGrid w:val="0"/>
        <w:spacing w:line="360" w:lineRule="auto"/>
        <w:ind w:left="120" w:firstLine="22"/>
        <w:outlineLvl w:val="2"/>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689C0C60">
      <w:pPr>
        <w:pStyle w:val="130"/>
        <w:snapToGrid w:val="0"/>
        <w:spacing w:before="0"/>
        <w:ind w:left="120" w:firstLine="480"/>
        <w:rPr>
          <w:rFonts w:hint="eastAsia" w:ascii="宋体" w:hAnsi="宋体" w:cs="宋体"/>
          <w:b/>
          <w:color w:val="auto"/>
          <w:highlight w:val="none"/>
        </w:rPr>
      </w:pPr>
      <w:r>
        <w:rPr>
          <w:rFonts w:hint="eastAsia" w:ascii="宋体" w:hAnsi="宋体" w:cs="宋体"/>
          <w:color w:val="auto"/>
          <w:szCs w:val="24"/>
          <w:highlight w:val="none"/>
        </w:rPr>
        <w:t>13.1投标文件按照采购文件第六部分格式要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▲投标人的投标文件未按照采购文件要求签署、盖章的，其投标无效</w:t>
      </w:r>
      <w:r>
        <w:rPr>
          <w:rFonts w:hint="eastAsia" w:ascii="宋体" w:hAnsi="宋体" w:cs="宋体"/>
          <w:color w:val="auto"/>
          <w:szCs w:val="24"/>
          <w:highlight w:val="none"/>
        </w:rPr>
        <w:t>。</w:t>
      </w:r>
    </w:p>
    <w:p w14:paraId="4593A860">
      <w:pPr>
        <w:pStyle w:val="130"/>
        <w:snapToGrid w:val="0"/>
        <w:spacing w:before="0"/>
        <w:ind w:left="120"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CAF3B1F">
      <w:pPr>
        <w:pStyle w:val="130"/>
        <w:snapToGrid w:val="0"/>
        <w:spacing w:before="0"/>
        <w:ind w:left="120" w:firstLine="480"/>
        <w:rPr>
          <w:rFonts w:hint="eastAsia" w:ascii="宋体" w:hAnsi="宋体" w:cs="宋体"/>
          <w:color w:val="auto"/>
          <w:szCs w:val="24"/>
          <w:highlight w:val="none"/>
        </w:rPr>
      </w:pPr>
      <w:r>
        <w:rPr>
          <w:rFonts w:hint="eastAsia" w:ascii="宋体" w:hAnsi="宋体" w:cs="宋体"/>
          <w:color w:val="auto"/>
          <w:highlight w:val="none"/>
        </w:rPr>
        <w:t>13.3采购文件对投标文件签署、盖章的要求适用于电子签名。</w:t>
      </w:r>
    </w:p>
    <w:p w14:paraId="797C02B4">
      <w:pPr>
        <w:pStyle w:val="34"/>
        <w:spacing w:line="360" w:lineRule="auto"/>
        <w:ind w:left="120" w:firstLine="22"/>
        <w:outlineLvl w:val="2"/>
        <w:rPr>
          <w:rFonts w:hint="eastAsia" w:hAnsi="宋体" w:cs="宋体"/>
          <w:b/>
          <w:color w:val="auto"/>
          <w:sz w:val="24"/>
          <w:szCs w:val="24"/>
          <w:highlight w:val="none"/>
        </w:rPr>
      </w:pPr>
      <w:r>
        <w:rPr>
          <w:rFonts w:hint="eastAsia" w:hAnsi="宋体" w:cs="宋体"/>
          <w:b/>
          <w:color w:val="auto"/>
          <w:sz w:val="24"/>
          <w:szCs w:val="24"/>
          <w:highlight w:val="none"/>
        </w:rPr>
        <w:t>14. 投标文件的提交、补充、修改、撤回</w:t>
      </w:r>
    </w:p>
    <w:p w14:paraId="2580A98E">
      <w:pPr>
        <w:pStyle w:val="130"/>
        <w:ind w:left="120"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3F5714B">
      <w:pPr>
        <w:pStyle w:val="130"/>
        <w:spacing w:before="0"/>
        <w:ind w:left="120"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A0839BE">
      <w:pPr>
        <w:pStyle w:val="130"/>
        <w:spacing w:before="0"/>
        <w:ind w:left="120"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89BEC49">
      <w:pPr>
        <w:pStyle w:val="34"/>
        <w:spacing w:line="360" w:lineRule="auto"/>
        <w:ind w:left="120" w:firstLine="22"/>
        <w:outlineLvl w:val="2"/>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10C4AA8D">
      <w:pPr>
        <w:pStyle w:val="34"/>
        <w:spacing w:line="360" w:lineRule="auto"/>
        <w:ind w:left="120"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3CFAAC7">
      <w:pPr>
        <w:pStyle w:val="34"/>
        <w:spacing w:line="360" w:lineRule="auto"/>
        <w:ind w:left="120"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0D7800B">
      <w:pPr>
        <w:pStyle w:val="34"/>
        <w:spacing w:line="360" w:lineRule="auto"/>
        <w:ind w:left="120"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657E11D">
      <w:pPr>
        <w:pStyle w:val="34"/>
        <w:spacing w:line="360" w:lineRule="auto"/>
        <w:ind w:left="120"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采购文件第二部分投标人须知前附表规定的备份投标文件送达地点；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463FB71">
      <w:pPr>
        <w:pStyle w:val="34"/>
        <w:spacing w:line="360" w:lineRule="auto"/>
        <w:ind w:left="120"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B1D2BB">
      <w:pPr>
        <w:pStyle w:val="130"/>
        <w:spacing w:before="0"/>
        <w:ind w:left="120" w:firstLine="22" w:firstLineChars="0"/>
        <w:outlineLvl w:val="2"/>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62EDF7A5">
      <w:pPr>
        <w:pStyle w:val="26"/>
        <w:spacing w:line="360" w:lineRule="auto"/>
        <w:ind w:left="120" w:firstLine="360" w:firstLineChars="150"/>
        <w:rPr>
          <w:rFonts w:hint="eastAsia" w:cs="宋体"/>
          <w:color w:val="auto"/>
          <w:szCs w:val="21"/>
          <w:highlight w:val="none"/>
        </w:rPr>
      </w:pPr>
      <w:r>
        <w:rPr>
          <w:rFonts w:hint="eastAsia" w:cs="宋体"/>
          <w:color w:val="auto"/>
          <w:szCs w:val="21"/>
          <w:highlight w:val="none"/>
        </w:rPr>
        <w:t>有采购文件第四部分</w:t>
      </w:r>
      <w:r>
        <w:rPr>
          <w:rFonts w:cs="宋体"/>
          <w:color w:val="auto"/>
          <w:szCs w:val="21"/>
          <w:highlight w:val="none"/>
        </w:rPr>
        <w:t>4.2规定</w:t>
      </w:r>
      <w:r>
        <w:rPr>
          <w:rFonts w:hint="eastAsia" w:cs="宋体"/>
          <w:color w:val="auto"/>
          <w:szCs w:val="21"/>
          <w:highlight w:val="none"/>
        </w:rPr>
        <w:t>的情形之一的，投标无效：</w:t>
      </w:r>
    </w:p>
    <w:p w14:paraId="5E42591E">
      <w:pPr>
        <w:pStyle w:val="130"/>
        <w:spacing w:before="0"/>
        <w:ind w:left="120" w:firstLine="22" w:firstLineChars="0"/>
        <w:outlineLvl w:val="2"/>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3261CE7B">
      <w:pPr>
        <w:spacing w:line="360" w:lineRule="auto"/>
        <w:ind w:left="120"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诺的投标有效期少于采购文件中载明的投标有效期的，投标无效。</w:t>
      </w:r>
    </w:p>
    <w:p w14:paraId="6D3B24D0">
      <w:pPr>
        <w:pStyle w:val="130"/>
        <w:spacing w:before="0"/>
        <w:ind w:left="120"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100417E">
      <w:pPr>
        <w:pStyle w:val="130"/>
        <w:spacing w:before="0"/>
        <w:ind w:left="120"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1DD310D">
      <w:pPr>
        <w:pStyle w:val="130"/>
        <w:spacing w:before="0"/>
        <w:ind w:left="120" w:firstLine="643"/>
        <w:rPr>
          <w:rFonts w:hint="eastAsia" w:ascii="宋体" w:hAnsi="宋体" w:cs="宋体"/>
          <w:b/>
          <w:color w:val="auto"/>
          <w:sz w:val="32"/>
          <w:highlight w:val="none"/>
        </w:rPr>
      </w:pPr>
    </w:p>
    <w:p w14:paraId="2DAF94FE">
      <w:pPr>
        <w:pStyle w:val="130"/>
        <w:spacing w:before="0"/>
        <w:ind w:left="120" w:firstLine="1928" w:firstLineChars="600"/>
        <w:outlineLvl w:val="1"/>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3F3A2E0">
      <w:pPr>
        <w:pStyle w:val="556"/>
        <w:spacing w:before="0" w:line="360" w:lineRule="auto"/>
        <w:ind w:left="0" w:firstLine="241" w:firstLineChars="100"/>
        <w:contextualSpacing/>
        <w:outlineLvl w:val="2"/>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4BC339A">
      <w:pPr>
        <w:pStyle w:val="556"/>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18.1采购代理机构按照采购文件规定的时间通过电子交易平台组织开标，所有投标人均应当准时在线参加。投标人不足3家的，不得开标。</w:t>
      </w:r>
    </w:p>
    <w:p w14:paraId="73149F0B">
      <w:pPr>
        <w:pStyle w:val="556"/>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18.2开标时，电子交易平台按开标时间自动提取所有投标文件。采购代理机构依托电子交易平台发起开始解密指令，投标人按照平台提示和采购文件的规定在半小时内完成在线解密。</w:t>
      </w:r>
    </w:p>
    <w:p w14:paraId="79264BD3">
      <w:pPr>
        <w:pStyle w:val="556"/>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D37CDF8">
      <w:pPr>
        <w:pStyle w:val="556"/>
        <w:spacing w:before="0" w:line="360" w:lineRule="auto"/>
        <w:ind w:left="0" w:firstLine="22"/>
        <w:contextualSpacing/>
        <w:outlineLvl w:val="2"/>
        <w:rPr>
          <w:rFonts w:hint="eastAsia" w:ascii="宋体" w:hAnsi="宋体" w:cs="宋体"/>
          <w:b/>
          <w:color w:val="auto"/>
          <w:sz w:val="24"/>
          <w:szCs w:val="24"/>
          <w:highlight w:val="none"/>
        </w:rPr>
      </w:pPr>
      <w:r>
        <w:rPr>
          <w:rFonts w:ascii="宋体" w:hAnsi="宋体" w:cs="宋体"/>
          <w:b/>
          <w:color w:val="auto"/>
          <w:sz w:val="24"/>
          <w:szCs w:val="24"/>
          <w:highlight w:val="none"/>
        </w:rPr>
        <w:t>19、资格审查</w:t>
      </w:r>
    </w:p>
    <w:p w14:paraId="70E587B8">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采购人或采购代理机构依据法律法规和采购文件的规定，对投标人的资格进行审查。</w:t>
      </w:r>
    </w:p>
    <w:p w14:paraId="30949BE0">
      <w:pPr>
        <w:pStyle w:val="130"/>
        <w:spacing w:before="0"/>
        <w:ind w:left="120" w:firstLine="480"/>
        <w:rPr>
          <w:rFonts w:hint="eastAsia" w:ascii="宋体" w:hAnsi="宋体" w:cs="宋体"/>
          <w:color w:val="auto"/>
          <w:highlight w:val="none"/>
        </w:rPr>
      </w:pPr>
      <w:r>
        <w:rPr>
          <w:rFonts w:hint="eastAsia" w:ascii="宋体" w:hAnsi="宋体" w:cs="宋体"/>
          <w:color w:val="auto"/>
          <w:kern w:val="0"/>
          <w:szCs w:val="24"/>
          <w:highlight w:val="none"/>
        </w:rPr>
        <w:t>19.2投标人未按照采购文件要求提供与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投标人不具备采购文件中规定的资格要求，其投标无效。</w:t>
      </w:r>
    </w:p>
    <w:p w14:paraId="502CA7EE">
      <w:pPr>
        <w:pStyle w:val="130"/>
        <w:spacing w:before="0"/>
        <w:ind w:left="120"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C334135">
      <w:pPr>
        <w:pStyle w:val="130"/>
        <w:spacing w:before="0"/>
        <w:ind w:left="120"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35596FBD">
      <w:pPr>
        <w:pStyle w:val="130"/>
        <w:spacing w:before="0"/>
        <w:ind w:left="120" w:firstLine="22" w:firstLineChars="0"/>
        <w:outlineLvl w:val="2"/>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43206533">
      <w:pPr>
        <w:pStyle w:val="13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4CD73091">
      <w:pPr>
        <w:pStyle w:val="130"/>
        <w:spacing w:before="0"/>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66EF8C0">
      <w:pPr>
        <w:pStyle w:val="130"/>
        <w:spacing w:before="0"/>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A49C1EF">
      <w:pPr>
        <w:pStyle w:val="130"/>
        <w:spacing w:before="0"/>
        <w:ind w:left="119"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AA19BC2">
      <w:pPr>
        <w:pStyle w:val="130"/>
        <w:spacing w:before="0"/>
        <w:ind w:left="120" w:firstLine="22" w:firstLineChars="0"/>
        <w:rPr>
          <w:rFonts w:hint="eastAsia" w:ascii="宋体" w:hAnsi="宋体" w:cs="宋体"/>
          <w:color w:val="auto"/>
          <w:kern w:val="0"/>
          <w:szCs w:val="24"/>
          <w:highlight w:val="none"/>
        </w:rPr>
      </w:pPr>
    </w:p>
    <w:p w14:paraId="44E12237">
      <w:pPr>
        <w:snapToGrid w:val="0"/>
        <w:spacing w:line="360" w:lineRule="auto"/>
        <w:ind w:left="120" w:firstLine="22"/>
        <w:jc w:val="center"/>
        <w:outlineLvl w:val="1"/>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0BEA6F6D">
      <w:pPr>
        <w:spacing w:line="360" w:lineRule="auto"/>
        <w:ind w:left="120" w:firstLine="482" w:firstLineChars="200"/>
        <w:outlineLvl w:val="2"/>
        <w:rPr>
          <w:rFonts w:hint="eastAsia" w:ascii="宋体" w:hAnsi="宋体" w:cs="宋体"/>
          <w:b/>
          <w:color w:val="auto"/>
          <w:sz w:val="24"/>
          <w:highlight w:val="none"/>
        </w:rPr>
      </w:pPr>
      <w:bookmarkStart w:id="2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采购文件和有关规定，履行评标工作职责，并按照评标方法及评分标准，全面衡量各投标人对采购文件的响应情况。对实质上响应采购文件的投标人，按照评审因素的量化指标排出推荐中标的投标人的先后顺序，并按顺序提出授标建议。</w:t>
      </w:r>
      <w:r>
        <w:rPr>
          <w:rFonts w:hint="eastAsia" w:ascii="宋体" w:hAnsi="宋体" w:cs="宋体"/>
          <w:b/>
          <w:color w:val="auto"/>
          <w:sz w:val="24"/>
          <w:highlight w:val="none"/>
        </w:rPr>
        <w:t>详见采购文件第四部分评标办法。</w:t>
      </w:r>
    </w:p>
    <w:p w14:paraId="3BC15B1A">
      <w:pPr>
        <w:snapToGrid w:val="0"/>
        <w:spacing w:line="360" w:lineRule="auto"/>
        <w:ind w:left="120" w:firstLine="22"/>
        <w:jc w:val="center"/>
        <w:outlineLvl w:val="1"/>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03D0B842">
      <w:pPr>
        <w:pStyle w:val="26"/>
        <w:spacing w:line="360" w:lineRule="auto"/>
        <w:ind w:left="479" w:hanging="479" w:hangingChars="199"/>
        <w:outlineLvl w:val="2"/>
        <w:rPr>
          <w:rFonts w:hint="eastAsia" w:cs="宋体"/>
          <w:b/>
          <w:color w:val="auto"/>
          <w:highlight w:val="none"/>
        </w:rPr>
      </w:pPr>
      <w:r>
        <w:rPr>
          <w:rFonts w:hint="eastAsia" w:cs="宋体"/>
          <w:b/>
          <w:color w:val="auto"/>
          <w:highlight w:val="none"/>
        </w:rPr>
        <w:t>22. 确定中标供应商</w:t>
      </w:r>
    </w:p>
    <w:p w14:paraId="79397E36">
      <w:pPr>
        <w:pStyle w:val="130"/>
        <w:snapToGrid w:val="0"/>
        <w:spacing w:before="0"/>
        <w:ind w:left="120"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DABCD56">
      <w:pPr>
        <w:pStyle w:val="130"/>
        <w:snapToGrid w:val="0"/>
        <w:spacing w:before="0"/>
        <w:ind w:left="120" w:firstLine="22" w:firstLineChars="0"/>
        <w:outlineLvl w:val="2"/>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2F12F7D">
      <w:pPr>
        <w:pStyle w:val="130"/>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23.1自中标人确定之日起2个工作日内，采购代理机构通过电子交易平台向中标人发出中标通知书，同时编制发布采购结果公告。采购代理机构也可以以纸质形式进行中标通知。</w:t>
      </w:r>
    </w:p>
    <w:p w14:paraId="69B7A0AE">
      <w:pPr>
        <w:pStyle w:val="130"/>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30" w:name="_Hlk101184471"/>
      <w:r>
        <w:rPr>
          <w:rFonts w:hint="eastAsia" w:ascii="宋体" w:hAnsi="宋体" w:cs="宋体"/>
          <w:color w:val="auto"/>
          <w:kern w:val="0"/>
          <w:szCs w:val="24"/>
          <w:highlight w:val="none"/>
        </w:rPr>
        <w:t>资格审查情况、评审专家抽取规则、符合性审查情况、</w:t>
      </w:r>
      <w:bookmarkEnd w:id="30"/>
      <w:r>
        <w:rPr>
          <w:rFonts w:hint="eastAsia" w:ascii="宋体" w:hAnsi="宋体" w:cs="宋体"/>
          <w:color w:val="auto"/>
          <w:kern w:val="0"/>
          <w:szCs w:val="24"/>
          <w:highlight w:val="none"/>
        </w:rPr>
        <w:t>未中标情况说明、中标公告期限以及评审专家名单、评分汇总及明细。</w:t>
      </w:r>
    </w:p>
    <w:p w14:paraId="449C1DFC">
      <w:pPr>
        <w:pStyle w:val="130"/>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23.3公告期限为1个工作日。</w:t>
      </w:r>
    </w:p>
    <w:p w14:paraId="3437202B">
      <w:pPr>
        <w:pStyle w:val="130"/>
        <w:snapToGrid w:val="0"/>
        <w:spacing w:before="0"/>
        <w:ind w:firstLine="482"/>
        <w:rPr>
          <w:rStyle w:val="79"/>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41D9E05F">
      <w:pPr>
        <w:snapToGrid w:val="0"/>
        <w:spacing w:line="360" w:lineRule="auto"/>
        <w:ind w:left="120" w:leftChars="57" w:firstLine="482" w:firstLineChars="150"/>
        <w:jc w:val="center"/>
        <w:outlineLvl w:val="1"/>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5E8172AD">
      <w:pPr>
        <w:pStyle w:val="26"/>
        <w:spacing w:line="360" w:lineRule="auto"/>
        <w:ind w:left="479" w:hanging="479" w:hangingChars="199"/>
        <w:outlineLvl w:val="2"/>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71952B5">
      <w:pPr>
        <w:pStyle w:val="26"/>
        <w:spacing w:line="360" w:lineRule="auto"/>
        <w:ind w:left="479" w:hanging="479" w:hangingChars="199"/>
        <w:outlineLvl w:val="2"/>
        <w:rPr>
          <w:rFonts w:hint="eastAsia" w:cs="宋体"/>
          <w:b/>
          <w:color w:val="auto"/>
          <w:highlight w:val="none"/>
        </w:rPr>
      </w:pPr>
      <w:r>
        <w:rPr>
          <w:rFonts w:hint="eastAsia" w:cs="宋体"/>
          <w:b/>
          <w:color w:val="auto"/>
          <w:highlight w:val="none"/>
        </w:rPr>
        <w:t>25. 合同的签订</w:t>
      </w:r>
    </w:p>
    <w:p w14:paraId="1186A6E6">
      <w:pPr>
        <w:pStyle w:val="130"/>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25.1 采购人与中标人应当通过电子交易平台在中标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5BD816B">
      <w:pPr>
        <w:pStyle w:val="130"/>
        <w:spacing w:before="0"/>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21AEB19">
      <w:pPr>
        <w:pStyle w:val="130"/>
        <w:spacing w:before="0"/>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25.3如签订合同并生效后，供应商无故拒绝或延期，除按照合同条款处理外，列入不良行为记录一次，并给予通报。</w:t>
      </w:r>
    </w:p>
    <w:p w14:paraId="5DB9D00F">
      <w:pPr>
        <w:pStyle w:val="130"/>
        <w:spacing w:before="0"/>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25.4中标供应商拒绝与采购人签订合同的，采购人可以按照评审报告推荐的中标或者成交候选人名单排序，确定下一候选人为中标供应商，也可以重新开展政府采购活动。</w:t>
      </w:r>
    </w:p>
    <w:p w14:paraId="3C6FAF36">
      <w:pPr>
        <w:pStyle w:val="130"/>
        <w:spacing w:before="0"/>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25.5采购合同由采购人与中标供应商根据采购文件、投标文件等内容通过政府采购电子交易平台在线签订，自动备案。</w:t>
      </w:r>
    </w:p>
    <w:p w14:paraId="23A17A58">
      <w:pPr>
        <w:pStyle w:val="26"/>
        <w:spacing w:line="360" w:lineRule="auto"/>
        <w:ind w:left="479" w:hanging="479" w:hangingChars="199"/>
        <w:outlineLvl w:val="2"/>
        <w:rPr>
          <w:rFonts w:hint="eastAsia" w:cs="宋体"/>
          <w:b/>
          <w:color w:val="auto"/>
          <w:highlight w:val="none"/>
        </w:rPr>
      </w:pPr>
      <w:r>
        <w:rPr>
          <w:rFonts w:hint="eastAsia" w:cs="宋体"/>
          <w:b/>
          <w:color w:val="auto"/>
          <w:highlight w:val="none"/>
        </w:rPr>
        <w:t>26. 履约保证金</w:t>
      </w:r>
    </w:p>
    <w:p w14:paraId="04DF3FA4">
      <w:pPr>
        <w:pStyle w:val="130"/>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3991680">
      <w:pPr>
        <w:pStyle w:val="130"/>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2300EE84">
      <w:pPr>
        <w:pStyle w:val="26"/>
        <w:spacing w:line="360" w:lineRule="auto"/>
        <w:ind w:left="479" w:hanging="479" w:hangingChars="199"/>
        <w:outlineLvl w:val="2"/>
        <w:rPr>
          <w:rFonts w:hint="eastAsia" w:cs="宋体"/>
          <w:b/>
          <w:color w:val="auto"/>
          <w:highlight w:val="none"/>
        </w:rPr>
      </w:pPr>
      <w:r>
        <w:rPr>
          <w:rFonts w:hint="eastAsia" w:cs="宋体"/>
          <w:b/>
          <w:color w:val="auto"/>
          <w:highlight w:val="none"/>
        </w:rPr>
        <w:t>27.预付款</w:t>
      </w:r>
    </w:p>
    <w:p w14:paraId="75CAF266">
      <w:pPr>
        <w:pStyle w:val="130"/>
        <w:ind w:left="119"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采购人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05C238F5">
      <w:pPr>
        <w:spacing w:line="360" w:lineRule="auto"/>
        <w:ind w:left="120" w:firstLine="22"/>
        <w:rPr>
          <w:rFonts w:hint="eastAsia" w:ascii="宋体" w:hAnsi="宋体" w:cs="宋体"/>
          <w:color w:val="auto"/>
          <w:highlight w:val="none"/>
        </w:rPr>
      </w:pPr>
    </w:p>
    <w:p w14:paraId="070FB2E6">
      <w:pPr>
        <w:snapToGrid w:val="0"/>
        <w:spacing w:line="360" w:lineRule="auto"/>
        <w:ind w:left="120" w:firstLine="3357" w:firstLineChars="1045"/>
        <w:rPr>
          <w:rFonts w:hint="eastAsia" w:ascii="宋体" w:hAnsi="宋体" w:cs="宋体"/>
          <w:b/>
          <w:color w:val="auto"/>
          <w:sz w:val="32"/>
          <w:highlight w:val="none"/>
        </w:rPr>
      </w:pPr>
    </w:p>
    <w:p w14:paraId="004ED542">
      <w:pPr>
        <w:snapToGrid w:val="0"/>
        <w:spacing w:line="360" w:lineRule="auto"/>
        <w:ind w:left="120" w:firstLine="22"/>
        <w:jc w:val="center"/>
        <w:outlineLvl w:val="1"/>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6B580530">
      <w:pPr>
        <w:pStyle w:val="130"/>
        <w:snapToGrid w:val="0"/>
        <w:spacing w:before="0"/>
        <w:ind w:left="120" w:firstLine="22" w:firstLineChars="0"/>
        <w:outlineLvl w:val="2"/>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ACBF5D5">
      <w:pPr>
        <w:pStyle w:val="130"/>
        <w:snapToGrid w:val="0"/>
        <w:spacing w:before="0"/>
        <w:ind w:left="120"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DA2A3C0">
      <w:pPr>
        <w:pStyle w:val="130"/>
        <w:snapToGrid w:val="0"/>
        <w:spacing w:before="0"/>
        <w:ind w:left="120"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370DF82">
      <w:pPr>
        <w:pStyle w:val="130"/>
        <w:snapToGrid w:val="0"/>
        <w:spacing w:before="0"/>
        <w:ind w:left="120"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C3B4149">
      <w:pPr>
        <w:pStyle w:val="130"/>
        <w:snapToGrid w:val="0"/>
        <w:spacing w:before="0"/>
        <w:ind w:left="120"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8447D2A">
      <w:pPr>
        <w:pStyle w:val="130"/>
        <w:snapToGrid w:val="0"/>
        <w:spacing w:before="0"/>
        <w:ind w:left="120"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682809C">
      <w:pPr>
        <w:pStyle w:val="130"/>
        <w:snapToGrid w:val="0"/>
        <w:spacing w:before="0"/>
        <w:ind w:left="120" w:firstLine="22" w:firstLineChars="0"/>
        <w:outlineLvl w:val="2"/>
        <w:rPr>
          <w:rFonts w:hint="eastAsia"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478CBE08">
      <w:pPr>
        <w:tabs>
          <w:tab w:val="left" w:pos="0"/>
        </w:tabs>
        <w:spacing w:line="360" w:lineRule="auto"/>
        <w:ind w:left="120" w:firstLine="22"/>
        <w:rPr>
          <w:rFonts w:hint="eastAsia" w:ascii="宋体" w:hAnsi="宋体" w:cs="宋体"/>
          <w:color w:val="auto"/>
          <w:sz w:val="24"/>
          <w:highlight w:val="none"/>
        </w:rPr>
      </w:pPr>
    </w:p>
    <w:p w14:paraId="7D631F2E">
      <w:pPr>
        <w:snapToGrid w:val="0"/>
        <w:spacing w:line="360" w:lineRule="auto"/>
        <w:ind w:left="120" w:leftChars="57" w:firstLine="482" w:firstLineChars="150"/>
        <w:jc w:val="center"/>
        <w:outlineLvl w:val="1"/>
        <w:rPr>
          <w:rFonts w:hint="eastAsia" w:ascii="宋体" w:hAnsi="宋体" w:cs="宋体"/>
          <w:b/>
          <w:color w:val="auto"/>
          <w:sz w:val="32"/>
          <w:highlight w:val="none"/>
        </w:rPr>
      </w:pPr>
      <w:r>
        <w:rPr>
          <w:rFonts w:hint="eastAsia" w:ascii="宋体" w:hAnsi="宋体" w:cs="宋体"/>
          <w:b/>
          <w:color w:val="auto"/>
          <w:sz w:val="32"/>
          <w:highlight w:val="none"/>
        </w:rPr>
        <w:t>九、验收</w:t>
      </w:r>
    </w:p>
    <w:p w14:paraId="5EB02597">
      <w:pPr>
        <w:pStyle w:val="26"/>
        <w:spacing w:line="360" w:lineRule="auto"/>
        <w:ind w:left="120" w:firstLine="22" w:firstLineChars="0"/>
        <w:outlineLvl w:val="2"/>
        <w:rPr>
          <w:rFonts w:hint="eastAsia" w:cs="宋体"/>
          <w:b/>
          <w:color w:val="auto"/>
          <w:highlight w:val="none"/>
        </w:rPr>
      </w:pPr>
      <w:r>
        <w:rPr>
          <w:rFonts w:hint="eastAsia" w:cs="宋体"/>
          <w:b/>
          <w:color w:val="auto"/>
          <w:highlight w:val="none"/>
        </w:rPr>
        <w:t>30.验收</w:t>
      </w:r>
    </w:p>
    <w:p w14:paraId="269EF1B1">
      <w:pPr>
        <w:tabs>
          <w:tab w:val="left" w:pos="0"/>
        </w:tabs>
        <w:spacing w:line="360" w:lineRule="auto"/>
        <w:ind w:left="12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AAD2FE">
      <w:pPr>
        <w:tabs>
          <w:tab w:val="left" w:pos="0"/>
        </w:tabs>
        <w:spacing w:line="360" w:lineRule="auto"/>
        <w:ind w:left="12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66D1CE2">
      <w:pPr>
        <w:tabs>
          <w:tab w:val="left" w:pos="0"/>
        </w:tabs>
        <w:spacing w:line="360" w:lineRule="auto"/>
        <w:ind w:left="12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F9F64C">
      <w:pPr>
        <w:tabs>
          <w:tab w:val="left" w:pos="0"/>
        </w:tabs>
        <w:spacing w:line="360" w:lineRule="auto"/>
        <w:ind w:left="120" w:firstLine="480" w:firstLineChars="200"/>
        <w:rPr>
          <w:rFonts w:hint="eastAsia"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9"/>
    <w:p w14:paraId="2A6AA68A">
      <w:pPr>
        <w:pStyle w:val="4"/>
        <w:ind w:firstLine="480" w:firstLineChars="200"/>
        <w:rPr>
          <w:rFonts w:hint="eastAsia"/>
          <w:color w:val="auto"/>
          <w:highlight w:val="none"/>
        </w:rPr>
      </w:pPr>
      <w:bookmarkStart w:id="31" w:name="_Hlt74707468"/>
      <w:bookmarkEnd w:id="31"/>
      <w:bookmarkStart w:id="32" w:name="_Hlt68057669"/>
      <w:bookmarkEnd w:id="32"/>
      <w:bookmarkStart w:id="33" w:name="_Hlt68072998"/>
      <w:bookmarkEnd w:id="33"/>
      <w:bookmarkStart w:id="34" w:name="_Hlt68073093"/>
      <w:bookmarkEnd w:id="34"/>
      <w:bookmarkStart w:id="35" w:name="_Hlt68072990"/>
      <w:bookmarkEnd w:id="35"/>
      <w:bookmarkStart w:id="36" w:name="_Hlt68403820"/>
      <w:bookmarkEnd w:id="36"/>
      <w:bookmarkStart w:id="37" w:name="_Hlt75236290"/>
      <w:bookmarkEnd w:id="37"/>
      <w:bookmarkStart w:id="38" w:name="_Hlt75236011"/>
      <w:bookmarkEnd w:id="38"/>
      <w:bookmarkStart w:id="39" w:name="_Hlt74730295"/>
      <w:bookmarkEnd w:id="39"/>
      <w:bookmarkStart w:id="40" w:name="_Hlt74714665"/>
      <w:bookmarkEnd w:id="40"/>
      <w:bookmarkStart w:id="41" w:name="_Hlt74729768"/>
      <w:bookmarkEnd w:id="41"/>
      <w:bookmarkStart w:id="42" w:name="_Hlt75236101"/>
      <w:bookmarkEnd w:id="42"/>
      <w:r>
        <w:rPr>
          <w:rFonts w:hint="eastAsia" w:cs="宋体"/>
          <w:b w:val="0"/>
          <w:bCs w:val="0"/>
          <w:color w:val="auto"/>
          <w:kern w:val="0"/>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65202BE">
      <w:pPr>
        <w:tabs>
          <w:tab w:val="left" w:pos="0"/>
        </w:tabs>
        <w:spacing w:line="360" w:lineRule="auto"/>
        <w:ind w:left="120" w:firstLine="22"/>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27"/>
    <w:bookmarkEnd w:id="28"/>
    <w:p w14:paraId="52CEB8FC">
      <w:pPr>
        <w:spacing w:line="360" w:lineRule="auto"/>
        <w:ind w:left="120" w:firstLine="22"/>
        <w:jc w:val="center"/>
        <w:outlineLvl w:val="0"/>
        <w:rPr>
          <w:rFonts w:hint="eastAsia" w:ascii="宋体" w:hAnsi="宋体" w:cs="宋体"/>
          <w:b/>
          <w:color w:val="auto"/>
          <w:sz w:val="36"/>
          <w:szCs w:val="36"/>
          <w:highlight w:val="none"/>
        </w:rPr>
      </w:pPr>
      <w:bookmarkStart w:id="43" w:name="第四部分"/>
      <w:r>
        <w:rPr>
          <w:rFonts w:hint="eastAsia" w:ascii="宋体" w:hAnsi="宋体" w:cs="宋体"/>
          <w:b/>
          <w:color w:val="auto"/>
          <w:sz w:val="36"/>
          <w:szCs w:val="36"/>
          <w:highlight w:val="none"/>
        </w:rPr>
        <w:t>第三部分   采购需求</w:t>
      </w:r>
    </w:p>
    <w:p w14:paraId="5F9B7ADB">
      <w:pPr>
        <w:pStyle w:val="4"/>
        <w:tabs>
          <w:tab w:val="left" w:pos="525"/>
        </w:tabs>
        <w:ind w:firstLine="482" w:firstLineChars="200"/>
        <w:rPr>
          <w:rFonts w:hint="eastAsia" w:asciiTheme="minorEastAsia" w:hAnsiTheme="minorEastAsia" w:eastAsiaTheme="minorEastAsia"/>
          <w:color w:val="auto"/>
          <w:highlight w:val="none"/>
        </w:rPr>
      </w:pPr>
      <w:bookmarkStart w:id="44" w:name="_Toc1454"/>
      <w:bookmarkStart w:id="45" w:name="_Toc11057"/>
      <w:bookmarkStart w:id="46" w:name="_Toc29595"/>
      <w:bookmarkStart w:id="47" w:name="_Toc97219779"/>
      <w:r>
        <w:rPr>
          <w:rFonts w:asciiTheme="minorEastAsia" w:hAnsiTheme="minorEastAsia" w:eastAsiaTheme="minorEastAsia"/>
          <w:color w:val="auto"/>
          <w:highlight w:val="none"/>
        </w:rPr>
        <w:t>(一)  项目研究背景文件</w:t>
      </w:r>
      <w:bookmarkEnd w:id="44"/>
      <w:bookmarkEnd w:id="45"/>
      <w:bookmarkEnd w:id="46"/>
      <w:bookmarkEnd w:id="47"/>
    </w:p>
    <w:p w14:paraId="6AC4FF32">
      <w:pPr>
        <w:tabs>
          <w:tab w:val="left" w:pos="525"/>
        </w:tabs>
        <w:spacing w:line="360" w:lineRule="auto"/>
        <w:ind w:left="120" w:firstLine="482" w:firstLineChars="200"/>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1、</w:t>
      </w:r>
      <w:r>
        <w:rPr>
          <w:rFonts w:cs="Arial" w:asciiTheme="minorEastAsia" w:hAnsiTheme="minorEastAsia" w:eastAsiaTheme="minorEastAsia"/>
          <w:b/>
          <w:color w:val="auto"/>
          <w:sz w:val="24"/>
          <w:highlight w:val="none"/>
        </w:rPr>
        <w:t>国家相关的规划规范</w:t>
      </w:r>
    </w:p>
    <w:p w14:paraId="227F00A0">
      <w:pPr>
        <w:pStyle w:val="130"/>
        <w:ind w:firstLine="480"/>
        <w:rPr>
          <w:color w:val="auto"/>
          <w:highlight w:val="none"/>
        </w:rPr>
      </w:pPr>
      <w:r>
        <w:rPr>
          <w:color w:val="auto"/>
          <w:highlight w:val="none"/>
        </w:rPr>
        <w:t>投标人应充分参照国家、省、市现行的相关规范为研究工作的指引。</w:t>
      </w:r>
    </w:p>
    <w:p w14:paraId="7D47BD7B">
      <w:pPr>
        <w:pStyle w:val="4"/>
        <w:tabs>
          <w:tab w:val="left" w:pos="525"/>
        </w:tabs>
        <w:ind w:firstLine="482" w:firstLineChars="200"/>
        <w:rPr>
          <w:rFonts w:hint="eastAsia" w:asciiTheme="minorEastAsia" w:hAnsiTheme="minorEastAsia" w:eastAsiaTheme="minorEastAsia"/>
          <w:color w:val="auto"/>
          <w:highlight w:val="none"/>
        </w:rPr>
      </w:pPr>
      <w:bookmarkStart w:id="48" w:name="_Toc312661020"/>
      <w:bookmarkStart w:id="49" w:name="_Toc25850"/>
      <w:bookmarkStart w:id="50" w:name="_Toc27235"/>
      <w:bookmarkStart w:id="51" w:name="_Toc97219780"/>
      <w:bookmarkStart w:id="52" w:name="_Toc458069543"/>
      <w:bookmarkStart w:id="53" w:name="_Toc1188"/>
      <w:bookmarkStart w:id="54" w:name="_Toc311536451"/>
      <w:bookmarkStart w:id="55" w:name="_Toc312661021"/>
      <w:r>
        <w:rPr>
          <w:rFonts w:asciiTheme="minorEastAsia" w:hAnsiTheme="minorEastAsia" w:eastAsiaTheme="minorEastAsia"/>
          <w:color w:val="auto"/>
          <w:highlight w:val="none"/>
        </w:rPr>
        <w:t xml:space="preserve"> (二)  项目任务技术要求</w:t>
      </w:r>
      <w:bookmarkEnd w:id="48"/>
      <w:bookmarkEnd w:id="49"/>
      <w:bookmarkEnd w:id="50"/>
      <w:bookmarkEnd w:id="51"/>
      <w:bookmarkEnd w:id="52"/>
      <w:bookmarkEnd w:id="53"/>
    </w:p>
    <w:p w14:paraId="443D2333">
      <w:pPr>
        <w:tabs>
          <w:tab w:val="left" w:pos="525"/>
        </w:tabs>
        <w:spacing w:line="360" w:lineRule="auto"/>
        <w:ind w:left="120" w:firstLine="482" w:firstLineChars="200"/>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1</w:t>
      </w:r>
      <w:r>
        <w:rPr>
          <w:rFonts w:cs="Arial" w:asciiTheme="minorEastAsia" w:hAnsiTheme="minorEastAsia" w:eastAsiaTheme="minorEastAsia"/>
          <w:b/>
          <w:color w:val="auto"/>
          <w:sz w:val="24"/>
          <w:highlight w:val="none"/>
        </w:rPr>
        <w:t>、</w:t>
      </w:r>
      <w:bookmarkEnd w:id="54"/>
      <w:r>
        <w:rPr>
          <w:rFonts w:cs="Arial" w:asciiTheme="minorEastAsia" w:hAnsiTheme="minorEastAsia" w:eastAsiaTheme="minorEastAsia"/>
          <w:b/>
          <w:color w:val="auto"/>
          <w:sz w:val="24"/>
          <w:highlight w:val="none"/>
        </w:rPr>
        <w:t>项目名称</w:t>
      </w:r>
      <w:bookmarkEnd w:id="55"/>
    </w:p>
    <w:p w14:paraId="787C3DC1">
      <w:pPr>
        <w:tabs>
          <w:tab w:val="left" w:pos="525"/>
        </w:tabs>
        <w:spacing w:line="360" w:lineRule="auto"/>
        <w:ind w:left="120" w:firstLine="480" w:firstLineChars="200"/>
        <w:rPr>
          <w:rFonts w:hint="eastAsia"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w:t>
      </w:r>
      <w:r>
        <w:rPr>
          <w:rFonts w:hint="eastAsia" w:cs="Arial" w:asciiTheme="minorEastAsia" w:hAnsiTheme="minorEastAsia" w:eastAsiaTheme="minorEastAsia"/>
          <w:color w:val="auto"/>
          <w:sz w:val="24"/>
          <w:highlight w:val="none"/>
        </w:rPr>
        <w:t>杭州市年度城市交通运行及公众出行特征动态评估报告项目</w:t>
      </w:r>
      <w:r>
        <w:rPr>
          <w:rFonts w:cs="Arial" w:asciiTheme="minorEastAsia" w:hAnsiTheme="minorEastAsia" w:eastAsiaTheme="minorEastAsia"/>
          <w:color w:val="auto"/>
          <w:sz w:val="24"/>
          <w:highlight w:val="none"/>
        </w:rPr>
        <w:t>》</w:t>
      </w:r>
    </w:p>
    <w:p w14:paraId="515A1A56">
      <w:pPr>
        <w:tabs>
          <w:tab w:val="left" w:pos="525"/>
        </w:tabs>
        <w:spacing w:line="360" w:lineRule="auto"/>
        <w:ind w:left="120" w:firstLine="482" w:firstLineChars="200"/>
        <w:rPr>
          <w:rFonts w:hint="eastAsia" w:cs="Arial" w:asciiTheme="minorEastAsia" w:hAnsiTheme="minorEastAsia" w:eastAsiaTheme="minorEastAsia"/>
          <w:b/>
          <w:color w:val="auto"/>
          <w:sz w:val="24"/>
          <w:highlight w:val="none"/>
        </w:rPr>
      </w:pPr>
      <w:bookmarkStart w:id="56" w:name="_Toc312661022"/>
      <w:r>
        <w:rPr>
          <w:rFonts w:hint="eastAsia" w:cs="Arial" w:asciiTheme="minorEastAsia" w:hAnsiTheme="minorEastAsia" w:eastAsiaTheme="minorEastAsia"/>
          <w:b/>
          <w:color w:val="auto"/>
          <w:sz w:val="24"/>
          <w:highlight w:val="none"/>
        </w:rPr>
        <w:t>2</w:t>
      </w:r>
      <w:r>
        <w:rPr>
          <w:rFonts w:cs="Arial" w:asciiTheme="minorEastAsia" w:hAnsiTheme="minorEastAsia" w:eastAsiaTheme="minorEastAsia"/>
          <w:b/>
          <w:color w:val="auto"/>
          <w:sz w:val="24"/>
          <w:highlight w:val="none"/>
        </w:rPr>
        <w:t>、</w:t>
      </w:r>
      <w:r>
        <w:rPr>
          <w:rFonts w:hint="eastAsia" w:cs="Arial" w:asciiTheme="minorEastAsia" w:hAnsiTheme="minorEastAsia" w:eastAsiaTheme="minorEastAsia"/>
          <w:b/>
          <w:color w:val="auto"/>
          <w:sz w:val="24"/>
          <w:highlight w:val="none"/>
        </w:rPr>
        <w:t>项目</w:t>
      </w:r>
      <w:r>
        <w:rPr>
          <w:rFonts w:cs="Arial" w:asciiTheme="minorEastAsia" w:hAnsiTheme="minorEastAsia" w:eastAsiaTheme="minorEastAsia"/>
          <w:b/>
          <w:color w:val="auto"/>
          <w:sz w:val="24"/>
          <w:highlight w:val="none"/>
        </w:rPr>
        <w:t>目标</w:t>
      </w:r>
    </w:p>
    <w:bookmarkEnd w:id="56"/>
    <w:p w14:paraId="08B12D96">
      <w:pPr>
        <w:tabs>
          <w:tab w:val="left" w:pos="525"/>
        </w:tabs>
        <w:spacing w:line="360" w:lineRule="auto"/>
        <w:ind w:left="120" w:firstLine="480" w:firstLineChars="200"/>
        <w:rPr>
          <w:rFonts w:hint="eastAsia" w:cs="Arial" w:asciiTheme="minorEastAsia" w:hAnsiTheme="minorEastAsia" w:eastAsiaTheme="minorEastAsia"/>
          <w:color w:val="auto"/>
          <w:sz w:val="24"/>
          <w:highlight w:val="none"/>
        </w:rPr>
      </w:pPr>
      <w:bookmarkStart w:id="57" w:name="_Toc312661023"/>
      <w:bookmarkStart w:id="58" w:name="_Toc311536452"/>
      <w:r>
        <w:rPr>
          <w:rFonts w:hint="eastAsia" w:cs="Arial" w:asciiTheme="minorEastAsia" w:hAnsiTheme="minorEastAsia" w:eastAsiaTheme="minorEastAsia"/>
          <w:color w:val="auto"/>
          <w:sz w:val="24"/>
          <w:highlight w:val="none"/>
        </w:rPr>
        <w:t>为持续跟踪城市交通运行变化，也为科学制定城市交通拥堵治理策略提供定量数据支撑，需要全面开展年度城市交通运行评估及工作出行特征常态化的动态评估。编制城市交通运行月报、季报、年报体系，其中月报、季报主要是监测和分析2025年度每月和每季度城市交通运行情况；年度报告主要针对2024年度全年杭州市城市交通运行情况进行全面阐述、分析与评估；针对动态热点问题需定期或不定期提交交通专题分析报告；从而全面及时把握全市交通运行态势，支撑城市交通系统化综合治理决策。</w:t>
      </w:r>
    </w:p>
    <w:p w14:paraId="102E8CE4">
      <w:pPr>
        <w:tabs>
          <w:tab w:val="left" w:pos="525"/>
        </w:tabs>
        <w:spacing w:line="360" w:lineRule="auto"/>
        <w:ind w:left="120" w:firstLine="482" w:firstLineChars="200"/>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3</w:t>
      </w:r>
      <w:r>
        <w:rPr>
          <w:rFonts w:cs="Arial" w:asciiTheme="minorEastAsia" w:hAnsiTheme="minorEastAsia" w:eastAsiaTheme="minorEastAsia"/>
          <w:b/>
          <w:color w:val="auto"/>
          <w:sz w:val="24"/>
          <w:highlight w:val="none"/>
        </w:rPr>
        <w:t>、</w:t>
      </w:r>
      <w:bookmarkEnd w:id="57"/>
      <w:bookmarkEnd w:id="58"/>
      <w:r>
        <w:rPr>
          <w:rFonts w:hint="eastAsia" w:cs="Arial" w:asciiTheme="minorEastAsia" w:hAnsiTheme="minorEastAsia" w:eastAsiaTheme="minorEastAsia"/>
          <w:b/>
          <w:color w:val="auto"/>
          <w:sz w:val="24"/>
          <w:highlight w:val="none"/>
        </w:rPr>
        <w:t>研究范围和时限</w:t>
      </w:r>
    </w:p>
    <w:p w14:paraId="64DFBF8C">
      <w:pPr>
        <w:pStyle w:val="130"/>
        <w:ind w:firstLine="480"/>
        <w:rPr>
          <w:color w:val="auto"/>
          <w:highlight w:val="none"/>
        </w:rPr>
      </w:pPr>
      <w:r>
        <w:rPr>
          <w:rFonts w:hint="eastAsia"/>
          <w:color w:val="auto"/>
          <w:highlight w:val="none"/>
        </w:rPr>
        <w:t>（1）评估范围</w:t>
      </w:r>
      <w:r>
        <w:rPr>
          <w:color w:val="auto"/>
          <w:highlight w:val="none"/>
        </w:rPr>
        <w:t>：</w:t>
      </w:r>
    </w:p>
    <w:p w14:paraId="76C44AF4">
      <w:pPr>
        <w:pStyle w:val="130"/>
        <w:ind w:firstLine="480"/>
        <w:rPr>
          <w:color w:val="auto"/>
          <w:highlight w:val="none"/>
        </w:rPr>
      </w:pPr>
      <w:bookmarkStart w:id="59" w:name="_Hlk119063808"/>
      <w:r>
        <w:rPr>
          <w:rFonts w:hint="eastAsia"/>
          <w:color w:val="auto"/>
          <w:highlight w:val="none"/>
        </w:rPr>
        <w:t>研究范围为杭州市区，以主城区</w:t>
      </w:r>
      <w:r>
        <w:rPr>
          <w:color w:val="auto"/>
          <w:highlight w:val="none"/>
        </w:rPr>
        <w:t>为</w:t>
      </w:r>
      <w:r>
        <w:rPr>
          <w:rFonts w:hint="eastAsia"/>
          <w:color w:val="auto"/>
          <w:highlight w:val="none"/>
        </w:rPr>
        <w:t>研究</w:t>
      </w:r>
      <w:r>
        <w:rPr>
          <w:color w:val="auto"/>
          <w:highlight w:val="none"/>
        </w:rPr>
        <w:t>重点</w:t>
      </w:r>
      <w:r>
        <w:rPr>
          <w:rFonts w:hint="eastAsia"/>
          <w:color w:val="auto"/>
          <w:highlight w:val="none"/>
        </w:rPr>
        <w:t>。</w:t>
      </w:r>
    </w:p>
    <w:bookmarkEnd w:id="59"/>
    <w:p w14:paraId="637C5E76">
      <w:pPr>
        <w:pStyle w:val="130"/>
        <w:ind w:firstLine="480"/>
        <w:rPr>
          <w:color w:val="auto"/>
          <w:highlight w:val="none"/>
        </w:rPr>
      </w:pPr>
      <w:r>
        <w:rPr>
          <w:rFonts w:hint="eastAsia"/>
          <w:color w:val="auto"/>
          <w:highlight w:val="none"/>
        </w:rPr>
        <w:t>（2）评估年限</w:t>
      </w:r>
      <w:r>
        <w:rPr>
          <w:color w:val="auto"/>
          <w:highlight w:val="none"/>
        </w:rPr>
        <w:t>：</w:t>
      </w:r>
    </w:p>
    <w:p w14:paraId="3540BD65">
      <w:pPr>
        <w:pStyle w:val="130"/>
        <w:ind w:firstLine="480"/>
        <w:rPr>
          <w:color w:val="auto"/>
          <w:highlight w:val="none"/>
        </w:rPr>
      </w:pPr>
      <w:r>
        <w:rPr>
          <w:rFonts w:hint="eastAsia"/>
          <w:color w:val="auto"/>
          <w:highlight w:val="none"/>
        </w:rPr>
        <w:t>评估年限：202</w:t>
      </w:r>
      <w:r>
        <w:rPr>
          <w:color w:val="auto"/>
          <w:highlight w:val="none"/>
        </w:rPr>
        <w:t>4-</w:t>
      </w:r>
      <w:r>
        <w:rPr>
          <w:rFonts w:hint="eastAsia"/>
          <w:color w:val="auto"/>
          <w:highlight w:val="none"/>
        </w:rPr>
        <w:t>202</w:t>
      </w:r>
      <w:r>
        <w:rPr>
          <w:color w:val="auto"/>
          <w:highlight w:val="none"/>
        </w:rPr>
        <w:t>5</w:t>
      </w:r>
      <w:r>
        <w:rPr>
          <w:rFonts w:hint="eastAsia"/>
          <w:color w:val="auto"/>
          <w:highlight w:val="none"/>
        </w:rPr>
        <w:t>年</w:t>
      </w:r>
      <w:r>
        <w:rPr>
          <w:color w:val="auto"/>
          <w:highlight w:val="none"/>
        </w:rPr>
        <w:t>。</w:t>
      </w:r>
    </w:p>
    <w:p w14:paraId="0FAE8E15">
      <w:pPr>
        <w:tabs>
          <w:tab w:val="left" w:pos="525"/>
        </w:tabs>
        <w:spacing w:line="360" w:lineRule="auto"/>
        <w:ind w:left="120" w:firstLine="482" w:firstLineChars="200"/>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4</w:t>
      </w:r>
      <w:r>
        <w:rPr>
          <w:rFonts w:cs="Arial" w:asciiTheme="minorEastAsia" w:hAnsiTheme="minorEastAsia" w:eastAsiaTheme="minorEastAsia"/>
          <w:b/>
          <w:color w:val="auto"/>
          <w:sz w:val="24"/>
          <w:highlight w:val="none"/>
        </w:rPr>
        <w:t>、主要内容</w:t>
      </w:r>
    </w:p>
    <w:p w14:paraId="368D6C8F">
      <w:pPr>
        <w:tabs>
          <w:tab w:val="left" w:pos="525"/>
        </w:tabs>
        <w:spacing w:line="360" w:lineRule="auto"/>
        <w:ind w:left="120" w:firstLine="480" w:firstLineChars="200"/>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color w:val="auto"/>
          <w:sz w:val="24"/>
          <w:highlight w:val="none"/>
        </w:rPr>
        <w:t>建立城市交通运行月报、季报、年报技术体系，依托治理在线系统、高德公共服务平台、公交运行监测系统，对市区交通运行进行实时、全面监测，定期或不定期向市政府提交报告，全面及时把握交通运行态势，支撑交通决策。交通运行月报主要是监测、记录当月交通运行情况；交通发展季报、年度报告针对季度、全年交通发展情况进行全面阐述、分析与评述。</w:t>
      </w:r>
    </w:p>
    <w:p w14:paraId="6A8A74E0">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《杭州市年度城市交通运行及公众出行特征动态评估报告(月报、季报、年报)》</w:t>
      </w:r>
      <w:r>
        <w:rPr>
          <w:rFonts w:cs="Arial" w:asciiTheme="minorEastAsia" w:hAnsiTheme="minorEastAsia" w:eastAsiaTheme="minorEastAsia"/>
          <w:color w:val="auto"/>
          <w:sz w:val="24"/>
          <w:highlight w:val="none"/>
        </w:rPr>
        <w:t>必须满足但不局限于以下主要内容：</w:t>
      </w:r>
    </w:p>
    <w:p w14:paraId="5CB2A7CA">
      <w:pPr>
        <w:tabs>
          <w:tab w:val="left" w:pos="0"/>
        </w:tabs>
        <w:spacing w:line="360" w:lineRule="auto"/>
        <w:ind w:left="105" w:leftChars="50" w:firstLine="482" w:firstLineChars="200"/>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4</w:t>
      </w:r>
      <w:r>
        <w:rPr>
          <w:rFonts w:cs="Arial" w:asciiTheme="minorEastAsia" w:hAnsiTheme="minorEastAsia" w:eastAsiaTheme="minorEastAsia"/>
          <w:b/>
          <w:color w:val="auto"/>
          <w:sz w:val="24"/>
          <w:highlight w:val="none"/>
        </w:rPr>
        <w:t>.1</w:t>
      </w:r>
      <w:r>
        <w:rPr>
          <w:rFonts w:hint="eastAsia" w:cs="Arial" w:asciiTheme="minorEastAsia" w:hAnsiTheme="minorEastAsia" w:eastAsiaTheme="minorEastAsia"/>
          <w:b/>
          <w:color w:val="auto"/>
          <w:sz w:val="24"/>
          <w:highlight w:val="none"/>
        </w:rPr>
        <w:t>、交通运行</w:t>
      </w:r>
      <w:r>
        <w:rPr>
          <w:rFonts w:cs="Arial" w:asciiTheme="minorEastAsia" w:hAnsiTheme="minorEastAsia" w:eastAsiaTheme="minorEastAsia"/>
          <w:b/>
          <w:color w:val="auto"/>
          <w:sz w:val="24"/>
          <w:highlight w:val="none"/>
        </w:rPr>
        <w:t>月报</w:t>
      </w:r>
    </w:p>
    <w:p w14:paraId="4CDBD83C">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监测、记录每月城市交通运行情况，并编制形成报告；从202</w:t>
      </w:r>
      <w:r>
        <w:rPr>
          <w:rFonts w:cs="Arial" w:asciiTheme="minorEastAsia" w:hAnsiTheme="minorEastAsia" w:eastAsiaTheme="minorEastAsia"/>
          <w:color w:val="auto"/>
          <w:sz w:val="24"/>
          <w:highlight w:val="none"/>
        </w:rPr>
        <w:t>5</w:t>
      </w:r>
      <w:r>
        <w:rPr>
          <w:rFonts w:hint="eastAsia" w:cs="Arial" w:asciiTheme="minorEastAsia" w:hAnsiTheme="minorEastAsia" w:eastAsiaTheme="minorEastAsia"/>
          <w:color w:val="auto"/>
          <w:sz w:val="24"/>
          <w:highlight w:val="none"/>
        </w:rPr>
        <w:t>年1月至12月，共12期。内容包括但不限于城市道路交通拥堵情况，客运及公共交通运营情况，交通治堵工作推进情况等。</w:t>
      </w:r>
    </w:p>
    <w:p w14:paraId="29034632">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（1）城市道路交通拥堵分析</w:t>
      </w:r>
    </w:p>
    <w:p w14:paraId="7DA8C22E">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城市交通延时指数、分区域交通延时指数、机动车通行量、在途量峰值等数据，形成道路交通拥堵情况月度评估。</w:t>
      </w:r>
    </w:p>
    <w:p w14:paraId="4E2E4CA1">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（2）城市客运交通运营分析</w:t>
      </w:r>
    </w:p>
    <w:p w14:paraId="613EA84F">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轨道交通、公共汽（电）车、水上巴士、公共自行车、出租汽车等客运量数据，形成城市客运交通情况月度评估。</w:t>
      </w:r>
    </w:p>
    <w:p w14:paraId="3BCBC726">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（3）交通治堵工作推进情况</w:t>
      </w:r>
    </w:p>
    <w:p w14:paraId="13A3DE97">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公共交通优先、交通秩序管理、堵点及片区专项治理、交通治堵宣传等工作推进情况。</w:t>
      </w:r>
    </w:p>
    <w:p w14:paraId="109EFBE8">
      <w:pPr>
        <w:tabs>
          <w:tab w:val="left" w:pos="0"/>
        </w:tabs>
        <w:spacing w:line="360" w:lineRule="auto"/>
        <w:ind w:left="105" w:leftChars="50" w:firstLine="482" w:firstLineChars="200"/>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4.</w:t>
      </w:r>
      <w:r>
        <w:rPr>
          <w:rFonts w:cs="Arial" w:asciiTheme="minorEastAsia" w:hAnsiTheme="minorEastAsia" w:eastAsiaTheme="minorEastAsia"/>
          <w:b/>
          <w:color w:val="auto"/>
          <w:sz w:val="24"/>
          <w:highlight w:val="none"/>
        </w:rPr>
        <w:t>2</w:t>
      </w:r>
      <w:r>
        <w:rPr>
          <w:rFonts w:hint="eastAsia" w:cs="Arial" w:asciiTheme="minorEastAsia" w:hAnsiTheme="minorEastAsia" w:eastAsiaTheme="minorEastAsia"/>
          <w:b/>
          <w:color w:val="auto"/>
          <w:sz w:val="24"/>
          <w:highlight w:val="none"/>
        </w:rPr>
        <w:t>、交通运行季报</w:t>
      </w:r>
    </w:p>
    <w:p w14:paraId="3E32BDD6">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监测、记录每季度交通运行情况，包括城市道路交通拥堵情况、公共交通运营情况、交通治堵工作推进情况等，定期编制并报告市政府及相关部门，从202</w:t>
      </w:r>
      <w:r>
        <w:rPr>
          <w:rFonts w:cs="Arial" w:asciiTheme="minorEastAsia" w:hAnsiTheme="minorEastAsia" w:eastAsiaTheme="minorEastAsia"/>
          <w:color w:val="auto"/>
          <w:sz w:val="24"/>
          <w:highlight w:val="none"/>
        </w:rPr>
        <w:t>5</w:t>
      </w:r>
      <w:r>
        <w:rPr>
          <w:rFonts w:hint="eastAsia" w:cs="Arial" w:asciiTheme="minorEastAsia" w:hAnsiTheme="minorEastAsia" w:eastAsiaTheme="minorEastAsia"/>
          <w:color w:val="auto"/>
          <w:sz w:val="24"/>
          <w:highlight w:val="none"/>
        </w:rPr>
        <w:t>年第</w:t>
      </w:r>
      <w:r>
        <w:rPr>
          <w:rFonts w:cs="Arial" w:asciiTheme="minorEastAsia" w:hAnsiTheme="minorEastAsia" w:eastAsiaTheme="minorEastAsia"/>
          <w:color w:val="auto"/>
          <w:sz w:val="24"/>
          <w:highlight w:val="none"/>
        </w:rPr>
        <w:t>一</w:t>
      </w:r>
      <w:r>
        <w:rPr>
          <w:rFonts w:hint="eastAsia" w:cs="Arial" w:asciiTheme="minorEastAsia" w:hAnsiTheme="minorEastAsia" w:eastAsiaTheme="minorEastAsia"/>
          <w:color w:val="auto"/>
          <w:sz w:val="24"/>
          <w:highlight w:val="none"/>
        </w:rPr>
        <w:t>季度</w:t>
      </w:r>
      <w:r>
        <w:rPr>
          <w:rFonts w:cs="Arial" w:asciiTheme="minorEastAsia" w:hAnsiTheme="minorEastAsia" w:eastAsiaTheme="minorEastAsia"/>
          <w:color w:val="auto"/>
          <w:sz w:val="24"/>
          <w:highlight w:val="none"/>
        </w:rPr>
        <w:t>至第四季度</w:t>
      </w:r>
      <w:r>
        <w:rPr>
          <w:rFonts w:hint="eastAsia" w:cs="Arial" w:asciiTheme="minorEastAsia" w:hAnsiTheme="minorEastAsia" w:eastAsiaTheme="minorEastAsia"/>
          <w:color w:val="auto"/>
          <w:sz w:val="24"/>
          <w:highlight w:val="none"/>
        </w:rPr>
        <w:t>，共</w:t>
      </w:r>
      <w:r>
        <w:rPr>
          <w:rFonts w:cs="Arial" w:asciiTheme="minorEastAsia" w:hAnsiTheme="minorEastAsia" w:eastAsiaTheme="minorEastAsia"/>
          <w:color w:val="auto"/>
          <w:sz w:val="24"/>
          <w:highlight w:val="none"/>
        </w:rPr>
        <w:t>4</w:t>
      </w:r>
      <w:r>
        <w:rPr>
          <w:rFonts w:hint="eastAsia" w:cs="Arial" w:asciiTheme="minorEastAsia" w:hAnsiTheme="minorEastAsia" w:eastAsiaTheme="minorEastAsia"/>
          <w:color w:val="auto"/>
          <w:sz w:val="24"/>
          <w:highlight w:val="none"/>
        </w:rPr>
        <w:t>期。</w:t>
      </w:r>
    </w:p>
    <w:p w14:paraId="3BA98A51">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（1）城市道路交通拥堵分析</w:t>
      </w:r>
    </w:p>
    <w:p w14:paraId="722C1B84">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城市交通延时指数、分区域交通延时指数、机动车通行量、在途量峰值等，形成对道路交通拥堵情况季度评估。</w:t>
      </w:r>
    </w:p>
    <w:p w14:paraId="21288BD8">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（2）城市客运交通运营分析</w:t>
      </w:r>
    </w:p>
    <w:p w14:paraId="2B899EBC">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轨道交通、公共汽（电）车、水上巴士、公共自行车、出租汽车等客运量，形成对城市客运交通情况的季度评估。</w:t>
      </w:r>
    </w:p>
    <w:p w14:paraId="599B4DCA">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（3）交通治堵工作推进情况</w:t>
      </w:r>
    </w:p>
    <w:p w14:paraId="360420C4">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公共交通优先、交通秩序管理、堵点及片区专项治理、交通治堵宣传等具体工作推进情况。</w:t>
      </w:r>
    </w:p>
    <w:p w14:paraId="5769C5A2">
      <w:pPr>
        <w:tabs>
          <w:tab w:val="left" w:pos="0"/>
        </w:tabs>
        <w:spacing w:line="360" w:lineRule="auto"/>
        <w:ind w:left="105" w:leftChars="50" w:firstLine="482" w:firstLineChars="200"/>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4.</w:t>
      </w:r>
      <w:r>
        <w:rPr>
          <w:rFonts w:cs="Arial" w:asciiTheme="minorEastAsia" w:hAnsiTheme="minorEastAsia" w:eastAsiaTheme="minorEastAsia"/>
          <w:b/>
          <w:color w:val="auto"/>
          <w:sz w:val="24"/>
          <w:highlight w:val="none"/>
        </w:rPr>
        <w:t>3</w:t>
      </w:r>
      <w:r>
        <w:rPr>
          <w:rFonts w:hint="eastAsia" w:cs="Arial" w:asciiTheme="minorEastAsia" w:hAnsiTheme="minorEastAsia" w:eastAsiaTheme="minorEastAsia"/>
          <w:b/>
          <w:color w:val="auto"/>
          <w:sz w:val="24"/>
          <w:highlight w:val="none"/>
        </w:rPr>
        <w:t>、交通发展年度报告</w:t>
      </w:r>
    </w:p>
    <w:p w14:paraId="0FCFCE2B">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对2024年度城市交通运行情况进行统计分析，包括城市道路交通拥堵、城市客运交通、重点区域及通道交通运行情况等。</w:t>
      </w:r>
    </w:p>
    <w:p w14:paraId="3224F3D4">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（1）城市发展概况</w:t>
      </w:r>
    </w:p>
    <w:p w14:paraId="4EAAEC4C">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总结2</w:t>
      </w:r>
      <w:r>
        <w:rPr>
          <w:rFonts w:cs="Arial" w:asciiTheme="minorEastAsia" w:hAnsiTheme="minorEastAsia" w:eastAsiaTheme="minorEastAsia"/>
          <w:color w:val="auto"/>
          <w:sz w:val="24"/>
          <w:highlight w:val="none"/>
        </w:rPr>
        <w:t>024</w:t>
      </w:r>
      <w:r>
        <w:rPr>
          <w:rFonts w:hint="eastAsia" w:cs="Arial" w:asciiTheme="minorEastAsia" w:hAnsiTheme="minorEastAsia" w:eastAsiaTheme="minorEastAsia"/>
          <w:color w:val="auto"/>
          <w:sz w:val="24"/>
          <w:highlight w:val="none"/>
        </w:rPr>
        <w:t>年杭州市的城市发展概况，包括人口经济、城市建设等。</w:t>
      </w:r>
    </w:p>
    <w:p w14:paraId="0E38091D">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（2）综合交通发展情况</w:t>
      </w:r>
    </w:p>
    <w:p w14:paraId="16C2476C">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总结2</w:t>
      </w:r>
      <w:r>
        <w:rPr>
          <w:rFonts w:cs="Arial" w:asciiTheme="minorEastAsia" w:hAnsiTheme="minorEastAsia" w:eastAsiaTheme="minorEastAsia"/>
          <w:color w:val="auto"/>
          <w:sz w:val="24"/>
          <w:highlight w:val="none"/>
        </w:rPr>
        <w:t>024</w:t>
      </w:r>
      <w:r>
        <w:rPr>
          <w:rFonts w:hint="eastAsia" w:cs="Arial" w:asciiTheme="minorEastAsia" w:hAnsiTheme="minorEastAsia" w:eastAsiaTheme="minorEastAsia"/>
          <w:color w:val="auto"/>
          <w:sz w:val="24"/>
          <w:highlight w:val="none"/>
        </w:rPr>
        <w:t>年杭州市的综合交通发展概况。</w:t>
      </w:r>
    </w:p>
    <w:p w14:paraId="363AC251">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（3）城市交通</w:t>
      </w:r>
      <w:r>
        <w:rPr>
          <w:rFonts w:cs="Arial" w:asciiTheme="minorEastAsia" w:hAnsiTheme="minorEastAsia" w:eastAsiaTheme="minorEastAsia"/>
          <w:color w:val="auto"/>
          <w:sz w:val="24"/>
          <w:highlight w:val="none"/>
        </w:rPr>
        <w:t>需求</w:t>
      </w:r>
      <w:r>
        <w:rPr>
          <w:rFonts w:hint="eastAsia" w:cs="Arial" w:asciiTheme="minorEastAsia" w:hAnsiTheme="minorEastAsia" w:eastAsiaTheme="minorEastAsia"/>
          <w:color w:val="auto"/>
          <w:sz w:val="24"/>
          <w:highlight w:val="none"/>
        </w:rPr>
        <w:t>分析</w:t>
      </w:r>
    </w:p>
    <w:p w14:paraId="073D6D3A">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利用2024年城市交通出行大数据，对居民出行需求特征进行总结分析。</w:t>
      </w:r>
    </w:p>
    <w:p w14:paraId="5A940EB4">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（4）道路交通运行情况</w:t>
      </w:r>
    </w:p>
    <w:p w14:paraId="7D04F7EA">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bookmarkStart w:id="60" w:name="_Hlk78895625"/>
      <w:r>
        <w:rPr>
          <w:rFonts w:hint="eastAsia" w:cs="Arial" w:asciiTheme="minorEastAsia" w:hAnsiTheme="minorEastAsia" w:eastAsiaTheme="minorEastAsia"/>
          <w:color w:val="auto"/>
          <w:sz w:val="24"/>
          <w:highlight w:val="none"/>
        </w:rPr>
        <w:t>总结2</w:t>
      </w:r>
      <w:r>
        <w:rPr>
          <w:rFonts w:cs="Arial" w:asciiTheme="minorEastAsia" w:hAnsiTheme="minorEastAsia" w:eastAsiaTheme="minorEastAsia"/>
          <w:color w:val="auto"/>
          <w:sz w:val="24"/>
          <w:highlight w:val="none"/>
        </w:rPr>
        <w:t>024</w:t>
      </w:r>
      <w:r>
        <w:rPr>
          <w:rFonts w:hint="eastAsia" w:cs="Arial" w:asciiTheme="minorEastAsia" w:hAnsiTheme="minorEastAsia" w:eastAsiaTheme="minorEastAsia"/>
          <w:color w:val="auto"/>
          <w:sz w:val="24"/>
          <w:highlight w:val="none"/>
        </w:rPr>
        <w:t>年主城区道路交通运行情况。内容包括总体交通</w:t>
      </w:r>
      <w:r>
        <w:rPr>
          <w:rFonts w:cs="Arial" w:asciiTheme="minorEastAsia" w:hAnsiTheme="minorEastAsia" w:eastAsiaTheme="minorEastAsia"/>
          <w:color w:val="auto"/>
          <w:sz w:val="24"/>
          <w:highlight w:val="none"/>
        </w:rPr>
        <w:t>运行状况</w:t>
      </w:r>
      <w:r>
        <w:rPr>
          <w:rFonts w:hint="eastAsia" w:cs="Arial" w:asciiTheme="minorEastAsia" w:hAnsiTheme="minorEastAsia" w:eastAsiaTheme="minorEastAsia"/>
          <w:color w:val="auto"/>
          <w:sz w:val="24"/>
          <w:highlight w:val="none"/>
        </w:rPr>
        <w:t>、快速</w:t>
      </w:r>
      <w:r>
        <w:rPr>
          <w:rFonts w:cs="Arial" w:asciiTheme="minorEastAsia" w:hAnsiTheme="minorEastAsia" w:eastAsiaTheme="minorEastAsia"/>
          <w:color w:val="auto"/>
          <w:sz w:val="24"/>
          <w:highlight w:val="none"/>
        </w:rPr>
        <w:t>路交通运行变化、分区域交通运行状况、</w:t>
      </w:r>
      <w:r>
        <w:rPr>
          <w:rFonts w:hint="eastAsia" w:cs="Arial" w:asciiTheme="minorEastAsia" w:hAnsiTheme="minorEastAsia" w:eastAsiaTheme="minorEastAsia"/>
          <w:color w:val="auto"/>
          <w:sz w:val="24"/>
          <w:highlight w:val="none"/>
        </w:rPr>
        <w:t>常发</w:t>
      </w:r>
      <w:r>
        <w:rPr>
          <w:rFonts w:cs="Arial" w:asciiTheme="minorEastAsia" w:hAnsiTheme="minorEastAsia" w:eastAsiaTheme="minorEastAsia"/>
          <w:color w:val="auto"/>
          <w:sz w:val="24"/>
          <w:highlight w:val="none"/>
        </w:rPr>
        <w:t>拥堵路段</w:t>
      </w:r>
      <w:r>
        <w:rPr>
          <w:rFonts w:hint="eastAsia" w:cs="Arial" w:asciiTheme="minorEastAsia" w:hAnsiTheme="minorEastAsia" w:eastAsiaTheme="minorEastAsia"/>
          <w:color w:val="auto"/>
          <w:sz w:val="24"/>
          <w:highlight w:val="none"/>
        </w:rPr>
        <w:t>等。</w:t>
      </w:r>
    </w:p>
    <w:bookmarkEnd w:id="60"/>
    <w:p w14:paraId="42A7B4C2">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（5）城市客运交通运营情况</w:t>
      </w:r>
    </w:p>
    <w:p w14:paraId="36CE4DEB">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总结2</w:t>
      </w:r>
      <w:r>
        <w:rPr>
          <w:rFonts w:cs="Arial" w:asciiTheme="minorEastAsia" w:hAnsiTheme="minorEastAsia" w:eastAsiaTheme="minorEastAsia"/>
          <w:color w:val="auto"/>
          <w:sz w:val="24"/>
          <w:highlight w:val="none"/>
        </w:rPr>
        <w:t>024</w:t>
      </w:r>
      <w:r>
        <w:rPr>
          <w:rFonts w:hint="eastAsia" w:cs="Arial" w:asciiTheme="minorEastAsia" w:hAnsiTheme="minorEastAsia" w:eastAsiaTheme="minorEastAsia"/>
          <w:color w:val="auto"/>
          <w:sz w:val="24"/>
          <w:highlight w:val="none"/>
        </w:rPr>
        <w:t>年主城区城市客运交通运营情况，包括轨道交通、</w:t>
      </w:r>
      <w:r>
        <w:rPr>
          <w:rFonts w:cs="Arial" w:asciiTheme="minorEastAsia" w:hAnsiTheme="minorEastAsia" w:eastAsiaTheme="minorEastAsia"/>
          <w:color w:val="auto"/>
          <w:sz w:val="24"/>
          <w:highlight w:val="none"/>
        </w:rPr>
        <w:t>公共汽电车</w:t>
      </w:r>
      <w:r>
        <w:rPr>
          <w:rFonts w:hint="eastAsia" w:cs="Arial" w:asciiTheme="minorEastAsia" w:hAnsiTheme="minorEastAsia" w:eastAsiaTheme="minorEastAsia"/>
          <w:color w:val="auto"/>
          <w:sz w:val="24"/>
          <w:highlight w:val="none"/>
        </w:rPr>
        <w:t>、</w:t>
      </w:r>
      <w:r>
        <w:rPr>
          <w:rFonts w:cs="Arial" w:asciiTheme="minorEastAsia" w:hAnsiTheme="minorEastAsia" w:eastAsiaTheme="minorEastAsia"/>
          <w:color w:val="auto"/>
          <w:sz w:val="24"/>
          <w:highlight w:val="none"/>
        </w:rPr>
        <w:t>水上巴士</w:t>
      </w:r>
      <w:r>
        <w:rPr>
          <w:rFonts w:hint="eastAsia" w:cs="Arial" w:asciiTheme="minorEastAsia" w:hAnsiTheme="minorEastAsia" w:eastAsiaTheme="minorEastAsia"/>
          <w:color w:val="auto"/>
          <w:sz w:val="24"/>
          <w:highlight w:val="none"/>
        </w:rPr>
        <w:t>、</w:t>
      </w:r>
      <w:r>
        <w:rPr>
          <w:rFonts w:cs="Arial" w:asciiTheme="minorEastAsia" w:hAnsiTheme="minorEastAsia" w:eastAsiaTheme="minorEastAsia"/>
          <w:color w:val="auto"/>
          <w:sz w:val="24"/>
          <w:highlight w:val="none"/>
        </w:rPr>
        <w:t>公共自行车</w:t>
      </w:r>
      <w:r>
        <w:rPr>
          <w:rFonts w:hint="eastAsia" w:cs="Arial" w:asciiTheme="minorEastAsia" w:hAnsiTheme="minorEastAsia" w:eastAsiaTheme="minorEastAsia"/>
          <w:color w:val="auto"/>
          <w:sz w:val="24"/>
          <w:highlight w:val="none"/>
        </w:rPr>
        <w:t>、巡游出租车、网约车等。</w:t>
      </w:r>
    </w:p>
    <w:p w14:paraId="2390093D">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（6）</w:t>
      </w:r>
      <w:r>
        <w:rPr>
          <w:rFonts w:hint="eastAsia" w:ascii="宋体" w:hAnsi="宋体"/>
          <w:snapToGrid w:val="0"/>
          <w:color w:val="auto"/>
          <w:kern w:val="0"/>
          <w:sz w:val="24"/>
          <w:highlight w:val="none"/>
        </w:rPr>
        <w:t>重大交通政策实施前后对比</w:t>
      </w:r>
      <w:r>
        <w:rPr>
          <w:rFonts w:ascii="宋体" w:hAnsi="宋体"/>
          <w:snapToGrid w:val="0"/>
          <w:color w:val="auto"/>
          <w:kern w:val="0"/>
          <w:sz w:val="24"/>
          <w:highlight w:val="none"/>
        </w:rPr>
        <w:t>分析</w:t>
      </w:r>
    </w:p>
    <w:p w14:paraId="67BF2CF8">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对</w:t>
      </w:r>
      <w:r>
        <w:rPr>
          <w:rFonts w:cs="Arial" w:asciiTheme="minorEastAsia" w:hAnsiTheme="minorEastAsia" w:eastAsiaTheme="minorEastAsia"/>
          <w:color w:val="auto"/>
          <w:sz w:val="24"/>
          <w:highlight w:val="none"/>
        </w:rPr>
        <w:t>重大交通政策实施前后交通运行状况进行对比分析，</w:t>
      </w:r>
      <w:r>
        <w:rPr>
          <w:rFonts w:hint="eastAsia" w:cs="Arial" w:asciiTheme="minorEastAsia" w:hAnsiTheme="minorEastAsia" w:eastAsiaTheme="minorEastAsia"/>
          <w:color w:val="auto"/>
          <w:sz w:val="24"/>
          <w:highlight w:val="none"/>
        </w:rPr>
        <w:t>对政策实施效果进行总结评估。</w:t>
      </w:r>
    </w:p>
    <w:p w14:paraId="2C2D0EB2">
      <w:pPr>
        <w:tabs>
          <w:tab w:val="left" w:pos="525"/>
          <w:tab w:val="center" w:pos="4153"/>
        </w:tabs>
        <w:spacing w:line="360" w:lineRule="auto"/>
        <w:ind w:left="120" w:firstLine="482" w:firstLineChars="200"/>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5</w:t>
      </w:r>
      <w:r>
        <w:rPr>
          <w:rFonts w:cs="Arial" w:asciiTheme="minorEastAsia" w:hAnsiTheme="minorEastAsia" w:eastAsiaTheme="minorEastAsia"/>
          <w:b/>
          <w:color w:val="auto"/>
          <w:sz w:val="24"/>
          <w:highlight w:val="none"/>
        </w:rPr>
        <w:t>、</w:t>
      </w:r>
      <w:r>
        <w:rPr>
          <w:rFonts w:hint="eastAsia" w:cs="Arial" w:asciiTheme="minorEastAsia" w:hAnsiTheme="minorEastAsia" w:eastAsiaTheme="minorEastAsia"/>
          <w:b/>
          <w:color w:val="auto"/>
          <w:sz w:val="24"/>
          <w:highlight w:val="none"/>
        </w:rPr>
        <w:t>时间</w:t>
      </w:r>
      <w:r>
        <w:rPr>
          <w:rFonts w:cs="Arial" w:asciiTheme="minorEastAsia" w:hAnsiTheme="minorEastAsia" w:eastAsiaTheme="minorEastAsia"/>
          <w:b/>
          <w:color w:val="auto"/>
          <w:sz w:val="24"/>
          <w:highlight w:val="none"/>
        </w:rPr>
        <w:t>要求</w:t>
      </w:r>
      <w:r>
        <w:rPr>
          <w:rFonts w:hint="eastAsia" w:cs="Arial" w:asciiTheme="minorEastAsia" w:hAnsiTheme="minorEastAsia" w:eastAsiaTheme="minorEastAsia"/>
          <w:b/>
          <w:color w:val="auto"/>
          <w:sz w:val="24"/>
          <w:highlight w:val="none"/>
        </w:rPr>
        <w:t>与成果质量</w:t>
      </w:r>
    </w:p>
    <w:p w14:paraId="57998C05">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成果总体满足国家相关标准、国家有关法律法规的相关要求。</w:t>
      </w:r>
    </w:p>
    <w:p w14:paraId="389D6EFD">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 xml:space="preserve">（1）每月20日前提供上月交通运行月度评估报告，特殊情况需延迟报送应提前3个工作日向主管部门报告并说明原因。 </w:t>
      </w:r>
    </w:p>
    <w:p w14:paraId="0AB7AB37">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（2）每季度首月30日前提供上季度交通运行季度评估报告，特殊情况需延迟报送应提前3个工作日向主管部门报告并说明原因。</w:t>
      </w:r>
    </w:p>
    <w:p w14:paraId="43302583">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（3）202</w:t>
      </w:r>
      <w:r>
        <w:rPr>
          <w:rFonts w:cs="Arial" w:asciiTheme="minorEastAsia" w:hAnsiTheme="minorEastAsia" w:eastAsiaTheme="minorEastAsia"/>
          <w:color w:val="auto"/>
          <w:sz w:val="24"/>
          <w:highlight w:val="none"/>
        </w:rPr>
        <w:t>5</w:t>
      </w:r>
      <w:r>
        <w:rPr>
          <w:rFonts w:hint="eastAsia" w:cs="Arial" w:asciiTheme="minorEastAsia" w:hAnsiTheme="minorEastAsia" w:eastAsiaTheme="minorEastAsia"/>
          <w:color w:val="auto"/>
          <w:sz w:val="24"/>
          <w:highlight w:val="none"/>
        </w:rPr>
        <w:t>年</w:t>
      </w:r>
      <w:r>
        <w:rPr>
          <w:rFonts w:cs="Arial" w:asciiTheme="minorEastAsia" w:hAnsiTheme="minorEastAsia" w:eastAsiaTheme="minorEastAsia"/>
          <w:color w:val="auto"/>
          <w:sz w:val="24"/>
          <w:highlight w:val="none"/>
        </w:rPr>
        <w:t>11</w:t>
      </w:r>
      <w:r>
        <w:rPr>
          <w:rFonts w:hint="eastAsia" w:cs="Arial" w:asciiTheme="minorEastAsia" w:hAnsiTheme="minorEastAsia" w:eastAsiaTheme="minorEastAsia"/>
          <w:color w:val="auto"/>
          <w:sz w:val="24"/>
          <w:highlight w:val="none"/>
        </w:rPr>
        <w:t>月底前完成交通发展年度报告。</w:t>
      </w:r>
    </w:p>
    <w:p w14:paraId="291BE5D6">
      <w:pPr>
        <w:tabs>
          <w:tab w:val="left" w:pos="0"/>
        </w:tabs>
        <w:spacing w:line="360" w:lineRule="auto"/>
        <w:ind w:left="105" w:leftChars="50"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月报、季报、交通发展年度报告及交通专题分析报告的分析内容需依托拥堵指数、公交运行监测及居民OD分析等大数据手段进行综合分析，通过同比、环比分析，监测重点指标月度、季度、年度变化趋势，以定量分析为主，结合定性分析，提供直观的评估分析结论，使政府领导和有关部门及时全面的把握交通运行态势。</w:t>
      </w:r>
    </w:p>
    <w:p w14:paraId="2E4D1504">
      <w:pPr>
        <w:tabs>
          <w:tab w:val="left" w:pos="0"/>
        </w:tabs>
        <w:spacing w:line="360" w:lineRule="auto"/>
        <w:ind w:left="105" w:leftChars="50" w:firstLine="482" w:firstLineChars="200"/>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注：投标文件应能够对以上四个部分给出初步的技术方案研究(含研判、方案建议等)，以便中标后与招标方协商后立即明确工作方向。</w:t>
      </w:r>
    </w:p>
    <w:p w14:paraId="5E2BFEDC">
      <w:pPr>
        <w:tabs>
          <w:tab w:val="left" w:pos="525"/>
        </w:tabs>
        <w:spacing w:line="360" w:lineRule="auto"/>
        <w:ind w:left="120" w:firstLine="482" w:firstLineChars="200"/>
        <w:rPr>
          <w:rFonts w:hint="eastAsia" w:cs="Arial" w:asciiTheme="minorEastAsia" w:hAnsiTheme="minorEastAsia" w:eastAsiaTheme="minorEastAsia"/>
          <w:b/>
          <w:color w:val="auto"/>
          <w:sz w:val="24"/>
          <w:highlight w:val="none"/>
        </w:rPr>
      </w:pPr>
      <w:bookmarkStart w:id="61" w:name="_Toc312661027"/>
      <w:r>
        <w:rPr>
          <w:rFonts w:hint="eastAsia" w:cs="Arial" w:asciiTheme="minorEastAsia" w:hAnsiTheme="minorEastAsia" w:eastAsiaTheme="minorEastAsia"/>
          <w:b/>
          <w:color w:val="auto"/>
          <w:sz w:val="24"/>
          <w:highlight w:val="none"/>
        </w:rPr>
        <w:t>6</w:t>
      </w:r>
      <w:r>
        <w:rPr>
          <w:rFonts w:cs="Arial" w:asciiTheme="minorEastAsia" w:hAnsiTheme="minorEastAsia" w:eastAsiaTheme="minorEastAsia"/>
          <w:b/>
          <w:color w:val="auto"/>
          <w:sz w:val="24"/>
          <w:highlight w:val="none"/>
        </w:rPr>
        <w:t>、工作时间</w:t>
      </w:r>
      <w:bookmarkEnd w:id="61"/>
    </w:p>
    <w:p w14:paraId="58DD37E7">
      <w:pPr>
        <w:snapToGrid w:val="0"/>
        <w:spacing w:line="360" w:lineRule="auto"/>
        <w:ind w:left="120" w:firstLine="480" w:firstLineChars="200"/>
        <w:rPr>
          <w:rFonts w:hint="eastAsia" w:cs="Arial" w:asciiTheme="minorEastAsia" w:hAnsiTheme="minorEastAsia" w:eastAsiaTheme="minorEastAsia"/>
          <w:snapToGrid w:val="0"/>
          <w:color w:val="auto"/>
          <w:kern w:val="0"/>
          <w:sz w:val="24"/>
          <w:highlight w:val="none"/>
        </w:rPr>
      </w:pPr>
      <w:r>
        <w:rPr>
          <w:rFonts w:hint="eastAsia" w:cs="宋体" w:asciiTheme="minorEastAsia" w:hAnsiTheme="minorEastAsia" w:eastAsiaTheme="minorEastAsia"/>
          <w:snapToGrid w:val="0"/>
          <w:color w:val="auto"/>
          <w:kern w:val="0"/>
          <w:sz w:val="24"/>
          <w:highlight w:val="none"/>
        </w:rPr>
        <w:t>合同签订之日至2026年1月3</w:t>
      </w:r>
      <w:r>
        <w:rPr>
          <w:rFonts w:cs="宋体" w:asciiTheme="minorEastAsia" w:hAnsiTheme="minorEastAsia" w:eastAsiaTheme="minorEastAsia"/>
          <w:snapToGrid w:val="0"/>
          <w:color w:val="auto"/>
          <w:kern w:val="0"/>
          <w:sz w:val="24"/>
          <w:highlight w:val="none"/>
        </w:rPr>
        <w:t>1</w:t>
      </w:r>
      <w:r>
        <w:rPr>
          <w:rFonts w:hint="eastAsia" w:cs="宋体" w:asciiTheme="minorEastAsia" w:hAnsiTheme="minorEastAsia" w:eastAsiaTheme="minorEastAsia"/>
          <w:snapToGrid w:val="0"/>
          <w:color w:val="auto"/>
          <w:kern w:val="0"/>
          <w:sz w:val="24"/>
          <w:highlight w:val="none"/>
        </w:rPr>
        <w:t>日。</w:t>
      </w:r>
    </w:p>
    <w:p w14:paraId="39B68E08">
      <w:pPr>
        <w:tabs>
          <w:tab w:val="left" w:pos="525"/>
        </w:tabs>
        <w:spacing w:line="360" w:lineRule="auto"/>
        <w:ind w:left="120" w:firstLine="482" w:firstLineChars="200"/>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7</w:t>
      </w:r>
      <w:r>
        <w:rPr>
          <w:rFonts w:cs="Arial" w:asciiTheme="minorEastAsia" w:hAnsiTheme="minorEastAsia" w:eastAsiaTheme="minorEastAsia"/>
          <w:b/>
          <w:color w:val="auto"/>
          <w:sz w:val="24"/>
          <w:highlight w:val="none"/>
        </w:rPr>
        <w:t>、工作计划与阶段成果要求</w:t>
      </w:r>
    </w:p>
    <w:p w14:paraId="2B739F13">
      <w:pPr>
        <w:tabs>
          <w:tab w:val="left" w:pos="525"/>
        </w:tabs>
        <w:spacing w:line="360" w:lineRule="auto"/>
        <w:ind w:left="120" w:firstLine="482" w:firstLineChars="200"/>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7</w:t>
      </w:r>
      <w:r>
        <w:rPr>
          <w:rFonts w:cs="Arial" w:asciiTheme="minorEastAsia" w:hAnsiTheme="minorEastAsia" w:eastAsiaTheme="minorEastAsia"/>
          <w:b/>
          <w:color w:val="auto"/>
          <w:sz w:val="24"/>
          <w:highlight w:val="none"/>
        </w:rPr>
        <w:t>.1具体要求</w:t>
      </w:r>
    </w:p>
    <w:p w14:paraId="0DAA7166">
      <w:pPr>
        <w:pStyle w:val="130"/>
        <w:ind w:firstLine="480"/>
        <w:rPr>
          <w:color w:val="auto"/>
          <w:highlight w:val="none"/>
        </w:rPr>
      </w:pPr>
      <w:r>
        <w:rPr>
          <w:color w:val="auto"/>
          <w:highlight w:val="none"/>
        </w:rPr>
        <w:t>所有提交的研究报告和其它文件的质量和深度必须至少满足本章第</w:t>
      </w:r>
      <w:r>
        <w:rPr>
          <w:rFonts w:hint="eastAsia"/>
          <w:color w:val="auto"/>
          <w:highlight w:val="none"/>
        </w:rPr>
        <w:t>5</w:t>
      </w:r>
      <w:r>
        <w:rPr>
          <w:color w:val="auto"/>
          <w:highlight w:val="none"/>
        </w:rPr>
        <w:t>条规定的要求。如果所提交的报告书(含初稿)或文件依采购人指示经过三轮修订后仍未达到</w:t>
      </w:r>
      <w:r>
        <w:rPr>
          <w:rFonts w:hint="eastAsia"/>
          <w:color w:val="auto"/>
          <w:highlight w:val="none"/>
        </w:rPr>
        <w:t>采购人</w:t>
      </w:r>
      <w:r>
        <w:rPr>
          <w:color w:val="auto"/>
          <w:highlight w:val="none"/>
        </w:rPr>
        <w:t>的要求者，采购人保留指定项目受委托研究单位更换技术人员的权利和终止继续执行合同的权利。对质量和深度的最终判断以</w:t>
      </w:r>
      <w:r>
        <w:rPr>
          <w:rFonts w:hint="eastAsia"/>
          <w:color w:val="auto"/>
          <w:highlight w:val="none"/>
        </w:rPr>
        <w:t>采购人</w:t>
      </w:r>
      <w:r>
        <w:rPr>
          <w:color w:val="auto"/>
          <w:highlight w:val="none"/>
        </w:rPr>
        <w:t>的书面决定为准。</w:t>
      </w:r>
    </w:p>
    <w:p w14:paraId="5ECD1332">
      <w:pPr>
        <w:tabs>
          <w:tab w:val="left" w:pos="525"/>
        </w:tabs>
        <w:spacing w:line="360" w:lineRule="auto"/>
        <w:ind w:left="120" w:firstLine="482" w:firstLineChars="200"/>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7</w:t>
      </w:r>
      <w:r>
        <w:rPr>
          <w:rFonts w:cs="Arial" w:asciiTheme="minorEastAsia" w:hAnsiTheme="minorEastAsia" w:eastAsiaTheme="minorEastAsia"/>
          <w:b/>
          <w:color w:val="auto"/>
          <w:sz w:val="24"/>
          <w:highlight w:val="none"/>
        </w:rPr>
        <w:t>.2各阶段报告</w:t>
      </w:r>
    </w:p>
    <w:p w14:paraId="7C664764">
      <w:pPr>
        <w:tabs>
          <w:tab w:val="left" w:pos="525"/>
        </w:tabs>
        <w:spacing w:line="360" w:lineRule="auto"/>
        <w:ind w:left="120" w:firstLine="482" w:firstLineChars="200"/>
        <w:rPr>
          <w:rFonts w:hint="eastAsia" w:cs="Arial" w:asciiTheme="minorEastAsia" w:hAnsiTheme="minorEastAsia" w:eastAsiaTheme="minorEastAsia"/>
          <w:b/>
          <w:color w:val="auto"/>
          <w:sz w:val="24"/>
          <w:highlight w:val="none"/>
        </w:rPr>
      </w:pPr>
      <w:r>
        <w:rPr>
          <w:rFonts w:cs="Arial" w:asciiTheme="minorEastAsia" w:hAnsiTheme="minorEastAsia" w:eastAsiaTheme="minorEastAsia"/>
          <w:b/>
          <w:color w:val="auto"/>
          <w:sz w:val="24"/>
          <w:highlight w:val="none"/>
        </w:rPr>
        <w:t>(1)工作大纲建议稿及工作大纲</w:t>
      </w:r>
    </w:p>
    <w:p w14:paraId="7ACDCC8C">
      <w:pPr>
        <w:pStyle w:val="130"/>
        <w:ind w:firstLine="480"/>
        <w:rPr>
          <w:color w:val="auto"/>
          <w:highlight w:val="none"/>
        </w:rPr>
      </w:pPr>
      <w:r>
        <w:rPr>
          <w:color w:val="auto"/>
          <w:highlight w:val="none"/>
        </w:rPr>
        <w:t>中标人应在</w:t>
      </w:r>
      <w:r>
        <w:rPr>
          <w:rFonts w:hint="eastAsia"/>
          <w:color w:val="auto"/>
          <w:highlight w:val="none"/>
        </w:rPr>
        <w:t>合同签订后</w:t>
      </w:r>
      <w:r>
        <w:rPr>
          <w:color w:val="auto"/>
          <w:highlight w:val="none"/>
        </w:rPr>
        <w:t>即开展工作，并在</w:t>
      </w:r>
      <w:r>
        <w:rPr>
          <w:rFonts w:hint="eastAsia"/>
          <w:color w:val="auto"/>
          <w:highlight w:val="none"/>
        </w:rPr>
        <w:t>合同签订后</w:t>
      </w:r>
      <w:r>
        <w:rPr>
          <w:color w:val="auto"/>
          <w:highlight w:val="none"/>
        </w:rPr>
        <w:t>15个日历天内提交一份工作大纲建议稿。采购人在收到建议稿后3个日历天内反馈意见。中标人应在收到反馈意见的5个日历天内向采购人提交修改后的工作大纲(签署合同时明确交稿时间)。</w:t>
      </w:r>
    </w:p>
    <w:p w14:paraId="442D1590">
      <w:pPr>
        <w:pStyle w:val="130"/>
        <w:ind w:firstLine="480"/>
        <w:rPr>
          <w:color w:val="auto"/>
          <w:highlight w:val="none"/>
        </w:rPr>
      </w:pPr>
      <w:r>
        <w:rPr>
          <w:color w:val="auto"/>
          <w:highlight w:val="none"/>
        </w:rPr>
        <w:t>建议根据本招标文件提供的项目技术要求，针对本次招标内容工作重点提出对策：</w:t>
      </w:r>
    </w:p>
    <w:p w14:paraId="10A11526">
      <w:pPr>
        <w:pStyle w:val="130"/>
        <w:ind w:firstLine="480"/>
        <w:rPr>
          <w:color w:val="auto"/>
          <w:highlight w:val="none"/>
        </w:rPr>
      </w:pPr>
      <w:r>
        <w:rPr>
          <w:color w:val="auto"/>
          <w:highlight w:val="none"/>
        </w:rPr>
        <w:t>a.把握好工作的方向和目标；明确工作方案和技术手段；</w:t>
      </w:r>
    </w:p>
    <w:p w14:paraId="0EB5127F">
      <w:pPr>
        <w:pStyle w:val="130"/>
        <w:ind w:firstLine="480"/>
        <w:rPr>
          <w:color w:val="auto"/>
          <w:highlight w:val="none"/>
        </w:rPr>
      </w:pPr>
      <w:r>
        <w:rPr>
          <w:color w:val="auto"/>
          <w:highlight w:val="none"/>
        </w:rPr>
        <w:t>b.提出详细的工作计划，包括调查组织方案</w:t>
      </w:r>
      <w:r>
        <w:rPr>
          <w:rFonts w:hint="eastAsia"/>
          <w:color w:val="auto"/>
          <w:highlight w:val="none"/>
        </w:rPr>
        <w:t>等</w:t>
      </w:r>
      <w:r>
        <w:rPr>
          <w:color w:val="auto"/>
          <w:highlight w:val="none"/>
        </w:rPr>
        <w:t>；</w:t>
      </w:r>
    </w:p>
    <w:p w14:paraId="539354BF">
      <w:pPr>
        <w:pStyle w:val="130"/>
        <w:ind w:firstLine="480"/>
        <w:rPr>
          <w:color w:val="auto"/>
          <w:highlight w:val="none"/>
        </w:rPr>
      </w:pPr>
      <w:r>
        <w:rPr>
          <w:color w:val="auto"/>
          <w:highlight w:val="none"/>
        </w:rPr>
        <w:t>c.现状勘察、资料收集和现场座谈会组织计划和具体安排要求；</w:t>
      </w:r>
    </w:p>
    <w:p w14:paraId="56270F95">
      <w:pPr>
        <w:pStyle w:val="130"/>
        <w:ind w:firstLine="480"/>
        <w:rPr>
          <w:color w:val="auto"/>
          <w:highlight w:val="none"/>
        </w:rPr>
      </w:pPr>
      <w:r>
        <w:rPr>
          <w:color w:val="auto"/>
          <w:highlight w:val="none"/>
        </w:rPr>
        <w:t>d.详细的时间进度安排；</w:t>
      </w:r>
    </w:p>
    <w:p w14:paraId="338DAC0F">
      <w:pPr>
        <w:pStyle w:val="130"/>
        <w:ind w:firstLine="480"/>
        <w:rPr>
          <w:color w:val="auto"/>
          <w:highlight w:val="none"/>
        </w:rPr>
      </w:pPr>
      <w:r>
        <w:rPr>
          <w:color w:val="auto"/>
          <w:highlight w:val="none"/>
        </w:rPr>
        <w:t>e.成果形式。</w:t>
      </w:r>
    </w:p>
    <w:p w14:paraId="5D0E88A0">
      <w:pPr>
        <w:tabs>
          <w:tab w:val="left" w:pos="525"/>
        </w:tabs>
        <w:spacing w:line="360" w:lineRule="auto"/>
        <w:ind w:left="120" w:firstLine="482" w:firstLineChars="200"/>
        <w:rPr>
          <w:rFonts w:hint="eastAsia" w:cs="Arial" w:asciiTheme="minorEastAsia" w:hAnsiTheme="minorEastAsia" w:eastAsiaTheme="minorEastAsia"/>
          <w:b/>
          <w:color w:val="auto"/>
          <w:sz w:val="24"/>
          <w:highlight w:val="none"/>
        </w:rPr>
      </w:pPr>
      <w:r>
        <w:rPr>
          <w:rFonts w:cs="Arial" w:asciiTheme="minorEastAsia" w:hAnsiTheme="minorEastAsia" w:eastAsiaTheme="minorEastAsia"/>
          <w:b/>
          <w:color w:val="auto"/>
          <w:sz w:val="24"/>
          <w:highlight w:val="none"/>
        </w:rPr>
        <w:t>(</w:t>
      </w:r>
      <w:r>
        <w:rPr>
          <w:rFonts w:hint="eastAsia" w:cs="Arial" w:asciiTheme="minorEastAsia" w:hAnsiTheme="minorEastAsia" w:eastAsiaTheme="minorEastAsia"/>
          <w:b/>
          <w:color w:val="auto"/>
          <w:sz w:val="24"/>
          <w:highlight w:val="none"/>
        </w:rPr>
        <w:t>2</w:t>
      </w:r>
      <w:r>
        <w:rPr>
          <w:rFonts w:cs="Arial" w:asciiTheme="minorEastAsia" w:hAnsiTheme="minorEastAsia" w:eastAsiaTheme="minorEastAsia"/>
          <w:b/>
          <w:color w:val="auto"/>
          <w:sz w:val="24"/>
          <w:highlight w:val="none"/>
        </w:rPr>
        <w:t>)送审稿</w:t>
      </w:r>
    </w:p>
    <w:p w14:paraId="119C3F6A">
      <w:pPr>
        <w:pStyle w:val="130"/>
        <w:ind w:firstLine="480"/>
        <w:rPr>
          <w:color w:val="auto"/>
          <w:highlight w:val="none"/>
        </w:rPr>
      </w:pPr>
      <w:r>
        <w:rPr>
          <w:color w:val="auto"/>
          <w:highlight w:val="none"/>
        </w:rPr>
        <w:t>中标人在合同签订正式成为项目受委托方后，应根据签署合同时明确的交稿时间完成本章第</w:t>
      </w:r>
      <w:r>
        <w:rPr>
          <w:rFonts w:hint="eastAsia"/>
          <w:color w:val="auto"/>
          <w:highlight w:val="none"/>
        </w:rPr>
        <w:t>4</w:t>
      </w:r>
      <w:r>
        <w:rPr>
          <w:color w:val="auto"/>
          <w:highlight w:val="none"/>
        </w:rPr>
        <w:t>.</w:t>
      </w:r>
      <w:r>
        <w:rPr>
          <w:rFonts w:hint="eastAsia"/>
          <w:color w:val="auto"/>
          <w:highlight w:val="none"/>
        </w:rPr>
        <w:t>1</w:t>
      </w:r>
      <w:r>
        <w:rPr>
          <w:color w:val="auto"/>
          <w:highlight w:val="none"/>
        </w:rPr>
        <w:t>-</w:t>
      </w:r>
      <w:r>
        <w:rPr>
          <w:rFonts w:hint="eastAsia"/>
          <w:color w:val="auto"/>
          <w:highlight w:val="none"/>
        </w:rPr>
        <w:t>4</w:t>
      </w:r>
      <w:r>
        <w:rPr>
          <w:color w:val="auto"/>
          <w:highlight w:val="none"/>
        </w:rPr>
        <w:t>.3条规定的全部研究内容，提交送审稿。采购人随后组织评审会，就送审稿内容进行专家评审和反馈。</w:t>
      </w:r>
    </w:p>
    <w:p w14:paraId="32397E74">
      <w:pPr>
        <w:tabs>
          <w:tab w:val="left" w:pos="525"/>
        </w:tabs>
        <w:spacing w:line="360" w:lineRule="auto"/>
        <w:ind w:left="120" w:firstLine="482" w:firstLineChars="200"/>
        <w:rPr>
          <w:rFonts w:hint="eastAsia" w:cs="Arial" w:asciiTheme="minorEastAsia" w:hAnsiTheme="minorEastAsia" w:eastAsiaTheme="minorEastAsia"/>
          <w:b/>
          <w:color w:val="auto"/>
          <w:sz w:val="24"/>
          <w:highlight w:val="none"/>
        </w:rPr>
      </w:pPr>
      <w:r>
        <w:rPr>
          <w:rFonts w:cs="Arial" w:asciiTheme="minorEastAsia" w:hAnsiTheme="minorEastAsia" w:eastAsiaTheme="minorEastAsia"/>
          <w:b/>
          <w:color w:val="auto"/>
          <w:sz w:val="24"/>
          <w:highlight w:val="none"/>
        </w:rPr>
        <w:t>(</w:t>
      </w:r>
      <w:r>
        <w:rPr>
          <w:rFonts w:hint="eastAsia" w:cs="Arial" w:asciiTheme="minorEastAsia" w:hAnsiTheme="minorEastAsia" w:eastAsiaTheme="minorEastAsia"/>
          <w:b/>
          <w:color w:val="auto"/>
          <w:sz w:val="24"/>
          <w:highlight w:val="none"/>
        </w:rPr>
        <w:t>3</w:t>
      </w:r>
      <w:r>
        <w:rPr>
          <w:rFonts w:cs="Arial" w:asciiTheme="minorEastAsia" w:hAnsiTheme="minorEastAsia" w:eastAsiaTheme="minorEastAsia"/>
          <w:b/>
          <w:color w:val="auto"/>
          <w:sz w:val="24"/>
          <w:highlight w:val="none"/>
        </w:rPr>
        <w:t>)就</w:t>
      </w:r>
      <w:r>
        <w:rPr>
          <w:rFonts w:hint="eastAsia" w:cs="Arial" w:asciiTheme="minorEastAsia" w:hAnsiTheme="minorEastAsia" w:eastAsiaTheme="minorEastAsia"/>
          <w:b/>
          <w:color w:val="auto"/>
          <w:sz w:val="24"/>
          <w:highlight w:val="none"/>
        </w:rPr>
        <w:t>采购人</w:t>
      </w:r>
      <w:r>
        <w:rPr>
          <w:rFonts w:cs="Arial" w:asciiTheme="minorEastAsia" w:hAnsiTheme="minorEastAsia" w:eastAsiaTheme="minorEastAsia"/>
          <w:b/>
          <w:color w:val="auto"/>
          <w:sz w:val="24"/>
          <w:highlight w:val="none"/>
        </w:rPr>
        <w:t>对终期报告送审稿的反馈意见的答复</w:t>
      </w:r>
    </w:p>
    <w:p w14:paraId="62B503C7">
      <w:pPr>
        <w:pStyle w:val="130"/>
        <w:ind w:firstLine="480"/>
        <w:rPr>
          <w:color w:val="auto"/>
          <w:highlight w:val="none"/>
        </w:rPr>
      </w:pPr>
      <w:r>
        <w:rPr>
          <w:color w:val="auto"/>
          <w:highlight w:val="none"/>
        </w:rPr>
        <w:t>受委托方在收到采购人对送审稿的反馈意见后</w:t>
      </w:r>
      <w:r>
        <w:rPr>
          <w:rFonts w:hint="eastAsia"/>
          <w:color w:val="auto"/>
          <w:highlight w:val="none"/>
        </w:rPr>
        <w:t>1</w:t>
      </w:r>
      <w:r>
        <w:rPr>
          <w:color w:val="auto"/>
          <w:highlight w:val="none"/>
        </w:rPr>
        <w:t>个日历天内给出书面响应。必须说明如何修订终期报告以满足采购人的要求。</w:t>
      </w:r>
    </w:p>
    <w:p w14:paraId="555EC8C0">
      <w:pPr>
        <w:tabs>
          <w:tab w:val="left" w:pos="525"/>
        </w:tabs>
        <w:spacing w:line="360" w:lineRule="auto"/>
        <w:ind w:left="120" w:firstLine="482" w:firstLineChars="200"/>
        <w:rPr>
          <w:rFonts w:hint="eastAsia" w:cs="Arial" w:asciiTheme="minorEastAsia" w:hAnsiTheme="minorEastAsia" w:eastAsiaTheme="minorEastAsia"/>
          <w:b/>
          <w:color w:val="auto"/>
          <w:sz w:val="24"/>
          <w:highlight w:val="none"/>
        </w:rPr>
      </w:pPr>
      <w:r>
        <w:rPr>
          <w:rFonts w:cs="Arial" w:asciiTheme="minorEastAsia" w:hAnsiTheme="minorEastAsia" w:eastAsiaTheme="minorEastAsia"/>
          <w:b/>
          <w:color w:val="auto"/>
          <w:sz w:val="24"/>
          <w:highlight w:val="none"/>
        </w:rPr>
        <w:t>(4)最终报告</w:t>
      </w:r>
      <w:r>
        <w:rPr>
          <w:rFonts w:hint="eastAsia" w:cs="Arial" w:asciiTheme="minorEastAsia" w:hAnsiTheme="minorEastAsia" w:eastAsiaTheme="minorEastAsia"/>
          <w:b/>
          <w:color w:val="auto"/>
          <w:sz w:val="24"/>
          <w:highlight w:val="none"/>
        </w:rPr>
        <w:t xml:space="preserve"> </w:t>
      </w:r>
    </w:p>
    <w:p w14:paraId="30485753">
      <w:pPr>
        <w:pStyle w:val="130"/>
        <w:ind w:firstLine="480"/>
        <w:rPr>
          <w:color w:val="auto"/>
          <w:highlight w:val="none"/>
        </w:rPr>
      </w:pPr>
      <w:r>
        <w:rPr>
          <w:color w:val="auto"/>
          <w:highlight w:val="none"/>
        </w:rPr>
        <w:t>在和采购人就上款所提及的受委托方书面答复取得一致后的</w:t>
      </w:r>
      <w:r>
        <w:rPr>
          <w:rFonts w:hint="eastAsia"/>
          <w:color w:val="auto"/>
          <w:highlight w:val="none"/>
        </w:rPr>
        <w:t>3个</w:t>
      </w:r>
      <w:r>
        <w:rPr>
          <w:color w:val="auto"/>
          <w:highlight w:val="none"/>
        </w:rPr>
        <w:t>日历天内，受委托方应向采购人提交完成修改后的最终研究报告(包括文本文件及电子文件)。</w:t>
      </w:r>
    </w:p>
    <w:p w14:paraId="624AE25E">
      <w:pPr>
        <w:tabs>
          <w:tab w:val="left" w:pos="525"/>
        </w:tabs>
        <w:spacing w:line="360" w:lineRule="auto"/>
        <w:ind w:left="120" w:firstLine="482" w:firstLineChars="200"/>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7.3 报告时间要求</w:t>
      </w:r>
    </w:p>
    <w:p w14:paraId="6DDB1A78">
      <w:pPr>
        <w:pStyle w:val="130"/>
        <w:ind w:firstLine="480"/>
        <w:rPr>
          <w:color w:val="auto"/>
          <w:highlight w:val="none"/>
        </w:rPr>
      </w:pPr>
      <w:r>
        <w:rPr>
          <w:rFonts w:hint="eastAsia"/>
          <w:color w:val="auto"/>
          <w:highlight w:val="none"/>
        </w:rPr>
        <w:t>(1)中标人应在合同签订后</w:t>
      </w:r>
      <w:r>
        <w:rPr>
          <w:color w:val="auto"/>
          <w:highlight w:val="none"/>
        </w:rPr>
        <w:t>15</w:t>
      </w:r>
      <w:r>
        <w:rPr>
          <w:rFonts w:hint="eastAsia"/>
          <w:color w:val="auto"/>
          <w:highlight w:val="none"/>
        </w:rPr>
        <w:t>个日历天内完成工作大纲，招标方将修改意见反馈给中标人后，中标人须依据修改意见认真修改、补充。</w:t>
      </w:r>
    </w:p>
    <w:p w14:paraId="09936422">
      <w:pPr>
        <w:pStyle w:val="130"/>
        <w:ind w:firstLine="480"/>
        <w:rPr>
          <w:color w:val="auto"/>
          <w:highlight w:val="none"/>
        </w:rPr>
      </w:pPr>
      <w:r>
        <w:rPr>
          <w:rFonts w:hint="eastAsia"/>
          <w:color w:val="auto"/>
          <w:highlight w:val="none"/>
        </w:rPr>
        <w:t>(2)中标人应在每月2</w:t>
      </w:r>
      <w:r>
        <w:rPr>
          <w:color w:val="auto"/>
          <w:highlight w:val="none"/>
        </w:rPr>
        <w:t>0</w:t>
      </w:r>
      <w:r>
        <w:rPr>
          <w:rFonts w:hint="eastAsia"/>
          <w:color w:val="auto"/>
          <w:highlight w:val="none"/>
        </w:rPr>
        <w:t>日前提交上一个月的交通运行月报，并依据审查意见对成果进行补充、修改和完善。</w:t>
      </w:r>
    </w:p>
    <w:p w14:paraId="76752D9C">
      <w:pPr>
        <w:pStyle w:val="130"/>
        <w:ind w:firstLine="480"/>
        <w:rPr>
          <w:color w:val="auto"/>
          <w:highlight w:val="none"/>
        </w:rPr>
      </w:pPr>
      <w:r>
        <w:rPr>
          <w:rFonts w:hint="eastAsia"/>
          <w:color w:val="auto"/>
          <w:highlight w:val="none"/>
        </w:rPr>
        <w:t>（3）中标人应在每季度</w:t>
      </w:r>
      <w:r>
        <w:rPr>
          <w:color w:val="auto"/>
          <w:highlight w:val="none"/>
        </w:rPr>
        <w:t>3</w:t>
      </w:r>
      <w:r>
        <w:rPr>
          <w:rFonts w:hint="eastAsia"/>
          <w:color w:val="auto"/>
          <w:highlight w:val="none"/>
        </w:rPr>
        <w:t>0日前提供上季度交通运行季度评估报告，并依据审查意见对成果进行补充、修改和完善。</w:t>
      </w:r>
    </w:p>
    <w:p w14:paraId="0863C1E5">
      <w:pPr>
        <w:pStyle w:val="130"/>
        <w:ind w:firstLine="480"/>
        <w:rPr>
          <w:color w:val="auto"/>
          <w:highlight w:val="none"/>
        </w:rPr>
      </w:pPr>
      <w:r>
        <w:rPr>
          <w:rFonts w:hint="eastAsia"/>
          <w:color w:val="auto"/>
          <w:highlight w:val="none"/>
        </w:rPr>
        <w:t>（4）中标人应在合同约定时间内完成年度报告送审稿，并确保通过专家组审查，在专家评审后5个日历天内完成修改，并形成最终报告。</w:t>
      </w:r>
    </w:p>
    <w:p w14:paraId="76122A5B">
      <w:pPr>
        <w:tabs>
          <w:tab w:val="left" w:pos="525"/>
        </w:tabs>
        <w:spacing w:line="360" w:lineRule="auto"/>
        <w:ind w:left="120" w:firstLine="482" w:firstLineChars="200"/>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8</w:t>
      </w:r>
      <w:r>
        <w:rPr>
          <w:rFonts w:cs="Arial" w:asciiTheme="minorEastAsia" w:hAnsiTheme="minorEastAsia" w:eastAsiaTheme="minorEastAsia"/>
          <w:b/>
          <w:color w:val="auto"/>
          <w:sz w:val="24"/>
          <w:highlight w:val="none"/>
        </w:rPr>
        <w:t>、提交的研究成果数额要求</w:t>
      </w:r>
    </w:p>
    <w:p w14:paraId="31EFDFCB">
      <w:pPr>
        <w:tabs>
          <w:tab w:val="left" w:pos="525"/>
        </w:tabs>
        <w:spacing w:line="360" w:lineRule="auto"/>
        <w:ind w:left="120" w:firstLine="482" w:firstLineChars="200"/>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8</w:t>
      </w:r>
      <w:r>
        <w:rPr>
          <w:rFonts w:cs="Arial" w:asciiTheme="minorEastAsia" w:hAnsiTheme="minorEastAsia" w:eastAsiaTheme="minorEastAsia"/>
          <w:b/>
          <w:color w:val="auto"/>
          <w:sz w:val="24"/>
          <w:highlight w:val="none"/>
        </w:rPr>
        <w:t>.1</w:t>
      </w:r>
      <w:r>
        <w:rPr>
          <w:rFonts w:hint="eastAsia" w:cs="Arial" w:asciiTheme="minorEastAsia" w:hAnsiTheme="minorEastAsia" w:eastAsiaTheme="minorEastAsia"/>
          <w:b/>
          <w:color w:val="auto"/>
          <w:sz w:val="24"/>
          <w:highlight w:val="none"/>
        </w:rPr>
        <w:t>、</w:t>
      </w:r>
      <w:r>
        <w:rPr>
          <w:rFonts w:cs="Arial" w:asciiTheme="minorEastAsia" w:hAnsiTheme="minorEastAsia" w:eastAsiaTheme="minorEastAsia"/>
          <w:b/>
          <w:color w:val="auto"/>
          <w:sz w:val="24"/>
          <w:highlight w:val="none"/>
        </w:rPr>
        <w:t>文本</w:t>
      </w:r>
    </w:p>
    <w:p w14:paraId="5A69369A">
      <w:pPr>
        <w:pStyle w:val="130"/>
        <w:ind w:firstLine="480"/>
        <w:rPr>
          <w:color w:val="auto"/>
          <w:highlight w:val="none"/>
        </w:rPr>
      </w:pPr>
      <w:r>
        <w:rPr>
          <w:color w:val="auto"/>
          <w:highlight w:val="none"/>
        </w:rPr>
        <w:t>文本规格：除另有规定外，所有文本都以A4格式提交。</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9"/>
        <w:gridCol w:w="1047"/>
      </w:tblGrid>
      <w:tr w14:paraId="1F07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9" w:type="dxa"/>
            <w:vAlign w:val="center"/>
          </w:tcPr>
          <w:p w14:paraId="11609335">
            <w:pPr>
              <w:pStyle w:val="130"/>
              <w:ind w:firstLine="0" w:firstLineChars="0"/>
              <w:jc w:val="center"/>
              <w:rPr>
                <w:color w:val="auto"/>
                <w:highlight w:val="none"/>
              </w:rPr>
            </w:pPr>
            <w:r>
              <w:rPr>
                <w:color w:val="auto"/>
                <w:highlight w:val="none"/>
              </w:rPr>
              <w:t>文本</w:t>
            </w:r>
          </w:p>
        </w:tc>
        <w:tc>
          <w:tcPr>
            <w:tcW w:w="1047" w:type="dxa"/>
            <w:vAlign w:val="center"/>
          </w:tcPr>
          <w:p w14:paraId="40FC02E3">
            <w:pPr>
              <w:pStyle w:val="130"/>
              <w:ind w:firstLine="0" w:firstLineChars="0"/>
              <w:jc w:val="center"/>
              <w:rPr>
                <w:color w:val="auto"/>
                <w:highlight w:val="none"/>
              </w:rPr>
            </w:pPr>
            <w:r>
              <w:rPr>
                <w:rFonts w:hint="eastAsia"/>
                <w:color w:val="auto"/>
                <w:highlight w:val="none"/>
              </w:rPr>
              <w:t>套</w:t>
            </w:r>
            <w:r>
              <w:rPr>
                <w:color w:val="auto"/>
                <w:highlight w:val="none"/>
              </w:rPr>
              <w:t>数</w:t>
            </w:r>
          </w:p>
        </w:tc>
      </w:tr>
      <w:tr w14:paraId="658E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9" w:type="dxa"/>
            <w:vAlign w:val="center"/>
          </w:tcPr>
          <w:p w14:paraId="0373029B">
            <w:pPr>
              <w:pStyle w:val="130"/>
              <w:ind w:firstLine="0" w:firstLineChars="0"/>
              <w:jc w:val="center"/>
              <w:rPr>
                <w:color w:val="auto"/>
                <w:highlight w:val="none"/>
              </w:rPr>
            </w:pPr>
            <w:r>
              <w:rPr>
                <w:color w:val="auto"/>
                <w:highlight w:val="none"/>
              </w:rPr>
              <w:t>送审稿</w:t>
            </w:r>
          </w:p>
        </w:tc>
        <w:tc>
          <w:tcPr>
            <w:tcW w:w="1047" w:type="dxa"/>
            <w:vAlign w:val="center"/>
          </w:tcPr>
          <w:p w14:paraId="6E379653">
            <w:pPr>
              <w:pStyle w:val="130"/>
              <w:ind w:firstLine="0" w:firstLineChars="0"/>
              <w:jc w:val="center"/>
              <w:rPr>
                <w:color w:val="auto"/>
                <w:highlight w:val="none"/>
              </w:rPr>
            </w:pPr>
            <w:r>
              <w:rPr>
                <w:color w:val="auto"/>
                <w:highlight w:val="none"/>
              </w:rPr>
              <w:t>1</w:t>
            </w:r>
          </w:p>
        </w:tc>
      </w:tr>
      <w:tr w14:paraId="1BC8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9" w:type="dxa"/>
            <w:vAlign w:val="center"/>
          </w:tcPr>
          <w:p w14:paraId="34474E3E">
            <w:pPr>
              <w:pStyle w:val="130"/>
              <w:ind w:firstLine="0" w:firstLineChars="0"/>
              <w:jc w:val="center"/>
              <w:rPr>
                <w:color w:val="auto"/>
                <w:highlight w:val="none"/>
              </w:rPr>
            </w:pPr>
            <w:r>
              <w:rPr>
                <w:color w:val="auto"/>
                <w:highlight w:val="none"/>
              </w:rPr>
              <w:t>最终报告</w:t>
            </w:r>
          </w:p>
        </w:tc>
        <w:tc>
          <w:tcPr>
            <w:tcW w:w="1047" w:type="dxa"/>
            <w:vAlign w:val="center"/>
          </w:tcPr>
          <w:p w14:paraId="2E916B27">
            <w:pPr>
              <w:pStyle w:val="130"/>
              <w:ind w:firstLine="0" w:firstLineChars="0"/>
              <w:jc w:val="center"/>
              <w:rPr>
                <w:color w:val="auto"/>
                <w:highlight w:val="none"/>
              </w:rPr>
            </w:pPr>
            <w:r>
              <w:rPr>
                <w:color w:val="auto"/>
                <w:highlight w:val="none"/>
              </w:rPr>
              <w:t>1</w:t>
            </w:r>
          </w:p>
        </w:tc>
      </w:tr>
      <w:tr w14:paraId="1DE9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7219" w:type="dxa"/>
            <w:vAlign w:val="center"/>
          </w:tcPr>
          <w:p w14:paraId="77F15116">
            <w:pPr>
              <w:pStyle w:val="130"/>
              <w:ind w:firstLine="0" w:firstLineChars="0"/>
              <w:jc w:val="center"/>
              <w:rPr>
                <w:color w:val="auto"/>
                <w:highlight w:val="none"/>
              </w:rPr>
            </w:pPr>
            <w:r>
              <w:rPr>
                <w:rFonts w:hint="eastAsia"/>
                <w:color w:val="auto"/>
                <w:highlight w:val="none"/>
              </w:rPr>
              <w:t>成果文件</w:t>
            </w:r>
          </w:p>
        </w:tc>
        <w:tc>
          <w:tcPr>
            <w:tcW w:w="1047" w:type="dxa"/>
            <w:vAlign w:val="center"/>
          </w:tcPr>
          <w:p w14:paraId="7FC0AE40">
            <w:pPr>
              <w:pStyle w:val="130"/>
              <w:ind w:firstLine="0" w:firstLineChars="0"/>
              <w:jc w:val="center"/>
              <w:rPr>
                <w:color w:val="auto"/>
                <w:highlight w:val="none"/>
              </w:rPr>
            </w:pPr>
            <w:r>
              <w:rPr>
                <w:color w:val="auto"/>
                <w:highlight w:val="none"/>
              </w:rPr>
              <w:t>1</w:t>
            </w:r>
          </w:p>
        </w:tc>
      </w:tr>
    </w:tbl>
    <w:p w14:paraId="2F085B0B">
      <w:pPr>
        <w:tabs>
          <w:tab w:val="left" w:pos="525"/>
        </w:tabs>
        <w:spacing w:line="360" w:lineRule="auto"/>
        <w:ind w:left="120" w:firstLine="482" w:firstLineChars="200"/>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8</w:t>
      </w:r>
      <w:r>
        <w:rPr>
          <w:rFonts w:cs="Arial" w:asciiTheme="minorEastAsia" w:hAnsiTheme="minorEastAsia" w:eastAsiaTheme="minorEastAsia"/>
          <w:b/>
          <w:color w:val="auto"/>
          <w:sz w:val="24"/>
          <w:highlight w:val="none"/>
        </w:rPr>
        <w:t>.2</w:t>
      </w:r>
      <w:r>
        <w:rPr>
          <w:rFonts w:hint="eastAsia" w:cs="Arial" w:asciiTheme="minorEastAsia" w:hAnsiTheme="minorEastAsia" w:eastAsiaTheme="minorEastAsia"/>
          <w:b/>
          <w:color w:val="auto"/>
          <w:sz w:val="24"/>
          <w:highlight w:val="none"/>
        </w:rPr>
        <w:t>、</w:t>
      </w:r>
      <w:r>
        <w:rPr>
          <w:rFonts w:cs="Arial" w:asciiTheme="minorEastAsia" w:hAnsiTheme="minorEastAsia" w:eastAsiaTheme="minorEastAsia"/>
          <w:b/>
          <w:color w:val="auto"/>
          <w:sz w:val="24"/>
          <w:highlight w:val="none"/>
        </w:rPr>
        <w:t>电子文件和多媒体</w:t>
      </w:r>
    </w:p>
    <w:p w14:paraId="6E9975BB">
      <w:pPr>
        <w:pStyle w:val="130"/>
        <w:ind w:firstLine="480"/>
        <w:rPr>
          <w:color w:val="auto"/>
          <w:highlight w:val="none"/>
        </w:rPr>
      </w:pPr>
      <w:r>
        <w:rPr>
          <w:color w:val="auto"/>
          <w:highlight w:val="none"/>
        </w:rPr>
        <w:t>(1)</w:t>
      </w:r>
      <w:r>
        <w:rPr>
          <w:rFonts w:hint="eastAsia"/>
          <w:color w:val="auto"/>
          <w:highlight w:val="none"/>
        </w:rPr>
        <w:t>、</w:t>
      </w:r>
      <w:r>
        <w:rPr>
          <w:color w:val="auto"/>
          <w:highlight w:val="none"/>
        </w:rPr>
        <w:t>全部研究成果相应电子文件的光盘2套；</w:t>
      </w:r>
    </w:p>
    <w:p w14:paraId="104684BE">
      <w:pPr>
        <w:pStyle w:val="130"/>
        <w:ind w:firstLine="480"/>
        <w:rPr>
          <w:color w:val="auto"/>
          <w:highlight w:val="none"/>
        </w:rPr>
      </w:pPr>
      <w:r>
        <w:rPr>
          <w:color w:val="auto"/>
          <w:highlight w:val="none"/>
        </w:rPr>
        <w:t>文字文件：Microsoft Word 2003以上版本版式；</w:t>
      </w:r>
    </w:p>
    <w:p w14:paraId="7C5F1F99">
      <w:pPr>
        <w:snapToGrid w:val="0"/>
        <w:spacing w:line="360" w:lineRule="auto"/>
        <w:ind w:left="120" w:firstLine="482" w:firstLineChars="200"/>
        <w:rPr>
          <w:rFonts w:hint="eastAsia" w:cs="Arial" w:asciiTheme="minorEastAsia" w:hAnsiTheme="minorEastAsia" w:eastAsiaTheme="minorEastAsia"/>
          <w:b/>
          <w:snapToGrid w:val="0"/>
          <w:color w:val="auto"/>
          <w:kern w:val="0"/>
          <w:sz w:val="24"/>
          <w:highlight w:val="none"/>
        </w:rPr>
      </w:pPr>
      <w:r>
        <w:rPr>
          <w:rFonts w:hint="eastAsia" w:cs="Arial" w:asciiTheme="minorEastAsia" w:hAnsiTheme="minorEastAsia" w:eastAsiaTheme="minorEastAsia"/>
          <w:b/>
          <w:snapToGrid w:val="0"/>
          <w:color w:val="auto"/>
          <w:kern w:val="0"/>
          <w:sz w:val="24"/>
          <w:highlight w:val="none"/>
        </w:rPr>
        <w:t>9</w:t>
      </w:r>
      <w:r>
        <w:rPr>
          <w:rFonts w:cs="Arial" w:asciiTheme="minorEastAsia" w:hAnsiTheme="minorEastAsia" w:eastAsiaTheme="minorEastAsia"/>
          <w:b/>
          <w:snapToGrid w:val="0"/>
          <w:color w:val="auto"/>
          <w:kern w:val="0"/>
          <w:sz w:val="24"/>
          <w:highlight w:val="none"/>
        </w:rPr>
        <w:t>、阶段成果审查和成果验收</w:t>
      </w:r>
    </w:p>
    <w:p w14:paraId="684C21B9">
      <w:pPr>
        <w:snapToGrid w:val="0"/>
        <w:spacing w:line="360" w:lineRule="auto"/>
        <w:ind w:left="120" w:firstLine="480" w:firstLineChars="200"/>
        <w:rPr>
          <w:rFonts w:hint="eastAsia" w:asciiTheme="minorEastAsia" w:hAnsiTheme="minorEastAsia" w:eastAsiaTheme="minorEastAsia"/>
          <w:snapToGrid w:val="0"/>
          <w:color w:val="auto"/>
          <w:kern w:val="0"/>
          <w:sz w:val="24"/>
          <w:highlight w:val="none"/>
        </w:rPr>
      </w:pPr>
      <w:r>
        <w:rPr>
          <w:rFonts w:hint="eastAsia" w:asciiTheme="minorEastAsia" w:hAnsiTheme="minorEastAsia" w:eastAsiaTheme="minorEastAsia"/>
          <w:snapToGrid w:val="0"/>
          <w:color w:val="auto"/>
          <w:kern w:val="0"/>
          <w:sz w:val="24"/>
          <w:highlight w:val="none"/>
        </w:rPr>
        <w:t>9</w:t>
      </w:r>
      <w:r>
        <w:rPr>
          <w:rFonts w:asciiTheme="minorEastAsia" w:hAnsiTheme="minorEastAsia" w:eastAsiaTheme="minorEastAsia"/>
          <w:snapToGrid w:val="0"/>
          <w:color w:val="auto"/>
          <w:kern w:val="0"/>
          <w:sz w:val="24"/>
          <w:highlight w:val="none"/>
        </w:rPr>
        <w:t>.1</w:t>
      </w:r>
      <w:r>
        <w:rPr>
          <w:rFonts w:hint="eastAsia" w:asciiTheme="minorEastAsia" w:hAnsiTheme="minorEastAsia" w:eastAsiaTheme="minorEastAsia"/>
          <w:snapToGrid w:val="0"/>
          <w:color w:val="auto"/>
          <w:kern w:val="0"/>
          <w:sz w:val="24"/>
          <w:highlight w:val="none"/>
        </w:rPr>
        <w:t xml:space="preserve">  </w:t>
      </w:r>
      <w:r>
        <w:rPr>
          <w:rFonts w:asciiTheme="minorEastAsia" w:hAnsiTheme="minorEastAsia" w:eastAsiaTheme="minorEastAsia"/>
          <w:snapToGrid w:val="0"/>
          <w:color w:val="auto"/>
          <w:kern w:val="0"/>
          <w:sz w:val="24"/>
          <w:highlight w:val="none"/>
        </w:rPr>
        <w:t>受委托方需根据合同及工作大纲中确定的时间要求，按时向采购人提交阶段成果。采购人将进行审查和提出不同阶段的意见，并对提交的成果进行相应等级和范围的评审和反馈。</w:t>
      </w:r>
    </w:p>
    <w:p w14:paraId="4BB69AD6">
      <w:pPr>
        <w:snapToGrid w:val="0"/>
        <w:spacing w:line="360" w:lineRule="auto"/>
        <w:ind w:left="120" w:firstLine="480" w:firstLineChars="200"/>
        <w:rPr>
          <w:rFonts w:hint="eastAsia" w:asciiTheme="minorEastAsia" w:hAnsiTheme="minorEastAsia" w:eastAsiaTheme="minorEastAsia"/>
          <w:snapToGrid w:val="0"/>
          <w:color w:val="auto"/>
          <w:kern w:val="0"/>
          <w:sz w:val="24"/>
          <w:highlight w:val="none"/>
        </w:rPr>
      </w:pPr>
      <w:r>
        <w:rPr>
          <w:rFonts w:hint="eastAsia" w:asciiTheme="minorEastAsia" w:hAnsiTheme="minorEastAsia" w:eastAsiaTheme="minorEastAsia"/>
          <w:snapToGrid w:val="0"/>
          <w:color w:val="auto"/>
          <w:kern w:val="0"/>
          <w:sz w:val="24"/>
          <w:highlight w:val="none"/>
        </w:rPr>
        <w:t>9</w:t>
      </w:r>
      <w:r>
        <w:rPr>
          <w:rFonts w:asciiTheme="minorEastAsia" w:hAnsiTheme="minorEastAsia" w:eastAsiaTheme="minorEastAsia"/>
          <w:snapToGrid w:val="0"/>
          <w:color w:val="auto"/>
          <w:kern w:val="0"/>
          <w:sz w:val="24"/>
          <w:highlight w:val="none"/>
        </w:rPr>
        <w:t>.2</w:t>
      </w:r>
      <w:r>
        <w:rPr>
          <w:rFonts w:hint="eastAsia" w:asciiTheme="minorEastAsia" w:hAnsiTheme="minorEastAsia" w:eastAsiaTheme="minorEastAsia"/>
          <w:snapToGrid w:val="0"/>
          <w:color w:val="auto"/>
          <w:kern w:val="0"/>
          <w:sz w:val="24"/>
          <w:highlight w:val="none"/>
        </w:rPr>
        <w:t xml:space="preserve">  </w:t>
      </w:r>
      <w:r>
        <w:rPr>
          <w:rFonts w:asciiTheme="minorEastAsia" w:hAnsiTheme="minorEastAsia" w:eastAsiaTheme="minorEastAsia"/>
          <w:snapToGrid w:val="0"/>
          <w:color w:val="auto"/>
          <w:kern w:val="0"/>
          <w:sz w:val="24"/>
          <w:highlight w:val="none"/>
        </w:rPr>
        <w:t>采购人按需要可举行咨询会，在确定的时间之内，将意见反馈给受委托方，以便进行下阶段工作的开展。</w:t>
      </w:r>
    </w:p>
    <w:p w14:paraId="375EDB69">
      <w:pPr>
        <w:snapToGrid w:val="0"/>
        <w:spacing w:line="360" w:lineRule="auto"/>
        <w:ind w:left="120" w:firstLine="480" w:firstLineChars="200"/>
        <w:rPr>
          <w:rFonts w:hint="eastAsia" w:asciiTheme="minorEastAsia" w:hAnsiTheme="minorEastAsia" w:eastAsiaTheme="minorEastAsia"/>
          <w:snapToGrid w:val="0"/>
          <w:color w:val="auto"/>
          <w:kern w:val="0"/>
          <w:sz w:val="24"/>
          <w:highlight w:val="none"/>
        </w:rPr>
      </w:pPr>
      <w:r>
        <w:rPr>
          <w:rFonts w:hint="eastAsia" w:asciiTheme="minorEastAsia" w:hAnsiTheme="minorEastAsia" w:eastAsiaTheme="minorEastAsia"/>
          <w:snapToGrid w:val="0"/>
          <w:color w:val="auto"/>
          <w:kern w:val="0"/>
          <w:sz w:val="24"/>
          <w:highlight w:val="none"/>
        </w:rPr>
        <w:t>9</w:t>
      </w:r>
      <w:r>
        <w:rPr>
          <w:rFonts w:asciiTheme="minorEastAsia" w:hAnsiTheme="minorEastAsia" w:eastAsiaTheme="minorEastAsia"/>
          <w:snapToGrid w:val="0"/>
          <w:color w:val="auto"/>
          <w:kern w:val="0"/>
          <w:sz w:val="24"/>
          <w:highlight w:val="none"/>
        </w:rPr>
        <w:t>.3</w:t>
      </w:r>
      <w:r>
        <w:rPr>
          <w:rFonts w:hint="eastAsia" w:asciiTheme="minorEastAsia" w:hAnsiTheme="minorEastAsia" w:eastAsiaTheme="minorEastAsia"/>
          <w:snapToGrid w:val="0"/>
          <w:color w:val="auto"/>
          <w:kern w:val="0"/>
          <w:sz w:val="24"/>
          <w:highlight w:val="none"/>
        </w:rPr>
        <w:t xml:space="preserve">  </w:t>
      </w:r>
      <w:r>
        <w:rPr>
          <w:rFonts w:asciiTheme="minorEastAsia" w:hAnsiTheme="minorEastAsia" w:eastAsiaTheme="minorEastAsia"/>
          <w:snapToGrid w:val="0"/>
          <w:color w:val="auto"/>
          <w:kern w:val="0"/>
          <w:sz w:val="24"/>
          <w:highlight w:val="none"/>
        </w:rPr>
        <w:t>在提交最终报告后，采购人将举办项目的最终评审及鉴定会，以确认成果的质量并审核合同履行的情况。</w:t>
      </w:r>
    </w:p>
    <w:p w14:paraId="4D14128D">
      <w:pPr>
        <w:snapToGrid w:val="0"/>
        <w:spacing w:line="360" w:lineRule="auto"/>
        <w:ind w:left="120" w:firstLine="482" w:firstLineChars="200"/>
        <w:rPr>
          <w:rFonts w:hint="eastAsia" w:cs="Arial" w:asciiTheme="minorEastAsia" w:hAnsiTheme="minorEastAsia" w:eastAsiaTheme="minorEastAsia"/>
          <w:b/>
          <w:snapToGrid w:val="0"/>
          <w:color w:val="auto"/>
          <w:kern w:val="0"/>
          <w:sz w:val="24"/>
          <w:highlight w:val="none"/>
        </w:rPr>
      </w:pPr>
      <w:r>
        <w:rPr>
          <w:rFonts w:hint="eastAsia" w:cs="Arial" w:asciiTheme="minorEastAsia" w:hAnsiTheme="minorEastAsia" w:eastAsiaTheme="minorEastAsia"/>
          <w:b/>
          <w:snapToGrid w:val="0"/>
          <w:color w:val="auto"/>
          <w:kern w:val="0"/>
          <w:sz w:val="24"/>
          <w:highlight w:val="none"/>
        </w:rPr>
        <w:t>10</w:t>
      </w:r>
      <w:r>
        <w:rPr>
          <w:rFonts w:cs="Arial" w:asciiTheme="minorEastAsia" w:hAnsiTheme="minorEastAsia" w:eastAsiaTheme="minorEastAsia"/>
          <w:b/>
          <w:snapToGrid w:val="0"/>
          <w:color w:val="auto"/>
          <w:kern w:val="0"/>
          <w:sz w:val="24"/>
          <w:highlight w:val="none"/>
        </w:rPr>
        <w:t>、采购人与受委托研究单位</w:t>
      </w:r>
    </w:p>
    <w:p w14:paraId="16188909">
      <w:pPr>
        <w:snapToGrid w:val="0"/>
        <w:spacing w:line="360" w:lineRule="auto"/>
        <w:ind w:left="120" w:firstLine="482" w:firstLineChars="200"/>
        <w:rPr>
          <w:rFonts w:hint="eastAsia" w:cs="Arial" w:asciiTheme="minorEastAsia" w:hAnsiTheme="minorEastAsia" w:eastAsiaTheme="minorEastAsia"/>
          <w:b/>
          <w:snapToGrid w:val="0"/>
          <w:color w:val="auto"/>
          <w:kern w:val="0"/>
          <w:sz w:val="24"/>
          <w:highlight w:val="none"/>
        </w:rPr>
      </w:pPr>
      <w:r>
        <w:rPr>
          <w:rFonts w:hint="eastAsia" w:cs="Arial" w:asciiTheme="minorEastAsia" w:hAnsiTheme="minorEastAsia" w:eastAsiaTheme="minorEastAsia"/>
          <w:b/>
          <w:snapToGrid w:val="0"/>
          <w:color w:val="auto"/>
          <w:kern w:val="0"/>
          <w:sz w:val="24"/>
          <w:highlight w:val="none"/>
        </w:rPr>
        <w:t>10</w:t>
      </w:r>
      <w:r>
        <w:rPr>
          <w:rFonts w:cs="Arial" w:asciiTheme="minorEastAsia" w:hAnsiTheme="minorEastAsia" w:eastAsiaTheme="minorEastAsia"/>
          <w:b/>
          <w:snapToGrid w:val="0"/>
          <w:color w:val="auto"/>
          <w:kern w:val="0"/>
          <w:sz w:val="24"/>
          <w:highlight w:val="none"/>
        </w:rPr>
        <w:t>.1</w:t>
      </w:r>
      <w:r>
        <w:rPr>
          <w:rFonts w:hint="eastAsia" w:cs="Arial" w:asciiTheme="minorEastAsia" w:hAnsiTheme="minorEastAsia" w:eastAsiaTheme="minorEastAsia"/>
          <w:b/>
          <w:snapToGrid w:val="0"/>
          <w:color w:val="auto"/>
          <w:kern w:val="0"/>
          <w:sz w:val="24"/>
          <w:highlight w:val="none"/>
        </w:rPr>
        <w:t xml:space="preserve"> </w:t>
      </w:r>
      <w:r>
        <w:rPr>
          <w:rFonts w:cs="Arial" w:asciiTheme="minorEastAsia" w:hAnsiTheme="minorEastAsia" w:eastAsiaTheme="minorEastAsia"/>
          <w:b/>
          <w:snapToGrid w:val="0"/>
          <w:color w:val="auto"/>
          <w:kern w:val="0"/>
          <w:sz w:val="24"/>
          <w:highlight w:val="none"/>
        </w:rPr>
        <w:t>采购人</w:t>
      </w:r>
    </w:p>
    <w:p w14:paraId="464DE1A1">
      <w:pPr>
        <w:snapToGrid w:val="0"/>
        <w:spacing w:line="360" w:lineRule="auto"/>
        <w:ind w:left="120" w:firstLine="480" w:firstLineChars="200"/>
        <w:rPr>
          <w:rFonts w:hint="eastAsia" w:asciiTheme="minorEastAsia" w:hAnsiTheme="minorEastAsia" w:eastAsiaTheme="minorEastAsia"/>
          <w:snapToGrid w:val="0"/>
          <w:color w:val="auto"/>
          <w:kern w:val="0"/>
          <w:sz w:val="24"/>
          <w:highlight w:val="none"/>
        </w:rPr>
      </w:pPr>
      <w:r>
        <w:rPr>
          <w:rFonts w:asciiTheme="minorEastAsia" w:hAnsiTheme="minorEastAsia" w:eastAsiaTheme="minorEastAsia"/>
          <w:snapToGrid w:val="0"/>
          <w:color w:val="auto"/>
          <w:kern w:val="0"/>
          <w:sz w:val="24"/>
          <w:highlight w:val="none"/>
        </w:rPr>
        <w:t>采购人为杭州市</w:t>
      </w:r>
      <w:r>
        <w:rPr>
          <w:rFonts w:hint="eastAsia" w:asciiTheme="minorEastAsia" w:hAnsiTheme="minorEastAsia" w:eastAsiaTheme="minorEastAsia"/>
          <w:snapToGrid w:val="0"/>
          <w:color w:val="auto"/>
          <w:kern w:val="0"/>
          <w:sz w:val="24"/>
          <w:highlight w:val="none"/>
        </w:rPr>
        <w:t>交通运输局</w:t>
      </w:r>
      <w:r>
        <w:rPr>
          <w:rFonts w:asciiTheme="minorEastAsia" w:hAnsiTheme="minorEastAsia" w:eastAsiaTheme="minorEastAsia"/>
          <w:snapToGrid w:val="0"/>
          <w:color w:val="auto"/>
          <w:kern w:val="0"/>
          <w:sz w:val="24"/>
          <w:highlight w:val="none"/>
        </w:rPr>
        <w:t>，牵头负责：</w:t>
      </w:r>
    </w:p>
    <w:p w14:paraId="34D5C2A4">
      <w:pPr>
        <w:snapToGrid w:val="0"/>
        <w:spacing w:line="360" w:lineRule="auto"/>
        <w:ind w:left="120" w:firstLine="480" w:firstLineChars="200"/>
        <w:rPr>
          <w:rFonts w:hint="eastAsia" w:asciiTheme="minorEastAsia" w:hAnsiTheme="minorEastAsia" w:eastAsiaTheme="minorEastAsia"/>
          <w:snapToGrid w:val="0"/>
          <w:color w:val="auto"/>
          <w:kern w:val="0"/>
          <w:sz w:val="24"/>
          <w:highlight w:val="none"/>
        </w:rPr>
      </w:pPr>
      <w:r>
        <w:rPr>
          <w:rFonts w:asciiTheme="minorEastAsia" w:hAnsiTheme="minorEastAsia" w:eastAsiaTheme="minorEastAsia"/>
          <w:snapToGrid w:val="0"/>
          <w:color w:val="auto"/>
          <w:kern w:val="0"/>
          <w:sz w:val="24"/>
          <w:highlight w:val="none"/>
        </w:rPr>
        <w:t>(1)向受委托研究单位(简称受委托方)提供有关的基础资料。</w:t>
      </w:r>
    </w:p>
    <w:p w14:paraId="0798EFAA">
      <w:pPr>
        <w:snapToGrid w:val="0"/>
        <w:spacing w:line="360" w:lineRule="auto"/>
        <w:ind w:left="120" w:firstLine="480" w:firstLineChars="200"/>
        <w:rPr>
          <w:rFonts w:hint="eastAsia" w:asciiTheme="minorEastAsia" w:hAnsiTheme="minorEastAsia" w:eastAsiaTheme="minorEastAsia"/>
          <w:snapToGrid w:val="0"/>
          <w:color w:val="auto"/>
          <w:kern w:val="0"/>
          <w:sz w:val="24"/>
          <w:highlight w:val="none"/>
        </w:rPr>
      </w:pPr>
      <w:r>
        <w:rPr>
          <w:rFonts w:asciiTheme="minorEastAsia" w:hAnsiTheme="minorEastAsia" w:eastAsiaTheme="minorEastAsia"/>
          <w:snapToGrid w:val="0"/>
          <w:color w:val="auto"/>
          <w:kern w:val="0"/>
          <w:sz w:val="24"/>
          <w:highlight w:val="none"/>
        </w:rPr>
        <w:t>(2)负责综合协调各部门配合受委任方工作；</w:t>
      </w:r>
    </w:p>
    <w:p w14:paraId="112EF752">
      <w:pPr>
        <w:snapToGrid w:val="0"/>
        <w:spacing w:line="360" w:lineRule="auto"/>
        <w:ind w:left="120" w:firstLine="480" w:firstLineChars="200"/>
        <w:rPr>
          <w:rFonts w:hint="eastAsia" w:asciiTheme="minorEastAsia" w:hAnsiTheme="minorEastAsia" w:eastAsiaTheme="minorEastAsia"/>
          <w:snapToGrid w:val="0"/>
          <w:color w:val="auto"/>
          <w:kern w:val="0"/>
          <w:sz w:val="24"/>
          <w:highlight w:val="none"/>
        </w:rPr>
      </w:pPr>
      <w:r>
        <w:rPr>
          <w:rFonts w:asciiTheme="minorEastAsia" w:hAnsiTheme="minorEastAsia" w:eastAsiaTheme="minorEastAsia"/>
          <w:snapToGrid w:val="0"/>
          <w:color w:val="auto"/>
          <w:kern w:val="0"/>
          <w:sz w:val="24"/>
          <w:highlight w:val="none"/>
        </w:rPr>
        <w:t>(3)组织招集与本项目有关的各类座谈会；</w:t>
      </w:r>
    </w:p>
    <w:p w14:paraId="51D2BEDC">
      <w:pPr>
        <w:snapToGrid w:val="0"/>
        <w:spacing w:line="360" w:lineRule="auto"/>
        <w:ind w:left="120" w:firstLine="480" w:firstLineChars="200"/>
        <w:rPr>
          <w:rFonts w:hint="eastAsia" w:asciiTheme="minorEastAsia" w:hAnsiTheme="minorEastAsia" w:eastAsiaTheme="minorEastAsia"/>
          <w:snapToGrid w:val="0"/>
          <w:color w:val="auto"/>
          <w:kern w:val="0"/>
          <w:sz w:val="24"/>
          <w:highlight w:val="none"/>
        </w:rPr>
      </w:pPr>
      <w:r>
        <w:rPr>
          <w:rFonts w:asciiTheme="minorEastAsia" w:hAnsiTheme="minorEastAsia" w:eastAsiaTheme="minorEastAsia"/>
          <w:snapToGrid w:val="0"/>
          <w:color w:val="auto"/>
          <w:kern w:val="0"/>
          <w:sz w:val="24"/>
          <w:highlight w:val="none"/>
        </w:rPr>
        <w:t>(4)根据本技术要求的规定，组织专家对受委托方各个阶段的研究成果进行评审，并将评审结果用书面形式通知后者；</w:t>
      </w:r>
    </w:p>
    <w:p w14:paraId="1CF0CEFF">
      <w:pPr>
        <w:snapToGrid w:val="0"/>
        <w:spacing w:line="360" w:lineRule="auto"/>
        <w:ind w:left="120" w:firstLine="480" w:firstLineChars="200"/>
        <w:rPr>
          <w:rFonts w:hint="eastAsia" w:asciiTheme="minorEastAsia" w:hAnsiTheme="minorEastAsia" w:eastAsiaTheme="minorEastAsia"/>
          <w:snapToGrid w:val="0"/>
          <w:color w:val="auto"/>
          <w:kern w:val="0"/>
          <w:sz w:val="24"/>
          <w:highlight w:val="none"/>
        </w:rPr>
      </w:pPr>
      <w:r>
        <w:rPr>
          <w:rFonts w:asciiTheme="minorEastAsia" w:hAnsiTheme="minorEastAsia" w:eastAsiaTheme="minorEastAsia"/>
          <w:snapToGrid w:val="0"/>
          <w:color w:val="auto"/>
          <w:kern w:val="0"/>
          <w:sz w:val="24"/>
          <w:highlight w:val="none"/>
        </w:rPr>
        <w:t>(5)在项目开展过程中，采购人及其人员有义务对受委托方提供的技术资料保密；</w:t>
      </w:r>
    </w:p>
    <w:p w14:paraId="5D41D4A4">
      <w:pPr>
        <w:snapToGrid w:val="0"/>
        <w:spacing w:line="360" w:lineRule="auto"/>
        <w:ind w:left="120" w:firstLine="480" w:firstLineChars="200"/>
        <w:rPr>
          <w:rFonts w:hint="eastAsia" w:asciiTheme="minorEastAsia" w:hAnsiTheme="minorEastAsia" w:eastAsiaTheme="minorEastAsia"/>
          <w:snapToGrid w:val="0"/>
          <w:color w:val="auto"/>
          <w:kern w:val="0"/>
          <w:sz w:val="24"/>
          <w:highlight w:val="none"/>
        </w:rPr>
      </w:pPr>
      <w:r>
        <w:rPr>
          <w:rFonts w:asciiTheme="minorEastAsia" w:hAnsiTheme="minorEastAsia" w:eastAsiaTheme="minorEastAsia"/>
          <w:snapToGrid w:val="0"/>
          <w:color w:val="auto"/>
          <w:kern w:val="0"/>
          <w:sz w:val="24"/>
          <w:highlight w:val="none"/>
        </w:rPr>
        <w:t>(6)项目进度全程跟踪及质量的把握。</w:t>
      </w:r>
    </w:p>
    <w:p w14:paraId="418786C6">
      <w:pPr>
        <w:snapToGrid w:val="0"/>
        <w:spacing w:line="360" w:lineRule="auto"/>
        <w:ind w:left="120" w:firstLine="482" w:firstLineChars="200"/>
        <w:rPr>
          <w:rFonts w:hint="eastAsia" w:cs="Arial" w:asciiTheme="minorEastAsia" w:hAnsiTheme="minorEastAsia" w:eastAsiaTheme="minorEastAsia"/>
          <w:b/>
          <w:snapToGrid w:val="0"/>
          <w:color w:val="auto"/>
          <w:kern w:val="0"/>
          <w:sz w:val="24"/>
          <w:highlight w:val="none"/>
        </w:rPr>
      </w:pPr>
      <w:r>
        <w:rPr>
          <w:rFonts w:hint="eastAsia" w:cs="Arial" w:asciiTheme="minorEastAsia" w:hAnsiTheme="minorEastAsia" w:eastAsiaTheme="minorEastAsia"/>
          <w:b/>
          <w:snapToGrid w:val="0"/>
          <w:color w:val="auto"/>
          <w:kern w:val="0"/>
          <w:sz w:val="24"/>
          <w:highlight w:val="none"/>
        </w:rPr>
        <w:t>10</w:t>
      </w:r>
      <w:r>
        <w:rPr>
          <w:rFonts w:cs="Arial" w:asciiTheme="minorEastAsia" w:hAnsiTheme="minorEastAsia" w:eastAsiaTheme="minorEastAsia"/>
          <w:b/>
          <w:snapToGrid w:val="0"/>
          <w:color w:val="auto"/>
          <w:kern w:val="0"/>
          <w:sz w:val="24"/>
          <w:highlight w:val="none"/>
        </w:rPr>
        <w:t>.2</w:t>
      </w:r>
      <w:r>
        <w:rPr>
          <w:rFonts w:hint="eastAsia" w:cs="Arial" w:asciiTheme="minorEastAsia" w:hAnsiTheme="minorEastAsia" w:eastAsiaTheme="minorEastAsia"/>
          <w:b/>
          <w:snapToGrid w:val="0"/>
          <w:color w:val="auto"/>
          <w:kern w:val="0"/>
          <w:sz w:val="24"/>
          <w:highlight w:val="none"/>
        </w:rPr>
        <w:t xml:space="preserve">  </w:t>
      </w:r>
      <w:r>
        <w:rPr>
          <w:rFonts w:cs="Arial" w:asciiTheme="minorEastAsia" w:hAnsiTheme="minorEastAsia" w:eastAsiaTheme="minorEastAsia"/>
          <w:b/>
          <w:snapToGrid w:val="0"/>
          <w:color w:val="auto"/>
          <w:kern w:val="0"/>
          <w:sz w:val="24"/>
          <w:highlight w:val="none"/>
        </w:rPr>
        <w:t>项目受委托研究单位</w:t>
      </w:r>
    </w:p>
    <w:p w14:paraId="074A22B0">
      <w:pPr>
        <w:snapToGrid w:val="0"/>
        <w:spacing w:line="360" w:lineRule="auto"/>
        <w:ind w:left="120" w:firstLine="480" w:firstLineChars="200"/>
        <w:rPr>
          <w:rFonts w:hint="eastAsia" w:cs="Arial" w:asciiTheme="minorEastAsia" w:hAnsiTheme="minorEastAsia" w:eastAsiaTheme="minorEastAsia"/>
          <w:snapToGrid w:val="0"/>
          <w:color w:val="auto"/>
          <w:kern w:val="0"/>
          <w:sz w:val="24"/>
          <w:highlight w:val="none"/>
        </w:rPr>
      </w:pPr>
      <w:r>
        <w:rPr>
          <w:rFonts w:cs="Arial" w:asciiTheme="minorEastAsia" w:hAnsiTheme="minorEastAsia" w:eastAsiaTheme="minorEastAsia"/>
          <w:snapToGrid w:val="0"/>
          <w:color w:val="auto"/>
          <w:kern w:val="0"/>
          <w:sz w:val="24"/>
          <w:highlight w:val="none"/>
        </w:rPr>
        <w:t>项目委任研究单位为本次投标的中标单位暨合同受托方(以下简称受委托方)。</w:t>
      </w:r>
    </w:p>
    <w:p w14:paraId="42217BBA">
      <w:pPr>
        <w:snapToGrid w:val="0"/>
        <w:spacing w:line="360" w:lineRule="auto"/>
        <w:ind w:left="120" w:firstLine="482" w:firstLineChars="200"/>
        <w:rPr>
          <w:rFonts w:hint="eastAsia" w:cs="Arial" w:asciiTheme="minorEastAsia" w:hAnsiTheme="minorEastAsia" w:eastAsiaTheme="minorEastAsia"/>
          <w:b/>
          <w:snapToGrid w:val="0"/>
          <w:color w:val="auto"/>
          <w:kern w:val="0"/>
          <w:sz w:val="24"/>
          <w:highlight w:val="none"/>
        </w:rPr>
      </w:pPr>
      <w:r>
        <w:rPr>
          <w:rFonts w:cs="Arial" w:asciiTheme="minorEastAsia" w:hAnsiTheme="minorEastAsia" w:eastAsiaTheme="minorEastAsia"/>
          <w:b/>
          <w:snapToGrid w:val="0"/>
          <w:color w:val="auto"/>
          <w:kern w:val="0"/>
          <w:sz w:val="24"/>
          <w:highlight w:val="none"/>
        </w:rPr>
        <w:t>1</w:t>
      </w:r>
      <w:r>
        <w:rPr>
          <w:rFonts w:hint="eastAsia" w:cs="Arial" w:asciiTheme="minorEastAsia" w:hAnsiTheme="minorEastAsia" w:eastAsiaTheme="minorEastAsia"/>
          <w:b/>
          <w:snapToGrid w:val="0"/>
          <w:color w:val="auto"/>
          <w:kern w:val="0"/>
          <w:sz w:val="24"/>
          <w:highlight w:val="none"/>
        </w:rPr>
        <w:t>0</w:t>
      </w:r>
      <w:r>
        <w:rPr>
          <w:rFonts w:cs="Arial" w:asciiTheme="minorEastAsia" w:hAnsiTheme="minorEastAsia" w:eastAsiaTheme="minorEastAsia"/>
          <w:b/>
          <w:snapToGrid w:val="0"/>
          <w:color w:val="auto"/>
          <w:kern w:val="0"/>
          <w:sz w:val="24"/>
          <w:highlight w:val="none"/>
        </w:rPr>
        <w:t>.2.1</w:t>
      </w:r>
      <w:r>
        <w:rPr>
          <w:rFonts w:hint="eastAsia" w:cs="Arial" w:asciiTheme="minorEastAsia" w:hAnsiTheme="minorEastAsia" w:eastAsiaTheme="minorEastAsia"/>
          <w:b/>
          <w:snapToGrid w:val="0"/>
          <w:color w:val="auto"/>
          <w:kern w:val="0"/>
          <w:sz w:val="24"/>
          <w:highlight w:val="none"/>
        </w:rPr>
        <w:t xml:space="preserve">  </w:t>
      </w:r>
      <w:r>
        <w:rPr>
          <w:rFonts w:cs="Arial" w:asciiTheme="minorEastAsia" w:hAnsiTheme="minorEastAsia" w:eastAsiaTheme="minorEastAsia"/>
          <w:b/>
          <w:snapToGrid w:val="0"/>
          <w:color w:val="auto"/>
          <w:kern w:val="0"/>
          <w:sz w:val="24"/>
          <w:highlight w:val="none"/>
        </w:rPr>
        <w:t>受委托方的人员要求</w:t>
      </w:r>
    </w:p>
    <w:p w14:paraId="1994547B">
      <w:pPr>
        <w:snapToGrid w:val="0"/>
        <w:spacing w:line="360" w:lineRule="auto"/>
        <w:ind w:left="120" w:firstLine="480" w:firstLineChars="200"/>
        <w:rPr>
          <w:rFonts w:hint="eastAsia" w:cs="Arial" w:asciiTheme="minorEastAsia" w:hAnsiTheme="minorEastAsia" w:eastAsiaTheme="minorEastAsia"/>
          <w:snapToGrid w:val="0"/>
          <w:color w:val="auto"/>
          <w:kern w:val="0"/>
          <w:sz w:val="24"/>
          <w:highlight w:val="none"/>
        </w:rPr>
      </w:pPr>
      <w:r>
        <w:rPr>
          <w:rFonts w:hint="eastAsia" w:cs="Arial" w:asciiTheme="minorEastAsia" w:hAnsiTheme="minorEastAsia" w:eastAsiaTheme="minorEastAsia"/>
          <w:snapToGrid w:val="0"/>
          <w:color w:val="auto"/>
          <w:kern w:val="0"/>
          <w:sz w:val="24"/>
          <w:highlight w:val="none"/>
        </w:rPr>
        <w:t>(1)项目负责人及主要技术人员（如有）</w:t>
      </w:r>
    </w:p>
    <w:p w14:paraId="6A79B837">
      <w:pPr>
        <w:snapToGrid w:val="0"/>
        <w:spacing w:line="360" w:lineRule="auto"/>
        <w:ind w:left="120" w:firstLine="480" w:firstLineChars="200"/>
        <w:rPr>
          <w:rFonts w:hint="eastAsia" w:cs="Arial" w:asciiTheme="minorEastAsia" w:hAnsiTheme="minorEastAsia" w:eastAsiaTheme="minorEastAsia"/>
          <w:snapToGrid w:val="0"/>
          <w:color w:val="auto"/>
          <w:kern w:val="0"/>
          <w:sz w:val="24"/>
          <w:highlight w:val="none"/>
        </w:rPr>
      </w:pPr>
      <w:r>
        <w:rPr>
          <w:rFonts w:hint="eastAsia" w:cs="Arial" w:asciiTheme="minorEastAsia" w:hAnsiTheme="minorEastAsia" w:eastAsiaTheme="minorEastAsia"/>
          <w:snapToGrid w:val="0"/>
          <w:color w:val="auto"/>
          <w:kern w:val="0"/>
          <w:sz w:val="24"/>
          <w:highlight w:val="none"/>
        </w:rPr>
        <w:t>拟派项目负责人不得少于1人，具备交通类初级及以上职称。自2021年1月1日以来具有3项及以上交通类评估或治理项目经验。中标后到项目完成最终稿之间，项目负责人</w:t>
      </w:r>
      <w:bookmarkStart w:id="62" w:name="_Hlk187067494"/>
      <w:r>
        <w:rPr>
          <w:rFonts w:hint="eastAsia" w:cs="Arial" w:asciiTheme="minorEastAsia" w:hAnsiTheme="minorEastAsia" w:eastAsiaTheme="minorEastAsia"/>
          <w:snapToGrid w:val="0"/>
          <w:color w:val="auto"/>
          <w:kern w:val="0"/>
          <w:sz w:val="24"/>
          <w:highlight w:val="none"/>
        </w:rPr>
        <w:t>在项目所在地的</w:t>
      </w:r>
      <w:bookmarkEnd w:id="62"/>
      <w:r>
        <w:rPr>
          <w:rFonts w:hint="eastAsia" w:cs="Arial" w:asciiTheme="minorEastAsia" w:hAnsiTheme="minorEastAsia" w:eastAsiaTheme="minorEastAsia"/>
          <w:snapToGrid w:val="0"/>
          <w:color w:val="auto"/>
          <w:kern w:val="0"/>
          <w:sz w:val="24"/>
          <w:highlight w:val="none"/>
        </w:rPr>
        <w:t>工作时间不少于120个日历天。</w:t>
      </w:r>
    </w:p>
    <w:p w14:paraId="5A9D0566">
      <w:pPr>
        <w:snapToGrid w:val="0"/>
        <w:spacing w:line="360" w:lineRule="auto"/>
        <w:ind w:left="120" w:firstLine="480" w:firstLineChars="200"/>
        <w:rPr>
          <w:rFonts w:hint="eastAsia" w:cs="Arial" w:asciiTheme="minorEastAsia" w:hAnsiTheme="minorEastAsia" w:eastAsiaTheme="minorEastAsia"/>
          <w:snapToGrid w:val="0"/>
          <w:color w:val="auto"/>
          <w:kern w:val="0"/>
          <w:sz w:val="24"/>
          <w:highlight w:val="none"/>
        </w:rPr>
      </w:pPr>
      <w:r>
        <w:rPr>
          <w:rFonts w:hint="eastAsia" w:cs="Arial" w:asciiTheme="minorEastAsia" w:hAnsiTheme="minorEastAsia" w:eastAsiaTheme="minorEastAsia"/>
          <w:snapToGrid w:val="0"/>
          <w:color w:val="auto"/>
          <w:kern w:val="0"/>
          <w:sz w:val="24"/>
          <w:highlight w:val="none"/>
        </w:rPr>
        <w:t>主要技术人员不少于7人，需有交通工程、交通运输工程、交通运输规划与管理等相近专业背景，专业齐备，配置合理。项目组其他团队成员中具有</w:t>
      </w:r>
      <w:bookmarkStart w:id="63" w:name="_Hlk187067332"/>
      <w:r>
        <w:rPr>
          <w:rFonts w:hint="eastAsia" w:cs="Arial" w:asciiTheme="minorEastAsia" w:hAnsiTheme="minorEastAsia" w:eastAsiaTheme="minorEastAsia"/>
          <w:snapToGrid w:val="0"/>
          <w:color w:val="auto"/>
          <w:kern w:val="0"/>
          <w:sz w:val="24"/>
          <w:highlight w:val="none"/>
        </w:rPr>
        <w:t>初级</w:t>
      </w:r>
      <w:bookmarkEnd w:id="63"/>
      <w:r>
        <w:rPr>
          <w:rFonts w:hint="eastAsia" w:cs="Arial" w:asciiTheme="minorEastAsia" w:hAnsiTheme="minorEastAsia" w:eastAsiaTheme="minorEastAsia"/>
          <w:snapToGrid w:val="0"/>
          <w:color w:val="auto"/>
          <w:kern w:val="0"/>
          <w:sz w:val="24"/>
          <w:highlight w:val="none"/>
        </w:rPr>
        <w:t>职称及以上人员。项目组其他团队成员中具有咨询工程师（投资）登记证书人员。</w:t>
      </w:r>
      <w:r>
        <w:rPr>
          <w:rFonts w:hint="eastAsia" w:cs="宋体" w:asciiTheme="minorEastAsia" w:hAnsiTheme="minorEastAsia" w:eastAsiaTheme="minorEastAsia"/>
          <w:bCs/>
          <w:color w:val="auto"/>
          <w:sz w:val="24"/>
          <w:highlight w:val="none"/>
        </w:rPr>
        <w:t>项目组其他团队成员在</w:t>
      </w:r>
      <w:r>
        <w:rPr>
          <w:rFonts w:hint="eastAsia" w:cs="Arial" w:asciiTheme="minorEastAsia" w:hAnsiTheme="minorEastAsia" w:eastAsiaTheme="minorEastAsia"/>
          <w:snapToGrid w:val="0"/>
          <w:color w:val="auto"/>
          <w:kern w:val="0"/>
          <w:sz w:val="24"/>
          <w:highlight w:val="none"/>
        </w:rPr>
        <w:t>项目所在地</w:t>
      </w:r>
      <w:r>
        <w:rPr>
          <w:rFonts w:hint="eastAsia" w:cs="宋体" w:asciiTheme="minorEastAsia" w:hAnsiTheme="minorEastAsia" w:eastAsiaTheme="minorEastAsia"/>
          <w:bCs/>
          <w:color w:val="auto"/>
          <w:sz w:val="24"/>
          <w:highlight w:val="none"/>
        </w:rPr>
        <w:t>的工作时间（投入本项目工作时间）不少于120个日历天。</w:t>
      </w:r>
    </w:p>
    <w:p w14:paraId="54E4F7B7">
      <w:pPr>
        <w:snapToGrid w:val="0"/>
        <w:spacing w:line="360" w:lineRule="auto"/>
        <w:ind w:left="120" w:firstLine="480" w:firstLineChars="200"/>
        <w:rPr>
          <w:rFonts w:hint="eastAsia" w:cs="Arial" w:asciiTheme="minorEastAsia" w:hAnsiTheme="minorEastAsia" w:eastAsiaTheme="minorEastAsia"/>
          <w:snapToGrid w:val="0"/>
          <w:color w:val="auto"/>
          <w:kern w:val="0"/>
          <w:sz w:val="24"/>
          <w:highlight w:val="none"/>
        </w:rPr>
      </w:pPr>
      <w:r>
        <w:rPr>
          <w:rFonts w:hint="eastAsia" w:cs="Arial" w:asciiTheme="minorEastAsia" w:hAnsiTheme="minorEastAsia" w:eastAsiaTheme="minorEastAsia"/>
          <w:snapToGrid w:val="0"/>
          <w:color w:val="auto"/>
          <w:kern w:val="0"/>
          <w:sz w:val="24"/>
          <w:highlight w:val="none"/>
        </w:rPr>
        <w:t>中标后到项目完成最终稿之间，日均在项目所在地团队工作人员不得少于7人。</w:t>
      </w:r>
    </w:p>
    <w:p w14:paraId="6F000344">
      <w:pPr>
        <w:snapToGrid w:val="0"/>
        <w:spacing w:line="360" w:lineRule="auto"/>
        <w:ind w:left="120" w:firstLine="480" w:firstLineChars="200"/>
        <w:rPr>
          <w:rFonts w:hint="eastAsia" w:cs="Arial" w:asciiTheme="minorEastAsia" w:hAnsiTheme="minorEastAsia" w:eastAsiaTheme="minorEastAsia"/>
          <w:snapToGrid w:val="0"/>
          <w:color w:val="auto"/>
          <w:kern w:val="0"/>
          <w:sz w:val="24"/>
          <w:highlight w:val="none"/>
        </w:rPr>
      </w:pPr>
      <w:r>
        <w:rPr>
          <w:rFonts w:hint="eastAsia" w:cs="Arial" w:asciiTheme="minorEastAsia" w:hAnsiTheme="minorEastAsia" w:eastAsiaTheme="minorEastAsia"/>
          <w:snapToGrid w:val="0"/>
          <w:color w:val="auto"/>
          <w:kern w:val="0"/>
          <w:sz w:val="24"/>
          <w:highlight w:val="none"/>
        </w:rPr>
        <w:t>(</w:t>
      </w:r>
      <w:r>
        <w:rPr>
          <w:rFonts w:cs="Arial" w:asciiTheme="minorEastAsia" w:hAnsiTheme="minorEastAsia" w:eastAsiaTheme="minorEastAsia"/>
          <w:snapToGrid w:val="0"/>
          <w:color w:val="auto"/>
          <w:kern w:val="0"/>
          <w:sz w:val="24"/>
          <w:highlight w:val="none"/>
        </w:rPr>
        <w:t>2</w:t>
      </w:r>
      <w:r>
        <w:rPr>
          <w:rFonts w:hint="eastAsia" w:cs="Arial" w:asciiTheme="minorEastAsia" w:hAnsiTheme="minorEastAsia" w:eastAsiaTheme="minorEastAsia"/>
          <w:snapToGrid w:val="0"/>
          <w:color w:val="auto"/>
          <w:kern w:val="0"/>
          <w:sz w:val="24"/>
          <w:highlight w:val="none"/>
        </w:rPr>
        <w:t>)其它规定</w:t>
      </w:r>
    </w:p>
    <w:p w14:paraId="6E8A3519">
      <w:pPr>
        <w:snapToGrid w:val="0"/>
        <w:spacing w:line="360" w:lineRule="auto"/>
        <w:ind w:left="120" w:firstLine="480" w:firstLineChars="200"/>
        <w:rPr>
          <w:rFonts w:hint="eastAsia" w:cs="Arial" w:asciiTheme="minorEastAsia" w:hAnsiTheme="minorEastAsia" w:eastAsiaTheme="minorEastAsia"/>
          <w:snapToGrid w:val="0"/>
          <w:color w:val="auto"/>
          <w:kern w:val="0"/>
          <w:sz w:val="24"/>
          <w:highlight w:val="none"/>
        </w:rPr>
      </w:pPr>
      <w:r>
        <w:rPr>
          <w:rFonts w:hint="eastAsia" w:cs="Arial" w:asciiTheme="minorEastAsia" w:hAnsiTheme="minorEastAsia" w:eastAsiaTheme="minorEastAsia"/>
          <w:snapToGrid w:val="0"/>
          <w:color w:val="auto"/>
          <w:kern w:val="0"/>
          <w:sz w:val="24"/>
          <w:highlight w:val="none"/>
        </w:rPr>
        <w:t>采购人保留中途更换受委托方参与本项目的人员的权利。受委托方未经采购人同意，不得擅自更换本项目的工作人员。</w:t>
      </w:r>
    </w:p>
    <w:p w14:paraId="4723E16A">
      <w:pPr>
        <w:snapToGrid w:val="0"/>
        <w:spacing w:line="360" w:lineRule="auto"/>
        <w:ind w:left="120" w:firstLine="482" w:firstLineChars="200"/>
        <w:rPr>
          <w:rFonts w:hint="eastAsia" w:cs="Arial" w:asciiTheme="minorEastAsia" w:hAnsiTheme="minorEastAsia" w:eastAsiaTheme="minorEastAsia"/>
          <w:b/>
          <w:snapToGrid w:val="0"/>
          <w:color w:val="auto"/>
          <w:kern w:val="0"/>
          <w:sz w:val="24"/>
          <w:highlight w:val="none"/>
        </w:rPr>
      </w:pPr>
      <w:r>
        <w:rPr>
          <w:rFonts w:cs="Arial" w:asciiTheme="minorEastAsia" w:hAnsiTheme="minorEastAsia" w:eastAsiaTheme="minorEastAsia"/>
          <w:b/>
          <w:snapToGrid w:val="0"/>
          <w:color w:val="auto"/>
          <w:kern w:val="0"/>
          <w:sz w:val="24"/>
          <w:highlight w:val="none"/>
        </w:rPr>
        <w:t>1</w:t>
      </w:r>
      <w:r>
        <w:rPr>
          <w:rFonts w:hint="eastAsia" w:cs="Arial" w:asciiTheme="minorEastAsia" w:hAnsiTheme="minorEastAsia" w:eastAsiaTheme="minorEastAsia"/>
          <w:b/>
          <w:snapToGrid w:val="0"/>
          <w:color w:val="auto"/>
          <w:kern w:val="0"/>
          <w:sz w:val="24"/>
          <w:highlight w:val="none"/>
        </w:rPr>
        <w:t>0</w:t>
      </w:r>
      <w:r>
        <w:rPr>
          <w:rFonts w:cs="Arial" w:asciiTheme="minorEastAsia" w:hAnsiTheme="minorEastAsia" w:eastAsiaTheme="minorEastAsia"/>
          <w:b/>
          <w:snapToGrid w:val="0"/>
          <w:color w:val="auto"/>
          <w:kern w:val="0"/>
          <w:sz w:val="24"/>
          <w:highlight w:val="none"/>
        </w:rPr>
        <w:t>.2.2</w:t>
      </w:r>
      <w:r>
        <w:rPr>
          <w:rFonts w:hint="eastAsia" w:cs="Arial" w:asciiTheme="minorEastAsia" w:hAnsiTheme="minorEastAsia" w:eastAsiaTheme="minorEastAsia"/>
          <w:b/>
          <w:snapToGrid w:val="0"/>
          <w:color w:val="auto"/>
          <w:kern w:val="0"/>
          <w:sz w:val="24"/>
          <w:highlight w:val="none"/>
        </w:rPr>
        <w:t xml:space="preserve"> </w:t>
      </w:r>
      <w:r>
        <w:rPr>
          <w:rFonts w:cs="Arial" w:asciiTheme="minorEastAsia" w:hAnsiTheme="minorEastAsia" w:eastAsiaTheme="minorEastAsia"/>
          <w:b/>
          <w:snapToGrid w:val="0"/>
          <w:color w:val="auto"/>
          <w:kern w:val="0"/>
          <w:sz w:val="24"/>
          <w:highlight w:val="none"/>
        </w:rPr>
        <w:t>受委托方的责任与义务</w:t>
      </w:r>
    </w:p>
    <w:p w14:paraId="468B778C">
      <w:pPr>
        <w:snapToGrid w:val="0"/>
        <w:spacing w:line="360" w:lineRule="auto"/>
        <w:ind w:left="120" w:firstLine="480" w:firstLineChars="200"/>
        <w:rPr>
          <w:rFonts w:hint="eastAsia" w:asciiTheme="minorEastAsia" w:hAnsiTheme="minorEastAsia" w:eastAsiaTheme="minorEastAsia"/>
          <w:snapToGrid w:val="0"/>
          <w:color w:val="auto"/>
          <w:kern w:val="0"/>
          <w:sz w:val="24"/>
          <w:highlight w:val="none"/>
        </w:rPr>
      </w:pPr>
      <w:r>
        <w:rPr>
          <w:rFonts w:asciiTheme="minorEastAsia" w:hAnsiTheme="minorEastAsia" w:eastAsiaTheme="minorEastAsia"/>
          <w:snapToGrid w:val="0"/>
          <w:color w:val="auto"/>
          <w:kern w:val="0"/>
          <w:sz w:val="24"/>
          <w:highlight w:val="none"/>
        </w:rPr>
        <w:t>(1)依项目合同和相关规定，按时提交各阶段的服务成果(纸质报告、电子文档)，并对这些服务成果负最终和全部责任。</w:t>
      </w:r>
    </w:p>
    <w:p w14:paraId="6F76201B">
      <w:pPr>
        <w:snapToGrid w:val="0"/>
        <w:spacing w:line="360" w:lineRule="auto"/>
        <w:ind w:left="120" w:firstLine="480" w:firstLineChars="200"/>
        <w:rPr>
          <w:rFonts w:hint="eastAsia" w:asciiTheme="minorEastAsia" w:hAnsiTheme="minorEastAsia" w:eastAsiaTheme="minorEastAsia"/>
          <w:snapToGrid w:val="0"/>
          <w:color w:val="auto"/>
          <w:kern w:val="0"/>
          <w:sz w:val="24"/>
          <w:highlight w:val="none"/>
        </w:rPr>
      </w:pPr>
      <w:r>
        <w:rPr>
          <w:rFonts w:asciiTheme="minorEastAsia" w:hAnsiTheme="minorEastAsia" w:eastAsiaTheme="minorEastAsia"/>
          <w:snapToGrid w:val="0"/>
          <w:color w:val="auto"/>
          <w:kern w:val="0"/>
          <w:sz w:val="24"/>
          <w:highlight w:val="none"/>
        </w:rPr>
        <w:t>(2)根据采购人提供的对各阶段成果的书面修改意见，对服务成果作出相应的修改，直至这些服务成果获得采购人的批准。</w:t>
      </w:r>
    </w:p>
    <w:p w14:paraId="21BA9B61">
      <w:pPr>
        <w:snapToGrid w:val="0"/>
        <w:spacing w:line="360" w:lineRule="auto"/>
        <w:ind w:left="120" w:firstLine="480" w:firstLineChars="200"/>
        <w:rPr>
          <w:rFonts w:hint="eastAsia" w:asciiTheme="minorEastAsia" w:hAnsiTheme="minorEastAsia" w:eastAsiaTheme="minorEastAsia"/>
          <w:snapToGrid w:val="0"/>
          <w:color w:val="auto"/>
          <w:kern w:val="0"/>
          <w:sz w:val="24"/>
          <w:highlight w:val="none"/>
        </w:rPr>
      </w:pPr>
      <w:r>
        <w:rPr>
          <w:rFonts w:asciiTheme="minorEastAsia" w:hAnsiTheme="minorEastAsia" w:eastAsiaTheme="minorEastAsia"/>
          <w:snapToGrid w:val="0"/>
          <w:color w:val="auto"/>
          <w:kern w:val="0"/>
          <w:sz w:val="24"/>
          <w:highlight w:val="none"/>
        </w:rPr>
        <w:t>(3)受委托方有义务按照采购人的要求，协助采购人就与本项目有关的各项事宜向政府有关部门进行汇报。</w:t>
      </w:r>
    </w:p>
    <w:p w14:paraId="0EE79D8D">
      <w:pPr>
        <w:snapToGrid w:val="0"/>
        <w:spacing w:line="360" w:lineRule="auto"/>
        <w:ind w:left="120" w:firstLine="480" w:firstLineChars="200"/>
        <w:rPr>
          <w:rFonts w:hint="eastAsia" w:asciiTheme="minorEastAsia" w:hAnsiTheme="minorEastAsia" w:eastAsiaTheme="minorEastAsia"/>
          <w:snapToGrid w:val="0"/>
          <w:color w:val="auto"/>
          <w:kern w:val="0"/>
          <w:sz w:val="24"/>
          <w:highlight w:val="none"/>
        </w:rPr>
      </w:pPr>
      <w:r>
        <w:rPr>
          <w:rFonts w:asciiTheme="minorEastAsia" w:hAnsiTheme="minorEastAsia" w:eastAsiaTheme="minorEastAsia"/>
          <w:snapToGrid w:val="0"/>
          <w:color w:val="auto"/>
          <w:kern w:val="0"/>
          <w:sz w:val="24"/>
          <w:highlight w:val="none"/>
        </w:rPr>
        <w:t>(4)受委托方有义务对采购人提供的所有资料保密，对本项目的进展及其内容保密。受委托方严格依国家保密法执行保密工作。</w:t>
      </w:r>
    </w:p>
    <w:p w14:paraId="6693DE5F">
      <w:pPr>
        <w:snapToGrid w:val="0"/>
        <w:spacing w:line="360" w:lineRule="auto"/>
        <w:ind w:left="120" w:firstLine="480" w:firstLineChars="200"/>
        <w:rPr>
          <w:rFonts w:hint="eastAsia" w:asciiTheme="minorEastAsia" w:hAnsiTheme="minorEastAsia" w:eastAsiaTheme="minorEastAsia"/>
          <w:snapToGrid w:val="0"/>
          <w:color w:val="auto"/>
          <w:kern w:val="0"/>
          <w:sz w:val="24"/>
          <w:highlight w:val="none"/>
        </w:rPr>
      </w:pPr>
      <w:r>
        <w:rPr>
          <w:rFonts w:asciiTheme="minorEastAsia" w:hAnsiTheme="minorEastAsia" w:eastAsiaTheme="minorEastAsia"/>
          <w:snapToGrid w:val="0"/>
          <w:color w:val="auto"/>
          <w:kern w:val="0"/>
          <w:sz w:val="24"/>
          <w:highlight w:val="none"/>
        </w:rPr>
        <w:t>(5)采购人提供的、由受委托方在服务过程中使用的资料以及数字化和纸质地图，不得被用于本项目以外的任何项目，并在项目结束后由受委托方全部归还给采购人，不得保留任何相关副本。受委托方严格遵守并执行国家和国际知识产产权和版权法的有关规定。</w:t>
      </w:r>
    </w:p>
    <w:p w14:paraId="51C6CC89">
      <w:pPr>
        <w:snapToGrid w:val="0"/>
        <w:spacing w:line="360" w:lineRule="auto"/>
        <w:ind w:left="120" w:firstLine="482" w:firstLineChars="200"/>
        <w:rPr>
          <w:rFonts w:hint="eastAsia" w:cs="Arial" w:asciiTheme="minorEastAsia" w:hAnsiTheme="minorEastAsia" w:eastAsiaTheme="minorEastAsia"/>
          <w:b/>
          <w:snapToGrid w:val="0"/>
          <w:color w:val="auto"/>
          <w:kern w:val="0"/>
          <w:sz w:val="24"/>
          <w:highlight w:val="none"/>
        </w:rPr>
      </w:pPr>
      <w:r>
        <w:rPr>
          <w:rFonts w:cs="Arial" w:asciiTheme="minorEastAsia" w:hAnsiTheme="minorEastAsia" w:eastAsiaTheme="minorEastAsia"/>
          <w:b/>
          <w:snapToGrid w:val="0"/>
          <w:color w:val="auto"/>
          <w:kern w:val="0"/>
          <w:sz w:val="24"/>
          <w:highlight w:val="none"/>
        </w:rPr>
        <w:t>1</w:t>
      </w:r>
      <w:r>
        <w:rPr>
          <w:rFonts w:hint="eastAsia" w:cs="Arial" w:asciiTheme="minorEastAsia" w:hAnsiTheme="minorEastAsia" w:eastAsiaTheme="minorEastAsia"/>
          <w:b/>
          <w:snapToGrid w:val="0"/>
          <w:color w:val="auto"/>
          <w:kern w:val="0"/>
          <w:sz w:val="24"/>
          <w:highlight w:val="none"/>
        </w:rPr>
        <w:t>1</w:t>
      </w:r>
      <w:r>
        <w:rPr>
          <w:rFonts w:cs="Arial" w:asciiTheme="minorEastAsia" w:hAnsiTheme="minorEastAsia" w:eastAsiaTheme="minorEastAsia"/>
          <w:b/>
          <w:snapToGrid w:val="0"/>
          <w:color w:val="auto"/>
          <w:kern w:val="0"/>
          <w:sz w:val="24"/>
          <w:highlight w:val="none"/>
        </w:rPr>
        <w:t>、报告版权问题</w:t>
      </w:r>
    </w:p>
    <w:p w14:paraId="52A17E6F">
      <w:pPr>
        <w:snapToGrid w:val="0"/>
        <w:spacing w:line="360" w:lineRule="auto"/>
        <w:ind w:left="120" w:firstLine="480" w:firstLineChars="200"/>
        <w:rPr>
          <w:rFonts w:hint="eastAsia" w:asciiTheme="minorEastAsia" w:hAnsiTheme="minorEastAsia" w:eastAsiaTheme="minorEastAsia"/>
          <w:snapToGrid w:val="0"/>
          <w:color w:val="auto"/>
          <w:kern w:val="0"/>
          <w:sz w:val="24"/>
          <w:highlight w:val="none"/>
        </w:rPr>
      </w:pPr>
      <w:r>
        <w:rPr>
          <w:rFonts w:hint="eastAsia" w:asciiTheme="minorEastAsia" w:hAnsiTheme="minorEastAsia" w:eastAsiaTheme="minorEastAsia"/>
          <w:snapToGrid w:val="0"/>
          <w:color w:val="auto"/>
          <w:kern w:val="0"/>
          <w:sz w:val="24"/>
          <w:highlight w:val="none"/>
        </w:rPr>
        <w:t>本报告最终版权归杭州市交通运输局所有</w:t>
      </w:r>
      <w:r>
        <w:rPr>
          <w:rFonts w:asciiTheme="minorEastAsia" w:hAnsiTheme="minorEastAsia" w:eastAsiaTheme="minorEastAsia"/>
          <w:snapToGrid w:val="0"/>
          <w:color w:val="auto"/>
          <w:kern w:val="0"/>
          <w:sz w:val="24"/>
          <w:highlight w:val="none"/>
        </w:rPr>
        <w:t>。</w:t>
      </w:r>
    </w:p>
    <w:p w14:paraId="187C39ED">
      <w:pPr>
        <w:snapToGrid w:val="0"/>
        <w:spacing w:line="360" w:lineRule="auto"/>
        <w:ind w:left="120" w:firstLine="482" w:firstLineChars="200"/>
        <w:rPr>
          <w:rFonts w:hint="eastAsia" w:cs="Arial" w:asciiTheme="minorEastAsia" w:hAnsiTheme="minorEastAsia" w:eastAsiaTheme="minorEastAsia"/>
          <w:b/>
          <w:snapToGrid w:val="0"/>
          <w:color w:val="auto"/>
          <w:kern w:val="0"/>
          <w:sz w:val="24"/>
          <w:highlight w:val="none"/>
        </w:rPr>
      </w:pPr>
      <w:r>
        <w:rPr>
          <w:rFonts w:hint="eastAsia" w:cs="Arial" w:asciiTheme="minorEastAsia" w:hAnsiTheme="minorEastAsia" w:eastAsiaTheme="minorEastAsia"/>
          <w:b/>
          <w:snapToGrid w:val="0"/>
          <w:color w:val="auto"/>
          <w:kern w:val="0"/>
          <w:sz w:val="24"/>
          <w:highlight w:val="none"/>
        </w:rPr>
        <w:t>12、说明</w:t>
      </w:r>
    </w:p>
    <w:p w14:paraId="70C6E527">
      <w:pPr>
        <w:snapToGrid w:val="0"/>
        <w:spacing w:line="360" w:lineRule="auto"/>
        <w:ind w:left="120" w:firstLine="480" w:firstLineChars="200"/>
        <w:rPr>
          <w:rFonts w:hint="eastAsia" w:asciiTheme="minorEastAsia" w:hAnsiTheme="minorEastAsia" w:eastAsiaTheme="minorEastAsia"/>
          <w:snapToGrid w:val="0"/>
          <w:color w:val="auto"/>
          <w:kern w:val="0"/>
          <w:sz w:val="24"/>
          <w:highlight w:val="none"/>
        </w:rPr>
      </w:pPr>
      <w:r>
        <w:rPr>
          <w:rFonts w:hint="eastAsia" w:asciiTheme="minorEastAsia" w:hAnsiTheme="minorEastAsia" w:eastAsiaTheme="minorEastAsia"/>
          <w:snapToGrid w:val="0"/>
          <w:color w:val="auto"/>
          <w:kern w:val="0"/>
          <w:sz w:val="24"/>
          <w:highlight w:val="none"/>
        </w:rPr>
        <w:t>项目完成以后，中标服务方根据采购单位需要，对研究成果进行讲解、说明等服务。</w:t>
      </w:r>
    </w:p>
    <w:p w14:paraId="195201E1">
      <w:pPr>
        <w:pStyle w:val="4"/>
        <w:tabs>
          <w:tab w:val="left" w:pos="525"/>
        </w:tabs>
        <w:ind w:firstLine="482"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（三）验收</w:t>
      </w:r>
    </w:p>
    <w:p w14:paraId="7A1EE030">
      <w:pPr>
        <w:pStyle w:val="967"/>
        <w:ind w:left="120" w:firstLine="480"/>
        <w:rPr>
          <w:rFonts w:hint="eastAsia" w:ascii="宋体" w:hAnsi="宋体" w:cs="仿宋"/>
          <w:color w:val="auto"/>
          <w:highlight w:val="none"/>
        </w:rPr>
      </w:pPr>
      <w:bookmarkStart w:id="64" w:name="_Toc9028"/>
      <w:r>
        <w:rPr>
          <w:rFonts w:ascii="宋体" w:hAnsi="宋体" w:cs="仿宋"/>
          <w:color w:val="auto"/>
          <w:highlight w:val="none"/>
        </w:rPr>
        <w:t>1</w:t>
      </w:r>
      <w:r>
        <w:rPr>
          <w:rFonts w:hint="eastAsia" w:ascii="宋体" w:hAnsi="宋体" w:cs="仿宋"/>
          <w:color w:val="auto"/>
          <w:highlight w:val="none"/>
        </w:rPr>
        <w:t>、验收组织和程序</w:t>
      </w:r>
      <w:bookmarkEnd w:id="64"/>
    </w:p>
    <w:p w14:paraId="0D8B8E45">
      <w:pPr>
        <w:pStyle w:val="967"/>
        <w:ind w:left="120" w:firstLine="480"/>
        <w:rPr>
          <w:rFonts w:hint="eastAsia"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1）根据《中华人民共和国政府采购法》、《中华人民共和国民法典》、《中华</w:t>
      </w:r>
      <w:r>
        <w:rPr>
          <w:rFonts w:hint="eastAsia" w:ascii="宋体" w:hAnsi="宋体" w:cs="仿宋"/>
          <w:color w:val="auto"/>
          <w:highlight w:val="none"/>
        </w:rPr>
        <w:t>人民共和国政府采购法实施条例》、财政部《财政部关于进一步加强政府采购需求和履约验收管理的指导意见》（财库</w:t>
      </w:r>
      <w:r>
        <w:rPr>
          <w:rFonts w:ascii="宋体" w:hAnsi="宋体" w:cs="仿宋"/>
          <w:color w:val="auto"/>
          <w:highlight w:val="none"/>
        </w:rPr>
        <w:t>[2016]205号）、杭州市财政局《杭州市政府采购履约验收暂行办法》（</w:t>
      </w:r>
      <w:r>
        <w:rPr>
          <w:rFonts w:hint="eastAsia" w:ascii="宋体" w:hAnsi="宋体" w:cs="仿宋"/>
          <w:color w:val="auto"/>
          <w:highlight w:val="none"/>
        </w:rPr>
        <w:t>杭财采监</w:t>
      </w:r>
      <w:r>
        <w:rPr>
          <w:rFonts w:ascii="宋体" w:hAnsi="宋体" w:cs="仿宋"/>
          <w:color w:val="auto"/>
          <w:highlight w:val="none"/>
        </w:rPr>
        <w:t>[2019]10号）等相关法律、法规、规范性文件要求组织验收。</w:t>
      </w:r>
    </w:p>
    <w:p w14:paraId="3DDDB838">
      <w:pPr>
        <w:pStyle w:val="967"/>
        <w:ind w:left="120" w:firstLine="480"/>
        <w:rPr>
          <w:rFonts w:hint="eastAsia"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2）验收方法：验收小组验收。</w:t>
      </w:r>
    </w:p>
    <w:p w14:paraId="7DF11D4C">
      <w:pPr>
        <w:pStyle w:val="967"/>
        <w:ind w:left="120" w:firstLine="480"/>
        <w:rPr>
          <w:rFonts w:hint="eastAsia"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3）验收小组组建方式：</w:t>
      </w:r>
      <w:r>
        <w:rPr>
          <w:rFonts w:hint="eastAsia" w:ascii="宋体" w:hAnsi="宋体" w:cs="仿宋"/>
          <w:color w:val="auto"/>
          <w:highlight w:val="none"/>
        </w:rPr>
        <w:t>项目验收负责人组织</w:t>
      </w:r>
      <w:r>
        <w:rPr>
          <w:rFonts w:ascii="宋体" w:hAnsi="宋体" w:cs="仿宋"/>
          <w:color w:val="auto"/>
          <w:highlight w:val="none"/>
        </w:rPr>
        <w:t>验收小组，验收小组由</w:t>
      </w:r>
      <w:r>
        <w:rPr>
          <w:rFonts w:hint="eastAsia" w:ascii="宋体" w:hAnsi="宋体" w:cs="仿宋"/>
          <w:color w:val="auto"/>
          <w:highlight w:val="none"/>
        </w:rPr>
        <w:t>相关</w:t>
      </w:r>
      <w:r>
        <w:rPr>
          <w:rFonts w:ascii="宋体" w:hAnsi="宋体" w:cs="仿宋"/>
          <w:color w:val="auto"/>
          <w:highlight w:val="none"/>
        </w:rPr>
        <w:t>专家和用户代表</w:t>
      </w:r>
      <w:r>
        <w:rPr>
          <w:rFonts w:hint="eastAsia" w:ascii="宋体" w:hAnsi="宋体" w:cs="仿宋"/>
          <w:color w:val="auto"/>
          <w:highlight w:val="none"/>
        </w:rPr>
        <w:t>按相关规定</w:t>
      </w:r>
      <w:r>
        <w:rPr>
          <w:rFonts w:ascii="宋体" w:hAnsi="宋体" w:cs="仿宋"/>
          <w:color w:val="auto"/>
          <w:highlight w:val="none"/>
        </w:rPr>
        <w:t>组成。验收小组负责实施具体的验收活动。采购人可以邀请其他单位的相关专业人员参加验收小组。验收小组推选一名组长，主持验收小组的工作。</w:t>
      </w:r>
      <w:r>
        <w:rPr>
          <w:rFonts w:hint="eastAsia" w:ascii="宋体" w:hAnsi="宋体" w:cs="仿宋"/>
          <w:color w:val="auto"/>
          <w:highlight w:val="none"/>
        </w:rPr>
        <w:t xml:space="preserve"> </w:t>
      </w:r>
    </w:p>
    <w:p w14:paraId="25FDEE76">
      <w:pPr>
        <w:pStyle w:val="967"/>
        <w:ind w:left="120" w:firstLine="480"/>
        <w:rPr>
          <w:rFonts w:hint="eastAsia" w:ascii="宋体" w:hAnsi="宋体" w:cs="仿宋"/>
          <w:color w:val="auto"/>
          <w:highlight w:val="none"/>
        </w:rPr>
      </w:pPr>
      <w:r>
        <w:rPr>
          <w:rFonts w:hint="eastAsia" w:ascii="宋体" w:hAnsi="宋体" w:cs="仿宋"/>
          <w:color w:val="auto"/>
          <w:highlight w:val="none"/>
        </w:rPr>
        <w:t>（</w:t>
      </w:r>
      <w:r>
        <w:rPr>
          <w:rFonts w:ascii="宋体" w:hAnsi="宋体" w:cs="仿宋"/>
          <w:color w:val="auto"/>
          <w:highlight w:val="none"/>
        </w:rPr>
        <w:t>4）验收流程：</w:t>
      </w:r>
    </w:p>
    <w:p w14:paraId="19B1F677">
      <w:pPr>
        <w:pStyle w:val="967"/>
        <w:ind w:left="120" w:firstLine="480"/>
        <w:rPr>
          <w:rFonts w:hint="eastAsia" w:ascii="宋体" w:hAnsi="宋体" w:cs="仿宋"/>
          <w:color w:val="auto"/>
          <w:highlight w:val="none"/>
        </w:rPr>
      </w:pPr>
      <w:r>
        <w:rPr>
          <w:rFonts w:ascii="宋体" w:hAnsi="宋体" w:cs="仿宋"/>
          <w:color w:val="auto"/>
          <w:highlight w:val="none"/>
        </w:rPr>
        <w:t>1）</w:t>
      </w:r>
      <w:r>
        <w:rPr>
          <w:rFonts w:hint="eastAsia" w:ascii="宋体" w:hAnsi="宋体" w:cs="仿宋"/>
          <w:color w:val="auto"/>
          <w:highlight w:val="none"/>
        </w:rPr>
        <w:t>项目验收负责人</w:t>
      </w:r>
      <w:r>
        <w:rPr>
          <w:rFonts w:ascii="宋体" w:hAnsi="宋体" w:cs="仿宋"/>
          <w:color w:val="auto"/>
          <w:highlight w:val="none"/>
        </w:rPr>
        <w:t>根据验收方案组织验收小组现场验收，并准备验收材料并通知各验收参与方在指定时间指定地点联合验收，包括采购人、供应商、验收小组、其他验收参与方等。</w:t>
      </w:r>
    </w:p>
    <w:p w14:paraId="5B4905A6">
      <w:pPr>
        <w:pStyle w:val="967"/>
        <w:ind w:left="120" w:firstLine="480"/>
        <w:rPr>
          <w:rFonts w:hint="eastAsia" w:ascii="宋体" w:hAnsi="宋体" w:cs="仿宋"/>
          <w:color w:val="auto"/>
          <w:highlight w:val="none"/>
        </w:rPr>
      </w:pPr>
      <w:r>
        <w:rPr>
          <w:rFonts w:ascii="宋体" w:hAnsi="宋体" w:cs="仿宋"/>
          <w:color w:val="auto"/>
          <w:highlight w:val="none"/>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宋体" w:hAnsi="宋体" w:cs="仿宋"/>
          <w:color w:val="auto"/>
          <w:highlight w:val="none"/>
        </w:rPr>
        <w:t>作出实质性修改的，应当报经采购人同意。</w:t>
      </w:r>
    </w:p>
    <w:p w14:paraId="1B6AAA04">
      <w:pPr>
        <w:pStyle w:val="967"/>
        <w:ind w:left="120" w:firstLine="480"/>
        <w:rPr>
          <w:rFonts w:hint="eastAsia" w:ascii="宋体" w:hAnsi="宋体" w:cs="仿宋"/>
          <w:color w:val="auto"/>
          <w:highlight w:val="none"/>
        </w:rPr>
      </w:pPr>
      <w:r>
        <w:rPr>
          <w:rFonts w:ascii="宋体" w:hAnsi="宋体" w:cs="仿宋"/>
          <w:color w:val="auto"/>
          <w:highlight w:val="none"/>
        </w:rPr>
        <w:t>3）供应商配合验收工作，并就验收实施过程中的疑问进行解答和澄清。项目验收过程中，供应商不认可验收意见的，按照合同的约定的方式解决，合同未作约定的，按照《中华人民共和国民法典》等相关规定处理。</w:t>
      </w:r>
    </w:p>
    <w:p w14:paraId="660926D4">
      <w:pPr>
        <w:pStyle w:val="967"/>
        <w:ind w:left="120" w:firstLine="480"/>
        <w:rPr>
          <w:rFonts w:hint="eastAsia" w:ascii="宋体" w:hAnsi="宋体" w:cs="仿宋"/>
          <w:color w:val="auto"/>
          <w:highlight w:val="none"/>
        </w:rPr>
      </w:pPr>
      <w:r>
        <w:rPr>
          <w:rFonts w:ascii="宋体" w:hAnsi="宋体" w:cs="仿宋"/>
          <w:color w:val="auto"/>
          <w:highlight w:val="none"/>
        </w:rPr>
        <w:t>4）出具验收报告。验收结束后，验收小组应当出具验收报告，报告采购人。验收报告应当根据验收方案制作，以书面形式</w:t>
      </w:r>
      <w:r>
        <w:rPr>
          <w:rFonts w:hint="eastAsia" w:ascii="宋体" w:hAnsi="宋体" w:cs="仿宋"/>
          <w:color w:val="auto"/>
          <w:highlight w:val="none"/>
        </w:rPr>
        <w:t>作出结论性意见，并经验收小组全体成员签字。验收小组成员对验收报告载明的结论有异议的，应当在验收报告上签署不同意并说明理由，否则视为同意验收结论。</w:t>
      </w:r>
    </w:p>
    <w:p w14:paraId="082388E2">
      <w:pPr>
        <w:pStyle w:val="967"/>
        <w:ind w:left="120" w:firstLine="480"/>
        <w:rPr>
          <w:rFonts w:hint="eastAsia" w:ascii="宋体" w:hAnsi="宋体" w:cs="仿宋"/>
          <w:color w:val="auto"/>
          <w:highlight w:val="none"/>
        </w:rPr>
      </w:pPr>
      <w:r>
        <w:rPr>
          <w:rFonts w:ascii="宋体" w:hAnsi="宋体" w:cs="仿宋"/>
          <w:color w:val="auto"/>
          <w:highlight w:val="none"/>
        </w:rPr>
        <w:t>5）验收不合格的，采购人应责令供应商采取补救措施，向供应商发出整改通知书，并依法及时处理。整改结束后，由供应商通知采购人或其委托的验收组织机构重新验收。</w:t>
      </w:r>
    </w:p>
    <w:p w14:paraId="5646EEDD">
      <w:pPr>
        <w:pStyle w:val="967"/>
        <w:ind w:left="120" w:firstLine="480"/>
        <w:rPr>
          <w:rFonts w:hint="eastAsia" w:ascii="宋体" w:hAnsi="宋体" w:cs="仿宋"/>
          <w:color w:val="auto"/>
          <w:highlight w:val="none"/>
        </w:rPr>
      </w:pPr>
      <w:bookmarkStart w:id="65" w:name="_Toc8526"/>
      <w:r>
        <w:rPr>
          <w:rFonts w:ascii="宋体" w:hAnsi="宋体" w:cs="仿宋"/>
          <w:color w:val="auto"/>
          <w:highlight w:val="none"/>
        </w:rPr>
        <w:t>2、履约验收内容</w:t>
      </w:r>
      <w:bookmarkEnd w:id="65"/>
    </w:p>
    <w:p w14:paraId="7A4666EE">
      <w:pPr>
        <w:pStyle w:val="967"/>
        <w:ind w:left="120" w:firstLine="480"/>
        <w:rPr>
          <w:rFonts w:hint="eastAsia" w:ascii="宋体" w:hAnsi="宋体" w:cs="仿宋"/>
          <w:color w:val="auto"/>
          <w:highlight w:val="none"/>
        </w:rPr>
      </w:pPr>
      <w:bookmarkStart w:id="66" w:name="_Toc354"/>
      <w:r>
        <w:rPr>
          <w:rFonts w:hint="eastAsia" w:ascii="宋体" w:hAnsi="宋体" w:cs="仿宋"/>
          <w:color w:val="auto"/>
          <w:highlight w:val="none"/>
        </w:rPr>
        <w:t>（1）技术履约内容</w:t>
      </w:r>
    </w:p>
    <w:p w14:paraId="79E79FB5">
      <w:pPr>
        <w:pStyle w:val="967"/>
        <w:ind w:left="120" w:firstLine="480"/>
        <w:rPr>
          <w:rFonts w:hint="eastAsia" w:ascii="宋体" w:hAnsi="宋体" w:cs="仿宋"/>
          <w:color w:val="auto"/>
          <w:highlight w:val="none"/>
        </w:rPr>
      </w:pPr>
      <w:r>
        <w:rPr>
          <w:rFonts w:ascii="宋体" w:hAnsi="宋体" w:cs="仿宋"/>
          <w:color w:val="auto"/>
          <w:highlight w:val="none"/>
        </w:rPr>
        <w:t>1）满足所有采购需求及响应文件承诺；</w:t>
      </w:r>
    </w:p>
    <w:p w14:paraId="45E6EEA5">
      <w:pPr>
        <w:pStyle w:val="967"/>
        <w:ind w:left="120" w:firstLine="480"/>
        <w:rPr>
          <w:rFonts w:hint="eastAsia" w:ascii="宋体" w:hAnsi="宋体" w:cs="仿宋"/>
          <w:color w:val="auto"/>
          <w:highlight w:val="none"/>
        </w:rPr>
      </w:pPr>
      <w:r>
        <w:rPr>
          <w:rFonts w:ascii="宋体" w:hAnsi="宋体" w:cs="仿宋"/>
          <w:color w:val="auto"/>
          <w:highlight w:val="none"/>
        </w:rPr>
        <w:t>2）拟投服务团队人员全部到位，与响应文件人员信息清单一致（经采购人同意更换的除外）；</w:t>
      </w:r>
    </w:p>
    <w:p w14:paraId="475E0E93">
      <w:pPr>
        <w:pStyle w:val="967"/>
        <w:ind w:left="120" w:firstLine="480"/>
        <w:rPr>
          <w:rFonts w:hint="eastAsia" w:ascii="宋体" w:hAnsi="宋体" w:cs="仿宋"/>
          <w:color w:val="auto"/>
          <w:highlight w:val="none"/>
        </w:rPr>
      </w:pPr>
      <w:r>
        <w:rPr>
          <w:rFonts w:hint="eastAsia" w:ascii="宋体" w:hAnsi="宋体" w:cs="仿宋"/>
          <w:color w:val="auto"/>
          <w:highlight w:val="none"/>
        </w:rPr>
        <w:t>（2）商务履约内容</w:t>
      </w:r>
    </w:p>
    <w:p w14:paraId="7E62070C">
      <w:pPr>
        <w:pStyle w:val="967"/>
        <w:ind w:left="120" w:firstLine="480"/>
        <w:rPr>
          <w:rFonts w:hint="eastAsia" w:ascii="宋体" w:hAnsi="宋体" w:cs="仿宋"/>
          <w:color w:val="auto"/>
          <w:highlight w:val="none"/>
        </w:rPr>
      </w:pPr>
      <w:r>
        <w:rPr>
          <w:rFonts w:ascii="宋体" w:hAnsi="宋体" w:cs="仿宋"/>
          <w:color w:val="auto"/>
          <w:highlight w:val="none"/>
        </w:rPr>
        <w:t>1）服务周期满足采购要求。</w:t>
      </w:r>
    </w:p>
    <w:p w14:paraId="11B55BE9">
      <w:pPr>
        <w:pStyle w:val="967"/>
        <w:ind w:left="120" w:firstLine="480"/>
        <w:rPr>
          <w:rFonts w:hint="eastAsia" w:ascii="宋体" w:hAnsi="宋体" w:cs="仿宋"/>
          <w:color w:val="auto"/>
          <w:highlight w:val="none"/>
        </w:rPr>
      </w:pPr>
      <w:r>
        <w:rPr>
          <w:rFonts w:ascii="宋体" w:hAnsi="宋体" w:cs="仿宋"/>
          <w:color w:val="auto"/>
          <w:highlight w:val="none"/>
        </w:rPr>
        <w:t>（3）验收标准</w:t>
      </w:r>
      <w:bookmarkEnd w:id="66"/>
    </w:p>
    <w:p w14:paraId="7593B98E">
      <w:pPr>
        <w:pStyle w:val="967"/>
        <w:ind w:left="120" w:firstLine="480"/>
        <w:rPr>
          <w:rFonts w:hint="eastAsia" w:ascii="宋体" w:hAnsi="宋体" w:cs="仿宋"/>
          <w:color w:val="auto"/>
          <w:highlight w:val="none"/>
        </w:rPr>
      </w:pPr>
      <w:r>
        <w:rPr>
          <w:rFonts w:ascii="宋体" w:hAnsi="宋体" w:cs="仿宋"/>
          <w:color w:val="auto"/>
          <w:highlight w:val="none"/>
        </w:rPr>
        <w:t>1）满足所有采购需求及响应文件承诺；</w:t>
      </w:r>
    </w:p>
    <w:p w14:paraId="3F427A77">
      <w:pPr>
        <w:pStyle w:val="967"/>
        <w:ind w:left="120" w:firstLine="480"/>
        <w:rPr>
          <w:rFonts w:hint="eastAsia" w:ascii="宋体" w:hAnsi="宋体" w:cs="仿宋"/>
          <w:color w:val="auto"/>
          <w:highlight w:val="none"/>
        </w:rPr>
      </w:pPr>
      <w:r>
        <w:rPr>
          <w:rFonts w:ascii="宋体" w:hAnsi="宋体" w:cs="仿宋"/>
          <w:color w:val="auto"/>
          <w:highlight w:val="none"/>
        </w:rPr>
        <w:t>2）拟投服务团队人员全部到位，与响应文件人员信息清单一致（经采购人同意更换的除外）；</w:t>
      </w:r>
    </w:p>
    <w:p w14:paraId="74610710">
      <w:pPr>
        <w:pStyle w:val="967"/>
        <w:ind w:left="120" w:firstLine="480"/>
        <w:rPr>
          <w:rFonts w:hint="eastAsia" w:ascii="宋体" w:hAnsi="宋体" w:cs="仿宋"/>
          <w:color w:val="auto"/>
          <w:highlight w:val="none"/>
        </w:rPr>
      </w:pPr>
      <w:r>
        <w:rPr>
          <w:rFonts w:ascii="宋体" w:hAnsi="宋体" w:cs="仿宋"/>
          <w:color w:val="auto"/>
          <w:highlight w:val="none"/>
        </w:rPr>
        <w:t>3）项目验收资料齐全；</w:t>
      </w:r>
    </w:p>
    <w:p w14:paraId="4958D6DD">
      <w:pPr>
        <w:pStyle w:val="967"/>
        <w:ind w:left="120" w:firstLine="480"/>
        <w:rPr>
          <w:rFonts w:hint="eastAsia" w:ascii="宋体" w:hAnsi="宋体" w:cs="仿宋"/>
          <w:color w:val="auto"/>
          <w:highlight w:val="none"/>
        </w:rPr>
      </w:pPr>
      <w:bookmarkStart w:id="67" w:name="_Toc24191"/>
      <w:bookmarkStart w:id="68" w:name="_Toc100838239"/>
      <w:r>
        <w:rPr>
          <w:rFonts w:ascii="宋体" w:hAnsi="宋体" w:cs="仿宋"/>
          <w:color w:val="auto"/>
          <w:highlight w:val="none"/>
        </w:rPr>
        <w:t>4、履约验收其他事项</w:t>
      </w:r>
      <w:bookmarkEnd w:id="67"/>
      <w:bookmarkEnd w:id="68"/>
    </w:p>
    <w:p w14:paraId="7037C568">
      <w:pPr>
        <w:pStyle w:val="967"/>
        <w:ind w:left="120" w:firstLine="480"/>
        <w:rPr>
          <w:rFonts w:hint="eastAsia" w:ascii="宋体" w:hAnsi="宋体" w:cs="仿宋"/>
          <w:color w:val="auto"/>
          <w:highlight w:val="none"/>
        </w:rPr>
      </w:pPr>
      <w:r>
        <w:rPr>
          <w:rFonts w:ascii="宋体" w:hAnsi="宋体" w:cs="仿宋"/>
          <w:color w:val="auto"/>
          <w:highlight w:val="none"/>
        </w:rPr>
        <w:t>（1）采购人在供应商提供相关服务的过程中，有权不定期对服务内容和质量进行考核。供应商提供相关服务过程中有违反合同约定、不达约定标准情况的，采购人有权要求供应商限期整改，供应商未按采购人要求整改的，采购人有权拒绝验收，供应商应承担相应的违约责任。</w:t>
      </w:r>
    </w:p>
    <w:p w14:paraId="269D20EB">
      <w:pPr>
        <w:pStyle w:val="967"/>
        <w:ind w:left="120" w:firstLine="480"/>
        <w:rPr>
          <w:rFonts w:hint="eastAsia" w:ascii="宋体" w:hAnsi="宋体" w:cs="仿宋"/>
          <w:color w:val="auto"/>
          <w:highlight w:val="none"/>
        </w:rPr>
      </w:pPr>
      <w:r>
        <w:rPr>
          <w:rFonts w:ascii="宋体" w:hAnsi="宋体" w:cs="仿宋"/>
          <w:color w:val="auto"/>
          <w:highlight w:val="none"/>
        </w:rPr>
        <w:t>（2）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p>
    <w:p w14:paraId="75048DD7">
      <w:pPr>
        <w:pStyle w:val="967"/>
        <w:ind w:left="120" w:firstLine="480"/>
        <w:rPr>
          <w:rFonts w:hint="eastAsia" w:ascii="宋体" w:hAnsi="宋体" w:cs="仿宋"/>
          <w:color w:val="auto"/>
          <w:highlight w:val="none"/>
        </w:rPr>
      </w:pPr>
      <w:r>
        <w:rPr>
          <w:rFonts w:ascii="宋体" w:hAnsi="宋体" w:cs="仿宋"/>
          <w:color w:val="auto"/>
          <w:highlight w:val="none"/>
        </w:rPr>
        <w:t>（3）履约验收产生的费用，属于首次验收过程中产生的，由采购人承担；属于首次验收不合格，重新验收过程中产生的，如采购合同有约定按照约定执行，如无约定，由采购人承担。采购人根据合同约定支付相关费用。采购人委托集中采购代理机构组织验收的，相 关费用由采购人直接支付；委托给社会中介代理机构的，相关费用由采购人支付给该代理机构。</w:t>
      </w:r>
    </w:p>
    <w:p w14:paraId="4AC27355">
      <w:pPr>
        <w:tabs>
          <w:tab w:val="left" w:pos="525"/>
        </w:tabs>
        <w:spacing w:line="360" w:lineRule="auto"/>
        <w:ind w:left="120"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（四）服务标准</w:t>
      </w:r>
    </w:p>
    <w:p w14:paraId="20CF5208">
      <w:pPr>
        <w:snapToGrid w:val="0"/>
        <w:spacing w:line="360" w:lineRule="auto"/>
        <w:ind w:left="120" w:firstLine="480" w:firstLineChars="200"/>
        <w:rPr>
          <w:rFonts w:hint="eastAsia" w:ascii="宋体" w:hAnsi="宋体"/>
          <w:snapToGrid w:val="0"/>
          <w:color w:val="auto"/>
          <w:kern w:val="0"/>
          <w:sz w:val="24"/>
          <w:highlight w:val="none"/>
        </w:rPr>
      </w:pPr>
      <w:r>
        <w:rPr>
          <w:rFonts w:hint="eastAsia" w:ascii="宋体" w:hAnsi="宋体" w:cs="宋体"/>
          <w:bCs/>
          <w:color w:val="auto"/>
          <w:sz w:val="24"/>
          <w:highlight w:val="none"/>
        </w:rPr>
        <w:t>项目需执行国家相关标准、行业标准、地方标准或者其他标准、规范。</w:t>
      </w:r>
    </w:p>
    <w:p w14:paraId="4C8AC1B1">
      <w:pPr>
        <w:snapToGrid w:val="0"/>
        <w:spacing w:line="360" w:lineRule="auto"/>
        <w:ind w:left="120" w:firstLine="482" w:firstLineChars="200"/>
        <w:jc w:val="left"/>
        <w:outlineLvl w:val="1"/>
        <w:rPr>
          <w:rFonts w:hint="eastAsia" w:ascii="宋体" w:hAnsi="宋体"/>
          <w:b/>
          <w:color w:val="auto"/>
          <w:sz w:val="24"/>
          <w:highlight w:val="none"/>
        </w:rPr>
      </w:pPr>
      <w:bookmarkStart w:id="69" w:name="_Toc97219781"/>
      <w:r>
        <w:rPr>
          <w:rFonts w:hint="eastAsia" w:ascii="宋体" w:hAnsi="宋体"/>
          <w:b/>
          <w:color w:val="auto"/>
          <w:sz w:val="24"/>
          <w:highlight w:val="none"/>
        </w:rPr>
        <w:t>（五）投标人在投标方案中需提供服务组织方案，服务组织方案需包含：</w:t>
      </w:r>
      <w:bookmarkEnd w:id="69"/>
    </w:p>
    <w:p w14:paraId="02357367">
      <w:pPr>
        <w:pStyle w:val="24"/>
        <w:snapToGrid w:val="0"/>
        <w:ind w:left="120" w:firstLine="480" w:firstLineChars="200"/>
        <w:rPr>
          <w:rFonts w:hint="eastAsia" w:hAnsi="宋体"/>
          <w:color w:val="auto"/>
          <w:kern w:val="0"/>
          <w:szCs w:val="24"/>
          <w:highlight w:val="none"/>
        </w:rPr>
      </w:pPr>
      <w:r>
        <w:rPr>
          <w:rFonts w:hint="eastAsia" w:hAnsi="宋体"/>
          <w:color w:val="auto"/>
          <w:kern w:val="0"/>
          <w:szCs w:val="24"/>
          <w:highlight w:val="none"/>
        </w:rPr>
        <w:t>1、</w:t>
      </w:r>
      <w:r>
        <w:rPr>
          <w:rFonts w:hAnsi="宋体"/>
          <w:color w:val="auto"/>
          <w:kern w:val="0"/>
          <w:szCs w:val="24"/>
          <w:highlight w:val="none"/>
        </w:rPr>
        <w:t>对项目目标、任务</w:t>
      </w:r>
      <w:r>
        <w:rPr>
          <w:rFonts w:hint="eastAsia" w:hAnsi="宋体"/>
          <w:color w:val="auto"/>
          <w:kern w:val="0"/>
          <w:szCs w:val="24"/>
          <w:highlight w:val="none"/>
        </w:rPr>
        <w:t>的</w:t>
      </w:r>
      <w:r>
        <w:rPr>
          <w:rFonts w:hAnsi="宋体"/>
          <w:color w:val="auto"/>
          <w:kern w:val="0"/>
          <w:szCs w:val="24"/>
          <w:highlight w:val="none"/>
        </w:rPr>
        <w:t>理解</w:t>
      </w:r>
      <w:r>
        <w:rPr>
          <w:rFonts w:hint="eastAsia" w:hAnsi="宋体"/>
          <w:color w:val="auto"/>
          <w:kern w:val="0"/>
          <w:szCs w:val="24"/>
          <w:highlight w:val="none"/>
        </w:rPr>
        <w:t>；</w:t>
      </w:r>
    </w:p>
    <w:p w14:paraId="5798F090">
      <w:pPr>
        <w:pStyle w:val="24"/>
        <w:snapToGrid w:val="0"/>
        <w:ind w:left="120" w:firstLine="480" w:firstLineChars="200"/>
        <w:rPr>
          <w:rFonts w:hint="eastAsia" w:hAnsi="宋体"/>
          <w:color w:val="auto"/>
          <w:kern w:val="0"/>
          <w:szCs w:val="24"/>
          <w:highlight w:val="none"/>
        </w:rPr>
      </w:pPr>
      <w:r>
        <w:rPr>
          <w:rFonts w:hAnsi="宋体"/>
          <w:color w:val="auto"/>
          <w:kern w:val="0"/>
          <w:szCs w:val="24"/>
          <w:highlight w:val="none"/>
        </w:rPr>
        <w:t>2</w:t>
      </w:r>
      <w:r>
        <w:rPr>
          <w:rFonts w:hint="eastAsia" w:hAnsi="宋体"/>
          <w:color w:val="auto"/>
          <w:kern w:val="0"/>
          <w:szCs w:val="24"/>
          <w:highlight w:val="none"/>
        </w:rPr>
        <w:t>、</w:t>
      </w:r>
      <w:r>
        <w:rPr>
          <w:rFonts w:hAnsi="宋体"/>
          <w:color w:val="auto"/>
          <w:kern w:val="0"/>
          <w:szCs w:val="24"/>
          <w:highlight w:val="none"/>
        </w:rPr>
        <w:t>研究重点、难点</w:t>
      </w:r>
      <w:r>
        <w:rPr>
          <w:rFonts w:hint="eastAsia" w:hAnsi="宋体"/>
          <w:color w:val="auto"/>
          <w:kern w:val="0"/>
          <w:szCs w:val="24"/>
          <w:highlight w:val="none"/>
        </w:rPr>
        <w:t>；</w:t>
      </w:r>
    </w:p>
    <w:p w14:paraId="21519C5C">
      <w:pPr>
        <w:pStyle w:val="24"/>
        <w:snapToGrid w:val="0"/>
        <w:ind w:left="120" w:firstLine="480" w:firstLineChars="200"/>
        <w:rPr>
          <w:rFonts w:hint="eastAsia" w:hAnsi="宋体"/>
          <w:color w:val="auto"/>
          <w:kern w:val="0"/>
          <w:szCs w:val="24"/>
          <w:highlight w:val="none"/>
        </w:rPr>
      </w:pPr>
      <w:r>
        <w:rPr>
          <w:rFonts w:hAnsi="宋体"/>
          <w:color w:val="auto"/>
          <w:kern w:val="0"/>
          <w:szCs w:val="24"/>
          <w:highlight w:val="none"/>
        </w:rPr>
        <w:t>3</w:t>
      </w:r>
      <w:r>
        <w:rPr>
          <w:rFonts w:hint="eastAsia" w:hAnsi="宋体"/>
          <w:color w:val="auto"/>
          <w:kern w:val="0"/>
          <w:szCs w:val="24"/>
          <w:highlight w:val="none"/>
        </w:rPr>
        <w:t>、</w:t>
      </w:r>
      <w:r>
        <w:rPr>
          <w:rFonts w:hint="eastAsia" w:hAnsi="宋体"/>
          <w:color w:val="auto"/>
          <w:kern w:val="0"/>
          <w:highlight w:val="none"/>
        </w:rPr>
        <w:t>交通运行月报编制大纲</w:t>
      </w:r>
      <w:r>
        <w:rPr>
          <w:rFonts w:hint="eastAsia" w:hAnsi="宋体"/>
          <w:color w:val="auto"/>
          <w:kern w:val="0"/>
          <w:szCs w:val="24"/>
          <w:highlight w:val="none"/>
        </w:rPr>
        <w:t>；</w:t>
      </w:r>
    </w:p>
    <w:p w14:paraId="52E829F2">
      <w:pPr>
        <w:pStyle w:val="24"/>
        <w:snapToGrid w:val="0"/>
        <w:ind w:left="120" w:firstLine="480" w:firstLineChars="200"/>
        <w:rPr>
          <w:rFonts w:hint="eastAsia" w:hAnsi="宋体"/>
          <w:color w:val="auto"/>
          <w:kern w:val="0"/>
          <w:highlight w:val="none"/>
        </w:rPr>
      </w:pPr>
      <w:r>
        <w:rPr>
          <w:rFonts w:hAnsi="宋体"/>
          <w:color w:val="auto"/>
          <w:kern w:val="0"/>
          <w:highlight w:val="none"/>
        </w:rPr>
        <w:t>4</w:t>
      </w:r>
      <w:r>
        <w:rPr>
          <w:rFonts w:hint="eastAsia" w:hAnsi="宋体"/>
          <w:color w:val="auto"/>
          <w:kern w:val="0"/>
          <w:highlight w:val="none"/>
        </w:rPr>
        <w:t>、交通运行季报编制大纲；</w:t>
      </w:r>
      <w:r>
        <w:rPr>
          <w:rFonts w:hAnsi="宋体"/>
          <w:color w:val="auto"/>
          <w:kern w:val="0"/>
          <w:highlight w:val="none"/>
        </w:rPr>
        <w:t xml:space="preserve"> </w:t>
      </w:r>
    </w:p>
    <w:p w14:paraId="2F9E0F6B">
      <w:pPr>
        <w:pStyle w:val="24"/>
        <w:snapToGrid w:val="0"/>
        <w:ind w:left="120" w:firstLine="480" w:firstLineChars="200"/>
        <w:rPr>
          <w:rFonts w:hint="eastAsia" w:hAnsi="宋体"/>
          <w:color w:val="auto"/>
          <w:kern w:val="0"/>
          <w:szCs w:val="24"/>
          <w:highlight w:val="none"/>
        </w:rPr>
      </w:pPr>
      <w:r>
        <w:rPr>
          <w:rFonts w:hAnsi="宋体"/>
          <w:color w:val="auto"/>
          <w:kern w:val="0"/>
          <w:highlight w:val="none"/>
        </w:rPr>
        <w:t>5</w:t>
      </w:r>
      <w:r>
        <w:rPr>
          <w:rFonts w:hint="eastAsia" w:hAnsi="宋体"/>
          <w:color w:val="auto"/>
          <w:kern w:val="0"/>
          <w:highlight w:val="none"/>
        </w:rPr>
        <w:t>、交通运行年报编制大纲；</w:t>
      </w:r>
    </w:p>
    <w:p w14:paraId="5DC241ED">
      <w:pPr>
        <w:pStyle w:val="24"/>
        <w:snapToGrid w:val="0"/>
        <w:ind w:left="120" w:firstLine="480" w:firstLineChars="200"/>
        <w:rPr>
          <w:rFonts w:hint="eastAsia" w:hAnsi="宋体"/>
          <w:color w:val="auto"/>
          <w:kern w:val="0"/>
          <w:szCs w:val="24"/>
          <w:highlight w:val="none"/>
        </w:rPr>
      </w:pPr>
      <w:r>
        <w:rPr>
          <w:rFonts w:hAnsi="宋体"/>
          <w:color w:val="auto"/>
          <w:kern w:val="0"/>
          <w:szCs w:val="24"/>
          <w:highlight w:val="none"/>
        </w:rPr>
        <w:t>6</w:t>
      </w:r>
      <w:r>
        <w:rPr>
          <w:rFonts w:hint="eastAsia" w:hAnsi="宋体"/>
          <w:color w:val="auto"/>
          <w:kern w:val="0"/>
          <w:szCs w:val="24"/>
          <w:highlight w:val="none"/>
        </w:rPr>
        <w:t>、</w:t>
      </w:r>
      <w:r>
        <w:rPr>
          <w:rFonts w:hAnsi="宋体"/>
          <w:color w:val="auto"/>
          <w:kern w:val="0"/>
          <w:szCs w:val="24"/>
          <w:highlight w:val="none"/>
        </w:rPr>
        <w:t>工作计划</w:t>
      </w:r>
      <w:r>
        <w:rPr>
          <w:rFonts w:hint="eastAsia" w:hAnsi="宋体"/>
          <w:color w:val="auto"/>
          <w:kern w:val="0"/>
          <w:szCs w:val="24"/>
          <w:highlight w:val="none"/>
        </w:rPr>
        <w:t>；</w:t>
      </w:r>
    </w:p>
    <w:p w14:paraId="00681AEF">
      <w:pPr>
        <w:pStyle w:val="24"/>
        <w:snapToGrid w:val="0"/>
        <w:ind w:left="120" w:firstLine="480" w:firstLineChars="200"/>
        <w:rPr>
          <w:rFonts w:hint="eastAsia" w:hAnsi="宋体"/>
          <w:color w:val="auto"/>
          <w:kern w:val="0"/>
          <w:szCs w:val="24"/>
          <w:highlight w:val="none"/>
        </w:rPr>
      </w:pPr>
      <w:r>
        <w:rPr>
          <w:rFonts w:hAnsi="宋体"/>
          <w:color w:val="auto"/>
          <w:kern w:val="0"/>
          <w:szCs w:val="24"/>
          <w:highlight w:val="none"/>
        </w:rPr>
        <w:t>7</w:t>
      </w:r>
      <w:r>
        <w:rPr>
          <w:rFonts w:hint="eastAsia" w:hAnsi="宋体"/>
          <w:color w:val="auto"/>
          <w:kern w:val="0"/>
          <w:szCs w:val="24"/>
          <w:highlight w:val="none"/>
        </w:rPr>
        <w:t>、</w:t>
      </w:r>
      <w:r>
        <w:rPr>
          <w:rFonts w:hAnsi="宋体"/>
          <w:color w:val="auto"/>
          <w:kern w:val="0"/>
          <w:szCs w:val="24"/>
          <w:highlight w:val="none"/>
        </w:rPr>
        <w:t>其它有助提高项目的</w:t>
      </w:r>
      <w:r>
        <w:rPr>
          <w:rFonts w:hint="eastAsia" w:hAnsi="宋体"/>
          <w:color w:val="auto"/>
          <w:kern w:val="0"/>
          <w:szCs w:val="24"/>
          <w:highlight w:val="none"/>
        </w:rPr>
        <w:t>建议；</w:t>
      </w:r>
    </w:p>
    <w:p w14:paraId="34DE03A3">
      <w:pPr>
        <w:pStyle w:val="24"/>
        <w:snapToGrid w:val="0"/>
        <w:ind w:left="120" w:firstLine="480" w:firstLineChars="200"/>
        <w:rPr>
          <w:rFonts w:hint="eastAsia" w:hAnsi="宋体"/>
          <w:color w:val="auto"/>
          <w:szCs w:val="24"/>
          <w:highlight w:val="none"/>
          <w:lang w:val="en-US"/>
        </w:rPr>
      </w:pPr>
      <w:r>
        <w:rPr>
          <w:rFonts w:hAnsi="宋体"/>
          <w:color w:val="auto"/>
          <w:kern w:val="0"/>
          <w:szCs w:val="24"/>
          <w:highlight w:val="none"/>
        </w:rPr>
        <w:t>8</w:t>
      </w:r>
      <w:r>
        <w:rPr>
          <w:rFonts w:hint="eastAsia" w:hAnsi="宋体"/>
          <w:color w:val="auto"/>
          <w:kern w:val="0"/>
          <w:szCs w:val="24"/>
          <w:highlight w:val="none"/>
        </w:rPr>
        <w:t>、</w:t>
      </w:r>
      <w:r>
        <w:rPr>
          <w:rFonts w:hAnsi="宋体"/>
          <w:color w:val="auto"/>
          <w:kern w:val="0"/>
          <w:szCs w:val="24"/>
          <w:highlight w:val="none"/>
        </w:rPr>
        <w:t>质量保证</w:t>
      </w:r>
      <w:r>
        <w:rPr>
          <w:rFonts w:hint="eastAsia" w:hAnsi="宋体"/>
          <w:color w:val="auto"/>
          <w:kern w:val="0"/>
          <w:szCs w:val="24"/>
          <w:highlight w:val="none"/>
        </w:rPr>
        <w:t>及后续。</w:t>
      </w:r>
    </w:p>
    <w:p w14:paraId="443E62A0">
      <w:pPr>
        <w:pStyle w:val="4"/>
        <w:rPr>
          <w:rFonts w:hint="eastAsia"/>
          <w:color w:val="auto"/>
          <w:highlight w:val="none"/>
        </w:rPr>
      </w:pPr>
    </w:p>
    <w:p w14:paraId="285A7742">
      <w:pPr>
        <w:spacing w:line="360" w:lineRule="auto"/>
        <w:ind w:left="120" w:firstLine="22"/>
        <w:rPr>
          <w:color w:val="auto"/>
          <w:highlight w:val="none"/>
        </w:rPr>
      </w:pPr>
    </w:p>
    <w:p w14:paraId="319DDE5E">
      <w:pPr>
        <w:pStyle w:val="4"/>
        <w:rPr>
          <w:rFonts w:hint="eastAsia"/>
          <w:color w:val="auto"/>
          <w:highlight w:val="none"/>
        </w:rPr>
      </w:pPr>
    </w:p>
    <w:p w14:paraId="10688941">
      <w:pPr>
        <w:spacing w:line="360" w:lineRule="auto"/>
        <w:ind w:left="120" w:firstLine="22"/>
        <w:rPr>
          <w:color w:val="auto"/>
          <w:highlight w:val="none"/>
        </w:rPr>
      </w:pPr>
    </w:p>
    <w:p w14:paraId="15663292">
      <w:pPr>
        <w:pStyle w:val="4"/>
        <w:rPr>
          <w:rFonts w:hint="eastAsia"/>
          <w:color w:val="auto"/>
          <w:highlight w:val="none"/>
        </w:rPr>
      </w:pPr>
    </w:p>
    <w:p w14:paraId="0CAEC81C">
      <w:pPr>
        <w:spacing w:line="360" w:lineRule="auto"/>
        <w:ind w:left="120" w:firstLine="22"/>
        <w:rPr>
          <w:color w:val="auto"/>
          <w:highlight w:val="none"/>
        </w:rPr>
      </w:pPr>
    </w:p>
    <w:p w14:paraId="283F8F13">
      <w:pPr>
        <w:pStyle w:val="4"/>
        <w:rPr>
          <w:rFonts w:hint="eastAsia"/>
          <w:color w:val="auto"/>
          <w:highlight w:val="none"/>
        </w:rPr>
      </w:pPr>
    </w:p>
    <w:p w14:paraId="29608885">
      <w:pPr>
        <w:spacing w:line="360" w:lineRule="auto"/>
        <w:ind w:left="120" w:firstLine="22"/>
        <w:rPr>
          <w:color w:val="auto"/>
          <w:highlight w:val="none"/>
        </w:rPr>
      </w:pPr>
    </w:p>
    <w:p w14:paraId="77622E21">
      <w:pPr>
        <w:pStyle w:val="4"/>
        <w:rPr>
          <w:rFonts w:hint="eastAsia"/>
          <w:color w:val="auto"/>
          <w:highlight w:val="none"/>
        </w:rPr>
      </w:pPr>
    </w:p>
    <w:p w14:paraId="0C90A3B3">
      <w:pPr>
        <w:spacing w:line="360" w:lineRule="auto"/>
        <w:ind w:left="120" w:firstLine="22"/>
        <w:rPr>
          <w:color w:val="auto"/>
          <w:highlight w:val="none"/>
        </w:rPr>
      </w:pPr>
    </w:p>
    <w:p w14:paraId="23E4B94F">
      <w:pPr>
        <w:pStyle w:val="4"/>
        <w:rPr>
          <w:rFonts w:hint="eastAsia"/>
          <w:color w:val="auto"/>
          <w:highlight w:val="none"/>
        </w:rPr>
      </w:pPr>
    </w:p>
    <w:p w14:paraId="18A5D6C8">
      <w:pPr>
        <w:spacing w:line="360" w:lineRule="auto"/>
        <w:ind w:left="120" w:firstLine="22"/>
        <w:rPr>
          <w:color w:val="auto"/>
          <w:highlight w:val="none"/>
        </w:rPr>
      </w:pPr>
    </w:p>
    <w:p w14:paraId="2D2D6A49">
      <w:pPr>
        <w:pStyle w:val="4"/>
        <w:rPr>
          <w:rFonts w:hint="eastAsia"/>
          <w:color w:val="auto"/>
          <w:highlight w:val="none"/>
        </w:rPr>
      </w:pPr>
    </w:p>
    <w:p w14:paraId="42532BC4">
      <w:pPr>
        <w:pStyle w:val="4"/>
        <w:rPr>
          <w:rFonts w:hint="eastAsia"/>
          <w:color w:val="auto"/>
          <w:highlight w:val="none"/>
        </w:rPr>
      </w:pPr>
    </w:p>
    <w:p w14:paraId="0BC2CF5B">
      <w:pPr>
        <w:spacing w:line="360" w:lineRule="auto"/>
        <w:ind w:left="120" w:firstLine="22"/>
        <w:rPr>
          <w:color w:val="auto"/>
          <w:highlight w:val="none"/>
        </w:rPr>
      </w:pPr>
    </w:p>
    <w:p w14:paraId="4B997EAB">
      <w:pPr>
        <w:pStyle w:val="4"/>
        <w:rPr>
          <w:rFonts w:hint="eastAsia"/>
          <w:color w:val="auto"/>
          <w:highlight w:val="none"/>
        </w:rPr>
      </w:pPr>
    </w:p>
    <w:p w14:paraId="5A9D5131">
      <w:pPr>
        <w:spacing w:line="360" w:lineRule="auto"/>
        <w:ind w:left="120" w:firstLine="22"/>
        <w:rPr>
          <w:color w:val="auto"/>
          <w:highlight w:val="none"/>
        </w:rPr>
      </w:pPr>
    </w:p>
    <w:p w14:paraId="6040B44B">
      <w:pPr>
        <w:spacing w:line="360" w:lineRule="auto"/>
        <w:ind w:left="120" w:firstLine="22"/>
        <w:jc w:val="left"/>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2D5185E0">
      <w:pPr>
        <w:spacing w:line="360" w:lineRule="auto"/>
        <w:ind w:left="120" w:firstLine="22"/>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70" w:name="_Toc184313299"/>
      <w:bookmarkEnd w:id="70"/>
      <w:bookmarkStart w:id="71" w:name="_Toc184308040"/>
      <w:bookmarkEnd w:id="71"/>
      <w:bookmarkStart w:id="72" w:name="_Toc184310308"/>
      <w:bookmarkEnd w:id="72"/>
      <w:bookmarkStart w:id="73" w:name="_Toc184314449"/>
      <w:bookmarkEnd w:id="73"/>
      <w:bookmarkStart w:id="74" w:name="_Toc184312116"/>
      <w:bookmarkEnd w:id="74"/>
      <w:bookmarkStart w:id="75" w:name="_Toc184312079"/>
      <w:bookmarkEnd w:id="75"/>
      <w:bookmarkStart w:id="76" w:name="_Toc184312087"/>
      <w:bookmarkEnd w:id="76"/>
      <w:bookmarkStart w:id="77" w:name="_Toc184314437"/>
      <w:bookmarkEnd w:id="77"/>
      <w:bookmarkStart w:id="78" w:name="_Toc184308108"/>
      <w:bookmarkEnd w:id="78"/>
      <w:bookmarkStart w:id="79" w:name="_Toc184312133"/>
      <w:bookmarkEnd w:id="79"/>
      <w:bookmarkStart w:id="80" w:name="_Toc184314421"/>
      <w:bookmarkEnd w:id="80"/>
      <w:bookmarkStart w:id="81" w:name="_Toc184308063"/>
      <w:bookmarkEnd w:id="81"/>
      <w:bookmarkStart w:id="82" w:name="_Toc184314471"/>
      <w:bookmarkEnd w:id="82"/>
      <w:bookmarkStart w:id="83" w:name="_Toc184314468"/>
      <w:bookmarkEnd w:id="83"/>
      <w:bookmarkStart w:id="84" w:name="_Toc184313281"/>
      <w:bookmarkEnd w:id="84"/>
      <w:bookmarkStart w:id="85" w:name="_Toc184313254"/>
      <w:bookmarkEnd w:id="85"/>
      <w:bookmarkStart w:id="86" w:name="_Toc184310318"/>
      <w:bookmarkEnd w:id="86"/>
      <w:bookmarkStart w:id="87" w:name="_Toc184312109"/>
      <w:bookmarkEnd w:id="87"/>
      <w:bookmarkStart w:id="88" w:name="_Toc184314431"/>
      <w:bookmarkEnd w:id="88"/>
      <w:bookmarkStart w:id="89" w:name="_Toc184310335"/>
      <w:bookmarkEnd w:id="89"/>
      <w:bookmarkStart w:id="90" w:name="_Toc184308082"/>
      <w:bookmarkEnd w:id="90"/>
      <w:bookmarkStart w:id="91" w:name="_Toc184308091"/>
      <w:bookmarkEnd w:id="91"/>
      <w:bookmarkStart w:id="92" w:name="_Toc184312125"/>
      <w:bookmarkEnd w:id="92"/>
      <w:bookmarkStart w:id="93" w:name="_Toc184314426"/>
      <w:bookmarkEnd w:id="93"/>
      <w:bookmarkStart w:id="94" w:name="_Toc184314425"/>
      <w:bookmarkEnd w:id="94"/>
      <w:bookmarkStart w:id="95" w:name="_Toc184308081"/>
      <w:bookmarkEnd w:id="95"/>
      <w:bookmarkStart w:id="96" w:name="_Toc184313270"/>
      <w:bookmarkEnd w:id="96"/>
      <w:bookmarkStart w:id="97" w:name="_Toc184314412"/>
      <w:bookmarkEnd w:id="97"/>
      <w:bookmarkStart w:id="98" w:name="_Toc184308054"/>
      <w:bookmarkEnd w:id="98"/>
      <w:bookmarkStart w:id="99" w:name="_Toc184313283"/>
      <w:bookmarkEnd w:id="99"/>
      <w:bookmarkStart w:id="100" w:name="_Toc184314478"/>
      <w:bookmarkEnd w:id="100"/>
      <w:bookmarkStart w:id="101" w:name="_Toc184314440"/>
      <w:bookmarkEnd w:id="101"/>
      <w:bookmarkStart w:id="102" w:name="_Toc184310321"/>
      <w:bookmarkEnd w:id="102"/>
      <w:bookmarkStart w:id="103" w:name="_Toc184308085"/>
      <w:bookmarkEnd w:id="103"/>
      <w:bookmarkStart w:id="104" w:name="_Toc184310278"/>
      <w:bookmarkEnd w:id="104"/>
      <w:bookmarkStart w:id="105" w:name="_Toc184314461"/>
      <w:bookmarkEnd w:id="105"/>
      <w:bookmarkStart w:id="106" w:name="_Toc184313247"/>
      <w:bookmarkEnd w:id="106"/>
      <w:bookmarkStart w:id="107" w:name="_Toc184310297"/>
      <w:bookmarkEnd w:id="107"/>
      <w:bookmarkStart w:id="108" w:name="_Toc184308047"/>
      <w:bookmarkEnd w:id="108"/>
      <w:bookmarkStart w:id="109" w:name="_Toc184308107"/>
      <w:bookmarkEnd w:id="109"/>
      <w:bookmarkStart w:id="110" w:name="_Toc184308090"/>
      <w:bookmarkEnd w:id="110"/>
      <w:bookmarkStart w:id="111" w:name="_Toc184310276"/>
      <w:bookmarkEnd w:id="111"/>
      <w:bookmarkStart w:id="112" w:name="_Toc184312069"/>
      <w:bookmarkEnd w:id="112"/>
      <w:bookmarkStart w:id="113" w:name="_Toc184308072"/>
      <w:bookmarkEnd w:id="113"/>
      <w:bookmarkStart w:id="114" w:name="_Toc184314458"/>
      <w:bookmarkEnd w:id="114"/>
      <w:bookmarkStart w:id="115" w:name="_Toc184313273"/>
      <w:bookmarkEnd w:id="115"/>
      <w:bookmarkStart w:id="116" w:name="_Toc184313293"/>
      <w:bookmarkEnd w:id="116"/>
      <w:bookmarkStart w:id="117" w:name="_Toc184308050"/>
      <w:bookmarkEnd w:id="117"/>
      <w:bookmarkStart w:id="118" w:name="_Toc184313295"/>
      <w:bookmarkEnd w:id="118"/>
      <w:bookmarkStart w:id="119" w:name="_Toc184310328"/>
      <w:bookmarkEnd w:id="119"/>
      <w:bookmarkStart w:id="120" w:name="_Toc184310312"/>
      <w:bookmarkEnd w:id="120"/>
      <w:bookmarkStart w:id="121" w:name="_Toc184308042"/>
      <w:bookmarkEnd w:id="121"/>
      <w:bookmarkStart w:id="122" w:name="_Toc184310315"/>
      <w:bookmarkEnd w:id="122"/>
      <w:bookmarkStart w:id="123" w:name="_Toc184313302"/>
      <w:bookmarkEnd w:id="123"/>
      <w:bookmarkStart w:id="124" w:name="_Toc184314430"/>
      <w:bookmarkEnd w:id="124"/>
      <w:bookmarkStart w:id="125" w:name="_Toc184312127"/>
      <w:bookmarkEnd w:id="125"/>
      <w:bookmarkStart w:id="126" w:name="_Toc184312110"/>
      <w:bookmarkEnd w:id="126"/>
      <w:bookmarkStart w:id="127" w:name="_Toc184308045"/>
      <w:bookmarkEnd w:id="127"/>
      <w:bookmarkStart w:id="128" w:name="_Toc184310295"/>
      <w:bookmarkEnd w:id="128"/>
      <w:bookmarkStart w:id="129" w:name="_Toc184312136"/>
      <w:bookmarkEnd w:id="129"/>
      <w:bookmarkStart w:id="130" w:name="_Toc184313303"/>
      <w:bookmarkEnd w:id="130"/>
      <w:bookmarkStart w:id="131" w:name="_Toc184314465"/>
      <w:bookmarkEnd w:id="131"/>
      <w:bookmarkStart w:id="132" w:name="_Toc184313306"/>
      <w:bookmarkEnd w:id="132"/>
      <w:bookmarkStart w:id="133" w:name="_Toc184312096"/>
      <w:bookmarkEnd w:id="133"/>
      <w:bookmarkStart w:id="134" w:name="_Toc184310294"/>
      <w:bookmarkEnd w:id="134"/>
      <w:bookmarkStart w:id="135" w:name="_Toc184312117"/>
      <w:bookmarkEnd w:id="135"/>
      <w:bookmarkStart w:id="136" w:name="_Toc184308041"/>
      <w:bookmarkEnd w:id="136"/>
      <w:bookmarkStart w:id="137" w:name="_Toc184308096"/>
      <w:bookmarkEnd w:id="137"/>
      <w:bookmarkStart w:id="138" w:name="_Toc184310324"/>
      <w:bookmarkEnd w:id="138"/>
      <w:bookmarkStart w:id="139" w:name="_Toc184313296"/>
      <w:bookmarkEnd w:id="139"/>
      <w:bookmarkStart w:id="140" w:name="_Toc184308074"/>
      <w:bookmarkEnd w:id="140"/>
      <w:bookmarkStart w:id="141" w:name="_Toc184313287"/>
      <w:bookmarkEnd w:id="141"/>
      <w:bookmarkStart w:id="142" w:name="_Toc184314423"/>
      <w:bookmarkEnd w:id="142"/>
      <w:bookmarkStart w:id="143" w:name="_Toc184312122"/>
      <w:bookmarkEnd w:id="143"/>
      <w:bookmarkStart w:id="144" w:name="_Toc184308049"/>
      <w:bookmarkEnd w:id="144"/>
      <w:bookmarkStart w:id="145" w:name="_Toc184312100"/>
      <w:bookmarkEnd w:id="145"/>
      <w:bookmarkStart w:id="146" w:name="_Toc184312068"/>
      <w:bookmarkEnd w:id="146"/>
      <w:bookmarkStart w:id="147" w:name="_Toc184312082"/>
      <w:bookmarkEnd w:id="147"/>
      <w:bookmarkStart w:id="148" w:name="_Toc184310303"/>
      <w:bookmarkEnd w:id="148"/>
      <w:bookmarkStart w:id="149" w:name="_Toc184312090"/>
      <w:bookmarkEnd w:id="149"/>
      <w:bookmarkStart w:id="150" w:name="_Toc184313261"/>
      <w:bookmarkEnd w:id="150"/>
      <w:bookmarkStart w:id="151" w:name="_Toc184312094"/>
      <w:bookmarkEnd w:id="151"/>
      <w:bookmarkStart w:id="152" w:name="_Toc184314470"/>
      <w:bookmarkEnd w:id="152"/>
      <w:bookmarkStart w:id="153" w:name="_Toc184312099"/>
      <w:bookmarkEnd w:id="153"/>
      <w:bookmarkStart w:id="154" w:name="_Toc184310314"/>
      <w:bookmarkEnd w:id="154"/>
      <w:bookmarkStart w:id="155" w:name="_Toc184314441"/>
      <w:bookmarkEnd w:id="155"/>
      <w:bookmarkStart w:id="156" w:name="_Toc184310333"/>
      <w:bookmarkEnd w:id="156"/>
      <w:bookmarkStart w:id="157" w:name="_Toc184313297"/>
      <w:bookmarkEnd w:id="157"/>
      <w:bookmarkStart w:id="158" w:name="_Toc184312105"/>
      <w:bookmarkEnd w:id="158"/>
      <w:bookmarkStart w:id="159" w:name="_Toc184313300"/>
      <w:bookmarkEnd w:id="159"/>
      <w:bookmarkStart w:id="160" w:name="_Toc184314420"/>
      <w:bookmarkEnd w:id="160"/>
      <w:bookmarkStart w:id="161" w:name="_Toc184312129"/>
      <w:bookmarkEnd w:id="161"/>
      <w:bookmarkStart w:id="162" w:name="_Toc184310331"/>
      <w:bookmarkEnd w:id="162"/>
      <w:bookmarkStart w:id="163" w:name="_Toc184314443"/>
      <w:bookmarkEnd w:id="163"/>
      <w:bookmarkStart w:id="164" w:name="_Toc184312106"/>
      <w:bookmarkEnd w:id="164"/>
      <w:bookmarkStart w:id="165" w:name="_Toc184310307"/>
      <w:bookmarkEnd w:id="165"/>
      <w:bookmarkStart w:id="166" w:name="_Toc184313307"/>
      <w:bookmarkEnd w:id="166"/>
      <w:bookmarkStart w:id="167" w:name="_Toc184310274"/>
      <w:bookmarkEnd w:id="167"/>
      <w:bookmarkStart w:id="168" w:name="_Toc184308076"/>
      <w:bookmarkEnd w:id="168"/>
      <w:bookmarkStart w:id="169" w:name="_Toc184308101"/>
      <w:bookmarkEnd w:id="169"/>
      <w:bookmarkStart w:id="170" w:name="_Toc184313284"/>
      <w:bookmarkEnd w:id="170"/>
      <w:bookmarkStart w:id="171" w:name="_Toc184310339"/>
      <w:bookmarkEnd w:id="171"/>
      <w:bookmarkStart w:id="172" w:name="_Toc184314422"/>
      <w:bookmarkEnd w:id="172"/>
      <w:bookmarkStart w:id="173" w:name="_Toc184310334"/>
      <w:bookmarkEnd w:id="173"/>
      <w:bookmarkStart w:id="174" w:name="_Toc184313301"/>
      <w:bookmarkEnd w:id="174"/>
      <w:bookmarkStart w:id="175" w:name="_Toc184314433"/>
      <w:bookmarkEnd w:id="175"/>
      <w:bookmarkStart w:id="176" w:name="_Toc184308086"/>
      <w:bookmarkEnd w:id="176"/>
      <w:bookmarkStart w:id="177" w:name="_Toc184310293"/>
      <w:bookmarkEnd w:id="177"/>
      <w:bookmarkStart w:id="178" w:name="_Toc184312104"/>
      <w:bookmarkEnd w:id="178"/>
      <w:bookmarkStart w:id="179" w:name="_Toc184312088"/>
      <w:bookmarkEnd w:id="179"/>
      <w:bookmarkStart w:id="180" w:name="_Toc184314447"/>
      <w:bookmarkEnd w:id="180"/>
      <w:bookmarkStart w:id="181" w:name="_Toc184313291"/>
      <w:bookmarkEnd w:id="181"/>
      <w:bookmarkStart w:id="182" w:name="_Toc184313238"/>
      <w:bookmarkEnd w:id="182"/>
      <w:bookmarkStart w:id="183" w:name="_Toc184313241"/>
      <w:bookmarkEnd w:id="183"/>
      <w:bookmarkStart w:id="184" w:name="_Toc184312077"/>
      <w:bookmarkEnd w:id="184"/>
      <w:bookmarkStart w:id="185" w:name="_Toc184310296"/>
      <w:bookmarkEnd w:id="185"/>
      <w:bookmarkStart w:id="186" w:name="_Toc184308043"/>
      <w:bookmarkEnd w:id="186"/>
      <w:bookmarkStart w:id="187" w:name="_Toc184310310"/>
      <w:bookmarkEnd w:id="187"/>
      <w:bookmarkStart w:id="188" w:name="_Toc184310273"/>
      <w:bookmarkEnd w:id="188"/>
      <w:bookmarkStart w:id="189" w:name="_Toc184312080"/>
      <w:bookmarkEnd w:id="189"/>
      <w:bookmarkStart w:id="190" w:name="_Toc184312101"/>
      <w:bookmarkEnd w:id="190"/>
      <w:bookmarkStart w:id="191" w:name="_Toc184314475"/>
      <w:bookmarkEnd w:id="191"/>
      <w:bookmarkStart w:id="192" w:name="_Toc184313286"/>
      <w:bookmarkEnd w:id="192"/>
      <w:bookmarkStart w:id="193" w:name="_Toc184312075"/>
      <w:bookmarkEnd w:id="193"/>
      <w:bookmarkStart w:id="194" w:name="_Toc184313278"/>
      <w:bookmarkEnd w:id="194"/>
      <w:bookmarkStart w:id="195" w:name="_Toc184308088"/>
      <w:bookmarkEnd w:id="195"/>
      <w:bookmarkStart w:id="196" w:name="_Toc184308053"/>
      <w:bookmarkEnd w:id="196"/>
      <w:bookmarkStart w:id="197" w:name="_Toc184313310"/>
      <w:bookmarkEnd w:id="197"/>
      <w:bookmarkStart w:id="198" w:name="_Toc184314435"/>
      <w:bookmarkEnd w:id="198"/>
      <w:bookmarkStart w:id="199" w:name="_Toc184310317"/>
      <w:bookmarkEnd w:id="199"/>
      <w:bookmarkStart w:id="200" w:name="_Toc184314473"/>
      <w:bookmarkEnd w:id="200"/>
      <w:bookmarkStart w:id="201" w:name="_Toc184308068"/>
      <w:bookmarkEnd w:id="201"/>
      <w:bookmarkStart w:id="202" w:name="_Toc184310288"/>
      <w:bookmarkEnd w:id="202"/>
      <w:bookmarkStart w:id="203" w:name="_Toc184314424"/>
      <w:bookmarkEnd w:id="203"/>
      <w:bookmarkStart w:id="204" w:name="_Toc184313285"/>
      <w:bookmarkEnd w:id="204"/>
      <w:bookmarkStart w:id="205" w:name="_Toc184314438"/>
      <w:bookmarkEnd w:id="205"/>
      <w:bookmarkStart w:id="206" w:name="_Toc184314472"/>
      <w:bookmarkEnd w:id="206"/>
      <w:bookmarkStart w:id="207" w:name="_Toc184308044"/>
      <w:bookmarkEnd w:id="207"/>
      <w:bookmarkStart w:id="208" w:name="_Toc184308058"/>
      <w:bookmarkEnd w:id="208"/>
      <w:bookmarkStart w:id="209" w:name="_Toc184313253"/>
      <w:bookmarkEnd w:id="209"/>
      <w:bookmarkStart w:id="210" w:name="_Toc184310311"/>
      <w:bookmarkEnd w:id="210"/>
      <w:bookmarkStart w:id="211" w:name="_Toc184308077"/>
      <w:bookmarkEnd w:id="211"/>
      <w:bookmarkStart w:id="212" w:name="_Toc184310301"/>
      <w:bookmarkEnd w:id="212"/>
      <w:bookmarkStart w:id="213" w:name="_Toc184313272"/>
      <w:bookmarkEnd w:id="213"/>
      <w:bookmarkStart w:id="214" w:name="_Toc184313252"/>
      <w:bookmarkEnd w:id="214"/>
      <w:bookmarkStart w:id="215" w:name="_Toc184310327"/>
      <w:bookmarkEnd w:id="215"/>
      <w:bookmarkStart w:id="216" w:name="_Toc184314416"/>
      <w:bookmarkEnd w:id="216"/>
      <w:bookmarkStart w:id="217" w:name="_Toc184314451"/>
      <w:bookmarkEnd w:id="217"/>
      <w:bookmarkStart w:id="218" w:name="_Toc184312130"/>
      <w:bookmarkEnd w:id="218"/>
      <w:bookmarkStart w:id="219" w:name="_Toc184312070"/>
      <w:bookmarkEnd w:id="219"/>
      <w:bookmarkStart w:id="220" w:name="_Toc184308105"/>
      <w:bookmarkEnd w:id="220"/>
      <w:bookmarkStart w:id="221" w:name="_Toc184312138"/>
      <w:bookmarkEnd w:id="221"/>
      <w:bookmarkStart w:id="222" w:name="_Toc184310340"/>
      <w:bookmarkEnd w:id="222"/>
      <w:bookmarkStart w:id="223" w:name="_Toc184308051"/>
      <w:bookmarkEnd w:id="223"/>
      <w:bookmarkStart w:id="224" w:name="_Toc184314466"/>
      <w:bookmarkEnd w:id="224"/>
      <w:bookmarkStart w:id="225" w:name="_Toc184313250"/>
      <w:bookmarkEnd w:id="225"/>
      <w:bookmarkStart w:id="226" w:name="_Toc184312128"/>
      <w:bookmarkEnd w:id="226"/>
      <w:bookmarkStart w:id="227" w:name="_Toc184312124"/>
      <w:bookmarkEnd w:id="227"/>
      <w:bookmarkStart w:id="228" w:name="_Toc184313249"/>
      <w:bookmarkEnd w:id="228"/>
      <w:bookmarkStart w:id="229" w:name="_Toc184313257"/>
      <w:bookmarkEnd w:id="229"/>
      <w:bookmarkStart w:id="230" w:name="_Toc184313277"/>
      <w:bookmarkEnd w:id="230"/>
      <w:bookmarkStart w:id="231" w:name="_Toc184308099"/>
      <w:bookmarkEnd w:id="231"/>
      <w:bookmarkStart w:id="232" w:name="_Toc184308067"/>
      <w:bookmarkEnd w:id="232"/>
      <w:bookmarkStart w:id="233" w:name="_Toc184308037"/>
      <w:bookmarkEnd w:id="233"/>
      <w:bookmarkStart w:id="234" w:name="_Toc184310302"/>
      <w:bookmarkEnd w:id="234"/>
      <w:bookmarkStart w:id="235" w:name="_Toc184312120"/>
      <w:bookmarkEnd w:id="235"/>
      <w:bookmarkStart w:id="236" w:name="_Toc184313276"/>
      <w:bookmarkEnd w:id="236"/>
      <w:bookmarkStart w:id="237" w:name="_Toc184313259"/>
      <w:bookmarkEnd w:id="237"/>
      <w:bookmarkStart w:id="238" w:name="_Toc184314479"/>
      <w:bookmarkEnd w:id="238"/>
      <w:bookmarkStart w:id="239" w:name="_Toc184312139"/>
      <w:bookmarkEnd w:id="239"/>
      <w:bookmarkStart w:id="240" w:name="_Toc184314463"/>
      <w:bookmarkEnd w:id="240"/>
      <w:bookmarkStart w:id="241" w:name="_Toc184310285"/>
      <w:bookmarkEnd w:id="241"/>
      <w:bookmarkStart w:id="242" w:name="_Toc184313266"/>
      <w:bookmarkEnd w:id="242"/>
      <w:bookmarkStart w:id="243" w:name="_Toc184308038"/>
      <w:bookmarkEnd w:id="243"/>
      <w:bookmarkStart w:id="244" w:name="_Toc184310322"/>
      <w:bookmarkEnd w:id="244"/>
      <w:bookmarkStart w:id="245" w:name="_Toc184310290"/>
      <w:bookmarkEnd w:id="245"/>
      <w:bookmarkStart w:id="246" w:name="_Toc184308087"/>
      <w:bookmarkEnd w:id="246"/>
      <w:bookmarkStart w:id="247" w:name="_Toc184308066"/>
      <w:bookmarkEnd w:id="247"/>
      <w:bookmarkStart w:id="248" w:name="_Toc184313282"/>
      <w:bookmarkEnd w:id="248"/>
      <w:bookmarkStart w:id="249" w:name="_Toc184314419"/>
      <w:bookmarkEnd w:id="249"/>
      <w:bookmarkStart w:id="250" w:name="_Toc184312073"/>
      <w:bookmarkEnd w:id="250"/>
      <w:bookmarkStart w:id="251" w:name="_Toc184312078"/>
      <w:bookmarkEnd w:id="251"/>
      <w:bookmarkStart w:id="252" w:name="_Toc184313242"/>
      <w:bookmarkEnd w:id="252"/>
      <w:bookmarkStart w:id="253" w:name="_Toc184313263"/>
      <w:bookmarkEnd w:id="253"/>
      <w:bookmarkStart w:id="254" w:name="_Toc184312134"/>
      <w:bookmarkEnd w:id="254"/>
      <w:bookmarkStart w:id="255" w:name="_Toc184310275"/>
      <w:bookmarkEnd w:id="255"/>
      <w:bookmarkStart w:id="256" w:name="_Toc184310298"/>
      <w:bookmarkEnd w:id="256"/>
      <w:bookmarkStart w:id="257" w:name="_Toc184312092"/>
      <w:bookmarkEnd w:id="257"/>
      <w:bookmarkStart w:id="258" w:name="_Toc184312074"/>
      <w:bookmarkEnd w:id="258"/>
      <w:bookmarkStart w:id="259" w:name="_Toc184312089"/>
      <w:bookmarkEnd w:id="259"/>
      <w:bookmarkStart w:id="260" w:name="_Toc184312137"/>
      <w:bookmarkEnd w:id="260"/>
      <w:bookmarkStart w:id="261" w:name="_Toc184310329"/>
      <w:bookmarkEnd w:id="261"/>
      <w:bookmarkStart w:id="262" w:name="_Toc184310282"/>
      <w:bookmarkEnd w:id="262"/>
      <w:bookmarkStart w:id="263" w:name="_Toc184313271"/>
      <w:bookmarkEnd w:id="263"/>
      <w:bookmarkStart w:id="264" w:name="_Toc184310291"/>
      <w:bookmarkEnd w:id="264"/>
      <w:bookmarkStart w:id="265" w:name="_Toc184314457"/>
      <w:bookmarkEnd w:id="265"/>
      <w:bookmarkStart w:id="266" w:name="_Toc184314469"/>
      <w:bookmarkEnd w:id="266"/>
      <w:bookmarkStart w:id="267" w:name="_Toc184312091"/>
      <w:bookmarkEnd w:id="267"/>
      <w:bookmarkStart w:id="268" w:name="_Toc184308059"/>
      <w:bookmarkEnd w:id="268"/>
      <w:bookmarkStart w:id="269" w:name="_Toc184310279"/>
      <w:bookmarkEnd w:id="269"/>
      <w:bookmarkStart w:id="270" w:name="_Toc184313274"/>
      <w:bookmarkEnd w:id="270"/>
      <w:bookmarkStart w:id="271" w:name="_Toc184314429"/>
      <w:bookmarkEnd w:id="271"/>
      <w:bookmarkStart w:id="272" w:name="_Toc184312114"/>
      <w:bookmarkEnd w:id="272"/>
      <w:bookmarkStart w:id="273" w:name="_Toc184310304"/>
      <w:bookmarkEnd w:id="273"/>
      <w:bookmarkStart w:id="274" w:name="_Toc184313305"/>
      <w:bookmarkEnd w:id="274"/>
      <w:bookmarkStart w:id="275" w:name="_Toc184314428"/>
      <w:bookmarkEnd w:id="275"/>
      <w:bookmarkStart w:id="276" w:name="_Toc184314436"/>
      <w:bookmarkEnd w:id="276"/>
      <w:bookmarkStart w:id="277" w:name="_Toc184314477"/>
      <w:bookmarkEnd w:id="277"/>
      <w:bookmarkStart w:id="278" w:name="_Toc184312135"/>
      <w:bookmarkEnd w:id="278"/>
      <w:bookmarkStart w:id="279" w:name="_Toc184310287"/>
      <w:bookmarkEnd w:id="279"/>
      <w:bookmarkStart w:id="280" w:name="_Toc184313268"/>
      <w:bookmarkEnd w:id="280"/>
      <w:bookmarkStart w:id="281" w:name="_Toc184314417"/>
      <w:bookmarkEnd w:id="281"/>
      <w:bookmarkStart w:id="282" w:name="_Toc184308052"/>
      <w:bookmarkEnd w:id="282"/>
      <w:bookmarkStart w:id="283" w:name="_Toc184314450"/>
      <w:bookmarkEnd w:id="283"/>
      <w:bookmarkStart w:id="284" w:name="_Toc184314482"/>
      <w:bookmarkEnd w:id="284"/>
      <w:bookmarkStart w:id="285" w:name="_Toc184310272"/>
      <w:bookmarkEnd w:id="285"/>
      <w:bookmarkStart w:id="286" w:name="_Toc184312072"/>
      <w:bookmarkEnd w:id="286"/>
      <w:bookmarkStart w:id="287" w:name="_Toc184308069"/>
      <w:bookmarkEnd w:id="287"/>
      <w:bookmarkStart w:id="288" w:name="_Toc184313264"/>
      <w:bookmarkEnd w:id="288"/>
      <w:bookmarkStart w:id="289" w:name="_Toc184314455"/>
      <w:bookmarkEnd w:id="289"/>
      <w:bookmarkStart w:id="290" w:name="_Toc184313248"/>
      <w:bookmarkEnd w:id="290"/>
      <w:bookmarkStart w:id="291" w:name="_Toc184310325"/>
      <w:bookmarkEnd w:id="291"/>
      <w:bookmarkStart w:id="292" w:name="_Toc184314453"/>
      <w:bookmarkEnd w:id="292"/>
      <w:bookmarkStart w:id="293" w:name="_Toc184314445"/>
      <w:bookmarkEnd w:id="293"/>
      <w:bookmarkStart w:id="294" w:name="_Toc184313262"/>
      <w:bookmarkEnd w:id="294"/>
      <w:bookmarkStart w:id="295" w:name="_Toc184314454"/>
      <w:bookmarkEnd w:id="295"/>
      <w:bookmarkStart w:id="296" w:name="_Toc184312098"/>
      <w:bookmarkEnd w:id="296"/>
      <w:bookmarkStart w:id="297" w:name="_Toc184314481"/>
      <w:bookmarkEnd w:id="297"/>
      <w:bookmarkStart w:id="298" w:name="_Toc184310280"/>
      <w:bookmarkEnd w:id="298"/>
      <w:bookmarkStart w:id="299" w:name="_Toc184312111"/>
      <w:bookmarkEnd w:id="299"/>
      <w:bookmarkStart w:id="300" w:name="_Toc184313260"/>
      <w:bookmarkEnd w:id="300"/>
      <w:bookmarkStart w:id="301" w:name="_Toc184312085"/>
      <w:bookmarkEnd w:id="301"/>
      <w:bookmarkStart w:id="302" w:name="_Toc184308065"/>
      <w:bookmarkEnd w:id="302"/>
      <w:bookmarkStart w:id="303" w:name="_Toc184308102"/>
      <w:bookmarkEnd w:id="303"/>
      <w:bookmarkStart w:id="304" w:name="_Toc184314432"/>
      <w:bookmarkEnd w:id="304"/>
      <w:bookmarkStart w:id="305" w:name="_Toc184314459"/>
      <w:bookmarkEnd w:id="305"/>
      <w:bookmarkStart w:id="306" w:name="_Toc184314480"/>
      <w:bookmarkEnd w:id="306"/>
      <w:bookmarkStart w:id="307" w:name="_Toc184310341"/>
      <w:bookmarkEnd w:id="307"/>
      <w:bookmarkStart w:id="308" w:name="_Toc184310337"/>
      <w:bookmarkEnd w:id="308"/>
      <w:bookmarkStart w:id="309" w:name="_Toc184310292"/>
      <w:bookmarkEnd w:id="309"/>
      <w:bookmarkStart w:id="310" w:name="_Toc184314415"/>
      <w:bookmarkEnd w:id="310"/>
      <w:bookmarkStart w:id="311" w:name="_Toc184310319"/>
      <w:bookmarkEnd w:id="311"/>
      <w:bookmarkStart w:id="312" w:name="_Toc184312083"/>
      <w:bookmarkEnd w:id="312"/>
      <w:bookmarkStart w:id="313" w:name="_Toc184314448"/>
      <w:bookmarkEnd w:id="313"/>
      <w:bookmarkStart w:id="314" w:name="_Toc184308089"/>
      <w:bookmarkEnd w:id="314"/>
      <w:bookmarkStart w:id="315" w:name="_Toc184313298"/>
      <w:bookmarkEnd w:id="315"/>
      <w:bookmarkStart w:id="316" w:name="_Toc184310305"/>
      <w:bookmarkEnd w:id="316"/>
      <w:bookmarkStart w:id="317" w:name="_Toc184310332"/>
      <w:bookmarkEnd w:id="317"/>
      <w:bookmarkStart w:id="318" w:name="_Toc184313304"/>
      <w:bookmarkEnd w:id="318"/>
      <w:bookmarkStart w:id="319" w:name="_Toc184308064"/>
      <w:bookmarkEnd w:id="319"/>
      <w:bookmarkStart w:id="320" w:name="_Toc184314442"/>
      <w:bookmarkEnd w:id="320"/>
      <w:bookmarkStart w:id="321" w:name="_Toc184313258"/>
      <w:bookmarkEnd w:id="321"/>
      <w:bookmarkStart w:id="322" w:name="_Toc184312118"/>
      <w:bookmarkEnd w:id="322"/>
      <w:bookmarkStart w:id="323" w:name="_Toc184310281"/>
      <w:bookmarkEnd w:id="323"/>
      <w:bookmarkStart w:id="324" w:name="_Toc184313255"/>
      <w:bookmarkEnd w:id="324"/>
      <w:bookmarkStart w:id="325" w:name="_Toc184310316"/>
      <w:bookmarkEnd w:id="325"/>
      <w:bookmarkStart w:id="326" w:name="_Toc184312113"/>
      <w:bookmarkEnd w:id="326"/>
      <w:bookmarkStart w:id="327" w:name="_Toc184308103"/>
      <w:bookmarkEnd w:id="327"/>
      <w:bookmarkStart w:id="328" w:name="_Toc184314452"/>
      <w:bookmarkEnd w:id="328"/>
      <w:bookmarkStart w:id="329" w:name="_Toc184310336"/>
      <w:bookmarkEnd w:id="329"/>
      <w:bookmarkStart w:id="330" w:name="_Toc184308055"/>
      <w:bookmarkEnd w:id="330"/>
      <w:bookmarkStart w:id="331" w:name="_Toc184308079"/>
      <w:bookmarkEnd w:id="331"/>
      <w:bookmarkStart w:id="332" w:name="_Toc184314427"/>
      <w:bookmarkEnd w:id="332"/>
      <w:bookmarkStart w:id="333" w:name="_Toc184312084"/>
      <w:bookmarkEnd w:id="333"/>
      <w:bookmarkStart w:id="334" w:name="_Toc184308094"/>
      <w:bookmarkEnd w:id="334"/>
      <w:bookmarkStart w:id="335" w:name="_Toc184314464"/>
      <w:bookmarkEnd w:id="335"/>
      <w:bookmarkStart w:id="336" w:name="_Toc184308083"/>
      <w:bookmarkEnd w:id="336"/>
      <w:bookmarkStart w:id="337" w:name="_Toc184310306"/>
      <w:bookmarkEnd w:id="337"/>
      <w:bookmarkStart w:id="338" w:name="_Toc184308075"/>
      <w:bookmarkEnd w:id="338"/>
      <w:bookmarkStart w:id="339" w:name="_Toc184308080"/>
      <w:bookmarkEnd w:id="339"/>
      <w:bookmarkStart w:id="340" w:name="_Toc184310300"/>
      <w:bookmarkEnd w:id="340"/>
      <w:bookmarkStart w:id="341" w:name="_Toc184308092"/>
      <w:bookmarkEnd w:id="341"/>
      <w:bookmarkStart w:id="342" w:name="_Toc184312132"/>
      <w:bookmarkEnd w:id="342"/>
      <w:bookmarkStart w:id="343" w:name="_Toc184310323"/>
      <w:bookmarkEnd w:id="343"/>
      <w:bookmarkStart w:id="344" w:name="_Toc184308062"/>
      <w:bookmarkEnd w:id="344"/>
      <w:bookmarkStart w:id="345" w:name="_Toc184310286"/>
      <w:bookmarkEnd w:id="345"/>
      <w:bookmarkStart w:id="346" w:name="_Toc184312093"/>
      <w:bookmarkEnd w:id="346"/>
      <w:bookmarkStart w:id="347" w:name="_Toc184308098"/>
      <w:bookmarkEnd w:id="347"/>
      <w:bookmarkStart w:id="348" w:name="_Toc184314418"/>
      <w:bookmarkEnd w:id="348"/>
      <w:bookmarkStart w:id="349" w:name="_Toc184310289"/>
      <w:bookmarkEnd w:id="349"/>
      <w:bookmarkStart w:id="350" w:name="_Toc184308048"/>
      <w:bookmarkEnd w:id="350"/>
      <w:bookmarkStart w:id="351" w:name="_Toc184313292"/>
      <w:bookmarkEnd w:id="351"/>
      <w:bookmarkStart w:id="352" w:name="_Toc184314410"/>
      <w:bookmarkEnd w:id="352"/>
      <w:bookmarkStart w:id="353" w:name="_Toc184308046"/>
      <w:bookmarkEnd w:id="353"/>
      <w:bookmarkStart w:id="354" w:name="_Toc184314439"/>
      <w:bookmarkEnd w:id="354"/>
      <w:bookmarkStart w:id="355" w:name="_Toc184313308"/>
      <w:bookmarkEnd w:id="355"/>
      <w:bookmarkStart w:id="356" w:name="_Toc184312095"/>
      <w:bookmarkEnd w:id="356"/>
      <w:bookmarkStart w:id="357" w:name="_Toc184314411"/>
      <w:bookmarkEnd w:id="357"/>
      <w:bookmarkStart w:id="358" w:name="_Toc184312067"/>
      <w:bookmarkEnd w:id="358"/>
      <w:bookmarkStart w:id="359" w:name="_Toc184313265"/>
      <w:bookmarkEnd w:id="359"/>
      <w:bookmarkStart w:id="360" w:name="_Toc184313251"/>
      <w:bookmarkEnd w:id="360"/>
      <w:bookmarkStart w:id="361" w:name="_Toc184310338"/>
      <w:bookmarkEnd w:id="361"/>
      <w:bookmarkStart w:id="362" w:name="_Toc184312076"/>
      <w:bookmarkEnd w:id="362"/>
      <w:bookmarkStart w:id="363" w:name="_Toc184308071"/>
      <w:bookmarkEnd w:id="363"/>
      <w:bookmarkStart w:id="364" w:name="_Toc184310342"/>
      <w:bookmarkEnd w:id="364"/>
      <w:bookmarkStart w:id="365" w:name="_Toc184312115"/>
      <w:bookmarkEnd w:id="365"/>
      <w:bookmarkStart w:id="366" w:name="_Toc184310343"/>
      <w:bookmarkEnd w:id="366"/>
      <w:bookmarkStart w:id="367" w:name="_Toc184313280"/>
      <w:bookmarkEnd w:id="367"/>
      <w:bookmarkStart w:id="368" w:name="_Toc184308036"/>
      <w:bookmarkEnd w:id="368"/>
      <w:bookmarkStart w:id="369" w:name="_Toc184312108"/>
      <w:bookmarkEnd w:id="369"/>
      <w:bookmarkStart w:id="370" w:name="_Toc184308056"/>
      <w:bookmarkEnd w:id="370"/>
      <w:bookmarkStart w:id="371" w:name="_Toc184313267"/>
      <w:bookmarkEnd w:id="371"/>
      <w:bookmarkStart w:id="372" w:name="_Toc184313256"/>
      <w:bookmarkEnd w:id="372"/>
      <w:bookmarkStart w:id="373" w:name="_Toc184312071"/>
      <w:bookmarkEnd w:id="373"/>
      <w:bookmarkStart w:id="374" w:name="_Toc184314474"/>
      <w:bookmarkEnd w:id="374"/>
      <w:bookmarkStart w:id="375" w:name="_Toc184314462"/>
      <w:bookmarkEnd w:id="375"/>
      <w:bookmarkStart w:id="376" w:name="_Toc184308095"/>
      <w:bookmarkEnd w:id="376"/>
      <w:bookmarkStart w:id="377" w:name="_Toc184310299"/>
      <w:bookmarkEnd w:id="377"/>
      <w:bookmarkStart w:id="378" w:name="_Toc184308060"/>
      <w:bookmarkEnd w:id="378"/>
      <w:bookmarkStart w:id="379" w:name="_Toc184313289"/>
      <w:bookmarkEnd w:id="379"/>
      <w:bookmarkStart w:id="380" w:name="_Toc184308039"/>
      <w:bookmarkEnd w:id="380"/>
      <w:bookmarkStart w:id="381" w:name="_Toc184312121"/>
      <w:bookmarkEnd w:id="381"/>
      <w:bookmarkStart w:id="382" w:name="_Toc184310277"/>
      <w:bookmarkEnd w:id="382"/>
      <w:bookmarkStart w:id="383" w:name="_Toc184314413"/>
      <w:bookmarkEnd w:id="383"/>
      <w:bookmarkStart w:id="384" w:name="_Toc184313288"/>
      <w:bookmarkEnd w:id="384"/>
      <w:bookmarkStart w:id="385" w:name="_Toc184312112"/>
      <w:bookmarkEnd w:id="385"/>
      <w:bookmarkStart w:id="386" w:name="_Toc184312081"/>
      <w:bookmarkEnd w:id="386"/>
      <w:bookmarkStart w:id="387" w:name="_Toc184310320"/>
      <w:bookmarkEnd w:id="387"/>
      <w:bookmarkStart w:id="388" w:name="_Toc184313275"/>
      <w:bookmarkEnd w:id="388"/>
      <w:bookmarkStart w:id="389" w:name="_Toc184313279"/>
      <w:bookmarkEnd w:id="389"/>
      <w:bookmarkStart w:id="390" w:name="_Toc184308078"/>
      <w:bookmarkEnd w:id="390"/>
      <w:bookmarkStart w:id="391" w:name="_Toc184314446"/>
      <w:bookmarkEnd w:id="391"/>
      <w:bookmarkStart w:id="392" w:name="_Toc184312123"/>
      <w:bookmarkEnd w:id="392"/>
      <w:bookmarkStart w:id="393" w:name="_Toc184312097"/>
      <w:bookmarkEnd w:id="393"/>
      <w:bookmarkStart w:id="394" w:name="_Toc184313244"/>
      <w:bookmarkEnd w:id="394"/>
      <w:bookmarkStart w:id="395" w:name="_Toc184314467"/>
      <w:bookmarkEnd w:id="395"/>
      <w:bookmarkStart w:id="396" w:name="_Toc184314460"/>
      <w:bookmarkEnd w:id="396"/>
      <w:bookmarkStart w:id="397" w:name="_Toc184312086"/>
      <w:bookmarkEnd w:id="397"/>
      <w:bookmarkStart w:id="398" w:name="_Toc184312103"/>
      <w:bookmarkEnd w:id="398"/>
      <w:bookmarkStart w:id="399" w:name="_Toc184313246"/>
      <w:bookmarkEnd w:id="399"/>
      <w:bookmarkStart w:id="400" w:name="_Toc184313294"/>
      <w:bookmarkEnd w:id="400"/>
      <w:bookmarkStart w:id="401" w:name="_Toc184308084"/>
      <w:bookmarkEnd w:id="401"/>
      <w:bookmarkStart w:id="402" w:name="_Toc184310283"/>
      <w:bookmarkEnd w:id="402"/>
      <w:bookmarkStart w:id="403" w:name="_Toc184308061"/>
      <w:bookmarkEnd w:id="403"/>
      <w:bookmarkStart w:id="404" w:name="_Toc184312102"/>
      <w:bookmarkEnd w:id="404"/>
      <w:bookmarkStart w:id="405" w:name="_Toc184310284"/>
      <w:bookmarkEnd w:id="405"/>
      <w:bookmarkStart w:id="406" w:name="_Toc184310326"/>
      <w:bookmarkEnd w:id="406"/>
      <w:bookmarkStart w:id="407" w:name="_Toc184314414"/>
      <w:bookmarkEnd w:id="407"/>
      <w:bookmarkStart w:id="408" w:name="_Toc184308097"/>
      <w:bookmarkEnd w:id="408"/>
      <w:bookmarkStart w:id="409" w:name="_Toc184310309"/>
      <w:bookmarkEnd w:id="409"/>
      <w:bookmarkStart w:id="410" w:name="_Toc184312119"/>
      <w:bookmarkEnd w:id="410"/>
      <w:bookmarkStart w:id="411" w:name="_Toc184308093"/>
      <w:bookmarkEnd w:id="411"/>
      <w:bookmarkStart w:id="412" w:name="_Toc184313243"/>
      <w:bookmarkEnd w:id="412"/>
      <w:bookmarkStart w:id="413" w:name="_Toc184308100"/>
      <w:bookmarkEnd w:id="413"/>
      <w:bookmarkStart w:id="414" w:name="_Toc184313240"/>
      <w:bookmarkEnd w:id="414"/>
      <w:bookmarkStart w:id="415" w:name="_Toc184312131"/>
      <w:bookmarkEnd w:id="415"/>
      <w:bookmarkStart w:id="416" w:name="_Toc184313269"/>
      <w:bookmarkEnd w:id="416"/>
      <w:bookmarkStart w:id="417" w:name="_Toc184310344"/>
      <w:bookmarkEnd w:id="417"/>
      <w:bookmarkStart w:id="418" w:name="_Toc184310330"/>
      <w:bookmarkEnd w:id="418"/>
      <w:bookmarkStart w:id="419" w:name="_Toc184313290"/>
      <w:bookmarkEnd w:id="419"/>
      <w:bookmarkStart w:id="420" w:name="_Toc184308070"/>
      <w:bookmarkEnd w:id="420"/>
      <w:bookmarkStart w:id="421" w:name="_Toc184313239"/>
      <w:bookmarkEnd w:id="421"/>
      <w:bookmarkStart w:id="422" w:name="_Toc184308073"/>
      <w:bookmarkEnd w:id="422"/>
      <w:bookmarkStart w:id="423" w:name="_Toc184312126"/>
      <w:bookmarkEnd w:id="423"/>
      <w:bookmarkStart w:id="424" w:name="_Toc184314434"/>
      <w:bookmarkEnd w:id="424"/>
      <w:bookmarkStart w:id="425" w:name="_Toc184313245"/>
      <w:bookmarkEnd w:id="425"/>
      <w:bookmarkStart w:id="426" w:name="_Toc184310313"/>
      <w:bookmarkEnd w:id="426"/>
      <w:bookmarkStart w:id="427" w:name="_Toc184314444"/>
      <w:bookmarkEnd w:id="427"/>
      <w:bookmarkStart w:id="428" w:name="_Toc184312107"/>
      <w:bookmarkEnd w:id="428"/>
      <w:bookmarkStart w:id="429" w:name="_Toc184314476"/>
      <w:bookmarkEnd w:id="429"/>
      <w:bookmarkStart w:id="430" w:name="_Toc184308104"/>
      <w:bookmarkEnd w:id="430"/>
      <w:bookmarkStart w:id="431" w:name="_Toc184313309"/>
      <w:bookmarkEnd w:id="431"/>
      <w:bookmarkStart w:id="432" w:name="_Toc184308106"/>
      <w:bookmarkEnd w:id="432"/>
      <w:bookmarkStart w:id="433" w:name="_Toc184308057"/>
      <w:bookmarkEnd w:id="433"/>
      <w:bookmarkStart w:id="434" w:name="_Toc184314456"/>
      <w:bookmarkEnd w:id="434"/>
      <w:r>
        <w:rPr>
          <w:rFonts w:hint="eastAsia" w:ascii="宋体" w:hAnsi="宋体" w:cs="宋体"/>
          <w:b/>
          <w:color w:val="auto"/>
          <w:sz w:val="36"/>
          <w:szCs w:val="36"/>
          <w:highlight w:val="none"/>
        </w:rPr>
        <w:t>评标办法</w:t>
      </w:r>
    </w:p>
    <w:p w14:paraId="2B89BA0B">
      <w:pPr>
        <w:snapToGrid w:val="0"/>
        <w:spacing w:line="360" w:lineRule="auto"/>
        <w:ind w:left="120" w:firstLine="22"/>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947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5161"/>
        <w:gridCol w:w="846"/>
        <w:gridCol w:w="1093"/>
        <w:gridCol w:w="1246"/>
      </w:tblGrid>
      <w:tr w14:paraId="006C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29" w:type="dxa"/>
            <w:vAlign w:val="center"/>
          </w:tcPr>
          <w:p w14:paraId="5DB2FF67">
            <w:pPr>
              <w:snapToGri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序号</w:t>
            </w:r>
          </w:p>
        </w:tc>
        <w:tc>
          <w:tcPr>
            <w:tcW w:w="5161" w:type="dxa"/>
            <w:vAlign w:val="center"/>
          </w:tcPr>
          <w:p w14:paraId="36FCF03B">
            <w:pPr>
              <w:snapToGri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评标标准</w:t>
            </w:r>
          </w:p>
        </w:tc>
        <w:tc>
          <w:tcPr>
            <w:tcW w:w="846" w:type="dxa"/>
            <w:vAlign w:val="center"/>
          </w:tcPr>
          <w:p w14:paraId="2098CACC">
            <w:pPr>
              <w:snapToGri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权重</w:t>
            </w:r>
          </w:p>
        </w:tc>
        <w:tc>
          <w:tcPr>
            <w:tcW w:w="1093" w:type="dxa"/>
            <w:vAlign w:val="center"/>
          </w:tcPr>
          <w:p w14:paraId="20A8B2E7">
            <w:pPr>
              <w:snapToGrid w:val="0"/>
              <w:spacing w:line="360" w:lineRule="auto"/>
              <w:jc w:val="center"/>
              <w:rPr>
                <w:rFonts w:hint="eastAsia" w:ascii="宋体" w:hAnsi="宋体" w:cs="仿宋_GB2312"/>
                <w:bCs/>
                <w:color w:val="auto"/>
                <w:sz w:val="24"/>
                <w:highlight w:val="none"/>
              </w:rPr>
            </w:pPr>
            <w:r>
              <w:rPr>
                <w:rFonts w:hint="eastAsia" w:ascii="宋体" w:hAnsi="宋体" w:cs="仿宋_GB2312"/>
                <w:bCs/>
                <w:color w:val="auto"/>
                <w:sz w:val="24"/>
                <w:highlight w:val="none"/>
              </w:rPr>
              <w:t>主观分/客观分属性</w:t>
            </w:r>
          </w:p>
        </w:tc>
        <w:tc>
          <w:tcPr>
            <w:tcW w:w="1246" w:type="dxa"/>
            <w:vAlign w:val="center"/>
          </w:tcPr>
          <w:p w14:paraId="02E403A4">
            <w:pPr>
              <w:snapToGrid w:val="0"/>
              <w:spacing w:line="360" w:lineRule="auto"/>
              <w:jc w:val="center"/>
              <w:rPr>
                <w:rFonts w:hint="eastAsia" w:ascii="宋体" w:hAnsi="宋体" w:cs="仿宋_GB2312"/>
                <w:color w:val="auto"/>
                <w:sz w:val="24"/>
                <w:highlight w:val="none"/>
              </w:rPr>
            </w:pPr>
            <w:r>
              <w:rPr>
                <w:rFonts w:hint="eastAsia" w:ascii="宋体" w:hAnsi="宋体" w:cs="仿宋_GB2312"/>
                <w:bCs/>
                <w:color w:val="auto"/>
                <w:sz w:val="24"/>
                <w:highlight w:val="none"/>
              </w:rPr>
              <w:t>投标文件中评标标准相应的商务技术资料目录*</w:t>
            </w:r>
          </w:p>
        </w:tc>
      </w:tr>
      <w:tr w14:paraId="22B2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right"/>
        </w:trPr>
        <w:tc>
          <w:tcPr>
            <w:tcW w:w="1129" w:type="dxa"/>
            <w:vAlign w:val="center"/>
          </w:tcPr>
          <w:p w14:paraId="570B0026">
            <w:pPr>
              <w:snapToGrid w:val="0"/>
              <w:spacing w:line="360" w:lineRule="auto"/>
              <w:jc w:val="center"/>
              <w:rPr>
                <w:rFonts w:hint="eastAsia" w:ascii="宋体" w:hAnsi="宋体" w:cs="仿宋_GB2312"/>
                <w:color w:val="auto"/>
                <w:sz w:val="24"/>
                <w:highlight w:val="none"/>
              </w:rPr>
            </w:pPr>
            <w:r>
              <w:rPr>
                <w:rFonts w:hint="eastAsia" w:ascii="宋体" w:hAnsi="宋体"/>
                <w:snapToGrid w:val="0"/>
                <w:color w:val="auto"/>
                <w:kern w:val="0"/>
                <w:sz w:val="24"/>
                <w:highlight w:val="none"/>
              </w:rPr>
              <w:t>1、</w:t>
            </w:r>
            <w:r>
              <w:rPr>
                <w:rFonts w:ascii="宋体" w:hAnsi="宋体"/>
                <w:snapToGrid w:val="0"/>
                <w:color w:val="auto"/>
                <w:kern w:val="0"/>
                <w:sz w:val="24"/>
                <w:highlight w:val="none"/>
              </w:rPr>
              <w:t>对项目</w:t>
            </w:r>
            <w:r>
              <w:rPr>
                <w:rFonts w:hint="eastAsia" w:ascii="宋体" w:hAnsi="宋体"/>
                <w:snapToGrid w:val="0"/>
                <w:color w:val="auto"/>
                <w:kern w:val="0"/>
                <w:sz w:val="24"/>
                <w:highlight w:val="none"/>
              </w:rPr>
              <w:t>目标</w:t>
            </w:r>
            <w:r>
              <w:rPr>
                <w:rFonts w:ascii="宋体" w:hAnsi="宋体"/>
                <w:snapToGrid w:val="0"/>
                <w:color w:val="auto"/>
                <w:kern w:val="0"/>
                <w:sz w:val="24"/>
                <w:highlight w:val="none"/>
              </w:rPr>
              <w:t>、任务</w:t>
            </w:r>
            <w:r>
              <w:rPr>
                <w:rFonts w:hint="eastAsia" w:ascii="宋体" w:hAnsi="宋体"/>
                <w:snapToGrid w:val="0"/>
                <w:color w:val="auto"/>
                <w:kern w:val="0"/>
                <w:sz w:val="24"/>
                <w:highlight w:val="none"/>
              </w:rPr>
              <w:t>的</w:t>
            </w:r>
            <w:r>
              <w:rPr>
                <w:rFonts w:ascii="宋体" w:hAnsi="宋体"/>
                <w:snapToGrid w:val="0"/>
                <w:color w:val="auto"/>
                <w:kern w:val="0"/>
                <w:sz w:val="24"/>
                <w:highlight w:val="none"/>
              </w:rPr>
              <w:t>理解</w:t>
            </w:r>
          </w:p>
        </w:tc>
        <w:tc>
          <w:tcPr>
            <w:tcW w:w="5161" w:type="dxa"/>
            <w:vAlign w:val="center"/>
          </w:tcPr>
          <w:p w14:paraId="5C1199DF">
            <w:pPr>
              <w:snapToGrid w:val="0"/>
              <w:spacing w:line="360" w:lineRule="auto"/>
              <w:rPr>
                <w:rFonts w:hint="eastAsia" w:ascii="宋体" w:hAnsi="宋体" w:cs="仿宋_GB2312"/>
                <w:color w:val="auto"/>
                <w:sz w:val="24"/>
                <w:highlight w:val="none"/>
              </w:rPr>
            </w:pPr>
            <w:r>
              <w:rPr>
                <w:rFonts w:hint="eastAsia" w:ascii="宋体" w:hAnsi="宋体"/>
                <w:snapToGrid w:val="0"/>
                <w:color w:val="auto"/>
                <w:kern w:val="0"/>
                <w:sz w:val="24"/>
                <w:highlight w:val="none"/>
              </w:rPr>
              <w:t>投标人对</w:t>
            </w:r>
            <w:r>
              <w:rPr>
                <w:rFonts w:hint="eastAsia" w:ascii="宋体" w:hAnsi="宋体" w:cs="Arial"/>
                <w:color w:val="auto"/>
                <w:sz w:val="24"/>
                <w:highlight w:val="none"/>
              </w:rPr>
              <w:t>杭州市年度城市交通运行及公众出行特征动态评估</w:t>
            </w:r>
            <w:r>
              <w:rPr>
                <w:rFonts w:hint="eastAsia" w:ascii="宋体" w:hAnsi="宋体"/>
                <w:snapToGrid w:val="0"/>
                <w:color w:val="auto"/>
                <w:kern w:val="0"/>
                <w:sz w:val="24"/>
                <w:highlight w:val="none"/>
              </w:rPr>
              <w:t>项目的理解，内容包括：项目</w:t>
            </w:r>
            <w:r>
              <w:rPr>
                <w:rFonts w:ascii="宋体" w:hAnsi="宋体"/>
                <w:snapToGrid w:val="0"/>
                <w:color w:val="auto"/>
                <w:kern w:val="0"/>
                <w:sz w:val="24"/>
                <w:highlight w:val="none"/>
              </w:rPr>
              <w:t>背景</w:t>
            </w:r>
            <w:r>
              <w:rPr>
                <w:rFonts w:hint="eastAsia" w:ascii="宋体" w:hAnsi="宋体"/>
                <w:snapToGrid w:val="0"/>
                <w:color w:val="auto"/>
                <w:kern w:val="0"/>
                <w:sz w:val="24"/>
                <w:highlight w:val="none"/>
              </w:rPr>
              <w:t>、研究目的</w:t>
            </w:r>
            <w:r>
              <w:rPr>
                <w:rFonts w:ascii="宋体" w:hAnsi="宋体"/>
                <w:snapToGrid w:val="0"/>
                <w:color w:val="auto"/>
                <w:kern w:val="0"/>
                <w:sz w:val="24"/>
                <w:highlight w:val="none"/>
              </w:rPr>
              <w:t>、研究内容等</w:t>
            </w:r>
            <w:r>
              <w:rPr>
                <w:rFonts w:hint="eastAsia" w:ascii="宋体" w:hAnsi="宋体"/>
                <w:snapToGrid w:val="0"/>
                <w:color w:val="auto"/>
                <w:kern w:val="0"/>
                <w:sz w:val="24"/>
                <w:highlight w:val="none"/>
              </w:rPr>
              <w:t>。根据理解与实际情况的符合性、理解深度进行打分。（得分：5、4、3、2、1、0）</w:t>
            </w:r>
          </w:p>
        </w:tc>
        <w:tc>
          <w:tcPr>
            <w:tcW w:w="846" w:type="dxa"/>
            <w:vAlign w:val="center"/>
          </w:tcPr>
          <w:p w14:paraId="2A48F893">
            <w:pPr>
              <w:snapToGrid w:val="0"/>
              <w:spacing w:line="360" w:lineRule="auto"/>
              <w:jc w:val="center"/>
              <w:rPr>
                <w:rFonts w:hint="eastAsia"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分</w:t>
            </w:r>
          </w:p>
        </w:tc>
        <w:tc>
          <w:tcPr>
            <w:tcW w:w="1093" w:type="dxa"/>
            <w:vAlign w:val="center"/>
          </w:tcPr>
          <w:p w14:paraId="4C74DCD8">
            <w:pPr>
              <w:snapToGrid w:val="0"/>
              <w:spacing w:line="360" w:lineRule="auto"/>
              <w:jc w:val="center"/>
              <w:rPr>
                <w:rFonts w:hint="eastAsia" w:ascii="宋体" w:hAnsi="宋体" w:cs="仿宋_GB2312"/>
                <w:color w:val="auto"/>
                <w:sz w:val="24"/>
                <w:highlight w:val="none"/>
              </w:rPr>
            </w:pPr>
            <w:r>
              <w:rPr>
                <w:rFonts w:hint="eastAsia" w:ascii="宋体" w:hAnsi="宋体" w:cs="仿宋_GB2312"/>
                <w:bCs/>
                <w:color w:val="auto"/>
                <w:sz w:val="24"/>
                <w:highlight w:val="none"/>
              </w:rPr>
              <w:t>主观分</w:t>
            </w:r>
          </w:p>
        </w:tc>
        <w:tc>
          <w:tcPr>
            <w:tcW w:w="1246" w:type="dxa"/>
            <w:vAlign w:val="center"/>
          </w:tcPr>
          <w:p w14:paraId="3A492236">
            <w:pPr>
              <w:snapToGrid w:val="0"/>
              <w:spacing w:line="360" w:lineRule="auto"/>
              <w:ind w:firstLine="480"/>
              <w:jc w:val="center"/>
              <w:rPr>
                <w:rFonts w:hint="eastAsia" w:ascii="宋体" w:hAnsi="宋体" w:cs="仿宋_GB2312"/>
                <w:color w:val="auto"/>
                <w:sz w:val="24"/>
                <w:highlight w:val="none"/>
              </w:rPr>
            </w:pPr>
          </w:p>
        </w:tc>
      </w:tr>
      <w:tr w14:paraId="4CED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right"/>
        </w:trPr>
        <w:tc>
          <w:tcPr>
            <w:tcW w:w="1129" w:type="dxa"/>
            <w:vAlign w:val="center"/>
          </w:tcPr>
          <w:p w14:paraId="2B4DCCF7">
            <w:pPr>
              <w:snapToGrid w:val="0"/>
              <w:spacing w:line="360" w:lineRule="auto"/>
              <w:jc w:val="center"/>
              <w:rPr>
                <w:rFonts w:hint="eastAsia" w:ascii="宋体" w:hAnsi="宋体" w:cs="仿宋_GB2312"/>
                <w:color w:val="auto"/>
                <w:sz w:val="24"/>
                <w:highlight w:val="none"/>
              </w:rPr>
            </w:pPr>
            <w:r>
              <w:rPr>
                <w:rFonts w:ascii="宋体" w:hAnsi="宋体"/>
                <w:snapToGrid w:val="0"/>
                <w:color w:val="auto"/>
                <w:kern w:val="0"/>
                <w:sz w:val="24"/>
                <w:highlight w:val="none"/>
              </w:rPr>
              <w:t>2</w:t>
            </w:r>
            <w:r>
              <w:rPr>
                <w:rFonts w:hint="eastAsia" w:ascii="宋体" w:hAnsi="宋体"/>
                <w:snapToGrid w:val="0"/>
                <w:color w:val="auto"/>
                <w:kern w:val="0"/>
                <w:sz w:val="24"/>
                <w:highlight w:val="none"/>
              </w:rPr>
              <w:t>、</w:t>
            </w:r>
            <w:r>
              <w:rPr>
                <w:rFonts w:ascii="宋体" w:hAnsi="宋体"/>
                <w:snapToGrid w:val="0"/>
                <w:color w:val="auto"/>
                <w:kern w:val="0"/>
                <w:sz w:val="24"/>
                <w:highlight w:val="none"/>
              </w:rPr>
              <w:t>研究重点、难点</w:t>
            </w:r>
          </w:p>
        </w:tc>
        <w:tc>
          <w:tcPr>
            <w:tcW w:w="5161" w:type="dxa"/>
            <w:vAlign w:val="center"/>
          </w:tcPr>
          <w:p w14:paraId="62BCE377">
            <w:pPr>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投标人对本次研究</w:t>
            </w:r>
            <w:r>
              <w:rPr>
                <w:rFonts w:ascii="宋体" w:hAnsi="宋体"/>
                <w:snapToGrid w:val="0"/>
                <w:color w:val="auto"/>
                <w:kern w:val="0"/>
                <w:sz w:val="24"/>
                <w:highlight w:val="none"/>
              </w:rPr>
              <w:t>重</w:t>
            </w:r>
            <w:r>
              <w:rPr>
                <w:rFonts w:hint="eastAsia" w:ascii="宋体" w:hAnsi="宋体"/>
                <w:snapToGrid w:val="0"/>
                <w:color w:val="auto"/>
                <w:kern w:val="0"/>
                <w:sz w:val="24"/>
                <w:highlight w:val="none"/>
              </w:rPr>
              <w:t>难</w:t>
            </w:r>
            <w:r>
              <w:rPr>
                <w:rFonts w:ascii="宋体" w:hAnsi="宋体"/>
                <w:snapToGrid w:val="0"/>
                <w:color w:val="auto"/>
                <w:kern w:val="0"/>
                <w:sz w:val="24"/>
                <w:highlight w:val="none"/>
              </w:rPr>
              <w:t>点</w:t>
            </w:r>
            <w:r>
              <w:rPr>
                <w:rFonts w:hint="eastAsia" w:ascii="宋体" w:hAnsi="宋体"/>
                <w:snapToGrid w:val="0"/>
                <w:color w:val="auto"/>
                <w:kern w:val="0"/>
                <w:sz w:val="24"/>
                <w:highlight w:val="none"/>
              </w:rPr>
              <w:t>的</w:t>
            </w:r>
            <w:r>
              <w:rPr>
                <w:rFonts w:ascii="宋体" w:hAnsi="宋体"/>
                <w:snapToGrid w:val="0"/>
                <w:color w:val="auto"/>
                <w:kern w:val="0"/>
                <w:sz w:val="24"/>
                <w:highlight w:val="none"/>
              </w:rPr>
              <w:t>把握：</w:t>
            </w:r>
            <w:r>
              <w:rPr>
                <w:rFonts w:hint="eastAsia" w:ascii="宋体" w:hAnsi="宋体"/>
                <w:snapToGrid w:val="0"/>
                <w:color w:val="auto"/>
                <w:kern w:val="0"/>
                <w:sz w:val="24"/>
                <w:highlight w:val="none"/>
              </w:rPr>
              <w:t>能</w:t>
            </w:r>
            <w:r>
              <w:rPr>
                <w:rFonts w:ascii="宋体" w:hAnsi="宋体"/>
                <w:snapToGrid w:val="0"/>
                <w:color w:val="auto"/>
                <w:kern w:val="0"/>
                <w:sz w:val="24"/>
                <w:highlight w:val="none"/>
              </w:rPr>
              <w:t>准确把握本次</w:t>
            </w:r>
            <w:r>
              <w:rPr>
                <w:rFonts w:hint="eastAsia" w:ascii="宋体" w:hAnsi="宋体"/>
                <w:snapToGrid w:val="0"/>
                <w:color w:val="auto"/>
                <w:kern w:val="0"/>
                <w:sz w:val="24"/>
                <w:highlight w:val="none"/>
              </w:rPr>
              <w:t>项目</w:t>
            </w:r>
            <w:r>
              <w:rPr>
                <w:rFonts w:ascii="宋体" w:hAnsi="宋体"/>
                <w:snapToGrid w:val="0"/>
                <w:color w:val="auto"/>
                <w:kern w:val="0"/>
                <w:sz w:val="24"/>
                <w:highlight w:val="none"/>
              </w:rPr>
              <w:t>重点</w:t>
            </w:r>
            <w:r>
              <w:rPr>
                <w:rFonts w:hint="eastAsia" w:ascii="宋体" w:hAnsi="宋体"/>
                <w:snapToGrid w:val="0"/>
                <w:color w:val="auto"/>
                <w:kern w:val="0"/>
                <w:sz w:val="24"/>
                <w:highlight w:val="none"/>
              </w:rPr>
              <w:t>，包括形成对城市年度交通发展的总体评价指标、城市道路拥堵全面跟踪评估、公共交通客运全面跟踪评估等。根据提供内容的完整性、与项目的符合性进行打分。（得分：3、2、1、0）</w:t>
            </w:r>
          </w:p>
        </w:tc>
        <w:tc>
          <w:tcPr>
            <w:tcW w:w="846" w:type="dxa"/>
            <w:vAlign w:val="center"/>
          </w:tcPr>
          <w:p w14:paraId="036F2DDE">
            <w:pPr>
              <w:snapToGrid w:val="0"/>
              <w:spacing w:line="360" w:lineRule="auto"/>
              <w:jc w:val="center"/>
              <w:rPr>
                <w:rFonts w:hint="eastAsia" w:ascii="宋体" w:hAnsi="宋体" w:cs="仿宋_GB2312"/>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分</w:t>
            </w:r>
          </w:p>
        </w:tc>
        <w:tc>
          <w:tcPr>
            <w:tcW w:w="1093" w:type="dxa"/>
            <w:vAlign w:val="center"/>
          </w:tcPr>
          <w:p w14:paraId="5B3F44C2">
            <w:pPr>
              <w:snapToGrid w:val="0"/>
              <w:spacing w:line="360" w:lineRule="auto"/>
              <w:jc w:val="center"/>
              <w:rPr>
                <w:rFonts w:hint="eastAsia" w:ascii="宋体" w:hAnsi="宋体" w:cs="仿宋_GB2312"/>
                <w:bCs/>
                <w:color w:val="auto"/>
                <w:sz w:val="24"/>
                <w:highlight w:val="none"/>
              </w:rPr>
            </w:pPr>
            <w:r>
              <w:rPr>
                <w:rFonts w:hint="eastAsia" w:ascii="宋体" w:hAnsi="宋体" w:cs="仿宋_GB2312"/>
                <w:bCs/>
                <w:color w:val="auto"/>
                <w:sz w:val="24"/>
                <w:highlight w:val="none"/>
              </w:rPr>
              <w:t>主观分</w:t>
            </w:r>
          </w:p>
        </w:tc>
        <w:tc>
          <w:tcPr>
            <w:tcW w:w="1246" w:type="dxa"/>
            <w:vAlign w:val="center"/>
          </w:tcPr>
          <w:p w14:paraId="253DBFA3">
            <w:pPr>
              <w:snapToGrid w:val="0"/>
              <w:spacing w:line="360" w:lineRule="auto"/>
              <w:ind w:firstLine="480"/>
              <w:jc w:val="center"/>
              <w:rPr>
                <w:rFonts w:hint="eastAsia" w:ascii="宋体" w:hAnsi="宋体" w:cs="仿宋_GB2312"/>
                <w:color w:val="auto"/>
                <w:sz w:val="24"/>
                <w:highlight w:val="none"/>
              </w:rPr>
            </w:pPr>
          </w:p>
        </w:tc>
      </w:tr>
      <w:tr w14:paraId="1D8F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right"/>
        </w:trPr>
        <w:tc>
          <w:tcPr>
            <w:tcW w:w="1129" w:type="dxa"/>
            <w:vMerge w:val="restart"/>
            <w:vAlign w:val="center"/>
          </w:tcPr>
          <w:p w14:paraId="52FB1FC5">
            <w:pPr>
              <w:snapToGrid w:val="0"/>
              <w:spacing w:line="360" w:lineRule="auto"/>
              <w:jc w:val="center"/>
              <w:rPr>
                <w:rFonts w:hint="eastAsia" w:ascii="宋体" w:hAnsi="宋体" w:cs="仿宋_GB2312"/>
                <w:color w:val="auto"/>
                <w:sz w:val="24"/>
                <w:highlight w:val="none"/>
              </w:rPr>
            </w:pPr>
            <w:r>
              <w:rPr>
                <w:rFonts w:ascii="宋体" w:hAnsi="宋体"/>
                <w:snapToGrid w:val="0"/>
                <w:color w:val="auto"/>
                <w:kern w:val="0"/>
                <w:sz w:val="24"/>
                <w:highlight w:val="none"/>
              </w:rPr>
              <w:t>3</w:t>
            </w:r>
            <w:r>
              <w:rPr>
                <w:rFonts w:hint="eastAsia" w:ascii="宋体" w:hAnsi="宋体"/>
                <w:snapToGrid w:val="0"/>
                <w:color w:val="auto"/>
                <w:kern w:val="0"/>
                <w:sz w:val="24"/>
                <w:highlight w:val="none"/>
              </w:rPr>
              <w:t>、交通运行月报编制大纲</w:t>
            </w:r>
          </w:p>
        </w:tc>
        <w:tc>
          <w:tcPr>
            <w:tcW w:w="5161" w:type="dxa"/>
            <w:vAlign w:val="center"/>
          </w:tcPr>
          <w:p w14:paraId="06FE99F1">
            <w:pPr>
              <w:snapToGrid w:val="0"/>
              <w:spacing w:line="360" w:lineRule="auto"/>
              <w:rPr>
                <w:rFonts w:hint="eastAsia" w:ascii="宋体" w:hAnsi="宋体" w:cs="仿宋_GB2312"/>
                <w:color w:val="auto"/>
                <w:sz w:val="24"/>
                <w:highlight w:val="none"/>
              </w:rPr>
            </w:pPr>
            <w:r>
              <w:rPr>
                <w:rFonts w:hint="eastAsia" w:ascii="宋体" w:hAnsi="宋体"/>
                <w:snapToGrid w:val="0"/>
                <w:color w:val="auto"/>
                <w:kern w:val="0"/>
                <w:sz w:val="24"/>
                <w:highlight w:val="none"/>
              </w:rPr>
              <w:t>投标人对交通运行月报编制提出的大纲内容全面完整，内容包括城市道路交通拥堵情况、公共交通运营情况。</w:t>
            </w:r>
          </w:p>
        </w:tc>
        <w:tc>
          <w:tcPr>
            <w:tcW w:w="846" w:type="dxa"/>
            <w:vAlign w:val="center"/>
          </w:tcPr>
          <w:p w14:paraId="70647010">
            <w:pPr>
              <w:snapToGrid w:val="0"/>
              <w:spacing w:line="360" w:lineRule="auto"/>
              <w:jc w:val="center"/>
              <w:rPr>
                <w:rFonts w:hint="eastAsia" w:ascii="宋体" w:hAnsi="宋体" w:cs="仿宋_GB2312"/>
                <w:color w:val="auto"/>
                <w:sz w:val="24"/>
                <w:highlight w:val="none"/>
              </w:rPr>
            </w:pPr>
            <w:r>
              <w:rPr>
                <w:rFonts w:ascii="宋体" w:hAnsi="宋体" w:cs="仿宋_GB2312"/>
                <w:color w:val="auto"/>
                <w:sz w:val="24"/>
                <w:highlight w:val="none"/>
              </w:rPr>
              <w:t>/</w:t>
            </w:r>
          </w:p>
        </w:tc>
        <w:tc>
          <w:tcPr>
            <w:tcW w:w="1093" w:type="dxa"/>
            <w:vAlign w:val="center"/>
          </w:tcPr>
          <w:p w14:paraId="582C1AE2">
            <w:pPr>
              <w:snapToGrid w:val="0"/>
              <w:spacing w:line="360" w:lineRule="auto"/>
              <w:jc w:val="center"/>
              <w:rPr>
                <w:rFonts w:hint="eastAsia" w:ascii="宋体" w:hAnsi="宋体" w:cs="仿宋_GB2312"/>
                <w:color w:val="auto"/>
                <w:sz w:val="24"/>
                <w:highlight w:val="none"/>
              </w:rPr>
            </w:pPr>
            <w:r>
              <w:rPr>
                <w:rFonts w:hint="eastAsia" w:ascii="宋体" w:hAnsi="宋体" w:cs="仿宋_GB2312"/>
                <w:bCs/>
                <w:color w:val="auto"/>
                <w:sz w:val="24"/>
                <w:highlight w:val="none"/>
              </w:rPr>
              <w:t>/</w:t>
            </w:r>
          </w:p>
        </w:tc>
        <w:tc>
          <w:tcPr>
            <w:tcW w:w="1246" w:type="dxa"/>
            <w:vAlign w:val="center"/>
          </w:tcPr>
          <w:p w14:paraId="2F1040B8">
            <w:pPr>
              <w:snapToGrid w:val="0"/>
              <w:spacing w:line="360" w:lineRule="auto"/>
              <w:ind w:firstLine="480"/>
              <w:rPr>
                <w:rFonts w:hint="eastAsia" w:ascii="宋体" w:hAnsi="宋体" w:cs="仿宋_GB2312"/>
                <w:color w:val="auto"/>
                <w:sz w:val="24"/>
                <w:highlight w:val="none"/>
              </w:rPr>
            </w:pPr>
          </w:p>
        </w:tc>
      </w:tr>
      <w:tr w14:paraId="6752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right"/>
        </w:trPr>
        <w:tc>
          <w:tcPr>
            <w:tcW w:w="1129" w:type="dxa"/>
            <w:vMerge w:val="continue"/>
            <w:vAlign w:val="center"/>
          </w:tcPr>
          <w:p w14:paraId="2BE926DC">
            <w:pPr>
              <w:snapToGrid w:val="0"/>
              <w:spacing w:line="360" w:lineRule="auto"/>
              <w:ind w:firstLine="480"/>
              <w:jc w:val="center"/>
              <w:rPr>
                <w:rFonts w:hint="eastAsia" w:ascii="宋体" w:hAnsi="宋体"/>
                <w:snapToGrid w:val="0"/>
                <w:color w:val="auto"/>
                <w:kern w:val="0"/>
                <w:sz w:val="24"/>
                <w:highlight w:val="none"/>
              </w:rPr>
            </w:pPr>
          </w:p>
        </w:tc>
        <w:tc>
          <w:tcPr>
            <w:tcW w:w="5161" w:type="dxa"/>
            <w:vAlign w:val="center"/>
          </w:tcPr>
          <w:p w14:paraId="2A8492F3">
            <w:pPr>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（1）城市道路交通运行情况，</w:t>
            </w:r>
            <w:r>
              <w:rPr>
                <w:rFonts w:ascii="宋体" w:hAnsi="宋体"/>
                <w:snapToGrid w:val="0"/>
                <w:color w:val="auto"/>
                <w:kern w:val="0"/>
                <w:sz w:val="24"/>
                <w:highlight w:val="none"/>
              </w:rPr>
              <w:t>包括</w:t>
            </w:r>
            <w:r>
              <w:rPr>
                <w:rFonts w:hint="eastAsia" w:ascii="宋体" w:hAnsi="宋体"/>
                <w:snapToGrid w:val="0"/>
                <w:color w:val="auto"/>
                <w:kern w:val="0"/>
                <w:sz w:val="24"/>
                <w:highlight w:val="none"/>
              </w:rPr>
              <w:t>：城市道路</w:t>
            </w:r>
            <w:r>
              <w:rPr>
                <w:rFonts w:ascii="宋体" w:hAnsi="宋体"/>
                <w:snapToGrid w:val="0"/>
                <w:color w:val="auto"/>
                <w:kern w:val="0"/>
                <w:sz w:val="24"/>
                <w:highlight w:val="none"/>
              </w:rPr>
              <w:t>拥堵指数、</w:t>
            </w:r>
            <w:r>
              <w:rPr>
                <w:rFonts w:hint="eastAsia" w:ascii="宋体" w:hAnsi="宋体"/>
                <w:snapToGrid w:val="0"/>
                <w:color w:val="auto"/>
                <w:kern w:val="0"/>
                <w:sz w:val="24"/>
                <w:highlight w:val="none"/>
              </w:rPr>
              <w:t>平均</w:t>
            </w:r>
            <w:r>
              <w:rPr>
                <w:rFonts w:ascii="宋体" w:hAnsi="宋体"/>
                <w:snapToGrid w:val="0"/>
                <w:color w:val="auto"/>
                <w:kern w:val="0"/>
                <w:sz w:val="24"/>
                <w:highlight w:val="none"/>
              </w:rPr>
              <w:t>运行速度</w:t>
            </w:r>
            <w:r>
              <w:rPr>
                <w:rFonts w:hint="eastAsia" w:ascii="宋体" w:hAnsi="宋体"/>
                <w:snapToGrid w:val="0"/>
                <w:color w:val="auto"/>
                <w:kern w:val="0"/>
                <w:sz w:val="24"/>
                <w:highlight w:val="none"/>
              </w:rPr>
              <w:t>等方面。根据提供内容的针对性、完整性进行打分。（得分：4、3、2、1、0）</w:t>
            </w:r>
          </w:p>
        </w:tc>
        <w:tc>
          <w:tcPr>
            <w:tcW w:w="846" w:type="dxa"/>
            <w:vAlign w:val="center"/>
          </w:tcPr>
          <w:p w14:paraId="3B0643A1">
            <w:pPr>
              <w:snapToGri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4分</w:t>
            </w:r>
          </w:p>
        </w:tc>
        <w:tc>
          <w:tcPr>
            <w:tcW w:w="1093" w:type="dxa"/>
            <w:vAlign w:val="center"/>
          </w:tcPr>
          <w:p w14:paraId="7A5D38AC">
            <w:pPr>
              <w:snapToGrid w:val="0"/>
              <w:spacing w:line="360" w:lineRule="auto"/>
              <w:jc w:val="center"/>
              <w:rPr>
                <w:rFonts w:hint="eastAsia" w:ascii="宋体" w:hAnsi="宋体" w:cs="仿宋_GB2312"/>
                <w:bCs/>
                <w:color w:val="auto"/>
                <w:sz w:val="24"/>
                <w:highlight w:val="none"/>
              </w:rPr>
            </w:pPr>
            <w:r>
              <w:rPr>
                <w:rFonts w:hint="eastAsia" w:ascii="宋体" w:hAnsi="宋体" w:cs="仿宋_GB2312"/>
                <w:bCs/>
                <w:color w:val="auto"/>
                <w:sz w:val="24"/>
                <w:highlight w:val="none"/>
              </w:rPr>
              <w:t>主观分</w:t>
            </w:r>
          </w:p>
        </w:tc>
        <w:tc>
          <w:tcPr>
            <w:tcW w:w="1246" w:type="dxa"/>
            <w:vAlign w:val="center"/>
          </w:tcPr>
          <w:p w14:paraId="65541FBC">
            <w:pPr>
              <w:snapToGrid w:val="0"/>
              <w:spacing w:line="360" w:lineRule="auto"/>
              <w:ind w:firstLine="480"/>
              <w:rPr>
                <w:rFonts w:hint="eastAsia" w:ascii="宋体" w:hAnsi="宋体" w:cs="仿宋_GB2312"/>
                <w:color w:val="auto"/>
                <w:sz w:val="24"/>
                <w:highlight w:val="none"/>
              </w:rPr>
            </w:pPr>
          </w:p>
        </w:tc>
      </w:tr>
      <w:tr w14:paraId="3D3F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right"/>
        </w:trPr>
        <w:tc>
          <w:tcPr>
            <w:tcW w:w="1129" w:type="dxa"/>
            <w:vMerge w:val="continue"/>
            <w:vAlign w:val="center"/>
          </w:tcPr>
          <w:p w14:paraId="5CB53F66">
            <w:pPr>
              <w:snapToGrid w:val="0"/>
              <w:spacing w:line="360" w:lineRule="auto"/>
              <w:ind w:firstLine="480"/>
              <w:jc w:val="center"/>
              <w:rPr>
                <w:rFonts w:hint="eastAsia" w:ascii="宋体" w:hAnsi="宋体"/>
                <w:snapToGrid w:val="0"/>
                <w:color w:val="auto"/>
                <w:kern w:val="0"/>
                <w:sz w:val="24"/>
                <w:highlight w:val="none"/>
              </w:rPr>
            </w:pPr>
          </w:p>
        </w:tc>
        <w:tc>
          <w:tcPr>
            <w:tcW w:w="5161" w:type="dxa"/>
            <w:vAlign w:val="center"/>
          </w:tcPr>
          <w:p w14:paraId="304E21C5">
            <w:pPr>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（2）公共交通运营情况，</w:t>
            </w:r>
            <w:r>
              <w:rPr>
                <w:rFonts w:ascii="宋体" w:hAnsi="宋体"/>
                <w:snapToGrid w:val="0"/>
                <w:color w:val="auto"/>
                <w:kern w:val="0"/>
                <w:sz w:val="24"/>
                <w:highlight w:val="none"/>
              </w:rPr>
              <w:t>包括</w:t>
            </w:r>
            <w:r>
              <w:rPr>
                <w:rFonts w:hint="eastAsia" w:ascii="宋体" w:hAnsi="宋体"/>
                <w:snapToGrid w:val="0"/>
                <w:color w:val="auto"/>
                <w:kern w:val="0"/>
                <w:sz w:val="24"/>
                <w:highlight w:val="none"/>
              </w:rPr>
              <w:t>：轨道交通运营情况、公共汽（电）车运营情况等。根据提供内容的针对性、完整性进行打分。（得分：4、3、2、1、0）</w:t>
            </w:r>
          </w:p>
        </w:tc>
        <w:tc>
          <w:tcPr>
            <w:tcW w:w="846" w:type="dxa"/>
            <w:vAlign w:val="center"/>
          </w:tcPr>
          <w:p w14:paraId="407243C1">
            <w:pPr>
              <w:snapToGrid w:val="0"/>
              <w:spacing w:line="360" w:lineRule="auto"/>
              <w:jc w:val="center"/>
              <w:rPr>
                <w:rFonts w:hint="eastAsia"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分</w:t>
            </w:r>
          </w:p>
        </w:tc>
        <w:tc>
          <w:tcPr>
            <w:tcW w:w="1093" w:type="dxa"/>
            <w:vAlign w:val="center"/>
          </w:tcPr>
          <w:p w14:paraId="7A9E1E00">
            <w:pPr>
              <w:snapToGrid w:val="0"/>
              <w:spacing w:line="360" w:lineRule="auto"/>
              <w:jc w:val="center"/>
              <w:rPr>
                <w:rFonts w:hint="eastAsia" w:ascii="宋体" w:hAnsi="宋体" w:cs="仿宋_GB2312"/>
                <w:bCs/>
                <w:color w:val="auto"/>
                <w:sz w:val="24"/>
                <w:highlight w:val="none"/>
              </w:rPr>
            </w:pPr>
            <w:r>
              <w:rPr>
                <w:rFonts w:hint="eastAsia" w:ascii="宋体" w:hAnsi="宋体" w:cs="仿宋_GB2312"/>
                <w:bCs/>
                <w:color w:val="auto"/>
                <w:sz w:val="24"/>
                <w:highlight w:val="none"/>
              </w:rPr>
              <w:t>主观分</w:t>
            </w:r>
          </w:p>
        </w:tc>
        <w:tc>
          <w:tcPr>
            <w:tcW w:w="1246" w:type="dxa"/>
            <w:vAlign w:val="center"/>
          </w:tcPr>
          <w:p w14:paraId="1EF1CC81">
            <w:pPr>
              <w:snapToGrid w:val="0"/>
              <w:spacing w:line="360" w:lineRule="auto"/>
              <w:ind w:firstLine="480"/>
              <w:rPr>
                <w:rFonts w:hint="eastAsia" w:ascii="宋体" w:hAnsi="宋体" w:cs="仿宋_GB2312"/>
                <w:color w:val="auto"/>
                <w:sz w:val="24"/>
                <w:highlight w:val="none"/>
              </w:rPr>
            </w:pPr>
          </w:p>
        </w:tc>
      </w:tr>
      <w:tr w14:paraId="65D1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right"/>
        </w:trPr>
        <w:tc>
          <w:tcPr>
            <w:tcW w:w="1129" w:type="dxa"/>
            <w:vMerge w:val="restart"/>
            <w:vAlign w:val="center"/>
          </w:tcPr>
          <w:p w14:paraId="3D2ACF34">
            <w:pPr>
              <w:snapToGrid w:val="0"/>
              <w:spacing w:line="360" w:lineRule="auto"/>
              <w:jc w:val="center"/>
              <w:rPr>
                <w:rFonts w:hint="eastAsia" w:ascii="宋体" w:hAnsi="宋体"/>
                <w:snapToGrid w:val="0"/>
                <w:color w:val="auto"/>
                <w:kern w:val="0"/>
                <w:sz w:val="24"/>
                <w:highlight w:val="none"/>
              </w:rPr>
            </w:pPr>
            <w:r>
              <w:rPr>
                <w:rFonts w:ascii="宋体" w:hAnsi="宋体"/>
                <w:snapToGrid w:val="0"/>
                <w:color w:val="auto"/>
                <w:kern w:val="0"/>
                <w:sz w:val="24"/>
                <w:highlight w:val="none"/>
              </w:rPr>
              <w:t>4</w:t>
            </w:r>
            <w:r>
              <w:rPr>
                <w:rFonts w:hint="eastAsia" w:ascii="宋体" w:hAnsi="宋体"/>
                <w:snapToGrid w:val="0"/>
                <w:color w:val="auto"/>
                <w:kern w:val="0"/>
                <w:sz w:val="24"/>
                <w:highlight w:val="none"/>
              </w:rPr>
              <w:t>、交通运行季报编制大纲</w:t>
            </w:r>
          </w:p>
        </w:tc>
        <w:tc>
          <w:tcPr>
            <w:tcW w:w="5161" w:type="dxa"/>
            <w:vAlign w:val="center"/>
          </w:tcPr>
          <w:p w14:paraId="2E5BE511">
            <w:pPr>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投标人对交通运行季报编制提出的大纲内容全面完整，内容包括城市道路交通拥堵情况，公共交通运营情况。</w:t>
            </w:r>
          </w:p>
        </w:tc>
        <w:tc>
          <w:tcPr>
            <w:tcW w:w="846" w:type="dxa"/>
            <w:vAlign w:val="center"/>
          </w:tcPr>
          <w:p w14:paraId="166F9B97">
            <w:pPr>
              <w:snapToGrid w:val="0"/>
              <w:spacing w:line="360" w:lineRule="auto"/>
              <w:jc w:val="center"/>
              <w:rPr>
                <w:rFonts w:hint="eastAsia" w:ascii="宋体" w:hAnsi="宋体" w:cs="仿宋_GB2312"/>
                <w:color w:val="auto"/>
                <w:sz w:val="24"/>
                <w:highlight w:val="none"/>
              </w:rPr>
            </w:pPr>
            <w:r>
              <w:rPr>
                <w:rFonts w:ascii="宋体" w:hAnsi="宋体" w:cs="仿宋_GB2312"/>
                <w:color w:val="auto"/>
                <w:sz w:val="24"/>
                <w:highlight w:val="none"/>
              </w:rPr>
              <w:t>/</w:t>
            </w:r>
          </w:p>
        </w:tc>
        <w:tc>
          <w:tcPr>
            <w:tcW w:w="1093" w:type="dxa"/>
            <w:vAlign w:val="center"/>
          </w:tcPr>
          <w:p w14:paraId="52B09E3C">
            <w:pPr>
              <w:snapToGrid w:val="0"/>
              <w:spacing w:line="360" w:lineRule="auto"/>
              <w:rPr>
                <w:rFonts w:hint="eastAsia" w:ascii="宋体" w:hAnsi="宋体" w:cs="仿宋_GB2312"/>
                <w:color w:val="auto"/>
                <w:sz w:val="24"/>
                <w:highlight w:val="none"/>
              </w:rPr>
            </w:pPr>
            <w:r>
              <w:rPr>
                <w:rFonts w:hint="eastAsia" w:ascii="宋体" w:hAnsi="宋体" w:cs="仿宋_GB2312"/>
                <w:bCs/>
                <w:color w:val="auto"/>
                <w:sz w:val="24"/>
                <w:highlight w:val="none"/>
              </w:rPr>
              <w:t>/</w:t>
            </w:r>
          </w:p>
        </w:tc>
        <w:tc>
          <w:tcPr>
            <w:tcW w:w="1246" w:type="dxa"/>
            <w:vAlign w:val="center"/>
          </w:tcPr>
          <w:p w14:paraId="5CB34E58">
            <w:pPr>
              <w:snapToGrid w:val="0"/>
              <w:spacing w:line="360" w:lineRule="auto"/>
              <w:ind w:firstLine="480"/>
              <w:jc w:val="center"/>
              <w:rPr>
                <w:rFonts w:hint="eastAsia" w:ascii="宋体" w:hAnsi="宋体" w:cs="仿宋_GB2312"/>
                <w:color w:val="auto"/>
                <w:sz w:val="24"/>
                <w:highlight w:val="none"/>
              </w:rPr>
            </w:pPr>
          </w:p>
        </w:tc>
      </w:tr>
      <w:tr w14:paraId="705E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right"/>
        </w:trPr>
        <w:tc>
          <w:tcPr>
            <w:tcW w:w="1129" w:type="dxa"/>
            <w:vMerge w:val="continue"/>
            <w:vAlign w:val="center"/>
          </w:tcPr>
          <w:p w14:paraId="2E048679">
            <w:pPr>
              <w:snapToGrid w:val="0"/>
              <w:spacing w:line="360" w:lineRule="auto"/>
              <w:ind w:firstLine="480"/>
              <w:jc w:val="center"/>
              <w:rPr>
                <w:rFonts w:hint="eastAsia" w:ascii="宋体" w:hAnsi="宋体"/>
                <w:snapToGrid w:val="0"/>
                <w:color w:val="auto"/>
                <w:kern w:val="0"/>
                <w:sz w:val="24"/>
                <w:highlight w:val="none"/>
              </w:rPr>
            </w:pPr>
          </w:p>
        </w:tc>
        <w:tc>
          <w:tcPr>
            <w:tcW w:w="5161" w:type="dxa"/>
            <w:vAlign w:val="center"/>
          </w:tcPr>
          <w:p w14:paraId="7EA7A4FF">
            <w:pPr>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（1）城市道路交通运行情况：</w:t>
            </w:r>
            <w:r>
              <w:rPr>
                <w:rFonts w:ascii="宋体" w:hAnsi="宋体"/>
                <w:snapToGrid w:val="0"/>
                <w:color w:val="auto"/>
                <w:kern w:val="0"/>
                <w:sz w:val="24"/>
                <w:highlight w:val="none"/>
              </w:rPr>
              <w:t>包括</w:t>
            </w:r>
            <w:r>
              <w:rPr>
                <w:rFonts w:hint="eastAsia" w:ascii="宋体" w:hAnsi="宋体"/>
                <w:snapToGrid w:val="0"/>
                <w:color w:val="auto"/>
                <w:kern w:val="0"/>
                <w:sz w:val="24"/>
                <w:highlight w:val="none"/>
              </w:rPr>
              <w:t>：城市道路</w:t>
            </w:r>
            <w:r>
              <w:rPr>
                <w:rFonts w:ascii="宋体" w:hAnsi="宋体"/>
                <w:snapToGrid w:val="0"/>
                <w:color w:val="auto"/>
                <w:kern w:val="0"/>
                <w:sz w:val="24"/>
                <w:highlight w:val="none"/>
              </w:rPr>
              <w:t>拥堵指数、</w:t>
            </w:r>
            <w:r>
              <w:rPr>
                <w:rFonts w:hint="eastAsia" w:ascii="宋体" w:hAnsi="宋体"/>
                <w:snapToGrid w:val="0"/>
                <w:color w:val="auto"/>
                <w:kern w:val="0"/>
                <w:sz w:val="24"/>
                <w:highlight w:val="none"/>
              </w:rPr>
              <w:t>平均</w:t>
            </w:r>
            <w:r>
              <w:rPr>
                <w:rFonts w:ascii="宋体" w:hAnsi="宋体"/>
                <w:snapToGrid w:val="0"/>
                <w:color w:val="auto"/>
                <w:kern w:val="0"/>
                <w:sz w:val="24"/>
                <w:highlight w:val="none"/>
              </w:rPr>
              <w:t>运行速度</w:t>
            </w:r>
            <w:r>
              <w:rPr>
                <w:rFonts w:hint="eastAsia" w:ascii="宋体" w:hAnsi="宋体"/>
                <w:snapToGrid w:val="0"/>
                <w:color w:val="auto"/>
                <w:kern w:val="0"/>
                <w:sz w:val="24"/>
                <w:highlight w:val="none"/>
              </w:rPr>
              <w:t>等方面。根据提供内容的针对性、完整性进行打分。（得分：4、3、2、1、0）</w:t>
            </w:r>
          </w:p>
        </w:tc>
        <w:tc>
          <w:tcPr>
            <w:tcW w:w="846" w:type="dxa"/>
            <w:vAlign w:val="center"/>
          </w:tcPr>
          <w:p w14:paraId="0071D110">
            <w:pPr>
              <w:snapToGri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4分</w:t>
            </w:r>
          </w:p>
        </w:tc>
        <w:tc>
          <w:tcPr>
            <w:tcW w:w="1093" w:type="dxa"/>
            <w:vAlign w:val="center"/>
          </w:tcPr>
          <w:p w14:paraId="296E0132">
            <w:pPr>
              <w:snapToGrid w:val="0"/>
              <w:spacing w:line="360" w:lineRule="auto"/>
              <w:rPr>
                <w:rFonts w:hint="eastAsia" w:ascii="宋体" w:hAnsi="宋体" w:cs="仿宋_GB2312"/>
                <w:bCs/>
                <w:color w:val="auto"/>
                <w:sz w:val="24"/>
                <w:highlight w:val="none"/>
              </w:rPr>
            </w:pPr>
            <w:r>
              <w:rPr>
                <w:rFonts w:hint="eastAsia" w:ascii="宋体" w:hAnsi="宋体" w:cs="仿宋_GB2312"/>
                <w:bCs/>
                <w:color w:val="auto"/>
                <w:sz w:val="24"/>
                <w:highlight w:val="none"/>
              </w:rPr>
              <w:t>主观分</w:t>
            </w:r>
          </w:p>
        </w:tc>
        <w:tc>
          <w:tcPr>
            <w:tcW w:w="1246" w:type="dxa"/>
            <w:vAlign w:val="center"/>
          </w:tcPr>
          <w:p w14:paraId="7C309F59">
            <w:pPr>
              <w:snapToGrid w:val="0"/>
              <w:spacing w:line="360" w:lineRule="auto"/>
              <w:ind w:firstLine="480"/>
              <w:jc w:val="center"/>
              <w:rPr>
                <w:rFonts w:hint="eastAsia" w:ascii="宋体" w:hAnsi="宋体" w:cs="仿宋_GB2312"/>
                <w:color w:val="auto"/>
                <w:sz w:val="24"/>
                <w:highlight w:val="none"/>
              </w:rPr>
            </w:pPr>
          </w:p>
        </w:tc>
      </w:tr>
      <w:tr w14:paraId="3EC3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right"/>
        </w:trPr>
        <w:tc>
          <w:tcPr>
            <w:tcW w:w="1129" w:type="dxa"/>
            <w:vMerge w:val="continue"/>
            <w:vAlign w:val="center"/>
          </w:tcPr>
          <w:p w14:paraId="62AF1984">
            <w:pPr>
              <w:snapToGrid w:val="0"/>
              <w:spacing w:line="360" w:lineRule="auto"/>
              <w:ind w:firstLine="480"/>
              <w:jc w:val="center"/>
              <w:rPr>
                <w:rFonts w:hint="eastAsia" w:ascii="宋体" w:hAnsi="宋体"/>
                <w:snapToGrid w:val="0"/>
                <w:color w:val="auto"/>
                <w:kern w:val="0"/>
                <w:sz w:val="24"/>
                <w:highlight w:val="none"/>
              </w:rPr>
            </w:pPr>
          </w:p>
        </w:tc>
        <w:tc>
          <w:tcPr>
            <w:tcW w:w="5161" w:type="dxa"/>
            <w:vAlign w:val="center"/>
          </w:tcPr>
          <w:p w14:paraId="7272D01D">
            <w:pPr>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（2）公共交通运营情况，</w:t>
            </w:r>
            <w:r>
              <w:rPr>
                <w:rFonts w:ascii="宋体" w:hAnsi="宋体"/>
                <w:snapToGrid w:val="0"/>
                <w:color w:val="auto"/>
                <w:kern w:val="0"/>
                <w:sz w:val="24"/>
                <w:highlight w:val="none"/>
              </w:rPr>
              <w:t>包括</w:t>
            </w:r>
            <w:r>
              <w:rPr>
                <w:rFonts w:hint="eastAsia" w:ascii="宋体" w:hAnsi="宋体"/>
                <w:snapToGrid w:val="0"/>
                <w:color w:val="auto"/>
                <w:kern w:val="0"/>
                <w:sz w:val="24"/>
                <w:highlight w:val="none"/>
              </w:rPr>
              <w:t>：轨道交通运营情况、公共汽（电）车运营情况等。根据提供内容的针对性、完整性进行打分。（得分：4、3、2、1、0）</w:t>
            </w:r>
          </w:p>
        </w:tc>
        <w:tc>
          <w:tcPr>
            <w:tcW w:w="846" w:type="dxa"/>
            <w:vAlign w:val="center"/>
          </w:tcPr>
          <w:p w14:paraId="39A6EFB5">
            <w:pPr>
              <w:snapToGrid w:val="0"/>
              <w:spacing w:line="360" w:lineRule="auto"/>
              <w:jc w:val="center"/>
              <w:rPr>
                <w:rFonts w:hint="eastAsia"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分</w:t>
            </w:r>
          </w:p>
        </w:tc>
        <w:tc>
          <w:tcPr>
            <w:tcW w:w="1093" w:type="dxa"/>
            <w:vAlign w:val="center"/>
          </w:tcPr>
          <w:p w14:paraId="5446C04E">
            <w:pPr>
              <w:snapToGrid w:val="0"/>
              <w:spacing w:line="360" w:lineRule="auto"/>
              <w:rPr>
                <w:rFonts w:hint="eastAsia" w:ascii="宋体" w:hAnsi="宋体" w:cs="仿宋_GB2312"/>
                <w:bCs/>
                <w:color w:val="auto"/>
                <w:sz w:val="24"/>
                <w:highlight w:val="none"/>
              </w:rPr>
            </w:pPr>
            <w:r>
              <w:rPr>
                <w:rFonts w:hint="eastAsia" w:ascii="宋体" w:hAnsi="宋体" w:cs="仿宋_GB2312"/>
                <w:bCs/>
                <w:color w:val="auto"/>
                <w:sz w:val="24"/>
                <w:highlight w:val="none"/>
              </w:rPr>
              <w:t>主观分</w:t>
            </w:r>
          </w:p>
        </w:tc>
        <w:tc>
          <w:tcPr>
            <w:tcW w:w="1246" w:type="dxa"/>
            <w:vAlign w:val="center"/>
          </w:tcPr>
          <w:p w14:paraId="394C4A1A">
            <w:pPr>
              <w:snapToGrid w:val="0"/>
              <w:spacing w:line="360" w:lineRule="auto"/>
              <w:ind w:firstLine="480"/>
              <w:jc w:val="center"/>
              <w:rPr>
                <w:rFonts w:hint="eastAsia" w:ascii="宋体" w:hAnsi="宋体" w:cs="仿宋_GB2312"/>
                <w:color w:val="auto"/>
                <w:sz w:val="24"/>
                <w:highlight w:val="none"/>
              </w:rPr>
            </w:pPr>
          </w:p>
        </w:tc>
      </w:tr>
      <w:tr w14:paraId="1BD2C974">
        <w:tblPrEx>
          <w:tblCellMar>
            <w:top w:w="0" w:type="dxa"/>
            <w:left w:w="108" w:type="dxa"/>
            <w:bottom w:w="0" w:type="dxa"/>
            <w:right w:w="108" w:type="dxa"/>
          </w:tblCellMar>
        </w:tblPrEx>
        <w:trPr>
          <w:trHeight w:val="560" w:hRule="atLeast"/>
          <w:jc w:val="right"/>
        </w:trPr>
        <w:tc>
          <w:tcPr>
            <w:tcW w:w="1129" w:type="dxa"/>
            <w:vMerge w:val="restart"/>
            <w:vAlign w:val="center"/>
          </w:tcPr>
          <w:p w14:paraId="6FCA9950">
            <w:pPr>
              <w:snapToGrid w:val="0"/>
              <w:spacing w:line="360" w:lineRule="auto"/>
              <w:jc w:val="center"/>
              <w:rPr>
                <w:rFonts w:hint="eastAsia" w:ascii="宋体" w:hAnsi="宋体"/>
                <w:snapToGrid w:val="0"/>
                <w:color w:val="auto"/>
                <w:kern w:val="0"/>
                <w:sz w:val="24"/>
                <w:highlight w:val="none"/>
              </w:rPr>
            </w:pPr>
            <w:r>
              <w:rPr>
                <w:rFonts w:ascii="宋体" w:hAnsi="宋体"/>
                <w:snapToGrid w:val="0"/>
                <w:color w:val="auto"/>
                <w:kern w:val="0"/>
                <w:sz w:val="24"/>
                <w:highlight w:val="none"/>
              </w:rPr>
              <w:t>5</w:t>
            </w:r>
            <w:r>
              <w:rPr>
                <w:rFonts w:hint="eastAsia" w:ascii="宋体" w:hAnsi="宋体"/>
                <w:snapToGrid w:val="0"/>
                <w:color w:val="auto"/>
                <w:kern w:val="0"/>
                <w:sz w:val="24"/>
                <w:highlight w:val="none"/>
              </w:rPr>
              <w:t>、交通运行年报编制大纲</w:t>
            </w:r>
          </w:p>
        </w:tc>
        <w:tc>
          <w:tcPr>
            <w:tcW w:w="5161" w:type="dxa"/>
            <w:vAlign w:val="center"/>
          </w:tcPr>
          <w:p w14:paraId="4A688647">
            <w:pPr>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投标人对交通发展年度报告编制提出的大纲内容全面完整，内容至少包括城市发展概况，综合交通发展情况，城市交通</w:t>
            </w:r>
            <w:r>
              <w:rPr>
                <w:rFonts w:ascii="宋体" w:hAnsi="宋体"/>
                <w:snapToGrid w:val="0"/>
                <w:color w:val="auto"/>
                <w:kern w:val="0"/>
                <w:sz w:val="24"/>
                <w:highlight w:val="none"/>
              </w:rPr>
              <w:t>需求</w:t>
            </w:r>
            <w:r>
              <w:rPr>
                <w:rFonts w:hint="eastAsia" w:ascii="宋体" w:hAnsi="宋体"/>
                <w:snapToGrid w:val="0"/>
                <w:color w:val="auto"/>
                <w:kern w:val="0"/>
                <w:sz w:val="24"/>
                <w:highlight w:val="none"/>
              </w:rPr>
              <w:t>，道路交通运行情况，城市客运交通情况，重大交通政策实施前后对比</w:t>
            </w:r>
            <w:r>
              <w:rPr>
                <w:rFonts w:ascii="宋体" w:hAnsi="宋体"/>
                <w:snapToGrid w:val="0"/>
                <w:color w:val="auto"/>
                <w:kern w:val="0"/>
                <w:sz w:val="24"/>
                <w:highlight w:val="none"/>
              </w:rPr>
              <w:t>分析</w:t>
            </w:r>
            <w:r>
              <w:rPr>
                <w:rFonts w:hint="eastAsia" w:ascii="宋体" w:hAnsi="宋体"/>
                <w:snapToGrid w:val="0"/>
                <w:color w:val="auto"/>
                <w:kern w:val="0"/>
                <w:sz w:val="24"/>
                <w:highlight w:val="none"/>
              </w:rPr>
              <w:t>。</w:t>
            </w:r>
          </w:p>
        </w:tc>
        <w:tc>
          <w:tcPr>
            <w:tcW w:w="846" w:type="dxa"/>
            <w:vAlign w:val="center"/>
          </w:tcPr>
          <w:p w14:paraId="26F42125">
            <w:pPr>
              <w:snapToGrid w:val="0"/>
              <w:spacing w:line="360" w:lineRule="auto"/>
              <w:jc w:val="center"/>
              <w:rPr>
                <w:rFonts w:hint="eastAsia" w:ascii="宋体" w:hAnsi="宋体" w:cs="仿宋_GB2312"/>
                <w:color w:val="auto"/>
                <w:sz w:val="24"/>
                <w:highlight w:val="none"/>
              </w:rPr>
            </w:pPr>
            <w:r>
              <w:rPr>
                <w:rFonts w:ascii="宋体" w:hAnsi="宋体" w:cs="仿宋_GB2312"/>
                <w:color w:val="auto"/>
                <w:sz w:val="24"/>
                <w:highlight w:val="none"/>
              </w:rPr>
              <w:t>/</w:t>
            </w:r>
          </w:p>
        </w:tc>
        <w:tc>
          <w:tcPr>
            <w:tcW w:w="1093" w:type="dxa"/>
            <w:vAlign w:val="center"/>
          </w:tcPr>
          <w:p w14:paraId="7EA849A0">
            <w:pPr>
              <w:snapToGrid w:val="0"/>
              <w:spacing w:line="360" w:lineRule="auto"/>
              <w:jc w:val="center"/>
              <w:rPr>
                <w:rFonts w:hint="eastAsia" w:ascii="宋体" w:hAnsi="宋体" w:cs="仿宋_GB2312"/>
                <w:color w:val="auto"/>
                <w:sz w:val="24"/>
                <w:highlight w:val="none"/>
              </w:rPr>
            </w:pPr>
            <w:r>
              <w:rPr>
                <w:rFonts w:hint="eastAsia" w:ascii="宋体" w:hAnsi="宋体" w:cs="仿宋_GB2312"/>
                <w:bCs/>
                <w:color w:val="auto"/>
                <w:sz w:val="24"/>
                <w:highlight w:val="none"/>
              </w:rPr>
              <w:t>/</w:t>
            </w:r>
          </w:p>
        </w:tc>
        <w:tc>
          <w:tcPr>
            <w:tcW w:w="1246" w:type="dxa"/>
            <w:vAlign w:val="center"/>
          </w:tcPr>
          <w:p w14:paraId="191D8061">
            <w:pPr>
              <w:snapToGrid w:val="0"/>
              <w:spacing w:line="360" w:lineRule="auto"/>
              <w:ind w:firstLine="480"/>
              <w:jc w:val="center"/>
              <w:rPr>
                <w:rFonts w:hint="eastAsia" w:ascii="宋体" w:hAnsi="宋体" w:cs="仿宋_GB2312"/>
                <w:color w:val="auto"/>
                <w:sz w:val="24"/>
                <w:highlight w:val="none"/>
              </w:rPr>
            </w:pPr>
          </w:p>
        </w:tc>
      </w:tr>
      <w:tr w14:paraId="1FAC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right"/>
        </w:trPr>
        <w:tc>
          <w:tcPr>
            <w:tcW w:w="1129" w:type="dxa"/>
            <w:vMerge w:val="continue"/>
            <w:vAlign w:val="center"/>
          </w:tcPr>
          <w:p w14:paraId="0087342C">
            <w:pPr>
              <w:snapToGrid w:val="0"/>
              <w:spacing w:line="360" w:lineRule="auto"/>
              <w:ind w:firstLine="480"/>
              <w:jc w:val="center"/>
              <w:rPr>
                <w:rFonts w:hint="eastAsia" w:ascii="宋体" w:hAnsi="宋体"/>
                <w:snapToGrid w:val="0"/>
                <w:color w:val="auto"/>
                <w:kern w:val="0"/>
                <w:sz w:val="24"/>
                <w:highlight w:val="none"/>
              </w:rPr>
            </w:pPr>
          </w:p>
        </w:tc>
        <w:tc>
          <w:tcPr>
            <w:tcW w:w="5161" w:type="dxa"/>
            <w:vAlign w:val="center"/>
          </w:tcPr>
          <w:p w14:paraId="5DE924F8">
            <w:pPr>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（1）城市发展概况，</w:t>
            </w:r>
            <w:r>
              <w:rPr>
                <w:rFonts w:ascii="宋体" w:hAnsi="宋体"/>
                <w:snapToGrid w:val="0"/>
                <w:color w:val="auto"/>
                <w:kern w:val="0"/>
                <w:sz w:val="24"/>
                <w:highlight w:val="none"/>
              </w:rPr>
              <w:t>包括</w:t>
            </w:r>
            <w:r>
              <w:rPr>
                <w:rFonts w:hint="eastAsia" w:ascii="宋体" w:hAnsi="宋体"/>
                <w:snapToGrid w:val="0"/>
                <w:color w:val="auto"/>
                <w:kern w:val="0"/>
                <w:sz w:val="24"/>
                <w:highlight w:val="none"/>
              </w:rPr>
              <w:t>：城市空间发展、城市人口发展、城市经济发展等。根据提供内容的针对性、完整性进行打分。（得分：5、4、3、2、1、0）</w:t>
            </w:r>
          </w:p>
        </w:tc>
        <w:tc>
          <w:tcPr>
            <w:tcW w:w="846" w:type="dxa"/>
            <w:vAlign w:val="center"/>
          </w:tcPr>
          <w:p w14:paraId="543C25A5">
            <w:pPr>
              <w:snapToGrid w:val="0"/>
              <w:spacing w:line="360" w:lineRule="auto"/>
              <w:jc w:val="center"/>
              <w:rPr>
                <w:rFonts w:hint="eastAsia"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分</w:t>
            </w:r>
          </w:p>
        </w:tc>
        <w:tc>
          <w:tcPr>
            <w:tcW w:w="1093" w:type="dxa"/>
            <w:vAlign w:val="center"/>
          </w:tcPr>
          <w:p w14:paraId="227D114C">
            <w:pPr>
              <w:snapToGrid w:val="0"/>
              <w:spacing w:line="360" w:lineRule="auto"/>
              <w:jc w:val="center"/>
              <w:rPr>
                <w:rFonts w:hint="eastAsia" w:ascii="宋体" w:hAnsi="宋体" w:cs="仿宋_GB2312"/>
                <w:bCs/>
                <w:color w:val="auto"/>
                <w:sz w:val="24"/>
                <w:highlight w:val="none"/>
              </w:rPr>
            </w:pPr>
            <w:r>
              <w:rPr>
                <w:rFonts w:hint="eastAsia" w:ascii="宋体" w:hAnsi="宋体" w:cs="仿宋_GB2312"/>
                <w:bCs/>
                <w:color w:val="auto"/>
                <w:sz w:val="24"/>
                <w:highlight w:val="none"/>
              </w:rPr>
              <w:t>主观分</w:t>
            </w:r>
          </w:p>
        </w:tc>
        <w:tc>
          <w:tcPr>
            <w:tcW w:w="1246" w:type="dxa"/>
            <w:vAlign w:val="center"/>
          </w:tcPr>
          <w:p w14:paraId="330D48BB">
            <w:pPr>
              <w:snapToGrid w:val="0"/>
              <w:spacing w:line="360" w:lineRule="auto"/>
              <w:ind w:firstLine="480"/>
              <w:jc w:val="center"/>
              <w:rPr>
                <w:rFonts w:hint="eastAsia" w:ascii="宋体" w:hAnsi="宋体" w:cs="仿宋_GB2312"/>
                <w:color w:val="auto"/>
                <w:sz w:val="24"/>
                <w:highlight w:val="none"/>
              </w:rPr>
            </w:pPr>
          </w:p>
        </w:tc>
      </w:tr>
      <w:tr w14:paraId="60D5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right"/>
        </w:trPr>
        <w:tc>
          <w:tcPr>
            <w:tcW w:w="1129" w:type="dxa"/>
            <w:vMerge w:val="continue"/>
            <w:vAlign w:val="center"/>
          </w:tcPr>
          <w:p w14:paraId="25FAE55F">
            <w:pPr>
              <w:snapToGrid w:val="0"/>
              <w:spacing w:line="360" w:lineRule="auto"/>
              <w:ind w:firstLine="480"/>
              <w:jc w:val="center"/>
              <w:rPr>
                <w:rFonts w:hint="eastAsia" w:ascii="宋体" w:hAnsi="宋体"/>
                <w:snapToGrid w:val="0"/>
                <w:color w:val="auto"/>
                <w:kern w:val="0"/>
                <w:sz w:val="24"/>
                <w:highlight w:val="none"/>
              </w:rPr>
            </w:pPr>
          </w:p>
        </w:tc>
        <w:tc>
          <w:tcPr>
            <w:tcW w:w="5161" w:type="dxa"/>
            <w:vAlign w:val="center"/>
          </w:tcPr>
          <w:p w14:paraId="253E2C9A">
            <w:pPr>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（2）综合交通发展情况，</w:t>
            </w:r>
            <w:r>
              <w:rPr>
                <w:rFonts w:ascii="宋体" w:hAnsi="宋体"/>
                <w:snapToGrid w:val="0"/>
                <w:color w:val="auto"/>
                <w:kern w:val="0"/>
                <w:sz w:val="24"/>
                <w:highlight w:val="none"/>
              </w:rPr>
              <w:t>包括</w:t>
            </w:r>
            <w:r>
              <w:rPr>
                <w:rFonts w:hint="eastAsia" w:ascii="宋体" w:hAnsi="宋体"/>
                <w:snapToGrid w:val="0"/>
                <w:color w:val="auto"/>
                <w:kern w:val="0"/>
                <w:sz w:val="24"/>
                <w:highlight w:val="none"/>
              </w:rPr>
              <w:t>：道路基础设施、公共交通基础设施、停车设施等。根据提供内容的针对性、完整性进行打分。（得分：5、4、3、2、1、0）</w:t>
            </w:r>
          </w:p>
        </w:tc>
        <w:tc>
          <w:tcPr>
            <w:tcW w:w="846" w:type="dxa"/>
            <w:vAlign w:val="center"/>
          </w:tcPr>
          <w:p w14:paraId="5D41E789">
            <w:pPr>
              <w:snapToGrid w:val="0"/>
              <w:spacing w:line="360" w:lineRule="auto"/>
              <w:jc w:val="center"/>
              <w:rPr>
                <w:rFonts w:hint="eastAsia"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分</w:t>
            </w:r>
          </w:p>
        </w:tc>
        <w:tc>
          <w:tcPr>
            <w:tcW w:w="1093" w:type="dxa"/>
            <w:vAlign w:val="center"/>
          </w:tcPr>
          <w:p w14:paraId="445C5992">
            <w:pPr>
              <w:snapToGrid w:val="0"/>
              <w:spacing w:line="360" w:lineRule="auto"/>
              <w:jc w:val="center"/>
              <w:rPr>
                <w:rFonts w:hint="eastAsia" w:ascii="宋体" w:hAnsi="宋体" w:cs="仿宋_GB2312"/>
                <w:bCs/>
                <w:color w:val="auto"/>
                <w:sz w:val="24"/>
                <w:highlight w:val="none"/>
              </w:rPr>
            </w:pPr>
            <w:r>
              <w:rPr>
                <w:rFonts w:hint="eastAsia" w:ascii="宋体" w:hAnsi="宋体" w:cs="仿宋_GB2312"/>
                <w:bCs/>
                <w:color w:val="auto"/>
                <w:sz w:val="24"/>
                <w:highlight w:val="none"/>
              </w:rPr>
              <w:t>主观分</w:t>
            </w:r>
          </w:p>
        </w:tc>
        <w:tc>
          <w:tcPr>
            <w:tcW w:w="1246" w:type="dxa"/>
            <w:vAlign w:val="center"/>
          </w:tcPr>
          <w:p w14:paraId="25E517F9">
            <w:pPr>
              <w:snapToGrid w:val="0"/>
              <w:spacing w:line="360" w:lineRule="auto"/>
              <w:ind w:firstLine="480"/>
              <w:jc w:val="center"/>
              <w:rPr>
                <w:rFonts w:hint="eastAsia" w:ascii="宋体" w:hAnsi="宋体" w:cs="仿宋_GB2312"/>
                <w:color w:val="auto"/>
                <w:sz w:val="24"/>
                <w:highlight w:val="none"/>
              </w:rPr>
            </w:pPr>
          </w:p>
        </w:tc>
      </w:tr>
      <w:tr w14:paraId="49BD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right"/>
        </w:trPr>
        <w:tc>
          <w:tcPr>
            <w:tcW w:w="1129" w:type="dxa"/>
            <w:vMerge w:val="continue"/>
            <w:vAlign w:val="center"/>
          </w:tcPr>
          <w:p w14:paraId="76FACDB9">
            <w:pPr>
              <w:snapToGrid w:val="0"/>
              <w:spacing w:line="360" w:lineRule="auto"/>
              <w:ind w:firstLine="480"/>
              <w:jc w:val="center"/>
              <w:rPr>
                <w:rFonts w:hint="eastAsia" w:ascii="宋体" w:hAnsi="宋体"/>
                <w:snapToGrid w:val="0"/>
                <w:color w:val="auto"/>
                <w:kern w:val="0"/>
                <w:sz w:val="24"/>
                <w:highlight w:val="none"/>
              </w:rPr>
            </w:pPr>
          </w:p>
        </w:tc>
        <w:tc>
          <w:tcPr>
            <w:tcW w:w="5161" w:type="dxa"/>
            <w:vAlign w:val="center"/>
          </w:tcPr>
          <w:p w14:paraId="0EB328E6">
            <w:pPr>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（3）城市交通</w:t>
            </w:r>
            <w:r>
              <w:rPr>
                <w:rFonts w:ascii="宋体" w:hAnsi="宋体"/>
                <w:snapToGrid w:val="0"/>
                <w:color w:val="auto"/>
                <w:kern w:val="0"/>
                <w:sz w:val="24"/>
                <w:highlight w:val="none"/>
              </w:rPr>
              <w:t>需求</w:t>
            </w:r>
            <w:r>
              <w:rPr>
                <w:rFonts w:hint="eastAsia" w:ascii="宋体" w:hAnsi="宋体"/>
                <w:snapToGrid w:val="0"/>
                <w:color w:val="auto"/>
                <w:kern w:val="0"/>
                <w:sz w:val="24"/>
                <w:highlight w:val="none"/>
              </w:rPr>
              <w:t>，</w:t>
            </w:r>
            <w:r>
              <w:rPr>
                <w:rFonts w:ascii="宋体" w:hAnsi="宋体"/>
                <w:snapToGrid w:val="0"/>
                <w:color w:val="auto"/>
                <w:kern w:val="0"/>
                <w:sz w:val="24"/>
                <w:highlight w:val="none"/>
              </w:rPr>
              <w:t>包括</w:t>
            </w:r>
            <w:r>
              <w:rPr>
                <w:rFonts w:hint="eastAsia" w:ascii="宋体" w:hAnsi="宋体"/>
                <w:snapToGrid w:val="0"/>
                <w:color w:val="auto"/>
                <w:kern w:val="0"/>
                <w:sz w:val="24"/>
                <w:highlight w:val="none"/>
              </w:rPr>
              <w:t>：车辆发展、居民出行特征等。根据提供内容的针对性、完整性进行打分。（得分：5、4、3、2、1、0）</w:t>
            </w:r>
          </w:p>
        </w:tc>
        <w:tc>
          <w:tcPr>
            <w:tcW w:w="846" w:type="dxa"/>
            <w:vAlign w:val="center"/>
          </w:tcPr>
          <w:p w14:paraId="0A34A83F">
            <w:pPr>
              <w:snapToGrid w:val="0"/>
              <w:spacing w:line="360" w:lineRule="auto"/>
              <w:jc w:val="center"/>
              <w:rPr>
                <w:rFonts w:hint="eastAsia"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分</w:t>
            </w:r>
          </w:p>
        </w:tc>
        <w:tc>
          <w:tcPr>
            <w:tcW w:w="1093" w:type="dxa"/>
            <w:vAlign w:val="center"/>
          </w:tcPr>
          <w:p w14:paraId="21271E34">
            <w:pPr>
              <w:snapToGrid w:val="0"/>
              <w:spacing w:line="360" w:lineRule="auto"/>
              <w:jc w:val="center"/>
              <w:rPr>
                <w:rFonts w:hint="eastAsia" w:ascii="宋体" w:hAnsi="宋体" w:cs="仿宋_GB2312"/>
                <w:bCs/>
                <w:color w:val="auto"/>
                <w:sz w:val="24"/>
                <w:highlight w:val="none"/>
              </w:rPr>
            </w:pPr>
            <w:r>
              <w:rPr>
                <w:rFonts w:hint="eastAsia" w:ascii="宋体" w:hAnsi="宋体" w:cs="仿宋_GB2312"/>
                <w:bCs/>
                <w:color w:val="auto"/>
                <w:sz w:val="24"/>
                <w:highlight w:val="none"/>
              </w:rPr>
              <w:t>主观分</w:t>
            </w:r>
          </w:p>
        </w:tc>
        <w:tc>
          <w:tcPr>
            <w:tcW w:w="1246" w:type="dxa"/>
            <w:vAlign w:val="center"/>
          </w:tcPr>
          <w:p w14:paraId="74BE75E6">
            <w:pPr>
              <w:snapToGrid w:val="0"/>
              <w:spacing w:line="360" w:lineRule="auto"/>
              <w:ind w:firstLine="480"/>
              <w:jc w:val="center"/>
              <w:rPr>
                <w:rFonts w:hint="eastAsia" w:ascii="宋体" w:hAnsi="宋体" w:cs="仿宋_GB2312"/>
                <w:color w:val="auto"/>
                <w:sz w:val="24"/>
                <w:highlight w:val="none"/>
              </w:rPr>
            </w:pPr>
          </w:p>
        </w:tc>
      </w:tr>
      <w:tr w14:paraId="0994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right"/>
        </w:trPr>
        <w:tc>
          <w:tcPr>
            <w:tcW w:w="1129" w:type="dxa"/>
            <w:vMerge w:val="continue"/>
            <w:vAlign w:val="center"/>
          </w:tcPr>
          <w:p w14:paraId="13E98B19">
            <w:pPr>
              <w:snapToGrid w:val="0"/>
              <w:spacing w:line="360" w:lineRule="auto"/>
              <w:ind w:firstLine="480"/>
              <w:jc w:val="center"/>
              <w:rPr>
                <w:rFonts w:hint="eastAsia" w:ascii="宋体" w:hAnsi="宋体"/>
                <w:snapToGrid w:val="0"/>
                <w:color w:val="auto"/>
                <w:kern w:val="0"/>
                <w:sz w:val="24"/>
                <w:highlight w:val="none"/>
              </w:rPr>
            </w:pPr>
          </w:p>
        </w:tc>
        <w:tc>
          <w:tcPr>
            <w:tcW w:w="5161" w:type="dxa"/>
            <w:vAlign w:val="center"/>
          </w:tcPr>
          <w:p w14:paraId="0189F0E3">
            <w:pPr>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（4）道路交通运行情况，</w:t>
            </w:r>
            <w:r>
              <w:rPr>
                <w:rFonts w:ascii="宋体" w:hAnsi="宋体"/>
                <w:snapToGrid w:val="0"/>
                <w:color w:val="auto"/>
                <w:kern w:val="0"/>
                <w:sz w:val="24"/>
                <w:highlight w:val="none"/>
              </w:rPr>
              <w:t>包括</w:t>
            </w:r>
            <w:r>
              <w:rPr>
                <w:rFonts w:hint="eastAsia" w:ascii="宋体" w:hAnsi="宋体"/>
                <w:snapToGrid w:val="0"/>
                <w:color w:val="auto"/>
                <w:kern w:val="0"/>
                <w:sz w:val="24"/>
                <w:highlight w:val="none"/>
              </w:rPr>
              <w:t>：城市道路</w:t>
            </w:r>
            <w:r>
              <w:rPr>
                <w:rFonts w:ascii="宋体" w:hAnsi="宋体"/>
                <w:snapToGrid w:val="0"/>
                <w:color w:val="auto"/>
                <w:kern w:val="0"/>
                <w:sz w:val="24"/>
                <w:highlight w:val="none"/>
              </w:rPr>
              <w:t>拥堵指数、</w:t>
            </w:r>
            <w:r>
              <w:rPr>
                <w:rFonts w:hint="eastAsia" w:ascii="宋体" w:hAnsi="宋体"/>
                <w:snapToGrid w:val="0"/>
                <w:color w:val="auto"/>
                <w:kern w:val="0"/>
                <w:sz w:val="24"/>
                <w:highlight w:val="none"/>
              </w:rPr>
              <w:t>平均</w:t>
            </w:r>
            <w:r>
              <w:rPr>
                <w:rFonts w:ascii="宋体" w:hAnsi="宋体"/>
                <w:snapToGrid w:val="0"/>
                <w:color w:val="auto"/>
                <w:kern w:val="0"/>
                <w:sz w:val="24"/>
                <w:highlight w:val="none"/>
              </w:rPr>
              <w:t>运行速度</w:t>
            </w:r>
            <w:r>
              <w:rPr>
                <w:rFonts w:hint="eastAsia" w:ascii="宋体" w:hAnsi="宋体"/>
                <w:snapToGrid w:val="0"/>
                <w:color w:val="auto"/>
                <w:kern w:val="0"/>
                <w:sz w:val="24"/>
                <w:highlight w:val="none"/>
              </w:rPr>
              <w:t>等方面。根据提供内容的针对性、完整性进行打分。（得分：5、4、3、2、1、0）</w:t>
            </w:r>
          </w:p>
        </w:tc>
        <w:tc>
          <w:tcPr>
            <w:tcW w:w="846" w:type="dxa"/>
            <w:vAlign w:val="center"/>
          </w:tcPr>
          <w:p w14:paraId="23EAEDC9">
            <w:pPr>
              <w:snapToGrid w:val="0"/>
              <w:spacing w:line="360" w:lineRule="auto"/>
              <w:jc w:val="center"/>
              <w:rPr>
                <w:rFonts w:hint="eastAsia"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分</w:t>
            </w:r>
          </w:p>
        </w:tc>
        <w:tc>
          <w:tcPr>
            <w:tcW w:w="1093" w:type="dxa"/>
            <w:vAlign w:val="center"/>
          </w:tcPr>
          <w:p w14:paraId="06B11024">
            <w:pPr>
              <w:snapToGrid w:val="0"/>
              <w:spacing w:line="360" w:lineRule="auto"/>
              <w:rPr>
                <w:rFonts w:hint="eastAsia" w:ascii="宋体" w:hAnsi="宋体" w:cs="仿宋_GB2312"/>
                <w:bCs/>
                <w:color w:val="auto"/>
                <w:sz w:val="24"/>
                <w:highlight w:val="none"/>
              </w:rPr>
            </w:pPr>
            <w:r>
              <w:rPr>
                <w:rFonts w:hint="eastAsia" w:ascii="宋体" w:hAnsi="宋体" w:cs="仿宋_GB2312"/>
                <w:bCs/>
                <w:color w:val="auto"/>
                <w:sz w:val="24"/>
                <w:highlight w:val="none"/>
              </w:rPr>
              <w:t>主观分</w:t>
            </w:r>
          </w:p>
        </w:tc>
        <w:tc>
          <w:tcPr>
            <w:tcW w:w="1246" w:type="dxa"/>
            <w:vAlign w:val="center"/>
          </w:tcPr>
          <w:p w14:paraId="51C4E512">
            <w:pPr>
              <w:snapToGrid w:val="0"/>
              <w:spacing w:line="360" w:lineRule="auto"/>
              <w:ind w:firstLine="480"/>
              <w:jc w:val="center"/>
              <w:rPr>
                <w:rFonts w:hint="eastAsia" w:ascii="宋体" w:hAnsi="宋体" w:cs="仿宋_GB2312"/>
                <w:color w:val="auto"/>
                <w:sz w:val="24"/>
                <w:highlight w:val="none"/>
              </w:rPr>
            </w:pPr>
          </w:p>
        </w:tc>
      </w:tr>
      <w:tr w14:paraId="514F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right"/>
        </w:trPr>
        <w:tc>
          <w:tcPr>
            <w:tcW w:w="1129" w:type="dxa"/>
            <w:vMerge w:val="continue"/>
            <w:vAlign w:val="center"/>
          </w:tcPr>
          <w:p w14:paraId="2947BE6A">
            <w:pPr>
              <w:snapToGrid w:val="0"/>
              <w:spacing w:line="360" w:lineRule="auto"/>
              <w:ind w:firstLine="480"/>
              <w:jc w:val="center"/>
              <w:rPr>
                <w:rFonts w:hint="eastAsia" w:ascii="宋体" w:hAnsi="宋体"/>
                <w:snapToGrid w:val="0"/>
                <w:color w:val="auto"/>
                <w:kern w:val="0"/>
                <w:sz w:val="24"/>
                <w:highlight w:val="none"/>
              </w:rPr>
            </w:pPr>
          </w:p>
        </w:tc>
        <w:tc>
          <w:tcPr>
            <w:tcW w:w="5161" w:type="dxa"/>
            <w:vAlign w:val="center"/>
          </w:tcPr>
          <w:p w14:paraId="4060B503">
            <w:pPr>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（5）城市客运交通情况，</w:t>
            </w:r>
            <w:r>
              <w:rPr>
                <w:rFonts w:ascii="宋体" w:hAnsi="宋体"/>
                <w:snapToGrid w:val="0"/>
                <w:color w:val="auto"/>
                <w:kern w:val="0"/>
                <w:sz w:val="24"/>
                <w:highlight w:val="none"/>
              </w:rPr>
              <w:t>包括</w:t>
            </w:r>
            <w:r>
              <w:rPr>
                <w:rFonts w:hint="eastAsia" w:ascii="宋体" w:hAnsi="宋体"/>
                <w:snapToGrid w:val="0"/>
                <w:color w:val="auto"/>
                <w:kern w:val="0"/>
                <w:sz w:val="24"/>
                <w:highlight w:val="none"/>
              </w:rPr>
              <w:t>：轨道交通运营情况、公共汽（电）车运营情况等。根据提供内容的针对性、完整性进行打分。（得分：5、4、3、2、1、0）</w:t>
            </w:r>
          </w:p>
        </w:tc>
        <w:tc>
          <w:tcPr>
            <w:tcW w:w="846" w:type="dxa"/>
            <w:vAlign w:val="center"/>
          </w:tcPr>
          <w:p w14:paraId="590CF906">
            <w:pPr>
              <w:snapToGrid w:val="0"/>
              <w:spacing w:line="360" w:lineRule="auto"/>
              <w:jc w:val="center"/>
              <w:rPr>
                <w:rFonts w:hint="eastAsia"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分</w:t>
            </w:r>
          </w:p>
        </w:tc>
        <w:tc>
          <w:tcPr>
            <w:tcW w:w="1093" w:type="dxa"/>
            <w:vAlign w:val="center"/>
          </w:tcPr>
          <w:p w14:paraId="61BA3937">
            <w:pPr>
              <w:snapToGrid w:val="0"/>
              <w:spacing w:line="360" w:lineRule="auto"/>
              <w:rPr>
                <w:rFonts w:hint="eastAsia" w:ascii="宋体" w:hAnsi="宋体" w:cs="仿宋_GB2312"/>
                <w:bCs/>
                <w:color w:val="auto"/>
                <w:sz w:val="24"/>
                <w:highlight w:val="none"/>
              </w:rPr>
            </w:pPr>
            <w:r>
              <w:rPr>
                <w:rFonts w:hint="eastAsia" w:ascii="宋体" w:hAnsi="宋体" w:cs="仿宋_GB2312"/>
                <w:bCs/>
                <w:color w:val="auto"/>
                <w:sz w:val="24"/>
                <w:highlight w:val="none"/>
              </w:rPr>
              <w:t>主观分</w:t>
            </w:r>
          </w:p>
        </w:tc>
        <w:tc>
          <w:tcPr>
            <w:tcW w:w="1246" w:type="dxa"/>
            <w:vAlign w:val="center"/>
          </w:tcPr>
          <w:p w14:paraId="4031CB3F">
            <w:pPr>
              <w:snapToGrid w:val="0"/>
              <w:spacing w:line="360" w:lineRule="auto"/>
              <w:ind w:firstLine="480"/>
              <w:jc w:val="center"/>
              <w:rPr>
                <w:rFonts w:hint="eastAsia" w:ascii="宋体" w:hAnsi="宋体" w:cs="仿宋_GB2312"/>
                <w:color w:val="auto"/>
                <w:sz w:val="24"/>
                <w:highlight w:val="none"/>
              </w:rPr>
            </w:pPr>
          </w:p>
        </w:tc>
      </w:tr>
      <w:tr w14:paraId="5EF1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right"/>
        </w:trPr>
        <w:tc>
          <w:tcPr>
            <w:tcW w:w="1129" w:type="dxa"/>
            <w:vMerge w:val="continue"/>
            <w:vAlign w:val="center"/>
          </w:tcPr>
          <w:p w14:paraId="600CB80D">
            <w:pPr>
              <w:snapToGrid w:val="0"/>
              <w:spacing w:line="360" w:lineRule="auto"/>
              <w:ind w:firstLine="480"/>
              <w:jc w:val="center"/>
              <w:rPr>
                <w:rFonts w:hint="eastAsia" w:ascii="宋体" w:hAnsi="宋体"/>
                <w:snapToGrid w:val="0"/>
                <w:color w:val="auto"/>
                <w:kern w:val="0"/>
                <w:sz w:val="24"/>
                <w:highlight w:val="none"/>
              </w:rPr>
            </w:pPr>
          </w:p>
        </w:tc>
        <w:tc>
          <w:tcPr>
            <w:tcW w:w="5161" w:type="dxa"/>
            <w:vAlign w:val="center"/>
          </w:tcPr>
          <w:p w14:paraId="62FDB771">
            <w:pPr>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（6）重大交通政策实施前后对比</w:t>
            </w:r>
            <w:r>
              <w:rPr>
                <w:rFonts w:ascii="宋体" w:hAnsi="宋体"/>
                <w:snapToGrid w:val="0"/>
                <w:color w:val="auto"/>
                <w:kern w:val="0"/>
                <w:sz w:val="24"/>
                <w:highlight w:val="none"/>
              </w:rPr>
              <w:t>分析</w:t>
            </w:r>
            <w:r>
              <w:rPr>
                <w:rFonts w:hint="eastAsia" w:ascii="宋体" w:hAnsi="宋体"/>
                <w:snapToGrid w:val="0"/>
                <w:color w:val="auto"/>
                <w:kern w:val="0"/>
                <w:sz w:val="24"/>
                <w:highlight w:val="none"/>
              </w:rPr>
              <w:t>，</w:t>
            </w:r>
            <w:r>
              <w:rPr>
                <w:rFonts w:ascii="宋体" w:hAnsi="宋体"/>
                <w:snapToGrid w:val="0"/>
                <w:color w:val="auto"/>
                <w:kern w:val="0"/>
                <w:sz w:val="24"/>
                <w:highlight w:val="none"/>
              </w:rPr>
              <w:t>包括</w:t>
            </w:r>
            <w:r>
              <w:rPr>
                <w:rFonts w:hint="eastAsia" w:ascii="宋体" w:hAnsi="宋体"/>
                <w:snapToGrid w:val="0"/>
                <w:color w:val="auto"/>
                <w:kern w:val="0"/>
                <w:sz w:val="24"/>
                <w:highlight w:val="none"/>
              </w:rPr>
              <w:t>：西湖景区分时段管控政策实施前后景区交通运行情况对比等。根据提供内容的针对性、完整性进行打分。（得分：4、3、2、1、0）</w:t>
            </w:r>
          </w:p>
        </w:tc>
        <w:tc>
          <w:tcPr>
            <w:tcW w:w="846" w:type="dxa"/>
            <w:vAlign w:val="center"/>
          </w:tcPr>
          <w:p w14:paraId="3A735965">
            <w:pPr>
              <w:snapToGrid w:val="0"/>
              <w:spacing w:line="360" w:lineRule="auto"/>
              <w:jc w:val="center"/>
              <w:rPr>
                <w:rFonts w:hint="eastAsia"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分</w:t>
            </w:r>
          </w:p>
        </w:tc>
        <w:tc>
          <w:tcPr>
            <w:tcW w:w="1093" w:type="dxa"/>
            <w:vAlign w:val="center"/>
          </w:tcPr>
          <w:p w14:paraId="76394E61">
            <w:pPr>
              <w:snapToGrid w:val="0"/>
              <w:spacing w:line="360" w:lineRule="auto"/>
              <w:rPr>
                <w:rFonts w:hint="eastAsia" w:ascii="宋体" w:hAnsi="宋体" w:cs="仿宋_GB2312"/>
                <w:bCs/>
                <w:color w:val="auto"/>
                <w:sz w:val="24"/>
                <w:highlight w:val="none"/>
              </w:rPr>
            </w:pPr>
            <w:r>
              <w:rPr>
                <w:rFonts w:hint="eastAsia" w:ascii="宋体" w:hAnsi="宋体" w:cs="仿宋_GB2312"/>
                <w:bCs/>
                <w:color w:val="auto"/>
                <w:sz w:val="24"/>
                <w:highlight w:val="none"/>
              </w:rPr>
              <w:t>主观分</w:t>
            </w:r>
          </w:p>
        </w:tc>
        <w:tc>
          <w:tcPr>
            <w:tcW w:w="1246" w:type="dxa"/>
            <w:vAlign w:val="center"/>
          </w:tcPr>
          <w:p w14:paraId="0F80E583">
            <w:pPr>
              <w:snapToGrid w:val="0"/>
              <w:spacing w:line="360" w:lineRule="auto"/>
              <w:ind w:firstLine="480"/>
              <w:jc w:val="center"/>
              <w:rPr>
                <w:rFonts w:hint="eastAsia" w:ascii="宋体" w:hAnsi="宋体" w:cs="仿宋_GB2312"/>
                <w:color w:val="auto"/>
                <w:sz w:val="24"/>
                <w:highlight w:val="none"/>
              </w:rPr>
            </w:pPr>
          </w:p>
        </w:tc>
      </w:tr>
      <w:tr w14:paraId="0401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right"/>
        </w:trPr>
        <w:tc>
          <w:tcPr>
            <w:tcW w:w="1129" w:type="dxa"/>
            <w:vAlign w:val="center"/>
          </w:tcPr>
          <w:p w14:paraId="7590EABD">
            <w:pPr>
              <w:snapToGrid w:val="0"/>
              <w:spacing w:line="360" w:lineRule="auto"/>
              <w:jc w:val="center"/>
              <w:rPr>
                <w:rFonts w:hint="eastAsia" w:ascii="宋体" w:hAnsi="宋体" w:cs="仿宋_GB2312"/>
                <w:color w:val="auto"/>
                <w:sz w:val="24"/>
                <w:highlight w:val="none"/>
              </w:rPr>
            </w:pPr>
            <w:r>
              <w:rPr>
                <w:rFonts w:ascii="宋体" w:hAnsi="宋体"/>
                <w:snapToGrid w:val="0"/>
                <w:color w:val="auto"/>
                <w:kern w:val="0"/>
                <w:sz w:val="24"/>
                <w:highlight w:val="none"/>
              </w:rPr>
              <w:t>6</w:t>
            </w:r>
            <w:r>
              <w:rPr>
                <w:rFonts w:hint="eastAsia" w:ascii="宋体" w:hAnsi="宋体"/>
                <w:snapToGrid w:val="0"/>
                <w:color w:val="auto"/>
                <w:kern w:val="0"/>
                <w:sz w:val="24"/>
                <w:highlight w:val="none"/>
              </w:rPr>
              <w:t>、工作计划</w:t>
            </w:r>
          </w:p>
        </w:tc>
        <w:tc>
          <w:tcPr>
            <w:tcW w:w="5161" w:type="dxa"/>
            <w:vAlign w:val="center"/>
          </w:tcPr>
          <w:p w14:paraId="538A413B">
            <w:pPr>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内容包括：项目工作进度计划安排合理，确保规划工作在规定时间通过各级评审，进度控制措施得当。</w:t>
            </w:r>
          </w:p>
          <w:p w14:paraId="79F555E9">
            <w:pPr>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（1）承诺在合同签订后15个日历天内完成工作大纲，招标方将修改意见反馈给中标人后，中标人须依据修改意见认真修改、补充。</w:t>
            </w:r>
          </w:p>
          <w:p w14:paraId="53EDD7E9">
            <w:pPr>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（2）承诺在每月20日前提交上一个月的交通运行月报，并依据审查意见对成果进行补充、修改和完善。</w:t>
            </w:r>
          </w:p>
          <w:p w14:paraId="6680E0AE">
            <w:pPr>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（3）承诺每季度30日前提供上季度交通运行季度评估报告，并依据审查意见对成果进行补充、修改和完善。</w:t>
            </w:r>
          </w:p>
          <w:p w14:paraId="793867A5">
            <w:pPr>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（4）承诺在合同约定时间内完成年度报告送审稿，并确保通过专家组审查，在专家评审后5个日历天内完成修改，并形成最终报告。</w:t>
            </w:r>
          </w:p>
          <w:p w14:paraId="03ED2F7D">
            <w:pPr>
              <w:snapToGrid w:val="0"/>
              <w:spacing w:line="360" w:lineRule="auto"/>
              <w:ind w:firstLine="480"/>
              <w:rPr>
                <w:rFonts w:hint="eastAsia" w:ascii="宋体" w:hAnsi="宋体" w:cs="仿宋_GB2312"/>
                <w:color w:val="auto"/>
                <w:sz w:val="24"/>
                <w:highlight w:val="none"/>
              </w:rPr>
            </w:pPr>
            <w:r>
              <w:rPr>
                <w:rFonts w:hint="eastAsia" w:ascii="宋体" w:hAnsi="宋体"/>
                <w:snapToGrid w:val="0"/>
                <w:color w:val="auto"/>
                <w:kern w:val="0"/>
                <w:sz w:val="24"/>
                <w:highlight w:val="none"/>
              </w:rPr>
              <w:t>提供具体承诺，符合要求得3分，不符合要求不得分</w:t>
            </w:r>
          </w:p>
        </w:tc>
        <w:tc>
          <w:tcPr>
            <w:tcW w:w="846" w:type="dxa"/>
            <w:vAlign w:val="center"/>
          </w:tcPr>
          <w:p w14:paraId="3D437C57">
            <w:pPr>
              <w:snapToGri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3分</w:t>
            </w:r>
          </w:p>
        </w:tc>
        <w:tc>
          <w:tcPr>
            <w:tcW w:w="1093" w:type="dxa"/>
            <w:vAlign w:val="center"/>
          </w:tcPr>
          <w:p w14:paraId="6105FCB5">
            <w:pPr>
              <w:snapToGrid w:val="0"/>
              <w:spacing w:line="360" w:lineRule="auto"/>
              <w:jc w:val="center"/>
              <w:rPr>
                <w:rFonts w:hint="eastAsia" w:ascii="宋体" w:hAnsi="宋体" w:cs="仿宋_GB2312"/>
                <w:bCs/>
                <w:color w:val="auto"/>
                <w:sz w:val="24"/>
                <w:highlight w:val="none"/>
              </w:rPr>
            </w:pPr>
            <w:r>
              <w:rPr>
                <w:rFonts w:hint="eastAsia" w:ascii="宋体" w:hAnsi="宋体" w:cs="仿宋_GB2312"/>
                <w:bCs/>
                <w:color w:val="auto"/>
                <w:sz w:val="24"/>
                <w:highlight w:val="none"/>
              </w:rPr>
              <w:t>客观分</w:t>
            </w:r>
          </w:p>
        </w:tc>
        <w:tc>
          <w:tcPr>
            <w:tcW w:w="1246" w:type="dxa"/>
            <w:vAlign w:val="center"/>
          </w:tcPr>
          <w:p w14:paraId="3DBC8332">
            <w:pPr>
              <w:snapToGrid w:val="0"/>
              <w:spacing w:line="360" w:lineRule="auto"/>
              <w:ind w:firstLine="480"/>
              <w:jc w:val="center"/>
              <w:rPr>
                <w:rFonts w:hint="eastAsia" w:ascii="宋体" w:hAnsi="宋体" w:cs="仿宋_GB2312"/>
                <w:color w:val="auto"/>
                <w:sz w:val="24"/>
                <w:highlight w:val="none"/>
              </w:rPr>
            </w:pPr>
          </w:p>
        </w:tc>
      </w:tr>
      <w:tr w14:paraId="59AB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right"/>
        </w:trPr>
        <w:tc>
          <w:tcPr>
            <w:tcW w:w="1129" w:type="dxa"/>
            <w:vAlign w:val="center"/>
          </w:tcPr>
          <w:p w14:paraId="59156CB7">
            <w:pPr>
              <w:snapToGrid w:val="0"/>
              <w:spacing w:line="360" w:lineRule="auto"/>
              <w:jc w:val="center"/>
              <w:rPr>
                <w:rFonts w:hint="eastAsia" w:ascii="宋体" w:hAnsi="宋体"/>
                <w:b/>
                <w:bCs/>
                <w:snapToGrid w:val="0"/>
                <w:color w:val="auto"/>
                <w:kern w:val="0"/>
                <w:sz w:val="24"/>
                <w:highlight w:val="none"/>
              </w:rPr>
            </w:pPr>
            <w:r>
              <w:rPr>
                <w:rFonts w:ascii="宋体" w:hAnsi="宋体"/>
                <w:snapToGrid w:val="0"/>
                <w:color w:val="auto"/>
                <w:kern w:val="0"/>
                <w:sz w:val="24"/>
                <w:highlight w:val="none"/>
              </w:rPr>
              <w:t>7</w:t>
            </w:r>
            <w:r>
              <w:rPr>
                <w:rFonts w:hint="eastAsia" w:ascii="宋体" w:hAnsi="宋体"/>
                <w:snapToGrid w:val="0"/>
                <w:color w:val="auto"/>
                <w:kern w:val="0"/>
                <w:sz w:val="24"/>
                <w:highlight w:val="none"/>
              </w:rPr>
              <w:t>、</w:t>
            </w:r>
            <w:r>
              <w:rPr>
                <w:rFonts w:ascii="宋体" w:hAnsi="宋体"/>
                <w:snapToGrid w:val="0"/>
                <w:color w:val="auto"/>
                <w:kern w:val="0"/>
                <w:sz w:val="24"/>
                <w:highlight w:val="none"/>
              </w:rPr>
              <w:t>其它有助提高项目的</w:t>
            </w:r>
            <w:r>
              <w:rPr>
                <w:rFonts w:hint="eastAsia" w:ascii="宋体" w:hAnsi="宋体"/>
                <w:snapToGrid w:val="0"/>
                <w:color w:val="auto"/>
                <w:kern w:val="0"/>
                <w:sz w:val="24"/>
                <w:highlight w:val="none"/>
              </w:rPr>
              <w:t>建议</w:t>
            </w:r>
          </w:p>
        </w:tc>
        <w:tc>
          <w:tcPr>
            <w:tcW w:w="5161" w:type="dxa"/>
            <w:vAlign w:val="center"/>
          </w:tcPr>
          <w:p w14:paraId="25F89115">
            <w:pPr>
              <w:snapToGrid w:val="0"/>
              <w:spacing w:line="360" w:lineRule="auto"/>
              <w:rPr>
                <w:rFonts w:hint="eastAsia" w:ascii="宋体" w:hAnsi="宋体" w:cs="宋体"/>
                <w:color w:val="auto"/>
                <w:sz w:val="24"/>
                <w:highlight w:val="none"/>
              </w:rPr>
            </w:pPr>
            <w:r>
              <w:rPr>
                <w:rFonts w:hint="eastAsia" w:ascii="宋体" w:hAnsi="宋体"/>
                <w:snapToGrid w:val="0"/>
                <w:color w:val="auto"/>
                <w:kern w:val="0"/>
                <w:sz w:val="24"/>
                <w:highlight w:val="none"/>
              </w:rPr>
              <w:t>提出的其他建议，有助提高项目优化方案的落实与提升。根据提供内容的完整性、建议的有效性进行打分。（得分：4、3、2、1、0）</w:t>
            </w:r>
          </w:p>
        </w:tc>
        <w:tc>
          <w:tcPr>
            <w:tcW w:w="846" w:type="dxa"/>
            <w:vAlign w:val="center"/>
          </w:tcPr>
          <w:p w14:paraId="4BE29BFC">
            <w:pPr>
              <w:snapToGri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4分</w:t>
            </w:r>
          </w:p>
        </w:tc>
        <w:tc>
          <w:tcPr>
            <w:tcW w:w="1093" w:type="dxa"/>
            <w:vAlign w:val="center"/>
          </w:tcPr>
          <w:p w14:paraId="4F86E5B7">
            <w:pPr>
              <w:snapToGrid w:val="0"/>
              <w:spacing w:line="360" w:lineRule="auto"/>
              <w:jc w:val="center"/>
              <w:rPr>
                <w:rFonts w:hint="eastAsia" w:ascii="宋体" w:hAnsi="宋体" w:cs="仿宋_GB2312"/>
                <w:bCs/>
                <w:color w:val="auto"/>
                <w:sz w:val="24"/>
                <w:highlight w:val="none"/>
              </w:rPr>
            </w:pPr>
            <w:r>
              <w:rPr>
                <w:rFonts w:hint="eastAsia" w:ascii="宋体" w:hAnsi="宋体" w:cs="仿宋_GB2312"/>
                <w:bCs/>
                <w:color w:val="auto"/>
                <w:sz w:val="24"/>
                <w:highlight w:val="none"/>
              </w:rPr>
              <w:t>主观分</w:t>
            </w:r>
          </w:p>
        </w:tc>
        <w:tc>
          <w:tcPr>
            <w:tcW w:w="1246" w:type="dxa"/>
            <w:vAlign w:val="center"/>
          </w:tcPr>
          <w:p w14:paraId="05278F27">
            <w:pPr>
              <w:snapToGrid w:val="0"/>
              <w:spacing w:line="360" w:lineRule="auto"/>
              <w:ind w:firstLine="480"/>
              <w:jc w:val="center"/>
              <w:rPr>
                <w:rFonts w:hint="eastAsia" w:ascii="宋体" w:hAnsi="宋体" w:cs="仿宋_GB2312"/>
                <w:color w:val="auto"/>
                <w:sz w:val="24"/>
                <w:highlight w:val="none"/>
              </w:rPr>
            </w:pPr>
          </w:p>
        </w:tc>
      </w:tr>
      <w:tr w14:paraId="7C78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right"/>
        </w:trPr>
        <w:tc>
          <w:tcPr>
            <w:tcW w:w="1129" w:type="dxa"/>
            <w:vAlign w:val="center"/>
          </w:tcPr>
          <w:p w14:paraId="208E4F7D">
            <w:pPr>
              <w:snapToGrid w:val="0"/>
              <w:spacing w:line="360" w:lineRule="auto"/>
              <w:jc w:val="center"/>
              <w:rPr>
                <w:rFonts w:hint="eastAsia" w:ascii="宋体" w:hAnsi="宋体" w:cs="仿宋_GB2312"/>
                <w:color w:val="auto"/>
                <w:sz w:val="24"/>
                <w:highlight w:val="none"/>
              </w:rPr>
            </w:pPr>
            <w:r>
              <w:rPr>
                <w:rFonts w:ascii="宋体" w:hAnsi="宋体"/>
                <w:snapToGrid w:val="0"/>
                <w:color w:val="auto"/>
                <w:kern w:val="0"/>
                <w:sz w:val="24"/>
                <w:highlight w:val="none"/>
              </w:rPr>
              <w:t>8</w:t>
            </w:r>
            <w:r>
              <w:rPr>
                <w:rFonts w:hint="eastAsia" w:ascii="宋体" w:hAnsi="宋体"/>
                <w:snapToGrid w:val="0"/>
                <w:color w:val="auto"/>
                <w:kern w:val="0"/>
                <w:sz w:val="24"/>
                <w:highlight w:val="none"/>
              </w:rPr>
              <w:t>、</w:t>
            </w:r>
            <w:r>
              <w:rPr>
                <w:rFonts w:ascii="宋体" w:hAnsi="宋体"/>
                <w:snapToGrid w:val="0"/>
                <w:color w:val="auto"/>
                <w:kern w:val="0"/>
                <w:sz w:val="24"/>
                <w:highlight w:val="none"/>
              </w:rPr>
              <w:t>质量保证</w:t>
            </w:r>
            <w:r>
              <w:rPr>
                <w:rFonts w:hint="eastAsia" w:ascii="宋体" w:hAnsi="宋体"/>
                <w:snapToGrid w:val="0"/>
                <w:color w:val="auto"/>
                <w:kern w:val="0"/>
                <w:sz w:val="24"/>
                <w:highlight w:val="none"/>
              </w:rPr>
              <w:t>及后续</w:t>
            </w:r>
          </w:p>
        </w:tc>
        <w:tc>
          <w:tcPr>
            <w:tcW w:w="5161" w:type="dxa"/>
            <w:vAlign w:val="center"/>
          </w:tcPr>
          <w:p w14:paraId="0E8C40AF">
            <w:pPr>
              <w:snapToGrid w:val="0"/>
              <w:spacing w:line="360" w:lineRule="auto"/>
              <w:rPr>
                <w:rFonts w:hint="eastAsia" w:ascii="宋体" w:hAnsi="宋体" w:cs="仿宋_GB2312"/>
                <w:color w:val="auto"/>
                <w:sz w:val="24"/>
                <w:highlight w:val="none"/>
              </w:rPr>
            </w:pPr>
            <w:r>
              <w:rPr>
                <w:rFonts w:hint="eastAsia" w:ascii="宋体" w:hAnsi="宋体"/>
                <w:snapToGrid w:val="0"/>
                <w:color w:val="auto"/>
                <w:kern w:val="0"/>
                <w:sz w:val="24"/>
                <w:highlight w:val="none"/>
              </w:rPr>
              <w:t>质量保证体系完备周全，并具有针对性应对措施，与采购人日常配合能高效落实。根据提供内容的针对性、完整性进行打分。（得分：4、3、2、1、0）</w:t>
            </w:r>
          </w:p>
        </w:tc>
        <w:tc>
          <w:tcPr>
            <w:tcW w:w="846" w:type="dxa"/>
            <w:vAlign w:val="center"/>
          </w:tcPr>
          <w:p w14:paraId="359A3DFC">
            <w:pPr>
              <w:snapToGrid w:val="0"/>
              <w:spacing w:line="360" w:lineRule="auto"/>
              <w:jc w:val="center"/>
              <w:rPr>
                <w:rFonts w:hint="eastAsia"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分</w:t>
            </w:r>
          </w:p>
        </w:tc>
        <w:tc>
          <w:tcPr>
            <w:tcW w:w="1093" w:type="dxa"/>
            <w:vAlign w:val="center"/>
          </w:tcPr>
          <w:p w14:paraId="7948C02A">
            <w:pPr>
              <w:snapToGrid w:val="0"/>
              <w:spacing w:line="360" w:lineRule="auto"/>
              <w:jc w:val="center"/>
              <w:rPr>
                <w:rFonts w:hint="eastAsia" w:ascii="宋体" w:hAnsi="宋体" w:cs="仿宋_GB2312"/>
                <w:bCs/>
                <w:color w:val="auto"/>
                <w:sz w:val="24"/>
                <w:highlight w:val="none"/>
              </w:rPr>
            </w:pPr>
            <w:r>
              <w:rPr>
                <w:rFonts w:hint="eastAsia" w:ascii="宋体" w:hAnsi="宋体" w:cs="仿宋_GB2312"/>
                <w:bCs/>
                <w:color w:val="auto"/>
                <w:sz w:val="24"/>
                <w:highlight w:val="none"/>
              </w:rPr>
              <w:t>主观分</w:t>
            </w:r>
          </w:p>
        </w:tc>
        <w:tc>
          <w:tcPr>
            <w:tcW w:w="1246" w:type="dxa"/>
            <w:vAlign w:val="center"/>
          </w:tcPr>
          <w:p w14:paraId="7701005E">
            <w:pPr>
              <w:snapToGrid w:val="0"/>
              <w:spacing w:line="360" w:lineRule="auto"/>
              <w:ind w:firstLine="480"/>
              <w:jc w:val="center"/>
              <w:rPr>
                <w:rFonts w:hint="eastAsia" w:ascii="宋体" w:hAnsi="宋体" w:cs="仿宋_GB2312"/>
                <w:color w:val="auto"/>
                <w:sz w:val="24"/>
                <w:highlight w:val="none"/>
              </w:rPr>
            </w:pPr>
          </w:p>
        </w:tc>
      </w:tr>
      <w:tr w14:paraId="5228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right"/>
        </w:trPr>
        <w:tc>
          <w:tcPr>
            <w:tcW w:w="1129" w:type="dxa"/>
            <w:vAlign w:val="center"/>
          </w:tcPr>
          <w:p w14:paraId="257452A7">
            <w:pPr>
              <w:snapToGrid w:val="0"/>
              <w:spacing w:line="360" w:lineRule="auto"/>
              <w:jc w:val="center"/>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9、业绩</w:t>
            </w:r>
          </w:p>
        </w:tc>
        <w:tc>
          <w:tcPr>
            <w:tcW w:w="5161" w:type="dxa"/>
            <w:vAlign w:val="center"/>
          </w:tcPr>
          <w:p w14:paraId="7A9390BA">
            <w:pPr>
              <w:snapToGrid w:val="0"/>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投标人自2021年1月1日以来（以合同签订时间为准）在国内完成过1个类似交通类评估或治理项目的得</w:t>
            </w:r>
            <w:r>
              <w:rPr>
                <w:rFonts w:ascii="宋体" w:hAnsi="宋体"/>
                <w:snapToGrid w:val="0"/>
                <w:color w:val="auto"/>
                <w:kern w:val="0"/>
                <w:sz w:val="24"/>
                <w:highlight w:val="none"/>
              </w:rPr>
              <w:t>0.5</w:t>
            </w:r>
            <w:r>
              <w:rPr>
                <w:rFonts w:hint="eastAsia" w:ascii="宋体" w:hAnsi="宋体"/>
                <w:snapToGrid w:val="0"/>
                <w:color w:val="auto"/>
                <w:kern w:val="0"/>
                <w:sz w:val="24"/>
                <w:highlight w:val="none"/>
              </w:rPr>
              <w:t>分，最高得1分。（证明材料：合同复印件加盖公章编入商务技术文件，否则不得分）。</w:t>
            </w:r>
          </w:p>
        </w:tc>
        <w:tc>
          <w:tcPr>
            <w:tcW w:w="846" w:type="dxa"/>
            <w:vAlign w:val="center"/>
          </w:tcPr>
          <w:p w14:paraId="0A243B64">
            <w:pPr>
              <w:snapToGri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1分</w:t>
            </w:r>
          </w:p>
        </w:tc>
        <w:tc>
          <w:tcPr>
            <w:tcW w:w="1093" w:type="dxa"/>
            <w:vAlign w:val="center"/>
          </w:tcPr>
          <w:p w14:paraId="2B071CB5">
            <w:pPr>
              <w:snapToGrid w:val="0"/>
              <w:spacing w:line="360" w:lineRule="auto"/>
              <w:jc w:val="center"/>
              <w:rPr>
                <w:rFonts w:hint="eastAsia" w:ascii="宋体" w:hAnsi="宋体" w:cs="仿宋_GB2312"/>
                <w:bCs/>
                <w:color w:val="auto"/>
                <w:sz w:val="24"/>
                <w:highlight w:val="none"/>
              </w:rPr>
            </w:pPr>
            <w:r>
              <w:rPr>
                <w:rFonts w:hint="eastAsia" w:ascii="宋体" w:hAnsi="宋体" w:cs="仿宋_GB2312"/>
                <w:bCs/>
                <w:color w:val="auto"/>
                <w:sz w:val="24"/>
                <w:highlight w:val="none"/>
              </w:rPr>
              <w:t>客观分</w:t>
            </w:r>
          </w:p>
        </w:tc>
        <w:tc>
          <w:tcPr>
            <w:tcW w:w="1246" w:type="dxa"/>
            <w:vAlign w:val="center"/>
          </w:tcPr>
          <w:p w14:paraId="4AE51A21">
            <w:pPr>
              <w:snapToGrid w:val="0"/>
              <w:spacing w:line="360" w:lineRule="auto"/>
              <w:ind w:firstLine="480"/>
              <w:jc w:val="center"/>
              <w:rPr>
                <w:rFonts w:hint="eastAsia" w:ascii="宋体" w:hAnsi="宋体" w:cs="仿宋_GB2312"/>
                <w:color w:val="auto"/>
                <w:sz w:val="24"/>
                <w:highlight w:val="none"/>
              </w:rPr>
            </w:pPr>
          </w:p>
        </w:tc>
      </w:tr>
      <w:tr w14:paraId="6E8A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right"/>
        </w:trPr>
        <w:tc>
          <w:tcPr>
            <w:tcW w:w="1129" w:type="dxa"/>
            <w:vMerge w:val="restart"/>
            <w:vAlign w:val="center"/>
          </w:tcPr>
          <w:p w14:paraId="6CD2FFF2">
            <w:pPr>
              <w:snapToGri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10、项目负责人</w:t>
            </w:r>
          </w:p>
        </w:tc>
        <w:tc>
          <w:tcPr>
            <w:tcW w:w="5161" w:type="dxa"/>
            <w:vAlign w:val="center"/>
          </w:tcPr>
          <w:p w14:paraId="75B1C88B">
            <w:pPr>
              <w:spacing w:line="360" w:lineRule="auto"/>
              <w:ind w:firstLine="480"/>
              <w:rPr>
                <w:rFonts w:hint="eastAsia" w:ascii="宋体" w:hAnsi="宋体" w:cs="仿宋_GB2312"/>
                <w:color w:val="auto"/>
                <w:sz w:val="24"/>
                <w:highlight w:val="none"/>
              </w:rPr>
            </w:pPr>
            <w:bookmarkStart w:id="435" w:name="_Hlk123820952"/>
            <w:r>
              <w:rPr>
                <w:rFonts w:hint="eastAsia" w:ascii="宋体" w:hAnsi="宋体"/>
                <w:bCs/>
                <w:snapToGrid w:val="0"/>
                <w:color w:val="auto"/>
                <w:kern w:val="0"/>
                <w:sz w:val="24"/>
                <w:highlight w:val="none"/>
              </w:rPr>
              <w:t>拟派项目负责人不得少于1人，具备交通类副高级及以上职称，得3分，具备交通类中级职称得2分，具备交通类初级职称得1分。【须提供人员职称证书扫描件、社保参保证明（以当地社保部门或上级组织人事部门出具并盖章的证明为准），扫描件加盖公章编入商务技术文件。上述职称证书、社保参保证明有一项不符合不得分】</w:t>
            </w:r>
            <w:bookmarkEnd w:id="435"/>
            <w:r>
              <w:rPr>
                <w:rFonts w:hint="eastAsia" w:ascii="宋体" w:hAnsi="宋体" w:cs="宋体"/>
                <w:bCs/>
                <w:color w:val="auto"/>
                <w:sz w:val="24"/>
                <w:highlight w:val="none"/>
              </w:rPr>
              <w:t>。</w:t>
            </w:r>
          </w:p>
        </w:tc>
        <w:tc>
          <w:tcPr>
            <w:tcW w:w="846" w:type="dxa"/>
            <w:vAlign w:val="center"/>
          </w:tcPr>
          <w:p w14:paraId="40677069">
            <w:pPr>
              <w:snapToGri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3分</w:t>
            </w:r>
          </w:p>
        </w:tc>
        <w:tc>
          <w:tcPr>
            <w:tcW w:w="1093" w:type="dxa"/>
            <w:vAlign w:val="center"/>
          </w:tcPr>
          <w:p w14:paraId="5B5045FB">
            <w:pPr>
              <w:snapToGrid w:val="0"/>
              <w:spacing w:line="360" w:lineRule="auto"/>
              <w:jc w:val="center"/>
              <w:rPr>
                <w:rFonts w:hint="eastAsia" w:ascii="宋体" w:hAnsi="宋体" w:cs="仿宋_GB2312"/>
                <w:bCs/>
                <w:color w:val="auto"/>
                <w:sz w:val="24"/>
                <w:highlight w:val="none"/>
              </w:rPr>
            </w:pPr>
            <w:r>
              <w:rPr>
                <w:rFonts w:hint="eastAsia" w:ascii="宋体" w:hAnsi="宋体" w:cs="仿宋_GB2312"/>
                <w:bCs/>
                <w:color w:val="auto"/>
                <w:sz w:val="24"/>
                <w:highlight w:val="none"/>
              </w:rPr>
              <w:t>客观分</w:t>
            </w:r>
          </w:p>
        </w:tc>
        <w:tc>
          <w:tcPr>
            <w:tcW w:w="1246" w:type="dxa"/>
            <w:vAlign w:val="center"/>
          </w:tcPr>
          <w:p w14:paraId="3199A638">
            <w:pPr>
              <w:snapToGrid w:val="0"/>
              <w:spacing w:line="360" w:lineRule="auto"/>
              <w:ind w:firstLine="480"/>
              <w:jc w:val="center"/>
              <w:rPr>
                <w:rFonts w:hint="eastAsia" w:ascii="宋体" w:hAnsi="宋体" w:cs="仿宋_GB2312"/>
                <w:color w:val="auto"/>
                <w:sz w:val="24"/>
                <w:highlight w:val="none"/>
              </w:rPr>
            </w:pPr>
          </w:p>
        </w:tc>
      </w:tr>
      <w:tr w14:paraId="6F2F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right"/>
        </w:trPr>
        <w:tc>
          <w:tcPr>
            <w:tcW w:w="1129" w:type="dxa"/>
            <w:vMerge w:val="continue"/>
            <w:vAlign w:val="center"/>
          </w:tcPr>
          <w:p w14:paraId="541F7985">
            <w:pPr>
              <w:snapToGrid w:val="0"/>
              <w:spacing w:line="360" w:lineRule="auto"/>
              <w:ind w:firstLine="480"/>
              <w:jc w:val="center"/>
              <w:rPr>
                <w:color w:val="auto"/>
                <w:highlight w:val="none"/>
              </w:rPr>
            </w:pPr>
          </w:p>
        </w:tc>
        <w:tc>
          <w:tcPr>
            <w:tcW w:w="5161" w:type="dxa"/>
            <w:vAlign w:val="center"/>
          </w:tcPr>
          <w:p w14:paraId="5685D56E">
            <w:pPr>
              <w:spacing w:line="360" w:lineRule="auto"/>
              <w:ind w:firstLine="48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拟派项目负责人自2021年1月1日以来具有3项及以上交通类评估或治理项目经验得3分，不符合要求不得分【需提供项目经采购人（或采购人行业主管部门）盖章的履约情况说明或业绩证明，加盖公章编入商务技术文件，否则不得分】</w:t>
            </w:r>
            <w:r>
              <w:rPr>
                <w:rFonts w:hint="eastAsia" w:ascii="宋体" w:hAnsi="宋体" w:cs="宋体"/>
                <w:bCs/>
                <w:color w:val="auto"/>
                <w:sz w:val="24"/>
                <w:highlight w:val="none"/>
              </w:rPr>
              <w:t>。</w:t>
            </w:r>
          </w:p>
        </w:tc>
        <w:tc>
          <w:tcPr>
            <w:tcW w:w="846" w:type="dxa"/>
            <w:vAlign w:val="center"/>
          </w:tcPr>
          <w:p w14:paraId="6759CF4D">
            <w:pPr>
              <w:snapToGrid w:val="0"/>
              <w:spacing w:line="360" w:lineRule="auto"/>
              <w:jc w:val="center"/>
              <w:rPr>
                <w:rFonts w:hint="eastAsia" w:ascii="宋体" w:hAnsi="宋体"/>
                <w:bCs/>
                <w:snapToGrid w:val="0"/>
                <w:color w:val="auto"/>
                <w:kern w:val="0"/>
                <w:sz w:val="24"/>
                <w:highlight w:val="none"/>
              </w:rPr>
            </w:pPr>
            <w:r>
              <w:rPr>
                <w:rFonts w:hint="eastAsia" w:ascii="宋体" w:hAnsi="宋体" w:cs="仿宋_GB2312"/>
                <w:color w:val="auto"/>
                <w:sz w:val="24"/>
                <w:highlight w:val="none"/>
              </w:rPr>
              <w:t>3分</w:t>
            </w:r>
          </w:p>
        </w:tc>
        <w:tc>
          <w:tcPr>
            <w:tcW w:w="1093" w:type="dxa"/>
            <w:vAlign w:val="center"/>
          </w:tcPr>
          <w:p w14:paraId="7B729DDA">
            <w:pPr>
              <w:snapToGrid w:val="0"/>
              <w:spacing w:line="360" w:lineRule="auto"/>
              <w:jc w:val="center"/>
              <w:rPr>
                <w:rFonts w:hint="eastAsia" w:ascii="宋体" w:hAnsi="宋体"/>
                <w:bCs/>
                <w:snapToGrid w:val="0"/>
                <w:color w:val="auto"/>
                <w:kern w:val="0"/>
                <w:sz w:val="24"/>
                <w:highlight w:val="none"/>
              </w:rPr>
            </w:pPr>
            <w:r>
              <w:rPr>
                <w:rFonts w:hint="eastAsia" w:ascii="宋体" w:hAnsi="宋体" w:cs="仿宋_GB2312"/>
                <w:bCs/>
                <w:color w:val="auto"/>
                <w:sz w:val="24"/>
                <w:highlight w:val="none"/>
              </w:rPr>
              <w:t>客观分</w:t>
            </w:r>
          </w:p>
        </w:tc>
        <w:tc>
          <w:tcPr>
            <w:tcW w:w="1246" w:type="dxa"/>
            <w:vAlign w:val="center"/>
          </w:tcPr>
          <w:p w14:paraId="771EAF13">
            <w:pPr>
              <w:snapToGrid w:val="0"/>
              <w:spacing w:line="360" w:lineRule="auto"/>
              <w:ind w:firstLine="480"/>
              <w:jc w:val="center"/>
              <w:rPr>
                <w:rFonts w:hint="eastAsia" w:ascii="宋体" w:hAnsi="宋体"/>
                <w:bCs/>
                <w:snapToGrid w:val="0"/>
                <w:color w:val="auto"/>
                <w:kern w:val="0"/>
                <w:sz w:val="24"/>
                <w:highlight w:val="none"/>
              </w:rPr>
            </w:pPr>
          </w:p>
        </w:tc>
      </w:tr>
      <w:tr w14:paraId="1FCE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right"/>
        </w:trPr>
        <w:tc>
          <w:tcPr>
            <w:tcW w:w="1129" w:type="dxa"/>
            <w:vMerge w:val="continue"/>
            <w:vAlign w:val="center"/>
          </w:tcPr>
          <w:p w14:paraId="08B220CD">
            <w:pPr>
              <w:snapToGrid w:val="0"/>
              <w:spacing w:line="360" w:lineRule="auto"/>
              <w:ind w:firstLine="480"/>
              <w:jc w:val="center"/>
              <w:rPr>
                <w:rFonts w:hint="eastAsia" w:ascii="宋体" w:hAnsi="宋体"/>
                <w:bCs/>
                <w:snapToGrid w:val="0"/>
                <w:color w:val="auto"/>
                <w:kern w:val="0"/>
                <w:sz w:val="24"/>
                <w:highlight w:val="none"/>
              </w:rPr>
            </w:pPr>
          </w:p>
        </w:tc>
        <w:tc>
          <w:tcPr>
            <w:tcW w:w="5161" w:type="dxa"/>
            <w:vAlign w:val="center"/>
          </w:tcPr>
          <w:p w14:paraId="34A11324">
            <w:pPr>
              <w:snapToGrid w:val="0"/>
              <w:spacing w:line="360" w:lineRule="auto"/>
              <w:ind w:firstLine="480"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承诺项目负责人在项目所在地的工作时间不少于120个日历天得2分（提供承诺函）</w:t>
            </w:r>
            <w:r>
              <w:rPr>
                <w:rFonts w:hint="eastAsia" w:ascii="宋体" w:hAnsi="宋体" w:cs="宋体"/>
                <w:bCs/>
                <w:color w:val="auto"/>
                <w:sz w:val="24"/>
                <w:highlight w:val="none"/>
              </w:rPr>
              <w:t>。</w:t>
            </w:r>
          </w:p>
        </w:tc>
        <w:tc>
          <w:tcPr>
            <w:tcW w:w="846" w:type="dxa"/>
            <w:vAlign w:val="center"/>
          </w:tcPr>
          <w:p w14:paraId="22682E89">
            <w:pPr>
              <w:snapToGrid w:val="0"/>
              <w:spacing w:line="360" w:lineRule="auto"/>
              <w:jc w:val="center"/>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2分</w:t>
            </w:r>
          </w:p>
        </w:tc>
        <w:tc>
          <w:tcPr>
            <w:tcW w:w="1093" w:type="dxa"/>
            <w:vAlign w:val="center"/>
          </w:tcPr>
          <w:p w14:paraId="11CE0B2C">
            <w:pPr>
              <w:snapToGrid w:val="0"/>
              <w:spacing w:line="360" w:lineRule="auto"/>
              <w:rPr>
                <w:rFonts w:hint="eastAsia" w:ascii="宋体" w:hAnsi="宋体"/>
                <w:bCs/>
                <w:snapToGrid w:val="0"/>
                <w:color w:val="auto"/>
                <w:kern w:val="0"/>
                <w:sz w:val="24"/>
                <w:highlight w:val="none"/>
              </w:rPr>
            </w:pPr>
            <w:r>
              <w:rPr>
                <w:rFonts w:hint="eastAsia" w:ascii="宋体" w:hAnsi="宋体" w:cs="仿宋_GB2312"/>
                <w:bCs/>
                <w:color w:val="auto"/>
                <w:sz w:val="24"/>
                <w:highlight w:val="none"/>
              </w:rPr>
              <w:t>客观分</w:t>
            </w:r>
          </w:p>
        </w:tc>
        <w:tc>
          <w:tcPr>
            <w:tcW w:w="1246" w:type="dxa"/>
            <w:vAlign w:val="center"/>
          </w:tcPr>
          <w:p w14:paraId="288F62D0">
            <w:pPr>
              <w:snapToGrid w:val="0"/>
              <w:spacing w:line="360" w:lineRule="auto"/>
              <w:ind w:firstLine="480"/>
              <w:jc w:val="center"/>
              <w:rPr>
                <w:rFonts w:hint="eastAsia" w:ascii="宋体" w:hAnsi="宋体"/>
                <w:bCs/>
                <w:snapToGrid w:val="0"/>
                <w:color w:val="auto"/>
                <w:kern w:val="0"/>
                <w:sz w:val="24"/>
                <w:highlight w:val="none"/>
              </w:rPr>
            </w:pPr>
          </w:p>
        </w:tc>
      </w:tr>
      <w:tr w14:paraId="5192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right"/>
        </w:trPr>
        <w:tc>
          <w:tcPr>
            <w:tcW w:w="1129" w:type="dxa"/>
            <w:vMerge w:val="restart"/>
            <w:vAlign w:val="center"/>
          </w:tcPr>
          <w:p w14:paraId="53BD8FFD">
            <w:pPr>
              <w:snapToGri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11、项目组人员</w:t>
            </w:r>
          </w:p>
        </w:tc>
        <w:tc>
          <w:tcPr>
            <w:tcW w:w="5161" w:type="dxa"/>
            <w:vAlign w:val="center"/>
          </w:tcPr>
          <w:p w14:paraId="2A49B1CE">
            <w:pPr>
              <w:spacing w:before="156" w:line="360" w:lineRule="auto"/>
              <w:ind w:firstLine="480"/>
              <w:rPr>
                <w:rFonts w:hint="eastAsia" w:ascii="宋体" w:hAnsi="宋体" w:cs="仿宋_GB2312"/>
                <w:b/>
                <w:color w:val="auto"/>
                <w:sz w:val="24"/>
                <w:highlight w:val="none"/>
              </w:rPr>
            </w:pPr>
            <w:r>
              <w:rPr>
                <w:rFonts w:hint="eastAsia" w:ascii="宋体" w:hAnsi="宋体" w:cs="宋体"/>
                <w:bCs/>
                <w:color w:val="auto"/>
                <w:sz w:val="24"/>
                <w:highlight w:val="none"/>
              </w:rPr>
              <w:t>主要技术人员不少于7人得</w:t>
            </w:r>
            <w:r>
              <w:rPr>
                <w:rFonts w:ascii="宋体" w:hAnsi="宋体" w:cs="宋体"/>
                <w:bCs/>
                <w:color w:val="auto"/>
                <w:sz w:val="24"/>
                <w:highlight w:val="none"/>
              </w:rPr>
              <w:t>4</w:t>
            </w:r>
            <w:r>
              <w:rPr>
                <w:rFonts w:hint="eastAsia" w:ascii="宋体" w:hAnsi="宋体" w:cs="宋体"/>
                <w:bCs/>
                <w:color w:val="auto"/>
                <w:sz w:val="24"/>
                <w:highlight w:val="none"/>
              </w:rPr>
              <w:t>分</w:t>
            </w:r>
            <w:r>
              <w:rPr>
                <w:rFonts w:hint="eastAsia" w:ascii="宋体" w:hAnsi="宋体" w:cs="宋体"/>
                <w:bCs/>
                <w:snapToGrid w:val="0"/>
                <w:color w:val="auto"/>
                <w:kern w:val="0"/>
                <w:sz w:val="24"/>
                <w:highlight w:val="none"/>
              </w:rPr>
              <w:t>【</w:t>
            </w:r>
            <w:r>
              <w:rPr>
                <w:rFonts w:hint="eastAsia" w:ascii="宋体" w:hAnsi="宋体" w:cs="宋体"/>
                <w:bCs/>
                <w:color w:val="auto"/>
                <w:sz w:val="24"/>
                <w:highlight w:val="none"/>
              </w:rPr>
              <w:t>提供人员名单或承诺中标后提供7名技术人员，不符合要求不得分</w:t>
            </w:r>
            <w:r>
              <w:rPr>
                <w:rFonts w:hint="eastAsia" w:ascii="宋体" w:hAnsi="宋体" w:cs="宋体"/>
                <w:bCs/>
                <w:snapToGrid w:val="0"/>
                <w:color w:val="auto"/>
                <w:kern w:val="0"/>
                <w:sz w:val="24"/>
                <w:highlight w:val="none"/>
              </w:rPr>
              <w:t>】</w:t>
            </w:r>
            <w:r>
              <w:rPr>
                <w:rFonts w:hint="eastAsia" w:ascii="宋体" w:hAnsi="宋体" w:cs="宋体"/>
                <w:bCs/>
                <w:color w:val="auto"/>
                <w:sz w:val="24"/>
                <w:highlight w:val="none"/>
              </w:rPr>
              <w:t>。</w:t>
            </w:r>
          </w:p>
        </w:tc>
        <w:tc>
          <w:tcPr>
            <w:tcW w:w="846" w:type="dxa"/>
            <w:vAlign w:val="center"/>
          </w:tcPr>
          <w:p w14:paraId="6836FDF5">
            <w:pPr>
              <w:snapToGri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4分</w:t>
            </w:r>
          </w:p>
        </w:tc>
        <w:tc>
          <w:tcPr>
            <w:tcW w:w="1093" w:type="dxa"/>
            <w:vAlign w:val="center"/>
          </w:tcPr>
          <w:p w14:paraId="20B97CD8">
            <w:pPr>
              <w:snapToGrid w:val="0"/>
              <w:spacing w:line="360" w:lineRule="auto"/>
              <w:jc w:val="center"/>
              <w:rPr>
                <w:rFonts w:hint="eastAsia" w:ascii="宋体" w:hAnsi="宋体" w:cs="仿宋_GB2312"/>
                <w:bCs/>
                <w:color w:val="auto"/>
                <w:sz w:val="24"/>
                <w:highlight w:val="none"/>
              </w:rPr>
            </w:pPr>
            <w:r>
              <w:rPr>
                <w:rFonts w:hint="eastAsia" w:ascii="宋体" w:hAnsi="宋体" w:cs="仿宋_GB2312"/>
                <w:bCs/>
                <w:color w:val="auto"/>
                <w:sz w:val="24"/>
                <w:highlight w:val="none"/>
              </w:rPr>
              <w:t>客观分</w:t>
            </w:r>
          </w:p>
        </w:tc>
        <w:tc>
          <w:tcPr>
            <w:tcW w:w="1246" w:type="dxa"/>
            <w:vAlign w:val="center"/>
          </w:tcPr>
          <w:p w14:paraId="06F71FF9">
            <w:pPr>
              <w:snapToGrid w:val="0"/>
              <w:spacing w:line="360" w:lineRule="auto"/>
              <w:ind w:firstLine="480"/>
              <w:jc w:val="center"/>
              <w:rPr>
                <w:rFonts w:hint="eastAsia" w:ascii="宋体" w:hAnsi="宋体" w:cs="仿宋_GB2312"/>
                <w:color w:val="auto"/>
                <w:sz w:val="24"/>
                <w:highlight w:val="none"/>
              </w:rPr>
            </w:pPr>
          </w:p>
        </w:tc>
      </w:tr>
      <w:tr w14:paraId="5766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right"/>
        </w:trPr>
        <w:tc>
          <w:tcPr>
            <w:tcW w:w="1129" w:type="dxa"/>
            <w:vMerge w:val="continue"/>
            <w:vAlign w:val="center"/>
          </w:tcPr>
          <w:p w14:paraId="71F1E4ED">
            <w:pPr>
              <w:snapToGrid w:val="0"/>
              <w:spacing w:line="360" w:lineRule="auto"/>
              <w:ind w:firstLine="480"/>
              <w:jc w:val="center"/>
              <w:rPr>
                <w:color w:val="auto"/>
                <w:highlight w:val="none"/>
              </w:rPr>
            </w:pPr>
          </w:p>
        </w:tc>
        <w:tc>
          <w:tcPr>
            <w:tcW w:w="5161" w:type="dxa"/>
            <w:vAlign w:val="center"/>
          </w:tcPr>
          <w:p w14:paraId="67E856CD">
            <w:pPr>
              <w:spacing w:before="156" w:line="360" w:lineRule="auto"/>
              <w:ind w:firstLine="480"/>
              <w:rPr>
                <w:rFonts w:hint="eastAsia" w:ascii="宋体" w:hAnsi="宋体" w:cs="宋体"/>
                <w:bCs/>
                <w:color w:val="auto"/>
                <w:sz w:val="24"/>
                <w:highlight w:val="none"/>
              </w:rPr>
            </w:pPr>
            <w:bookmarkStart w:id="436" w:name="_Hlk123820989"/>
            <w:r>
              <w:rPr>
                <w:rFonts w:hint="eastAsia" w:ascii="宋体" w:hAnsi="宋体" w:cs="宋体"/>
                <w:bCs/>
                <w:color w:val="auto"/>
                <w:sz w:val="24"/>
                <w:highlight w:val="none"/>
              </w:rPr>
              <w:t>项目组其他成员具有交通工程、交通运输工程、交通运输规划与管理等相近专业背景得3分，缺少一个相近专业扣1分，扣完为止</w:t>
            </w:r>
            <w:bookmarkEnd w:id="436"/>
            <w:r>
              <w:rPr>
                <w:rFonts w:hint="eastAsia" w:ascii="宋体" w:hAnsi="宋体" w:cs="宋体"/>
                <w:bCs/>
                <w:color w:val="auto"/>
                <w:sz w:val="24"/>
                <w:highlight w:val="none"/>
              </w:rPr>
              <w:t>。</w:t>
            </w:r>
          </w:p>
        </w:tc>
        <w:tc>
          <w:tcPr>
            <w:tcW w:w="846" w:type="dxa"/>
            <w:vAlign w:val="center"/>
          </w:tcPr>
          <w:p w14:paraId="5756D64E">
            <w:pPr>
              <w:snapToGrid w:val="0"/>
              <w:spacing w:line="360" w:lineRule="auto"/>
              <w:jc w:val="center"/>
              <w:rPr>
                <w:rFonts w:hint="eastAsia" w:ascii="宋体" w:hAnsi="宋体" w:cs="宋体"/>
                <w:bCs/>
                <w:color w:val="auto"/>
                <w:sz w:val="24"/>
                <w:highlight w:val="none"/>
              </w:rPr>
            </w:pPr>
            <w:r>
              <w:rPr>
                <w:rFonts w:hint="eastAsia" w:ascii="宋体" w:hAnsi="宋体" w:cs="仿宋_GB2312"/>
                <w:color w:val="auto"/>
                <w:sz w:val="24"/>
                <w:highlight w:val="none"/>
              </w:rPr>
              <w:t>3分</w:t>
            </w:r>
          </w:p>
        </w:tc>
        <w:tc>
          <w:tcPr>
            <w:tcW w:w="1093" w:type="dxa"/>
            <w:vAlign w:val="center"/>
          </w:tcPr>
          <w:p w14:paraId="39685464">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客观分</w:t>
            </w:r>
          </w:p>
        </w:tc>
        <w:tc>
          <w:tcPr>
            <w:tcW w:w="1246" w:type="dxa"/>
            <w:vAlign w:val="center"/>
          </w:tcPr>
          <w:p w14:paraId="727A42F0">
            <w:pPr>
              <w:snapToGrid w:val="0"/>
              <w:spacing w:line="360" w:lineRule="auto"/>
              <w:ind w:firstLine="480"/>
              <w:jc w:val="center"/>
              <w:rPr>
                <w:rFonts w:hint="eastAsia" w:ascii="宋体" w:hAnsi="宋体" w:cs="宋体"/>
                <w:bCs/>
                <w:color w:val="auto"/>
                <w:sz w:val="24"/>
                <w:highlight w:val="none"/>
              </w:rPr>
            </w:pPr>
          </w:p>
        </w:tc>
      </w:tr>
      <w:tr w14:paraId="155C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right"/>
        </w:trPr>
        <w:tc>
          <w:tcPr>
            <w:tcW w:w="1129" w:type="dxa"/>
            <w:vMerge w:val="continue"/>
            <w:vAlign w:val="center"/>
          </w:tcPr>
          <w:p w14:paraId="2047DD88">
            <w:pPr>
              <w:snapToGrid w:val="0"/>
              <w:spacing w:line="360" w:lineRule="auto"/>
              <w:ind w:firstLine="480"/>
              <w:jc w:val="center"/>
              <w:rPr>
                <w:rFonts w:hint="eastAsia" w:ascii="宋体" w:hAnsi="宋体" w:cs="宋体"/>
                <w:bCs/>
                <w:color w:val="auto"/>
                <w:sz w:val="24"/>
                <w:highlight w:val="none"/>
              </w:rPr>
            </w:pPr>
          </w:p>
        </w:tc>
        <w:tc>
          <w:tcPr>
            <w:tcW w:w="5161" w:type="dxa"/>
            <w:vAlign w:val="center"/>
          </w:tcPr>
          <w:p w14:paraId="000A7796">
            <w:pPr>
              <w:spacing w:before="156"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项目组其他团队成员中具有副高级人员，每人得1分，具有中级职称人员，每人得0</w:t>
            </w:r>
            <w:r>
              <w:rPr>
                <w:rFonts w:ascii="宋体" w:hAnsi="宋体" w:cs="宋体"/>
                <w:bCs/>
                <w:color w:val="auto"/>
                <w:sz w:val="24"/>
                <w:highlight w:val="none"/>
              </w:rPr>
              <w:t>.5</w:t>
            </w:r>
            <w:r>
              <w:rPr>
                <w:rFonts w:hint="eastAsia" w:ascii="宋体" w:hAnsi="宋体" w:cs="宋体"/>
                <w:bCs/>
                <w:color w:val="auto"/>
                <w:sz w:val="24"/>
                <w:highlight w:val="none"/>
              </w:rPr>
              <w:t>分</w:t>
            </w:r>
            <w:r>
              <w:rPr>
                <w:rFonts w:hint="eastAsia" w:ascii="宋体" w:hAnsi="宋体"/>
                <w:bCs/>
                <w:snapToGrid w:val="0"/>
                <w:color w:val="auto"/>
                <w:kern w:val="0"/>
                <w:sz w:val="24"/>
                <w:highlight w:val="none"/>
              </w:rPr>
              <w:t>，具备初级职称得0.25分</w:t>
            </w:r>
            <w:r>
              <w:rPr>
                <w:rFonts w:hint="eastAsia" w:ascii="宋体" w:hAnsi="宋体" w:cs="宋体"/>
                <w:bCs/>
                <w:color w:val="auto"/>
                <w:sz w:val="24"/>
                <w:highlight w:val="none"/>
              </w:rPr>
              <w:t>，最高得3分【须提供人员职称证书扫描件或毕业证书、本单位社保参保证明（以当地社保部门或上级组织人事部门出具并盖章的证明为准），扫描件加盖公章编入商务技术文件，不符合要求不得分】。</w:t>
            </w:r>
          </w:p>
        </w:tc>
        <w:tc>
          <w:tcPr>
            <w:tcW w:w="846" w:type="dxa"/>
            <w:vAlign w:val="center"/>
          </w:tcPr>
          <w:p w14:paraId="2C9A6C6B">
            <w:pPr>
              <w:snapToGrid w:val="0"/>
              <w:spacing w:line="360" w:lineRule="auto"/>
              <w:jc w:val="center"/>
              <w:rPr>
                <w:rFonts w:hint="eastAsia" w:ascii="宋体" w:hAnsi="宋体" w:cs="宋体"/>
                <w:bCs/>
                <w:color w:val="auto"/>
                <w:sz w:val="24"/>
                <w:highlight w:val="none"/>
              </w:rPr>
            </w:pPr>
            <w:r>
              <w:rPr>
                <w:rFonts w:hint="eastAsia" w:ascii="宋体" w:hAnsi="宋体" w:cs="仿宋_GB2312"/>
                <w:color w:val="auto"/>
                <w:sz w:val="24"/>
                <w:highlight w:val="none"/>
              </w:rPr>
              <w:t>3分</w:t>
            </w:r>
          </w:p>
        </w:tc>
        <w:tc>
          <w:tcPr>
            <w:tcW w:w="1093" w:type="dxa"/>
            <w:vAlign w:val="center"/>
          </w:tcPr>
          <w:p w14:paraId="3B3DFDD2">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客观分</w:t>
            </w:r>
          </w:p>
        </w:tc>
        <w:tc>
          <w:tcPr>
            <w:tcW w:w="1246" w:type="dxa"/>
            <w:vAlign w:val="center"/>
          </w:tcPr>
          <w:p w14:paraId="543F2433">
            <w:pPr>
              <w:snapToGrid w:val="0"/>
              <w:spacing w:line="360" w:lineRule="auto"/>
              <w:ind w:firstLine="480"/>
              <w:jc w:val="center"/>
              <w:rPr>
                <w:rFonts w:hint="eastAsia" w:ascii="宋体" w:hAnsi="宋体" w:cs="宋体"/>
                <w:bCs/>
                <w:color w:val="auto"/>
                <w:sz w:val="24"/>
                <w:highlight w:val="none"/>
              </w:rPr>
            </w:pPr>
          </w:p>
        </w:tc>
      </w:tr>
      <w:tr w14:paraId="6722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right"/>
        </w:trPr>
        <w:tc>
          <w:tcPr>
            <w:tcW w:w="1129" w:type="dxa"/>
            <w:vMerge w:val="continue"/>
            <w:vAlign w:val="center"/>
          </w:tcPr>
          <w:p w14:paraId="1C95C43E">
            <w:pPr>
              <w:snapToGrid w:val="0"/>
              <w:spacing w:line="360" w:lineRule="auto"/>
              <w:ind w:firstLine="480"/>
              <w:jc w:val="center"/>
              <w:rPr>
                <w:rFonts w:hint="eastAsia" w:ascii="宋体" w:hAnsi="宋体" w:cs="宋体"/>
                <w:bCs/>
                <w:color w:val="auto"/>
                <w:sz w:val="24"/>
                <w:highlight w:val="none"/>
              </w:rPr>
            </w:pPr>
          </w:p>
        </w:tc>
        <w:tc>
          <w:tcPr>
            <w:tcW w:w="5161" w:type="dxa"/>
            <w:vAlign w:val="center"/>
          </w:tcPr>
          <w:p w14:paraId="38964D33">
            <w:pPr>
              <w:spacing w:before="156"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项目组其他团队成员中具有咨询工程师（投资）登记证书人员，每人得1分，最高得</w:t>
            </w:r>
            <w:r>
              <w:rPr>
                <w:rFonts w:ascii="宋体" w:hAnsi="宋体" w:cs="宋体"/>
                <w:bCs/>
                <w:color w:val="auto"/>
                <w:sz w:val="24"/>
                <w:highlight w:val="none"/>
              </w:rPr>
              <w:t>3</w:t>
            </w:r>
            <w:r>
              <w:rPr>
                <w:rFonts w:hint="eastAsia" w:ascii="宋体" w:hAnsi="宋体" w:cs="宋体"/>
                <w:bCs/>
                <w:color w:val="auto"/>
                <w:sz w:val="24"/>
                <w:highlight w:val="none"/>
              </w:rPr>
              <w:t>分。【须提供人员咨询工程师（投资）登记证书扫描件、本单位社保参保证明（以当地社保部门或上级组织人事部门出具并盖章的证明为准），扫描件加盖公章编入商务技术文件，加盖公章，不符合要求不得分】。</w:t>
            </w:r>
          </w:p>
        </w:tc>
        <w:tc>
          <w:tcPr>
            <w:tcW w:w="846" w:type="dxa"/>
            <w:vAlign w:val="center"/>
          </w:tcPr>
          <w:p w14:paraId="791C6CB9">
            <w:pPr>
              <w:snapToGrid w:val="0"/>
              <w:spacing w:line="360" w:lineRule="auto"/>
              <w:jc w:val="center"/>
              <w:rPr>
                <w:rFonts w:hint="eastAsia" w:ascii="宋体" w:hAnsi="宋体" w:cs="宋体"/>
                <w:bCs/>
                <w:color w:val="auto"/>
                <w:sz w:val="24"/>
                <w:highlight w:val="none"/>
              </w:rPr>
            </w:pPr>
            <w:r>
              <w:rPr>
                <w:rFonts w:hint="eastAsia" w:ascii="宋体" w:hAnsi="宋体" w:cs="仿宋_GB2312"/>
                <w:color w:val="auto"/>
                <w:sz w:val="24"/>
                <w:highlight w:val="none"/>
              </w:rPr>
              <w:t>3分</w:t>
            </w:r>
          </w:p>
        </w:tc>
        <w:tc>
          <w:tcPr>
            <w:tcW w:w="1093" w:type="dxa"/>
            <w:vAlign w:val="center"/>
          </w:tcPr>
          <w:p w14:paraId="5283F52F">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客观分</w:t>
            </w:r>
          </w:p>
        </w:tc>
        <w:tc>
          <w:tcPr>
            <w:tcW w:w="1246" w:type="dxa"/>
            <w:vAlign w:val="center"/>
          </w:tcPr>
          <w:p w14:paraId="2B61EF35">
            <w:pPr>
              <w:snapToGrid w:val="0"/>
              <w:spacing w:line="360" w:lineRule="auto"/>
              <w:ind w:firstLine="480"/>
              <w:jc w:val="center"/>
              <w:rPr>
                <w:rFonts w:hint="eastAsia" w:ascii="宋体" w:hAnsi="宋体" w:cs="宋体"/>
                <w:bCs/>
                <w:color w:val="auto"/>
                <w:sz w:val="24"/>
                <w:highlight w:val="none"/>
              </w:rPr>
            </w:pPr>
          </w:p>
        </w:tc>
      </w:tr>
      <w:tr w14:paraId="6983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right"/>
        </w:trPr>
        <w:tc>
          <w:tcPr>
            <w:tcW w:w="1129" w:type="dxa"/>
            <w:vMerge w:val="continue"/>
            <w:vAlign w:val="center"/>
          </w:tcPr>
          <w:p w14:paraId="32211E0B">
            <w:pPr>
              <w:snapToGrid w:val="0"/>
              <w:spacing w:line="360" w:lineRule="auto"/>
              <w:ind w:firstLine="480"/>
              <w:jc w:val="center"/>
              <w:rPr>
                <w:rFonts w:hint="eastAsia" w:ascii="宋体" w:hAnsi="宋体" w:cs="宋体"/>
                <w:bCs/>
                <w:color w:val="auto"/>
                <w:sz w:val="24"/>
                <w:highlight w:val="none"/>
              </w:rPr>
            </w:pPr>
          </w:p>
        </w:tc>
        <w:tc>
          <w:tcPr>
            <w:tcW w:w="5161" w:type="dxa"/>
            <w:vAlign w:val="center"/>
          </w:tcPr>
          <w:p w14:paraId="3B8A6250">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承诺项目组其他团队成员在项目所在地的工作时间（投入本项目工作时间）不少于120个日历天得2分，不符合要求不得分（提供承诺函）。</w:t>
            </w:r>
          </w:p>
        </w:tc>
        <w:tc>
          <w:tcPr>
            <w:tcW w:w="846" w:type="dxa"/>
            <w:vAlign w:val="center"/>
          </w:tcPr>
          <w:p w14:paraId="46EA7A7E">
            <w:pPr>
              <w:snapToGrid w:val="0"/>
              <w:spacing w:line="360" w:lineRule="auto"/>
              <w:jc w:val="center"/>
              <w:rPr>
                <w:rFonts w:hint="eastAsia" w:ascii="宋体" w:hAnsi="宋体" w:cs="宋体"/>
                <w:bCs/>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分</w:t>
            </w:r>
          </w:p>
        </w:tc>
        <w:tc>
          <w:tcPr>
            <w:tcW w:w="1093" w:type="dxa"/>
            <w:vAlign w:val="center"/>
          </w:tcPr>
          <w:p w14:paraId="2C6A0F0A">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客观分</w:t>
            </w:r>
          </w:p>
        </w:tc>
        <w:tc>
          <w:tcPr>
            <w:tcW w:w="1246" w:type="dxa"/>
            <w:vAlign w:val="center"/>
          </w:tcPr>
          <w:p w14:paraId="7BCFAF3F">
            <w:pPr>
              <w:snapToGrid w:val="0"/>
              <w:spacing w:line="360" w:lineRule="auto"/>
              <w:ind w:firstLine="480"/>
              <w:jc w:val="center"/>
              <w:rPr>
                <w:rFonts w:hint="eastAsia" w:ascii="宋体" w:hAnsi="宋体" w:cs="宋体"/>
                <w:bCs/>
                <w:color w:val="auto"/>
                <w:sz w:val="24"/>
                <w:highlight w:val="none"/>
              </w:rPr>
            </w:pPr>
          </w:p>
        </w:tc>
      </w:tr>
      <w:tr w14:paraId="65B3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right"/>
        </w:trPr>
        <w:tc>
          <w:tcPr>
            <w:tcW w:w="1129" w:type="dxa"/>
            <w:vAlign w:val="center"/>
          </w:tcPr>
          <w:p w14:paraId="61F31B84">
            <w:pPr>
              <w:snapToGrid w:val="0"/>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12、服务保障</w:t>
            </w:r>
          </w:p>
        </w:tc>
        <w:tc>
          <w:tcPr>
            <w:tcW w:w="5161" w:type="dxa"/>
            <w:vAlign w:val="center"/>
          </w:tcPr>
          <w:p w14:paraId="467392E2">
            <w:pPr>
              <w:snapToGrid w:val="0"/>
              <w:spacing w:line="360" w:lineRule="auto"/>
              <w:rPr>
                <w:rFonts w:hint="eastAsia" w:ascii="宋体" w:hAnsi="宋体" w:cs="仿宋_GB2312"/>
                <w:color w:val="auto"/>
                <w:sz w:val="24"/>
                <w:highlight w:val="none"/>
              </w:rPr>
            </w:pPr>
            <w:r>
              <w:rPr>
                <w:rFonts w:hint="eastAsia" w:ascii="宋体" w:hAnsi="宋体" w:cs="宋体"/>
                <w:bCs/>
                <w:snapToGrid w:val="0"/>
                <w:color w:val="auto"/>
                <w:kern w:val="0"/>
                <w:sz w:val="24"/>
                <w:highlight w:val="none"/>
              </w:rPr>
              <w:t>投标人承诺</w:t>
            </w:r>
            <w:r>
              <w:rPr>
                <w:rFonts w:hint="eastAsia" w:ascii="宋体" w:hAnsi="宋体" w:cs="宋体"/>
                <w:color w:val="auto"/>
                <w:sz w:val="24"/>
                <w:highlight w:val="none"/>
              </w:rPr>
              <w:t>中标后到项目完成最终稿之间，日均在项目所在地团队工作人员不得少于7人得2分，不符合要求不得分</w:t>
            </w:r>
            <w:r>
              <w:rPr>
                <w:rFonts w:hint="eastAsia" w:ascii="宋体" w:hAnsi="宋体"/>
                <w:bCs/>
                <w:snapToGrid w:val="0"/>
                <w:color w:val="auto"/>
                <w:kern w:val="0"/>
                <w:sz w:val="24"/>
                <w:highlight w:val="none"/>
              </w:rPr>
              <w:t>。</w:t>
            </w:r>
          </w:p>
        </w:tc>
        <w:tc>
          <w:tcPr>
            <w:tcW w:w="846" w:type="dxa"/>
            <w:vAlign w:val="center"/>
          </w:tcPr>
          <w:p w14:paraId="5AD6D293">
            <w:pPr>
              <w:snapToGrid w:val="0"/>
              <w:spacing w:line="360" w:lineRule="auto"/>
              <w:jc w:val="center"/>
              <w:rPr>
                <w:rFonts w:hint="eastAsia"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分</w:t>
            </w:r>
          </w:p>
        </w:tc>
        <w:tc>
          <w:tcPr>
            <w:tcW w:w="1093" w:type="dxa"/>
            <w:vAlign w:val="center"/>
          </w:tcPr>
          <w:p w14:paraId="7E592F82">
            <w:pPr>
              <w:snapToGrid w:val="0"/>
              <w:spacing w:line="360" w:lineRule="auto"/>
              <w:jc w:val="center"/>
              <w:rPr>
                <w:rFonts w:hint="eastAsia" w:ascii="宋体" w:hAnsi="宋体" w:cs="仿宋_GB2312"/>
                <w:bCs/>
                <w:color w:val="auto"/>
                <w:sz w:val="24"/>
                <w:highlight w:val="none"/>
              </w:rPr>
            </w:pPr>
            <w:r>
              <w:rPr>
                <w:rFonts w:hint="eastAsia" w:ascii="宋体" w:hAnsi="宋体" w:cs="仿宋_GB2312"/>
                <w:bCs/>
                <w:color w:val="auto"/>
                <w:sz w:val="24"/>
                <w:highlight w:val="none"/>
              </w:rPr>
              <w:t>客观分</w:t>
            </w:r>
          </w:p>
        </w:tc>
        <w:tc>
          <w:tcPr>
            <w:tcW w:w="1246" w:type="dxa"/>
            <w:vAlign w:val="center"/>
          </w:tcPr>
          <w:p w14:paraId="3E8093D3">
            <w:pPr>
              <w:snapToGrid w:val="0"/>
              <w:spacing w:line="360" w:lineRule="auto"/>
              <w:ind w:firstLine="480"/>
              <w:jc w:val="center"/>
              <w:rPr>
                <w:rFonts w:hint="eastAsia" w:ascii="宋体" w:hAnsi="宋体" w:cs="仿宋_GB2312"/>
                <w:color w:val="auto"/>
                <w:sz w:val="24"/>
                <w:highlight w:val="none"/>
              </w:rPr>
            </w:pPr>
          </w:p>
        </w:tc>
      </w:tr>
      <w:tr w14:paraId="307F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right"/>
        </w:trPr>
        <w:tc>
          <w:tcPr>
            <w:tcW w:w="1129" w:type="dxa"/>
            <w:vAlign w:val="center"/>
          </w:tcPr>
          <w:p w14:paraId="3FCE3F3D">
            <w:pPr>
              <w:snapToGrid w:val="0"/>
              <w:spacing w:line="360" w:lineRule="auto"/>
              <w:jc w:val="center"/>
              <w:rPr>
                <w:rFonts w:hint="eastAsia" w:ascii="宋体" w:hAns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3、报价</w:t>
            </w:r>
          </w:p>
        </w:tc>
        <w:tc>
          <w:tcPr>
            <w:tcW w:w="5161" w:type="dxa"/>
            <w:vAlign w:val="center"/>
          </w:tcPr>
          <w:p w14:paraId="665CEC3D">
            <w:pPr>
              <w:spacing w:line="360" w:lineRule="auto"/>
              <w:outlineLvl w:val="0"/>
              <w:rPr>
                <w:rFonts w:hint="eastAsia" w:ascii="宋体" w:hAnsi="宋体" w:cs="仿宋_GB2312"/>
                <w:color w:val="auto"/>
                <w:sz w:val="24"/>
                <w:highlight w:val="none"/>
              </w:rPr>
            </w:pPr>
            <w:r>
              <w:rPr>
                <w:rFonts w:hint="eastAsia" w:ascii="宋体" w:hAnsi="宋体" w:cs="仿宋_GB2312"/>
                <w:color w:val="auto"/>
                <w:sz w:val="24"/>
                <w:highlight w:val="none"/>
              </w:rPr>
              <w:t>有效投标报价的最低价作为评标基准价，其最低报价为满分；按［投标报价得分</w:t>
            </w:r>
            <w:r>
              <w:rPr>
                <w:rFonts w:ascii="宋体" w:hAnsi="宋体" w:cs="仿宋_GB2312"/>
                <w:color w:val="auto"/>
                <w:sz w:val="24"/>
                <w:highlight w:val="none"/>
              </w:rPr>
              <w:t>=（评标基准价/投标报价）*</w:t>
            </w:r>
            <w:r>
              <w:rPr>
                <w:rFonts w:hint="eastAsia" w:ascii="宋体" w:hAnsi="宋体" w:cs="仿宋_GB2312"/>
                <w:color w:val="auto"/>
                <w:sz w:val="24"/>
                <w:highlight w:val="none"/>
              </w:rPr>
              <w:t>权重</w:t>
            </w:r>
            <w:r>
              <w:rPr>
                <w:rFonts w:ascii="宋体" w:hAnsi="宋体" w:cs="仿宋_GB2312"/>
                <w:color w:val="auto"/>
                <w:sz w:val="24"/>
                <w:highlight w:val="none"/>
              </w:rPr>
              <w:t>］的计算公式计算。</w:t>
            </w:r>
          </w:p>
          <w:p w14:paraId="15DFBB47">
            <w:pPr>
              <w:widowControl/>
              <w:shd w:val="clear" w:color="auto" w:fill="FFFFFF"/>
              <w:adjustRightInd/>
              <w:spacing w:after="225" w:line="360" w:lineRule="auto"/>
              <w:ind w:firstLine="480"/>
              <w:rPr>
                <w:rFonts w:hint="eastAsia" w:ascii="宋体" w:hAnsi="宋体" w:cs="仿宋_GB2312"/>
                <w:color w:val="auto"/>
                <w:sz w:val="24"/>
                <w:highlight w:val="none"/>
              </w:rPr>
            </w:pPr>
            <w:r>
              <w:rPr>
                <w:rFonts w:ascii="宋体" w:hAnsi="宋体" w:cs="仿宋_GB2312"/>
                <w:color w:val="auto"/>
                <w:sz w:val="24"/>
                <w:highlight w:val="none"/>
              </w:rPr>
              <w:t>评标过程中，不得去掉报价中的最高报价和最低报价</w:t>
            </w:r>
            <w:r>
              <w:rPr>
                <w:rFonts w:hint="eastAsia" w:ascii="宋体" w:hAnsi="宋体" w:cs="仿宋_GB2312"/>
                <w:color w:val="auto"/>
                <w:sz w:val="24"/>
                <w:highlight w:val="none"/>
              </w:rPr>
              <w:t>。</w:t>
            </w:r>
          </w:p>
        </w:tc>
        <w:tc>
          <w:tcPr>
            <w:tcW w:w="846" w:type="dxa"/>
            <w:vAlign w:val="center"/>
          </w:tcPr>
          <w:p w14:paraId="43204179">
            <w:pPr>
              <w:spacing w:line="360" w:lineRule="auto"/>
              <w:jc w:val="center"/>
              <w:outlineLvl w:val="0"/>
              <w:rPr>
                <w:rFonts w:hint="eastAsia" w:ascii="宋体" w:hAnsi="宋体" w:cs="仿宋_GB2312"/>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0</w:t>
            </w:r>
            <w:r>
              <w:rPr>
                <w:rFonts w:hint="eastAsia" w:ascii="宋体" w:hAnsi="宋体" w:cs="仿宋_GB2312"/>
                <w:color w:val="auto"/>
                <w:sz w:val="24"/>
                <w:highlight w:val="none"/>
              </w:rPr>
              <w:t>分</w:t>
            </w:r>
          </w:p>
        </w:tc>
        <w:tc>
          <w:tcPr>
            <w:tcW w:w="1093" w:type="dxa"/>
            <w:vAlign w:val="center"/>
          </w:tcPr>
          <w:p w14:paraId="477C9F04">
            <w:pPr>
              <w:spacing w:line="360" w:lineRule="auto"/>
              <w:ind w:firstLine="480"/>
              <w:jc w:val="center"/>
              <w:outlineLvl w:val="0"/>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1246" w:type="dxa"/>
            <w:vAlign w:val="center"/>
          </w:tcPr>
          <w:p w14:paraId="12ED310D">
            <w:pPr>
              <w:spacing w:line="360" w:lineRule="auto"/>
              <w:ind w:firstLine="480"/>
              <w:jc w:val="center"/>
              <w:outlineLvl w:val="0"/>
              <w:rPr>
                <w:rFonts w:hint="eastAsia" w:ascii="宋体" w:hAnsi="宋体" w:cs="仿宋_GB2312"/>
                <w:color w:val="auto"/>
                <w:sz w:val="24"/>
                <w:highlight w:val="none"/>
              </w:rPr>
            </w:pPr>
          </w:p>
        </w:tc>
      </w:tr>
    </w:tbl>
    <w:p w14:paraId="24DD986B">
      <w:pPr>
        <w:spacing w:line="360" w:lineRule="auto"/>
        <w:ind w:left="120" w:firstLine="22"/>
        <w:rPr>
          <w:rFonts w:hint="eastAsia" w:ascii="宋体" w:hAnsi="宋体" w:cs="宋体"/>
          <w:color w:val="auto"/>
          <w:highlight w:val="none"/>
        </w:rPr>
      </w:pPr>
    </w:p>
    <w:p w14:paraId="642CF4DF">
      <w:pPr>
        <w:snapToGrid w:val="0"/>
        <w:spacing w:line="360" w:lineRule="auto"/>
        <w:ind w:left="120" w:firstLine="22"/>
        <w:rPr>
          <w:rFonts w:hint="eastAsia" w:ascii="宋体" w:hAnsi="宋体" w:cs="宋体"/>
          <w:b/>
          <w:color w:val="auto"/>
          <w:sz w:val="32"/>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BBAEB1A">
      <w:pPr>
        <w:adjustRightInd/>
        <w:spacing w:line="360" w:lineRule="auto"/>
        <w:ind w:left="120" w:firstLine="22"/>
        <w:outlineLvl w:val="1"/>
        <w:rPr>
          <w:rFonts w:hint="eastAsia" w:ascii="宋体" w:hAnsi="宋体" w:cs="宋体"/>
          <w:b/>
          <w:color w:val="auto"/>
          <w:sz w:val="32"/>
          <w:highlight w:val="none"/>
        </w:rPr>
      </w:pPr>
      <w:r>
        <w:rPr>
          <w:rFonts w:hint="eastAsia" w:ascii="宋体" w:hAnsi="宋体" w:cs="宋体"/>
          <w:b/>
          <w:color w:val="auto"/>
          <w:sz w:val="32"/>
          <w:highlight w:val="none"/>
        </w:rPr>
        <w:t>一、评标方法</w:t>
      </w:r>
    </w:p>
    <w:p w14:paraId="3CDA00FD">
      <w:pPr>
        <w:adjustRightInd/>
        <w:spacing w:line="360" w:lineRule="auto"/>
        <w:ind w:left="120"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综合评分法，是指投标文件满足采购文件全部实质性要求，且按照评审因素的量化指标评审得分最高的投标人为中标候选人的评标方法。</w:t>
      </w:r>
    </w:p>
    <w:p w14:paraId="1264BAC3">
      <w:pPr>
        <w:adjustRightInd/>
        <w:spacing w:line="360" w:lineRule="auto"/>
        <w:ind w:left="120" w:firstLine="22"/>
        <w:outlineLvl w:val="1"/>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3D5D7DF1">
      <w:pPr>
        <w:spacing w:line="360" w:lineRule="auto"/>
        <w:ind w:left="120"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6B55BBF">
      <w:pPr>
        <w:spacing w:line="360" w:lineRule="auto"/>
        <w:ind w:left="120" w:firstLine="22"/>
        <w:outlineLvl w:val="1"/>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68D7605">
      <w:pPr>
        <w:spacing w:line="360" w:lineRule="auto"/>
        <w:ind w:left="120"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评标委员会应当对符合资格的投标人的投标文件进行符合性审查，以确定其是否满足采购文件的实质性要求。不满足采购文件的实质性要求的，投标无效。</w:t>
      </w:r>
    </w:p>
    <w:p w14:paraId="6BF56A2A">
      <w:pPr>
        <w:spacing w:line="360" w:lineRule="auto"/>
        <w:ind w:left="120"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评标委员会应当按照采购文件中规定的评标方法和标准，对符合性审查合格的投标文件进行商务和技术评估，综合比较与评价。</w:t>
      </w:r>
    </w:p>
    <w:p w14:paraId="40F6D0FB">
      <w:pPr>
        <w:spacing w:line="360" w:lineRule="auto"/>
        <w:ind w:left="120"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7BC139C">
      <w:pPr>
        <w:spacing w:line="360" w:lineRule="auto"/>
        <w:ind w:left="120"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5492D1F">
      <w:pPr>
        <w:pStyle w:val="130"/>
        <w:spacing w:before="0"/>
        <w:ind w:left="120"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354FC37">
      <w:pPr>
        <w:pStyle w:val="130"/>
        <w:spacing w:before="0"/>
        <w:ind w:left="120"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E5CB0C9">
      <w:pPr>
        <w:pStyle w:val="130"/>
        <w:spacing w:before="0"/>
        <w:ind w:left="120"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4F6CA97">
      <w:pPr>
        <w:pStyle w:val="130"/>
        <w:spacing w:before="0"/>
        <w:ind w:left="120"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AC6C5D7">
      <w:pPr>
        <w:pStyle w:val="130"/>
        <w:spacing w:before="0"/>
        <w:ind w:left="120"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6A0B1C8">
      <w:pPr>
        <w:pStyle w:val="130"/>
        <w:spacing w:before="0"/>
        <w:ind w:left="120"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DD1160E">
      <w:pPr>
        <w:snapToGrid w:val="0"/>
        <w:spacing w:line="360" w:lineRule="auto"/>
        <w:ind w:left="12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947ED1A">
      <w:pPr>
        <w:snapToGrid w:val="0"/>
        <w:spacing w:line="360" w:lineRule="auto"/>
        <w:ind w:left="12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3.4.3投标报价超过采购文件中规定的预算金额或者最高限价的，投标无效。</w:t>
      </w:r>
    </w:p>
    <w:p w14:paraId="075FEC5E">
      <w:pPr>
        <w:pStyle w:val="130"/>
        <w:spacing w:before="0"/>
        <w:ind w:left="120"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5FB9789">
      <w:pPr>
        <w:pStyle w:val="130"/>
        <w:spacing w:before="0"/>
        <w:ind w:left="120"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FF11DE4">
      <w:pPr>
        <w:spacing w:line="360" w:lineRule="auto"/>
        <w:ind w:left="120"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14:paraId="0014735F">
      <w:pPr>
        <w:spacing w:line="360" w:lineRule="auto"/>
        <w:ind w:left="120"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B9AB830">
      <w:pPr>
        <w:spacing w:line="360" w:lineRule="auto"/>
        <w:ind w:left="120"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998D783">
      <w:pPr>
        <w:widowControl/>
        <w:shd w:val="clear" w:color="auto" w:fill="FFFFFF"/>
        <w:adjustRightInd/>
        <w:spacing w:after="225" w:line="360" w:lineRule="auto"/>
        <w:ind w:left="120" w:firstLine="22"/>
        <w:jc w:val="left"/>
        <w:outlineLvl w:val="1"/>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2790AE68">
      <w:pPr>
        <w:pStyle w:val="130"/>
        <w:spacing w:before="0"/>
        <w:ind w:left="120"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7FA23F">
      <w:pPr>
        <w:pStyle w:val="26"/>
        <w:snapToGrid w:val="0"/>
        <w:spacing w:line="360" w:lineRule="auto"/>
        <w:ind w:left="120" w:firstLine="472" w:firstLineChars="196"/>
        <w:rPr>
          <w:rFonts w:hint="eastAsia" w:cs="宋体"/>
          <w:color w:val="auto"/>
          <w:highlight w:val="none"/>
        </w:rPr>
      </w:pPr>
      <w:r>
        <w:rPr>
          <w:rFonts w:hint="eastAsia" w:cs="宋体"/>
          <w:b/>
          <w:bCs/>
          <w:color w:val="auto"/>
          <w:highlight w:val="none"/>
        </w:rPr>
        <w:t>4.2投标无效。</w:t>
      </w:r>
      <w:r>
        <w:rPr>
          <w:rFonts w:hint="eastAsia" w:cs="宋体"/>
          <w:color w:val="auto"/>
          <w:highlight w:val="none"/>
        </w:rPr>
        <w:t>有下列情形之一的，投标无效：</w:t>
      </w:r>
    </w:p>
    <w:p w14:paraId="5F803C40">
      <w:pPr>
        <w:pStyle w:val="26"/>
        <w:snapToGrid w:val="0"/>
        <w:spacing w:line="360" w:lineRule="auto"/>
        <w:ind w:left="120" w:firstLine="470" w:firstLineChars="196"/>
        <w:rPr>
          <w:rFonts w:hint="eastAsia" w:cs="宋体"/>
          <w:color w:val="auto"/>
          <w:highlight w:val="none"/>
        </w:rPr>
      </w:pPr>
      <w:r>
        <w:rPr>
          <w:rFonts w:hint="eastAsia" w:cs="宋体"/>
          <w:color w:val="auto"/>
          <w:highlight w:val="none"/>
        </w:rPr>
        <w:t>4.2.1投标人不具备招标文件中规定的资格要求的（投标人未提供有效的资格文件的，视为投标人不具备招标文件中规定的资格要求）；</w:t>
      </w:r>
    </w:p>
    <w:p w14:paraId="55945CB5">
      <w:pPr>
        <w:pStyle w:val="26"/>
        <w:snapToGrid w:val="0"/>
        <w:spacing w:line="360" w:lineRule="auto"/>
        <w:ind w:left="120" w:firstLine="470" w:firstLineChars="196"/>
        <w:rPr>
          <w:rFonts w:hint="eastAsia" w:cs="宋体"/>
          <w:color w:val="auto"/>
          <w:highlight w:val="none"/>
        </w:rPr>
      </w:pPr>
      <w:r>
        <w:rPr>
          <w:rFonts w:hint="eastAsia" w:cs="宋体"/>
          <w:color w:val="auto"/>
          <w:highlight w:val="none"/>
        </w:rPr>
        <w:t>4.2.2投标文件未按照招标文件要求签署、盖章的；</w:t>
      </w:r>
    </w:p>
    <w:p w14:paraId="37B57674">
      <w:pPr>
        <w:pStyle w:val="26"/>
        <w:snapToGrid w:val="0"/>
        <w:spacing w:line="360" w:lineRule="auto"/>
        <w:ind w:left="120" w:firstLine="470" w:firstLineChars="196"/>
        <w:rPr>
          <w:rFonts w:hint="eastAsia" w:cs="宋体"/>
          <w:color w:val="auto"/>
          <w:highlight w:val="none"/>
        </w:rPr>
      </w:pPr>
      <w:r>
        <w:rPr>
          <w:rFonts w:hint="eastAsia" w:cs="宋体"/>
          <w:color w:val="auto"/>
          <w:highlight w:val="none"/>
        </w:rPr>
        <w:t>4.2.3采购人拟采购的产品属于政府强制采购的节能产品品目清单范围的，投标人相应的投标产品未获得国家确定的认证机构出具的、处于有效期之内的节能产品认证证书的；</w:t>
      </w:r>
    </w:p>
    <w:p w14:paraId="478E0CCB">
      <w:pPr>
        <w:pStyle w:val="26"/>
        <w:snapToGrid w:val="0"/>
        <w:spacing w:line="360" w:lineRule="auto"/>
        <w:ind w:left="120" w:firstLine="470" w:firstLineChars="196"/>
        <w:rPr>
          <w:rFonts w:hint="eastAsia" w:cs="宋体"/>
          <w:color w:val="auto"/>
          <w:highlight w:val="none"/>
        </w:rPr>
      </w:pPr>
      <w:r>
        <w:rPr>
          <w:rFonts w:hint="eastAsia" w:cs="宋体"/>
          <w:color w:val="auto"/>
          <w:highlight w:val="none"/>
        </w:rPr>
        <w:t>4.2.4投标文件含有采购人不能接受的附加条件的；</w:t>
      </w:r>
    </w:p>
    <w:p w14:paraId="2F8D9A9E">
      <w:pPr>
        <w:pStyle w:val="26"/>
        <w:snapToGrid w:val="0"/>
        <w:spacing w:line="360" w:lineRule="auto"/>
        <w:ind w:left="120" w:firstLine="470" w:firstLineChars="196"/>
        <w:rPr>
          <w:rFonts w:hint="eastAsia" w:cs="宋体"/>
          <w:color w:val="auto"/>
          <w:highlight w:val="none"/>
        </w:rPr>
      </w:pPr>
      <w:r>
        <w:rPr>
          <w:rFonts w:hint="eastAsia" w:cs="宋体"/>
          <w:color w:val="auto"/>
          <w:highlight w:val="none"/>
        </w:rPr>
        <w:t>4.2.5投标文件中承诺的投标有效期少于招标文件中载明的投标有效期的；</w:t>
      </w:r>
    </w:p>
    <w:p w14:paraId="66717530">
      <w:pPr>
        <w:pStyle w:val="26"/>
        <w:spacing w:line="360" w:lineRule="auto"/>
        <w:ind w:left="120" w:firstLine="470" w:firstLineChars="196"/>
        <w:rPr>
          <w:rFonts w:hint="eastAsia" w:cs="宋体"/>
          <w:color w:val="auto"/>
          <w:highlight w:val="none"/>
        </w:rPr>
      </w:pPr>
      <w:r>
        <w:rPr>
          <w:rFonts w:hint="eastAsia" w:cs="宋体"/>
          <w:color w:val="auto"/>
          <w:highlight w:val="none"/>
        </w:rPr>
        <w:t>4.2.6投标文件出现不是唯一的、有选择性投标报价的;</w:t>
      </w:r>
    </w:p>
    <w:p w14:paraId="29A9B1D1">
      <w:pPr>
        <w:pStyle w:val="26"/>
        <w:snapToGrid w:val="0"/>
        <w:spacing w:line="360" w:lineRule="auto"/>
        <w:ind w:left="120" w:firstLine="470" w:firstLineChars="196"/>
        <w:rPr>
          <w:rFonts w:hint="eastAsia" w:cs="宋体"/>
          <w:color w:val="auto"/>
          <w:highlight w:val="none"/>
        </w:rPr>
      </w:pPr>
      <w:r>
        <w:rPr>
          <w:rFonts w:hint="eastAsia" w:cs="宋体"/>
          <w:color w:val="auto"/>
          <w:highlight w:val="none"/>
        </w:rPr>
        <w:t>4.2.7投标报价超过招标文件中规定的预算金额或者最高限价的;</w:t>
      </w:r>
    </w:p>
    <w:p w14:paraId="6E1770AC">
      <w:pPr>
        <w:pStyle w:val="26"/>
        <w:snapToGrid w:val="0"/>
        <w:spacing w:line="360" w:lineRule="auto"/>
        <w:ind w:left="120" w:firstLine="470" w:firstLineChars="196"/>
        <w:rPr>
          <w:rFonts w:hint="eastAsia" w:cs="宋体"/>
          <w:color w:val="auto"/>
          <w:highlight w:val="none"/>
        </w:rPr>
      </w:pPr>
      <w:r>
        <w:rPr>
          <w:rFonts w:hint="eastAsia" w:cs="宋体"/>
          <w:color w:val="auto"/>
          <w:highlight w:val="none"/>
        </w:rPr>
        <w:t>4.2.8《中小企业声明函》填写企业类型错误或者未填写企业类型的，投标无效。</w:t>
      </w:r>
    </w:p>
    <w:p w14:paraId="144A56D8">
      <w:pPr>
        <w:pStyle w:val="26"/>
        <w:snapToGrid w:val="0"/>
        <w:spacing w:line="360" w:lineRule="auto"/>
        <w:ind w:left="120" w:firstLine="470" w:firstLineChars="196"/>
        <w:rPr>
          <w:rFonts w:hint="eastAsia" w:cs="宋体"/>
          <w:color w:val="auto"/>
          <w:highlight w:val="none"/>
        </w:rPr>
      </w:pPr>
      <w:r>
        <w:rPr>
          <w:rFonts w:hint="eastAsia" w:cs="宋体"/>
          <w:color w:val="auto"/>
          <w:highlight w:val="none"/>
        </w:rPr>
        <w:t>4.2.9投标人对根据修正原则修正后的报价不确认的；</w:t>
      </w:r>
    </w:p>
    <w:p w14:paraId="02F266BA">
      <w:pPr>
        <w:pStyle w:val="26"/>
        <w:snapToGrid w:val="0"/>
        <w:spacing w:line="360" w:lineRule="auto"/>
        <w:ind w:left="120" w:firstLine="470" w:firstLineChars="196"/>
        <w:rPr>
          <w:rFonts w:hint="eastAsia" w:cs="宋体"/>
          <w:color w:val="auto"/>
          <w:highlight w:val="none"/>
        </w:rPr>
      </w:pPr>
      <w:r>
        <w:rPr>
          <w:rFonts w:hint="eastAsia" w:cs="宋体"/>
          <w:color w:val="auto"/>
          <w:highlight w:val="none"/>
        </w:rPr>
        <w:t>4.2.10投标人提供虚假材料投标的；</w:t>
      </w:r>
    </w:p>
    <w:p w14:paraId="285BA146">
      <w:pPr>
        <w:pStyle w:val="26"/>
        <w:snapToGrid w:val="0"/>
        <w:spacing w:line="360" w:lineRule="auto"/>
        <w:ind w:left="120" w:firstLine="470" w:firstLineChars="196"/>
        <w:rPr>
          <w:rFonts w:hint="eastAsia" w:cs="宋体"/>
          <w:color w:val="auto"/>
          <w:highlight w:val="none"/>
        </w:rPr>
      </w:pPr>
      <w:r>
        <w:rPr>
          <w:rFonts w:hint="eastAsia" w:cs="宋体"/>
          <w:color w:val="auto"/>
          <w:highlight w:val="none"/>
        </w:rPr>
        <w:t>4.2.11投标人有恶意串通、妨碍其他投标人的竞争行为、损害采购人或者其他投标人的合法权益情形的；</w:t>
      </w:r>
    </w:p>
    <w:p w14:paraId="5E46BAA5">
      <w:pPr>
        <w:pStyle w:val="26"/>
        <w:snapToGrid w:val="0"/>
        <w:spacing w:line="360" w:lineRule="auto"/>
        <w:ind w:left="120" w:firstLine="470" w:firstLineChars="196"/>
        <w:rPr>
          <w:rFonts w:hint="eastAsia" w:cs="宋体"/>
          <w:color w:val="auto"/>
          <w:highlight w:val="none"/>
        </w:rPr>
      </w:pPr>
      <w:r>
        <w:rPr>
          <w:rFonts w:hint="eastAsia" w:cs="宋体"/>
          <w:color w:val="auto"/>
          <w:highlight w:val="none"/>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A732FF8">
      <w:pPr>
        <w:pStyle w:val="26"/>
        <w:snapToGrid w:val="0"/>
        <w:spacing w:line="360" w:lineRule="auto"/>
        <w:ind w:left="120" w:firstLine="470" w:firstLineChars="196"/>
        <w:rPr>
          <w:rFonts w:hint="eastAsia" w:cs="宋体"/>
          <w:color w:val="auto"/>
          <w:highlight w:val="none"/>
        </w:rPr>
      </w:pPr>
      <w:r>
        <w:rPr>
          <w:rFonts w:hint="eastAsia" w:cs="宋体"/>
          <w:color w:val="auto"/>
          <w:highlight w:val="none"/>
        </w:rPr>
        <w:t>4.2.1</w:t>
      </w:r>
      <w:r>
        <w:rPr>
          <w:rFonts w:hint="eastAsia" w:cs="宋体"/>
          <w:color w:val="auto"/>
          <w:highlight w:val="none"/>
          <w:lang w:val="en-US" w:eastAsia="zh-CN"/>
        </w:rPr>
        <w:t>3</w:t>
      </w:r>
      <w:r>
        <w:rPr>
          <w:rFonts w:hint="eastAsia" w:cs="宋体"/>
          <w:color w:val="auto"/>
          <w:highlight w:val="none"/>
        </w:rPr>
        <w:t>投标人仅提交备份投标文件，未在电子交易平台传输递交投标文件的，投标无效；</w:t>
      </w:r>
    </w:p>
    <w:p w14:paraId="100429BE">
      <w:pPr>
        <w:pStyle w:val="26"/>
        <w:snapToGrid w:val="0"/>
        <w:spacing w:line="360" w:lineRule="auto"/>
        <w:ind w:left="120" w:firstLine="470" w:firstLineChars="196"/>
        <w:rPr>
          <w:rFonts w:hint="eastAsia" w:cs="宋体"/>
          <w:color w:val="auto"/>
          <w:highlight w:val="none"/>
        </w:rPr>
      </w:pPr>
      <w:r>
        <w:rPr>
          <w:rFonts w:hint="eastAsia" w:cs="宋体"/>
          <w:color w:val="auto"/>
          <w:highlight w:val="none"/>
        </w:rPr>
        <w:t>4.2.1</w:t>
      </w:r>
      <w:r>
        <w:rPr>
          <w:rFonts w:hint="eastAsia" w:cs="宋体"/>
          <w:color w:val="auto"/>
          <w:highlight w:val="none"/>
          <w:lang w:val="en-US" w:eastAsia="zh-CN"/>
        </w:rPr>
        <w:t>4</w:t>
      </w:r>
      <w:r>
        <w:rPr>
          <w:rFonts w:hint="eastAsia" w:cs="宋体"/>
          <w:color w:val="auto"/>
          <w:highlight w:val="none"/>
        </w:rPr>
        <w:t xml:space="preserve"> 投标文件不满足招标文件的其它实质性要求的；</w:t>
      </w:r>
    </w:p>
    <w:p w14:paraId="0AC2200A">
      <w:pPr>
        <w:pStyle w:val="26"/>
        <w:snapToGrid w:val="0"/>
        <w:spacing w:line="360" w:lineRule="auto"/>
        <w:ind w:left="120" w:firstLine="470" w:firstLineChars="196"/>
        <w:rPr>
          <w:rFonts w:hint="eastAsia" w:cs="宋体"/>
          <w:color w:val="auto"/>
          <w:highlight w:val="none"/>
        </w:rPr>
      </w:pPr>
      <w:r>
        <w:rPr>
          <w:rFonts w:hint="eastAsia" w:cs="宋体"/>
          <w:color w:val="auto"/>
          <w:highlight w:val="none"/>
        </w:rPr>
        <w:t>4.2.1</w:t>
      </w:r>
      <w:r>
        <w:rPr>
          <w:rFonts w:hint="eastAsia" w:cs="宋体"/>
          <w:color w:val="auto"/>
          <w:highlight w:val="none"/>
          <w:lang w:val="en-US" w:eastAsia="zh-CN"/>
        </w:rPr>
        <w:t>5</w:t>
      </w:r>
      <w:r>
        <w:rPr>
          <w:rFonts w:hint="eastAsia" w:cs="宋体"/>
          <w:color w:val="auto"/>
          <w:highlight w:val="none"/>
        </w:rPr>
        <w:t>法律、法规、规章（适用本市的）及省级以上规范性文件（适用本市的）规定的其他无效情形。</w:t>
      </w:r>
    </w:p>
    <w:p w14:paraId="5453D415">
      <w:pPr>
        <w:pStyle w:val="26"/>
        <w:snapToGrid w:val="0"/>
        <w:spacing w:line="360" w:lineRule="auto"/>
        <w:ind w:left="120"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EFC092A">
      <w:pPr>
        <w:pStyle w:val="26"/>
        <w:snapToGrid w:val="0"/>
        <w:spacing w:line="360" w:lineRule="auto"/>
        <w:ind w:left="120"/>
        <w:rPr>
          <w:rFonts w:hint="eastAsia" w:cs="宋体"/>
          <w:color w:val="auto"/>
          <w:highlight w:val="none"/>
        </w:rPr>
      </w:pPr>
      <w:r>
        <w:rPr>
          <w:rFonts w:hint="eastAsia" w:cs="宋体"/>
          <w:color w:val="auto"/>
          <w:highlight w:val="none"/>
        </w:rPr>
        <w:t>5.1符合专业条件的供应商或者对采购文件作实质响应的供应商不足3家的；</w:t>
      </w:r>
    </w:p>
    <w:p w14:paraId="15F85A71">
      <w:pPr>
        <w:pStyle w:val="26"/>
        <w:snapToGrid w:val="0"/>
        <w:spacing w:line="360" w:lineRule="auto"/>
        <w:ind w:left="120"/>
        <w:rPr>
          <w:rFonts w:hint="eastAsia" w:cs="宋体"/>
          <w:color w:val="auto"/>
          <w:highlight w:val="none"/>
        </w:rPr>
      </w:pPr>
      <w:r>
        <w:rPr>
          <w:rFonts w:hint="eastAsia" w:cs="宋体"/>
          <w:color w:val="auto"/>
          <w:highlight w:val="none"/>
        </w:rPr>
        <w:t>5.2出现影响采购公正的违法、违规行为的；</w:t>
      </w:r>
    </w:p>
    <w:p w14:paraId="73B24DC8">
      <w:pPr>
        <w:pStyle w:val="26"/>
        <w:snapToGrid w:val="0"/>
        <w:spacing w:line="360" w:lineRule="auto"/>
        <w:ind w:left="120"/>
        <w:rPr>
          <w:rFonts w:hint="eastAsia" w:cs="宋体"/>
          <w:color w:val="auto"/>
          <w:highlight w:val="none"/>
        </w:rPr>
      </w:pPr>
      <w:r>
        <w:rPr>
          <w:rFonts w:hint="eastAsia" w:cs="宋体"/>
          <w:color w:val="auto"/>
          <w:highlight w:val="none"/>
        </w:rPr>
        <w:t>5.3投标人的报价均超过了采购预算，采购人不能支付的；</w:t>
      </w:r>
    </w:p>
    <w:p w14:paraId="1A5EDC5B">
      <w:pPr>
        <w:pStyle w:val="26"/>
        <w:snapToGrid w:val="0"/>
        <w:spacing w:line="360" w:lineRule="auto"/>
        <w:ind w:left="120"/>
        <w:rPr>
          <w:rFonts w:hint="eastAsia" w:cs="宋体"/>
          <w:color w:val="auto"/>
          <w:highlight w:val="none"/>
        </w:rPr>
      </w:pPr>
      <w:r>
        <w:rPr>
          <w:rFonts w:hint="eastAsia" w:cs="宋体"/>
          <w:color w:val="auto"/>
          <w:highlight w:val="none"/>
        </w:rPr>
        <w:t>5.4因重大变故，采购任务取消的。</w:t>
      </w:r>
    </w:p>
    <w:p w14:paraId="44385BB6">
      <w:pPr>
        <w:pStyle w:val="26"/>
        <w:snapToGrid w:val="0"/>
        <w:spacing w:line="360" w:lineRule="auto"/>
        <w:ind w:left="120"/>
        <w:rPr>
          <w:rFonts w:hint="eastAsia" w:cs="宋体"/>
          <w:color w:val="auto"/>
          <w:highlight w:val="none"/>
        </w:rPr>
      </w:pPr>
      <w:r>
        <w:rPr>
          <w:rFonts w:hint="eastAsia" w:cs="宋体"/>
          <w:color w:val="auto"/>
          <w:highlight w:val="none"/>
        </w:rPr>
        <w:t>废标后，采购代理机构应当将废标理由通知所有投标人。</w:t>
      </w:r>
    </w:p>
    <w:p w14:paraId="412327FD">
      <w:pPr>
        <w:pStyle w:val="26"/>
        <w:snapToGrid w:val="0"/>
        <w:spacing w:line="360" w:lineRule="auto"/>
        <w:ind w:left="120" w:firstLine="590" w:firstLineChars="245"/>
        <w:rPr>
          <w:rFonts w:hint="eastAsia" w:cs="宋体"/>
          <w:color w:val="auto"/>
          <w:highlight w:val="none"/>
        </w:rPr>
      </w:pPr>
      <w:r>
        <w:rPr>
          <w:rFonts w:hint="eastAsia" w:cs="宋体"/>
          <w:b/>
          <w:color w:val="auto"/>
          <w:highlight w:val="none"/>
        </w:rPr>
        <w:t>6.修改采购文件，重新组织采购活动。</w:t>
      </w:r>
      <w:r>
        <w:rPr>
          <w:rFonts w:hint="eastAsia" w:cs="宋体"/>
          <w:color w:val="auto"/>
          <w:highlight w:val="none"/>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7CC1EAB3">
      <w:pPr>
        <w:pStyle w:val="26"/>
        <w:snapToGrid w:val="0"/>
        <w:spacing w:line="360" w:lineRule="auto"/>
        <w:ind w:left="120"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655D468">
      <w:pPr>
        <w:pStyle w:val="26"/>
        <w:snapToGrid w:val="0"/>
        <w:spacing w:line="360" w:lineRule="auto"/>
        <w:ind w:left="120"/>
        <w:rPr>
          <w:rFonts w:hint="eastAsia" w:cs="宋体"/>
          <w:color w:val="auto"/>
          <w:highlight w:val="none"/>
        </w:rPr>
      </w:pPr>
      <w:r>
        <w:rPr>
          <w:rFonts w:hint="eastAsia" w:cs="宋体"/>
          <w:color w:val="auto"/>
          <w:highlight w:val="none"/>
        </w:rPr>
        <w:t>7.1未确定中标供应商的，终止本次政府采购活动，重新开展政府采购活动。</w:t>
      </w:r>
    </w:p>
    <w:p w14:paraId="15C26B88">
      <w:pPr>
        <w:pStyle w:val="26"/>
        <w:snapToGrid w:val="0"/>
        <w:spacing w:line="360" w:lineRule="auto"/>
        <w:ind w:left="120"/>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EA3FA66">
      <w:pPr>
        <w:pStyle w:val="26"/>
        <w:snapToGrid w:val="0"/>
        <w:spacing w:line="360" w:lineRule="auto"/>
        <w:ind w:left="120"/>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3CA0B85">
      <w:pPr>
        <w:pStyle w:val="26"/>
        <w:snapToGrid w:val="0"/>
        <w:spacing w:line="360" w:lineRule="auto"/>
        <w:ind w:left="120"/>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0928DFCF">
      <w:pPr>
        <w:pStyle w:val="26"/>
        <w:snapToGrid w:val="0"/>
        <w:spacing w:line="360" w:lineRule="auto"/>
        <w:ind w:left="120"/>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43"/>
    <w:p w14:paraId="001ED0A9">
      <w:pPr>
        <w:widowControl/>
        <w:numPr>
          <w:ilvl w:val="255"/>
          <w:numId w:val="0"/>
        </w:numPr>
        <w:adjustRightInd/>
        <w:spacing w:line="360" w:lineRule="auto"/>
        <w:ind w:firstLine="22"/>
        <w:jc w:val="center"/>
        <w:outlineLvl w:val="0"/>
        <w:rPr>
          <w:rFonts w:hint="eastAsia" w:ascii="宋体" w:hAnsi="宋体" w:cs="宋体"/>
          <w:b/>
          <w:color w:val="auto"/>
          <w:sz w:val="36"/>
          <w:szCs w:val="36"/>
          <w:highlight w:val="none"/>
        </w:rPr>
      </w:pPr>
      <w:bookmarkStart w:id="437" w:name="第五部分"/>
      <w:bookmarkStart w:id="438" w:name="_Toc86217003"/>
    </w:p>
    <w:p w14:paraId="3937894F">
      <w:pPr>
        <w:widowControl/>
        <w:numPr>
          <w:ilvl w:val="255"/>
          <w:numId w:val="0"/>
        </w:numPr>
        <w:adjustRightInd/>
        <w:spacing w:line="360" w:lineRule="auto"/>
        <w:ind w:firstLine="22"/>
        <w:jc w:val="center"/>
        <w:outlineLvl w:val="0"/>
        <w:rPr>
          <w:rFonts w:hint="eastAsia" w:ascii="宋体" w:hAnsi="宋体" w:cs="宋体"/>
          <w:b/>
          <w:color w:val="auto"/>
          <w:sz w:val="36"/>
          <w:szCs w:val="36"/>
          <w:highlight w:val="none"/>
        </w:rPr>
      </w:pPr>
    </w:p>
    <w:p w14:paraId="229B7218">
      <w:pPr>
        <w:pStyle w:val="2"/>
        <w:spacing w:line="360" w:lineRule="auto"/>
        <w:ind w:firstLine="721"/>
        <w:rPr>
          <w:rFonts w:hint="eastAsia" w:ascii="宋体" w:hAnsi="宋体" w:cs="宋体"/>
          <w:b/>
          <w:color w:val="auto"/>
          <w:sz w:val="36"/>
          <w:szCs w:val="36"/>
          <w:highlight w:val="none"/>
        </w:rPr>
      </w:pPr>
    </w:p>
    <w:p w14:paraId="4074D524">
      <w:pPr>
        <w:pStyle w:val="2"/>
        <w:spacing w:line="360" w:lineRule="auto"/>
        <w:ind w:firstLine="721"/>
        <w:rPr>
          <w:rFonts w:hint="eastAsia" w:ascii="宋体" w:hAnsi="宋体" w:cs="宋体"/>
          <w:b/>
          <w:color w:val="auto"/>
          <w:sz w:val="36"/>
          <w:szCs w:val="36"/>
          <w:highlight w:val="none"/>
        </w:rPr>
      </w:pPr>
    </w:p>
    <w:p w14:paraId="5D21986C">
      <w:pPr>
        <w:pStyle w:val="2"/>
        <w:spacing w:line="360" w:lineRule="auto"/>
        <w:ind w:firstLine="721"/>
        <w:rPr>
          <w:rFonts w:hint="eastAsia" w:ascii="宋体" w:hAnsi="宋体" w:cs="宋体"/>
          <w:b/>
          <w:color w:val="auto"/>
          <w:sz w:val="36"/>
          <w:szCs w:val="36"/>
          <w:highlight w:val="none"/>
        </w:rPr>
      </w:pPr>
    </w:p>
    <w:p w14:paraId="6CE158F9">
      <w:pPr>
        <w:pStyle w:val="2"/>
        <w:spacing w:line="360" w:lineRule="auto"/>
        <w:ind w:firstLine="721"/>
        <w:rPr>
          <w:rFonts w:hint="eastAsia" w:ascii="宋体" w:hAnsi="宋体" w:cs="宋体"/>
          <w:b/>
          <w:color w:val="auto"/>
          <w:sz w:val="36"/>
          <w:szCs w:val="36"/>
          <w:highlight w:val="none"/>
        </w:rPr>
      </w:pPr>
    </w:p>
    <w:p w14:paraId="1C1F3E52">
      <w:pPr>
        <w:widowControl/>
        <w:numPr>
          <w:ilvl w:val="255"/>
          <w:numId w:val="0"/>
        </w:numPr>
        <w:adjustRightInd/>
        <w:spacing w:line="360" w:lineRule="auto"/>
        <w:ind w:firstLine="22"/>
        <w:jc w:val="center"/>
        <w:outlineLvl w:val="0"/>
        <w:rPr>
          <w:rFonts w:hint="eastAsia" w:ascii="宋体" w:hAnsi="宋体" w:cs="宋体"/>
          <w:b/>
          <w:color w:val="auto"/>
          <w:sz w:val="36"/>
          <w:szCs w:val="36"/>
          <w:highlight w:val="none"/>
        </w:rPr>
      </w:pPr>
    </w:p>
    <w:p w14:paraId="75A69EFC">
      <w:pPr>
        <w:widowControl/>
        <w:numPr>
          <w:ilvl w:val="255"/>
          <w:numId w:val="0"/>
        </w:numPr>
        <w:adjustRightInd/>
        <w:spacing w:line="360" w:lineRule="auto"/>
        <w:ind w:firstLine="22"/>
        <w:jc w:val="center"/>
        <w:outlineLvl w:val="0"/>
        <w:rPr>
          <w:rFonts w:hint="eastAsia" w:ascii="宋体" w:hAnsi="宋体" w:cs="宋体"/>
          <w:b/>
          <w:color w:val="auto"/>
          <w:sz w:val="36"/>
          <w:szCs w:val="36"/>
          <w:highlight w:val="none"/>
        </w:rPr>
      </w:pPr>
    </w:p>
    <w:p w14:paraId="142E2987">
      <w:pPr>
        <w:widowControl/>
        <w:numPr>
          <w:ilvl w:val="255"/>
          <w:numId w:val="0"/>
        </w:numPr>
        <w:adjustRightInd/>
        <w:spacing w:line="360" w:lineRule="auto"/>
        <w:ind w:firstLine="22"/>
        <w:jc w:val="center"/>
        <w:outlineLvl w:val="0"/>
        <w:rPr>
          <w:rFonts w:hint="eastAsia" w:ascii="宋体" w:hAnsi="宋体" w:cs="宋体"/>
          <w:b/>
          <w:color w:val="auto"/>
          <w:sz w:val="36"/>
          <w:szCs w:val="36"/>
          <w:highlight w:val="none"/>
        </w:rPr>
      </w:pPr>
    </w:p>
    <w:p w14:paraId="49FBDCCF">
      <w:pPr>
        <w:widowControl/>
        <w:numPr>
          <w:ilvl w:val="255"/>
          <w:numId w:val="0"/>
        </w:numPr>
        <w:adjustRightInd/>
        <w:spacing w:line="360" w:lineRule="auto"/>
        <w:ind w:firstLine="22"/>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E52D6F3">
      <w:pPr>
        <w:widowControl/>
        <w:numPr>
          <w:ilvl w:val="255"/>
          <w:numId w:val="0"/>
        </w:numPr>
        <w:adjustRightInd/>
        <w:spacing w:line="360" w:lineRule="auto"/>
        <w:ind w:firstLine="22"/>
        <w:jc w:val="left"/>
        <w:rPr>
          <w:rFonts w:hint="eastAsia" w:ascii="宋体" w:hAnsi="宋体" w:cs="宋体"/>
          <w:b/>
          <w:color w:val="auto"/>
          <w:sz w:val="36"/>
          <w:szCs w:val="36"/>
          <w:highlight w:val="none"/>
        </w:rPr>
      </w:pPr>
    </w:p>
    <w:p w14:paraId="2B0D1BBE">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0EE1E58">
      <w:pPr>
        <w:spacing w:line="360" w:lineRule="auto"/>
        <w:ind w:left="120" w:firstLine="22"/>
        <w:jc w:val="center"/>
        <w:rPr>
          <w:rFonts w:hint="eastAsia" w:ascii="宋体" w:hAnsi="宋体" w:cs="宋体"/>
          <w:b/>
          <w:color w:val="auto"/>
          <w:sz w:val="28"/>
          <w:szCs w:val="28"/>
          <w:highlight w:val="none"/>
        </w:rPr>
      </w:pPr>
    </w:p>
    <w:p w14:paraId="3A0ED309">
      <w:pPr>
        <w:spacing w:line="360" w:lineRule="auto"/>
        <w:ind w:left="120" w:firstLine="22"/>
        <w:jc w:val="center"/>
        <w:rPr>
          <w:rFonts w:hint="eastAsia" w:ascii="宋体" w:hAnsi="宋体" w:cs="宋体"/>
          <w:b/>
          <w:color w:val="auto"/>
          <w:sz w:val="24"/>
          <w:highlight w:val="none"/>
        </w:rPr>
      </w:pPr>
    </w:p>
    <w:p w14:paraId="65C2DB88">
      <w:pPr>
        <w:spacing w:line="360" w:lineRule="auto"/>
        <w:ind w:left="120" w:firstLine="22"/>
        <w:jc w:val="center"/>
        <w:rPr>
          <w:rFonts w:hint="eastAsia" w:ascii="宋体" w:hAnsi="宋体" w:cs="宋体"/>
          <w:b/>
          <w:color w:val="auto"/>
          <w:sz w:val="24"/>
          <w:highlight w:val="none"/>
        </w:rPr>
      </w:pPr>
    </w:p>
    <w:p w14:paraId="7F6CD362">
      <w:pPr>
        <w:spacing w:line="360" w:lineRule="auto"/>
        <w:ind w:left="120" w:firstLine="22"/>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CF654C9">
      <w:pPr>
        <w:spacing w:line="360" w:lineRule="auto"/>
        <w:ind w:left="120" w:firstLine="22"/>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611F51FF">
      <w:pPr>
        <w:pStyle w:val="701"/>
        <w:ind w:firstLine="2843" w:firstLineChars="1180"/>
        <w:outlineLvl w:val="1"/>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09999F92">
      <w:pPr>
        <w:spacing w:before="120" w:line="360" w:lineRule="auto"/>
        <w:ind w:left="120" w:firstLine="22"/>
        <w:rPr>
          <w:rFonts w:hint="eastAsia" w:ascii="宋体" w:hAnsi="宋体" w:cs="宋体"/>
          <w:color w:val="auto"/>
          <w:sz w:val="24"/>
          <w:highlight w:val="none"/>
        </w:rPr>
      </w:pPr>
    </w:p>
    <w:p w14:paraId="658B6826">
      <w:pPr>
        <w:spacing w:line="360" w:lineRule="auto"/>
        <w:ind w:left="120" w:firstLine="22"/>
        <w:rPr>
          <w:rFonts w:hint="eastAsia" w:ascii="宋体" w:hAnsi="宋体" w:cs="宋体"/>
          <w:color w:val="auto"/>
          <w:highlight w:val="none"/>
        </w:rPr>
      </w:pPr>
    </w:p>
    <w:p w14:paraId="302757EA">
      <w:pPr>
        <w:spacing w:before="120"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0648B3D">
      <w:pPr>
        <w:pStyle w:val="598"/>
        <w:spacing w:before="120"/>
        <w:ind w:left="120" w:firstLine="22"/>
        <w:rPr>
          <w:rFonts w:hint="eastAsia" w:ascii="宋体" w:hAnsi="宋体" w:eastAsia="宋体" w:cs="宋体"/>
          <w:color w:val="auto"/>
          <w:szCs w:val="24"/>
          <w:highlight w:val="none"/>
        </w:rPr>
      </w:pPr>
    </w:p>
    <w:p w14:paraId="5C3E9E31">
      <w:pPr>
        <w:pStyle w:val="598"/>
        <w:spacing w:before="120"/>
        <w:ind w:left="120" w:firstLine="22"/>
        <w:rPr>
          <w:rFonts w:hint="eastAsia" w:ascii="宋体" w:hAnsi="宋体" w:eastAsia="宋体" w:cs="宋体"/>
          <w:color w:val="auto"/>
          <w:szCs w:val="24"/>
          <w:highlight w:val="none"/>
        </w:rPr>
      </w:pPr>
    </w:p>
    <w:p w14:paraId="6947A187">
      <w:pPr>
        <w:spacing w:line="360" w:lineRule="auto"/>
        <w:ind w:left="120" w:firstLine="22"/>
        <w:rPr>
          <w:rFonts w:hint="eastAsia" w:ascii="宋体" w:hAnsi="宋体" w:cs="宋体"/>
          <w:color w:val="auto"/>
          <w:sz w:val="24"/>
          <w:highlight w:val="none"/>
        </w:rPr>
      </w:pPr>
    </w:p>
    <w:p w14:paraId="7C0CAF2D">
      <w:pPr>
        <w:spacing w:before="120"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A94A36">
      <w:pPr>
        <w:spacing w:before="120" w:line="360" w:lineRule="auto"/>
        <w:ind w:left="120" w:firstLine="22"/>
        <w:rPr>
          <w:rFonts w:hint="eastAsia" w:ascii="宋体" w:hAnsi="宋体" w:cs="宋体"/>
          <w:color w:val="auto"/>
          <w:sz w:val="24"/>
          <w:highlight w:val="none"/>
        </w:rPr>
      </w:pPr>
    </w:p>
    <w:p w14:paraId="3290ACA5">
      <w:pPr>
        <w:spacing w:before="120"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33C042A">
      <w:pPr>
        <w:spacing w:before="120" w:line="360" w:lineRule="auto"/>
        <w:ind w:left="120" w:firstLine="22"/>
        <w:rPr>
          <w:rFonts w:hint="eastAsia" w:ascii="宋体" w:hAnsi="宋体" w:cs="宋体"/>
          <w:color w:val="auto"/>
          <w:sz w:val="24"/>
          <w:highlight w:val="none"/>
        </w:rPr>
      </w:pPr>
    </w:p>
    <w:p w14:paraId="6078B15F">
      <w:pPr>
        <w:spacing w:before="120" w:line="360" w:lineRule="auto"/>
        <w:ind w:left="120"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1397BEE">
      <w:pPr>
        <w:spacing w:before="120" w:line="360" w:lineRule="auto"/>
        <w:ind w:left="120" w:firstLine="22"/>
        <w:rPr>
          <w:rFonts w:hint="eastAsia" w:ascii="宋体" w:hAnsi="宋体" w:cs="宋体"/>
          <w:color w:val="auto"/>
          <w:sz w:val="24"/>
          <w:highlight w:val="none"/>
        </w:rPr>
      </w:pPr>
    </w:p>
    <w:p w14:paraId="65541AF2">
      <w:pPr>
        <w:spacing w:before="120" w:line="360" w:lineRule="auto"/>
        <w:ind w:left="120"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81B53F8">
      <w:pPr>
        <w:widowControl/>
        <w:spacing w:line="360" w:lineRule="auto"/>
        <w:ind w:left="120" w:firstLine="22"/>
        <w:jc w:val="left"/>
        <w:rPr>
          <w:rFonts w:hint="eastAsia" w:ascii="宋体" w:hAnsi="宋体" w:cs="宋体"/>
          <w:color w:val="auto"/>
          <w:kern w:val="0"/>
          <w:sz w:val="24"/>
          <w:highlight w:val="none"/>
        </w:rPr>
        <w:sectPr>
          <w:pgSz w:w="11907" w:h="16840"/>
          <w:pgMar w:top="680" w:right="1134" w:bottom="471" w:left="1417" w:header="851" w:footer="851" w:gutter="0"/>
          <w:cols w:space="720" w:num="1"/>
        </w:sectPr>
      </w:pPr>
    </w:p>
    <w:p w14:paraId="56DF3EDD">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杭州市交通运输局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杭州市年度城市交通运行及公众出行特征动态评估报告项目</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rPr>
        <w:t>为该项目中标或者成交供应商。现于中标或者成交通知书发出之日起10个工作日内，按照采购文件确定的事项签订本合同。</w:t>
      </w:r>
    </w:p>
    <w:p w14:paraId="4D7B9234">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杭州市交通运输局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（中或者成交标供应商名称）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18A4C0A4">
      <w:pPr>
        <w:spacing w:line="360" w:lineRule="auto"/>
        <w:ind w:left="120" w:firstLine="482" w:firstLineChars="200"/>
        <w:rPr>
          <w:rFonts w:hint="eastAsia" w:ascii="宋体" w:hAnsi="宋体" w:cs="宋体"/>
          <w:color w:val="auto"/>
          <w:sz w:val="24"/>
          <w:highlight w:val="none"/>
        </w:rPr>
      </w:pPr>
      <w:bookmarkStart w:id="439" w:name="_Toc28855"/>
      <w:bookmarkStart w:id="440" w:name="_Toc19273"/>
      <w:bookmarkStart w:id="441" w:name="_Toc15367"/>
      <w:bookmarkStart w:id="442" w:name="_Toc22967"/>
      <w:bookmarkStart w:id="443" w:name="_Toc20421"/>
      <w:r>
        <w:rPr>
          <w:rFonts w:hint="eastAsia" w:ascii="宋体" w:hAnsi="宋体" w:cs="宋体"/>
          <w:b/>
          <w:color w:val="auto"/>
          <w:sz w:val="24"/>
          <w:highlight w:val="none"/>
        </w:rPr>
        <w:t>1.1 合同组成部分</w:t>
      </w:r>
      <w:bookmarkEnd w:id="439"/>
      <w:bookmarkEnd w:id="440"/>
      <w:bookmarkEnd w:id="441"/>
      <w:bookmarkEnd w:id="442"/>
      <w:bookmarkEnd w:id="443"/>
    </w:p>
    <w:p w14:paraId="037F0EB3">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C63A891">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56469DB6">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中标或者成交通知书；</w:t>
      </w:r>
    </w:p>
    <w:p w14:paraId="6E1D438E">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3B582C3">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1.1.4 采购文件（含澄清或者修改文件）；</w:t>
      </w:r>
    </w:p>
    <w:p w14:paraId="15666D80">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15838851">
      <w:pPr>
        <w:spacing w:line="360" w:lineRule="auto"/>
        <w:ind w:left="120" w:firstLine="482" w:firstLineChars="200"/>
        <w:rPr>
          <w:rFonts w:hint="eastAsia" w:ascii="宋体" w:hAnsi="宋体" w:cs="宋体"/>
          <w:b/>
          <w:color w:val="auto"/>
          <w:sz w:val="24"/>
          <w:highlight w:val="none"/>
        </w:rPr>
      </w:pPr>
      <w:bookmarkStart w:id="444" w:name="_Toc2918"/>
      <w:bookmarkStart w:id="445" w:name="_Toc18585"/>
      <w:bookmarkStart w:id="446" w:name="_Toc22185"/>
      <w:bookmarkStart w:id="447" w:name="_Toc6773"/>
      <w:bookmarkStart w:id="448" w:name="_Toc6311"/>
      <w:r>
        <w:rPr>
          <w:rFonts w:hint="eastAsia" w:ascii="宋体" w:hAnsi="宋体" w:cs="宋体"/>
          <w:b/>
          <w:color w:val="auto"/>
          <w:sz w:val="24"/>
          <w:highlight w:val="none"/>
        </w:rPr>
        <w:t>1.2 标的</w:t>
      </w:r>
      <w:bookmarkEnd w:id="444"/>
      <w:bookmarkEnd w:id="445"/>
      <w:bookmarkEnd w:id="446"/>
      <w:bookmarkEnd w:id="447"/>
      <w:bookmarkEnd w:id="448"/>
    </w:p>
    <w:p w14:paraId="72114378">
      <w:pPr>
        <w:spacing w:line="360" w:lineRule="auto"/>
        <w:ind w:left="120"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1.2.1 服务内容：</w:t>
      </w:r>
      <w:r>
        <w:rPr>
          <w:rFonts w:hint="eastAsia" w:ascii="宋体" w:hAnsi="宋体" w:cs="Arial"/>
          <w:color w:val="auto"/>
          <w:sz w:val="24"/>
          <w:highlight w:val="none"/>
          <w:u w:val="single"/>
        </w:rPr>
        <w:t>开展杭州市年度城市交通运行及工作出行特征常态化动态评估分析研究，对城市交通相关方面的运行、发展情况进行全面、持续的动态评估，及时研判交通运行态势和发展趋势，并提出系统性、持续性改善措施和建议。要求编制城市交通运行月报、季报、年报体系，其中月报、季报主要是监测和分析202</w:t>
      </w:r>
      <w:r>
        <w:rPr>
          <w:rFonts w:ascii="宋体" w:hAnsi="宋体" w:cs="Arial"/>
          <w:color w:val="auto"/>
          <w:sz w:val="24"/>
          <w:highlight w:val="none"/>
          <w:u w:val="single"/>
        </w:rPr>
        <w:t>5</w:t>
      </w:r>
      <w:r>
        <w:rPr>
          <w:rFonts w:hint="eastAsia" w:ascii="宋体" w:hAnsi="宋体" w:cs="Arial"/>
          <w:color w:val="auto"/>
          <w:sz w:val="24"/>
          <w:highlight w:val="none"/>
          <w:u w:val="single"/>
        </w:rPr>
        <w:t>年度每月和每季度城市交通运行情况；年度报告主要针对202</w:t>
      </w:r>
      <w:r>
        <w:rPr>
          <w:rFonts w:ascii="宋体" w:hAnsi="宋体" w:cs="Arial"/>
          <w:color w:val="auto"/>
          <w:sz w:val="24"/>
          <w:highlight w:val="none"/>
          <w:u w:val="single"/>
        </w:rPr>
        <w:t>4</w:t>
      </w:r>
      <w:r>
        <w:rPr>
          <w:rFonts w:hint="eastAsia" w:ascii="宋体" w:hAnsi="宋体" w:cs="Arial"/>
          <w:color w:val="auto"/>
          <w:sz w:val="24"/>
          <w:highlight w:val="none"/>
          <w:u w:val="single"/>
        </w:rPr>
        <w:t>年度全年杭州市城市交通运行情况进行全面阐述、分析与评估；针对动态热点问题需定期或不定期提交交通专题分析报告；从而全面及时把握全市交通运行态势，支撑城市交通系统化综合治理决策</w:t>
      </w:r>
      <w:r>
        <w:rPr>
          <w:rFonts w:hint="eastAsia" w:ascii="宋体" w:hAnsi="宋体" w:cs="宋体"/>
          <w:color w:val="auto"/>
          <w:sz w:val="24"/>
          <w:highlight w:val="none"/>
          <w:u w:val="single"/>
        </w:rPr>
        <w:t>。</w:t>
      </w:r>
    </w:p>
    <w:p w14:paraId="1B564DB4">
      <w:pPr>
        <w:spacing w:line="360" w:lineRule="auto"/>
        <w:ind w:left="12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服务标准：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EFB6A6">
      <w:pPr>
        <w:spacing w:line="360" w:lineRule="auto"/>
        <w:ind w:left="12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1.2.3 技术保障：</w:t>
      </w:r>
      <w:r>
        <w:rPr>
          <w:rFonts w:hint="eastAsia" w:ascii="宋体" w:hAnsi="宋体" w:cs="宋体"/>
          <w:color w:val="auto"/>
          <w:sz w:val="24"/>
          <w:highlight w:val="none"/>
          <w:u w:val="single"/>
        </w:rPr>
        <w:t>　　　　　　　　　                      　      ；</w:t>
      </w:r>
    </w:p>
    <w:p w14:paraId="7F3EEA59">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1.2.4 服务人员组成：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BB155B0">
      <w:pPr>
        <w:spacing w:line="360" w:lineRule="auto"/>
        <w:ind w:left="120" w:firstLine="482" w:firstLineChars="200"/>
        <w:rPr>
          <w:rFonts w:hint="eastAsia" w:ascii="宋体" w:hAnsi="宋体" w:cs="宋体"/>
          <w:b/>
          <w:color w:val="auto"/>
          <w:sz w:val="24"/>
          <w:highlight w:val="none"/>
        </w:rPr>
      </w:pPr>
      <w:bookmarkStart w:id="449" w:name="_Toc1814"/>
      <w:bookmarkStart w:id="450" w:name="_Toc10340"/>
      <w:bookmarkStart w:id="451" w:name="_Toc22618"/>
      <w:bookmarkStart w:id="452" w:name="_Toc31421"/>
      <w:bookmarkStart w:id="453" w:name="_Toc11108"/>
      <w:bookmarkStart w:id="454" w:name="_Toc8772"/>
      <w:bookmarkStart w:id="455" w:name="_Toc4760"/>
      <w:bookmarkStart w:id="456" w:name="_Toc3625"/>
      <w:r>
        <w:rPr>
          <w:rFonts w:hint="eastAsia" w:ascii="宋体" w:hAnsi="宋体" w:cs="宋体"/>
          <w:b/>
          <w:color w:val="auto"/>
          <w:sz w:val="24"/>
          <w:highlight w:val="none"/>
        </w:rPr>
        <w:t>1.3 价款</w:t>
      </w:r>
    </w:p>
    <w:p w14:paraId="4D31166E">
      <w:pPr>
        <w:spacing w:line="360" w:lineRule="auto"/>
        <w:ind w:left="120" w:firstLine="480" w:firstLineChars="200"/>
        <w:rPr>
          <w:rFonts w:hint="eastAsia" w:ascii="宋体" w:hAnsi="宋体"/>
          <w:color w:val="auto"/>
          <w:sz w:val="24"/>
          <w:highlight w:val="none"/>
        </w:rPr>
      </w:pPr>
      <w:r>
        <w:rPr>
          <w:rFonts w:hint="eastAsia" w:ascii="宋体" w:hAnsi="宋体"/>
          <w:color w:val="auto"/>
          <w:sz w:val="24"/>
          <w:highlight w:val="none"/>
        </w:rPr>
        <w:t>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F365D77">
      <w:pPr>
        <w:spacing w:line="360" w:lineRule="auto"/>
        <w:ind w:left="120"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4D9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AC8077">
            <w:pPr>
              <w:pStyle w:val="319"/>
              <w:spacing w:line="360" w:lineRule="auto"/>
              <w:ind w:left="120" w:firstLine="22"/>
              <w:jc w:val="center"/>
              <w:rPr>
                <w:rFonts w:hint="eastAsia" w:hAnsi="宋体"/>
                <w:color w:val="auto"/>
                <w:sz w:val="24"/>
                <w:szCs w:val="24"/>
                <w:highlight w:val="none"/>
              </w:rPr>
            </w:pPr>
            <w:r>
              <w:rPr>
                <w:rFonts w:hAnsi="宋体"/>
                <w:color w:val="auto"/>
                <w:sz w:val="24"/>
                <w:szCs w:val="24"/>
                <w:highlight w:val="none"/>
              </w:rPr>
              <w:t>序号</w:t>
            </w:r>
          </w:p>
        </w:tc>
        <w:tc>
          <w:tcPr>
            <w:tcW w:w="3402" w:type="dxa"/>
            <w:vAlign w:val="center"/>
          </w:tcPr>
          <w:p w14:paraId="5BC90DCD">
            <w:pPr>
              <w:pStyle w:val="319"/>
              <w:spacing w:line="360" w:lineRule="auto"/>
              <w:ind w:left="120" w:firstLine="22"/>
              <w:jc w:val="center"/>
              <w:rPr>
                <w:rFonts w:hint="eastAsia"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4B2350A2">
            <w:pPr>
              <w:pStyle w:val="319"/>
              <w:spacing w:line="360" w:lineRule="auto"/>
              <w:ind w:left="120" w:firstLine="22"/>
              <w:jc w:val="center"/>
              <w:rPr>
                <w:rFonts w:hint="eastAsia" w:hAnsi="宋体"/>
                <w:color w:val="auto"/>
                <w:sz w:val="24"/>
                <w:szCs w:val="24"/>
                <w:highlight w:val="none"/>
              </w:rPr>
            </w:pPr>
            <w:r>
              <w:rPr>
                <w:rFonts w:hAnsi="宋体"/>
                <w:color w:val="auto"/>
                <w:sz w:val="24"/>
                <w:szCs w:val="24"/>
                <w:highlight w:val="none"/>
              </w:rPr>
              <w:t>分项价格</w:t>
            </w:r>
          </w:p>
        </w:tc>
      </w:tr>
      <w:tr w14:paraId="6D13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5C1CED">
            <w:pPr>
              <w:pStyle w:val="319"/>
              <w:spacing w:line="360" w:lineRule="auto"/>
              <w:ind w:left="120" w:firstLine="22"/>
              <w:jc w:val="center"/>
              <w:rPr>
                <w:rFonts w:hint="eastAsia" w:hAnsi="宋体"/>
                <w:color w:val="auto"/>
                <w:sz w:val="24"/>
                <w:szCs w:val="24"/>
                <w:highlight w:val="none"/>
              </w:rPr>
            </w:pPr>
          </w:p>
        </w:tc>
        <w:tc>
          <w:tcPr>
            <w:tcW w:w="3402" w:type="dxa"/>
            <w:vAlign w:val="center"/>
          </w:tcPr>
          <w:p w14:paraId="1DCE7290">
            <w:pPr>
              <w:pStyle w:val="319"/>
              <w:spacing w:line="360" w:lineRule="auto"/>
              <w:ind w:left="120" w:firstLine="22"/>
              <w:jc w:val="center"/>
              <w:rPr>
                <w:rFonts w:hint="eastAsia" w:hAnsi="宋体"/>
                <w:color w:val="auto"/>
                <w:sz w:val="24"/>
                <w:szCs w:val="24"/>
                <w:highlight w:val="none"/>
              </w:rPr>
            </w:pPr>
          </w:p>
        </w:tc>
        <w:tc>
          <w:tcPr>
            <w:tcW w:w="2552" w:type="dxa"/>
            <w:vAlign w:val="center"/>
          </w:tcPr>
          <w:p w14:paraId="140DB636">
            <w:pPr>
              <w:pStyle w:val="319"/>
              <w:spacing w:line="360" w:lineRule="auto"/>
              <w:ind w:left="120" w:firstLine="22"/>
              <w:jc w:val="center"/>
              <w:rPr>
                <w:rFonts w:hint="eastAsia" w:hAnsi="宋体"/>
                <w:color w:val="auto"/>
                <w:sz w:val="24"/>
                <w:szCs w:val="24"/>
                <w:highlight w:val="none"/>
              </w:rPr>
            </w:pPr>
          </w:p>
        </w:tc>
      </w:tr>
      <w:tr w14:paraId="4D77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2C7AE07">
            <w:pPr>
              <w:pStyle w:val="319"/>
              <w:spacing w:line="360" w:lineRule="auto"/>
              <w:ind w:left="120" w:firstLine="22"/>
              <w:jc w:val="center"/>
              <w:rPr>
                <w:rFonts w:hint="eastAsia" w:hAnsi="宋体"/>
                <w:color w:val="auto"/>
                <w:sz w:val="24"/>
                <w:szCs w:val="24"/>
                <w:highlight w:val="none"/>
              </w:rPr>
            </w:pPr>
          </w:p>
        </w:tc>
        <w:tc>
          <w:tcPr>
            <w:tcW w:w="3402" w:type="dxa"/>
            <w:vAlign w:val="center"/>
          </w:tcPr>
          <w:p w14:paraId="316C0083">
            <w:pPr>
              <w:pStyle w:val="319"/>
              <w:spacing w:line="360" w:lineRule="auto"/>
              <w:ind w:left="120" w:firstLine="22"/>
              <w:jc w:val="center"/>
              <w:rPr>
                <w:rFonts w:hint="eastAsia" w:hAnsi="宋体"/>
                <w:color w:val="auto"/>
                <w:sz w:val="24"/>
                <w:szCs w:val="24"/>
                <w:highlight w:val="none"/>
              </w:rPr>
            </w:pPr>
          </w:p>
        </w:tc>
        <w:tc>
          <w:tcPr>
            <w:tcW w:w="2552" w:type="dxa"/>
            <w:vAlign w:val="center"/>
          </w:tcPr>
          <w:p w14:paraId="175C5D63">
            <w:pPr>
              <w:pStyle w:val="319"/>
              <w:spacing w:line="360" w:lineRule="auto"/>
              <w:ind w:left="120" w:firstLine="22"/>
              <w:jc w:val="center"/>
              <w:rPr>
                <w:rFonts w:hint="eastAsia" w:hAnsi="宋体"/>
                <w:color w:val="auto"/>
                <w:sz w:val="24"/>
                <w:szCs w:val="24"/>
                <w:highlight w:val="none"/>
              </w:rPr>
            </w:pPr>
          </w:p>
        </w:tc>
      </w:tr>
      <w:tr w14:paraId="5337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57CE15">
            <w:pPr>
              <w:pStyle w:val="319"/>
              <w:spacing w:line="360" w:lineRule="auto"/>
              <w:ind w:left="120" w:firstLine="22"/>
              <w:jc w:val="center"/>
              <w:rPr>
                <w:rFonts w:hint="eastAsia" w:hAnsi="宋体"/>
                <w:color w:val="auto"/>
                <w:sz w:val="24"/>
                <w:szCs w:val="24"/>
                <w:highlight w:val="none"/>
              </w:rPr>
            </w:pPr>
          </w:p>
        </w:tc>
        <w:tc>
          <w:tcPr>
            <w:tcW w:w="3402" w:type="dxa"/>
            <w:vAlign w:val="center"/>
          </w:tcPr>
          <w:p w14:paraId="4489F370">
            <w:pPr>
              <w:pStyle w:val="319"/>
              <w:spacing w:line="360" w:lineRule="auto"/>
              <w:ind w:left="120" w:firstLine="22"/>
              <w:jc w:val="center"/>
              <w:rPr>
                <w:rFonts w:hint="eastAsia" w:hAnsi="宋体"/>
                <w:color w:val="auto"/>
                <w:sz w:val="24"/>
                <w:szCs w:val="24"/>
                <w:highlight w:val="none"/>
              </w:rPr>
            </w:pPr>
          </w:p>
        </w:tc>
        <w:tc>
          <w:tcPr>
            <w:tcW w:w="2552" w:type="dxa"/>
            <w:vAlign w:val="center"/>
          </w:tcPr>
          <w:p w14:paraId="7B4CFA9B">
            <w:pPr>
              <w:pStyle w:val="319"/>
              <w:spacing w:line="360" w:lineRule="auto"/>
              <w:ind w:left="120" w:firstLine="22"/>
              <w:jc w:val="center"/>
              <w:rPr>
                <w:rFonts w:hint="eastAsia" w:hAnsi="宋体"/>
                <w:color w:val="auto"/>
                <w:sz w:val="24"/>
                <w:szCs w:val="24"/>
                <w:highlight w:val="none"/>
              </w:rPr>
            </w:pPr>
          </w:p>
        </w:tc>
      </w:tr>
      <w:tr w14:paraId="017D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0FE218">
            <w:pPr>
              <w:pStyle w:val="319"/>
              <w:spacing w:line="360" w:lineRule="auto"/>
              <w:ind w:left="120" w:firstLine="22"/>
              <w:jc w:val="center"/>
              <w:rPr>
                <w:rFonts w:hint="eastAsia" w:hAnsi="宋体"/>
                <w:color w:val="auto"/>
                <w:sz w:val="24"/>
                <w:szCs w:val="24"/>
                <w:highlight w:val="none"/>
              </w:rPr>
            </w:pPr>
          </w:p>
        </w:tc>
        <w:tc>
          <w:tcPr>
            <w:tcW w:w="3402" w:type="dxa"/>
            <w:vAlign w:val="center"/>
          </w:tcPr>
          <w:p w14:paraId="13617136">
            <w:pPr>
              <w:pStyle w:val="319"/>
              <w:spacing w:line="360" w:lineRule="auto"/>
              <w:ind w:left="120" w:firstLine="22"/>
              <w:jc w:val="center"/>
              <w:rPr>
                <w:rFonts w:hint="eastAsia" w:hAnsi="宋体"/>
                <w:color w:val="auto"/>
                <w:sz w:val="24"/>
                <w:szCs w:val="24"/>
                <w:highlight w:val="none"/>
              </w:rPr>
            </w:pPr>
          </w:p>
        </w:tc>
        <w:tc>
          <w:tcPr>
            <w:tcW w:w="2552" w:type="dxa"/>
            <w:vAlign w:val="center"/>
          </w:tcPr>
          <w:p w14:paraId="1C40EAD4">
            <w:pPr>
              <w:pStyle w:val="319"/>
              <w:spacing w:line="360" w:lineRule="auto"/>
              <w:ind w:left="120" w:firstLine="22"/>
              <w:jc w:val="center"/>
              <w:rPr>
                <w:rFonts w:hint="eastAsia" w:hAnsi="宋体"/>
                <w:color w:val="auto"/>
                <w:sz w:val="24"/>
                <w:szCs w:val="24"/>
                <w:highlight w:val="none"/>
              </w:rPr>
            </w:pPr>
          </w:p>
        </w:tc>
      </w:tr>
      <w:tr w14:paraId="04CC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A65D0AE">
            <w:pPr>
              <w:pStyle w:val="319"/>
              <w:spacing w:line="360" w:lineRule="auto"/>
              <w:ind w:left="120" w:firstLine="22"/>
              <w:jc w:val="center"/>
              <w:rPr>
                <w:rFonts w:hint="eastAsia"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F038332">
            <w:pPr>
              <w:pStyle w:val="319"/>
              <w:spacing w:line="360" w:lineRule="auto"/>
              <w:ind w:left="120" w:firstLine="22"/>
              <w:jc w:val="center"/>
              <w:rPr>
                <w:rFonts w:hint="eastAsia" w:hAnsi="宋体"/>
                <w:color w:val="auto"/>
                <w:sz w:val="24"/>
                <w:szCs w:val="24"/>
                <w:highlight w:val="none"/>
              </w:rPr>
            </w:pPr>
          </w:p>
        </w:tc>
      </w:tr>
    </w:tbl>
    <w:p w14:paraId="44DD0C54">
      <w:pPr>
        <w:spacing w:line="360" w:lineRule="auto"/>
        <w:ind w:left="12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1.4履约保证金</w:t>
      </w:r>
    </w:p>
    <w:p w14:paraId="6F2ECEC0">
      <w:pPr>
        <w:pStyle w:val="959"/>
        <w:spacing w:before="0" w:beforeAutospacing="0" w:after="0" w:afterAutospacing="0" w:line="360" w:lineRule="auto"/>
        <w:ind w:left="120" w:firstLine="480" w:firstLineChars="200"/>
        <w:rPr>
          <w:rFonts w:hint="eastAsia"/>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（是/否）需要支付履约保证金。</w:t>
      </w:r>
    </w:p>
    <w:p w14:paraId="71BE8C97">
      <w:pPr>
        <w:spacing w:line="360" w:lineRule="auto"/>
        <w:ind w:left="12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1.5</w:t>
      </w:r>
      <w:bookmarkEnd w:id="449"/>
      <w:bookmarkEnd w:id="450"/>
      <w:bookmarkEnd w:id="451"/>
      <w:r>
        <w:rPr>
          <w:rFonts w:hint="eastAsia" w:ascii="宋体" w:hAnsi="宋体" w:cs="宋体"/>
          <w:b/>
          <w:color w:val="auto"/>
          <w:sz w:val="24"/>
          <w:highlight w:val="none"/>
        </w:rPr>
        <w:t>预付款</w:t>
      </w:r>
    </w:p>
    <w:p w14:paraId="36246BFA">
      <w:pPr>
        <w:pStyle w:val="959"/>
        <w:spacing w:before="0" w:beforeAutospacing="0" w:after="0" w:afterAutospacing="0" w:line="360" w:lineRule="auto"/>
        <w:ind w:left="120" w:firstLine="22"/>
        <w:rPr>
          <w:rFonts w:hint="eastAsia"/>
          <w:color w:val="auto"/>
          <w:highlight w:val="none"/>
        </w:rPr>
      </w:pPr>
      <w:r>
        <w:rPr>
          <w:rFonts w:hint="eastAsia"/>
          <w:color w:val="auto"/>
          <w:highlight w:val="none"/>
        </w:rPr>
        <w:t>甲方</w:t>
      </w:r>
      <w:r>
        <w:rPr>
          <w:rFonts w:hint="eastAsia"/>
          <w:color w:val="auto"/>
          <w:highlight w:val="none"/>
          <w:u w:val="single"/>
        </w:rPr>
        <w:t>是</w:t>
      </w:r>
      <w:r>
        <w:rPr>
          <w:rFonts w:hint="eastAsia"/>
          <w:color w:val="auto"/>
          <w:highlight w:val="none"/>
        </w:rPr>
        <w:t>（是/否）需要支付预付款。若需要支付预付款的，则：</w:t>
      </w:r>
    </w:p>
    <w:p w14:paraId="2E4F17AF">
      <w:pPr>
        <w:spacing w:line="360" w:lineRule="auto"/>
        <w:ind w:left="12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B4C6174">
      <w:pPr>
        <w:pStyle w:val="959"/>
        <w:spacing w:before="0" w:beforeAutospacing="0" w:after="0" w:afterAutospacing="0" w:line="360" w:lineRule="auto"/>
        <w:ind w:left="120" w:firstLine="22"/>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C43608E">
      <w:pPr>
        <w:pStyle w:val="959"/>
        <w:spacing w:before="0" w:beforeAutospacing="0" w:after="0" w:afterAutospacing="0" w:line="360" w:lineRule="auto"/>
        <w:ind w:left="120" w:firstLine="22"/>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FDBF104">
      <w:pPr>
        <w:pStyle w:val="959"/>
        <w:spacing w:before="0" w:beforeAutospacing="0" w:after="0" w:afterAutospacing="0" w:line="360" w:lineRule="auto"/>
        <w:ind w:left="120" w:firstLine="22"/>
        <w:rPr>
          <w:rFonts w:hint="eastAsia"/>
          <w:b/>
          <w:bCs/>
          <w:color w:val="auto"/>
          <w:highlight w:val="none"/>
        </w:rPr>
      </w:pPr>
      <w:r>
        <w:rPr>
          <w:rFonts w:hint="eastAsia"/>
          <w:b/>
          <w:bCs/>
          <w:color w:val="auto"/>
          <w:highlight w:val="none"/>
        </w:rPr>
        <w:t>1.6资金支付</w:t>
      </w:r>
    </w:p>
    <w:p w14:paraId="23BA0098">
      <w:pPr>
        <w:pStyle w:val="959"/>
        <w:spacing w:before="0" w:beforeAutospacing="0" w:after="0" w:afterAutospacing="0" w:line="360" w:lineRule="auto"/>
        <w:ind w:left="120" w:firstLine="22"/>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B58E67">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D24CE53">
      <w:pPr>
        <w:spacing w:line="360" w:lineRule="auto"/>
        <w:ind w:left="12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1.7 履行期限、地点和方式</w:t>
      </w:r>
      <w:bookmarkEnd w:id="452"/>
      <w:bookmarkEnd w:id="453"/>
      <w:bookmarkEnd w:id="454"/>
      <w:bookmarkEnd w:id="455"/>
      <w:bookmarkEnd w:id="456"/>
    </w:p>
    <w:p w14:paraId="280C15E1">
      <w:pPr>
        <w:spacing w:line="360" w:lineRule="auto"/>
        <w:ind w:left="12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服务交付（实施）的时间（期限）：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2B01667">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1.7.2 服务交付（实施）的地点（地域范围）：</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8585A10">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1.7.3 服务交付（实施）的方式：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0840057">
      <w:pPr>
        <w:spacing w:line="360" w:lineRule="auto"/>
        <w:ind w:left="120" w:firstLine="480" w:firstLineChars="200"/>
        <w:rPr>
          <w:rFonts w:hint="eastAsia" w:ascii="宋体" w:hAnsi="宋体" w:cs="宋体"/>
          <w:bCs/>
          <w:color w:val="auto"/>
          <w:sz w:val="24"/>
          <w:highlight w:val="none"/>
        </w:rPr>
      </w:pPr>
      <w:bookmarkStart w:id="457" w:name="_Toc5698"/>
      <w:bookmarkStart w:id="458" w:name="_Toc2375"/>
      <w:bookmarkStart w:id="459" w:name="_Toc24662"/>
      <w:bookmarkStart w:id="460" w:name="_Toc8586"/>
      <w:bookmarkStart w:id="461" w:name="_Toc3079"/>
      <w:r>
        <w:rPr>
          <w:rFonts w:hint="eastAsia" w:ascii="宋体" w:hAnsi="宋体" w:cs="宋体"/>
          <w:bCs/>
          <w:color w:val="auto"/>
          <w:sz w:val="24"/>
          <w:highlight w:val="none"/>
        </w:rPr>
        <w:t>1.7.4若服务涉及货物的，则货物的：</w:t>
      </w:r>
    </w:p>
    <w:p w14:paraId="030DCBFF">
      <w:pPr>
        <w:spacing w:line="360" w:lineRule="auto"/>
        <w:ind w:left="12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357A691">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49DD39C">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5CBC45E">
      <w:pPr>
        <w:spacing w:line="360" w:lineRule="auto"/>
        <w:ind w:left="120" w:firstLine="482" w:firstLineChars="200"/>
        <w:rPr>
          <w:rFonts w:hint="eastAsia" w:ascii="宋体" w:hAnsi="宋体" w:cs="宋体"/>
          <w:color w:val="auto"/>
          <w:sz w:val="24"/>
          <w:highlight w:val="none"/>
          <w:u w:val="single"/>
        </w:rPr>
      </w:pPr>
      <w:r>
        <w:rPr>
          <w:rFonts w:hint="eastAsia" w:ascii="宋体" w:hAnsi="宋体" w:cs="宋体"/>
          <w:b/>
          <w:color w:val="auto"/>
          <w:sz w:val="24"/>
          <w:highlight w:val="none"/>
        </w:rPr>
        <w:t>1.8违约责任</w:t>
      </w:r>
      <w:bookmarkEnd w:id="457"/>
      <w:bookmarkEnd w:id="458"/>
      <w:bookmarkEnd w:id="459"/>
      <w:bookmarkEnd w:id="460"/>
      <w:bookmarkEnd w:id="461"/>
    </w:p>
    <w:p w14:paraId="75390291">
      <w:pPr>
        <w:spacing w:line="360" w:lineRule="auto"/>
        <w:ind w:left="120" w:firstLine="480" w:firstLineChars="200"/>
        <w:rPr>
          <w:rFonts w:hint="eastAsia" w:ascii="宋体" w:hAnsi="宋体" w:cs="宋体"/>
          <w:color w:val="auto"/>
          <w:sz w:val="24"/>
          <w:highlight w:val="none"/>
        </w:rPr>
      </w:pPr>
      <w:bookmarkStart w:id="462" w:name="_Hlk129533809"/>
      <w:r>
        <w:rPr>
          <w:rFonts w:hint="eastAsia" w:ascii="宋体" w:hAnsi="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27246C43">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1.8.2服务中涉及的货物，除不可抗力外，如果乙方没有按照本合同约定的期限、地点和方式交付货物，那么甲方可要求乙方支付违约金，违约金按每迟延交付货物一日的应交付而未交付货物价格的 </w:t>
      </w:r>
      <w:r>
        <w:rPr>
          <w:rFonts w:hint="eastAsia" w:ascii="宋体" w:hAnsi="宋体" w:cs="宋体"/>
          <w:color w:val="auto"/>
          <w:sz w:val="24"/>
          <w:highlight w:val="none"/>
          <w:u w:val="single"/>
        </w:rPr>
        <w:t xml:space="preserve"> 0.05</w:t>
      </w:r>
      <w:r>
        <w:rPr>
          <w:rFonts w:hint="eastAsia" w:ascii="宋体" w:hAnsi="宋体" w:cs="宋体"/>
          <w:color w:val="auto"/>
          <w:sz w:val="24"/>
          <w:highlight w:val="none"/>
        </w:rPr>
        <w:t xml:space="preserve">（可根据情况修改） %计算，最高限额为本合同总价的  </w:t>
      </w:r>
      <w:r>
        <w:rPr>
          <w:rFonts w:hint="eastAsia" w:ascii="宋体" w:hAnsi="宋体" w:cs="宋体"/>
          <w:color w:val="auto"/>
          <w:sz w:val="24"/>
          <w:highlight w:val="none"/>
          <w:u w:val="single"/>
        </w:rPr>
        <w:t xml:space="preserve">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3B5A1C49">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0AFBDD1C">
      <w:pPr>
        <w:spacing w:line="360" w:lineRule="auto"/>
        <w:ind w:left="120" w:firstLine="480" w:firstLineChars="200"/>
        <w:rPr>
          <w:rFonts w:hint="eastAsia" w:ascii="宋体" w:hAnsi="宋体" w:cs="宋体"/>
          <w:color w:val="auto"/>
          <w:sz w:val="24"/>
          <w:highlight w:val="none"/>
        </w:rPr>
      </w:pPr>
      <w:bookmarkStart w:id="463" w:name="_Toc30329"/>
      <w:bookmarkStart w:id="464" w:name="_Toc9497"/>
      <w:bookmarkStart w:id="465" w:name="_Toc26807"/>
      <w:bookmarkStart w:id="466" w:name="_Toc18683"/>
      <w:bookmarkStart w:id="467"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B5E44AC">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A7D81F4">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bookmarkEnd w:id="462"/>
    <w:p w14:paraId="6BEF5710">
      <w:pPr>
        <w:spacing w:line="360" w:lineRule="auto"/>
        <w:ind w:left="12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63"/>
    <w:bookmarkEnd w:id="464"/>
    <w:bookmarkEnd w:id="465"/>
    <w:bookmarkEnd w:id="466"/>
    <w:bookmarkEnd w:id="467"/>
    <w:p w14:paraId="57EBF074">
      <w:pPr>
        <w:spacing w:line="360" w:lineRule="auto"/>
        <w:ind w:left="120" w:firstLine="482" w:firstLineChars="200"/>
        <w:rPr>
          <w:rFonts w:hint="eastAsia" w:ascii="宋体" w:hAnsi="宋体" w:cs="宋体"/>
          <w:b/>
          <w:color w:val="auto"/>
          <w:sz w:val="24"/>
          <w:highlight w:val="none"/>
        </w:rPr>
      </w:pPr>
      <w:bookmarkStart w:id="468" w:name="_Toc16021"/>
      <w:bookmarkStart w:id="469" w:name="_Toc15583"/>
      <w:bookmarkStart w:id="470" w:name="_Toc28375"/>
      <w:r>
        <w:rPr>
          <w:rFonts w:hint="eastAsia" w:ascii="宋体" w:hAnsi="宋体" w:cs="宋体"/>
          <w:b/>
          <w:color w:val="auto"/>
          <w:sz w:val="24"/>
          <w:highlight w:val="none"/>
        </w:rPr>
        <w:t>1.9合同争议的解决</w:t>
      </w:r>
      <w:bookmarkEnd w:id="468"/>
      <w:bookmarkEnd w:id="469"/>
      <w:bookmarkEnd w:id="470"/>
    </w:p>
    <w:p w14:paraId="117484DC">
      <w:pPr>
        <w:spacing w:line="360" w:lineRule="auto"/>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71" w:name="_Hlk129533857"/>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E19A2EB">
      <w:pPr>
        <w:spacing w:line="360" w:lineRule="auto"/>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88BF7A5">
      <w:pPr>
        <w:spacing w:line="360" w:lineRule="auto"/>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bookmarkEnd w:id="471"/>
    <w:p w14:paraId="2CA872D3">
      <w:pPr>
        <w:spacing w:line="360" w:lineRule="auto"/>
        <w:ind w:left="120" w:firstLine="482" w:firstLineChars="200"/>
        <w:rPr>
          <w:rFonts w:hint="eastAsia" w:ascii="宋体" w:hAnsi="宋体" w:cs="宋体"/>
          <w:b/>
          <w:color w:val="auto"/>
          <w:sz w:val="24"/>
          <w:highlight w:val="none"/>
        </w:rPr>
      </w:pPr>
      <w:bookmarkStart w:id="472" w:name="_Toc15322"/>
      <w:bookmarkStart w:id="473" w:name="_Toc11173"/>
      <w:bookmarkStart w:id="474" w:name="_Toc7245"/>
      <w:r>
        <w:rPr>
          <w:rFonts w:hint="eastAsia" w:ascii="宋体" w:hAnsi="宋体" w:cs="宋体"/>
          <w:b/>
          <w:color w:val="auto"/>
          <w:sz w:val="24"/>
          <w:highlight w:val="none"/>
        </w:rPr>
        <w:t>2.0 合同生效</w:t>
      </w:r>
      <w:bookmarkEnd w:id="472"/>
      <w:bookmarkEnd w:id="473"/>
      <w:bookmarkEnd w:id="474"/>
    </w:p>
    <w:p w14:paraId="5549C21F">
      <w:pPr>
        <w:spacing w:line="360" w:lineRule="auto"/>
        <w:ind w:left="120"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9A90551">
      <w:pPr>
        <w:autoSpaceDE w:val="0"/>
        <w:autoSpaceDN w:val="0"/>
        <w:spacing w:line="360" w:lineRule="auto"/>
        <w:ind w:left="120" w:firstLine="22"/>
        <w:rPr>
          <w:rFonts w:hint="eastAsia" w:ascii="宋体" w:hAnsi="宋体" w:cs="宋体"/>
          <w:color w:val="auto"/>
          <w:sz w:val="24"/>
          <w:highlight w:val="none"/>
          <w:lang w:val="zh-CN"/>
        </w:rPr>
      </w:pPr>
    </w:p>
    <w:p w14:paraId="343DB70A">
      <w:pPr>
        <w:autoSpaceDE w:val="0"/>
        <w:autoSpaceDN w:val="0"/>
        <w:spacing w:line="360" w:lineRule="auto"/>
        <w:ind w:left="120" w:firstLine="22"/>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3EA3C077">
      <w:pPr>
        <w:autoSpaceDE w:val="0"/>
        <w:autoSpaceDN w:val="0"/>
        <w:spacing w:line="360" w:lineRule="auto"/>
        <w:ind w:left="120" w:firstLine="22"/>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2B1B7A29">
      <w:pPr>
        <w:autoSpaceDE w:val="0"/>
        <w:autoSpaceDN w:val="0"/>
        <w:spacing w:line="360" w:lineRule="auto"/>
        <w:ind w:left="120" w:firstLine="22"/>
        <w:rPr>
          <w:rFonts w:hint="eastAsia" w:ascii="宋体" w:hAnsi="宋体" w:cs="宋体"/>
          <w:color w:val="auto"/>
          <w:sz w:val="24"/>
          <w:highlight w:val="none"/>
          <w:lang w:val="zh-CN"/>
        </w:rPr>
      </w:pPr>
    </w:p>
    <w:p w14:paraId="582A4412">
      <w:pPr>
        <w:autoSpaceDE w:val="0"/>
        <w:autoSpaceDN w:val="0"/>
        <w:spacing w:line="360" w:lineRule="auto"/>
        <w:ind w:left="120" w:firstLine="22"/>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688243D3">
      <w:pPr>
        <w:autoSpaceDE w:val="0"/>
        <w:autoSpaceDN w:val="0"/>
        <w:spacing w:line="360" w:lineRule="auto"/>
        <w:ind w:left="120" w:firstLine="22"/>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14:paraId="6870D4F6">
      <w:pPr>
        <w:autoSpaceDE w:val="0"/>
        <w:autoSpaceDN w:val="0"/>
        <w:spacing w:line="360" w:lineRule="auto"/>
        <w:ind w:left="120" w:firstLine="22"/>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14:paraId="4BA6BD01">
      <w:pPr>
        <w:autoSpaceDE w:val="0"/>
        <w:autoSpaceDN w:val="0"/>
        <w:spacing w:line="360" w:lineRule="auto"/>
        <w:ind w:left="120" w:firstLine="22"/>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56ADAED2">
      <w:pPr>
        <w:autoSpaceDE w:val="0"/>
        <w:autoSpaceDN w:val="0"/>
        <w:spacing w:line="360" w:lineRule="auto"/>
        <w:ind w:left="120" w:firstLine="22"/>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01897DD">
      <w:pPr>
        <w:autoSpaceDE w:val="0"/>
        <w:autoSpaceDN w:val="0"/>
        <w:spacing w:line="360" w:lineRule="auto"/>
        <w:ind w:left="120" w:firstLine="22"/>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2A86D081">
      <w:pPr>
        <w:autoSpaceDE w:val="0"/>
        <w:autoSpaceDN w:val="0"/>
        <w:spacing w:line="360" w:lineRule="auto"/>
        <w:ind w:left="120" w:firstLine="22"/>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10F9A8D4">
      <w:pPr>
        <w:autoSpaceDE w:val="0"/>
        <w:autoSpaceDN w:val="0"/>
        <w:spacing w:line="360" w:lineRule="auto"/>
        <w:ind w:left="120" w:firstLine="22"/>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54CE76D3">
      <w:pPr>
        <w:autoSpaceDE w:val="0"/>
        <w:autoSpaceDN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0FB16422">
      <w:pPr>
        <w:autoSpaceDE w:val="0"/>
        <w:autoSpaceDN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235B19E9">
      <w:pPr>
        <w:autoSpaceDE w:val="0"/>
        <w:autoSpaceDN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78FDC3E7">
      <w:pPr>
        <w:autoSpaceDE w:val="0"/>
        <w:autoSpaceDN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A5160F7">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5F01BADF">
      <w:pPr>
        <w:widowControl/>
        <w:adjustRightInd/>
        <w:spacing w:line="360" w:lineRule="auto"/>
        <w:ind w:left="120" w:firstLine="22"/>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第二部分 合同一般条款</w:t>
      </w:r>
    </w:p>
    <w:p w14:paraId="606AE05D">
      <w:pPr>
        <w:spacing w:line="360" w:lineRule="auto"/>
        <w:ind w:left="120" w:firstLine="482" w:firstLineChars="200"/>
        <w:rPr>
          <w:rFonts w:hint="eastAsia" w:ascii="宋体" w:hAnsi="宋体" w:cs="宋体"/>
          <w:b/>
          <w:color w:val="auto"/>
          <w:sz w:val="24"/>
          <w:highlight w:val="none"/>
        </w:rPr>
      </w:pPr>
      <w:bookmarkStart w:id="475" w:name="_Toc31297"/>
      <w:bookmarkStart w:id="476" w:name="_Toc25079"/>
      <w:bookmarkStart w:id="477" w:name="_Toc14021"/>
      <w:bookmarkStart w:id="478" w:name="_Toc5228"/>
      <w:bookmarkStart w:id="479" w:name="_Toc19680"/>
      <w:r>
        <w:rPr>
          <w:rFonts w:hint="eastAsia" w:ascii="宋体" w:hAnsi="宋体" w:cs="宋体"/>
          <w:b/>
          <w:color w:val="auto"/>
          <w:sz w:val="24"/>
          <w:highlight w:val="none"/>
        </w:rPr>
        <w:t>2.1 定义</w:t>
      </w:r>
      <w:bookmarkEnd w:id="475"/>
      <w:bookmarkEnd w:id="476"/>
      <w:bookmarkEnd w:id="477"/>
      <w:bookmarkEnd w:id="478"/>
      <w:bookmarkEnd w:id="479"/>
    </w:p>
    <w:p w14:paraId="7F2E4A70">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DEAB827">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20A7879D">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560A4489">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62F425F1">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2.1.4 “甲方”系指与中标或成交供应商签署合同的采购人；采购人委托采购代理机构代表其与乙方签订合同的，采购人的授权委托书作为合同附件。</w:t>
      </w:r>
    </w:p>
    <w:p w14:paraId="4B607726">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EC7DC86">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2.1.6 “现场”系指合同约定提供服务的地点。</w:t>
      </w:r>
    </w:p>
    <w:p w14:paraId="6463D3D9">
      <w:pPr>
        <w:spacing w:line="360" w:lineRule="auto"/>
        <w:ind w:left="120" w:firstLine="482" w:firstLineChars="200"/>
        <w:rPr>
          <w:rFonts w:hint="eastAsia" w:ascii="宋体" w:hAnsi="宋体" w:cs="宋体"/>
          <w:b/>
          <w:color w:val="auto"/>
          <w:sz w:val="24"/>
          <w:highlight w:val="none"/>
        </w:rPr>
      </w:pPr>
      <w:bookmarkStart w:id="480" w:name="_Toc16752"/>
      <w:bookmarkStart w:id="481" w:name="_Toc31402"/>
      <w:bookmarkStart w:id="482" w:name="_Toc3769"/>
      <w:bookmarkStart w:id="483" w:name="_Toc19539"/>
      <w:bookmarkStart w:id="484" w:name="_Toc23289"/>
      <w:r>
        <w:rPr>
          <w:rFonts w:hint="eastAsia" w:ascii="宋体" w:hAnsi="宋体" w:cs="宋体"/>
          <w:b/>
          <w:color w:val="auto"/>
          <w:sz w:val="24"/>
          <w:highlight w:val="none"/>
        </w:rPr>
        <w:t>2.2 技术规范</w:t>
      </w:r>
      <w:bookmarkEnd w:id="480"/>
      <w:bookmarkEnd w:id="481"/>
      <w:bookmarkEnd w:id="482"/>
      <w:bookmarkEnd w:id="483"/>
      <w:bookmarkEnd w:id="484"/>
    </w:p>
    <w:p w14:paraId="64C31D7F">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C4F8008">
      <w:pPr>
        <w:spacing w:line="360" w:lineRule="auto"/>
        <w:ind w:left="120" w:firstLine="482" w:firstLineChars="200"/>
        <w:rPr>
          <w:rFonts w:hint="eastAsia" w:ascii="宋体" w:hAnsi="宋体" w:cs="宋体"/>
          <w:b/>
          <w:color w:val="auto"/>
          <w:sz w:val="24"/>
          <w:highlight w:val="none"/>
        </w:rPr>
      </w:pPr>
      <w:bookmarkStart w:id="485" w:name="_Toc4133"/>
      <w:bookmarkStart w:id="486" w:name="_Toc12412"/>
      <w:bookmarkStart w:id="487" w:name="_Toc9161"/>
      <w:bookmarkStart w:id="488" w:name="_Toc13673"/>
      <w:bookmarkStart w:id="489" w:name="_Toc27945"/>
      <w:r>
        <w:rPr>
          <w:rFonts w:hint="eastAsia" w:ascii="宋体" w:hAnsi="宋体" w:cs="宋体"/>
          <w:b/>
          <w:color w:val="auto"/>
          <w:sz w:val="24"/>
          <w:highlight w:val="none"/>
        </w:rPr>
        <w:t>2.3 知识产权</w:t>
      </w:r>
      <w:bookmarkEnd w:id="485"/>
      <w:bookmarkEnd w:id="486"/>
      <w:bookmarkEnd w:id="487"/>
      <w:bookmarkEnd w:id="488"/>
      <w:bookmarkEnd w:id="489"/>
    </w:p>
    <w:p w14:paraId="00EF8628">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2.3.1 </w:t>
      </w:r>
      <w:bookmarkStart w:id="490" w:name="_Hlk133442661"/>
      <w:r>
        <w:rPr>
          <w:rFonts w:hint="eastAsia" w:ascii="宋体" w:hAnsi="宋体" w:cs="宋体"/>
          <w:color w:val="auto"/>
          <w:sz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bookmarkEnd w:id="490"/>
    </w:p>
    <w:p w14:paraId="7FFA5870">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21FAB76">
      <w:pPr>
        <w:spacing w:line="360" w:lineRule="auto"/>
        <w:ind w:left="12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 履约检查和问题反馈</w:t>
      </w:r>
    </w:p>
    <w:p w14:paraId="5401AD1A">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F5A931D">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14:paraId="30CAA31E">
      <w:pPr>
        <w:spacing w:line="360" w:lineRule="auto"/>
        <w:ind w:left="120" w:firstLine="482" w:firstLineChars="200"/>
        <w:rPr>
          <w:rFonts w:hint="eastAsia" w:ascii="宋体" w:hAnsi="宋体" w:cs="宋体"/>
          <w:b/>
          <w:color w:val="auto"/>
          <w:sz w:val="24"/>
          <w:highlight w:val="none"/>
        </w:rPr>
      </w:pPr>
      <w:bookmarkStart w:id="491" w:name="_Toc32670"/>
      <w:bookmarkStart w:id="492" w:name="_Toc31233"/>
      <w:bookmarkStart w:id="493" w:name="_Toc22011"/>
      <w:bookmarkStart w:id="494" w:name="_Toc15447"/>
      <w:bookmarkStart w:id="495" w:name="_Toc26555"/>
      <w:r>
        <w:rPr>
          <w:rFonts w:hint="eastAsia" w:ascii="宋体" w:hAnsi="宋体" w:cs="宋体"/>
          <w:b/>
          <w:color w:val="auto"/>
          <w:sz w:val="24"/>
          <w:highlight w:val="none"/>
        </w:rPr>
        <w:t>2.5 结算方式和付款条件</w:t>
      </w:r>
      <w:bookmarkEnd w:id="491"/>
      <w:bookmarkEnd w:id="492"/>
      <w:bookmarkEnd w:id="493"/>
      <w:bookmarkEnd w:id="494"/>
      <w:bookmarkEnd w:id="495"/>
    </w:p>
    <w:p w14:paraId="68E078BB">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6849F0A">
      <w:pPr>
        <w:spacing w:line="360" w:lineRule="auto"/>
        <w:ind w:left="120" w:firstLine="482" w:firstLineChars="200"/>
        <w:rPr>
          <w:rFonts w:hint="eastAsia" w:ascii="宋体" w:hAnsi="宋体" w:cs="宋体"/>
          <w:b/>
          <w:color w:val="auto"/>
          <w:sz w:val="24"/>
          <w:highlight w:val="none"/>
        </w:rPr>
      </w:pPr>
      <w:bookmarkStart w:id="496" w:name="_Toc18990"/>
      <w:bookmarkStart w:id="497" w:name="_Toc16163"/>
      <w:bookmarkStart w:id="498" w:name="_Toc30507"/>
      <w:bookmarkStart w:id="499" w:name="_Toc13467"/>
      <w:bookmarkStart w:id="500" w:name="_Toc13154"/>
      <w:r>
        <w:rPr>
          <w:rFonts w:hint="eastAsia" w:ascii="宋体" w:hAnsi="宋体" w:cs="宋体"/>
          <w:b/>
          <w:color w:val="auto"/>
          <w:sz w:val="24"/>
          <w:highlight w:val="none"/>
        </w:rPr>
        <w:t>2.6 技术资料和保密义务</w:t>
      </w:r>
      <w:bookmarkEnd w:id="496"/>
      <w:bookmarkEnd w:id="497"/>
      <w:bookmarkEnd w:id="498"/>
      <w:bookmarkEnd w:id="499"/>
      <w:bookmarkEnd w:id="500"/>
    </w:p>
    <w:p w14:paraId="28D5F4D6">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31E840B">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34BC6CB8">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BA396B3">
      <w:pPr>
        <w:spacing w:line="360" w:lineRule="auto"/>
        <w:ind w:left="120" w:firstLine="482" w:firstLineChars="200"/>
        <w:rPr>
          <w:rFonts w:hint="eastAsia" w:ascii="宋体" w:hAnsi="宋体" w:cs="宋体"/>
          <w:b/>
          <w:color w:val="auto"/>
          <w:sz w:val="24"/>
          <w:highlight w:val="none"/>
        </w:rPr>
      </w:pPr>
      <w:bookmarkStart w:id="501" w:name="_Toc19069"/>
      <w:r>
        <w:rPr>
          <w:rFonts w:hint="eastAsia" w:ascii="宋体" w:hAnsi="宋体" w:cs="宋体"/>
          <w:b/>
          <w:color w:val="auto"/>
          <w:sz w:val="24"/>
          <w:highlight w:val="none"/>
        </w:rPr>
        <w:t>2.7 质量保证</w:t>
      </w:r>
      <w:bookmarkEnd w:id="501"/>
    </w:p>
    <w:p w14:paraId="0DD9324A">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606AEB84">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00DA0E5C">
      <w:pPr>
        <w:spacing w:line="360" w:lineRule="auto"/>
        <w:ind w:left="120" w:firstLine="482" w:firstLineChars="200"/>
        <w:rPr>
          <w:rFonts w:hint="eastAsia" w:ascii="宋体" w:hAnsi="宋体" w:cs="宋体"/>
          <w:b/>
          <w:color w:val="auto"/>
          <w:sz w:val="24"/>
          <w:highlight w:val="none"/>
        </w:rPr>
      </w:pPr>
      <w:bookmarkStart w:id="502" w:name="_Toc22267"/>
      <w:r>
        <w:rPr>
          <w:rFonts w:hint="eastAsia" w:ascii="宋体" w:hAnsi="宋体" w:cs="宋体"/>
          <w:b/>
          <w:color w:val="auto"/>
          <w:sz w:val="24"/>
          <w:highlight w:val="none"/>
        </w:rPr>
        <w:t>2.8 延迟履行</w:t>
      </w:r>
      <w:bookmarkEnd w:id="502"/>
    </w:p>
    <w:p w14:paraId="48658602">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9D2E978">
      <w:pPr>
        <w:spacing w:line="360" w:lineRule="auto"/>
        <w:ind w:left="120" w:firstLine="482" w:firstLineChars="200"/>
        <w:rPr>
          <w:rFonts w:hint="eastAsia" w:ascii="宋体" w:hAnsi="宋体" w:cs="宋体"/>
          <w:b/>
          <w:color w:val="auto"/>
          <w:sz w:val="24"/>
          <w:highlight w:val="none"/>
        </w:rPr>
      </w:pPr>
      <w:bookmarkStart w:id="503" w:name="_Toc10611"/>
      <w:r>
        <w:rPr>
          <w:rFonts w:hint="eastAsia" w:ascii="宋体" w:hAnsi="宋体" w:cs="宋体"/>
          <w:b/>
          <w:color w:val="auto"/>
          <w:sz w:val="24"/>
          <w:highlight w:val="none"/>
        </w:rPr>
        <w:t>2.9 合同变更</w:t>
      </w:r>
      <w:bookmarkEnd w:id="503"/>
    </w:p>
    <w:p w14:paraId="2B5397BB">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0F0B394">
      <w:pPr>
        <w:spacing w:line="360" w:lineRule="auto"/>
        <w:ind w:left="120" w:firstLine="482" w:firstLineChars="200"/>
        <w:rPr>
          <w:rFonts w:hint="eastAsia" w:ascii="宋体" w:hAnsi="宋体" w:cs="宋体"/>
          <w:b/>
          <w:color w:val="auto"/>
          <w:sz w:val="24"/>
          <w:highlight w:val="none"/>
        </w:rPr>
      </w:pPr>
      <w:bookmarkStart w:id="504" w:name="_Toc23368"/>
      <w:bookmarkStart w:id="505" w:name="_Toc42"/>
      <w:bookmarkStart w:id="506" w:name="_Toc26689"/>
      <w:bookmarkStart w:id="507" w:name="_Toc21830"/>
      <w:bookmarkStart w:id="508" w:name="_Toc10663"/>
      <w:r>
        <w:rPr>
          <w:rFonts w:hint="eastAsia" w:ascii="宋体" w:hAnsi="宋体" w:cs="宋体"/>
          <w:b/>
          <w:color w:val="auto"/>
          <w:sz w:val="24"/>
          <w:highlight w:val="none"/>
        </w:rPr>
        <w:t>2.10 合同转让和分包</w:t>
      </w:r>
      <w:bookmarkEnd w:id="504"/>
      <w:bookmarkEnd w:id="505"/>
      <w:bookmarkEnd w:id="506"/>
      <w:bookmarkEnd w:id="507"/>
      <w:bookmarkEnd w:id="508"/>
    </w:p>
    <w:p w14:paraId="6D261C04">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A0DAAD4">
      <w:pPr>
        <w:spacing w:line="360" w:lineRule="auto"/>
        <w:ind w:left="120" w:firstLine="482" w:firstLineChars="200"/>
        <w:rPr>
          <w:rFonts w:hint="eastAsia" w:ascii="宋体" w:hAnsi="宋体" w:cs="宋体"/>
          <w:b/>
          <w:color w:val="auto"/>
          <w:sz w:val="24"/>
          <w:highlight w:val="none"/>
        </w:rPr>
      </w:pPr>
      <w:bookmarkStart w:id="509" w:name="_Toc4720"/>
      <w:bookmarkStart w:id="510" w:name="_Toc32494"/>
      <w:bookmarkStart w:id="511" w:name="_Toc14371"/>
      <w:bookmarkStart w:id="512" w:name="_Toc25571"/>
      <w:bookmarkStart w:id="513" w:name="_Toc26633"/>
      <w:r>
        <w:rPr>
          <w:rFonts w:hint="eastAsia" w:ascii="宋体" w:hAnsi="宋体" w:cs="宋体"/>
          <w:b/>
          <w:color w:val="auto"/>
          <w:sz w:val="24"/>
          <w:highlight w:val="none"/>
        </w:rPr>
        <w:t>2.11 不可抗力</w:t>
      </w:r>
      <w:bookmarkEnd w:id="509"/>
      <w:bookmarkEnd w:id="510"/>
      <w:bookmarkEnd w:id="511"/>
      <w:bookmarkEnd w:id="512"/>
      <w:bookmarkEnd w:id="513"/>
    </w:p>
    <w:p w14:paraId="295F7E14">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14:paraId="4F7490CB">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14:paraId="45E3992E">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77866F5">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1129865">
      <w:pPr>
        <w:spacing w:line="360" w:lineRule="auto"/>
        <w:ind w:left="120" w:firstLine="482" w:firstLineChars="200"/>
        <w:rPr>
          <w:rFonts w:hint="eastAsia" w:ascii="宋体" w:hAnsi="宋体" w:cs="宋体"/>
          <w:b/>
          <w:color w:val="auto"/>
          <w:sz w:val="24"/>
          <w:highlight w:val="none"/>
        </w:rPr>
      </w:pPr>
      <w:bookmarkStart w:id="514" w:name="_Toc14115"/>
      <w:bookmarkStart w:id="515" w:name="_Toc3638"/>
      <w:bookmarkStart w:id="516" w:name="_Toc23854"/>
      <w:bookmarkStart w:id="517" w:name="_Toc25783"/>
      <w:bookmarkStart w:id="518" w:name="_Toc24465"/>
      <w:r>
        <w:rPr>
          <w:rFonts w:hint="eastAsia" w:ascii="宋体" w:hAnsi="宋体" w:cs="宋体"/>
          <w:b/>
          <w:color w:val="auto"/>
          <w:sz w:val="24"/>
          <w:highlight w:val="none"/>
        </w:rPr>
        <w:t>2.12 税费</w:t>
      </w:r>
      <w:bookmarkEnd w:id="514"/>
      <w:bookmarkEnd w:id="515"/>
      <w:bookmarkEnd w:id="516"/>
      <w:bookmarkEnd w:id="517"/>
      <w:bookmarkEnd w:id="518"/>
    </w:p>
    <w:p w14:paraId="716D6143">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0C3929E0">
      <w:pPr>
        <w:spacing w:line="360" w:lineRule="auto"/>
        <w:ind w:left="120" w:firstLine="482" w:firstLineChars="200"/>
        <w:rPr>
          <w:rFonts w:hint="eastAsia" w:ascii="宋体" w:hAnsi="宋体" w:cs="宋体"/>
          <w:b/>
          <w:color w:val="auto"/>
          <w:sz w:val="24"/>
          <w:highlight w:val="none"/>
        </w:rPr>
      </w:pPr>
      <w:bookmarkStart w:id="519" w:name="_Toc25525"/>
      <w:bookmarkStart w:id="520" w:name="_Toc30105"/>
      <w:bookmarkStart w:id="521" w:name="_Toc14814"/>
      <w:bookmarkStart w:id="522" w:name="_Toc26883"/>
      <w:bookmarkStart w:id="523" w:name="_Toc7315"/>
      <w:r>
        <w:rPr>
          <w:rFonts w:hint="eastAsia" w:ascii="宋体" w:hAnsi="宋体" w:cs="宋体"/>
          <w:b/>
          <w:color w:val="auto"/>
          <w:sz w:val="24"/>
          <w:highlight w:val="none"/>
        </w:rPr>
        <w:t>2.13 乙方破产</w:t>
      </w:r>
      <w:bookmarkEnd w:id="519"/>
      <w:bookmarkEnd w:id="520"/>
      <w:bookmarkEnd w:id="521"/>
      <w:bookmarkEnd w:id="522"/>
      <w:bookmarkEnd w:id="523"/>
    </w:p>
    <w:p w14:paraId="08082476">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B6B6B2E">
      <w:pPr>
        <w:spacing w:line="360" w:lineRule="auto"/>
        <w:ind w:left="120" w:firstLine="482" w:firstLineChars="200"/>
        <w:rPr>
          <w:rFonts w:hint="eastAsia" w:ascii="宋体" w:hAnsi="宋体" w:cs="宋体"/>
          <w:b/>
          <w:color w:val="auto"/>
          <w:sz w:val="24"/>
          <w:highlight w:val="none"/>
        </w:rPr>
      </w:pPr>
      <w:bookmarkStart w:id="524" w:name="_Toc2016"/>
      <w:bookmarkStart w:id="525" w:name="_Toc23323"/>
      <w:bookmarkStart w:id="526" w:name="_Toc1123"/>
      <w:r>
        <w:rPr>
          <w:rFonts w:hint="eastAsia" w:ascii="宋体" w:hAnsi="宋体" w:cs="宋体"/>
          <w:b/>
          <w:color w:val="auto"/>
          <w:sz w:val="24"/>
          <w:highlight w:val="none"/>
        </w:rPr>
        <w:t>2.14 合同中止、终止</w:t>
      </w:r>
      <w:bookmarkEnd w:id="524"/>
      <w:bookmarkEnd w:id="525"/>
      <w:bookmarkEnd w:id="526"/>
    </w:p>
    <w:p w14:paraId="22FB92EA">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283FCE43">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2D89D1C">
      <w:pPr>
        <w:spacing w:line="360" w:lineRule="auto"/>
        <w:ind w:left="120" w:firstLine="482" w:firstLineChars="200"/>
        <w:rPr>
          <w:rFonts w:hint="eastAsia" w:ascii="宋体" w:hAnsi="宋体" w:cs="宋体"/>
          <w:b/>
          <w:color w:val="auto"/>
          <w:sz w:val="24"/>
          <w:highlight w:val="none"/>
        </w:rPr>
      </w:pPr>
      <w:bookmarkStart w:id="527" w:name="_Toc17363"/>
      <w:bookmarkStart w:id="528" w:name="_Toc14525"/>
      <w:bookmarkStart w:id="529" w:name="_Toc1969"/>
      <w:r>
        <w:rPr>
          <w:rFonts w:hint="eastAsia" w:ascii="宋体" w:hAnsi="宋体" w:cs="宋体"/>
          <w:b/>
          <w:color w:val="auto"/>
          <w:sz w:val="24"/>
          <w:highlight w:val="none"/>
        </w:rPr>
        <w:t>2.15 检验和验收</w:t>
      </w:r>
      <w:bookmarkEnd w:id="527"/>
      <w:bookmarkEnd w:id="528"/>
      <w:bookmarkEnd w:id="529"/>
    </w:p>
    <w:p w14:paraId="3B0FFA90">
      <w:pPr>
        <w:tabs>
          <w:tab w:val="left" w:pos="360"/>
          <w:tab w:val="left" w:pos="540"/>
          <w:tab w:val="left" w:pos="1080"/>
        </w:tabs>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6F0C3369">
      <w:pPr>
        <w:tabs>
          <w:tab w:val="left" w:pos="360"/>
          <w:tab w:val="left" w:pos="540"/>
          <w:tab w:val="left" w:pos="1080"/>
        </w:tabs>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21D3FD3">
      <w:pPr>
        <w:tabs>
          <w:tab w:val="left" w:pos="360"/>
          <w:tab w:val="left" w:pos="540"/>
          <w:tab w:val="left" w:pos="1080"/>
        </w:tabs>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77266514">
      <w:pPr>
        <w:spacing w:line="360" w:lineRule="auto"/>
        <w:ind w:left="120" w:firstLine="482" w:firstLineChars="200"/>
        <w:rPr>
          <w:rFonts w:hint="eastAsia" w:ascii="宋体" w:hAnsi="宋体" w:cs="宋体"/>
          <w:b/>
          <w:color w:val="auto"/>
          <w:sz w:val="24"/>
          <w:highlight w:val="none"/>
        </w:rPr>
      </w:pPr>
      <w:bookmarkStart w:id="530" w:name="_Toc2308"/>
      <w:bookmarkStart w:id="531" w:name="_Toc9808"/>
      <w:bookmarkStart w:id="532" w:name="_Toc31892"/>
      <w:bookmarkStart w:id="533" w:name="_Toc12666"/>
      <w:bookmarkStart w:id="534" w:name="_Toc25198"/>
      <w:r>
        <w:rPr>
          <w:rFonts w:hint="eastAsia" w:ascii="宋体" w:hAnsi="宋体" w:cs="宋体"/>
          <w:b/>
          <w:color w:val="auto"/>
          <w:sz w:val="24"/>
          <w:highlight w:val="none"/>
        </w:rPr>
        <w:t>2.16 通知和送达</w:t>
      </w:r>
      <w:bookmarkEnd w:id="530"/>
      <w:bookmarkEnd w:id="531"/>
      <w:bookmarkEnd w:id="532"/>
      <w:bookmarkEnd w:id="533"/>
      <w:bookmarkEnd w:id="534"/>
    </w:p>
    <w:p w14:paraId="1700B1E5">
      <w:pPr>
        <w:spacing w:line="360" w:lineRule="auto"/>
        <w:ind w:left="120" w:firstLine="480" w:firstLineChars="200"/>
        <w:rPr>
          <w:rFonts w:hint="eastAsia" w:ascii="宋体" w:hAnsi="宋体" w:cs="宋体"/>
          <w:color w:val="auto"/>
          <w:sz w:val="24"/>
          <w:highlight w:val="none"/>
        </w:rPr>
      </w:pPr>
      <w:bookmarkStart w:id="535" w:name="_Toc27674"/>
      <w:bookmarkStart w:id="536" w:name="_Toc18401"/>
      <w:r>
        <w:rPr>
          <w:rFonts w:hint="eastAsia" w:ascii="宋体" w:hAnsi="宋体" w:cs="宋体"/>
          <w:color w:val="auto"/>
          <w:sz w:val="24"/>
          <w:highlight w:val="none"/>
        </w:rPr>
        <w:t xml:space="preserve">2.16.1任何一方因履行合同而以合同第一部分尾部所列明的传真或电子邮件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10B55AF6">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186F4EC2">
      <w:pPr>
        <w:spacing w:line="360" w:lineRule="auto"/>
        <w:ind w:left="120" w:firstLine="482" w:firstLineChars="200"/>
        <w:rPr>
          <w:rFonts w:hint="eastAsia" w:ascii="宋体" w:hAnsi="宋体" w:cs="宋体"/>
          <w:b/>
          <w:color w:val="auto"/>
          <w:sz w:val="24"/>
          <w:highlight w:val="none"/>
        </w:rPr>
      </w:pPr>
      <w:bookmarkStart w:id="537" w:name="_Toc28906"/>
      <w:bookmarkStart w:id="538" w:name="_Toc27644"/>
      <w:bookmarkStart w:id="539" w:name="_Toc12254"/>
      <w:bookmarkStart w:id="540" w:name="_Toc20808"/>
      <w:bookmarkStart w:id="541" w:name="_Toc5063"/>
      <w:r>
        <w:rPr>
          <w:rFonts w:hint="eastAsia" w:ascii="宋体" w:hAnsi="宋体" w:cs="宋体"/>
          <w:b/>
          <w:color w:val="auto"/>
          <w:sz w:val="24"/>
          <w:highlight w:val="none"/>
        </w:rPr>
        <w:t>2.17 合同使用的文字和适用的法律</w:t>
      </w:r>
      <w:bookmarkEnd w:id="537"/>
      <w:bookmarkEnd w:id="538"/>
      <w:bookmarkEnd w:id="539"/>
      <w:bookmarkEnd w:id="540"/>
      <w:bookmarkEnd w:id="541"/>
    </w:p>
    <w:p w14:paraId="012D3595">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2.17.1 合同使用汉语书就、变更和解释；</w:t>
      </w:r>
    </w:p>
    <w:p w14:paraId="3E6D4515">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2.17.2 合同适用中华人民共和国法律。</w:t>
      </w:r>
    </w:p>
    <w:p w14:paraId="01001A10">
      <w:pPr>
        <w:spacing w:line="360" w:lineRule="auto"/>
        <w:ind w:left="120" w:firstLine="482" w:firstLineChars="200"/>
        <w:rPr>
          <w:rFonts w:hint="eastAsia" w:ascii="宋体" w:hAnsi="宋体" w:cs="宋体"/>
          <w:b/>
          <w:color w:val="auto"/>
          <w:sz w:val="24"/>
          <w:highlight w:val="none"/>
        </w:rPr>
      </w:pPr>
      <w:bookmarkStart w:id="542" w:name="_Toc18540"/>
      <w:bookmarkStart w:id="543" w:name="_Toc4355"/>
      <w:bookmarkStart w:id="544" w:name="_Toc30599"/>
      <w:r>
        <w:rPr>
          <w:rFonts w:hint="eastAsia" w:ascii="宋体" w:hAnsi="宋体" w:cs="宋体"/>
          <w:b/>
          <w:color w:val="auto"/>
          <w:sz w:val="24"/>
          <w:highlight w:val="none"/>
        </w:rPr>
        <w:t>2.18 计量单位</w:t>
      </w:r>
      <w:bookmarkEnd w:id="542"/>
      <w:bookmarkEnd w:id="543"/>
      <w:bookmarkEnd w:id="544"/>
    </w:p>
    <w:p w14:paraId="7BF4982C">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17ED14F">
      <w:pPr>
        <w:spacing w:line="360" w:lineRule="auto"/>
        <w:ind w:left="12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2.19合同份数</w:t>
      </w:r>
    </w:p>
    <w:p w14:paraId="2930BCB6">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4DC45314">
      <w:pPr>
        <w:spacing w:line="360" w:lineRule="auto"/>
        <w:ind w:left="120" w:firstLine="22"/>
        <w:jc w:val="center"/>
        <w:outlineLvl w:val="1"/>
        <w:rPr>
          <w:rFonts w:hint="eastAsia"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8"/>
          <w:szCs w:val="28"/>
          <w:highlight w:val="none"/>
        </w:rPr>
        <w:t>第三部分</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合同专用条款</w:t>
      </w:r>
    </w:p>
    <w:p w14:paraId="7FB4129C">
      <w:pPr>
        <w:spacing w:line="360" w:lineRule="auto"/>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9"/>
        <w:gridCol w:w="8018"/>
      </w:tblGrid>
      <w:tr w14:paraId="7DAB9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39" w:type="dxa"/>
            <w:tcBorders>
              <w:left w:val="single" w:color="auto" w:sz="4" w:space="0"/>
            </w:tcBorders>
            <w:vAlign w:val="center"/>
          </w:tcPr>
          <w:p w14:paraId="3A3ADD8A">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8018" w:type="dxa"/>
            <w:vAlign w:val="center"/>
          </w:tcPr>
          <w:p w14:paraId="7F51BC23">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3E2D1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3AA977C6">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1.3.2</w:t>
            </w:r>
          </w:p>
        </w:tc>
        <w:tc>
          <w:tcPr>
            <w:tcW w:w="8018" w:type="dxa"/>
            <w:vAlign w:val="center"/>
          </w:tcPr>
          <w:p w14:paraId="1264C02C">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w:t>
            </w:r>
          </w:p>
        </w:tc>
      </w:tr>
      <w:tr w14:paraId="6C3E3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6309096C">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1.4.2</w:t>
            </w:r>
          </w:p>
        </w:tc>
        <w:tc>
          <w:tcPr>
            <w:tcW w:w="8018" w:type="dxa"/>
            <w:vAlign w:val="center"/>
          </w:tcPr>
          <w:p w14:paraId="6CBB65D3">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w:t>
            </w:r>
          </w:p>
        </w:tc>
      </w:tr>
      <w:tr w14:paraId="78FCA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29E70035">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8018" w:type="dxa"/>
            <w:vAlign w:val="center"/>
          </w:tcPr>
          <w:p w14:paraId="1DFFCA32">
            <w:pPr>
              <w:spacing w:line="360" w:lineRule="auto"/>
              <w:ind w:left="120" w:firstLine="22"/>
              <w:rPr>
                <w:rFonts w:hint="eastAsia" w:ascii="宋体" w:hAnsi="宋体" w:cs="宋体"/>
                <w:color w:val="auto"/>
                <w:sz w:val="24"/>
                <w:highlight w:val="none"/>
              </w:rPr>
            </w:pPr>
            <w:r>
              <w:rPr>
                <w:rFonts w:hint="eastAsia" w:ascii="宋体" w:hAnsi="宋体" w:cs="仿宋_GB2312"/>
                <w:color w:val="auto"/>
                <w:sz w:val="24"/>
                <w:highlight w:val="none"/>
              </w:rPr>
              <w:t>签订合同后，具备支付条件，5个工作日内甲方支付乙方合同总价的</w:t>
            </w:r>
            <w:r>
              <w:rPr>
                <w:rFonts w:ascii="宋体" w:hAnsi="宋体" w:cs="仿宋_GB2312"/>
                <w:color w:val="auto"/>
                <w:sz w:val="24"/>
                <w:highlight w:val="none"/>
              </w:rPr>
              <w:t>70</w:t>
            </w:r>
            <w:r>
              <w:rPr>
                <w:rFonts w:hint="eastAsia" w:ascii="宋体" w:hAnsi="宋体" w:cs="仿宋_GB2312"/>
                <w:color w:val="auto"/>
                <w:sz w:val="24"/>
                <w:highlight w:val="none"/>
              </w:rPr>
              <w:t>%合同款</w:t>
            </w:r>
            <w:r>
              <w:rPr>
                <w:rFonts w:hint="eastAsia" w:ascii="宋体" w:hAnsi="宋体" w:cs="宋体"/>
                <w:snapToGrid w:val="0"/>
                <w:color w:val="auto"/>
                <w:kern w:val="0"/>
                <w:sz w:val="24"/>
                <w:highlight w:val="none"/>
              </w:rPr>
              <w:t>。</w:t>
            </w:r>
          </w:p>
        </w:tc>
      </w:tr>
      <w:tr w14:paraId="68588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1036C408">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1.5.2</w:t>
            </w:r>
          </w:p>
        </w:tc>
        <w:tc>
          <w:tcPr>
            <w:tcW w:w="8018" w:type="dxa"/>
            <w:vAlign w:val="center"/>
          </w:tcPr>
          <w:p w14:paraId="200B30B7">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w:t>
            </w:r>
          </w:p>
        </w:tc>
      </w:tr>
      <w:tr w14:paraId="257CF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281BE13D">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1.5.3 </w:t>
            </w:r>
          </w:p>
        </w:tc>
        <w:tc>
          <w:tcPr>
            <w:tcW w:w="8018" w:type="dxa"/>
            <w:vAlign w:val="center"/>
          </w:tcPr>
          <w:p w14:paraId="509CABF0">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w:t>
            </w:r>
          </w:p>
        </w:tc>
      </w:tr>
      <w:tr w14:paraId="2B3CE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46A93BDA">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1.6.2</w:t>
            </w:r>
          </w:p>
        </w:tc>
        <w:tc>
          <w:tcPr>
            <w:tcW w:w="8018" w:type="dxa"/>
            <w:vAlign w:val="center"/>
          </w:tcPr>
          <w:p w14:paraId="6569E9D8">
            <w:pPr>
              <w:snapToGrid w:val="0"/>
              <w:spacing w:line="360" w:lineRule="auto"/>
              <w:ind w:left="120" w:firstLine="22"/>
              <w:rPr>
                <w:rFonts w:hint="eastAsia" w:ascii="宋体" w:hAnsi="宋体" w:cs="宋体"/>
                <w:snapToGrid w:val="0"/>
                <w:color w:val="auto"/>
                <w:kern w:val="0"/>
                <w:sz w:val="24"/>
                <w:highlight w:val="none"/>
              </w:rPr>
            </w:pPr>
            <w:r>
              <w:rPr>
                <w:rFonts w:hint="eastAsia" w:ascii="宋体" w:hAnsi="宋体" w:cs="仿宋_GB2312"/>
                <w:color w:val="auto"/>
                <w:sz w:val="24"/>
                <w:highlight w:val="none"/>
              </w:rPr>
              <w:t>签订合同后，具备支付条件，5个工作日内甲方支付乙方合同总价的</w:t>
            </w:r>
            <w:r>
              <w:rPr>
                <w:rFonts w:ascii="宋体" w:hAnsi="宋体" w:cs="仿宋_GB2312"/>
                <w:color w:val="auto"/>
                <w:sz w:val="24"/>
                <w:highlight w:val="none"/>
              </w:rPr>
              <w:t>70</w:t>
            </w:r>
            <w:r>
              <w:rPr>
                <w:rFonts w:hint="eastAsia" w:ascii="宋体" w:hAnsi="宋体" w:cs="仿宋_GB2312"/>
                <w:color w:val="auto"/>
                <w:sz w:val="24"/>
                <w:highlight w:val="none"/>
              </w:rPr>
              <w:t>%合同款；2</w:t>
            </w:r>
            <w:r>
              <w:rPr>
                <w:rFonts w:ascii="宋体" w:hAnsi="宋体" w:cs="仿宋_GB2312"/>
                <w:color w:val="auto"/>
                <w:sz w:val="24"/>
                <w:highlight w:val="none"/>
              </w:rPr>
              <w:t>02</w:t>
            </w:r>
            <w:r>
              <w:rPr>
                <w:rFonts w:hint="eastAsia" w:ascii="宋体" w:hAnsi="宋体" w:cs="仿宋_GB2312"/>
                <w:color w:val="auto"/>
                <w:sz w:val="24"/>
                <w:highlight w:val="none"/>
              </w:rPr>
              <w:t>5年9月完成1-8月月报，1-2季度的季报后，具备支付条件，5个工作日内采购人支付中标人合同总价的</w:t>
            </w:r>
            <w:r>
              <w:rPr>
                <w:rFonts w:ascii="宋体" w:hAnsi="宋体" w:cs="仿宋_GB2312"/>
                <w:color w:val="auto"/>
                <w:sz w:val="24"/>
                <w:highlight w:val="none"/>
              </w:rPr>
              <w:t>2</w:t>
            </w:r>
            <w:r>
              <w:rPr>
                <w:rFonts w:hint="eastAsia" w:ascii="宋体" w:hAnsi="宋体" w:cs="仿宋_GB2312"/>
                <w:color w:val="auto"/>
                <w:sz w:val="24"/>
                <w:highlight w:val="none"/>
              </w:rPr>
              <w:t>5%合同款（累计最高不超过135万）；项目完成，验收合格，具备支付条件，5个工作日内支付合同剩余款项。</w:t>
            </w:r>
          </w:p>
        </w:tc>
      </w:tr>
      <w:tr w14:paraId="6531B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597E8BCF">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1.7.1</w:t>
            </w:r>
          </w:p>
        </w:tc>
        <w:tc>
          <w:tcPr>
            <w:tcW w:w="8018" w:type="dxa"/>
            <w:vAlign w:val="center"/>
          </w:tcPr>
          <w:p w14:paraId="66C66C33">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合同签订之日至2026年1月31日。</w:t>
            </w:r>
          </w:p>
        </w:tc>
      </w:tr>
      <w:tr w14:paraId="731C1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4073F210">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1.7.2</w:t>
            </w:r>
          </w:p>
        </w:tc>
        <w:tc>
          <w:tcPr>
            <w:tcW w:w="8018" w:type="dxa"/>
            <w:vAlign w:val="center"/>
          </w:tcPr>
          <w:p w14:paraId="3B1A181E">
            <w:pPr>
              <w:spacing w:line="360" w:lineRule="auto"/>
              <w:ind w:left="120" w:firstLine="22"/>
              <w:rPr>
                <w:rFonts w:hint="eastAsia" w:ascii="宋体" w:hAnsi="宋体" w:cs="宋体"/>
                <w:color w:val="auto"/>
                <w:sz w:val="24"/>
                <w:highlight w:val="none"/>
              </w:rPr>
            </w:pPr>
            <w:r>
              <w:rPr>
                <w:rFonts w:hint="eastAsia" w:ascii="宋体" w:hAnsi="宋体" w:cs="宋体"/>
                <w:snapToGrid w:val="0"/>
                <w:color w:val="auto"/>
                <w:kern w:val="0"/>
                <w:sz w:val="24"/>
                <w:highlight w:val="none"/>
              </w:rPr>
              <w:t>甲方指定地点</w:t>
            </w:r>
          </w:p>
        </w:tc>
      </w:tr>
      <w:tr w14:paraId="08D08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185BC195">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1.7.3</w:t>
            </w:r>
          </w:p>
        </w:tc>
        <w:tc>
          <w:tcPr>
            <w:tcW w:w="8018" w:type="dxa"/>
            <w:vAlign w:val="center"/>
          </w:tcPr>
          <w:p w14:paraId="131E347E">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现场服务</w:t>
            </w:r>
          </w:p>
        </w:tc>
      </w:tr>
      <w:tr w14:paraId="42BCE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427A6A65">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1.7.4.1</w:t>
            </w:r>
          </w:p>
        </w:tc>
        <w:tc>
          <w:tcPr>
            <w:tcW w:w="8018" w:type="dxa"/>
          </w:tcPr>
          <w:p w14:paraId="6D50759D">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w:t>
            </w:r>
          </w:p>
        </w:tc>
      </w:tr>
      <w:tr w14:paraId="7076A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642F14BD">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1.7.4.2</w:t>
            </w:r>
          </w:p>
        </w:tc>
        <w:tc>
          <w:tcPr>
            <w:tcW w:w="8018" w:type="dxa"/>
          </w:tcPr>
          <w:p w14:paraId="7D3B8BFF">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w:t>
            </w:r>
          </w:p>
        </w:tc>
      </w:tr>
      <w:tr w14:paraId="06FCB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12002F53">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1.7.4.3</w:t>
            </w:r>
          </w:p>
        </w:tc>
        <w:tc>
          <w:tcPr>
            <w:tcW w:w="8018" w:type="dxa"/>
          </w:tcPr>
          <w:p w14:paraId="2C244876">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w:t>
            </w:r>
          </w:p>
        </w:tc>
      </w:tr>
      <w:tr w14:paraId="2207E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272DC043">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1.8.7</w:t>
            </w:r>
          </w:p>
        </w:tc>
        <w:tc>
          <w:tcPr>
            <w:tcW w:w="8018" w:type="dxa"/>
            <w:vAlign w:val="center"/>
          </w:tcPr>
          <w:p w14:paraId="2135A501">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w:t>
            </w:r>
          </w:p>
        </w:tc>
      </w:tr>
      <w:tr w14:paraId="07D71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2480F7CA">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1.9.1</w:t>
            </w:r>
          </w:p>
        </w:tc>
        <w:tc>
          <w:tcPr>
            <w:tcW w:w="8018" w:type="dxa"/>
            <w:vAlign w:val="center"/>
          </w:tcPr>
          <w:p w14:paraId="02AED2BC">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w:t>
            </w:r>
          </w:p>
        </w:tc>
      </w:tr>
      <w:tr w14:paraId="531F6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623F9B90">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1.9.2</w:t>
            </w:r>
          </w:p>
        </w:tc>
        <w:tc>
          <w:tcPr>
            <w:tcW w:w="8018" w:type="dxa"/>
            <w:vAlign w:val="center"/>
          </w:tcPr>
          <w:p w14:paraId="3D3FC96E">
            <w:pPr>
              <w:spacing w:line="360" w:lineRule="auto"/>
              <w:ind w:left="120" w:firstLine="22"/>
              <w:rPr>
                <w:rFonts w:hint="eastAsia" w:ascii="宋体" w:hAnsi="宋体" w:cs="宋体"/>
                <w:color w:val="auto"/>
                <w:sz w:val="24"/>
                <w:highlight w:val="none"/>
              </w:rPr>
            </w:pPr>
            <w:bookmarkStart w:id="545" w:name="_Hlk124179938"/>
            <w:r>
              <w:rPr>
                <w:rFonts w:hint="eastAsia" w:ascii="宋体" w:hAnsi="宋体" w:cs="宋体"/>
                <w:snapToGrid w:val="0"/>
                <w:color w:val="auto"/>
                <w:kern w:val="0"/>
                <w:sz w:val="24"/>
                <w:highlight w:val="none"/>
              </w:rPr>
              <w:t>本合同履行过程中如发生争议的，双方应友好协商；协商不成的，任何一方均可向甲方所在地人民法院提起诉讼。</w:t>
            </w:r>
            <w:bookmarkEnd w:id="545"/>
          </w:p>
        </w:tc>
      </w:tr>
      <w:tr w14:paraId="13D1A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75F0D05F">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2.3.2</w:t>
            </w:r>
          </w:p>
        </w:tc>
        <w:tc>
          <w:tcPr>
            <w:tcW w:w="8018" w:type="dxa"/>
            <w:vAlign w:val="center"/>
          </w:tcPr>
          <w:p w14:paraId="3276D4E2">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w:t>
            </w:r>
          </w:p>
        </w:tc>
      </w:tr>
      <w:tr w14:paraId="0C8AC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6DC279A3">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018" w:type="dxa"/>
            <w:vAlign w:val="center"/>
          </w:tcPr>
          <w:p w14:paraId="58C15946">
            <w:pPr>
              <w:spacing w:line="360" w:lineRule="auto"/>
              <w:ind w:left="120" w:firstLine="22"/>
              <w:rPr>
                <w:rFonts w:hint="eastAsia" w:ascii="宋体" w:hAnsi="宋体" w:cs="宋体"/>
                <w:snapToGrid w:val="0"/>
                <w:color w:val="auto"/>
                <w:kern w:val="0"/>
                <w:sz w:val="24"/>
                <w:highlight w:val="none"/>
              </w:rPr>
            </w:pPr>
            <w:r>
              <w:rPr>
                <w:rFonts w:hint="eastAsia" w:ascii="宋体" w:hAnsi="宋体" w:cs="仿宋_GB2312"/>
                <w:color w:val="auto"/>
                <w:sz w:val="24"/>
                <w:highlight w:val="none"/>
              </w:rPr>
              <w:t>签订合同后，具备支付条件，5个工作日内甲方支付乙方合同总价的</w:t>
            </w:r>
            <w:r>
              <w:rPr>
                <w:rFonts w:ascii="宋体" w:hAnsi="宋体" w:cs="仿宋_GB2312"/>
                <w:color w:val="auto"/>
                <w:sz w:val="24"/>
                <w:highlight w:val="none"/>
              </w:rPr>
              <w:t>70</w:t>
            </w:r>
            <w:r>
              <w:rPr>
                <w:rFonts w:hint="eastAsia" w:ascii="宋体" w:hAnsi="宋体" w:cs="仿宋_GB2312"/>
                <w:color w:val="auto"/>
                <w:sz w:val="24"/>
                <w:highlight w:val="none"/>
              </w:rPr>
              <w:t>%合同款；2</w:t>
            </w:r>
            <w:r>
              <w:rPr>
                <w:rFonts w:ascii="宋体" w:hAnsi="宋体" w:cs="仿宋_GB2312"/>
                <w:color w:val="auto"/>
                <w:sz w:val="24"/>
                <w:highlight w:val="none"/>
              </w:rPr>
              <w:t>02</w:t>
            </w:r>
            <w:r>
              <w:rPr>
                <w:rFonts w:hint="eastAsia" w:ascii="宋体" w:hAnsi="宋体" w:cs="仿宋_GB2312"/>
                <w:color w:val="auto"/>
                <w:sz w:val="24"/>
                <w:highlight w:val="none"/>
              </w:rPr>
              <w:t>5年9月完成1-8月月报，1-2季度的季报后，具备支付条件，5个工作日内采购人支付中标人合同总价的</w:t>
            </w:r>
            <w:r>
              <w:rPr>
                <w:rFonts w:ascii="宋体" w:hAnsi="宋体" w:cs="仿宋_GB2312"/>
                <w:color w:val="auto"/>
                <w:sz w:val="24"/>
                <w:highlight w:val="none"/>
              </w:rPr>
              <w:t>2</w:t>
            </w:r>
            <w:r>
              <w:rPr>
                <w:rFonts w:hint="eastAsia" w:ascii="宋体" w:hAnsi="宋体" w:cs="仿宋_GB2312"/>
                <w:color w:val="auto"/>
                <w:sz w:val="24"/>
                <w:highlight w:val="none"/>
              </w:rPr>
              <w:t>5%合同款（累计最高不超过135万）；项目完成，验收合格，具备支付条件，5个工作日内支付合同剩余款项。</w:t>
            </w:r>
          </w:p>
        </w:tc>
      </w:tr>
      <w:tr w14:paraId="4A546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429D3B18">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018" w:type="dxa"/>
            <w:vAlign w:val="center"/>
          </w:tcPr>
          <w:p w14:paraId="24F0F0D8">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因不可抗力致使合同有变更必要的，双方当事人应在15日内以书面形式变更合同。</w:t>
            </w:r>
          </w:p>
        </w:tc>
      </w:tr>
      <w:tr w14:paraId="5D489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tcPr>
          <w:p w14:paraId="22499AD9">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018" w:type="dxa"/>
          </w:tcPr>
          <w:p w14:paraId="7CC644C1">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受不可抗力影响的一方在不可抗力发生后，应在15日内以书面形式通知对方当事人，并在15日内，将有关部门出具的证明文件送达对方当事人。</w:t>
            </w:r>
          </w:p>
        </w:tc>
      </w:tr>
      <w:tr w14:paraId="10E3B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45B11B61">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018" w:type="dxa"/>
            <w:vAlign w:val="center"/>
          </w:tcPr>
          <w:p w14:paraId="36743E97">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14:paraId="24920558">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tc>
      </w:tr>
      <w:tr w14:paraId="62264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39" w:type="dxa"/>
            <w:tcBorders>
              <w:left w:val="single" w:color="auto" w:sz="4" w:space="0"/>
            </w:tcBorders>
            <w:vAlign w:val="center"/>
          </w:tcPr>
          <w:p w14:paraId="0AD627DB">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018" w:type="dxa"/>
            <w:vAlign w:val="center"/>
          </w:tcPr>
          <w:p w14:paraId="54C3BBA6">
            <w:pPr>
              <w:spacing w:line="360" w:lineRule="auto"/>
              <w:ind w:left="120" w:firstLine="22"/>
              <w:jc w:val="left"/>
              <w:rPr>
                <w:rFonts w:hint="eastAsia" w:ascii="宋体" w:hAnsi="宋体" w:cs="宋体"/>
                <w:color w:val="auto"/>
                <w:sz w:val="24"/>
                <w:highlight w:val="none"/>
              </w:rPr>
            </w:pPr>
            <w:r>
              <w:rPr>
                <w:rFonts w:hint="eastAsia" w:ascii="宋体" w:hAnsi="宋体" w:cs="宋体"/>
                <w:color w:val="auto"/>
                <w:sz w:val="24"/>
                <w:highlight w:val="none"/>
              </w:rPr>
              <w:t>1）采用本行业通用标准；满足所有采购需求及投标文件承诺；项目验收资料齐全。</w:t>
            </w:r>
          </w:p>
          <w:p w14:paraId="7402A6E5">
            <w:pPr>
              <w:pStyle w:val="62"/>
              <w:spacing w:line="360" w:lineRule="auto"/>
              <w:ind w:left="0" w:leftChars="0" w:firstLine="22" w:firstLineChars="0"/>
              <w:rPr>
                <w:rFonts w:hint="eastAsia" w:cs="宋体"/>
                <w:color w:val="auto"/>
                <w:sz w:val="24"/>
                <w:highlight w:val="none"/>
              </w:rPr>
            </w:pPr>
            <w:r>
              <w:rPr>
                <w:rFonts w:hint="eastAsia" w:cs="宋体"/>
                <w:color w:val="auto"/>
                <w:sz w:val="24"/>
                <w:highlight w:val="none"/>
              </w:rPr>
              <w:t>2）采用一次性验收方式。</w:t>
            </w:r>
          </w:p>
          <w:p w14:paraId="24C985FF">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3）履约验收产生的费用，属于首次验收过程中产生的，由采购人承担；属于首次验收不合格，重新验收过程中产生的，如采购合同有约定按照约定执行，如无约定，由采购人承担。</w:t>
            </w:r>
          </w:p>
        </w:tc>
      </w:tr>
      <w:tr w14:paraId="1833E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39" w:type="dxa"/>
            <w:tcBorders>
              <w:left w:val="single" w:color="auto" w:sz="4" w:space="0"/>
            </w:tcBorders>
          </w:tcPr>
          <w:p w14:paraId="70ED0B3D">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2.19</w:t>
            </w:r>
          </w:p>
        </w:tc>
        <w:tc>
          <w:tcPr>
            <w:tcW w:w="8018" w:type="dxa"/>
          </w:tcPr>
          <w:p w14:paraId="50D50BD6">
            <w:pPr>
              <w:spacing w:line="360" w:lineRule="auto"/>
              <w:ind w:left="120" w:firstLine="22"/>
              <w:rPr>
                <w:rFonts w:hint="eastAsia" w:ascii="宋体" w:hAnsi="宋体" w:cs="宋体"/>
                <w:color w:val="auto"/>
                <w:sz w:val="24"/>
                <w:highlight w:val="none"/>
              </w:rPr>
            </w:pPr>
            <w:bookmarkStart w:id="546" w:name="_Hlk124179984"/>
            <w:r>
              <w:rPr>
                <w:rFonts w:hint="eastAsia" w:ascii="宋体" w:hAnsi="宋体" w:cs="宋体"/>
                <w:color w:val="auto"/>
                <w:sz w:val="24"/>
                <w:highlight w:val="none"/>
              </w:rPr>
              <w:t>本合同壹式陆份，甲方执叁份，乙方执叁份。每份均具有同等法律效力。</w:t>
            </w:r>
            <w:bookmarkEnd w:id="546"/>
          </w:p>
        </w:tc>
      </w:tr>
    </w:tbl>
    <w:p w14:paraId="1950F819">
      <w:pPr>
        <w:spacing w:line="360" w:lineRule="auto"/>
        <w:ind w:left="-420" w:leftChars="-200" w:right="-420" w:rightChars="-200" w:firstLine="480" w:firstLineChars="200"/>
        <w:rPr>
          <w:rFonts w:hint="eastAsia" w:ascii="宋体" w:hAnsi="宋体" w:cs="宋体"/>
          <w:color w:val="auto"/>
          <w:sz w:val="24"/>
          <w:highlight w:val="none"/>
        </w:rPr>
      </w:pPr>
    </w:p>
    <w:p w14:paraId="524A9EA3">
      <w:pPr>
        <w:spacing w:line="360" w:lineRule="auto"/>
        <w:ind w:left="-420" w:leftChars="-200" w:right="-420" w:rightChars="-200" w:firstLine="480" w:firstLineChars="200"/>
        <w:jc w:val="center"/>
        <w:rPr>
          <w:rFonts w:hint="eastAsia" w:ascii="宋体" w:hAnsi="宋体" w:cs="宋体"/>
          <w:color w:val="auto"/>
          <w:sz w:val="24"/>
          <w:highlight w:val="none"/>
        </w:rPr>
      </w:pPr>
    </w:p>
    <w:p w14:paraId="13B4BEF7">
      <w:pPr>
        <w:spacing w:line="360" w:lineRule="auto"/>
        <w:ind w:left="120" w:firstLine="22"/>
        <w:rPr>
          <w:rFonts w:hint="eastAsia" w:ascii="宋体" w:hAnsi="宋体" w:cs="宋体"/>
          <w:color w:val="auto"/>
          <w:highlight w:val="none"/>
        </w:rPr>
      </w:pPr>
    </w:p>
    <w:p w14:paraId="180EC4DA">
      <w:pPr>
        <w:spacing w:line="360" w:lineRule="auto"/>
        <w:ind w:left="120" w:firstLine="22"/>
        <w:rPr>
          <w:rFonts w:hint="eastAsia" w:ascii="宋体" w:hAnsi="宋体" w:cs="宋体"/>
          <w:color w:val="auto"/>
          <w:highlight w:val="none"/>
        </w:rPr>
      </w:pPr>
    </w:p>
    <w:p w14:paraId="09A29EBD">
      <w:pPr>
        <w:spacing w:line="360" w:lineRule="auto"/>
        <w:ind w:left="120" w:firstLine="22"/>
        <w:rPr>
          <w:rFonts w:hint="eastAsia" w:ascii="宋体" w:hAnsi="宋体" w:cs="宋体"/>
          <w:color w:val="auto"/>
          <w:highlight w:val="none"/>
        </w:rPr>
      </w:pPr>
    </w:p>
    <w:p w14:paraId="3EB06D56">
      <w:pPr>
        <w:spacing w:line="360" w:lineRule="auto"/>
        <w:ind w:left="120" w:firstLine="22"/>
        <w:rPr>
          <w:rFonts w:hint="eastAsia" w:ascii="宋体" w:hAnsi="宋体" w:cs="宋体"/>
          <w:color w:val="auto"/>
          <w:highlight w:val="none"/>
        </w:rPr>
      </w:pPr>
    </w:p>
    <w:p w14:paraId="115F4A52">
      <w:pPr>
        <w:spacing w:line="360" w:lineRule="auto"/>
        <w:ind w:left="120" w:firstLine="22"/>
        <w:rPr>
          <w:rFonts w:hint="eastAsia" w:ascii="宋体" w:hAnsi="宋体" w:cs="宋体"/>
          <w:color w:val="auto"/>
          <w:highlight w:val="none"/>
        </w:rPr>
      </w:pPr>
    </w:p>
    <w:p w14:paraId="0FB2E99C">
      <w:pPr>
        <w:spacing w:line="360" w:lineRule="auto"/>
        <w:ind w:left="120" w:firstLine="22"/>
        <w:rPr>
          <w:rFonts w:hint="eastAsia" w:ascii="宋体" w:hAnsi="宋体" w:cs="宋体"/>
          <w:color w:val="auto"/>
          <w:highlight w:val="none"/>
        </w:rPr>
      </w:pPr>
    </w:p>
    <w:p w14:paraId="5DB8B387">
      <w:pPr>
        <w:spacing w:line="360" w:lineRule="auto"/>
        <w:ind w:left="120" w:firstLine="22"/>
        <w:rPr>
          <w:rFonts w:hint="eastAsia" w:ascii="宋体" w:hAnsi="宋体" w:cs="宋体"/>
          <w:color w:val="auto"/>
          <w:highlight w:val="none"/>
        </w:rPr>
      </w:pPr>
    </w:p>
    <w:p w14:paraId="11CC222E">
      <w:pPr>
        <w:spacing w:line="360" w:lineRule="auto"/>
        <w:ind w:left="120" w:firstLine="22"/>
        <w:rPr>
          <w:rFonts w:hint="eastAsia" w:ascii="宋体" w:hAnsi="宋体" w:cs="宋体"/>
          <w:color w:val="auto"/>
          <w:highlight w:val="none"/>
        </w:rPr>
      </w:pPr>
    </w:p>
    <w:p w14:paraId="5F47F3E9">
      <w:pPr>
        <w:widowControl/>
        <w:adjustRightInd/>
        <w:spacing w:line="360" w:lineRule="auto"/>
        <w:ind w:left="120" w:firstLine="22"/>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37"/>
      <w:r>
        <w:rPr>
          <w:rFonts w:hint="eastAsia" w:ascii="宋体" w:hAnsi="宋体" w:cs="宋体"/>
          <w:b/>
          <w:color w:val="auto"/>
          <w:sz w:val="36"/>
          <w:szCs w:val="20"/>
          <w:highlight w:val="none"/>
        </w:rPr>
        <w:t xml:space="preserve"> </w:t>
      </w:r>
      <w:bookmarkEnd w:id="438"/>
      <w:r>
        <w:rPr>
          <w:rFonts w:hint="eastAsia" w:ascii="宋体" w:hAnsi="宋体" w:cs="宋体"/>
          <w:b/>
          <w:color w:val="auto"/>
          <w:sz w:val="36"/>
          <w:szCs w:val="20"/>
          <w:highlight w:val="none"/>
        </w:rPr>
        <w:t>应提交的有关格式范例</w:t>
      </w:r>
    </w:p>
    <w:p w14:paraId="66650A22">
      <w:pPr>
        <w:spacing w:line="360" w:lineRule="auto"/>
        <w:ind w:left="120" w:firstLine="22"/>
        <w:jc w:val="center"/>
        <w:rPr>
          <w:rFonts w:hint="eastAsia" w:ascii="宋体" w:hAnsi="宋体" w:cs="宋体"/>
          <w:b/>
          <w:color w:val="auto"/>
          <w:kern w:val="0"/>
          <w:sz w:val="36"/>
          <w:szCs w:val="36"/>
          <w:highlight w:val="none"/>
        </w:rPr>
      </w:pPr>
    </w:p>
    <w:p w14:paraId="4D42A80C">
      <w:pPr>
        <w:spacing w:line="360" w:lineRule="auto"/>
        <w:ind w:left="120" w:firstLine="22"/>
        <w:jc w:val="center"/>
        <w:outlineLvl w:val="1"/>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135AB34">
      <w:pPr>
        <w:spacing w:line="360" w:lineRule="auto"/>
        <w:ind w:left="120" w:firstLine="22"/>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2F5B15F">
      <w:pPr>
        <w:spacing w:line="360" w:lineRule="auto"/>
        <w:ind w:left="120" w:firstLine="22"/>
        <w:jc w:val="center"/>
        <w:rPr>
          <w:rFonts w:hint="eastAsia" w:ascii="宋体" w:hAnsi="宋体" w:cs="宋体"/>
          <w:b/>
          <w:color w:val="auto"/>
          <w:kern w:val="0"/>
          <w:sz w:val="36"/>
          <w:szCs w:val="36"/>
          <w:highlight w:val="none"/>
        </w:rPr>
      </w:pPr>
    </w:p>
    <w:p w14:paraId="36A26E4B">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06DF27D">
      <w:pPr>
        <w:snapToGrid w:val="0"/>
        <w:spacing w:line="360" w:lineRule="auto"/>
        <w:ind w:left="120" w:firstLine="22"/>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4FC6493">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1AB39F6">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0DB750C">
      <w:pPr>
        <w:snapToGrid w:val="0"/>
        <w:spacing w:line="360" w:lineRule="auto"/>
        <w:ind w:left="120" w:firstLine="480" w:firstLineChars="200"/>
        <w:rPr>
          <w:rFonts w:hint="eastAsia" w:ascii="宋体" w:hAnsi="宋体" w:cs="宋体"/>
          <w:color w:val="auto"/>
          <w:sz w:val="24"/>
          <w:highlight w:val="none"/>
        </w:rPr>
      </w:pPr>
    </w:p>
    <w:p w14:paraId="5E262FAA">
      <w:pPr>
        <w:spacing w:line="360" w:lineRule="auto"/>
        <w:ind w:left="120" w:firstLine="480" w:firstLineChars="200"/>
        <w:rPr>
          <w:rFonts w:hint="eastAsia" w:ascii="宋体" w:hAnsi="宋体" w:cs="宋体"/>
          <w:color w:val="auto"/>
          <w:sz w:val="24"/>
          <w:highlight w:val="none"/>
        </w:rPr>
      </w:pPr>
    </w:p>
    <w:p w14:paraId="79FF7295">
      <w:pPr>
        <w:snapToGrid w:val="0"/>
        <w:spacing w:line="360" w:lineRule="auto"/>
        <w:ind w:left="120" w:right="480" w:firstLine="22"/>
        <w:jc w:val="center"/>
        <w:outlineLvl w:val="2"/>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14:paraId="57DBB890">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杭州市交通运输局、浙江省成套招标代理有限公司：</w:t>
      </w:r>
    </w:p>
    <w:p w14:paraId="23443EA9">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我方参与杭州市年度城市交通运行及公众出行特征动态评估报告项目【招标编号：CTZB-2025010029】政府采购活动，郑重承诺：</w:t>
      </w:r>
    </w:p>
    <w:p w14:paraId="0C24A4C7">
      <w:pPr>
        <w:snapToGrid w:val="0"/>
        <w:spacing w:line="360" w:lineRule="auto"/>
        <w:ind w:left="120"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4D20F6D">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39A6BE16">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CD724A3">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4A56877">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8A5829D">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0906B5E">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F73E70A">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C734812">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5DA0A16B">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65D7FA0">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BF623B1">
      <w:pPr>
        <w:snapToGrid w:val="0"/>
        <w:spacing w:line="360" w:lineRule="auto"/>
        <w:ind w:left="120"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CC44632">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0C5C09D">
      <w:pPr>
        <w:snapToGrid w:val="0"/>
        <w:spacing w:line="360" w:lineRule="auto"/>
        <w:ind w:left="120" w:right="480" w:firstLine="22"/>
        <w:jc w:val="center"/>
        <w:rPr>
          <w:rFonts w:hint="eastAsia" w:ascii="宋体" w:hAnsi="宋体" w:cs="宋体"/>
          <w:b/>
          <w:color w:val="auto"/>
          <w:kern w:val="0"/>
          <w:sz w:val="32"/>
          <w:szCs w:val="32"/>
          <w:highlight w:val="none"/>
        </w:rPr>
      </w:pPr>
    </w:p>
    <w:p w14:paraId="3D7AEF59">
      <w:pPr>
        <w:snapToGrid w:val="0"/>
        <w:spacing w:line="360" w:lineRule="auto"/>
        <w:ind w:left="120" w:right="480" w:firstLine="22"/>
        <w:jc w:val="center"/>
        <w:rPr>
          <w:rFonts w:hint="eastAsia" w:ascii="宋体" w:hAnsi="宋体" w:cs="宋体"/>
          <w:b/>
          <w:color w:val="auto"/>
          <w:kern w:val="0"/>
          <w:sz w:val="32"/>
          <w:szCs w:val="32"/>
          <w:highlight w:val="none"/>
        </w:rPr>
      </w:pPr>
    </w:p>
    <w:p w14:paraId="303CF889">
      <w:pPr>
        <w:snapToGrid w:val="0"/>
        <w:spacing w:line="360" w:lineRule="auto"/>
        <w:ind w:left="120" w:right="480" w:firstLine="22"/>
        <w:jc w:val="center"/>
        <w:rPr>
          <w:rFonts w:hint="eastAsia" w:ascii="宋体" w:hAnsi="宋体" w:cs="宋体"/>
          <w:b/>
          <w:color w:val="auto"/>
          <w:kern w:val="0"/>
          <w:sz w:val="32"/>
          <w:szCs w:val="32"/>
          <w:highlight w:val="none"/>
        </w:rPr>
      </w:pPr>
    </w:p>
    <w:p w14:paraId="2E175E7C">
      <w:pPr>
        <w:spacing w:line="360" w:lineRule="auto"/>
        <w:ind w:left="120" w:firstLine="22"/>
        <w:rPr>
          <w:rFonts w:hint="eastAsia" w:ascii="宋体" w:hAnsi="宋体" w:cs="宋体"/>
          <w:color w:val="auto"/>
          <w:highlight w:val="none"/>
        </w:rPr>
      </w:pPr>
    </w:p>
    <w:p w14:paraId="51909629">
      <w:pPr>
        <w:snapToGrid w:val="0"/>
        <w:spacing w:line="360" w:lineRule="auto"/>
        <w:ind w:left="120" w:right="480" w:firstLine="22"/>
        <w:jc w:val="center"/>
        <w:rPr>
          <w:rFonts w:hint="eastAsia" w:ascii="宋体" w:hAnsi="宋体" w:cs="宋体"/>
          <w:b/>
          <w:color w:val="auto"/>
          <w:kern w:val="0"/>
          <w:sz w:val="32"/>
          <w:szCs w:val="32"/>
          <w:highlight w:val="none"/>
        </w:rPr>
      </w:pPr>
    </w:p>
    <w:p w14:paraId="32DD77F0">
      <w:pPr>
        <w:snapToGrid w:val="0"/>
        <w:spacing w:line="360" w:lineRule="auto"/>
        <w:ind w:left="120" w:right="480" w:firstLine="22"/>
        <w:jc w:val="center"/>
        <w:rPr>
          <w:rFonts w:hint="eastAsia" w:ascii="宋体" w:hAnsi="宋体" w:cs="宋体"/>
          <w:b/>
          <w:color w:val="auto"/>
          <w:kern w:val="0"/>
          <w:sz w:val="32"/>
          <w:szCs w:val="32"/>
          <w:highlight w:val="none"/>
        </w:rPr>
      </w:pPr>
    </w:p>
    <w:p w14:paraId="754F123E">
      <w:pPr>
        <w:widowControl/>
        <w:spacing w:line="360" w:lineRule="auto"/>
        <w:ind w:left="120" w:firstLine="643" w:firstLineChars="200"/>
        <w:jc w:val="center"/>
        <w:rPr>
          <w:rFonts w:hint="eastAsia" w:ascii="宋体" w:hAnsi="宋体" w:cs="宋体"/>
          <w:b/>
          <w:color w:val="auto"/>
          <w:kern w:val="0"/>
          <w:sz w:val="32"/>
          <w:szCs w:val="32"/>
          <w:highlight w:val="none"/>
        </w:rPr>
      </w:pPr>
    </w:p>
    <w:p w14:paraId="757BCF7A">
      <w:pPr>
        <w:widowControl/>
        <w:spacing w:line="360" w:lineRule="auto"/>
        <w:ind w:left="120" w:firstLine="643" w:firstLineChars="200"/>
        <w:jc w:val="center"/>
        <w:outlineLvl w:val="2"/>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9D37E5F">
      <w:pPr>
        <w:widowControl/>
        <w:spacing w:line="360" w:lineRule="auto"/>
        <w:ind w:left="120" w:firstLine="2168" w:firstLineChars="9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w:t>
      </w:r>
    </w:p>
    <w:p w14:paraId="31A3D083">
      <w:pPr>
        <w:widowControl/>
        <w:spacing w:line="360" w:lineRule="auto"/>
        <w:ind w:left="120" w:firstLine="482" w:firstLineChars="200"/>
        <w:jc w:val="left"/>
        <w:rPr>
          <w:rFonts w:hint="eastAsia" w:ascii="宋体" w:hAnsi="宋体" w:cs="宋体"/>
          <w:b/>
          <w:color w:val="auto"/>
          <w:sz w:val="24"/>
          <w:highlight w:val="none"/>
        </w:rPr>
      </w:pPr>
    </w:p>
    <w:p w14:paraId="74830ECC">
      <w:pPr>
        <w:spacing w:line="360" w:lineRule="auto"/>
        <w:ind w:left="120" w:firstLine="22"/>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p>
    <w:p w14:paraId="62DBA6D0">
      <w:pPr>
        <w:spacing w:line="360" w:lineRule="auto"/>
        <w:ind w:left="120" w:firstLine="22"/>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F9B5966">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sz w:val="24"/>
          <w:highlight w:val="none"/>
        </w:rPr>
        <w:t>杭州市交通运输局、浙江省成套招标代理有限公司</w:t>
      </w:r>
      <w:r>
        <w:rPr>
          <w:rFonts w:hint="eastAsia" w:ascii="宋体" w:hAnsi="宋体" w:cs="宋体"/>
          <w:color w:val="auto"/>
          <w:kern w:val="0"/>
          <w:sz w:val="24"/>
          <w:highlight w:val="none"/>
          <w:lang w:val="zh-CN"/>
        </w:rPr>
        <w:t>：</w:t>
      </w:r>
    </w:p>
    <w:p w14:paraId="25C15DBF">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杭州市年度城市交通运行及公众出行特征动态评估报告项目【招标编号：CTZB-2025010029】</w:t>
      </w:r>
      <w:r>
        <w:rPr>
          <w:rFonts w:hint="eastAsia" w:ascii="宋体" w:hAnsi="宋体" w:cs="宋体"/>
          <w:color w:val="auto"/>
          <w:kern w:val="0"/>
          <w:sz w:val="24"/>
          <w:highlight w:val="none"/>
          <w:lang w:val="zh-CN"/>
        </w:rPr>
        <w:t>政府采购投标的一切事项，其法律后果由我方承担。</w:t>
      </w:r>
    </w:p>
    <w:p w14:paraId="06362B00">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71C64D5">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755244F">
      <w:pPr>
        <w:spacing w:line="360" w:lineRule="auto"/>
        <w:ind w:left="120" w:firstLine="22"/>
        <w:jc w:val="center"/>
        <w:rPr>
          <w:rFonts w:hint="eastAsia" w:ascii="宋体" w:hAnsi="宋体" w:cs="宋体"/>
          <w:b/>
          <w:color w:val="auto"/>
          <w:kern w:val="0"/>
          <w:sz w:val="32"/>
          <w:szCs w:val="32"/>
          <w:highlight w:val="none"/>
        </w:rPr>
      </w:pPr>
    </w:p>
    <w:p w14:paraId="285EB7E1">
      <w:pPr>
        <w:spacing w:line="360" w:lineRule="auto"/>
        <w:ind w:left="120" w:firstLine="22"/>
        <w:rPr>
          <w:rFonts w:hint="eastAsia" w:ascii="宋体" w:hAnsi="宋体" w:cs="宋体"/>
          <w:color w:val="auto"/>
          <w:highlight w:val="none"/>
        </w:rPr>
      </w:pPr>
    </w:p>
    <w:p w14:paraId="54C0E9A9">
      <w:pPr>
        <w:snapToGrid w:val="0"/>
        <w:spacing w:line="360" w:lineRule="auto"/>
        <w:ind w:left="120"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7D0D7B5">
      <w:pPr>
        <w:snapToGrid w:val="0"/>
        <w:spacing w:line="360" w:lineRule="auto"/>
        <w:ind w:left="120"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1EFF006">
      <w:pPr>
        <w:snapToGrid w:val="0"/>
        <w:spacing w:line="360" w:lineRule="auto"/>
        <w:ind w:left="120"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1CD81C01">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9B715BA">
      <w:pPr>
        <w:snapToGrid w:val="0"/>
        <w:spacing w:line="360" w:lineRule="auto"/>
        <w:ind w:left="120" w:right="480" w:firstLine="22"/>
        <w:jc w:val="center"/>
        <w:rPr>
          <w:rFonts w:hint="eastAsia" w:ascii="宋体" w:hAnsi="宋体" w:cs="宋体"/>
          <w:b/>
          <w:color w:val="auto"/>
          <w:kern w:val="0"/>
          <w:sz w:val="32"/>
          <w:szCs w:val="32"/>
          <w:highlight w:val="none"/>
        </w:rPr>
      </w:pPr>
    </w:p>
    <w:p w14:paraId="6FC93F5C">
      <w:pPr>
        <w:snapToGrid w:val="0"/>
        <w:spacing w:line="360" w:lineRule="auto"/>
        <w:ind w:left="120" w:right="480" w:firstLine="22"/>
        <w:jc w:val="center"/>
        <w:outlineLvl w:val="2"/>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三、落实政府采购政策需满足的资格要求</w:t>
      </w:r>
    </w:p>
    <w:p w14:paraId="16908E82">
      <w:pPr>
        <w:snapToGrid w:val="0"/>
        <w:spacing w:before="50" w:after="50" w:line="360" w:lineRule="auto"/>
        <w:ind w:left="120" w:firstLine="470" w:firstLineChars="196"/>
        <w:jc w:val="center"/>
        <w:rPr>
          <w:rFonts w:hint="eastAsia" w:ascii="宋体" w:hAnsi="宋体" w:cs="宋体"/>
          <w:color w:val="auto"/>
          <w:sz w:val="24"/>
          <w:highlight w:val="none"/>
        </w:rPr>
      </w:pPr>
      <w:r>
        <w:rPr>
          <w:rFonts w:hint="eastAsia" w:ascii="宋体" w:hAnsi="宋体" w:cs="宋体"/>
          <w:color w:val="auto"/>
          <w:sz w:val="24"/>
          <w:highlight w:val="none"/>
        </w:rPr>
        <w:t>服务全部由符合政策要求的中小企业承接，提供中小企业声明函。</w:t>
      </w:r>
    </w:p>
    <w:p w14:paraId="42B7BBDC">
      <w:pPr>
        <w:spacing w:line="360" w:lineRule="auto"/>
        <w:ind w:left="120" w:firstLine="2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DAECE53">
      <w:pPr>
        <w:spacing w:line="360" w:lineRule="auto"/>
        <w:ind w:left="120"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杭州市交通运输局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杭州市年度城市交通运行及公众出行特征动态评估报告项目</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62E131A">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（杭州市年度城市交通运行及公众出行特征动态评估报告</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b/>
          <w:bCs/>
          <w:color w:val="auto"/>
          <w:kern w:val="0"/>
          <w:sz w:val="24"/>
          <w:highlight w:val="none"/>
          <w:u w:val="single"/>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09FBB31">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（杭州市年度城市交通运行及公</w:t>
      </w:r>
      <w:bookmarkStart w:id="557" w:name="_GoBack"/>
      <w:bookmarkEnd w:id="557"/>
      <w:r>
        <w:rPr>
          <w:rFonts w:hint="eastAsia" w:ascii="宋体" w:hAnsi="宋体" w:cs="宋体"/>
          <w:color w:val="auto"/>
          <w:sz w:val="24"/>
          <w:highlight w:val="none"/>
          <w:u w:val="single"/>
        </w:rPr>
        <w:t>众出行特征动态评估报告），</w:t>
      </w:r>
      <w:r>
        <w:rPr>
          <w:rFonts w:hint="eastAsia" w:ascii="宋体" w:hAnsi="宋体" w:cs="宋体"/>
          <w:color w:val="auto"/>
          <w:sz w:val="24"/>
          <w:highlight w:val="none"/>
        </w:rPr>
        <w:t xml:space="preserve">属于 </w:t>
      </w:r>
      <w:r>
        <w:rPr>
          <w:rFonts w:hint="eastAsia" w:ascii="宋体" w:hAnsi="宋体" w:cs="宋体"/>
          <w:b/>
          <w:bCs/>
          <w:color w:val="auto"/>
          <w:kern w:val="0"/>
          <w:sz w:val="24"/>
          <w:highlight w:val="none"/>
          <w:u w:val="single"/>
        </w:rPr>
        <w:t>其他未列明行业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ADD0C1C">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1D2668B0">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58AEB99">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D7D273F">
      <w:pPr>
        <w:spacing w:line="360" w:lineRule="auto"/>
        <w:ind w:left="120" w:right="1760" w:firstLine="22"/>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65576D7B">
      <w:pPr>
        <w:spacing w:line="360" w:lineRule="auto"/>
        <w:ind w:left="120"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66100077">
      <w:pPr>
        <w:spacing w:line="360" w:lineRule="auto"/>
        <w:ind w:left="120"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EEECDF1">
      <w:pPr>
        <w:spacing w:line="360" w:lineRule="auto"/>
        <w:ind w:left="120" w:right="420" w:firstLine="22"/>
        <w:rPr>
          <w:rFonts w:hint="eastAsia" w:ascii="宋体" w:hAnsi="宋体" w:cs="宋体"/>
          <w:color w:val="auto"/>
          <w:sz w:val="24"/>
          <w:highlight w:val="none"/>
        </w:rPr>
      </w:pPr>
    </w:p>
    <w:p w14:paraId="7A5F61ED">
      <w:pPr>
        <w:spacing w:line="360" w:lineRule="auto"/>
        <w:ind w:left="120" w:right="420" w:firstLine="22"/>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383CB6F6">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0C43CA92">
      <w:pPr>
        <w:widowControl/>
        <w:spacing w:line="360" w:lineRule="auto"/>
        <w:ind w:left="120" w:firstLine="22"/>
        <w:jc w:val="center"/>
        <w:outlineLvl w:val="2"/>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FBEF64B">
      <w:pPr>
        <w:spacing w:line="360" w:lineRule="auto"/>
        <w:ind w:left="120" w:firstLine="22"/>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BFB5802">
      <w:pPr>
        <w:widowControl/>
        <w:adjustRightInd/>
        <w:spacing w:line="360" w:lineRule="auto"/>
        <w:jc w:val="left"/>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746C50D7">
      <w:pPr>
        <w:widowControl/>
        <w:adjustRightInd/>
        <w:spacing w:line="360" w:lineRule="auto"/>
        <w:ind w:left="120" w:firstLine="22"/>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A663BB7">
      <w:pPr>
        <w:spacing w:line="360" w:lineRule="auto"/>
        <w:ind w:left="120" w:firstLine="22"/>
        <w:jc w:val="center"/>
        <w:rPr>
          <w:rFonts w:hint="eastAsia" w:ascii="宋体" w:hAnsi="宋体" w:cs="宋体"/>
          <w:b/>
          <w:color w:val="auto"/>
          <w:kern w:val="0"/>
          <w:sz w:val="24"/>
          <w:highlight w:val="none"/>
        </w:rPr>
      </w:pPr>
    </w:p>
    <w:p w14:paraId="3F0DE62C">
      <w:pPr>
        <w:spacing w:line="360" w:lineRule="auto"/>
        <w:ind w:left="120" w:firstLine="22"/>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 xml:space="preserve">    目录</w:t>
      </w:r>
    </w:p>
    <w:p w14:paraId="13440838">
      <w:pPr>
        <w:snapToGrid w:val="0"/>
        <w:spacing w:line="360" w:lineRule="auto"/>
        <w:ind w:left="479" w:leftChars="228" w:firstLine="22"/>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3FC04D7">
      <w:pPr>
        <w:snapToGrid w:val="0"/>
        <w:spacing w:line="360" w:lineRule="auto"/>
        <w:ind w:left="479" w:leftChars="228" w:firstLine="22"/>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652844B">
      <w:pPr>
        <w:snapToGrid w:val="0"/>
        <w:spacing w:line="360" w:lineRule="auto"/>
        <w:ind w:left="479" w:leftChars="228" w:firstLine="22"/>
        <w:jc w:val="left"/>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06AA296F">
      <w:pPr>
        <w:snapToGrid w:val="0"/>
        <w:spacing w:line="360" w:lineRule="auto"/>
        <w:ind w:left="479" w:leftChars="228" w:firstLine="22"/>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9044849">
      <w:pPr>
        <w:snapToGrid w:val="0"/>
        <w:spacing w:line="360" w:lineRule="auto"/>
        <w:ind w:left="479" w:leftChars="228" w:firstLine="22"/>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45604DE">
      <w:pPr>
        <w:snapToGrid w:val="0"/>
        <w:spacing w:line="360" w:lineRule="auto"/>
        <w:ind w:left="120" w:firstLine="22"/>
        <w:jc w:val="center"/>
        <w:rPr>
          <w:rFonts w:hint="eastAsia" w:ascii="宋体" w:hAnsi="宋体" w:cs="宋体"/>
          <w:b/>
          <w:color w:val="auto"/>
          <w:kern w:val="0"/>
          <w:sz w:val="32"/>
          <w:szCs w:val="32"/>
          <w:highlight w:val="none"/>
          <w:lang w:val="zh-CN"/>
        </w:rPr>
      </w:pPr>
    </w:p>
    <w:p w14:paraId="33058527">
      <w:pPr>
        <w:snapToGrid w:val="0"/>
        <w:spacing w:line="360" w:lineRule="auto"/>
        <w:ind w:left="120" w:firstLine="22"/>
        <w:jc w:val="center"/>
        <w:rPr>
          <w:rFonts w:hint="eastAsia" w:ascii="宋体" w:hAnsi="宋体" w:cs="宋体"/>
          <w:b/>
          <w:color w:val="auto"/>
          <w:kern w:val="0"/>
          <w:sz w:val="32"/>
          <w:szCs w:val="32"/>
          <w:highlight w:val="none"/>
          <w:lang w:val="zh-CN"/>
        </w:rPr>
      </w:pPr>
    </w:p>
    <w:p w14:paraId="75D1EE19">
      <w:pPr>
        <w:snapToGrid w:val="0"/>
        <w:spacing w:line="360" w:lineRule="auto"/>
        <w:ind w:left="120" w:firstLine="22"/>
        <w:jc w:val="center"/>
        <w:rPr>
          <w:rFonts w:hint="eastAsia" w:ascii="宋体" w:hAnsi="宋体" w:cs="宋体"/>
          <w:b/>
          <w:color w:val="auto"/>
          <w:kern w:val="0"/>
          <w:sz w:val="32"/>
          <w:szCs w:val="32"/>
          <w:highlight w:val="none"/>
          <w:lang w:val="zh-CN"/>
        </w:rPr>
      </w:pPr>
    </w:p>
    <w:p w14:paraId="11A8397C">
      <w:pPr>
        <w:snapToGrid w:val="0"/>
        <w:spacing w:line="360" w:lineRule="auto"/>
        <w:ind w:left="120" w:firstLine="22"/>
        <w:jc w:val="center"/>
        <w:rPr>
          <w:rFonts w:hint="eastAsia" w:ascii="宋体" w:hAnsi="宋体" w:cs="宋体"/>
          <w:b/>
          <w:color w:val="auto"/>
          <w:kern w:val="0"/>
          <w:sz w:val="32"/>
          <w:szCs w:val="32"/>
          <w:highlight w:val="none"/>
          <w:lang w:val="zh-CN"/>
        </w:rPr>
      </w:pPr>
    </w:p>
    <w:p w14:paraId="7DB1FC05">
      <w:pPr>
        <w:snapToGrid w:val="0"/>
        <w:spacing w:line="360" w:lineRule="auto"/>
        <w:ind w:left="120" w:firstLine="22"/>
        <w:jc w:val="center"/>
        <w:rPr>
          <w:rFonts w:hint="eastAsia" w:ascii="宋体" w:hAnsi="宋体" w:cs="宋体"/>
          <w:b/>
          <w:color w:val="auto"/>
          <w:kern w:val="0"/>
          <w:sz w:val="32"/>
          <w:szCs w:val="32"/>
          <w:highlight w:val="none"/>
          <w:lang w:val="zh-CN"/>
        </w:rPr>
      </w:pPr>
    </w:p>
    <w:p w14:paraId="301E51F0">
      <w:pPr>
        <w:snapToGrid w:val="0"/>
        <w:spacing w:line="360" w:lineRule="auto"/>
        <w:ind w:left="120" w:firstLine="22"/>
        <w:jc w:val="center"/>
        <w:rPr>
          <w:rFonts w:hint="eastAsia" w:ascii="宋体" w:hAnsi="宋体" w:cs="宋体"/>
          <w:b/>
          <w:color w:val="auto"/>
          <w:kern w:val="0"/>
          <w:sz w:val="32"/>
          <w:szCs w:val="32"/>
          <w:highlight w:val="none"/>
          <w:lang w:val="zh-CN"/>
        </w:rPr>
      </w:pPr>
    </w:p>
    <w:p w14:paraId="163A436D">
      <w:pPr>
        <w:snapToGrid w:val="0"/>
        <w:spacing w:line="360" w:lineRule="auto"/>
        <w:ind w:left="120" w:firstLine="22"/>
        <w:jc w:val="center"/>
        <w:rPr>
          <w:rFonts w:hint="eastAsia" w:ascii="宋体" w:hAnsi="宋体" w:cs="宋体"/>
          <w:b/>
          <w:color w:val="auto"/>
          <w:kern w:val="0"/>
          <w:sz w:val="32"/>
          <w:szCs w:val="32"/>
          <w:highlight w:val="none"/>
          <w:lang w:val="zh-CN"/>
        </w:rPr>
      </w:pPr>
    </w:p>
    <w:p w14:paraId="54395AE7">
      <w:pPr>
        <w:snapToGrid w:val="0"/>
        <w:spacing w:line="360" w:lineRule="auto"/>
        <w:ind w:left="120" w:firstLine="22"/>
        <w:jc w:val="center"/>
        <w:rPr>
          <w:rFonts w:hint="eastAsia" w:ascii="宋体" w:hAnsi="宋体" w:cs="宋体"/>
          <w:b/>
          <w:color w:val="auto"/>
          <w:kern w:val="0"/>
          <w:sz w:val="32"/>
          <w:szCs w:val="32"/>
          <w:highlight w:val="none"/>
          <w:lang w:val="zh-CN"/>
        </w:rPr>
      </w:pPr>
    </w:p>
    <w:p w14:paraId="37613380">
      <w:pPr>
        <w:snapToGrid w:val="0"/>
        <w:spacing w:line="360" w:lineRule="auto"/>
        <w:ind w:left="120" w:firstLine="22"/>
        <w:jc w:val="center"/>
        <w:rPr>
          <w:rFonts w:hint="eastAsia" w:ascii="宋体" w:hAnsi="宋体" w:cs="宋体"/>
          <w:b/>
          <w:color w:val="auto"/>
          <w:kern w:val="0"/>
          <w:sz w:val="32"/>
          <w:szCs w:val="32"/>
          <w:highlight w:val="none"/>
          <w:lang w:val="zh-CN"/>
        </w:rPr>
      </w:pPr>
    </w:p>
    <w:p w14:paraId="27017856">
      <w:pPr>
        <w:snapToGrid w:val="0"/>
        <w:spacing w:line="360" w:lineRule="auto"/>
        <w:ind w:left="120" w:firstLine="22"/>
        <w:jc w:val="center"/>
        <w:rPr>
          <w:rFonts w:hint="eastAsia" w:ascii="宋体" w:hAnsi="宋体" w:cs="宋体"/>
          <w:b/>
          <w:color w:val="auto"/>
          <w:kern w:val="0"/>
          <w:sz w:val="32"/>
          <w:szCs w:val="32"/>
          <w:highlight w:val="none"/>
          <w:lang w:val="zh-CN"/>
        </w:rPr>
      </w:pPr>
    </w:p>
    <w:p w14:paraId="7E7255FA">
      <w:pPr>
        <w:snapToGrid w:val="0"/>
        <w:spacing w:line="360" w:lineRule="auto"/>
        <w:ind w:left="120" w:firstLine="22"/>
        <w:jc w:val="center"/>
        <w:rPr>
          <w:rFonts w:hint="eastAsia" w:ascii="宋体" w:hAnsi="宋体" w:cs="宋体"/>
          <w:b/>
          <w:color w:val="auto"/>
          <w:kern w:val="0"/>
          <w:sz w:val="32"/>
          <w:szCs w:val="32"/>
          <w:highlight w:val="none"/>
          <w:lang w:val="zh-CN"/>
        </w:rPr>
      </w:pPr>
    </w:p>
    <w:p w14:paraId="035956C1">
      <w:pPr>
        <w:spacing w:line="360" w:lineRule="auto"/>
        <w:ind w:left="120" w:firstLine="22"/>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561D234">
      <w:pPr>
        <w:snapToGrid w:val="0"/>
        <w:spacing w:line="360" w:lineRule="auto"/>
        <w:ind w:left="120" w:firstLine="22"/>
        <w:jc w:val="center"/>
        <w:outlineLvl w:val="2"/>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4C9CF2F">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杭州市交通运输局、浙江省成套招标代理有限公司：</w:t>
      </w:r>
    </w:p>
    <w:p w14:paraId="2D1E240E">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我方参加你方组织的杭州市年度城市交通运行及公众出行特征动态评估报告项目【招标编号：CTZB-2025010029】招标的有关活动，并对此项目进行投标。为此：</w:t>
      </w:r>
    </w:p>
    <w:p w14:paraId="7859E8BA">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C4217E4">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7E9B441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2590246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25D0B18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47" w:name="_Hlk101257010"/>
      <w:r>
        <w:rPr>
          <w:rFonts w:hint="eastAsia" w:ascii="宋体" w:hAnsi="宋体" w:cs="宋体"/>
          <w:color w:val="auto"/>
          <w:sz w:val="24"/>
          <w:highlight w:val="none"/>
        </w:rPr>
        <w:t>（如果有)</w:t>
      </w:r>
      <w:bookmarkEnd w:id="547"/>
      <w:r>
        <w:rPr>
          <w:rFonts w:hint="eastAsia" w:ascii="宋体" w:hAnsi="宋体" w:cs="宋体"/>
          <w:snapToGrid w:val="0"/>
          <w:color w:val="auto"/>
          <w:kern w:val="28"/>
          <w:sz w:val="24"/>
          <w:szCs w:val="20"/>
          <w:highlight w:val="none"/>
        </w:rPr>
        <w:t>；</w:t>
      </w:r>
    </w:p>
    <w:p w14:paraId="5237271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E2724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2478D27">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DFEC5D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1F8BD8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E8C61A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8BFE1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79EB25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E2B5C4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07F4ED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F0008B7">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F5B04F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1DA18D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6F8219C">
      <w:pPr>
        <w:numPr>
          <w:ilvl w:val="0"/>
          <w:numId w:val="1"/>
        </w:num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我方承诺除商务技术偏离表列出的偏离外，我方响应采购文件的全部要求。</w:t>
      </w:r>
    </w:p>
    <w:p w14:paraId="582E4346">
      <w:pPr>
        <w:numPr>
          <w:ilvl w:val="255"/>
          <w:numId w:val="0"/>
        </w:numPr>
        <w:snapToGrid w:val="0"/>
        <w:spacing w:line="360" w:lineRule="auto"/>
        <w:ind w:firstLine="22"/>
        <w:rPr>
          <w:rFonts w:hint="eastAsia" w:ascii="宋体" w:hAnsi="宋体" w:cs="宋体"/>
          <w:color w:val="auto"/>
          <w:sz w:val="24"/>
          <w:highlight w:val="none"/>
        </w:rPr>
      </w:pPr>
      <w:r>
        <w:rPr>
          <w:rFonts w:hint="eastAsia" w:ascii="宋体" w:hAnsi="宋体" w:cs="宋体"/>
          <w:color w:val="auto"/>
          <w:sz w:val="24"/>
          <w:highlight w:val="none"/>
        </w:rPr>
        <w:t>对投标文件中材料的真实性、合法性负责。</w:t>
      </w:r>
    </w:p>
    <w:p w14:paraId="01D7B9F6">
      <w:pPr>
        <w:snapToGrid w:val="0"/>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4C05CA9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538D90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0E9819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591D0DE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AAAB8B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27D6355">
      <w:pPr>
        <w:spacing w:line="360" w:lineRule="auto"/>
        <w:ind w:left="120"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F586A59">
      <w:pPr>
        <w:spacing w:line="360" w:lineRule="auto"/>
        <w:ind w:left="120" w:firstLine="22"/>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2DF4DA8F">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25716E1A">
      <w:pPr>
        <w:spacing w:line="360" w:lineRule="auto"/>
        <w:ind w:left="120" w:right="420" w:firstLine="22"/>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B99A03C">
      <w:pPr>
        <w:snapToGrid w:val="0"/>
        <w:spacing w:line="360" w:lineRule="auto"/>
        <w:ind w:left="120" w:firstLine="22"/>
        <w:jc w:val="center"/>
        <w:rPr>
          <w:rFonts w:hint="eastAsia" w:ascii="宋体" w:hAnsi="宋体" w:cs="宋体"/>
          <w:b/>
          <w:color w:val="auto"/>
          <w:kern w:val="0"/>
          <w:sz w:val="32"/>
          <w:szCs w:val="32"/>
          <w:highlight w:val="none"/>
        </w:rPr>
      </w:pPr>
    </w:p>
    <w:p w14:paraId="1FA4C789">
      <w:pPr>
        <w:snapToGrid w:val="0"/>
        <w:spacing w:line="360" w:lineRule="auto"/>
        <w:ind w:left="120" w:firstLine="22"/>
        <w:rPr>
          <w:rFonts w:hint="eastAsia" w:ascii="宋体" w:hAnsi="宋体" w:cs="宋体"/>
          <w:color w:val="auto"/>
          <w:sz w:val="24"/>
          <w:highlight w:val="none"/>
        </w:rPr>
      </w:pPr>
    </w:p>
    <w:p w14:paraId="0F878CEB">
      <w:pPr>
        <w:spacing w:line="360" w:lineRule="auto"/>
        <w:ind w:left="120" w:firstLine="22"/>
        <w:jc w:val="center"/>
        <w:rPr>
          <w:rFonts w:hint="eastAsia" w:ascii="宋体" w:hAnsi="宋体" w:cs="宋体"/>
          <w:b/>
          <w:color w:val="auto"/>
          <w:kern w:val="0"/>
          <w:sz w:val="32"/>
          <w:szCs w:val="32"/>
          <w:highlight w:val="none"/>
        </w:rPr>
      </w:pPr>
    </w:p>
    <w:p w14:paraId="5E35C50C">
      <w:pPr>
        <w:pStyle w:val="4"/>
        <w:rPr>
          <w:rFonts w:hint="eastAsia"/>
          <w:color w:val="auto"/>
          <w:highlight w:val="none"/>
          <w:lang w:val="en-US"/>
        </w:rPr>
      </w:pPr>
    </w:p>
    <w:p w14:paraId="4FD5479B">
      <w:pPr>
        <w:spacing w:line="360" w:lineRule="auto"/>
        <w:ind w:left="120" w:firstLine="22"/>
        <w:rPr>
          <w:color w:val="auto"/>
          <w:highlight w:val="none"/>
        </w:rPr>
      </w:pPr>
    </w:p>
    <w:p w14:paraId="4428F4E0">
      <w:pPr>
        <w:pStyle w:val="4"/>
        <w:rPr>
          <w:rFonts w:hint="eastAsia"/>
          <w:color w:val="auto"/>
          <w:highlight w:val="none"/>
          <w:lang w:val="en-US"/>
        </w:rPr>
      </w:pPr>
    </w:p>
    <w:p w14:paraId="724720F8">
      <w:pPr>
        <w:spacing w:line="360" w:lineRule="auto"/>
        <w:ind w:left="120" w:firstLine="22"/>
        <w:rPr>
          <w:color w:val="auto"/>
          <w:highlight w:val="none"/>
        </w:rPr>
      </w:pPr>
    </w:p>
    <w:p w14:paraId="2DC8C401">
      <w:pPr>
        <w:pStyle w:val="4"/>
        <w:rPr>
          <w:rFonts w:hint="eastAsia"/>
          <w:color w:val="auto"/>
          <w:highlight w:val="none"/>
          <w:lang w:val="en-US"/>
        </w:rPr>
      </w:pPr>
    </w:p>
    <w:p w14:paraId="0A142239">
      <w:pPr>
        <w:spacing w:line="360" w:lineRule="auto"/>
        <w:ind w:left="120" w:firstLine="22"/>
        <w:rPr>
          <w:color w:val="auto"/>
          <w:highlight w:val="none"/>
        </w:rPr>
      </w:pPr>
    </w:p>
    <w:p w14:paraId="41719F9A">
      <w:pPr>
        <w:pStyle w:val="4"/>
        <w:rPr>
          <w:rFonts w:hint="eastAsia"/>
          <w:color w:val="auto"/>
          <w:highlight w:val="none"/>
          <w:lang w:val="en-US"/>
        </w:rPr>
      </w:pPr>
    </w:p>
    <w:p w14:paraId="3F04A7F1">
      <w:pPr>
        <w:spacing w:line="360" w:lineRule="auto"/>
        <w:ind w:left="120" w:firstLine="22"/>
        <w:rPr>
          <w:color w:val="auto"/>
          <w:highlight w:val="none"/>
        </w:rPr>
      </w:pPr>
    </w:p>
    <w:p w14:paraId="30ABAFF4">
      <w:pPr>
        <w:pStyle w:val="4"/>
        <w:rPr>
          <w:rFonts w:hint="eastAsia"/>
          <w:color w:val="auto"/>
          <w:highlight w:val="none"/>
          <w:lang w:val="en-US"/>
        </w:rPr>
      </w:pPr>
    </w:p>
    <w:p w14:paraId="4589F098">
      <w:pPr>
        <w:spacing w:line="360" w:lineRule="auto"/>
        <w:ind w:left="120" w:firstLine="22"/>
        <w:rPr>
          <w:color w:val="auto"/>
          <w:highlight w:val="none"/>
        </w:rPr>
      </w:pPr>
    </w:p>
    <w:p w14:paraId="57DFBF99">
      <w:pPr>
        <w:pStyle w:val="4"/>
        <w:rPr>
          <w:rFonts w:hint="eastAsia"/>
          <w:color w:val="auto"/>
          <w:highlight w:val="none"/>
          <w:lang w:val="en-US"/>
        </w:rPr>
      </w:pPr>
    </w:p>
    <w:p w14:paraId="3DC63C41">
      <w:pPr>
        <w:spacing w:line="360" w:lineRule="auto"/>
        <w:ind w:left="120" w:firstLine="22"/>
        <w:rPr>
          <w:color w:val="auto"/>
          <w:highlight w:val="none"/>
        </w:rPr>
      </w:pPr>
    </w:p>
    <w:p w14:paraId="79026420">
      <w:pPr>
        <w:pStyle w:val="4"/>
        <w:rPr>
          <w:rFonts w:hint="eastAsia"/>
          <w:color w:val="auto"/>
          <w:highlight w:val="none"/>
          <w:lang w:val="en-US"/>
        </w:rPr>
      </w:pPr>
    </w:p>
    <w:p w14:paraId="6BC809A5">
      <w:pPr>
        <w:spacing w:line="360" w:lineRule="auto"/>
        <w:ind w:left="120" w:firstLine="22"/>
        <w:jc w:val="center"/>
        <w:rPr>
          <w:rFonts w:hint="eastAsia" w:ascii="宋体" w:hAnsi="宋体" w:cs="宋体"/>
          <w:b/>
          <w:color w:val="auto"/>
          <w:kern w:val="0"/>
          <w:sz w:val="32"/>
          <w:szCs w:val="32"/>
          <w:highlight w:val="none"/>
        </w:rPr>
      </w:pPr>
    </w:p>
    <w:p w14:paraId="7427000A">
      <w:pPr>
        <w:spacing w:line="360" w:lineRule="auto"/>
        <w:ind w:left="120" w:firstLine="22"/>
        <w:jc w:val="center"/>
        <w:rPr>
          <w:rFonts w:hint="eastAsia" w:ascii="宋体" w:hAnsi="宋体" w:cs="宋体"/>
          <w:b/>
          <w:color w:val="auto"/>
          <w:kern w:val="0"/>
          <w:sz w:val="32"/>
          <w:szCs w:val="32"/>
          <w:highlight w:val="none"/>
        </w:rPr>
      </w:pPr>
    </w:p>
    <w:p w14:paraId="17397EA4">
      <w:pPr>
        <w:spacing w:line="360" w:lineRule="auto"/>
        <w:ind w:left="120" w:firstLine="22"/>
        <w:jc w:val="center"/>
        <w:rPr>
          <w:rFonts w:hint="eastAsia" w:ascii="宋体" w:hAnsi="宋体" w:cs="宋体"/>
          <w:b/>
          <w:color w:val="auto"/>
          <w:kern w:val="0"/>
          <w:sz w:val="32"/>
          <w:szCs w:val="32"/>
          <w:highlight w:val="none"/>
        </w:rPr>
      </w:pPr>
    </w:p>
    <w:p w14:paraId="13BC0890">
      <w:pPr>
        <w:spacing w:line="360" w:lineRule="auto"/>
        <w:ind w:left="120" w:firstLine="22"/>
        <w:jc w:val="center"/>
        <w:rPr>
          <w:rFonts w:hint="eastAsia" w:ascii="宋体" w:hAnsi="宋体" w:cs="宋体"/>
          <w:b/>
          <w:color w:val="auto"/>
          <w:kern w:val="0"/>
          <w:sz w:val="32"/>
          <w:szCs w:val="32"/>
          <w:highlight w:val="none"/>
        </w:rPr>
      </w:pPr>
    </w:p>
    <w:p w14:paraId="2FA12B85">
      <w:pPr>
        <w:spacing w:line="360" w:lineRule="auto"/>
        <w:ind w:left="120" w:firstLine="22"/>
        <w:jc w:val="center"/>
        <w:rPr>
          <w:rFonts w:hint="eastAsia" w:ascii="宋体" w:hAnsi="宋体" w:cs="宋体"/>
          <w:b/>
          <w:color w:val="auto"/>
          <w:kern w:val="0"/>
          <w:sz w:val="32"/>
          <w:szCs w:val="32"/>
          <w:highlight w:val="none"/>
        </w:rPr>
      </w:pPr>
    </w:p>
    <w:p w14:paraId="47B3A0B5">
      <w:pPr>
        <w:spacing w:line="360" w:lineRule="auto"/>
        <w:ind w:left="120" w:firstLine="22"/>
        <w:jc w:val="center"/>
        <w:outlineLvl w:val="2"/>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1291EFD">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196A495">
      <w:pPr>
        <w:snapToGrid w:val="0"/>
        <w:spacing w:line="360" w:lineRule="auto"/>
        <w:ind w:left="0" w:firstLine="0" w:firstLineChars="0"/>
        <w:jc w:val="center"/>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7B34A558">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sz w:val="24"/>
          <w:highlight w:val="none"/>
        </w:rPr>
        <w:t>杭州市交通运输局、浙江省成套招标代理有限公司</w:t>
      </w:r>
      <w:r>
        <w:rPr>
          <w:rFonts w:hint="eastAsia" w:ascii="宋体" w:hAnsi="宋体" w:cs="宋体"/>
          <w:color w:val="auto"/>
          <w:kern w:val="0"/>
          <w:sz w:val="24"/>
          <w:highlight w:val="none"/>
          <w:lang w:val="zh-CN"/>
        </w:rPr>
        <w:t>：</w:t>
      </w:r>
    </w:p>
    <w:p w14:paraId="2DB80A2B">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杭州市年度城市交通运行及公众出行特征动态评估报告项目【招标编号：CTZB-2025010029】</w:t>
      </w:r>
      <w:r>
        <w:rPr>
          <w:rFonts w:hint="eastAsia" w:ascii="宋体" w:hAnsi="宋体" w:cs="宋体"/>
          <w:color w:val="auto"/>
          <w:kern w:val="0"/>
          <w:sz w:val="24"/>
          <w:highlight w:val="none"/>
          <w:lang w:val="zh-CN"/>
        </w:rPr>
        <w:t>政府采购投标的一切事项，其法律后果由我方承担。</w:t>
      </w:r>
    </w:p>
    <w:p w14:paraId="086AEE5D">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94717FE">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7701337">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19DD156">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E74BE76">
      <w:pPr>
        <w:snapToGrid w:val="0"/>
        <w:spacing w:line="360" w:lineRule="auto"/>
        <w:ind w:left="120" w:firstLine="22"/>
        <w:rPr>
          <w:rFonts w:hint="eastAsia" w:ascii="宋体" w:hAnsi="宋体" w:cs="宋体"/>
          <w:color w:val="auto"/>
          <w:sz w:val="24"/>
          <w:highlight w:val="none"/>
        </w:rPr>
      </w:pPr>
    </w:p>
    <w:p w14:paraId="6FBB9632">
      <w:pPr>
        <w:spacing w:line="360" w:lineRule="auto"/>
        <w:ind w:left="120" w:firstLine="22"/>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A7DFA7F">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sz w:val="24"/>
          <w:highlight w:val="none"/>
        </w:rPr>
        <w:t>杭州市交通运输局、浙江省成套招标代理有限公司</w:t>
      </w:r>
      <w:r>
        <w:rPr>
          <w:rFonts w:hint="eastAsia" w:ascii="宋体" w:hAnsi="宋体" w:cs="宋体"/>
          <w:color w:val="auto"/>
          <w:kern w:val="0"/>
          <w:sz w:val="24"/>
          <w:highlight w:val="none"/>
          <w:lang w:val="zh-CN"/>
        </w:rPr>
        <w:t>：</w:t>
      </w:r>
    </w:p>
    <w:p w14:paraId="1DFF9735">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杭州市年度城市交通运行及公众出行特征动态评估报告项目【招标编号：CTZB-2025010029】</w:t>
      </w:r>
      <w:r>
        <w:rPr>
          <w:rFonts w:hint="eastAsia" w:ascii="宋体" w:hAnsi="宋体" w:cs="宋体"/>
          <w:color w:val="auto"/>
          <w:kern w:val="0"/>
          <w:sz w:val="24"/>
          <w:highlight w:val="none"/>
          <w:lang w:val="zh-CN"/>
        </w:rPr>
        <w:t>政府采购投标的一切事项，其法律后果由我方承担。</w:t>
      </w:r>
    </w:p>
    <w:p w14:paraId="71588127">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B5F9825">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D5CC1B2">
      <w:pPr>
        <w:spacing w:line="360" w:lineRule="auto"/>
        <w:ind w:left="120" w:firstLine="22"/>
        <w:jc w:val="center"/>
        <w:rPr>
          <w:rFonts w:hint="eastAsia" w:ascii="宋体" w:hAnsi="宋体" w:cs="宋体"/>
          <w:b/>
          <w:color w:val="auto"/>
          <w:kern w:val="0"/>
          <w:sz w:val="32"/>
          <w:szCs w:val="32"/>
          <w:highlight w:val="none"/>
        </w:rPr>
      </w:pPr>
    </w:p>
    <w:p w14:paraId="7A7FA60C">
      <w:pPr>
        <w:spacing w:line="360" w:lineRule="auto"/>
        <w:ind w:left="120" w:firstLine="22"/>
        <w:rPr>
          <w:rFonts w:hint="eastAsia" w:ascii="宋体" w:hAnsi="宋体" w:cs="宋体"/>
          <w:color w:val="auto"/>
          <w:highlight w:val="none"/>
        </w:rPr>
      </w:pPr>
    </w:p>
    <w:p w14:paraId="0E121924">
      <w:pPr>
        <w:snapToGrid w:val="0"/>
        <w:spacing w:line="360" w:lineRule="auto"/>
        <w:ind w:left="120"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75B3A71">
      <w:pPr>
        <w:snapToGrid w:val="0"/>
        <w:spacing w:line="360" w:lineRule="auto"/>
        <w:ind w:left="120"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1DDDC04">
      <w:pPr>
        <w:snapToGrid w:val="0"/>
        <w:spacing w:line="360" w:lineRule="auto"/>
        <w:ind w:left="120"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274E4C90">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1DBF241">
      <w:pPr>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DE95518">
      <w:pPr>
        <w:pStyle w:val="148"/>
        <w:spacing w:line="360" w:lineRule="auto"/>
        <w:ind w:firstLine="22"/>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77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B725D61">
            <w:pPr>
              <w:pStyle w:val="148"/>
              <w:adjustRightInd w:val="0"/>
              <w:spacing w:line="360" w:lineRule="auto"/>
              <w:ind w:firstLine="22"/>
              <w:rPr>
                <w:rFonts w:hint="eastAsia" w:hAnsi="宋体" w:cs="宋体"/>
                <w:bCs/>
                <w:color w:val="auto"/>
                <w:sz w:val="24"/>
                <w:highlight w:val="none"/>
              </w:rPr>
            </w:pPr>
            <w:r>
              <w:rPr>
                <w:rFonts w:hint="eastAsia" w:hAnsi="宋体" w:cs="宋体"/>
                <w:bCs/>
                <w:color w:val="auto"/>
                <w:sz w:val="24"/>
                <w:highlight w:val="none"/>
              </w:rPr>
              <w:t>正面：                                 反面：</w:t>
            </w:r>
          </w:p>
          <w:p w14:paraId="5D750CC1">
            <w:pPr>
              <w:pStyle w:val="148"/>
              <w:adjustRightInd w:val="0"/>
              <w:spacing w:line="360" w:lineRule="auto"/>
              <w:ind w:firstLine="22"/>
              <w:rPr>
                <w:rFonts w:hint="eastAsia" w:hAnsi="宋体" w:cs="宋体"/>
                <w:bCs/>
                <w:color w:val="auto"/>
                <w:sz w:val="24"/>
                <w:highlight w:val="none"/>
              </w:rPr>
            </w:pPr>
          </w:p>
        </w:tc>
      </w:tr>
    </w:tbl>
    <w:p w14:paraId="70520647">
      <w:pPr>
        <w:snapToGrid w:val="0"/>
        <w:spacing w:line="360" w:lineRule="auto"/>
        <w:ind w:left="120" w:firstLine="22"/>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5C7C350">
      <w:pPr>
        <w:snapToGrid w:val="0"/>
        <w:spacing w:line="360" w:lineRule="auto"/>
        <w:ind w:left="120" w:firstLine="22"/>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B9C8EBC">
      <w:pPr>
        <w:spacing w:line="360" w:lineRule="auto"/>
        <w:ind w:left="120" w:firstLine="22"/>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1C7E64">
      <w:pPr>
        <w:spacing w:line="360" w:lineRule="auto"/>
        <w:ind w:left="120" w:firstLine="22"/>
        <w:jc w:val="center"/>
        <w:rPr>
          <w:rFonts w:hint="eastAsia" w:ascii="宋体" w:hAnsi="宋体" w:cs="宋体"/>
          <w:b/>
          <w:color w:val="auto"/>
          <w:kern w:val="0"/>
          <w:sz w:val="32"/>
          <w:szCs w:val="32"/>
          <w:highlight w:val="none"/>
        </w:rPr>
      </w:pPr>
    </w:p>
    <w:p w14:paraId="50298FBA">
      <w:pPr>
        <w:spacing w:line="360" w:lineRule="auto"/>
        <w:ind w:left="120" w:firstLine="22"/>
        <w:jc w:val="center"/>
        <w:rPr>
          <w:rFonts w:hint="eastAsia" w:ascii="宋体" w:hAnsi="宋体" w:cs="宋体"/>
          <w:b/>
          <w:color w:val="auto"/>
          <w:kern w:val="0"/>
          <w:sz w:val="32"/>
          <w:szCs w:val="32"/>
          <w:highlight w:val="none"/>
        </w:rPr>
      </w:pPr>
    </w:p>
    <w:p w14:paraId="657BC4C2">
      <w:pPr>
        <w:spacing w:line="360" w:lineRule="auto"/>
        <w:ind w:left="120" w:firstLine="22"/>
        <w:jc w:val="center"/>
        <w:rPr>
          <w:rFonts w:hint="eastAsia" w:ascii="宋体" w:hAnsi="宋体" w:cs="宋体"/>
          <w:b/>
          <w:color w:val="auto"/>
          <w:kern w:val="0"/>
          <w:sz w:val="32"/>
          <w:szCs w:val="32"/>
          <w:highlight w:val="none"/>
        </w:rPr>
      </w:pPr>
    </w:p>
    <w:p w14:paraId="58383FC9">
      <w:pPr>
        <w:spacing w:line="360" w:lineRule="auto"/>
        <w:ind w:left="120" w:firstLine="22"/>
        <w:jc w:val="center"/>
        <w:rPr>
          <w:rFonts w:hint="eastAsia" w:ascii="宋体" w:hAnsi="宋体" w:cs="宋体"/>
          <w:b/>
          <w:color w:val="auto"/>
          <w:kern w:val="0"/>
          <w:sz w:val="32"/>
          <w:szCs w:val="32"/>
          <w:highlight w:val="none"/>
        </w:rPr>
      </w:pPr>
    </w:p>
    <w:p w14:paraId="00F3DEC9">
      <w:pPr>
        <w:spacing w:line="360" w:lineRule="auto"/>
        <w:ind w:left="120" w:firstLine="22"/>
        <w:jc w:val="center"/>
        <w:rPr>
          <w:rFonts w:hint="eastAsia" w:ascii="宋体" w:hAnsi="宋体" w:cs="宋体"/>
          <w:b/>
          <w:color w:val="auto"/>
          <w:kern w:val="0"/>
          <w:sz w:val="32"/>
          <w:szCs w:val="32"/>
          <w:highlight w:val="none"/>
        </w:rPr>
      </w:pPr>
    </w:p>
    <w:p w14:paraId="26B6738D">
      <w:pPr>
        <w:spacing w:line="360" w:lineRule="auto"/>
        <w:ind w:left="120" w:firstLine="22"/>
        <w:jc w:val="center"/>
        <w:rPr>
          <w:rFonts w:hint="eastAsia" w:ascii="宋体" w:hAnsi="宋体" w:cs="宋体"/>
          <w:b/>
          <w:color w:val="auto"/>
          <w:kern w:val="0"/>
          <w:sz w:val="32"/>
          <w:szCs w:val="32"/>
          <w:highlight w:val="none"/>
        </w:rPr>
      </w:pPr>
    </w:p>
    <w:p w14:paraId="407BBA58">
      <w:pPr>
        <w:spacing w:line="360" w:lineRule="auto"/>
        <w:ind w:left="120" w:firstLine="22"/>
        <w:jc w:val="center"/>
        <w:rPr>
          <w:rFonts w:hint="eastAsia" w:ascii="宋体" w:hAnsi="宋体" w:cs="宋体"/>
          <w:b/>
          <w:color w:val="auto"/>
          <w:kern w:val="0"/>
          <w:sz w:val="32"/>
          <w:szCs w:val="32"/>
          <w:highlight w:val="none"/>
        </w:rPr>
      </w:pPr>
    </w:p>
    <w:p w14:paraId="65A8AA4E">
      <w:pPr>
        <w:spacing w:line="360" w:lineRule="auto"/>
        <w:ind w:left="120" w:firstLine="22"/>
        <w:jc w:val="center"/>
        <w:rPr>
          <w:rFonts w:hint="eastAsia" w:ascii="宋体" w:hAnsi="宋体" w:cs="宋体"/>
          <w:b/>
          <w:color w:val="auto"/>
          <w:kern w:val="0"/>
          <w:sz w:val="32"/>
          <w:szCs w:val="32"/>
          <w:highlight w:val="none"/>
        </w:rPr>
      </w:pPr>
    </w:p>
    <w:p w14:paraId="129A5CE3">
      <w:pPr>
        <w:spacing w:line="360" w:lineRule="auto"/>
        <w:ind w:left="120" w:firstLine="22"/>
        <w:jc w:val="center"/>
        <w:rPr>
          <w:rFonts w:hint="eastAsia" w:ascii="宋体" w:hAnsi="宋体" w:cs="宋体"/>
          <w:b/>
          <w:color w:val="auto"/>
          <w:kern w:val="0"/>
          <w:sz w:val="32"/>
          <w:szCs w:val="32"/>
          <w:highlight w:val="none"/>
        </w:rPr>
      </w:pPr>
    </w:p>
    <w:p w14:paraId="46EA2F2E">
      <w:pPr>
        <w:spacing w:line="360" w:lineRule="auto"/>
        <w:ind w:left="120" w:firstLine="22"/>
        <w:jc w:val="center"/>
        <w:rPr>
          <w:rFonts w:hint="eastAsia" w:ascii="宋体" w:hAnsi="宋体" w:cs="宋体"/>
          <w:b/>
          <w:color w:val="auto"/>
          <w:kern w:val="0"/>
          <w:sz w:val="32"/>
          <w:szCs w:val="32"/>
          <w:highlight w:val="none"/>
        </w:rPr>
      </w:pPr>
    </w:p>
    <w:p w14:paraId="34EB2635">
      <w:pPr>
        <w:snapToGrid w:val="0"/>
        <w:spacing w:line="360" w:lineRule="auto"/>
        <w:ind w:left="120" w:right="480" w:firstLine="22"/>
        <w:rPr>
          <w:rFonts w:hint="eastAsia"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344BDB3">
      <w:pPr>
        <w:snapToGrid w:val="0"/>
        <w:spacing w:line="360" w:lineRule="auto"/>
        <w:ind w:left="120" w:firstLine="22"/>
        <w:jc w:val="center"/>
        <w:outlineLvl w:val="2"/>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F2E35B8">
      <w:pPr>
        <w:widowControl/>
        <w:spacing w:line="360" w:lineRule="auto"/>
        <w:ind w:left="120"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ACFCECE">
      <w:pPr>
        <w:snapToGrid w:val="0"/>
        <w:spacing w:line="360" w:lineRule="auto"/>
        <w:ind w:left="120" w:firstLine="22"/>
        <w:rPr>
          <w:rFonts w:hint="eastAsia" w:ascii="宋体" w:hAnsi="宋体" w:cs="宋体"/>
          <w:color w:val="auto"/>
          <w:kern w:val="0"/>
          <w:sz w:val="24"/>
          <w:highlight w:val="none"/>
        </w:rPr>
      </w:pPr>
    </w:p>
    <w:p w14:paraId="013D8217">
      <w:pPr>
        <w:spacing w:line="360" w:lineRule="auto"/>
        <w:ind w:left="120" w:firstLine="22"/>
        <w:jc w:val="center"/>
        <w:outlineLvl w:val="2"/>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82A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46" w:type="dxa"/>
            <w:vAlign w:val="center"/>
          </w:tcPr>
          <w:p w14:paraId="2FB46A3F">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75CCE14">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E5A966A">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4494B0E">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3AD13D5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3E58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0957835">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113165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F209C7A">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11FCA91">
            <w:pPr>
              <w:rPr>
                <w:rFonts w:hint="eastAsia" w:ascii="宋体" w:hAnsi="宋体" w:cs="宋体"/>
                <w:color w:val="auto"/>
                <w:sz w:val="24"/>
                <w:highlight w:val="none"/>
              </w:rPr>
            </w:pPr>
          </w:p>
          <w:p w14:paraId="0BAAD2C7">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3364D551">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AD3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AB5BB75">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08E5617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2D872D5">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4BA5176">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4C4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F5AFFE0">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7117145B">
            <w:pPr>
              <w:snapToGrid w:val="0"/>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1D74DB0D">
            <w:pPr>
              <w:spacing w:line="360" w:lineRule="auto"/>
              <w:rPr>
                <w:rFonts w:hint="eastAsia" w:ascii="宋体" w:hAnsi="宋体" w:cs="宋体"/>
                <w:color w:val="auto"/>
                <w:sz w:val="24"/>
                <w:highlight w:val="none"/>
              </w:rPr>
            </w:pPr>
          </w:p>
        </w:tc>
        <w:tc>
          <w:tcPr>
            <w:tcW w:w="2551" w:type="dxa"/>
            <w:vAlign w:val="center"/>
          </w:tcPr>
          <w:p w14:paraId="27043C18">
            <w:pPr>
              <w:rPr>
                <w:rFonts w:hint="eastAsia"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68822B4D">
            <w:pPr>
              <w:rPr>
                <w:rFonts w:hint="eastAsia" w:ascii="宋体" w:hAnsi="宋体" w:cs="宋体"/>
                <w:color w:val="auto"/>
                <w:highlight w:val="none"/>
              </w:rPr>
            </w:pPr>
            <w:r>
              <w:rPr>
                <w:rFonts w:hint="eastAsia" w:ascii="宋体" w:hAnsi="宋体" w:cs="宋体"/>
                <w:color w:val="auto"/>
                <w:sz w:val="24"/>
                <w:highlight w:val="none"/>
              </w:rPr>
              <w:t>/</w:t>
            </w:r>
          </w:p>
        </w:tc>
      </w:tr>
      <w:tr w14:paraId="17D5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F47F040">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15D8A849">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33BCB49D">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969B86F">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C95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1B0D6E5">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991" w:type="dxa"/>
          </w:tcPr>
          <w:p w14:paraId="28311251">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7D988277">
            <w:pPr>
              <w:rPr>
                <w:rFonts w:hint="eastAsia" w:ascii="宋体" w:hAnsi="宋体" w:cs="宋体"/>
                <w:color w:val="auto"/>
                <w:sz w:val="24"/>
                <w:highlight w:val="none"/>
              </w:rPr>
            </w:pPr>
          </w:p>
        </w:tc>
        <w:tc>
          <w:tcPr>
            <w:tcW w:w="1418" w:type="dxa"/>
          </w:tcPr>
          <w:p w14:paraId="5ED215A6">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12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DD2B2B1">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271E1562">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4827055A">
            <w:pPr>
              <w:rPr>
                <w:rFonts w:hint="eastAsia" w:ascii="宋体" w:hAnsi="宋体" w:cs="宋体"/>
                <w:color w:val="auto"/>
                <w:sz w:val="24"/>
                <w:highlight w:val="none"/>
              </w:rPr>
            </w:pPr>
          </w:p>
        </w:tc>
        <w:tc>
          <w:tcPr>
            <w:tcW w:w="1418" w:type="dxa"/>
          </w:tcPr>
          <w:p w14:paraId="1C0522BE">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EAD437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1800FC4D">
      <w:pPr>
        <w:spacing w:line="360" w:lineRule="auto"/>
        <w:ind w:right="420"/>
        <w:rPr>
          <w:rFonts w:hint="eastAsia"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78DBDCED">
      <w:pPr>
        <w:spacing w:line="360" w:lineRule="auto"/>
        <w:ind w:left="120" w:firstLine="22"/>
        <w:jc w:val="center"/>
        <w:rPr>
          <w:rFonts w:hint="eastAsia" w:ascii="宋体" w:hAnsi="宋体" w:cs="宋体"/>
          <w:b/>
          <w:color w:val="auto"/>
          <w:kern w:val="0"/>
          <w:sz w:val="32"/>
          <w:szCs w:val="32"/>
          <w:highlight w:val="none"/>
        </w:rPr>
      </w:pPr>
    </w:p>
    <w:p w14:paraId="25B770D4">
      <w:pPr>
        <w:spacing w:line="360" w:lineRule="auto"/>
        <w:ind w:left="120" w:firstLine="22"/>
        <w:jc w:val="center"/>
        <w:rPr>
          <w:rFonts w:hint="eastAsia" w:ascii="宋体" w:hAnsi="宋体" w:cs="宋体"/>
          <w:b/>
          <w:color w:val="auto"/>
          <w:kern w:val="0"/>
          <w:sz w:val="32"/>
          <w:szCs w:val="32"/>
          <w:highlight w:val="none"/>
        </w:rPr>
      </w:pPr>
    </w:p>
    <w:p w14:paraId="09702AE5">
      <w:pPr>
        <w:spacing w:line="360" w:lineRule="auto"/>
        <w:ind w:left="120" w:firstLine="22"/>
        <w:jc w:val="center"/>
        <w:rPr>
          <w:rFonts w:hint="eastAsia" w:ascii="宋体" w:hAnsi="宋体" w:cs="宋体"/>
          <w:b/>
          <w:color w:val="auto"/>
          <w:kern w:val="0"/>
          <w:sz w:val="32"/>
          <w:szCs w:val="32"/>
          <w:highlight w:val="none"/>
        </w:rPr>
      </w:pPr>
    </w:p>
    <w:p w14:paraId="2F2A374F">
      <w:pPr>
        <w:spacing w:line="360" w:lineRule="auto"/>
        <w:ind w:left="120" w:firstLine="22"/>
        <w:jc w:val="center"/>
        <w:rPr>
          <w:rFonts w:hint="eastAsia" w:ascii="宋体" w:hAnsi="宋体" w:cs="宋体"/>
          <w:b/>
          <w:color w:val="auto"/>
          <w:kern w:val="0"/>
          <w:sz w:val="32"/>
          <w:szCs w:val="32"/>
          <w:highlight w:val="none"/>
        </w:rPr>
      </w:pPr>
    </w:p>
    <w:p w14:paraId="01989A4F">
      <w:pPr>
        <w:spacing w:line="360" w:lineRule="auto"/>
        <w:ind w:left="120" w:firstLine="22"/>
        <w:jc w:val="center"/>
        <w:rPr>
          <w:rFonts w:hint="eastAsia" w:ascii="宋体" w:hAnsi="宋体" w:cs="宋体"/>
          <w:b/>
          <w:color w:val="auto"/>
          <w:kern w:val="0"/>
          <w:sz w:val="32"/>
          <w:szCs w:val="32"/>
          <w:highlight w:val="none"/>
        </w:rPr>
      </w:pPr>
    </w:p>
    <w:p w14:paraId="56647C8C">
      <w:pPr>
        <w:spacing w:line="360" w:lineRule="auto"/>
        <w:ind w:left="120" w:firstLine="22"/>
        <w:jc w:val="center"/>
        <w:rPr>
          <w:rFonts w:hint="eastAsia" w:ascii="宋体" w:hAnsi="宋体" w:cs="宋体"/>
          <w:b/>
          <w:color w:val="auto"/>
          <w:kern w:val="0"/>
          <w:sz w:val="32"/>
          <w:szCs w:val="32"/>
          <w:highlight w:val="none"/>
        </w:rPr>
      </w:pPr>
    </w:p>
    <w:p w14:paraId="680AFB5F">
      <w:pPr>
        <w:spacing w:line="360" w:lineRule="auto"/>
        <w:ind w:left="120" w:firstLine="22"/>
        <w:jc w:val="center"/>
        <w:outlineLvl w:val="2"/>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85A6220">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D71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E732DB6">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73AD488D">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59C53438">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4386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A6C9D65">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33DF297F">
            <w:pPr>
              <w:snapToGrid w:val="0"/>
              <w:spacing w:line="360" w:lineRule="auto"/>
              <w:jc w:val="center"/>
              <w:rPr>
                <w:rFonts w:hint="eastAsia" w:ascii="宋体" w:hAnsi="宋体" w:cs="宋体"/>
                <w:bCs/>
                <w:color w:val="auto"/>
                <w:sz w:val="24"/>
                <w:highlight w:val="none"/>
              </w:rPr>
            </w:pPr>
            <w:r>
              <w:rPr>
                <w:rFonts w:ascii="宋体" w:hAnsi="宋体"/>
                <w:snapToGrid w:val="0"/>
                <w:color w:val="auto"/>
                <w:kern w:val="0"/>
                <w:sz w:val="24"/>
                <w:highlight w:val="none"/>
              </w:rPr>
              <w:t>对项目</w:t>
            </w:r>
            <w:r>
              <w:rPr>
                <w:rFonts w:hint="eastAsia" w:ascii="宋体" w:hAnsi="宋体"/>
                <w:snapToGrid w:val="0"/>
                <w:color w:val="auto"/>
                <w:kern w:val="0"/>
                <w:sz w:val="24"/>
                <w:highlight w:val="none"/>
              </w:rPr>
              <w:t>目标</w:t>
            </w:r>
            <w:r>
              <w:rPr>
                <w:rFonts w:ascii="宋体" w:hAnsi="宋体"/>
                <w:snapToGrid w:val="0"/>
                <w:color w:val="auto"/>
                <w:kern w:val="0"/>
                <w:sz w:val="24"/>
                <w:highlight w:val="none"/>
              </w:rPr>
              <w:t>、任务</w:t>
            </w:r>
            <w:r>
              <w:rPr>
                <w:rFonts w:hint="eastAsia" w:ascii="宋体" w:hAnsi="宋体"/>
                <w:snapToGrid w:val="0"/>
                <w:color w:val="auto"/>
                <w:kern w:val="0"/>
                <w:sz w:val="24"/>
                <w:highlight w:val="none"/>
              </w:rPr>
              <w:t>的</w:t>
            </w:r>
            <w:r>
              <w:rPr>
                <w:rFonts w:ascii="宋体" w:hAnsi="宋体"/>
                <w:snapToGrid w:val="0"/>
                <w:color w:val="auto"/>
                <w:kern w:val="0"/>
                <w:sz w:val="24"/>
                <w:highlight w:val="none"/>
              </w:rPr>
              <w:t>理解</w:t>
            </w:r>
          </w:p>
        </w:tc>
        <w:tc>
          <w:tcPr>
            <w:tcW w:w="3046" w:type="dxa"/>
          </w:tcPr>
          <w:p w14:paraId="1347C614">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400F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4F627A">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5A81AC0C">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3BB23E5F">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A3F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26994CF">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177E8AD7">
            <w:pPr>
              <w:snapToGrid w:val="0"/>
              <w:spacing w:line="360" w:lineRule="auto"/>
              <w:jc w:val="center"/>
              <w:rPr>
                <w:rFonts w:hint="eastAsia" w:ascii="宋体" w:hAnsi="宋体" w:cs="宋体"/>
                <w:bCs/>
                <w:color w:val="auto"/>
                <w:sz w:val="24"/>
                <w:highlight w:val="none"/>
              </w:rPr>
            </w:pPr>
          </w:p>
        </w:tc>
        <w:tc>
          <w:tcPr>
            <w:tcW w:w="3046" w:type="dxa"/>
          </w:tcPr>
          <w:p w14:paraId="6CA11213">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6AFB0973">
      <w:pPr>
        <w:spacing w:line="360" w:lineRule="auto"/>
        <w:ind w:left="120" w:firstLine="22"/>
        <w:jc w:val="center"/>
        <w:rPr>
          <w:rFonts w:hint="eastAsia" w:ascii="宋体" w:hAnsi="宋体" w:cs="宋体"/>
          <w:b/>
          <w:color w:val="auto"/>
          <w:kern w:val="0"/>
          <w:sz w:val="32"/>
          <w:szCs w:val="32"/>
          <w:highlight w:val="none"/>
        </w:rPr>
      </w:pPr>
    </w:p>
    <w:p w14:paraId="3BA6737E">
      <w:pPr>
        <w:spacing w:line="360" w:lineRule="auto"/>
        <w:ind w:left="120" w:firstLine="22"/>
        <w:jc w:val="center"/>
        <w:rPr>
          <w:rFonts w:hint="eastAsia" w:ascii="宋体" w:hAnsi="宋体" w:cs="宋体"/>
          <w:b/>
          <w:color w:val="auto"/>
          <w:kern w:val="0"/>
          <w:sz w:val="32"/>
          <w:szCs w:val="32"/>
          <w:highlight w:val="none"/>
        </w:rPr>
      </w:pPr>
    </w:p>
    <w:p w14:paraId="7BA98635">
      <w:pPr>
        <w:spacing w:line="360" w:lineRule="auto"/>
        <w:ind w:left="120" w:firstLine="2891" w:firstLineChars="900"/>
        <w:outlineLvl w:val="2"/>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C45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8E8C8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4B0DE0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0433A24">
            <w:pPr>
              <w:spacing w:line="360" w:lineRule="auto"/>
              <w:jc w:val="center"/>
              <w:rPr>
                <w:rFonts w:hint="eastAsia" w:ascii="宋体" w:hAnsi="宋体" w:cs="宋体"/>
                <w:b/>
                <w:color w:val="auto"/>
                <w:sz w:val="24"/>
                <w:highlight w:val="none"/>
              </w:rPr>
            </w:pPr>
          </w:p>
          <w:p w14:paraId="3E1A515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2B0584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2370FB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930" w:type="dxa"/>
            <w:tcBorders>
              <w:top w:val="single" w:color="auto" w:sz="4" w:space="0"/>
              <w:left w:val="single" w:color="auto" w:sz="4" w:space="0"/>
              <w:bottom w:val="single" w:color="auto" w:sz="4" w:space="0"/>
              <w:right w:val="single" w:color="auto" w:sz="4" w:space="0"/>
            </w:tcBorders>
            <w:vAlign w:val="center"/>
          </w:tcPr>
          <w:p w14:paraId="6563496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c>
          <w:tcPr>
            <w:tcW w:w="1526" w:type="dxa"/>
            <w:tcBorders>
              <w:top w:val="single" w:color="auto" w:sz="4" w:space="0"/>
              <w:left w:val="single" w:color="auto" w:sz="4" w:space="0"/>
              <w:bottom w:val="single" w:color="auto" w:sz="4" w:space="0"/>
              <w:right w:val="single" w:color="auto" w:sz="4" w:space="0"/>
            </w:tcBorders>
            <w:vAlign w:val="center"/>
          </w:tcPr>
          <w:p w14:paraId="2D03F7C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r>
      <w:tr w14:paraId="4C10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B7601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BEF633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9BE5301">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832A59">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FC8222">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19181C">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2BEC82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r>
      <w:tr w14:paraId="7742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B06A3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4E7A2D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355DCF71">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AEBFFA2">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ABAE508">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EF1556C">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B66F14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r>
      <w:tr w14:paraId="235D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09F22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29C237A">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B09E094">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4F95EC3">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DB5463E">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E54857A">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B9161B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r>
    </w:tbl>
    <w:p w14:paraId="678DDC8A">
      <w:pPr>
        <w:spacing w:line="360" w:lineRule="auto"/>
        <w:ind w:left="120" w:right="420" w:firstLine="22"/>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8528428">
      <w:pPr>
        <w:spacing w:line="360" w:lineRule="auto"/>
        <w:ind w:left="120" w:firstLine="22"/>
        <w:jc w:val="center"/>
        <w:rPr>
          <w:rFonts w:hint="eastAsia" w:ascii="宋体" w:hAnsi="宋体" w:cs="宋体"/>
          <w:b/>
          <w:color w:val="auto"/>
          <w:kern w:val="0"/>
          <w:sz w:val="32"/>
          <w:szCs w:val="32"/>
          <w:highlight w:val="none"/>
        </w:rPr>
      </w:pPr>
    </w:p>
    <w:p w14:paraId="20A4CD32">
      <w:pPr>
        <w:spacing w:line="360" w:lineRule="auto"/>
        <w:ind w:left="120" w:firstLine="22"/>
        <w:jc w:val="center"/>
        <w:rPr>
          <w:rFonts w:hint="eastAsia" w:ascii="宋体" w:hAnsi="宋体" w:cs="宋体"/>
          <w:b/>
          <w:color w:val="auto"/>
          <w:kern w:val="0"/>
          <w:sz w:val="32"/>
          <w:szCs w:val="32"/>
          <w:highlight w:val="none"/>
        </w:rPr>
      </w:pPr>
    </w:p>
    <w:p w14:paraId="6D60C8C2">
      <w:pPr>
        <w:spacing w:line="360" w:lineRule="auto"/>
        <w:ind w:left="120" w:firstLine="22"/>
        <w:jc w:val="center"/>
        <w:outlineLvl w:val="2"/>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250"/>
        <w:gridCol w:w="3129"/>
        <w:gridCol w:w="1126"/>
        <w:gridCol w:w="1112"/>
      </w:tblGrid>
      <w:tr w14:paraId="02B2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502B343">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43A3E3B0">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162A252">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3FF9CCED">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6D376F38">
            <w:pPr>
              <w:jc w:val="center"/>
              <w:rPr>
                <w:rFonts w:hint="eastAsia" w:ascii="宋体" w:hAnsi="宋体" w:cs="宋体"/>
                <w:b/>
                <w:bCs/>
                <w:color w:val="auto"/>
                <w:sz w:val="24"/>
                <w:highlight w:val="none"/>
              </w:rPr>
            </w:pPr>
          </w:p>
        </w:tc>
      </w:tr>
      <w:tr w14:paraId="6C47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DDC2029">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0CA9991">
            <w:pPr>
              <w:jc w:val="center"/>
              <w:rPr>
                <w:rFonts w:hint="eastAsia" w:ascii="宋体" w:hAnsi="宋体" w:cs="宋体"/>
                <w:b/>
                <w:color w:val="auto"/>
                <w:kern w:val="0"/>
                <w:sz w:val="32"/>
                <w:szCs w:val="32"/>
                <w:highlight w:val="none"/>
              </w:rPr>
            </w:pPr>
          </w:p>
        </w:tc>
        <w:tc>
          <w:tcPr>
            <w:tcW w:w="3062" w:type="dxa"/>
          </w:tcPr>
          <w:p w14:paraId="177223E6">
            <w:pPr>
              <w:jc w:val="center"/>
              <w:rPr>
                <w:rFonts w:hint="eastAsia" w:ascii="宋体" w:hAnsi="宋体" w:cs="宋体"/>
                <w:b/>
                <w:color w:val="auto"/>
                <w:kern w:val="0"/>
                <w:sz w:val="32"/>
                <w:szCs w:val="32"/>
                <w:highlight w:val="none"/>
              </w:rPr>
            </w:pPr>
          </w:p>
        </w:tc>
        <w:tc>
          <w:tcPr>
            <w:tcW w:w="1102" w:type="dxa"/>
          </w:tcPr>
          <w:p w14:paraId="10D7E854">
            <w:pPr>
              <w:jc w:val="center"/>
              <w:rPr>
                <w:rFonts w:hint="eastAsia" w:ascii="宋体" w:hAnsi="宋体" w:cs="宋体"/>
                <w:b/>
                <w:color w:val="auto"/>
                <w:kern w:val="0"/>
                <w:sz w:val="32"/>
                <w:szCs w:val="32"/>
                <w:highlight w:val="none"/>
              </w:rPr>
            </w:pPr>
          </w:p>
        </w:tc>
        <w:tc>
          <w:tcPr>
            <w:tcW w:w="1088" w:type="dxa"/>
          </w:tcPr>
          <w:p w14:paraId="45F893B7">
            <w:pPr>
              <w:jc w:val="center"/>
              <w:rPr>
                <w:rFonts w:hint="eastAsia" w:ascii="宋体" w:hAnsi="宋体" w:cs="宋体"/>
                <w:b/>
                <w:color w:val="auto"/>
                <w:kern w:val="0"/>
                <w:sz w:val="32"/>
                <w:szCs w:val="32"/>
                <w:highlight w:val="none"/>
              </w:rPr>
            </w:pPr>
          </w:p>
        </w:tc>
      </w:tr>
      <w:tr w14:paraId="1456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49D36CB">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6E4BBA39">
            <w:pPr>
              <w:jc w:val="center"/>
              <w:rPr>
                <w:rFonts w:hint="eastAsia" w:ascii="宋体" w:hAnsi="宋体" w:cs="宋体"/>
                <w:b/>
                <w:color w:val="auto"/>
                <w:kern w:val="0"/>
                <w:sz w:val="32"/>
                <w:szCs w:val="32"/>
                <w:highlight w:val="none"/>
              </w:rPr>
            </w:pPr>
          </w:p>
        </w:tc>
        <w:tc>
          <w:tcPr>
            <w:tcW w:w="3062" w:type="dxa"/>
          </w:tcPr>
          <w:p w14:paraId="6A340A8D">
            <w:pPr>
              <w:jc w:val="center"/>
              <w:rPr>
                <w:rFonts w:hint="eastAsia" w:ascii="宋体" w:hAnsi="宋体" w:cs="宋体"/>
                <w:b/>
                <w:color w:val="auto"/>
                <w:kern w:val="0"/>
                <w:sz w:val="32"/>
                <w:szCs w:val="32"/>
                <w:highlight w:val="none"/>
              </w:rPr>
            </w:pPr>
          </w:p>
        </w:tc>
        <w:tc>
          <w:tcPr>
            <w:tcW w:w="1102" w:type="dxa"/>
          </w:tcPr>
          <w:p w14:paraId="6985A826">
            <w:pPr>
              <w:jc w:val="center"/>
              <w:rPr>
                <w:rFonts w:hint="eastAsia" w:ascii="宋体" w:hAnsi="宋体" w:cs="宋体"/>
                <w:b/>
                <w:color w:val="auto"/>
                <w:kern w:val="0"/>
                <w:sz w:val="32"/>
                <w:szCs w:val="32"/>
                <w:highlight w:val="none"/>
              </w:rPr>
            </w:pPr>
          </w:p>
        </w:tc>
        <w:tc>
          <w:tcPr>
            <w:tcW w:w="1088" w:type="dxa"/>
          </w:tcPr>
          <w:p w14:paraId="4790AD58">
            <w:pPr>
              <w:jc w:val="center"/>
              <w:rPr>
                <w:rFonts w:hint="eastAsia" w:ascii="宋体" w:hAnsi="宋体" w:cs="宋体"/>
                <w:b/>
                <w:color w:val="auto"/>
                <w:kern w:val="0"/>
                <w:sz w:val="32"/>
                <w:szCs w:val="32"/>
                <w:highlight w:val="none"/>
              </w:rPr>
            </w:pPr>
          </w:p>
        </w:tc>
      </w:tr>
      <w:tr w14:paraId="27DC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4CC2AEC">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7977B60">
            <w:pPr>
              <w:jc w:val="center"/>
              <w:rPr>
                <w:rFonts w:hint="eastAsia" w:ascii="宋体" w:hAnsi="宋体" w:cs="宋体"/>
                <w:b/>
                <w:color w:val="auto"/>
                <w:kern w:val="0"/>
                <w:sz w:val="32"/>
                <w:szCs w:val="32"/>
                <w:highlight w:val="none"/>
              </w:rPr>
            </w:pPr>
          </w:p>
        </w:tc>
        <w:tc>
          <w:tcPr>
            <w:tcW w:w="3062" w:type="dxa"/>
          </w:tcPr>
          <w:p w14:paraId="5964CAF8">
            <w:pPr>
              <w:jc w:val="center"/>
              <w:rPr>
                <w:rFonts w:hint="eastAsia" w:ascii="宋体" w:hAnsi="宋体" w:cs="宋体"/>
                <w:b/>
                <w:color w:val="auto"/>
                <w:kern w:val="0"/>
                <w:sz w:val="32"/>
                <w:szCs w:val="32"/>
                <w:highlight w:val="none"/>
              </w:rPr>
            </w:pPr>
          </w:p>
        </w:tc>
        <w:tc>
          <w:tcPr>
            <w:tcW w:w="1102" w:type="dxa"/>
          </w:tcPr>
          <w:p w14:paraId="0ACB75AC">
            <w:pPr>
              <w:jc w:val="center"/>
              <w:rPr>
                <w:rFonts w:hint="eastAsia" w:ascii="宋体" w:hAnsi="宋体" w:cs="宋体"/>
                <w:b/>
                <w:color w:val="auto"/>
                <w:kern w:val="0"/>
                <w:sz w:val="32"/>
                <w:szCs w:val="32"/>
                <w:highlight w:val="none"/>
              </w:rPr>
            </w:pPr>
          </w:p>
        </w:tc>
        <w:tc>
          <w:tcPr>
            <w:tcW w:w="1088" w:type="dxa"/>
          </w:tcPr>
          <w:p w14:paraId="3A6DF857">
            <w:pPr>
              <w:jc w:val="center"/>
              <w:rPr>
                <w:rFonts w:hint="eastAsia" w:ascii="宋体" w:hAnsi="宋体" w:cs="宋体"/>
                <w:b/>
                <w:color w:val="auto"/>
                <w:kern w:val="0"/>
                <w:sz w:val="32"/>
                <w:szCs w:val="32"/>
                <w:highlight w:val="none"/>
              </w:rPr>
            </w:pPr>
          </w:p>
        </w:tc>
      </w:tr>
    </w:tbl>
    <w:p w14:paraId="605FBBD9">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3B65B4F">
      <w:pPr>
        <w:ind w:firstLine="643" w:firstLineChars="200"/>
        <w:jc w:val="center"/>
        <w:rPr>
          <w:rFonts w:hint="eastAsia" w:ascii="宋体" w:hAnsi="宋体" w:cs="宋体"/>
          <w:b/>
          <w:color w:val="auto"/>
          <w:kern w:val="0"/>
          <w:sz w:val="32"/>
          <w:szCs w:val="32"/>
          <w:highlight w:val="none"/>
        </w:rPr>
      </w:pPr>
    </w:p>
    <w:p w14:paraId="15D9B99F">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注：1.按本格式和要求提供。</w:t>
      </w:r>
    </w:p>
    <w:p w14:paraId="5CB2CD05">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527024DD">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3.投标人须保证：除商务技术偏离表列出的偏离外，投标人响应招标文件的全部非实质性要求。</w:t>
      </w:r>
    </w:p>
    <w:p w14:paraId="33430947">
      <w:pPr>
        <w:spacing w:line="360" w:lineRule="auto"/>
        <w:jc w:val="left"/>
        <w:rPr>
          <w:rFonts w:hint="eastAsia" w:ascii="宋体" w:hAnsi="宋体" w:cs="宋体"/>
          <w:color w:val="auto"/>
          <w:kern w:val="0"/>
          <w:sz w:val="24"/>
          <w:highlight w:val="none"/>
        </w:rPr>
      </w:pPr>
    </w:p>
    <w:p w14:paraId="2DC7BE36">
      <w:pPr>
        <w:spacing w:line="360" w:lineRule="auto"/>
        <w:ind w:left="120" w:firstLine="1911" w:firstLineChars="595"/>
        <w:rPr>
          <w:rFonts w:hint="eastAsia" w:ascii="宋体" w:hAnsi="宋体" w:cs="宋体"/>
          <w:b/>
          <w:bCs/>
          <w:color w:val="auto"/>
          <w:sz w:val="32"/>
          <w:szCs w:val="32"/>
          <w:highlight w:val="none"/>
        </w:rPr>
      </w:pPr>
    </w:p>
    <w:p w14:paraId="62D8FA27">
      <w:pPr>
        <w:widowControl/>
        <w:adjustRightInd/>
        <w:spacing w:line="360" w:lineRule="auto"/>
        <w:ind w:left="120" w:firstLine="22"/>
        <w:jc w:val="center"/>
        <w:rPr>
          <w:rFonts w:hint="eastAsia" w:ascii="宋体" w:hAnsi="宋体" w:cs="宋体"/>
          <w:b/>
          <w:color w:val="auto"/>
          <w:kern w:val="0"/>
          <w:sz w:val="32"/>
          <w:szCs w:val="32"/>
          <w:highlight w:val="none"/>
        </w:rPr>
      </w:pPr>
      <w:r>
        <w:rPr>
          <w:rFonts w:ascii="宋体" w:hAnsi="宋体" w:cs="宋体"/>
          <w:b/>
          <w:bCs/>
          <w:color w:val="auto"/>
          <w:sz w:val="32"/>
          <w:szCs w:val="32"/>
          <w:highlight w:val="none"/>
        </w:rPr>
        <w:br w:type="page"/>
      </w: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9019085">
      <w:pPr>
        <w:snapToGrid w:val="0"/>
        <w:spacing w:line="360" w:lineRule="auto"/>
        <w:ind w:left="120" w:firstLine="22"/>
        <w:rPr>
          <w:rFonts w:hint="eastAsia" w:ascii="宋体" w:hAnsi="宋体" w:cs="宋体"/>
          <w:color w:val="auto"/>
          <w:sz w:val="24"/>
          <w:highlight w:val="none"/>
        </w:rPr>
      </w:pPr>
    </w:p>
    <w:p w14:paraId="0C121CCE">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sz w:val="24"/>
          <w:highlight w:val="none"/>
        </w:rPr>
        <w:t>杭州市交通运输局、浙江省成套招标代理有限公司</w:t>
      </w:r>
      <w:r>
        <w:rPr>
          <w:rFonts w:hint="eastAsia" w:ascii="宋体" w:hAnsi="宋体" w:cs="宋体"/>
          <w:color w:val="auto"/>
          <w:kern w:val="0"/>
          <w:sz w:val="24"/>
          <w:highlight w:val="none"/>
          <w:lang w:val="zh-CN"/>
        </w:rPr>
        <w:t>：</w:t>
      </w:r>
    </w:p>
    <w:p w14:paraId="2DE7C03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EC4B181">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ADA60F4">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6C6483C">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FCDE63C">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9066DBA">
      <w:pPr>
        <w:autoSpaceDE w:val="0"/>
        <w:autoSpaceDN w:val="0"/>
        <w:spacing w:line="360" w:lineRule="auto"/>
        <w:ind w:left="481" w:leftChars="229" w:firstLine="22"/>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6AC61FF">
      <w:pPr>
        <w:autoSpaceDE w:val="0"/>
        <w:autoSpaceDN w:val="0"/>
        <w:spacing w:line="360" w:lineRule="auto"/>
        <w:ind w:left="120" w:firstLine="22"/>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383CEA">
      <w:pPr>
        <w:autoSpaceDE w:val="0"/>
        <w:autoSpaceDN w:val="0"/>
        <w:spacing w:line="360" w:lineRule="auto"/>
        <w:ind w:left="481" w:leftChars="229" w:firstLine="22"/>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E85CF92">
      <w:pPr>
        <w:autoSpaceDE w:val="0"/>
        <w:autoSpaceDN w:val="0"/>
        <w:spacing w:line="360" w:lineRule="auto"/>
        <w:ind w:left="120" w:firstLine="22"/>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E7909E6">
      <w:pPr>
        <w:autoSpaceDE w:val="0"/>
        <w:autoSpaceDN w:val="0"/>
        <w:spacing w:line="360" w:lineRule="auto"/>
        <w:ind w:left="120"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47DB21E">
      <w:pPr>
        <w:autoSpaceDE w:val="0"/>
        <w:autoSpaceDN w:val="0"/>
        <w:spacing w:line="360" w:lineRule="auto"/>
        <w:ind w:left="120" w:firstLine="22"/>
        <w:jc w:val="left"/>
        <w:rPr>
          <w:rFonts w:hint="eastAsia" w:ascii="宋体" w:hAnsi="宋体" w:cs="宋体"/>
          <w:color w:val="auto"/>
          <w:kern w:val="0"/>
          <w:sz w:val="24"/>
          <w:highlight w:val="none"/>
          <w:lang w:val="zh-CN"/>
        </w:rPr>
      </w:pPr>
    </w:p>
    <w:p w14:paraId="55270296">
      <w:pPr>
        <w:autoSpaceDE w:val="0"/>
        <w:autoSpaceDN w:val="0"/>
        <w:spacing w:line="360" w:lineRule="auto"/>
        <w:ind w:left="120" w:firstLine="22"/>
        <w:jc w:val="left"/>
        <w:rPr>
          <w:rFonts w:hint="eastAsia" w:ascii="宋体" w:hAnsi="宋体" w:cs="宋体"/>
          <w:color w:val="auto"/>
          <w:kern w:val="0"/>
          <w:sz w:val="24"/>
          <w:highlight w:val="none"/>
          <w:lang w:val="zh-CN"/>
        </w:rPr>
      </w:pPr>
    </w:p>
    <w:p w14:paraId="549B1E97">
      <w:pPr>
        <w:autoSpaceDE w:val="0"/>
        <w:autoSpaceDN w:val="0"/>
        <w:spacing w:line="360" w:lineRule="auto"/>
        <w:ind w:left="120" w:firstLine="22"/>
        <w:jc w:val="left"/>
        <w:rPr>
          <w:rFonts w:hint="eastAsia" w:ascii="宋体" w:hAnsi="宋体" w:cs="宋体"/>
          <w:color w:val="auto"/>
          <w:kern w:val="0"/>
          <w:sz w:val="24"/>
          <w:highlight w:val="none"/>
          <w:lang w:val="zh-CN"/>
        </w:rPr>
      </w:pPr>
    </w:p>
    <w:p w14:paraId="5DF1687C">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14250E4">
      <w:pPr>
        <w:spacing w:line="360" w:lineRule="auto"/>
        <w:ind w:left="4620" w:leftChars="2200" w:firstLine="22"/>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825E743">
      <w:pPr>
        <w:spacing w:line="360" w:lineRule="auto"/>
        <w:ind w:left="120" w:firstLine="22"/>
        <w:jc w:val="center"/>
        <w:rPr>
          <w:rFonts w:hint="eastAsia" w:ascii="宋体" w:hAnsi="宋体" w:cs="宋体"/>
          <w:b/>
          <w:bCs/>
          <w:color w:val="auto"/>
          <w:sz w:val="24"/>
          <w:highlight w:val="none"/>
        </w:rPr>
      </w:pPr>
    </w:p>
    <w:p w14:paraId="2125C42B">
      <w:pPr>
        <w:spacing w:line="360" w:lineRule="auto"/>
        <w:ind w:left="120" w:right="420" w:firstLine="22"/>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21B312D">
      <w:pPr>
        <w:spacing w:line="360" w:lineRule="auto"/>
        <w:ind w:left="120" w:firstLine="22"/>
        <w:jc w:val="center"/>
        <w:rPr>
          <w:rFonts w:hint="eastAsia"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D5C6010">
      <w:pPr>
        <w:spacing w:line="360" w:lineRule="auto"/>
        <w:ind w:left="120" w:firstLine="22"/>
        <w:jc w:val="center"/>
        <w:outlineLvl w:val="1"/>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BDE29B2">
      <w:pPr>
        <w:spacing w:line="360" w:lineRule="auto"/>
        <w:ind w:left="120" w:firstLine="22"/>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4F24A15">
      <w:pPr>
        <w:spacing w:line="360" w:lineRule="auto"/>
        <w:ind w:left="120" w:firstLine="22"/>
        <w:jc w:val="center"/>
        <w:rPr>
          <w:rFonts w:hint="eastAsia" w:ascii="宋体" w:hAnsi="宋体" w:cs="宋体"/>
          <w:b/>
          <w:color w:val="auto"/>
          <w:kern w:val="0"/>
          <w:sz w:val="36"/>
          <w:szCs w:val="36"/>
          <w:highlight w:val="none"/>
        </w:rPr>
      </w:pPr>
    </w:p>
    <w:p w14:paraId="3E10FF37">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2D1BB6ED">
      <w:pPr>
        <w:snapToGrid w:val="0"/>
        <w:spacing w:line="360" w:lineRule="auto"/>
        <w:ind w:left="120" w:right="480" w:firstLine="22"/>
        <w:jc w:val="center"/>
        <w:rPr>
          <w:rFonts w:hint="eastAsia" w:ascii="宋体" w:hAnsi="宋体" w:cs="宋体"/>
          <w:b/>
          <w:color w:val="auto"/>
          <w:kern w:val="0"/>
          <w:sz w:val="32"/>
          <w:szCs w:val="32"/>
          <w:highlight w:val="none"/>
        </w:rPr>
      </w:pPr>
    </w:p>
    <w:p w14:paraId="1B4562B0">
      <w:pPr>
        <w:snapToGrid w:val="0"/>
        <w:spacing w:line="360" w:lineRule="auto"/>
        <w:ind w:left="120" w:right="480" w:firstLine="22"/>
        <w:jc w:val="center"/>
        <w:rPr>
          <w:rFonts w:hint="eastAsia" w:ascii="宋体" w:hAnsi="宋体" w:cs="宋体"/>
          <w:b/>
          <w:color w:val="auto"/>
          <w:kern w:val="0"/>
          <w:sz w:val="32"/>
          <w:szCs w:val="32"/>
          <w:highlight w:val="none"/>
        </w:rPr>
      </w:pPr>
    </w:p>
    <w:p w14:paraId="4FE7C371">
      <w:pPr>
        <w:snapToGrid w:val="0"/>
        <w:spacing w:line="360" w:lineRule="auto"/>
        <w:ind w:left="120" w:right="480" w:firstLine="22"/>
        <w:jc w:val="center"/>
        <w:rPr>
          <w:rFonts w:hint="eastAsia" w:ascii="宋体" w:hAnsi="宋体" w:cs="宋体"/>
          <w:b/>
          <w:color w:val="auto"/>
          <w:kern w:val="0"/>
          <w:sz w:val="32"/>
          <w:szCs w:val="32"/>
          <w:highlight w:val="none"/>
        </w:rPr>
      </w:pPr>
    </w:p>
    <w:p w14:paraId="0941A729">
      <w:pPr>
        <w:snapToGrid w:val="0"/>
        <w:spacing w:line="360" w:lineRule="auto"/>
        <w:ind w:left="120" w:right="480" w:firstLine="22"/>
        <w:jc w:val="center"/>
        <w:rPr>
          <w:rFonts w:hint="eastAsia" w:ascii="宋体" w:hAnsi="宋体" w:cs="宋体"/>
          <w:b/>
          <w:color w:val="auto"/>
          <w:kern w:val="0"/>
          <w:sz w:val="32"/>
          <w:szCs w:val="32"/>
          <w:highlight w:val="none"/>
        </w:rPr>
      </w:pPr>
    </w:p>
    <w:p w14:paraId="36B692F5">
      <w:pPr>
        <w:snapToGrid w:val="0"/>
        <w:spacing w:line="360" w:lineRule="auto"/>
        <w:ind w:left="120" w:right="480" w:firstLine="22"/>
        <w:jc w:val="center"/>
        <w:rPr>
          <w:rFonts w:hint="eastAsia" w:ascii="宋体" w:hAnsi="宋体" w:cs="宋体"/>
          <w:b/>
          <w:color w:val="auto"/>
          <w:kern w:val="0"/>
          <w:sz w:val="32"/>
          <w:szCs w:val="32"/>
          <w:highlight w:val="none"/>
        </w:rPr>
      </w:pPr>
    </w:p>
    <w:p w14:paraId="15308A49">
      <w:pPr>
        <w:snapToGrid w:val="0"/>
        <w:spacing w:line="360" w:lineRule="auto"/>
        <w:ind w:left="120" w:right="480" w:firstLine="22"/>
        <w:jc w:val="center"/>
        <w:rPr>
          <w:rFonts w:hint="eastAsia" w:ascii="宋体" w:hAnsi="宋体" w:cs="宋体"/>
          <w:b/>
          <w:color w:val="auto"/>
          <w:kern w:val="0"/>
          <w:sz w:val="32"/>
          <w:szCs w:val="32"/>
          <w:highlight w:val="none"/>
        </w:rPr>
      </w:pPr>
    </w:p>
    <w:p w14:paraId="0235DEBA">
      <w:pPr>
        <w:snapToGrid w:val="0"/>
        <w:spacing w:line="360" w:lineRule="auto"/>
        <w:ind w:left="120" w:right="480" w:firstLine="22"/>
        <w:jc w:val="center"/>
        <w:rPr>
          <w:rFonts w:hint="eastAsia" w:ascii="宋体" w:hAnsi="宋体" w:cs="宋体"/>
          <w:b/>
          <w:color w:val="auto"/>
          <w:kern w:val="0"/>
          <w:sz w:val="32"/>
          <w:szCs w:val="32"/>
          <w:highlight w:val="none"/>
        </w:rPr>
      </w:pPr>
    </w:p>
    <w:p w14:paraId="67AE2EA1">
      <w:pPr>
        <w:snapToGrid w:val="0"/>
        <w:spacing w:line="360" w:lineRule="auto"/>
        <w:ind w:left="120" w:right="480" w:firstLine="22"/>
        <w:jc w:val="center"/>
        <w:rPr>
          <w:rFonts w:hint="eastAsia" w:ascii="宋体" w:hAnsi="宋体" w:cs="宋体"/>
          <w:b/>
          <w:color w:val="auto"/>
          <w:kern w:val="0"/>
          <w:sz w:val="32"/>
          <w:szCs w:val="32"/>
          <w:highlight w:val="none"/>
        </w:rPr>
      </w:pPr>
    </w:p>
    <w:p w14:paraId="203FC503">
      <w:pPr>
        <w:snapToGrid w:val="0"/>
        <w:spacing w:line="360" w:lineRule="auto"/>
        <w:ind w:left="120" w:right="480" w:firstLine="22"/>
        <w:jc w:val="center"/>
        <w:rPr>
          <w:rFonts w:hint="eastAsia" w:ascii="宋体" w:hAnsi="宋体" w:cs="宋体"/>
          <w:b/>
          <w:color w:val="auto"/>
          <w:kern w:val="0"/>
          <w:sz w:val="32"/>
          <w:szCs w:val="32"/>
          <w:highlight w:val="none"/>
        </w:rPr>
      </w:pPr>
    </w:p>
    <w:p w14:paraId="4975CB7F">
      <w:pPr>
        <w:snapToGrid w:val="0"/>
        <w:spacing w:line="360" w:lineRule="auto"/>
        <w:ind w:left="120" w:right="480" w:firstLine="22"/>
        <w:jc w:val="center"/>
        <w:rPr>
          <w:rFonts w:hint="eastAsia" w:ascii="宋体" w:hAnsi="宋体" w:cs="宋体"/>
          <w:b/>
          <w:color w:val="auto"/>
          <w:kern w:val="0"/>
          <w:sz w:val="32"/>
          <w:szCs w:val="32"/>
          <w:highlight w:val="none"/>
        </w:rPr>
      </w:pPr>
    </w:p>
    <w:p w14:paraId="470CA4F2">
      <w:pPr>
        <w:snapToGrid w:val="0"/>
        <w:spacing w:line="360" w:lineRule="auto"/>
        <w:ind w:left="120" w:right="480" w:firstLine="22"/>
        <w:jc w:val="center"/>
        <w:rPr>
          <w:rFonts w:hint="eastAsia" w:ascii="宋体" w:hAnsi="宋体" w:cs="宋体"/>
          <w:b/>
          <w:color w:val="auto"/>
          <w:kern w:val="0"/>
          <w:sz w:val="32"/>
          <w:szCs w:val="32"/>
          <w:highlight w:val="none"/>
        </w:rPr>
      </w:pPr>
    </w:p>
    <w:p w14:paraId="4B20C1A3">
      <w:pPr>
        <w:snapToGrid w:val="0"/>
        <w:spacing w:line="360" w:lineRule="auto"/>
        <w:ind w:left="120" w:right="480" w:firstLine="22"/>
        <w:jc w:val="center"/>
        <w:rPr>
          <w:rFonts w:hint="eastAsia" w:ascii="宋体" w:hAnsi="宋体" w:cs="宋体"/>
          <w:b/>
          <w:color w:val="auto"/>
          <w:kern w:val="0"/>
          <w:sz w:val="32"/>
          <w:szCs w:val="32"/>
          <w:highlight w:val="none"/>
        </w:rPr>
      </w:pPr>
    </w:p>
    <w:p w14:paraId="42B16F5E">
      <w:pPr>
        <w:snapToGrid w:val="0"/>
        <w:spacing w:line="360" w:lineRule="auto"/>
        <w:ind w:left="120" w:right="480" w:firstLine="22"/>
        <w:jc w:val="center"/>
        <w:rPr>
          <w:rFonts w:hint="eastAsia" w:ascii="宋体" w:hAnsi="宋体" w:cs="宋体"/>
          <w:b/>
          <w:color w:val="auto"/>
          <w:kern w:val="0"/>
          <w:sz w:val="32"/>
          <w:szCs w:val="32"/>
          <w:highlight w:val="none"/>
        </w:rPr>
      </w:pPr>
    </w:p>
    <w:p w14:paraId="2C0A4B3B">
      <w:pPr>
        <w:snapToGrid w:val="0"/>
        <w:spacing w:line="360" w:lineRule="auto"/>
        <w:ind w:left="120" w:right="480" w:firstLine="22"/>
        <w:jc w:val="center"/>
        <w:rPr>
          <w:rFonts w:hint="eastAsia" w:ascii="宋体" w:hAnsi="宋体" w:cs="宋体"/>
          <w:b/>
          <w:color w:val="auto"/>
          <w:kern w:val="0"/>
          <w:sz w:val="32"/>
          <w:szCs w:val="32"/>
          <w:highlight w:val="none"/>
        </w:rPr>
      </w:pPr>
    </w:p>
    <w:p w14:paraId="21F4E75C">
      <w:pPr>
        <w:snapToGrid w:val="0"/>
        <w:spacing w:line="360" w:lineRule="auto"/>
        <w:ind w:left="120" w:right="480" w:firstLine="22"/>
        <w:jc w:val="center"/>
        <w:rPr>
          <w:rFonts w:hint="eastAsia" w:ascii="宋体" w:hAnsi="宋体" w:cs="宋体"/>
          <w:b/>
          <w:color w:val="auto"/>
          <w:kern w:val="0"/>
          <w:sz w:val="32"/>
          <w:szCs w:val="32"/>
          <w:highlight w:val="none"/>
        </w:rPr>
      </w:pPr>
    </w:p>
    <w:p w14:paraId="01CD6CE2">
      <w:pPr>
        <w:pStyle w:val="692"/>
        <w:keepNext w:val="0"/>
        <w:pageBreakBefore w:val="0"/>
        <w:tabs>
          <w:tab w:val="clear" w:pos="720"/>
        </w:tabs>
        <w:snapToGrid w:val="0"/>
        <w:spacing w:before="120" w:after="120"/>
        <w:ind w:left="120" w:firstLine="22"/>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407A8D9">
      <w:pPr>
        <w:pStyle w:val="692"/>
        <w:keepNext w:val="0"/>
        <w:pageBreakBefore w:val="0"/>
        <w:tabs>
          <w:tab w:val="clear" w:pos="720"/>
        </w:tabs>
        <w:snapToGrid w:val="0"/>
        <w:spacing w:before="120" w:after="120"/>
        <w:ind w:left="120" w:firstLine="22"/>
        <w:outlineLvl w:val="2"/>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4E554D7">
      <w:pPr>
        <w:snapToGrid w:val="0"/>
        <w:spacing w:line="360" w:lineRule="auto"/>
        <w:ind w:left="120" w:firstLine="22"/>
        <w:rPr>
          <w:rFonts w:hint="eastAsia" w:ascii="宋体" w:hAnsi="宋体" w:cs="宋体"/>
          <w:color w:val="auto"/>
          <w:kern w:val="0"/>
          <w:sz w:val="24"/>
          <w:highlight w:val="none"/>
        </w:rPr>
      </w:pPr>
      <w:r>
        <w:rPr>
          <w:rFonts w:hint="eastAsia" w:ascii="宋体" w:hAnsi="宋体" w:cs="宋体"/>
          <w:color w:val="auto"/>
          <w:sz w:val="24"/>
          <w:highlight w:val="none"/>
        </w:rPr>
        <w:t>杭州市交通运输局、浙江省成套招标代理有限公司</w:t>
      </w:r>
      <w:r>
        <w:rPr>
          <w:rFonts w:hint="eastAsia" w:ascii="宋体" w:hAnsi="宋体" w:cs="宋体"/>
          <w:color w:val="auto"/>
          <w:kern w:val="0"/>
          <w:sz w:val="24"/>
          <w:highlight w:val="none"/>
          <w:lang w:val="zh-CN"/>
        </w:rPr>
        <w:t>：</w:t>
      </w:r>
    </w:p>
    <w:p w14:paraId="0CF484F0">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杭州市年度城市交通运行及公众出行特征动态评估报告项目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CTZB-2025010029】的实施</w:t>
      </w:r>
      <w:r>
        <w:rPr>
          <w:rFonts w:hint="eastAsia" w:ascii="宋体" w:hAnsi="宋体" w:cs="宋体"/>
          <w:color w:val="auto"/>
          <w:kern w:val="0"/>
          <w:sz w:val="24"/>
          <w:highlight w:val="none"/>
          <w:lang w:val="zh-CN"/>
        </w:rPr>
        <w:t>。</w:t>
      </w:r>
    </w:p>
    <w:p w14:paraId="1B9CB3F2">
      <w:pPr>
        <w:spacing w:line="360" w:lineRule="auto"/>
        <w:ind w:left="120" w:firstLine="22"/>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1740"/>
        <w:gridCol w:w="1449"/>
        <w:gridCol w:w="1064"/>
        <w:gridCol w:w="2126"/>
      </w:tblGrid>
      <w:tr w14:paraId="5C05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B00CB3">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2DE41B4D">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22F81E82">
            <w:pPr>
              <w:spacing w:line="360" w:lineRule="auto"/>
              <w:ind w:left="120" w:firstLine="22"/>
              <w:jc w:val="center"/>
              <w:rPr>
                <w:rFonts w:hint="eastAsia" w:ascii="宋体" w:hAnsi="宋体" w:cs="宋体"/>
                <w:b/>
                <w:color w:val="auto"/>
                <w:sz w:val="24"/>
                <w:highlight w:val="none"/>
              </w:rPr>
            </w:pPr>
          </w:p>
          <w:p w14:paraId="23B72A49">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44DDE9D1">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05FD2B7">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1740" w:type="dxa"/>
            <w:vAlign w:val="center"/>
          </w:tcPr>
          <w:p w14:paraId="47237D83">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449" w:type="dxa"/>
          </w:tcPr>
          <w:p w14:paraId="3792EBEC">
            <w:pPr>
              <w:spacing w:line="360" w:lineRule="auto"/>
              <w:ind w:left="120" w:firstLine="22"/>
              <w:jc w:val="center"/>
              <w:rPr>
                <w:rFonts w:hint="eastAsia" w:ascii="宋体" w:hAnsi="宋体" w:cs="宋体"/>
                <w:b/>
                <w:color w:val="auto"/>
                <w:sz w:val="24"/>
                <w:highlight w:val="none"/>
              </w:rPr>
            </w:pPr>
          </w:p>
          <w:p w14:paraId="1A7194B4">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1064" w:type="dxa"/>
            <w:vAlign w:val="center"/>
          </w:tcPr>
          <w:p w14:paraId="12627A4F">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报价</w:t>
            </w:r>
          </w:p>
        </w:tc>
        <w:tc>
          <w:tcPr>
            <w:tcW w:w="2126" w:type="dxa"/>
            <w:vAlign w:val="center"/>
          </w:tcPr>
          <w:p w14:paraId="66FAF606">
            <w:pPr>
              <w:spacing w:line="360" w:lineRule="auto"/>
              <w:ind w:left="120" w:firstLine="22"/>
              <w:jc w:val="center"/>
              <w:rPr>
                <w:rFonts w:hint="eastAsia" w:ascii="宋体" w:hAnsi="宋体" w:cs="宋体"/>
                <w:b/>
                <w:color w:val="auto"/>
                <w:sz w:val="24"/>
                <w:highlight w:val="none"/>
              </w:rPr>
            </w:pPr>
          </w:p>
          <w:p w14:paraId="44BD2F67">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28D0597D">
            <w:pPr>
              <w:spacing w:line="360" w:lineRule="auto"/>
              <w:ind w:left="120" w:firstLine="22"/>
              <w:jc w:val="center"/>
              <w:rPr>
                <w:rFonts w:hint="eastAsia" w:ascii="宋体" w:hAnsi="宋体" w:cs="宋体"/>
                <w:b/>
                <w:color w:val="auto"/>
                <w:sz w:val="24"/>
                <w:highlight w:val="none"/>
              </w:rPr>
            </w:pPr>
          </w:p>
        </w:tc>
      </w:tr>
      <w:tr w14:paraId="5C8D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49A68BD">
            <w:pPr>
              <w:spacing w:line="360" w:lineRule="auto"/>
              <w:ind w:left="120" w:firstLine="22"/>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12B10164">
            <w:pPr>
              <w:snapToGrid w:val="0"/>
              <w:spacing w:line="360" w:lineRule="auto"/>
              <w:ind w:left="120" w:firstLine="22"/>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B8F0DEE">
            <w:pPr>
              <w:snapToGrid w:val="0"/>
              <w:spacing w:line="360" w:lineRule="auto"/>
              <w:ind w:left="120" w:firstLine="22"/>
              <w:jc w:val="center"/>
              <w:rPr>
                <w:rFonts w:hint="eastAsia" w:ascii="宋体" w:hAnsi="宋体" w:cs="宋体"/>
                <w:color w:val="auto"/>
                <w:sz w:val="24"/>
                <w:highlight w:val="none"/>
              </w:rPr>
            </w:pPr>
          </w:p>
        </w:tc>
        <w:tc>
          <w:tcPr>
            <w:tcW w:w="2410" w:type="dxa"/>
            <w:vAlign w:val="center"/>
          </w:tcPr>
          <w:p w14:paraId="2A162A92">
            <w:pPr>
              <w:snapToGrid w:val="0"/>
              <w:spacing w:line="360" w:lineRule="auto"/>
              <w:ind w:left="120" w:firstLine="22"/>
              <w:jc w:val="center"/>
              <w:rPr>
                <w:rFonts w:hint="eastAsia" w:ascii="宋体" w:hAnsi="宋体" w:cs="宋体"/>
                <w:color w:val="auto"/>
                <w:sz w:val="24"/>
                <w:highlight w:val="none"/>
              </w:rPr>
            </w:pPr>
          </w:p>
        </w:tc>
        <w:tc>
          <w:tcPr>
            <w:tcW w:w="2268" w:type="dxa"/>
            <w:vAlign w:val="center"/>
          </w:tcPr>
          <w:p w14:paraId="2F6BE4FA">
            <w:pPr>
              <w:snapToGrid w:val="0"/>
              <w:spacing w:line="360" w:lineRule="auto"/>
              <w:ind w:left="120" w:firstLine="22"/>
              <w:jc w:val="center"/>
              <w:rPr>
                <w:rFonts w:hint="eastAsia" w:ascii="宋体" w:hAnsi="宋体" w:cs="宋体"/>
                <w:color w:val="auto"/>
                <w:sz w:val="24"/>
                <w:highlight w:val="none"/>
              </w:rPr>
            </w:pPr>
          </w:p>
        </w:tc>
        <w:tc>
          <w:tcPr>
            <w:tcW w:w="1740" w:type="dxa"/>
            <w:vAlign w:val="center"/>
          </w:tcPr>
          <w:p w14:paraId="593C1EAA">
            <w:pPr>
              <w:spacing w:line="360" w:lineRule="auto"/>
              <w:ind w:left="120" w:firstLine="22"/>
              <w:jc w:val="center"/>
              <w:rPr>
                <w:rFonts w:hint="eastAsia" w:ascii="宋体" w:hAnsi="宋体" w:cs="宋体"/>
                <w:color w:val="auto"/>
                <w:sz w:val="24"/>
                <w:highlight w:val="none"/>
              </w:rPr>
            </w:pPr>
          </w:p>
        </w:tc>
        <w:tc>
          <w:tcPr>
            <w:tcW w:w="1449" w:type="dxa"/>
          </w:tcPr>
          <w:p w14:paraId="72714369">
            <w:pPr>
              <w:spacing w:line="360" w:lineRule="auto"/>
              <w:ind w:left="120" w:firstLine="22"/>
              <w:jc w:val="center"/>
              <w:rPr>
                <w:rFonts w:hint="eastAsia" w:ascii="宋体" w:hAnsi="宋体" w:cs="宋体"/>
                <w:color w:val="auto"/>
                <w:sz w:val="24"/>
                <w:highlight w:val="none"/>
              </w:rPr>
            </w:pPr>
          </w:p>
        </w:tc>
        <w:tc>
          <w:tcPr>
            <w:tcW w:w="1064" w:type="dxa"/>
          </w:tcPr>
          <w:p w14:paraId="7E34034F">
            <w:pPr>
              <w:spacing w:line="360" w:lineRule="auto"/>
              <w:ind w:left="120" w:firstLine="22"/>
              <w:jc w:val="center"/>
              <w:rPr>
                <w:rFonts w:hint="eastAsia" w:ascii="宋体" w:hAnsi="宋体" w:cs="宋体"/>
                <w:color w:val="auto"/>
                <w:sz w:val="24"/>
                <w:highlight w:val="none"/>
              </w:rPr>
            </w:pPr>
          </w:p>
        </w:tc>
        <w:tc>
          <w:tcPr>
            <w:tcW w:w="2126" w:type="dxa"/>
            <w:vAlign w:val="center"/>
          </w:tcPr>
          <w:p w14:paraId="2C6FEAC2">
            <w:pPr>
              <w:spacing w:line="360" w:lineRule="auto"/>
              <w:ind w:left="120" w:firstLine="22"/>
              <w:jc w:val="center"/>
              <w:rPr>
                <w:rFonts w:hint="eastAsia" w:ascii="宋体" w:hAnsi="宋体" w:cs="宋体"/>
                <w:color w:val="auto"/>
                <w:sz w:val="24"/>
                <w:highlight w:val="none"/>
              </w:rPr>
            </w:pPr>
          </w:p>
        </w:tc>
      </w:tr>
      <w:tr w14:paraId="1485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2862B5">
            <w:pPr>
              <w:spacing w:line="360" w:lineRule="auto"/>
              <w:ind w:left="120" w:firstLine="22"/>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735F9A7C">
            <w:pPr>
              <w:snapToGrid w:val="0"/>
              <w:spacing w:line="360" w:lineRule="auto"/>
              <w:ind w:left="120" w:firstLine="22"/>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35B673FE">
            <w:pPr>
              <w:snapToGrid w:val="0"/>
              <w:spacing w:line="360" w:lineRule="auto"/>
              <w:ind w:left="120" w:firstLine="22"/>
              <w:jc w:val="center"/>
              <w:rPr>
                <w:rFonts w:hint="eastAsia" w:ascii="宋体" w:hAnsi="宋体" w:cs="宋体"/>
                <w:color w:val="auto"/>
                <w:sz w:val="24"/>
                <w:highlight w:val="none"/>
              </w:rPr>
            </w:pPr>
          </w:p>
        </w:tc>
        <w:tc>
          <w:tcPr>
            <w:tcW w:w="2410" w:type="dxa"/>
            <w:vAlign w:val="center"/>
          </w:tcPr>
          <w:p w14:paraId="338CB54F">
            <w:pPr>
              <w:snapToGrid w:val="0"/>
              <w:spacing w:line="360" w:lineRule="auto"/>
              <w:ind w:left="120" w:firstLine="22"/>
              <w:jc w:val="center"/>
              <w:rPr>
                <w:rFonts w:hint="eastAsia" w:ascii="宋体" w:hAnsi="宋体" w:cs="宋体"/>
                <w:color w:val="auto"/>
                <w:sz w:val="24"/>
                <w:highlight w:val="none"/>
              </w:rPr>
            </w:pPr>
          </w:p>
        </w:tc>
        <w:tc>
          <w:tcPr>
            <w:tcW w:w="2268" w:type="dxa"/>
            <w:vAlign w:val="center"/>
          </w:tcPr>
          <w:p w14:paraId="38146FF7">
            <w:pPr>
              <w:snapToGrid w:val="0"/>
              <w:spacing w:line="360" w:lineRule="auto"/>
              <w:ind w:left="120" w:firstLine="22"/>
              <w:jc w:val="center"/>
              <w:rPr>
                <w:rFonts w:hint="eastAsia" w:ascii="宋体" w:hAnsi="宋体" w:cs="宋体"/>
                <w:color w:val="auto"/>
                <w:sz w:val="24"/>
                <w:highlight w:val="none"/>
              </w:rPr>
            </w:pPr>
          </w:p>
        </w:tc>
        <w:tc>
          <w:tcPr>
            <w:tcW w:w="1740" w:type="dxa"/>
            <w:vAlign w:val="center"/>
          </w:tcPr>
          <w:p w14:paraId="03182F86">
            <w:pPr>
              <w:spacing w:line="360" w:lineRule="auto"/>
              <w:ind w:left="120" w:firstLine="22"/>
              <w:jc w:val="center"/>
              <w:rPr>
                <w:rFonts w:hint="eastAsia" w:ascii="宋体" w:hAnsi="宋体" w:cs="宋体"/>
                <w:color w:val="auto"/>
                <w:sz w:val="24"/>
                <w:highlight w:val="none"/>
              </w:rPr>
            </w:pPr>
          </w:p>
        </w:tc>
        <w:tc>
          <w:tcPr>
            <w:tcW w:w="1449" w:type="dxa"/>
          </w:tcPr>
          <w:p w14:paraId="51E3E485">
            <w:pPr>
              <w:spacing w:line="360" w:lineRule="auto"/>
              <w:ind w:left="120" w:firstLine="22"/>
              <w:jc w:val="center"/>
              <w:rPr>
                <w:rFonts w:hint="eastAsia" w:ascii="宋体" w:hAnsi="宋体" w:cs="宋体"/>
                <w:color w:val="auto"/>
                <w:sz w:val="24"/>
                <w:highlight w:val="none"/>
              </w:rPr>
            </w:pPr>
          </w:p>
        </w:tc>
        <w:tc>
          <w:tcPr>
            <w:tcW w:w="1064" w:type="dxa"/>
          </w:tcPr>
          <w:p w14:paraId="2EC2AF0B">
            <w:pPr>
              <w:spacing w:line="360" w:lineRule="auto"/>
              <w:ind w:left="120" w:firstLine="22"/>
              <w:jc w:val="center"/>
              <w:rPr>
                <w:rFonts w:hint="eastAsia" w:ascii="宋体" w:hAnsi="宋体" w:cs="宋体"/>
                <w:color w:val="auto"/>
                <w:sz w:val="24"/>
                <w:highlight w:val="none"/>
              </w:rPr>
            </w:pPr>
          </w:p>
        </w:tc>
        <w:tc>
          <w:tcPr>
            <w:tcW w:w="2126" w:type="dxa"/>
            <w:vAlign w:val="center"/>
          </w:tcPr>
          <w:p w14:paraId="7DC1F29D">
            <w:pPr>
              <w:spacing w:line="360" w:lineRule="auto"/>
              <w:ind w:left="120" w:firstLine="22"/>
              <w:jc w:val="center"/>
              <w:rPr>
                <w:rFonts w:hint="eastAsia" w:ascii="宋体" w:hAnsi="宋体" w:cs="宋体"/>
                <w:color w:val="auto"/>
                <w:sz w:val="24"/>
                <w:highlight w:val="none"/>
              </w:rPr>
            </w:pPr>
          </w:p>
        </w:tc>
      </w:tr>
      <w:tr w14:paraId="4E76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8177E9">
            <w:pPr>
              <w:spacing w:line="360" w:lineRule="auto"/>
              <w:ind w:left="120" w:firstLine="22"/>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6DE21296">
            <w:pPr>
              <w:snapToGrid w:val="0"/>
              <w:spacing w:line="360" w:lineRule="auto"/>
              <w:ind w:left="120" w:firstLine="22"/>
              <w:jc w:val="center"/>
              <w:rPr>
                <w:rFonts w:hint="eastAsia" w:ascii="宋体" w:hAnsi="宋体" w:cs="宋体"/>
                <w:color w:val="auto"/>
                <w:sz w:val="24"/>
                <w:highlight w:val="none"/>
              </w:rPr>
            </w:pPr>
          </w:p>
        </w:tc>
        <w:tc>
          <w:tcPr>
            <w:tcW w:w="2268" w:type="dxa"/>
            <w:vAlign w:val="center"/>
          </w:tcPr>
          <w:p w14:paraId="14F008BE">
            <w:pPr>
              <w:snapToGrid w:val="0"/>
              <w:spacing w:line="360" w:lineRule="auto"/>
              <w:ind w:left="120" w:firstLine="22"/>
              <w:jc w:val="center"/>
              <w:rPr>
                <w:rFonts w:hint="eastAsia" w:ascii="宋体" w:hAnsi="宋体" w:cs="宋体"/>
                <w:color w:val="auto"/>
                <w:sz w:val="24"/>
                <w:highlight w:val="none"/>
              </w:rPr>
            </w:pPr>
          </w:p>
        </w:tc>
        <w:tc>
          <w:tcPr>
            <w:tcW w:w="2410" w:type="dxa"/>
            <w:vAlign w:val="center"/>
          </w:tcPr>
          <w:p w14:paraId="578C2B6D">
            <w:pPr>
              <w:snapToGrid w:val="0"/>
              <w:spacing w:line="360" w:lineRule="auto"/>
              <w:ind w:left="120" w:firstLine="22"/>
              <w:jc w:val="center"/>
              <w:rPr>
                <w:rFonts w:hint="eastAsia" w:ascii="宋体" w:hAnsi="宋体" w:cs="宋体"/>
                <w:color w:val="auto"/>
                <w:sz w:val="24"/>
                <w:highlight w:val="none"/>
              </w:rPr>
            </w:pPr>
          </w:p>
        </w:tc>
        <w:tc>
          <w:tcPr>
            <w:tcW w:w="2268" w:type="dxa"/>
            <w:vAlign w:val="center"/>
          </w:tcPr>
          <w:p w14:paraId="376ADC99">
            <w:pPr>
              <w:snapToGrid w:val="0"/>
              <w:spacing w:line="360" w:lineRule="auto"/>
              <w:ind w:left="120" w:firstLine="22"/>
              <w:jc w:val="center"/>
              <w:rPr>
                <w:rFonts w:hint="eastAsia" w:ascii="宋体" w:hAnsi="宋体" w:cs="宋体"/>
                <w:color w:val="auto"/>
                <w:sz w:val="24"/>
                <w:highlight w:val="none"/>
              </w:rPr>
            </w:pPr>
          </w:p>
        </w:tc>
        <w:tc>
          <w:tcPr>
            <w:tcW w:w="1740" w:type="dxa"/>
            <w:vAlign w:val="center"/>
          </w:tcPr>
          <w:p w14:paraId="199DB7EB">
            <w:pPr>
              <w:spacing w:line="360" w:lineRule="auto"/>
              <w:ind w:left="120" w:firstLine="22"/>
              <w:jc w:val="center"/>
              <w:rPr>
                <w:rFonts w:hint="eastAsia" w:ascii="宋体" w:hAnsi="宋体" w:cs="宋体"/>
                <w:color w:val="auto"/>
                <w:sz w:val="24"/>
                <w:highlight w:val="none"/>
              </w:rPr>
            </w:pPr>
          </w:p>
        </w:tc>
        <w:tc>
          <w:tcPr>
            <w:tcW w:w="1449" w:type="dxa"/>
          </w:tcPr>
          <w:p w14:paraId="52A58025">
            <w:pPr>
              <w:spacing w:line="360" w:lineRule="auto"/>
              <w:ind w:left="120" w:firstLine="22"/>
              <w:jc w:val="center"/>
              <w:rPr>
                <w:rFonts w:hint="eastAsia" w:ascii="宋体" w:hAnsi="宋体" w:cs="宋体"/>
                <w:color w:val="auto"/>
                <w:sz w:val="24"/>
                <w:highlight w:val="none"/>
              </w:rPr>
            </w:pPr>
          </w:p>
        </w:tc>
        <w:tc>
          <w:tcPr>
            <w:tcW w:w="1064" w:type="dxa"/>
          </w:tcPr>
          <w:p w14:paraId="3231FA1D">
            <w:pPr>
              <w:spacing w:line="360" w:lineRule="auto"/>
              <w:ind w:left="120" w:firstLine="22"/>
              <w:jc w:val="center"/>
              <w:rPr>
                <w:rFonts w:hint="eastAsia" w:ascii="宋体" w:hAnsi="宋体" w:cs="宋体"/>
                <w:color w:val="auto"/>
                <w:sz w:val="24"/>
                <w:highlight w:val="none"/>
              </w:rPr>
            </w:pPr>
          </w:p>
        </w:tc>
        <w:tc>
          <w:tcPr>
            <w:tcW w:w="2126" w:type="dxa"/>
            <w:vAlign w:val="center"/>
          </w:tcPr>
          <w:p w14:paraId="4254E8E0">
            <w:pPr>
              <w:spacing w:line="360" w:lineRule="auto"/>
              <w:ind w:left="120" w:firstLine="22"/>
              <w:jc w:val="center"/>
              <w:rPr>
                <w:rFonts w:hint="eastAsia" w:ascii="宋体" w:hAnsi="宋体" w:cs="宋体"/>
                <w:color w:val="auto"/>
                <w:sz w:val="24"/>
                <w:highlight w:val="none"/>
              </w:rPr>
            </w:pPr>
          </w:p>
        </w:tc>
      </w:tr>
      <w:tr w14:paraId="3DEE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7E0E60">
            <w:pPr>
              <w:spacing w:line="360" w:lineRule="auto"/>
              <w:ind w:left="120" w:firstLine="22"/>
              <w:jc w:val="center"/>
              <w:rPr>
                <w:rFonts w:hint="eastAsia" w:ascii="宋体" w:hAnsi="宋体" w:cs="宋体"/>
                <w:color w:val="auto"/>
                <w:sz w:val="24"/>
                <w:highlight w:val="none"/>
              </w:rPr>
            </w:pPr>
          </w:p>
        </w:tc>
        <w:tc>
          <w:tcPr>
            <w:tcW w:w="992" w:type="dxa"/>
            <w:vAlign w:val="center"/>
          </w:tcPr>
          <w:p w14:paraId="6DFA570F">
            <w:pPr>
              <w:snapToGrid w:val="0"/>
              <w:spacing w:line="360" w:lineRule="auto"/>
              <w:ind w:left="120" w:firstLine="22"/>
              <w:jc w:val="center"/>
              <w:rPr>
                <w:rFonts w:hint="eastAsia" w:ascii="宋体" w:hAnsi="宋体" w:cs="宋体"/>
                <w:color w:val="auto"/>
                <w:sz w:val="24"/>
                <w:highlight w:val="none"/>
              </w:rPr>
            </w:pPr>
          </w:p>
        </w:tc>
        <w:tc>
          <w:tcPr>
            <w:tcW w:w="2268" w:type="dxa"/>
            <w:vAlign w:val="center"/>
          </w:tcPr>
          <w:p w14:paraId="37EAC0A7">
            <w:pPr>
              <w:snapToGrid w:val="0"/>
              <w:spacing w:line="360" w:lineRule="auto"/>
              <w:ind w:left="120" w:firstLine="22"/>
              <w:jc w:val="center"/>
              <w:rPr>
                <w:rFonts w:hint="eastAsia" w:ascii="宋体" w:hAnsi="宋体" w:cs="宋体"/>
                <w:color w:val="auto"/>
                <w:sz w:val="24"/>
                <w:highlight w:val="none"/>
              </w:rPr>
            </w:pPr>
          </w:p>
        </w:tc>
        <w:tc>
          <w:tcPr>
            <w:tcW w:w="2410" w:type="dxa"/>
            <w:vAlign w:val="center"/>
          </w:tcPr>
          <w:p w14:paraId="43ED9737">
            <w:pPr>
              <w:snapToGrid w:val="0"/>
              <w:spacing w:line="360" w:lineRule="auto"/>
              <w:ind w:left="120" w:firstLine="22"/>
              <w:jc w:val="center"/>
              <w:rPr>
                <w:rFonts w:hint="eastAsia" w:ascii="宋体" w:hAnsi="宋体" w:cs="宋体"/>
                <w:color w:val="auto"/>
                <w:sz w:val="24"/>
                <w:highlight w:val="none"/>
              </w:rPr>
            </w:pPr>
          </w:p>
        </w:tc>
        <w:tc>
          <w:tcPr>
            <w:tcW w:w="2268" w:type="dxa"/>
            <w:vAlign w:val="center"/>
          </w:tcPr>
          <w:p w14:paraId="0CCEFCF0">
            <w:pPr>
              <w:snapToGrid w:val="0"/>
              <w:spacing w:line="360" w:lineRule="auto"/>
              <w:ind w:left="120" w:firstLine="22"/>
              <w:jc w:val="center"/>
              <w:rPr>
                <w:rFonts w:hint="eastAsia" w:ascii="宋体" w:hAnsi="宋体" w:cs="宋体"/>
                <w:color w:val="auto"/>
                <w:sz w:val="24"/>
                <w:highlight w:val="none"/>
              </w:rPr>
            </w:pPr>
          </w:p>
        </w:tc>
        <w:tc>
          <w:tcPr>
            <w:tcW w:w="1740" w:type="dxa"/>
            <w:vAlign w:val="center"/>
          </w:tcPr>
          <w:p w14:paraId="7BCA4280">
            <w:pPr>
              <w:spacing w:line="360" w:lineRule="auto"/>
              <w:ind w:left="120" w:firstLine="22"/>
              <w:jc w:val="center"/>
              <w:rPr>
                <w:rFonts w:hint="eastAsia" w:ascii="宋体" w:hAnsi="宋体" w:cs="宋体"/>
                <w:color w:val="auto"/>
                <w:sz w:val="24"/>
                <w:highlight w:val="none"/>
              </w:rPr>
            </w:pPr>
          </w:p>
        </w:tc>
        <w:tc>
          <w:tcPr>
            <w:tcW w:w="1449" w:type="dxa"/>
          </w:tcPr>
          <w:p w14:paraId="19661500">
            <w:pPr>
              <w:spacing w:line="360" w:lineRule="auto"/>
              <w:ind w:left="120" w:firstLine="22"/>
              <w:jc w:val="center"/>
              <w:rPr>
                <w:rFonts w:hint="eastAsia" w:ascii="宋体" w:hAnsi="宋体" w:cs="宋体"/>
                <w:color w:val="auto"/>
                <w:sz w:val="24"/>
                <w:highlight w:val="none"/>
              </w:rPr>
            </w:pPr>
          </w:p>
        </w:tc>
        <w:tc>
          <w:tcPr>
            <w:tcW w:w="1064" w:type="dxa"/>
          </w:tcPr>
          <w:p w14:paraId="7C405512">
            <w:pPr>
              <w:spacing w:line="360" w:lineRule="auto"/>
              <w:ind w:left="120" w:firstLine="22"/>
              <w:jc w:val="center"/>
              <w:rPr>
                <w:rFonts w:hint="eastAsia" w:ascii="宋体" w:hAnsi="宋体" w:cs="宋体"/>
                <w:color w:val="auto"/>
                <w:sz w:val="24"/>
                <w:highlight w:val="none"/>
              </w:rPr>
            </w:pPr>
          </w:p>
        </w:tc>
        <w:tc>
          <w:tcPr>
            <w:tcW w:w="2126" w:type="dxa"/>
            <w:vAlign w:val="center"/>
          </w:tcPr>
          <w:p w14:paraId="4B0C9CF5">
            <w:pPr>
              <w:spacing w:line="360" w:lineRule="auto"/>
              <w:ind w:left="120" w:firstLine="22"/>
              <w:jc w:val="center"/>
              <w:rPr>
                <w:rFonts w:hint="eastAsia" w:ascii="宋体" w:hAnsi="宋体" w:cs="宋体"/>
                <w:color w:val="auto"/>
                <w:sz w:val="24"/>
                <w:highlight w:val="none"/>
              </w:rPr>
            </w:pPr>
          </w:p>
        </w:tc>
      </w:tr>
      <w:tr w14:paraId="240E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8647358">
            <w:pPr>
              <w:spacing w:line="360" w:lineRule="auto"/>
              <w:ind w:left="120" w:firstLine="22"/>
              <w:jc w:val="center"/>
              <w:rPr>
                <w:rFonts w:hint="eastAsia" w:ascii="宋体" w:hAnsi="宋体" w:cs="宋体"/>
                <w:color w:val="auto"/>
                <w:sz w:val="24"/>
                <w:highlight w:val="none"/>
              </w:rPr>
            </w:pPr>
          </w:p>
        </w:tc>
        <w:tc>
          <w:tcPr>
            <w:tcW w:w="992" w:type="dxa"/>
            <w:vAlign w:val="center"/>
          </w:tcPr>
          <w:p w14:paraId="40A9EB08">
            <w:pPr>
              <w:snapToGrid w:val="0"/>
              <w:spacing w:line="360" w:lineRule="auto"/>
              <w:ind w:left="120" w:firstLine="22"/>
              <w:jc w:val="center"/>
              <w:rPr>
                <w:rFonts w:hint="eastAsia" w:ascii="宋体" w:hAnsi="宋体" w:cs="宋体"/>
                <w:color w:val="auto"/>
                <w:sz w:val="24"/>
                <w:highlight w:val="none"/>
              </w:rPr>
            </w:pPr>
          </w:p>
        </w:tc>
        <w:tc>
          <w:tcPr>
            <w:tcW w:w="2268" w:type="dxa"/>
            <w:vAlign w:val="center"/>
          </w:tcPr>
          <w:p w14:paraId="51AA79AE">
            <w:pPr>
              <w:snapToGrid w:val="0"/>
              <w:spacing w:line="360" w:lineRule="auto"/>
              <w:ind w:left="120" w:firstLine="22"/>
              <w:jc w:val="center"/>
              <w:rPr>
                <w:rFonts w:hint="eastAsia" w:ascii="宋体" w:hAnsi="宋体" w:cs="宋体"/>
                <w:color w:val="auto"/>
                <w:sz w:val="24"/>
                <w:highlight w:val="none"/>
              </w:rPr>
            </w:pPr>
          </w:p>
        </w:tc>
        <w:tc>
          <w:tcPr>
            <w:tcW w:w="2410" w:type="dxa"/>
            <w:vAlign w:val="center"/>
          </w:tcPr>
          <w:p w14:paraId="140AF802">
            <w:pPr>
              <w:snapToGrid w:val="0"/>
              <w:spacing w:line="360" w:lineRule="auto"/>
              <w:ind w:left="120" w:firstLine="22"/>
              <w:jc w:val="center"/>
              <w:rPr>
                <w:rFonts w:hint="eastAsia" w:ascii="宋体" w:hAnsi="宋体" w:cs="宋体"/>
                <w:color w:val="auto"/>
                <w:sz w:val="24"/>
                <w:highlight w:val="none"/>
              </w:rPr>
            </w:pPr>
          </w:p>
        </w:tc>
        <w:tc>
          <w:tcPr>
            <w:tcW w:w="2268" w:type="dxa"/>
            <w:vAlign w:val="center"/>
          </w:tcPr>
          <w:p w14:paraId="03D91882">
            <w:pPr>
              <w:snapToGrid w:val="0"/>
              <w:spacing w:line="360" w:lineRule="auto"/>
              <w:ind w:left="120" w:firstLine="22"/>
              <w:jc w:val="center"/>
              <w:rPr>
                <w:rFonts w:hint="eastAsia" w:ascii="宋体" w:hAnsi="宋体" w:cs="宋体"/>
                <w:color w:val="auto"/>
                <w:sz w:val="24"/>
                <w:highlight w:val="none"/>
              </w:rPr>
            </w:pPr>
          </w:p>
        </w:tc>
        <w:tc>
          <w:tcPr>
            <w:tcW w:w="1740" w:type="dxa"/>
            <w:vAlign w:val="center"/>
          </w:tcPr>
          <w:p w14:paraId="3A8DD40C">
            <w:pPr>
              <w:spacing w:line="360" w:lineRule="auto"/>
              <w:ind w:left="120" w:firstLine="22"/>
              <w:jc w:val="center"/>
              <w:rPr>
                <w:rFonts w:hint="eastAsia" w:ascii="宋体" w:hAnsi="宋体" w:cs="宋体"/>
                <w:color w:val="auto"/>
                <w:sz w:val="24"/>
                <w:highlight w:val="none"/>
              </w:rPr>
            </w:pPr>
          </w:p>
        </w:tc>
        <w:tc>
          <w:tcPr>
            <w:tcW w:w="1449" w:type="dxa"/>
          </w:tcPr>
          <w:p w14:paraId="6E0C9943">
            <w:pPr>
              <w:spacing w:line="360" w:lineRule="auto"/>
              <w:ind w:left="120" w:firstLine="22"/>
              <w:jc w:val="center"/>
              <w:rPr>
                <w:rFonts w:hint="eastAsia" w:ascii="宋体" w:hAnsi="宋体" w:cs="宋体"/>
                <w:color w:val="auto"/>
                <w:sz w:val="24"/>
                <w:highlight w:val="none"/>
              </w:rPr>
            </w:pPr>
          </w:p>
        </w:tc>
        <w:tc>
          <w:tcPr>
            <w:tcW w:w="1064" w:type="dxa"/>
          </w:tcPr>
          <w:p w14:paraId="7460956D">
            <w:pPr>
              <w:spacing w:line="360" w:lineRule="auto"/>
              <w:ind w:left="120" w:firstLine="22"/>
              <w:jc w:val="center"/>
              <w:rPr>
                <w:rFonts w:hint="eastAsia" w:ascii="宋体" w:hAnsi="宋体" w:cs="宋体"/>
                <w:color w:val="auto"/>
                <w:sz w:val="24"/>
                <w:highlight w:val="none"/>
              </w:rPr>
            </w:pPr>
          </w:p>
        </w:tc>
        <w:tc>
          <w:tcPr>
            <w:tcW w:w="2126" w:type="dxa"/>
            <w:vAlign w:val="center"/>
          </w:tcPr>
          <w:p w14:paraId="38515AA1">
            <w:pPr>
              <w:spacing w:line="360" w:lineRule="auto"/>
              <w:ind w:left="120" w:firstLine="22"/>
              <w:jc w:val="center"/>
              <w:rPr>
                <w:rFonts w:hint="eastAsia" w:ascii="宋体" w:hAnsi="宋体" w:cs="宋体"/>
                <w:color w:val="auto"/>
                <w:sz w:val="24"/>
                <w:highlight w:val="none"/>
              </w:rPr>
            </w:pPr>
          </w:p>
        </w:tc>
      </w:tr>
      <w:tr w14:paraId="20D2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F0A85D0">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5"/>
          </w:tcPr>
          <w:p w14:paraId="31BC5341">
            <w:pPr>
              <w:spacing w:line="360" w:lineRule="auto"/>
              <w:ind w:left="120" w:firstLine="22"/>
              <w:jc w:val="center"/>
              <w:rPr>
                <w:rFonts w:hint="eastAsia" w:ascii="宋体" w:hAnsi="宋体" w:cs="宋体"/>
                <w:color w:val="auto"/>
                <w:sz w:val="24"/>
                <w:highlight w:val="none"/>
              </w:rPr>
            </w:pPr>
          </w:p>
        </w:tc>
      </w:tr>
      <w:tr w14:paraId="13D6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0CA0F56">
            <w:pPr>
              <w:spacing w:line="360" w:lineRule="auto"/>
              <w:ind w:left="120" w:firstLine="22"/>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5"/>
          </w:tcPr>
          <w:p w14:paraId="72BB3B18">
            <w:pPr>
              <w:spacing w:line="360" w:lineRule="auto"/>
              <w:ind w:left="120" w:firstLine="22"/>
              <w:jc w:val="center"/>
              <w:rPr>
                <w:rFonts w:hint="eastAsia" w:ascii="宋体" w:hAnsi="宋体" w:cs="宋体"/>
                <w:color w:val="auto"/>
                <w:sz w:val="24"/>
                <w:highlight w:val="none"/>
              </w:rPr>
            </w:pPr>
          </w:p>
        </w:tc>
      </w:tr>
    </w:tbl>
    <w:p w14:paraId="38669C5E">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38981B0">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D4117F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5419FE6">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FB726DA">
      <w:pPr>
        <w:pStyle w:val="3"/>
        <w:keepNext w:val="0"/>
        <w:keepLines w:val="0"/>
        <w:pageBreakBefore/>
        <w:widowControl/>
        <w:spacing w:before="100" w:beforeAutospacing="1" w:after="100" w:afterAutospacing="1" w:line="360" w:lineRule="auto"/>
        <w:ind w:left="120" w:firstLine="22"/>
        <w:jc w:val="center"/>
        <w:rPr>
          <w:rFonts w:hint="eastAsia" w:ascii="宋体" w:hAnsi="宋体" w:cs="宋体"/>
          <w:color w:val="auto"/>
          <w:highlight w:val="none"/>
        </w:rPr>
        <w:sectPr>
          <w:headerReference r:id="rId21" w:type="first"/>
          <w:footerReference r:id="rId23" w:type="first"/>
          <w:headerReference r:id="rId20" w:type="default"/>
          <w:footerReference r:id="rId22" w:type="default"/>
          <w:pgSz w:w="16838" w:h="11906" w:orient="landscape"/>
          <w:pgMar w:top="1417" w:right="1276" w:bottom="1417" w:left="1247" w:header="851" w:footer="992" w:gutter="0"/>
          <w:cols w:space="0" w:num="1"/>
          <w:titlePg/>
          <w:docGrid w:linePitch="312" w:charSpace="0"/>
        </w:sectPr>
      </w:pPr>
    </w:p>
    <w:p w14:paraId="510828BB">
      <w:pPr>
        <w:pStyle w:val="3"/>
        <w:keepNext w:val="0"/>
        <w:keepLines w:val="0"/>
        <w:pageBreakBefore/>
        <w:widowControl/>
        <w:spacing w:before="100" w:beforeAutospacing="1" w:after="100" w:afterAutospacing="1" w:line="360" w:lineRule="auto"/>
        <w:ind w:left="120" w:firstLine="22"/>
        <w:jc w:val="center"/>
        <w:rPr>
          <w:rFonts w:hint="eastAsia" w:ascii="宋体" w:hAnsi="宋体" w:cs="宋体"/>
          <w:color w:val="auto"/>
          <w:highlight w:val="none"/>
        </w:rPr>
      </w:pPr>
      <w:r>
        <w:rPr>
          <w:rFonts w:hint="eastAsia" w:ascii="宋体" w:hAnsi="宋体" w:cs="宋体"/>
          <w:color w:val="auto"/>
          <w:highlight w:val="none"/>
        </w:rPr>
        <w:t>附件</w:t>
      </w:r>
    </w:p>
    <w:p w14:paraId="410F6E11">
      <w:pPr>
        <w:spacing w:line="360" w:lineRule="auto"/>
        <w:ind w:left="120" w:firstLine="22"/>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7FE5DBE">
      <w:pPr>
        <w:spacing w:line="360" w:lineRule="auto"/>
        <w:ind w:left="120" w:firstLine="22"/>
        <w:jc w:val="center"/>
        <w:outlineLvl w:val="1"/>
        <w:rPr>
          <w:rFonts w:hint="eastAsia" w:ascii="宋体" w:hAnsi="宋体" w:cs="宋体"/>
          <w:b/>
          <w:color w:val="auto"/>
          <w:spacing w:val="6"/>
          <w:sz w:val="32"/>
          <w:szCs w:val="32"/>
          <w:highlight w:val="none"/>
        </w:rPr>
      </w:pPr>
      <w:bookmarkStart w:id="548" w:name="OLE_LINK13"/>
      <w:bookmarkStart w:id="549" w:name="OLE_LINK14"/>
      <w:r>
        <w:rPr>
          <w:rFonts w:hint="eastAsia" w:ascii="宋体" w:hAnsi="宋体" w:cs="宋体"/>
          <w:b/>
          <w:color w:val="auto"/>
          <w:spacing w:val="6"/>
          <w:sz w:val="32"/>
          <w:szCs w:val="32"/>
          <w:highlight w:val="none"/>
        </w:rPr>
        <w:t>残疾人福利性单位声明函</w:t>
      </w:r>
    </w:p>
    <w:bookmarkEnd w:id="548"/>
    <w:bookmarkEnd w:id="549"/>
    <w:p w14:paraId="445EF427">
      <w:pPr>
        <w:spacing w:line="360" w:lineRule="auto"/>
        <w:ind w:left="120" w:firstLine="22"/>
        <w:rPr>
          <w:rFonts w:hint="eastAsia" w:ascii="宋体" w:hAnsi="宋体" w:cs="宋体"/>
          <w:b/>
          <w:color w:val="auto"/>
          <w:spacing w:val="6"/>
          <w:sz w:val="30"/>
          <w:szCs w:val="30"/>
          <w:highlight w:val="none"/>
        </w:rPr>
      </w:pPr>
    </w:p>
    <w:p w14:paraId="09C94381">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杭州市年度城市交通运行及公众出行特征动态评估报告</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92F5C58">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8F66372">
      <w:pPr>
        <w:spacing w:line="360" w:lineRule="auto"/>
        <w:ind w:left="120" w:firstLine="480" w:firstLineChars="200"/>
        <w:rPr>
          <w:rFonts w:hint="eastAsia" w:ascii="宋体" w:hAnsi="宋体" w:cs="宋体"/>
          <w:color w:val="auto"/>
          <w:sz w:val="24"/>
          <w:highlight w:val="none"/>
        </w:rPr>
      </w:pPr>
    </w:p>
    <w:p w14:paraId="1F52178F">
      <w:pPr>
        <w:spacing w:line="360" w:lineRule="auto"/>
        <w:ind w:left="120" w:firstLine="480" w:firstLineChars="200"/>
        <w:rPr>
          <w:rFonts w:hint="eastAsia" w:ascii="宋体" w:hAnsi="宋体" w:cs="宋体"/>
          <w:color w:val="auto"/>
          <w:sz w:val="24"/>
          <w:highlight w:val="none"/>
        </w:rPr>
      </w:pPr>
    </w:p>
    <w:p w14:paraId="2B5E8844">
      <w:pPr>
        <w:tabs>
          <w:tab w:val="left" w:pos="4860"/>
        </w:tabs>
        <w:spacing w:line="360" w:lineRule="auto"/>
        <w:ind w:left="120"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49E5ED6">
      <w:pPr>
        <w:tabs>
          <w:tab w:val="left" w:pos="4860"/>
        </w:tabs>
        <w:spacing w:line="360" w:lineRule="auto"/>
        <w:ind w:left="120"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2AA9122F">
      <w:pPr>
        <w:spacing w:line="360" w:lineRule="auto"/>
        <w:ind w:left="120" w:firstLine="480" w:firstLineChars="200"/>
        <w:rPr>
          <w:rFonts w:hint="eastAsia" w:ascii="宋体" w:hAnsi="宋体" w:cs="宋体"/>
          <w:color w:val="auto"/>
          <w:sz w:val="24"/>
          <w:highlight w:val="none"/>
        </w:rPr>
      </w:pPr>
    </w:p>
    <w:p w14:paraId="332B51C4">
      <w:pPr>
        <w:spacing w:line="360" w:lineRule="auto"/>
        <w:ind w:left="120" w:firstLine="420" w:firstLineChars="200"/>
        <w:rPr>
          <w:rFonts w:hint="eastAsia" w:ascii="宋体" w:hAnsi="宋体" w:cs="宋体"/>
          <w:color w:val="auto"/>
          <w:highlight w:val="none"/>
        </w:rPr>
      </w:pPr>
    </w:p>
    <w:p w14:paraId="1FECAAFD">
      <w:pPr>
        <w:spacing w:line="360" w:lineRule="auto"/>
        <w:ind w:left="120" w:firstLine="420" w:firstLineChars="200"/>
        <w:rPr>
          <w:rFonts w:hint="eastAsia" w:ascii="宋体" w:hAnsi="宋体" w:cs="宋体"/>
          <w:color w:val="auto"/>
          <w:highlight w:val="none"/>
        </w:rPr>
      </w:pPr>
    </w:p>
    <w:p w14:paraId="55687D22">
      <w:pPr>
        <w:spacing w:line="360" w:lineRule="auto"/>
        <w:ind w:left="120" w:firstLine="420" w:firstLineChars="200"/>
        <w:rPr>
          <w:rFonts w:hint="eastAsia" w:ascii="宋体" w:hAnsi="宋体" w:cs="宋体"/>
          <w:color w:val="auto"/>
          <w:highlight w:val="none"/>
        </w:rPr>
      </w:pPr>
    </w:p>
    <w:p w14:paraId="2495574C">
      <w:pPr>
        <w:spacing w:line="360" w:lineRule="auto"/>
        <w:ind w:left="120" w:firstLine="420" w:firstLineChars="200"/>
        <w:rPr>
          <w:rFonts w:hint="eastAsia" w:ascii="宋体" w:hAnsi="宋体" w:cs="宋体"/>
          <w:color w:val="auto"/>
          <w:highlight w:val="none"/>
        </w:rPr>
      </w:pPr>
    </w:p>
    <w:p w14:paraId="1042BF33">
      <w:pPr>
        <w:spacing w:line="360" w:lineRule="auto"/>
        <w:ind w:left="120" w:firstLine="22"/>
        <w:rPr>
          <w:rFonts w:hint="eastAsia" w:ascii="宋体" w:hAnsi="宋体" w:cs="宋体"/>
          <w:b/>
          <w:color w:val="auto"/>
          <w:sz w:val="24"/>
          <w:highlight w:val="none"/>
        </w:rPr>
      </w:pPr>
    </w:p>
    <w:p w14:paraId="6BADD108">
      <w:pPr>
        <w:spacing w:line="360" w:lineRule="auto"/>
        <w:ind w:left="120" w:firstLine="22"/>
        <w:rPr>
          <w:rFonts w:hint="eastAsia" w:ascii="宋体" w:hAnsi="宋体" w:cs="宋体"/>
          <w:b/>
          <w:color w:val="auto"/>
          <w:sz w:val="24"/>
          <w:highlight w:val="none"/>
        </w:rPr>
      </w:pPr>
    </w:p>
    <w:p w14:paraId="06390104">
      <w:pPr>
        <w:spacing w:line="360" w:lineRule="auto"/>
        <w:ind w:left="120" w:firstLine="22"/>
        <w:rPr>
          <w:rFonts w:hint="eastAsia" w:ascii="宋体" w:hAnsi="宋体" w:cs="宋体"/>
          <w:b/>
          <w:color w:val="auto"/>
          <w:sz w:val="24"/>
          <w:highlight w:val="none"/>
        </w:rPr>
      </w:pPr>
    </w:p>
    <w:p w14:paraId="53E8B983">
      <w:pPr>
        <w:spacing w:line="360" w:lineRule="auto"/>
        <w:ind w:left="120" w:firstLine="22"/>
        <w:rPr>
          <w:rFonts w:hint="eastAsia" w:ascii="宋体" w:hAnsi="宋体" w:cs="宋体"/>
          <w:b/>
          <w:color w:val="auto"/>
          <w:sz w:val="24"/>
          <w:highlight w:val="none"/>
        </w:rPr>
      </w:pPr>
    </w:p>
    <w:p w14:paraId="2221C63C">
      <w:pPr>
        <w:spacing w:line="360" w:lineRule="auto"/>
        <w:ind w:left="120" w:firstLine="22"/>
        <w:rPr>
          <w:rFonts w:hint="eastAsia" w:ascii="宋体" w:hAnsi="宋体" w:cs="宋体"/>
          <w:b/>
          <w:color w:val="auto"/>
          <w:sz w:val="24"/>
          <w:highlight w:val="none"/>
        </w:rPr>
      </w:pPr>
    </w:p>
    <w:p w14:paraId="04BEB801">
      <w:pPr>
        <w:spacing w:line="360" w:lineRule="auto"/>
        <w:ind w:left="120" w:firstLine="22"/>
        <w:rPr>
          <w:rFonts w:hint="eastAsia" w:ascii="宋体" w:hAnsi="宋体" w:cs="宋体"/>
          <w:b/>
          <w:color w:val="auto"/>
          <w:sz w:val="24"/>
          <w:highlight w:val="none"/>
        </w:rPr>
      </w:pPr>
    </w:p>
    <w:p w14:paraId="23A5A76D">
      <w:pPr>
        <w:spacing w:line="360" w:lineRule="auto"/>
        <w:ind w:left="120" w:firstLine="22"/>
        <w:rPr>
          <w:rFonts w:hint="eastAsia" w:ascii="宋体" w:hAnsi="宋体" w:cs="宋体"/>
          <w:b/>
          <w:color w:val="auto"/>
          <w:sz w:val="24"/>
          <w:highlight w:val="none"/>
        </w:rPr>
      </w:pPr>
    </w:p>
    <w:p w14:paraId="2514C8C1">
      <w:pPr>
        <w:spacing w:line="360" w:lineRule="auto"/>
        <w:ind w:left="120" w:firstLine="22"/>
        <w:rPr>
          <w:rFonts w:hint="eastAsia" w:ascii="宋体" w:hAnsi="宋体" w:cs="宋体"/>
          <w:b/>
          <w:color w:val="auto"/>
          <w:sz w:val="24"/>
          <w:highlight w:val="none"/>
        </w:rPr>
      </w:pPr>
    </w:p>
    <w:p w14:paraId="29666AE2">
      <w:pPr>
        <w:spacing w:line="360" w:lineRule="auto"/>
        <w:ind w:left="120" w:firstLine="22"/>
        <w:jc w:val="center"/>
        <w:rPr>
          <w:rFonts w:hint="eastAsia" w:ascii="宋体" w:hAnsi="宋体" w:cs="宋体"/>
          <w:b/>
          <w:color w:val="auto"/>
          <w:sz w:val="24"/>
          <w:highlight w:val="none"/>
        </w:rPr>
      </w:pPr>
    </w:p>
    <w:p w14:paraId="591F209D">
      <w:pPr>
        <w:spacing w:line="360" w:lineRule="auto"/>
        <w:ind w:left="120" w:firstLine="1666" w:firstLineChars="500"/>
        <w:jc w:val="left"/>
        <w:outlineLvl w:val="1"/>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A330FF0">
      <w:pPr>
        <w:spacing w:line="360" w:lineRule="auto"/>
        <w:ind w:left="120" w:firstLine="22"/>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3F7290E">
      <w:pPr>
        <w:snapToGrid w:val="0"/>
        <w:spacing w:before="240" w:beforeLines="100" w:line="360" w:lineRule="auto"/>
        <w:ind w:left="120" w:firstLine="22"/>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2BEEC0C6">
      <w:pPr>
        <w:snapToGrid w:val="0"/>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16638BC">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99B3EBE">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3C2CC93">
      <w:pPr>
        <w:snapToGrid w:val="0"/>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32F08A1">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E6AF189">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7C107EF">
      <w:pPr>
        <w:snapToGrid w:val="0"/>
        <w:spacing w:line="360" w:lineRule="auto"/>
        <w:ind w:left="120" w:firstLine="22"/>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735A3CB4">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7D7C045">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AF81312">
      <w:pPr>
        <w:snapToGrid w:val="0"/>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A008AFA">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1E0992D">
      <w:pPr>
        <w:snapToGrid w:val="0"/>
        <w:spacing w:line="360" w:lineRule="auto"/>
        <w:ind w:left="120" w:firstLine="22"/>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20610CAC">
      <w:pPr>
        <w:snapToGrid w:val="0"/>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62FD43D">
      <w:pPr>
        <w:snapToGrid w:val="0"/>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3EE0A04">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4E031DD5">
      <w:pPr>
        <w:snapToGrid w:val="0"/>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89C612C">
      <w:pPr>
        <w:snapToGrid w:val="0"/>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248CB4C">
      <w:pPr>
        <w:snapToGrid w:val="0"/>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4DABF52E">
      <w:pPr>
        <w:snapToGrid w:val="0"/>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w:t>
      </w:r>
    </w:p>
    <w:p w14:paraId="58E9C5FE">
      <w:pPr>
        <w:snapToGrid w:val="0"/>
        <w:spacing w:line="360" w:lineRule="auto"/>
        <w:ind w:left="120" w:firstLine="22"/>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B5D8AC6">
      <w:pPr>
        <w:snapToGrid w:val="0"/>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EA19E2D">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93E12CB">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6D63C5B1">
      <w:pPr>
        <w:spacing w:line="360" w:lineRule="auto"/>
        <w:ind w:left="120" w:firstLine="22"/>
        <w:jc w:val="center"/>
        <w:rPr>
          <w:rFonts w:hint="eastAsia" w:ascii="宋体" w:hAnsi="宋体" w:cs="宋体"/>
          <w:b/>
          <w:bCs/>
          <w:color w:val="auto"/>
          <w:sz w:val="24"/>
          <w:highlight w:val="none"/>
        </w:rPr>
      </w:pPr>
    </w:p>
    <w:p w14:paraId="27A4103D">
      <w:pPr>
        <w:spacing w:line="360" w:lineRule="auto"/>
        <w:ind w:left="120" w:firstLine="22"/>
        <w:rPr>
          <w:rFonts w:hint="eastAsia" w:ascii="宋体" w:hAnsi="宋体" w:cs="宋体"/>
          <w:b/>
          <w:color w:val="auto"/>
          <w:sz w:val="24"/>
          <w:highlight w:val="none"/>
        </w:rPr>
      </w:pPr>
    </w:p>
    <w:p w14:paraId="5C0FAE3A">
      <w:pPr>
        <w:spacing w:line="360" w:lineRule="auto"/>
        <w:ind w:left="120" w:firstLine="22"/>
        <w:rPr>
          <w:rFonts w:hint="eastAsia" w:ascii="宋体" w:hAnsi="宋体" w:cs="宋体"/>
          <w:b/>
          <w:color w:val="auto"/>
          <w:sz w:val="24"/>
          <w:highlight w:val="none"/>
        </w:rPr>
      </w:pPr>
    </w:p>
    <w:p w14:paraId="609BDE81">
      <w:pPr>
        <w:spacing w:line="360" w:lineRule="auto"/>
        <w:ind w:left="120" w:firstLine="22"/>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56B3E93B">
      <w:pPr>
        <w:widowControl/>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F076BA0">
      <w:pPr>
        <w:widowControl/>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AB8C83E">
      <w:pPr>
        <w:widowControl/>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DE6DAAC">
      <w:pPr>
        <w:widowControl/>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C5FE4C2">
      <w:pPr>
        <w:widowControl/>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5D7AC02">
      <w:pPr>
        <w:widowControl/>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EEB824">
      <w:pPr>
        <w:widowControl/>
        <w:spacing w:line="360" w:lineRule="auto"/>
        <w:ind w:left="120" w:firstLine="600" w:firstLineChars="200"/>
        <w:jc w:val="left"/>
        <w:rPr>
          <w:rFonts w:hint="eastAsia" w:ascii="宋体" w:hAnsi="宋体" w:cs="宋体"/>
          <w:color w:val="auto"/>
          <w:sz w:val="30"/>
          <w:szCs w:val="30"/>
          <w:highlight w:val="none"/>
        </w:rPr>
      </w:pPr>
    </w:p>
    <w:p w14:paraId="7A1B412C">
      <w:pPr>
        <w:spacing w:line="360" w:lineRule="auto"/>
        <w:ind w:left="120" w:firstLine="22"/>
        <w:jc w:val="center"/>
        <w:rPr>
          <w:rFonts w:hint="eastAsia" w:ascii="宋体" w:hAnsi="宋体" w:cs="宋体"/>
          <w:b/>
          <w:color w:val="auto"/>
          <w:spacing w:val="6"/>
          <w:sz w:val="32"/>
          <w:szCs w:val="32"/>
          <w:highlight w:val="none"/>
        </w:rPr>
      </w:pPr>
    </w:p>
    <w:p w14:paraId="02A03E2F">
      <w:pPr>
        <w:spacing w:line="360" w:lineRule="auto"/>
        <w:ind w:left="120" w:firstLine="22"/>
        <w:jc w:val="center"/>
        <w:rPr>
          <w:rFonts w:hint="eastAsia" w:ascii="宋体" w:hAnsi="宋体" w:cs="宋体"/>
          <w:b/>
          <w:color w:val="auto"/>
          <w:spacing w:val="6"/>
          <w:sz w:val="32"/>
          <w:szCs w:val="32"/>
          <w:highlight w:val="none"/>
        </w:rPr>
      </w:pPr>
    </w:p>
    <w:p w14:paraId="587E34AA">
      <w:pPr>
        <w:spacing w:line="360" w:lineRule="auto"/>
        <w:ind w:left="120" w:firstLine="22"/>
        <w:jc w:val="center"/>
        <w:rPr>
          <w:rFonts w:hint="eastAsia" w:ascii="宋体" w:hAnsi="宋体" w:cs="宋体"/>
          <w:b/>
          <w:color w:val="auto"/>
          <w:spacing w:val="6"/>
          <w:sz w:val="32"/>
          <w:szCs w:val="32"/>
          <w:highlight w:val="none"/>
        </w:rPr>
      </w:pPr>
    </w:p>
    <w:p w14:paraId="7CB7424F">
      <w:pPr>
        <w:spacing w:line="360" w:lineRule="auto"/>
        <w:ind w:left="120" w:firstLine="22"/>
        <w:jc w:val="center"/>
        <w:rPr>
          <w:rFonts w:hint="eastAsia" w:ascii="宋体" w:hAnsi="宋体" w:cs="宋体"/>
          <w:b/>
          <w:color w:val="auto"/>
          <w:spacing w:val="6"/>
          <w:sz w:val="32"/>
          <w:szCs w:val="32"/>
          <w:highlight w:val="none"/>
        </w:rPr>
      </w:pPr>
    </w:p>
    <w:p w14:paraId="1D77DEC4">
      <w:pPr>
        <w:spacing w:line="360" w:lineRule="auto"/>
        <w:ind w:left="120" w:firstLine="22"/>
        <w:jc w:val="center"/>
        <w:rPr>
          <w:rFonts w:hint="eastAsia" w:ascii="宋体" w:hAnsi="宋体" w:cs="宋体"/>
          <w:b/>
          <w:color w:val="auto"/>
          <w:spacing w:val="6"/>
          <w:sz w:val="32"/>
          <w:szCs w:val="32"/>
          <w:highlight w:val="none"/>
        </w:rPr>
      </w:pPr>
    </w:p>
    <w:p w14:paraId="1AA9C7AB">
      <w:pPr>
        <w:spacing w:line="360" w:lineRule="auto"/>
        <w:ind w:left="120" w:firstLine="22"/>
        <w:jc w:val="center"/>
        <w:rPr>
          <w:rFonts w:hint="eastAsia" w:ascii="宋体" w:hAnsi="宋体" w:cs="宋体"/>
          <w:b/>
          <w:color w:val="auto"/>
          <w:spacing w:val="6"/>
          <w:sz w:val="32"/>
          <w:szCs w:val="32"/>
          <w:highlight w:val="none"/>
        </w:rPr>
      </w:pPr>
    </w:p>
    <w:p w14:paraId="7E5DA304">
      <w:pPr>
        <w:spacing w:line="360" w:lineRule="auto"/>
        <w:ind w:left="120" w:firstLine="22"/>
        <w:jc w:val="center"/>
        <w:rPr>
          <w:rFonts w:hint="eastAsia" w:ascii="宋体" w:hAnsi="宋体" w:cs="宋体"/>
          <w:b/>
          <w:color w:val="auto"/>
          <w:spacing w:val="6"/>
          <w:sz w:val="32"/>
          <w:szCs w:val="32"/>
          <w:highlight w:val="none"/>
        </w:rPr>
      </w:pPr>
    </w:p>
    <w:p w14:paraId="6943BD9F">
      <w:pPr>
        <w:spacing w:line="360" w:lineRule="auto"/>
        <w:ind w:left="120" w:firstLine="22"/>
        <w:jc w:val="center"/>
        <w:rPr>
          <w:rFonts w:hint="eastAsia" w:ascii="宋体" w:hAnsi="宋体" w:cs="宋体"/>
          <w:b/>
          <w:color w:val="auto"/>
          <w:spacing w:val="6"/>
          <w:sz w:val="32"/>
          <w:szCs w:val="32"/>
          <w:highlight w:val="none"/>
        </w:rPr>
      </w:pPr>
    </w:p>
    <w:p w14:paraId="66CE6FA0">
      <w:pPr>
        <w:spacing w:line="360" w:lineRule="auto"/>
        <w:ind w:left="120" w:firstLine="22"/>
        <w:jc w:val="center"/>
        <w:rPr>
          <w:rFonts w:hint="eastAsia" w:ascii="宋体" w:hAnsi="宋体" w:cs="宋体"/>
          <w:b/>
          <w:color w:val="auto"/>
          <w:spacing w:val="6"/>
          <w:sz w:val="32"/>
          <w:szCs w:val="32"/>
          <w:highlight w:val="none"/>
        </w:rPr>
      </w:pPr>
    </w:p>
    <w:p w14:paraId="189D386D">
      <w:pPr>
        <w:spacing w:line="360" w:lineRule="auto"/>
        <w:ind w:left="120" w:firstLine="22"/>
        <w:jc w:val="center"/>
        <w:rPr>
          <w:rFonts w:hint="eastAsia" w:ascii="宋体" w:hAnsi="宋体" w:cs="宋体"/>
          <w:b/>
          <w:color w:val="auto"/>
          <w:spacing w:val="6"/>
          <w:sz w:val="32"/>
          <w:szCs w:val="32"/>
          <w:highlight w:val="none"/>
        </w:rPr>
      </w:pPr>
    </w:p>
    <w:p w14:paraId="628A6545">
      <w:pPr>
        <w:spacing w:line="360" w:lineRule="auto"/>
        <w:ind w:left="120" w:firstLine="22"/>
        <w:jc w:val="center"/>
        <w:rPr>
          <w:rFonts w:hint="eastAsia" w:ascii="宋体" w:hAnsi="宋体" w:cs="宋体"/>
          <w:b/>
          <w:color w:val="auto"/>
          <w:spacing w:val="6"/>
          <w:sz w:val="32"/>
          <w:szCs w:val="32"/>
          <w:highlight w:val="none"/>
        </w:rPr>
      </w:pPr>
    </w:p>
    <w:p w14:paraId="725BE054">
      <w:pPr>
        <w:spacing w:line="360" w:lineRule="auto"/>
        <w:ind w:left="120" w:firstLine="22"/>
        <w:jc w:val="center"/>
        <w:rPr>
          <w:rFonts w:hint="eastAsia" w:ascii="宋体" w:hAnsi="宋体" w:cs="宋体"/>
          <w:b/>
          <w:color w:val="auto"/>
          <w:spacing w:val="6"/>
          <w:sz w:val="32"/>
          <w:szCs w:val="32"/>
          <w:highlight w:val="none"/>
        </w:rPr>
      </w:pPr>
    </w:p>
    <w:p w14:paraId="74BC7EF3">
      <w:pPr>
        <w:spacing w:line="240" w:lineRule="auto"/>
        <w:ind w:left="0" w:firstLine="0"/>
        <w:jc w:val="left"/>
        <w:outlineLvl w:val="9"/>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9B9F5AB">
      <w:pPr>
        <w:spacing w:line="360" w:lineRule="auto"/>
        <w:ind w:left="120" w:firstLine="22"/>
        <w:jc w:val="left"/>
        <w:outlineLvl w:val="1"/>
        <w:rPr>
          <w:rFonts w:hint="eastAsia"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14:paraId="7E128466">
      <w:pPr>
        <w:spacing w:line="360" w:lineRule="auto"/>
        <w:ind w:left="120" w:firstLine="22"/>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76E30BF">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4950D43F">
      <w:pPr>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CEB4BF4">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CDAC07">
      <w:pPr>
        <w:tabs>
          <w:tab w:val="left" w:pos="6510"/>
        </w:tabs>
        <w:spacing w:line="360" w:lineRule="auto"/>
        <w:ind w:left="120" w:firstLine="22"/>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24D60F5">
      <w:pPr>
        <w:tabs>
          <w:tab w:val="left" w:pos="6510"/>
        </w:tabs>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D8D7DBA">
      <w:pPr>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81D49E6">
      <w:pPr>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6A8C3CF">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6CD270">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D1DE4B">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49A14A">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被投诉人2</w:t>
      </w:r>
    </w:p>
    <w:p w14:paraId="59BD56A5">
      <w:pPr>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w:t>
      </w:r>
    </w:p>
    <w:p w14:paraId="4FB1CBB6">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E0E1CD">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4369C3">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3D3416">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0003E618">
      <w:pPr>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09EDFBE">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9FA3844">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4D71DD">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91615B0">
      <w:pPr>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F4AB1B8">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F909CD5">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49DD9209">
      <w:pPr>
        <w:spacing w:line="360" w:lineRule="auto"/>
        <w:ind w:left="120"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4384A5F">
      <w:pPr>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89F5F5">
      <w:pPr>
        <w:spacing w:line="360" w:lineRule="auto"/>
        <w:ind w:left="120"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DAD6A81">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60DBC109">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9895EDE">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6095A5E">
      <w:pPr>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FDC9B52">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D3F6418">
      <w:pPr>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3EFB540">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投诉事项2</w:t>
      </w:r>
    </w:p>
    <w:p w14:paraId="2E092B7F">
      <w:pPr>
        <w:spacing w:line="360" w:lineRule="auto"/>
        <w:ind w:left="120" w:firstLine="22"/>
        <w:rPr>
          <w:rFonts w:hint="eastAsia" w:ascii="宋体" w:hAnsi="宋体" w:cs="宋体"/>
          <w:color w:val="auto"/>
          <w:sz w:val="24"/>
          <w:highlight w:val="none"/>
          <w:u w:val="dotted"/>
        </w:rPr>
      </w:pPr>
      <w:r>
        <w:rPr>
          <w:rFonts w:hint="eastAsia" w:ascii="宋体" w:hAnsi="宋体" w:cs="宋体"/>
          <w:color w:val="auto"/>
          <w:sz w:val="24"/>
          <w:highlight w:val="none"/>
        </w:rPr>
        <w:t>……</w:t>
      </w:r>
    </w:p>
    <w:p w14:paraId="30D67969">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2EFC758E">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6369C35">
      <w:pPr>
        <w:spacing w:line="360" w:lineRule="auto"/>
        <w:ind w:left="120" w:firstLine="22"/>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18136C02">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3C233888">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E3C8EE7">
      <w:pPr>
        <w:spacing w:line="360" w:lineRule="auto"/>
        <w:ind w:left="120" w:firstLine="22"/>
        <w:rPr>
          <w:rFonts w:hint="eastAsia" w:ascii="宋体" w:hAnsi="宋体" w:cs="宋体"/>
          <w:b/>
          <w:color w:val="auto"/>
          <w:sz w:val="24"/>
          <w:highlight w:val="none"/>
        </w:rPr>
      </w:pPr>
    </w:p>
    <w:p w14:paraId="6442F10F">
      <w:pPr>
        <w:spacing w:line="360" w:lineRule="auto"/>
        <w:ind w:left="120" w:firstLine="22"/>
        <w:rPr>
          <w:rFonts w:hint="eastAsia" w:ascii="宋体" w:hAnsi="宋体" w:cs="宋体"/>
          <w:b/>
          <w:color w:val="auto"/>
          <w:sz w:val="24"/>
          <w:highlight w:val="none"/>
        </w:rPr>
      </w:pPr>
    </w:p>
    <w:p w14:paraId="7726AEAD">
      <w:pPr>
        <w:spacing w:line="360" w:lineRule="auto"/>
        <w:ind w:left="120" w:firstLine="22"/>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22082813">
      <w:pPr>
        <w:widowControl/>
        <w:spacing w:line="360" w:lineRule="auto"/>
        <w:ind w:left="120"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DF612E2">
      <w:pPr>
        <w:widowControl/>
        <w:spacing w:line="360" w:lineRule="auto"/>
        <w:ind w:left="120"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43F217F">
      <w:pPr>
        <w:widowControl/>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4F4E439">
      <w:pPr>
        <w:widowControl/>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1E42571">
      <w:pPr>
        <w:widowControl/>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87D2582">
      <w:pPr>
        <w:widowControl/>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414D4AC">
      <w:pPr>
        <w:widowControl/>
        <w:spacing w:line="360" w:lineRule="auto"/>
        <w:ind w:left="120"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E2FD2C7">
      <w:pPr>
        <w:spacing w:line="360" w:lineRule="auto"/>
        <w:ind w:left="120" w:firstLine="22"/>
        <w:rPr>
          <w:rFonts w:hint="eastAsia" w:ascii="宋体" w:hAnsi="宋体" w:cs="宋体"/>
          <w:b/>
          <w:color w:val="auto"/>
          <w:sz w:val="24"/>
          <w:highlight w:val="none"/>
        </w:rPr>
      </w:pPr>
    </w:p>
    <w:p w14:paraId="6BB605B7">
      <w:pPr>
        <w:autoSpaceDE w:val="0"/>
        <w:autoSpaceDN w:val="0"/>
        <w:spacing w:line="360" w:lineRule="auto"/>
        <w:ind w:left="120" w:firstLine="22"/>
        <w:rPr>
          <w:rFonts w:hint="eastAsia" w:ascii="宋体" w:hAnsi="宋体" w:cs="宋体"/>
          <w:b/>
          <w:color w:val="auto"/>
          <w:spacing w:val="6"/>
          <w:sz w:val="32"/>
          <w:szCs w:val="32"/>
          <w:highlight w:val="none"/>
        </w:rPr>
      </w:pPr>
    </w:p>
    <w:p w14:paraId="41062D20">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4FDF0FB">
      <w:pPr>
        <w:autoSpaceDE w:val="0"/>
        <w:autoSpaceDN w:val="0"/>
        <w:spacing w:line="360" w:lineRule="auto"/>
        <w:ind w:left="120" w:firstLine="22"/>
        <w:jc w:val="center"/>
        <w:outlineLvl w:val="1"/>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D12842E">
      <w:pPr>
        <w:spacing w:line="360" w:lineRule="auto"/>
        <w:ind w:left="120" w:firstLine="22"/>
        <w:rPr>
          <w:rFonts w:hint="eastAsia" w:ascii="宋体" w:hAnsi="宋体" w:cs="宋体"/>
          <w:color w:val="auto"/>
          <w:sz w:val="24"/>
          <w:highlight w:val="none"/>
          <w:u w:val="single"/>
        </w:rPr>
      </w:pPr>
    </w:p>
    <w:p w14:paraId="0A65BEFE">
      <w:pPr>
        <w:spacing w:line="360" w:lineRule="auto"/>
        <w:ind w:left="120" w:firstLine="22"/>
        <w:rPr>
          <w:rFonts w:hint="eastAsia" w:ascii="宋体" w:hAnsi="宋体" w:cs="宋体"/>
          <w:color w:val="auto"/>
          <w:sz w:val="24"/>
          <w:highlight w:val="none"/>
        </w:rPr>
      </w:pPr>
      <w:r>
        <w:rPr>
          <w:rFonts w:hint="eastAsia" w:ascii="宋体" w:hAnsi="宋体" w:cs="宋体"/>
          <w:color w:val="auto"/>
          <w:sz w:val="24"/>
          <w:highlight w:val="none"/>
          <w:u w:val="single"/>
        </w:rPr>
        <w:t>杭州市交通运输局、浙江省成套招标代理有限公司：</w:t>
      </w:r>
    </w:p>
    <w:p w14:paraId="7C5CC76C">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你方组织的杭州市年度城市交通运行及公众出行特征动态评估报告项目【招标编号：CTZB-2025010029】</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E5B806F">
      <w:pPr>
        <w:spacing w:line="360" w:lineRule="auto"/>
        <w:ind w:left="120"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675AE216">
      <w:pPr>
        <w:spacing w:line="360" w:lineRule="auto"/>
        <w:ind w:left="120" w:firstLine="22"/>
        <w:rPr>
          <w:rFonts w:hint="eastAsia" w:ascii="宋体" w:hAnsi="宋体" w:cs="宋体"/>
          <w:color w:val="auto"/>
          <w:sz w:val="24"/>
          <w:highlight w:val="none"/>
        </w:rPr>
      </w:pPr>
    </w:p>
    <w:p w14:paraId="24A055F0">
      <w:pPr>
        <w:spacing w:line="360" w:lineRule="auto"/>
        <w:ind w:left="120" w:firstLine="22"/>
        <w:rPr>
          <w:rFonts w:hint="eastAsia" w:ascii="宋体" w:hAnsi="宋体" w:cs="宋体"/>
          <w:color w:val="auto"/>
          <w:sz w:val="24"/>
          <w:highlight w:val="none"/>
        </w:rPr>
      </w:pPr>
    </w:p>
    <w:p w14:paraId="360D99E7">
      <w:pPr>
        <w:spacing w:line="360" w:lineRule="auto"/>
        <w:ind w:left="120" w:firstLine="22"/>
        <w:rPr>
          <w:rFonts w:hint="eastAsia" w:ascii="宋体" w:hAnsi="宋体" w:cs="宋体"/>
          <w:color w:val="auto"/>
          <w:sz w:val="24"/>
          <w:highlight w:val="none"/>
        </w:rPr>
      </w:pPr>
    </w:p>
    <w:p w14:paraId="42D5F1DC">
      <w:pPr>
        <w:spacing w:line="360" w:lineRule="auto"/>
        <w:ind w:left="120" w:firstLine="22"/>
        <w:rPr>
          <w:rFonts w:hint="eastAsia" w:ascii="宋体" w:hAnsi="宋体" w:cs="宋体"/>
          <w:color w:val="auto"/>
          <w:sz w:val="24"/>
          <w:highlight w:val="none"/>
        </w:rPr>
      </w:pPr>
    </w:p>
    <w:p w14:paraId="24AC4E94">
      <w:pPr>
        <w:spacing w:line="360" w:lineRule="auto"/>
        <w:ind w:left="120"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014F4C73">
      <w:pPr>
        <w:spacing w:line="360" w:lineRule="auto"/>
        <w:ind w:left="120" w:right="1440" w:firstLine="22"/>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5A349298">
      <w:pPr>
        <w:spacing w:line="360" w:lineRule="auto"/>
        <w:ind w:left="120" w:firstLine="22"/>
        <w:rPr>
          <w:rFonts w:hint="eastAsia" w:ascii="宋体" w:hAnsi="宋体" w:cs="宋体"/>
          <w:color w:val="auto"/>
          <w:sz w:val="24"/>
          <w:highlight w:val="none"/>
        </w:rPr>
      </w:pPr>
      <w:r>
        <w:rPr>
          <w:rFonts w:hint="eastAsia" w:ascii="宋体" w:hAnsi="宋体" w:cs="宋体"/>
          <w:b/>
          <w:bCs/>
          <w:color w:val="auto"/>
          <w:sz w:val="24"/>
          <w:highlight w:val="none"/>
        </w:rPr>
        <w:t>附：</w:t>
      </w:r>
    </w:p>
    <w:p w14:paraId="2DE8C19D">
      <w:pPr>
        <w:spacing w:line="360" w:lineRule="auto"/>
        <w:ind w:left="120" w:firstLine="22"/>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55874A8">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3D803BF4">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7B88E132">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4D342809">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64F0B842">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01D9B7C3">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186B6A04">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6BCEDB71">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79C57389">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7002931E">
      <w:pPr>
        <w:autoSpaceDE/>
        <w:autoSpaceDN/>
        <w:spacing w:line="240" w:lineRule="auto"/>
        <w:ind w:left="0" w:firstLine="0"/>
        <w:jc w:val="left"/>
        <w:outlineLvl w:val="9"/>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6EE47C8">
      <w:pPr>
        <w:autoSpaceDE w:val="0"/>
        <w:autoSpaceDN w:val="0"/>
        <w:spacing w:line="360" w:lineRule="auto"/>
        <w:ind w:left="120" w:firstLine="22"/>
        <w:jc w:val="center"/>
        <w:outlineLvl w:val="1"/>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E44849F">
      <w:pPr>
        <w:widowControl/>
        <w:spacing w:line="360" w:lineRule="auto"/>
        <w:ind w:left="120"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5A08DBF">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杭州市年度城市交通运行及公众出行特征动态评估报告项目【招标编号：CTZB-2025010029】</w:t>
      </w:r>
      <w:r>
        <w:rPr>
          <w:rFonts w:hint="eastAsia" w:ascii="宋体" w:hAnsi="宋体" w:cs="宋体"/>
          <w:color w:val="auto"/>
          <w:kern w:val="0"/>
          <w:sz w:val="24"/>
          <w:highlight w:val="none"/>
          <w:lang w:val="zh-CN"/>
        </w:rPr>
        <w:t xml:space="preserve">投标。 </w:t>
      </w:r>
    </w:p>
    <w:p w14:paraId="3B6AA4E4">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54483C4">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授权代表根据采购文件规定及投标内容而对采购人、采购代理机构所作的任何合法承诺，包括书面澄清及响应等均对联合投标各方产生约束力。</w:t>
      </w:r>
    </w:p>
    <w:p w14:paraId="307FADE0">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D3E42A4">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88F665E">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057075B">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5C1F46A">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CCA75DA">
      <w:pPr>
        <w:snapToGrid w:val="0"/>
        <w:spacing w:line="360" w:lineRule="auto"/>
        <w:ind w:left="120" w:firstLine="22"/>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5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5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5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51"/>
      <w:r>
        <w:rPr>
          <w:rFonts w:hint="eastAsia" w:ascii="宋体" w:hAnsi="宋体" w:cs="宋体"/>
          <w:b/>
          <w:color w:val="auto"/>
          <w:kern w:val="0"/>
          <w:sz w:val="24"/>
          <w:highlight w:val="none"/>
          <w:lang w:val="zh-CN"/>
        </w:rPr>
        <w:t>）</w:t>
      </w:r>
    </w:p>
    <w:p w14:paraId="5E1802E3">
      <w:pPr>
        <w:spacing w:line="360" w:lineRule="auto"/>
        <w:ind w:left="120"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5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52"/>
    </w:p>
    <w:p w14:paraId="5A339E5F">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94F8F89">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C423942">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39B858D">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05F2D45">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E5868A2">
      <w:pPr>
        <w:snapToGrid w:val="0"/>
        <w:spacing w:line="360" w:lineRule="auto"/>
        <w:ind w:left="120"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0B31460">
      <w:pPr>
        <w:snapToGrid w:val="0"/>
        <w:spacing w:line="360" w:lineRule="auto"/>
        <w:ind w:left="120"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12174BB">
      <w:pPr>
        <w:snapToGrid w:val="0"/>
        <w:spacing w:line="360" w:lineRule="auto"/>
        <w:ind w:left="120" w:right="960" w:firstLine="22"/>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B87D2D8">
      <w:pPr>
        <w:snapToGrid w:val="0"/>
        <w:spacing w:line="360" w:lineRule="auto"/>
        <w:ind w:left="120" w:firstLine="22"/>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4B0890D">
      <w:pPr>
        <w:spacing w:line="360" w:lineRule="auto"/>
        <w:ind w:left="120" w:right="420" w:firstLine="22"/>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38696BB">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0D516A10">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075EB179">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56CB1146">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47628B9D">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2A92D011">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5D44E155">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36856CD2">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37AC8031">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6FBEB1B6">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01B49220">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0756849C">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1D2A03E2">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6FE3A9D7">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0BF78945">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3259C401">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7A3C6C65">
      <w:pPr>
        <w:widowControl/>
        <w:adjustRightInd/>
        <w:spacing w:line="240" w:lineRule="auto"/>
        <w:ind w:left="0" w:firstLine="0"/>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8C12D16">
      <w:pPr>
        <w:widowControl/>
        <w:adjustRightInd/>
        <w:spacing w:line="360" w:lineRule="auto"/>
        <w:ind w:left="120" w:firstLine="22"/>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5EB6CD9">
      <w:pPr>
        <w:widowControl/>
        <w:spacing w:line="360" w:lineRule="auto"/>
        <w:ind w:left="120"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3BBA218">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杭州市年度城市交通运行及公众出行特征动态评估报告项目【招标编号：CTZB-2025010029】</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0461D5B">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CE0ED19">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BF4A509">
      <w:pPr>
        <w:spacing w:line="360" w:lineRule="auto"/>
        <w:ind w:left="120" w:firstLine="22"/>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136C12A7">
      <w:pPr>
        <w:spacing w:line="360" w:lineRule="auto"/>
        <w:ind w:left="120" w:firstLine="22"/>
        <w:rPr>
          <w:rFonts w:hint="eastAsia" w:ascii="宋体" w:hAnsi="宋体" w:cs="宋体"/>
          <w:color w:val="auto"/>
          <w:highlight w:val="none"/>
        </w:rPr>
      </w:pPr>
      <w:r>
        <w:rPr>
          <w:rFonts w:hint="eastAsia" w:ascii="宋体" w:hAnsi="宋体" w:cs="宋体"/>
          <w:color w:val="auto"/>
          <w:highlight w:val="none"/>
          <w:lang w:val="zh-CN"/>
        </w:rPr>
        <w:t xml:space="preserve"> </w:t>
      </w:r>
    </w:p>
    <w:p w14:paraId="341455FA">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B333256">
      <w:pPr>
        <w:snapToGrid w:val="0"/>
        <w:spacing w:line="360" w:lineRule="auto"/>
        <w:ind w:left="120" w:firstLine="22"/>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61ED0E7">
      <w:pPr>
        <w:spacing w:line="360" w:lineRule="auto"/>
        <w:ind w:left="120"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7410895">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4F30DBB">
      <w:pPr>
        <w:snapToGrid w:val="0"/>
        <w:spacing w:line="360" w:lineRule="auto"/>
        <w:ind w:left="120" w:firstLine="22"/>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7B626AFD">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9AF64A0">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8B3F337">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A865B73">
      <w:pPr>
        <w:snapToGrid w:val="0"/>
        <w:spacing w:line="360" w:lineRule="auto"/>
        <w:ind w:left="573" w:leftChars="273" w:firstLine="22"/>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F6F15C8">
      <w:pPr>
        <w:snapToGrid w:val="0"/>
        <w:spacing w:line="360" w:lineRule="auto"/>
        <w:ind w:left="573" w:leftChars="273"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3A36CAD">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F8D0C94">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1285A8A">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42632A2">
      <w:pPr>
        <w:snapToGrid w:val="0"/>
        <w:spacing w:line="360" w:lineRule="auto"/>
        <w:ind w:left="120" w:firstLine="2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7123CD">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7775D17">
      <w:pPr>
        <w:snapToGrid w:val="0"/>
        <w:spacing w:line="360" w:lineRule="auto"/>
        <w:ind w:left="120" w:firstLine="22"/>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93B3198">
      <w:pPr>
        <w:snapToGrid w:val="0"/>
        <w:spacing w:line="360" w:lineRule="auto"/>
        <w:ind w:left="120"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0EEA5FD3">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06ADFB1">
      <w:pPr>
        <w:spacing w:line="360" w:lineRule="auto"/>
        <w:ind w:left="120" w:right="420" w:firstLine="22"/>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F14726D">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3E76935E">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660059D5">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368334AB">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62885A5D">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23FF7E40">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1B9B1646">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27B237AD">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7B0E9CD2">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7AA30E3C">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5C660E01">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52342018">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34C0097E">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4638F945">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12BFA562">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5D3867DB">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57F532CB">
      <w:pPr>
        <w:autoSpaceDE w:val="0"/>
        <w:autoSpaceDN w:val="0"/>
        <w:spacing w:line="360" w:lineRule="auto"/>
        <w:ind w:left="120" w:firstLine="22"/>
        <w:jc w:val="center"/>
        <w:rPr>
          <w:rFonts w:hint="eastAsia" w:ascii="宋体" w:hAnsi="宋体" w:cs="宋体"/>
          <w:b/>
          <w:color w:val="auto"/>
          <w:spacing w:val="6"/>
          <w:sz w:val="32"/>
          <w:szCs w:val="32"/>
          <w:highlight w:val="none"/>
        </w:rPr>
      </w:pPr>
    </w:p>
    <w:p w14:paraId="74AA87B6">
      <w:pPr>
        <w:spacing w:line="360" w:lineRule="auto"/>
        <w:ind w:left="120" w:firstLine="22"/>
        <w:jc w:val="center"/>
        <w:outlineLvl w:val="1"/>
        <w:rPr>
          <w:rFonts w:hint="eastAsia"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D253585">
      <w:pPr>
        <w:spacing w:line="360" w:lineRule="auto"/>
        <w:ind w:left="120" w:firstLine="22"/>
        <w:jc w:val="center"/>
        <w:rPr>
          <w:rFonts w:hint="eastAsia" w:ascii="宋体" w:hAnsi="宋体" w:cs="宋体"/>
          <w:color w:val="auto"/>
          <w:sz w:val="24"/>
          <w:highlight w:val="none"/>
          <w:u w:val="single"/>
        </w:rPr>
      </w:pPr>
    </w:p>
    <w:p w14:paraId="27831871">
      <w:pPr>
        <w:spacing w:line="360" w:lineRule="auto"/>
        <w:ind w:left="120" w:firstLine="2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B4D7AD1">
      <w:pPr>
        <w:spacing w:line="360" w:lineRule="auto"/>
        <w:ind w:left="120"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杭州市交通运输局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杭州市年度城市交通运行及公众出行特征动态评估报告项目</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66DA6FA">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（杭州市年度城市交通运行及公众出行特征动态评估报告</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b/>
          <w:bCs/>
          <w:color w:val="auto"/>
          <w:kern w:val="0"/>
          <w:sz w:val="24"/>
          <w:highlight w:val="none"/>
          <w:u w:val="single"/>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7AB92D3">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（杭州市年度城市交通运行及公众出行特征动态评估报告</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b/>
          <w:bCs/>
          <w:color w:val="auto"/>
          <w:kern w:val="0"/>
          <w:sz w:val="24"/>
          <w:highlight w:val="none"/>
          <w:u w:val="single"/>
        </w:rPr>
        <w:t>其他未列明行业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C2C5F80">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2D5889D8">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8ACDCDD">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AA1E95E">
      <w:pPr>
        <w:spacing w:line="360" w:lineRule="auto"/>
        <w:ind w:left="120" w:right="1760" w:firstLine="22"/>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1082A83F">
      <w:pPr>
        <w:spacing w:line="360" w:lineRule="auto"/>
        <w:ind w:left="120"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7F7D3E57">
      <w:pPr>
        <w:spacing w:line="360" w:lineRule="auto"/>
        <w:ind w:left="120"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2CD9E6C">
      <w:pPr>
        <w:spacing w:line="360" w:lineRule="auto"/>
        <w:ind w:left="120" w:right="420" w:firstLine="22"/>
        <w:rPr>
          <w:rFonts w:hint="eastAsia" w:ascii="宋体" w:hAnsi="宋体" w:cs="宋体"/>
          <w:color w:val="auto"/>
          <w:sz w:val="24"/>
          <w:highlight w:val="none"/>
        </w:rPr>
      </w:pPr>
    </w:p>
    <w:p w14:paraId="254350CE">
      <w:pPr>
        <w:spacing w:line="360" w:lineRule="auto"/>
        <w:ind w:left="12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注：</w:t>
      </w:r>
    </w:p>
    <w:p w14:paraId="227FB1D4">
      <w:pPr>
        <w:spacing w:line="360" w:lineRule="auto"/>
        <w:ind w:left="120" w:firstLine="480" w:firstLineChars="200"/>
        <w:jc w:val="left"/>
        <w:rPr>
          <w:rFonts w:hint="eastAsia" w:ascii="宋体" w:hAnsi="宋体" w:cs="宋体"/>
          <w:color w:val="auto"/>
          <w:highlight w:val="none"/>
        </w:rPr>
      </w:pPr>
      <w:r>
        <w:rPr>
          <w:rFonts w:hint="eastAsia" w:ascii="宋体" w:hAnsi="宋体" w:cs="宋体"/>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sectPr>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604C5">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78F92">
    <w:pPr>
      <w:pStyle w:val="41"/>
      <w:ind w:left="120"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81BF6">
    <w:pPr>
      <w:pStyle w:val="41"/>
      <w:ind w:left="120"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53" w:name="_Toc131845147"/>
    <w:bookmarkStart w:id="554" w:name="_Toc91899912"/>
    <w:bookmarkStart w:id="555" w:name="_Toc36110187"/>
    <w:bookmarkStart w:id="556" w:name="_Toc164085800"/>
    <w:r>
      <w:rPr>
        <w:rFonts w:hint="eastAsia" w:ascii="仿宋_GB2312" w:eastAsia="仿宋_GB2312"/>
        <w:kern w:val="0"/>
        <w:szCs w:val="21"/>
      </w:rPr>
      <w:t xml:space="preserve"> 页</w:t>
    </w:r>
    <w:bookmarkEnd w:id="553"/>
    <w:bookmarkEnd w:id="554"/>
    <w:bookmarkEnd w:id="555"/>
    <w:bookmarkEnd w:id="55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BFD46">
    <w:pPr>
      <w:pStyle w:val="41"/>
      <w:framePr w:wrap="around" w:vAnchor="text" w:hAnchor="margin" w:xAlign="right" w:y="1"/>
      <w:ind w:left="120" w:firstLine="360"/>
      <w:rPr>
        <w:rStyle w:val="73"/>
      </w:rPr>
    </w:pPr>
    <w:r>
      <w:fldChar w:fldCharType="begin"/>
    </w:r>
    <w:r>
      <w:rPr>
        <w:rStyle w:val="73"/>
      </w:rPr>
      <w:instrText xml:space="preserve">PAGE  </w:instrText>
    </w:r>
    <w:r>
      <w:fldChar w:fldCharType="end"/>
    </w:r>
  </w:p>
  <w:p w14:paraId="2BD047EA">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531B8">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45F7">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C75FCB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55A58">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767CA5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18B7E">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9D12D6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642ED">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88284D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38D8A">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AE9CB5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3220E">
    <w:pPr>
      <w:pStyle w:val="41"/>
      <w:ind w:left="120"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ADE485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22555">
    <w:pPr>
      <w:pStyle w:val="42"/>
      <w:pBdr>
        <w:bottom w:val="single" w:color="auto" w:sz="6" w:space="4"/>
      </w:pBdr>
      <w:ind w:left="120" w:firstLine="360"/>
      <w:jc w:val="right"/>
    </w:pPr>
    <w:r>
      <w:t></w:t>
    </w:r>
    <w:r>
      <w:rPr>
        <w:rFonts w:hint="eastAsia"/>
      </w:rPr>
      <w:t xml:space="preserve">             </w:t>
    </w:r>
    <w:r>
      <w:t>杭州市政府采购公开采购文件</w:t>
    </w:r>
  </w:p>
  <w:p w14:paraId="1AAF2BE9">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92956">
    <w:pPr>
      <w:pStyle w:val="42"/>
      <w:ind w:left="120" w:firstLine="360"/>
    </w:pPr>
    <w:r>
      <w:t></w:t>
    </w:r>
    <w:r>
      <w:rPr>
        <w:rFonts w:hint="eastAsia"/>
      </w:rPr>
      <w:t xml:space="preserve">                                     </w:t>
    </w:r>
    <w:r>
      <w:t>杭州市政府采购公开采购文件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6A9DE">
    <w:pPr>
      <w:pStyle w:val="42"/>
      <w:pBdr>
        <w:bottom w:val="single" w:color="auto" w:sz="6" w:space="0"/>
      </w:pBdr>
      <w:tabs>
        <w:tab w:val="center" w:pos="4535"/>
        <w:tab w:val="right" w:pos="9070"/>
        <w:tab w:val="clear" w:pos="4153"/>
        <w:tab w:val="clear" w:pos="8306"/>
      </w:tabs>
      <w:ind w:left="120" w:firstLine="360"/>
      <w:jc w:val="right"/>
    </w:pPr>
    <w:r>
      <w:rPr>
        <w:lang w:val="zh-CN"/>
      </w:rPr>
      <w:t></w:t>
    </w:r>
    <w:r>
      <w:tab/>
    </w:r>
    <w:r>
      <w:rPr>
        <w:lang w:val="zh-CN"/>
      </w:rPr>
      <w:t></w:t>
    </w:r>
    <w:r>
      <w:tab/>
    </w:r>
    <w:r>
      <w:rPr>
        <w:lang w:val="zh-CN"/>
      </w:rPr>
      <w:t>杭州市政府采购公开采购文件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6EDE2">
    <w:pPr>
      <w:pStyle w:val="42"/>
      <w:ind w:left="120" w:firstLine="360"/>
      <w:rPr>
        <w:rFonts w:ascii="仿宋_GB2312" w:eastAsia="仿宋_GB2312"/>
        <w:b/>
        <w:i/>
        <w:u w:val="single"/>
      </w:rPr>
    </w:pPr>
    <w:r>
      <w:t></w:t>
    </w:r>
    <w:r>
      <w:rPr>
        <w:rFonts w:hint="eastAsia"/>
      </w:rPr>
      <w:t xml:space="preserve">                                                  </w:t>
    </w:r>
    <w:r>
      <w:t xml:space="preserve">             杭州市政府采购公开采购文件</w:t>
    </w:r>
  </w:p>
  <w:p w14:paraId="6030C6C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8D4D9">
    <w:pPr>
      <w:pStyle w:val="42"/>
      <w:ind w:left="120" w:firstLine="360"/>
    </w:pPr>
    <w:r>
      <w:t></w:t>
    </w:r>
    <w:r>
      <w:rPr>
        <w:rFonts w:hint="eastAsia"/>
      </w:rPr>
      <w:t xml:space="preserve">         </w:t>
    </w:r>
  </w:p>
  <w:p w14:paraId="708A2AEC">
    <w:pPr>
      <w:pStyle w:val="42"/>
      <w:ind w:left="120" w:firstLine="360"/>
    </w:pPr>
    <w:r>
      <w:rPr>
        <w:rFonts w:hint="eastAsia"/>
      </w:rPr>
      <w:t xml:space="preserve">                                                                  </w:t>
    </w:r>
    <w:r>
      <w:t>杭州市政府采购公开采购文件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C1430">
    <w:pPr>
      <w:pStyle w:val="42"/>
      <w:ind w:left="120" w:firstLine="360"/>
      <w:rPr>
        <w:rFonts w:ascii="仿宋_GB2312" w:eastAsia="仿宋_GB2312"/>
        <w:b/>
        <w:i/>
        <w:u w:val="single"/>
      </w:rPr>
    </w:pPr>
    <w:r>
      <w:t></w:t>
    </w:r>
    <w:r>
      <w:rPr>
        <w:rFonts w:hint="eastAsia"/>
      </w:rPr>
      <w:t xml:space="preserve">                                           </w:t>
    </w:r>
    <w:r>
      <w:t>杭州市政府采购公开采购文件</w:t>
    </w:r>
  </w:p>
  <w:p w14:paraId="355F65F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BAE63">
    <w:pPr>
      <w:pStyle w:val="42"/>
      <w:ind w:left="120" w:firstLine="360"/>
      <w:jc w:val="right"/>
    </w:pPr>
    <w:r>
      <w:t></w:t>
    </w:r>
    <w:r>
      <w:rPr>
        <w:rFonts w:hint="eastAsia"/>
      </w:rPr>
      <w:t xml:space="preserve">                 </w:t>
    </w:r>
    <w:r>
      <w:t xml:space="preserve">                                </w:t>
    </w:r>
    <w:r>
      <w:rPr>
        <w:rFonts w:hint="eastAsia"/>
      </w:rPr>
      <w:t xml:space="preserve">         </w:t>
    </w:r>
    <w:r>
      <w:t>杭州市政府采购公开采购文件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F4C8F">
    <w:pPr>
      <w:pStyle w:val="42"/>
      <w:ind w:left="120" w:firstLine="360"/>
      <w:jc w:val="right"/>
      <w:rPr>
        <w:rFonts w:ascii="仿宋_GB2312" w:eastAsia="仿宋_GB2312"/>
        <w:b/>
        <w:i/>
        <w:u w:val="single"/>
      </w:rPr>
    </w:pPr>
    <w:r>
      <w:rPr>
        <w:rFonts w:hint="eastAsia"/>
      </w:rPr>
      <w:t xml:space="preserve">                                  </w:t>
    </w:r>
    <w:r>
      <w:t>杭州市政府采购公开采购文件</w:t>
    </w:r>
  </w:p>
  <w:p w14:paraId="0458F0A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0FA49">
    <w:pPr>
      <w:pStyle w:val="42"/>
      <w:ind w:left="120" w:firstLine="360"/>
      <w:jc w:val="right"/>
    </w:pPr>
    <w:r>
      <w:rPr>
        <w:rFonts w:hint="eastAsia"/>
      </w:rPr>
      <w:t xml:space="preserve">                                                                                                        </w:t>
    </w:r>
    <w:r>
      <w:t>杭州市政府采购公开采购文件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5B0B4">
    <w:pPr>
      <w:pStyle w:val="42"/>
      <w:ind w:left="120" w:firstLine="360"/>
      <w:jc w:val="right"/>
      <w:rPr>
        <w:rFonts w:ascii="仿宋_GB2312" w:eastAsia="仿宋_GB2312"/>
        <w:b/>
        <w:i/>
        <w:iCs/>
        <w:u w:val="single"/>
      </w:rPr>
    </w:pPr>
    <w:r>
      <w:t>杭州市政府采购公开采购文件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5E93E9"/>
    <w:multiLevelType w:val="singleLevel"/>
    <w:tmpl w:val="5C5E93E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Pr/dGOBFLvBE5vKqav5zrUhHmXs=" w:salt="icCXvmtUTjxGtljOyWL0iw=="/>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xMzJhNjE0NzE5YjI4ZTk4MmM0YmM2MDAzMzM5MjkifQ=="/>
  </w:docVars>
  <w:rsids>
    <w:rsidRoot w:val="00172A27"/>
    <w:rsid w:val="00000451"/>
    <w:rsid w:val="0000108B"/>
    <w:rsid w:val="0000133D"/>
    <w:rsid w:val="00001509"/>
    <w:rsid w:val="00001E3F"/>
    <w:rsid w:val="000021DA"/>
    <w:rsid w:val="00002A57"/>
    <w:rsid w:val="000032B2"/>
    <w:rsid w:val="0000363B"/>
    <w:rsid w:val="0000367C"/>
    <w:rsid w:val="000058BD"/>
    <w:rsid w:val="00006109"/>
    <w:rsid w:val="00006150"/>
    <w:rsid w:val="000063E8"/>
    <w:rsid w:val="00006725"/>
    <w:rsid w:val="0000675E"/>
    <w:rsid w:val="00006AF1"/>
    <w:rsid w:val="000071E3"/>
    <w:rsid w:val="00007CAA"/>
    <w:rsid w:val="00010FE9"/>
    <w:rsid w:val="0001122F"/>
    <w:rsid w:val="00011A4B"/>
    <w:rsid w:val="00012251"/>
    <w:rsid w:val="000123DE"/>
    <w:rsid w:val="00012B4A"/>
    <w:rsid w:val="00013208"/>
    <w:rsid w:val="0001337C"/>
    <w:rsid w:val="000138C4"/>
    <w:rsid w:val="00013C1F"/>
    <w:rsid w:val="00013F31"/>
    <w:rsid w:val="000140D8"/>
    <w:rsid w:val="00014530"/>
    <w:rsid w:val="00014BBC"/>
    <w:rsid w:val="000150EE"/>
    <w:rsid w:val="000168D8"/>
    <w:rsid w:val="000170C8"/>
    <w:rsid w:val="000173F4"/>
    <w:rsid w:val="00017985"/>
    <w:rsid w:val="000200C0"/>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DDC"/>
    <w:rsid w:val="000341CA"/>
    <w:rsid w:val="00034FA7"/>
    <w:rsid w:val="0003533D"/>
    <w:rsid w:val="000357E4"/>
    <w:rsid w:val="00035ACA"/>
    <w:rsid w:val="00037C7E"/>
    <w:rsid w:val="00040447"/>
    <w:rsid w:val="00040494"/>
    <w:rsid w:val="00040611"/>
    <w:rsid w:val="00040B70"/>
    <w:rsid w:val="00042441"/>
    <w:rsid w:val="00042533"/>
    <w:rsid w:val="00042D9E"/>
    <w:rsid w:val="00042DBB"/>
    <w:rsid w:val="00042E65"/>
    <w:rsid w:val="0004347C"/>
    <w:rsid w:val="00043907"/>
    <w:rsid w:val="00044EE8"/>
    <w:rsid w:val="00044F48"/>
    <w:rsid w:val="000450C2"/>
    <w:rsid w:val="00047354"/>
    <w:rsid w:val="00050656"/>
    <w:rsid w:val="00050766"/>
    <w:rsid w:val="00050A19"/>
    <w:rsid w:val="000511B6"/>
    <w:rsid w:val="00051750"/>
    <w:rsid w:val="00051B00"/>
    <w:rsid w:val="00051C72"/>
    <w:rsid w:val="00051E1D"/>
    <w:rsid w:val="00052192"/>
    <w:rsid w:val="0005238F"/>
    <w:rsid w:val="00052787"/>
    <w:rsid w:val="00052BB8"/>
    <w:rsid w:val="0005417A"/>
    <w:rsid w:val="00054D39"/>
    <w:rsid w:val="00054FCC"/>
    <w:rsid w:val="0005501B"/>
    <w:rsid w:val="000550F5"/>
    <w:rsid w:val="00055337"/>
    <w:rsid w:val="000554C7"/>
    <w:rsid w:val="000559B0"/>
    <w:rsid w:val="00056145"/>
    <w:rsid w:val="00056402"/>
    <w:rsid w:val="0005677F"/>
    <w:rsid w:val="00056791"/>
    <w:rsid w:val="00056868"/>
    <w:rsid w:val="00056876"/>
    <w:rsid w:val="000568DF"/>
    <w:rsid w:val="00056D5F"/>
    <w:rsid w:val="000578A3"/>
    <w:rsid w:val="000579DD"/>
    <w:rsid w:val="00057D4C"/>
    <w:rsid w:val="00060C48"/>
    <w:rsid w:val="0006148B"/>
    <w:rsid w:val="00061A3C"/>
    <w:rsid w:val="00061C48"/>
    <w:rsid w:val="00061DCC"/>
    <w:rsid w:val="0006256D"/>
    <w:rsid w:val="00064278"/>
    <w:rsid w:val="000646CA"/>
    <w:rsid w:val="00064D0B"/>
    <w:rsid w:val="000665C4"/>
    <w:rsid w:val="00066965"/>
    <w:rsid w:val="00067821"/>
    <w:rsid w:val="0006785E"/>
    <w:rsid w:val="00067AFB"/>
    <w:rsid w:val="00067F92"/>
    <w:rsid w:val="00067FA7"/>
    <w:rsid w:val="0007038E"/>
    <w:rsid w:val="0007077C"/>
    <w:rsid w:val="00070825"/>
    <w:rsid w:val="00070D38"/>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F93"/>
    <w:rsid w:val="00077577"/>
    <w:rsid w:val="00077607"/>
    <w:rsid w:val="00077756"/>
    <w:rsid w:val="00077B7F"/>
    <w:rsid w:val="000808C1"/>
    <w:rsid w:val="00080970"/>
    <w:rsid w:val="00081671"/>
    <w:rsid w:val="0008189F"/>
    <w:rsid w:val="0008237F"/>
    <w:rsid w:val="00082AD4"/>
    <w:rsid w:val="00083E07"/>
    <w:rsid w:val="00084A3E"/>
    <w:rsid w:val="00084D27"/>
    <w:rsid w:val="00084ED6"/>
    <w:rsid w:val="00085391"/>
    <w:rsid w:val="0008580E"/>
    <w:rsid w:val="00085A0E"/>
    <w:rsid w:val="00085C4F"/>
    <w:rsid w:val="000866B4"/>
    <w:rsid w:val="00086EFD"/>
    <w:rsid w:val="00086F8A"/>
    <w:rsid w:val="00087031"/>
    <w:rsid w:val="00087A16"/>
    <w:rsid w:val="00090243"/>
    <w:rsid w:val="000904F6"/>
    <w:rsid w:val="00090918"/>
    <w:rsid w:val="00090ED8"/>
    <w:rsid w:val="00090F9F"/>
    <w:rsid w:val="0009145F"/>
    <w:rsid w:val="0009184E"/>
    <w:rsid w:val="00091B4E"/>
    <w:rsid w:val="00091FFC"/>
    <w:rsid w:val="00092467"/>
    <w:rsid w:val="00092FE9"/>
    <w:rsid w:val="000936BF"/>
    <w:rsid w:val="0009382F"/>
    <w:rsid w:val="00093A30"/>
    <w:rsid w:val="00094342"/>
    <w:rsid w:val="000945BA"/>
    <w:rsid w:val="00095954"/>
    <w:rsid w:val="00095B3E"/>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B6A"/>
    <w:rsid w:val="000B0E04"/>
    <w:rsid w:val="000B1D51"/>
    <w:rsid w:val="000B268D"/>
    <w:rsid w:val="000B291B"/>
    <w:rsid w:val="000B372E"/>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44"/>
    <w:rsid w:val="000C51AD"/>
    <w:rsid w:val="000C5374"/>
    <w:rsid w:val="000C54B6"/>
    <w:rsid w:val="000C5EC0"/>
    <w:rsid w:val="000C6162"/>
    <w:rsid w:val="000C64CC"/>
    <w:rsid w:val="000C6688"/>
    <w:rsid w:val="000C692E"/>
    <w:rsid w:val="000C6B28"/>
    <w:rsid w:val="000C7BEB"/>
    <w:rsid w:val="000D0124"/>
    <w:rsid w:val="000D0EFB"/>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9B1"/>
    <w:rsid w:val="000E2785"/>
    <w:rsid w:val="000E27BB"/>
    <w:rsid w:val="000E3153"/>
    <w:rsid w:val="000E329B"/>
    <w:rsid w:val="000E3484"/>
    <w:rsid w:val="000E386F"/>
    <w:rsid w:val="000E3A51"/>
    <w:rsid w:val="000E4051"/>
    <w:rsid w:val="000E4139"/>
    <w:rsid w:val="000E4765"/>
    <w:rsid w:val="000E5B51"/>
    <w:rsid w:val="000E5B7E"/>
    <w:rsid w:val="000E5F26"/>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B7B"/>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598"/>
    <w:rsid w:val="001045FF"/>
    <w:rsid w:val="00104699"/>
    <w:rsid w:val="00104E5B"/>
    <w:rsid w:val="00104EEC"/>
    <w:rsid w:val="001050DC"/>
    <w:rsid w:val="001053D4"/>
    <w:rsid w:val="00105482"/>
    <w:rsid w:val="001056A5"/>
    <w:rsid w:val="00105BA9"/>
    <w:rsid w:val="00105FE1"/>
    <w:rsid w:val="00106AAA"/>
    <w:rsid w:val="00106E0E"/>
    <w:rsid w:val="001078A5"/>
    <w:rsid w:val="00107BBD"/>
    <w:rsid w:val="00107BC7"/>
    <w:rsid w:val="00107F40"/>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471"/>
    <w:rsid w:val="0012153F"/>
    <w:rsid w:val="0012159D"/>
    <w:rsid w:val="00121804"/>
    <w:rsid w:val="00121EC9"/>
    <w:rsid w:val="001224FE"/>
    <w:rsid w:val="001231D3"/>
    <w:rsid w:val="001232A7"/>
    <w:rsid w:val="00123F7C"/>
    <w:rsid w:val="0012419E"/>
    <w:rsid w:val="001248EF"/>
    <w:rsid w:val="00124A29"/>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110"/>
    <w:rsid w:val="00136762"/>
    <w:rsid w:val="00136829"/>
    <w:rsid w:val="00136E33"/>
    <w:rsid w:val="0013773D"/>
    <w:rsid w:val="0014042F"/>
    <w:rsid w:val="00140693"/>
    <w:rsid w:val="00140D7A"/>
    <w:rsid w:val="00141D28"/>
    <w:rsid w:val="00141DFE"/>
    <w:rsid w:val="00142185"/>
    <w:rsid w:val="001422E2"/>
    <w:rsid w:val="001433BC"/>
    <w:rsid w:val="00143872"/>
    <w:rsid w:val="00143A85"/>
    <w:rsid w:val="00144649"/>
    <w:rsid w:val="001449D5"/>
    <w:rsid w:val="00145022"/>
    <w:rsid w:val="00145662"/>
    <w:rsid w:val="00145C6D"/>
    <w:rsid w:val="001460FC"/>
    <w:rsid w:val="00146151"/>
    <w:rsid w:val="00146326"/>
    <w:rsid w:val="00147032"/>
    <w:rsid w:val="00147EA7"/>
    <w:rsid w:val="00151820"/>
    <w:rsid w:val="00151B2F"/>
    <w:rsid w:val="001524DC"/>
    <w:rsid w:val="001525E5"/>
    <w:rsid w:val="001536A6"/>
    <w:rsid w:val="00153859"/>
    <w:rsid w:val="00153915"/>
    <w:rsid w:val="001539F0"/>
    <w:rsid w:val="00154BBA"/>
    <w:rsid w:val="00155550"/>
    <w:rsid w:val="00155B95"/>
    <w:rsid w:val="00156853"/>
    <w:rsid w:val="00157432"/>
    <w:rsid w:val="001604BC"/>
    <w:rsid w:val="00160A84"/>
    <w:rsid w:val="00161185"/>
    <w:rsid w:val="001620BA"/>
    <w:rsid w:val="001623AC"/>
    <w:rsid w:val="00162BAA"/>
    <w:rsid w:val="00163C40"/>
    <w:rsid w:val="0016470A"/>
    <w:rsid w:val="0016488B"/>
    <w:rsid w:val="0016519D"/>
    <w:rsid w:val="00165758"/>
    <w:rsid w:val="00165A65"/>
    <w:rsid w:val="00166317"/>
    <w:rsid w:val="00167478"/>
    <w:rsid w:val="00167594"/>
    <w:rsid w:val="001702BE"/>
    <w:rsid w:val="001704B3"/>
    <w:rsid w:val="0017059C"/>
    <w:rsid w:val="0017105C"/>
    <w:rsid w:val="00171357"/>
    <w:rsid w:val="00171622"/>
    <w:rsid w:val="00171785"/>
    <w:rsid w:val="00171A15"/>
    <w:rsid w:val="00171AB5"/>
    <w:rsid w:val="0017204F"/>
    <w:rsid w:val="001721CF"/>
    <w:rsid w:val="001723D6"/>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859"/>
    <w:rsid w:val="00182982"/>
    <w:rsid w:val="001829BC"/>
    <w:rsid w:val="00182D68"/>
    <w:rsid w:val="00183031"/>
    <w:rsid w:val="00183468"/>
    <w:rsid w:val="0018397E"/>
    <w:rsid w:val="00184466"/>
    <w:rsid w:val="00184DBF"/>
    <w:rsid w:val="001852A8"/>
    <w:rsid w:val="0018620A"/>
    <w:rsid w:val="00186EB0"/>
    <w:rsid w:val="00187121"/>
    <w:rsid w:val="00187243"/>
    <w:rsid w:val="001876CC"/>
    <w:rsid w:val="00187C29"/>
    <w:rsid w:val="00190782"/>
    <w:rsid w:val="00190942"/>
    <w:rsid w:val="001909A7"/>
    <w:rsid w:val="001909C3"/>
    <w:rsid w:val="00191459"/>
    <w:rsid w:val="00191603"/>
    <w:rsid w:val="0019173E"/>
    <w:rsid w:val="0019174E"/>
    <w:rsid w:val="0019196B"/>
    <w:rsid w:val="0019220A"/>
    <w:rsid w:val="001923D5"/>
    <w:rsid w:val="00192991"/>
    <w:rsid w:val="00193470"/>
    <w:rsid w:val="00193943"/>
    <w:rsid w:val="00193B94"/>
    <w:rsid w:val="001940A7"/>
    <w:rsid w:val="00194BB1"/>
    <w:rsid w:val="00194BC6"/>
    <w:rsid w:val="00194DE5"/>
    <w:rsid w:val="00195070"/>
    <w:rsid w:val="00195245"/>
    <w:rsid w:val="0019526D"/>
    <w:rsid w:val="001952E0"/>
    <w:rsid w:val="0019553F"/>
    <w:rsid w:val="001956BE"/>
    <w:rsid w:val="0019602C"/>
    <w:rsid w:val="00196250"/>
    <w:rsid w:val="001969F2"/>
    <w:rsid w:val="00196CD6"/>
    <w:rsid w:val="0019756A"/>
    <w:rsid w:val="001A06B5"/>
    <w:rsid w:val="001A07F8"/>
    <w:rsid w:val="001A0A23"/>
    <w:rsid w:val="001A0C98"/>
    <w:rsid w:val="001A0F51"/>
    <w:rsid w:val="001A10B7"/>
    <w:rsid w:val="001A128B"/>
    <w:rsid w:val="001A131C"/>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ACC"/>
    <w:rsid w:val="001B1C1F"/>
    <w:rsid w:val="001B219B"/>
    <w:rsid w:val="001B2703"/>
    <w:rsid w:val="001B2A88"/>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C87"/>
    <w:rsid w:val="001B7DC1"/>
    <w:rsid w:val="001B7E5E"/>
    <w:rsid w:val="001C08DB"/>
    <w:rsid w:val="001C10BD"/>
    <w:rsid w:val="001C1F01"/>
    <w:rsid w:val="001C2092"/>
    <w:rsid w:val="001C232F"/>
    <w:rsid w:val="001C2544"/>
    <w:rsid w:val="001C2A17"/>
    <w:rsid w:val="001C2A3E"/>
    <w:rsid w:val="001C31F5"/>
    <w:rsid w:val="001C35BF"/>
    <w:rsid w:val="001C512F"/>
    <w:rsid w:val="001C6047"/>
    <w:rsid w:val="001C6698"/>
    <w:rsid w:val="001C6C5B"/>
    <w:rsid w:val="001C7399"/>
    <w:rsid w:val="001C78B0"/>
    <w:rsid w:val="001C7CE0"/>
    <w:rsid w:val="001D005B"/>
    <w:rsid w:val="001D0947"/>
    <w:rsid w:val="001D16F5"/>
    <w:rsid w:val="001D1970"/>
    <w:rsid w:val="001D1D55"/>
    <w:rsid w:val="001D21EF"/>
    <w:rsid w:val="001D29A4"/>
    <w:rsid w:val="001D2B73"/>
    <w:rsid w:val="001D3136"/>
    <w:rsid w:val="001D330D"/>
    <w:rsid w:val="001D3458"/>
    <w:rsid w:val="001D4AB6"/>
    <w:rsid w:val="001D4AD3"/>
    <w:rsid w:val="001D4B1D"/>
    <w:rsid w:val="001D5281"/>
    <w:rsid w:val="001D60DB"/>
    <w:rsid w:val="001D6BDF"/>
    <w:rsid w:val="001E0AF4"/>
    <w:rsid w:val="001E0F77"/>
    <w:rsid w:val="001E17E3"/>
    <w:rsid w:val="001E2052"/>
    <w:rsid w:val="001E2492"/>
    <w:rsid w:val="001E257C"/>
    <w:rsid w:val="001E286C"/>
    <w:rsid w:val="001E2F34"/>
    <w:rsid w:val="001E2F89"/>
    <w:rsid w:val="001E35EE"/>
    <w:rsid w:val="001E4B2C"/>
    <w:rsid w:val="001E507F"/>
    <w:rsid w:val="001E56C2"/>
    <w:rsid w:val="001E59FB"/>
    <w:rsid w:val="001E7F81"/>
    <w:rsid w:val="001F0FD1"/>
    <w:rsid w:val="001F1526"/>
    <w:rsid w:val="001F19D1"/>
    <w:rsid w:val="001F1CB9"/>
    <w:rsid w:val="001F1F18"/>
    <w:rsid w:val="001F2F92"/>
    <w:rsid w:val="001F4390"/>
    <w:rsid w:val="001F456F"/>
    <w:rsid w:val="001F5DA1"/>
    <w:rsid w:val="001F612E"/>
    <w:rsid w:val="001F6A92"/>
    <w:rsid w:val="001F77E8"/>
    <w:rsid w:val="00201A0C"/>
    <w:rsid w:val="00201B0F"/>
    <w:rsid w:val="00201FF0"/>
    <w:rsid w:val="0020255A"/>
    <w:rsid w:val="00202800"/>
    <w:rsid w:val="002029C7"/>
    <w:rsid w:val="00202D33"/>
    <w:rsid w:val="00202E58"/>
    <w:rsid w:val="00202F99"/>
    <w:rsid w:val="002035B7"/>
    <w:rsid w:val="00203C85"/>
    <w:rsid w:val="0020449A"/>
    <w:rsid w:val="00204B05"/>
    <w:rsid w:val="00204E9B"/>
    <w:rsid w:val="00205298"/>
    <w:rsid w:val="002055C0"/>
    <w:rsid w:val="0020569E"/>
    <w:rsid w:val="00206698"/>
    <w:rsid w:val="00206736"/>
    <w:rsid w:val="00206C88"/>
    <w:rsid w:val="00210B9C"/>
    <w:rsid w:val="00211185"/>
    <w:rsid w:val="00211513"/>
    <w:rsid w:val="00211A94"/>
    <w:rsid w:val="002126F2"/>
    <w:rsid w:val="00213478"/>
    <w:rsid w:val="00214028"/>
    <w:rsid w:val="002141C3"/>
    <w:rsid w:val="002141DC"/>
    <w:rsid w:val="0021440C"/>
    <w:rsid w:val="00214479"/>
    <w:rsid w:val="00214493"/>
    <w:rsid w:val="002144F3"/>
    <w:rsid w:val="002146C3"/>
    <w:rsid w:val="00215334"/>
    <w:rsid w:val="00215514"/>
    <w:rsid w:val="0021578B"/>
    <w:rsid w:val="00215A2A"/>
    <w:rsid w:val="00215A3F"/>
    <w:rsid w:val="00215BE8"/>
    <w:rsid w:val="00215D21"/>
    <w:rsid w:val="0021636B"/>
    <w:rsid w:val="00216387"/>
    <w:rsid w:val="00216E7B"/>
    <w:rsid w:val="00217E1F"/>
    <w:rsid w:val="002204BC"/>
    <w:rsid w:val="00220F7B"/>
    <w:rsid w:val="002213CE"/>
    <w:rsid w:val="00221AF7"/>
    <w:rsid w:val="00222494"/>
    <w:rsid w:val="00222775"/>
    <w:rsid w:val="00222A31"/>
    <w:rsid w:val="00222CF6"/>
    <w:rsid w:val="00223E7A"/>
    <w:rsid w:val="00224037"/>
    <w:rsid w:val="002244E4"/>
    <w:rsid w:val="00224D2A"/>
    <w:rsid w:val="00224D8D"/>
    <w:rsid w:val="0022555A"/>
    <w:rsid w:val="00226A6F"/>
    <w:rsid w:val="00227214"/>
    <w:rsid w:val="00227DDC"/>
    <w:rsid w:val="0023079F"/>
    <w:rsid w:val="00230824"/>
    <w:rsid w:val="00231135"/>
    <w:rsid w:val="00231B0B"/>
    <w:rsid w:val="00232555"/>
    <w:rsid w:val="00232F3B"/>
    <w:rsid w:val="002331AA"/>
    <w:rsid w:val="00233538"/>
    <w:rsid w:val="00234248"/>
    <w:rsid w:val="0023449F"/>
    <w:rsid w:val="002344F5"/>
    <w:rsid w:val="0023454D"/>
    <w:rsid w:val="00234679"/>
    <w:rsid w:val="00235535"/>
    <w:rsid w:val="002359FC"/>
    <w:rsid w:val="002361C8"/>
    <w:rsid w:val="00236690"/>
    <w:rsid w:val="0023669D"/>
    <w:rsid w:val="00237EAE"/>
    <w:rsid w:val="00237FA2"/>
    <w:rsid w:val="002403D5"/>
    <w:rsid w:val="00240C1F"/>
    <w:rsid w:val="00240F55"/>
    <w:rsid w:val="00240F67"/>
    <w:rsid w:val="00241144"/>
    <w:rsid w:val="002423E4"/>
    <w:rsid w:val="00242510"/>
    <w:rsid w:val="00242ABB"/>
    <w:rsid w:val="00242F79"/>
    <w:rsid w:val="0024415B"/>
    <w:rsid w:val="0024436D"/>
    <w:rsid w:val="00245135"/>
    <w:rsid w:val="00245565"/>
    <w:rsid w:val="002458C1"/>
    <w:rsid w:val="00245E62"/>
    <w:rsid w:val="002460D0"/>
    <w:rsid w:val="00246357"/>
    <w:rsid w:val="00246E10"/>
    <w:rsid w:val="00247422"/>
    <w:rsid w:val="00247BA2"/>
    <w:rsid w:val="00250870"/>
    <w:rsid w:val="00250F48"/>
    <w:rsid w:val="0025151C"/>
    <w:rsid w:val="0025184F"/>
    <w:rsid w:val="00251967"/>
    <w:rsid w:val="002527CC"/>
    <w:rsid w:val="00252F48"/>
    <w:rsid w:val="002530C0"/>
    <w:rsid w:val="00253586"/>
    <w:rsid w:val="002537FC"/>
    <w:rsid w:val="002542CE"/>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1F65"/>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35E"/>
    <w:rsid w:val="00266519"/>
    <w:rsid w:val="00266C21"/>
    <w:rsid w:val="00266DE1"/>
    <w:rsid w:val="00267A92"/>
    <w:rsid w:val="00267E43"/>
    <w:rsid w:val="00270282"/>
    <w:rsid w:val="00270780"/>
    <w:rsid w:val="00270CF6"/>
    <w:rsid w:val="00271097"/>
    <w:rsid w:val="00271C53"/>
    <w:rsid w:val="0027244F"/>
    <w:rsid w:val="00273052"/>
    <w:rsid w:val="002739CE"/>
    <w:rsid w:val="00273B1F"/>
    <w:rsid w:val="00273C5F"/>
    <w:rsid w:val="002741D4"/>
    <w:rsid w:val="002743AC"/>
    <w:rsid w:val="0027499D"/>
    <w:rsid w:val="00274A56"/>
    <w:rsid w:val="002751CA"/>
    <w:rsid w:val="0027544D"/>
    <w:rsid w:val="00275D6E"/>
    <w:rsid w:val="00277196"/>
    <w:rsid w:val="002775ED"/>
    <w:rsid w:val="002778AB"/>
    <w:rsid w:val="00277929"/>
    <w:rsid w:val="002802A5"/>
    <w:rsid w:val="00280CFB"/>
    <w:rsid w:val="00280D24"/>
    <w:rsid w:val="002815C4"/>
    <w:rsid w:val="00281BCB"/>
    <w:rsid w:val="00281C76"/>
    <w:rsid w:val="0028316D"/>
    <w:rsid w:val="00283296"/>
    <w:rsid w:val="0028577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635"/>
    <w:rsid w:val="00294012"/>
    <w:rsid w:val="002945B0"/>
    <w:rsid w:val="0029499D"/>
    <w:rsid w:val="00294A13"/>
    <w:rsid w:val="00294B10"/>
    <w:rsid w:val="00294DF9"/>
    <w:rsid w:val="00295073"/>
    <w:rsid w:val="00295468"/>
    <w:rsid w:val="00296C32"/>
    <w:rsid w:val="002977CE"/>
    <w:rsid w:val="00297AF5"/>
    <w:rsid w:val="00297B5A"/>
    <w:rsid w:val="002A02D6"/>
    <w:rsid w:val="002A07C4"/>
    <w:rsid w:val="002A0921"/>
    <w:rsid w:val="002A0CB3"/>
    <w:rsid w:val="002A174A"/>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6B00"/>
    <w:rsid w:val="002A70AD"/>
    <w:rsid w:val="002A7748"/>
    <w:rsid w:val="002A7ED3"/>
    <w:rsid w:val="002A7FB1"/>
    <w:rsid w:val="002A7FC9"/>
    <w:rsid w:val="002B0779"/>
    <w:rsid w:val="002B139C"/>
    <w:rsid w:val="002B1881"/>
    <w:rsid w:val="002B1F61"/>
    <w:rsid w:val="002B2070"/>
    <w:rsid w:val="002B28ED"/>
    <w:rsid w:val="002B2906"/>
    <w:rsid w:val="002B2C66"/>
    <w:rsid w:val="002B34E3"/>
    <w:rsid w:val="002B3B08"/>
    <w:rsid w:val="002B51B6"/>
    <w:rsid w:val="002B52DA"/>
    <w:rsid w:val="002B5AEE"/>
    <w:rsid w:val="002B6177"/>
    <w:rsid w:val="002B642C"/>
    <w:rsid w:val="002B650C"/>
    <w:rsid w:val="002B68AB"/>
    <w:rsid w:val="002B68E6"/>
    <w:rsid w:val="002B6985"/>
    <w:rsid w:val="002B6C26"/>
    <w:rsid w:val="002B6D7A"/>
    <w:rsid w:val="002B7CA7"/>
    <w:rsid w:val="002C02BA"/>
    <w:rsid w:val="002C0301"/>
    <w:rsid w:val="002C0326"/>
    <w:rsid w:val="002C0A9F"/>
    <w:rsid w:val="002C1AB3"/>
    <w:rsid w:val="002C1BB7"/>
    <w:rsid w:val="002C1FB3"/>
    <w:rsid w:val="002C25E8"/>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EDF"/>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002"/>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760"/>
    <w:rsid w:val="002E6853"/>
    <w:rsid w:val="002E7EC1"/>
    <w:rsid w:val="002E7EE5"/>
    <w:rsid w:val="002F0323"/>
    <w:rsid w:val="002F0B0F"/>
    <w:rsid w:val="002F0DFB"/>
    <w:rsid w:val="002F134F"/>
    <w:rsid w:val="002F1D0B"/>
    <w:rsid w:val="002F1E1D"/>
    <w:rsid w:val="002F1F02"/>
    <w:rsid w:val="002F2380"/>
    <w:rsid w:val="002F27E5"/>
    <w:rsid w:val="002F2D81"/>
    <w:rsid w:val="002F2F66"/>
    <w:rsid w:val="002F39D4"/>
    <w:rsid w:val="002F4071"/>
    <w:rsid w:val="002F4BA9"/>
    <w:rsid w:val="002F4D28"/>
    <w:rsid w:val="002F51C2"/>
    <w:rsid w:val="002F541B"/>
    <w:rsid w:val="002F5BFE"/>
    <w:rsid w:val="002F5DA5"/>
    <w:rsid w:val="002F5E17"/>
    <w:rsid w:val="002F647C"/>
    <w:rsid w:val="002F6C6B"/>
    <w:rsid w:val="002F6CB0"/>
    <w:rsid w:val="002F6EFF"/>
    <w:rsid w:val="002F72B4"/>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35F"/>
    <w:rsid w:val="0031752D"/>
    <w:rsid w:val="00317709"/>
    <w:rsid w:val="00320688"/>
    <w:rsid w:val="00320B75"/>
    <w:rsid w:val="00321DB7"/>
    <w:rsid w:val="00321E7A"/>
    <w:rsid w:val="0032226D"/>
    <w:rsid w:val="003235E6"/>
    <w:rsid w:val="00324038"/>
    <w:rsid w:val="00324951"/>
    <w:rsid w:val="003249D8"/>
    <w:rsid w:val="003249F6"/>
    <w:rsid w:val="00324B2F"/>
    <w:rsid w:val="0032529F"/>
    <w:rsid w:val="00325DA4"/>
    <w:rsid w:val="00325FCC"/>
    <w:rsid w:val="00326106"/>
    <w:rsid w:val="00326805"/>
    <w:rsid w:val="003269B7"/>
    <w:rsid w:val="00326C0E"/>
    <w:rsid w:val="003272A3"/>
    <w:rsid w:val="003272E4"/>
    <w:rsid w:val="00327B71"/>
    <w:rsid w:val="00331461"/>
    <w:rsid w:val="00331618"/>
    <w:rsid w:val="003316A8"/>
    <w:rsid w:val="00331C80"/>
    <w:rsid w:val="00331CC9"/>
    <w:rsid w:val="003320D7"/>
    <w:rsid w:val="00332265"/>
    <w:rsid w:val="00332862"/>
    <w:rsid w:val="00332D52"/>
    <w:rsid w:val="00333337"/>
    <w:rsid w:val="00333A28"/>
    <w:rsid w:val="00333B6C"/>
    <w:rsid w:val="00334927"/>
    <w:rsid w:val="00335572"/>
    <w:rsid w:val="003360AD"/>
    <w:rsid w:val="0033631D"/>
    <w:rsid w:val="003369C7"/>
    <w:rsid w:val="003373A6"/>
    <w:rsid w:val="00337409"/>
    <w:rsid w:val="00337E18"/>
    <w:rsid w:val="003405AF"/>
    <w:rsid w:val="0034088F"/>
    <w:rsid w:val="00340B3E"/>
    <w:rsid w:val="003413D2"/>
    <w:rsid w:val="00341525"/>
    <w:rsid w:val="003422F9"/>
    <w:rsid w:val="0034257E"/>
    <w:rsid w:val="003429A1"/>
    <w:rsid w:val="003429FC"/>
    <w:rsid w:val="00342C4F"/>
    <w:rsid w:val="00343079"/>
    <w:rsid w:val="00343127"/>
    <w:rsid w:val="00343320"/>
    <w:rsid w:val="00344066"/>
    <w:rsid w:val="00344BBF"/>
    <w:rsid w:val="0034509B"/>
    <w:rsid w:val="00345644"/>
    <w:rsid w:val="00345D0E"/>
    <w:rsid w:val="00345D7A"/>
    <w:rsid w:val="0034607E"/>
    <w:rsid w:val="003468EE"/>
    <w:rsid w:val="00346A96"/>
    <w:rsid w:val="00346B6D"/>
    <w:rsid w:val="00346BA3"/>
    <w:rsid w:val="00346C69"/>
    <w:rsid w:val="00347356"/>
    <w:rsid w:val="0035005C"/>
    <w:rsid w:val="00350896"/>
    <w:rsid w:val="00350C31"/>
    <w:rsid w:val="00350C9F"/>
    <w:rsid w:val="00351391"/>
    <w:rsid w:val="003519CD"/>
    <w:rsid w:val="00351A3A"/>
    <w:rsid w:val="0035231B"/>
    <w:rsid w:val="00352A48"/>
    <w:rsid w:val="0035455F"/>
    <w:rsid w:val="00354A88"/>
    <w:rsid w:val="00355D75"/>
    <w:rsid w:val="00355D8F"/>
    <w:rsid w:val="00356A73"/>
    <w:rsid w:val="00356FF0"/>
    <w:rsid w:val="003577EF"/>
    <w:rsid w:val="00357A60"/>
    <w:rsid w:val="00360304"/>
    <w:rsid w:val="00360A78"/>
    <w:rsid w:val="00361750"/>
    <w:rsid w:val="003637F5"/>
    <w:rsid w:val="00363894"/>
    <w:rsid w:val="00363B2A"/>
    <w:rsid w:val="00363BF1"/>
    <w:rsid w:val="00365EFC"/>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2EE"/>
    <w:rsid w:val="00377886"/>
    <w:rsid w:val="00377B26"/>
    <w:rsid w:val="00377FBD"/>
    <w:rsid w:val="00381014"/>
    <w:rsid w:val="00381604"/>
    <w:rsid w:val="00381C68"/>
    <w:rsid w:val="00381F60"/>
    <w:rsid w:val="00382FBE"/>
    <w:rsid w:val="00383204"/>
    <w:rsid w:val="00383AB0"/>
    <w:rsid w:val="003847BB"/>
    <w:rsid w:val="00384814"/>
    <w:rsid w:val="00384C0A"/>
    <w:rsid w:val="00385131"/>
    <w:rsid w:val="00385B16"/>
    <w:rsid w:val="00385B96"/>
    <w:rsid w:val="0038637D"/>
    <w:rsid w:val="003868F6"/>
    <w:rsid w:val="003869DC"/>
    <w:rsid w:val="00386C07"/>
    <w:rsid w:val="00386F58"/>
    <w:rsid w:val="0038700D"/>
    <w:rsid w:val="0038789F"/>
    <w:rsid w:val="003879CE"/>
    <w:rsid w:val="00387B88"/>
    <w:rsid w:val="00390980"/>
    <w:rsid w:val="00390B8F"/>
    <w:rsid w:val="00390C0D"/>
    <w:rsid w:val="00391447"/>
    <w:rsid w:val="003919D9"/>
    <w:rsid w:val="00391BDD"/>
    <w:rsid w:val="003922DE"/>
    <w:rsid w:val="00392AA4"/>
    <w:rsid w:val="00392E35"/>
    <w:rsid w:val="00393247"/>
    <w:rsid w:val="00393551"/>
    <w:rsid w:val="00393816"/>
    <w:rsid w:val="00393FCD"/>
    <w:rsid w:val="00394445"/>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77"/>
    <w:rsid w:val="003A20D5"/>
    <w:rsid w:val="003A24CC"/>
    <w:rsid w:val="003A2512"/>
    <w:rsid w:val="003A2A53"/>
    <w:rsid w:val="003A2EE8"/>
    <w:rsid w:val="003A373C"/>
    <w:rsid w:val="003A4F3A"/>
    <w:rsid w:val="003A5378"/>
    <w:rsid w:val="003A553C"/>
    <w:rsid w:val="003A56DF"/>
    <w:rsid w:val="003A6008"/>
    <w:rsid w:val="003A703F"/>
    <w:rsid w:val="003A7D7F"/>
    <w:rsid w:val="003A7E2B"/>
    <w:rsid w:val="003A7E40"/>
    <w:rsid w:val="003B0336"/>
    <w:rsid w:val="003B0A3A"/>
    <w:rsid w:val="003B0D79"/>
    <w:rsid w:val="003B1FBE"/>
    <w:rsid w:val="003B2110"/>
    <w:rsid w:val="003B221A"/>
    <w:rsid w:val="003B2930"/>
    <w:rsid w:val="003B31A7"/>
    <w:rsid w:val="003B4587"/>
    <w:rsid w:val="003B4B51"/>
    <w:rsid w:val="003B4FE1"/>
    <w:rsid w:val="003B514E"/>
    <w:rsid w:val="003B5531"/>
    <w:rsid w:val="003B636A"/>
    <w:rsid w:val="003B69CE"/>
    <w:rsid w:val="003B7403"/>
    <w:rsid w:val="003B74A6"/>
    <w:rsid w:val="003B7751"/>
    <w:rsid w:val="003C011C"/>
    <w:rsid w:val="003C0E32"/>
    <w:rsid w:val="003C11D7"/>
    <w:rsid w:val="003C16CB"/>
    <w:rsid w:val="003C1B97"/>
    <w:rsid w:val="003C247B"/>
    <w:rsid w:val="003C2A92"/>
    <w:rsid w:val="003C3292"/>
    <w:rsid w:val="003C38F0"/>
    <w:rsid w:val="003C3C1E"/>
    <w:rsid w:val="003C3D88"/>
    <w:rsid w:val="003C4134"/>
    <w:rsid w:val="003C435B"/>
    <w:rsid w:val="003C4EBE"/>
    <w:rsid w:val="003C62EC"/>
    <w:rsid w:val="003C685A"/>
    <w:rsid w:val="003C6E9C"/>
    <w:rsid w:val="003C746F"/>
    <w:rsid w:val="003C7570"/>
    <w:rsid w:val="003C76E6"/>
    <w:rsid w:val="003C7A87"/>
    <w:rsid w:val="003C7E59"/>
    <w:rsid w:val="003C7F12"/>
    <w:rsid w:val="003C7F46"/>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83"/>
    <w:rsid w:val="003D7F5F"/>
    <w:rsid w:val="003E006E"/>
    <w:rsid w:val="003E0947"/>
    <w:rsid w:val="003E0E96"/>
    <w:rsid w:val="003E1564"/>
    <w:rsid w:val="003E20F7"/>
    <w:rsid w:val="003E336A"/>
    <w:rsid w:val="003E3E2F"/>
    <w:rsid w:val="003E4048"/>
    <w:rsid w:val="003E4CE5"/>
    <w:rsid w:val="003E51FF"/>
    <w:rsid w:val="003E603E"/>
    <w:rsid w:val="003E604C"/>
    <w:rsid w:val="003E60DA"/>
    <w:rsid w:val="003E6E00"/>
    <w:rsid w:val="003E7111"/>
    <w:rsid w:val="003E7940"/>
    <w:rsid w:val="003F01BD"/>
    <w:rsid w:val="003F0486"/>
    <w:rsid w:val="003F048E"/>
    <w:rsid w:val="003F09FA"/>
    <w:rsid w:val="003F0AFF"/>
    <w:rsid w:val="003F1AA2"/>
    <w:rsid w:val="003F1F2A"/>
    <w:rsid w:val="003F26DC"/>
    <w:rsid w:val="003F2EEB"/>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67"/>
    <w:rsid w:val="004054BE"/>
    <w:rsid w:val="004056B6"/>
    <w:rsid w:val="00405764"/>
    <w:rsid w:val="00405D5C"/>
    <w:rsid w:val="00405E73"/>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2FF5"/>
    <w:rsid w:val="004138D1"/>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24D"/>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A63"/>
    <w:rsid w:val="00442C12"/>
    <w:rsid w:val="004434DF"/>
    <w:rsid w:val="0044354B"/>
    <w:rsid w:val="004441DC"/>
    <w:rsid w:val="0044493E"/>
    <w:rsid w:val="00444A1F"/>
    <w:rsid w:val="00444FC6"/>
    <w:rsid w:val="00445874"/>
    <w:rsid w:val="00445C38"/>
    <w:rsid w:val="0044686B"/>
    <w:rsid w:val="004475F7"/>
    <w:rsid w:val="0045057B"/>
    <w:rsid w:val="0045069B"/>
    <w:rsid w:val="00450B22"/>
    <w:rsid w:val="00451709"/>
    <w:rsid w:val="004518FA"/>
    <w:rsid w:val="00451A02"/>
    <w:rsid w:val="00451AC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D8C"/>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B2"/>
    <w:rsid w:val="00465DE5"/>
    <w:rsid w:val="00466151"/>
    <w:rsid w:val="00466978"/>
    <w:rsid w:val="00466ABA"/>
    <w:rsid w:val="004672C6"/>
    <w:rsid w:val="004672E3"/>
    <w:rsid w:val="004672F1"/>
    <w:rsid w:val="0046775D"/>
    <w:rsid w:val="00467823"/>
    <w:rsid w:val="004703B6"/>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79C"/>
    <w:rsid w:val="0047471E"/>
    <w:rsid w:val="004749DA"/>
    <w:rsid w:val="00474DEF"/>
    <w:rsid w:val="00475729"/>
    <w:rsid w:val="004758E7"/>
    <w:rsid w:val="00475B8D"/>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D86"/>
    <w:rsid w:val="00484D4D"/>
    <w:rsid w:val="004852E7"/>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1C7"/>
    <w:rsid w:val="0049421F"/>
    <w:rsid w:val="0049570D"/>
    <w:rsid w:val="00495A0C"/>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BBD"/>
    <w:rsid w:val="004A4E3B"/>
    <w:rsid w:val="004A6110"/>
    <w:rsid w:val="004A61B8"/>
    <w:rsid w:val="004A6342"/>
    <w:rsid w:val="004A6415"/>
    <w:rsid w:val="004A64F9"/>
    <w:rsid w:val="004A65F4"/>
    <w:rsid w:val="004A67AA"/>
    <w:rsid w:val="004A6D2C"/>
    <w:rsid w:val="004B026C"/>
    <w:rsid w:val="004B0271"/>
    <w:rsid w:val="004B0BE8"/>
    <w:rsid w:val="004B0E4A"/>
    <w:rsid w:val="004B1100"/>
    <w:rsid w:val="004B18C8"/>
    <w:rsid w:val="004B18F4"/>
    <w:rsid w:val="004B1A98"/>
    <w:rsid w:val="004B211F"/>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63"/>
    <w:rsid w:val="004C11A9"/>
    <w:rsid w:val="004C27CF"/>
    <w:rsid w:val="004C2CA7"/>
    <w:rsid w:val="004C3592"/>
    <w:rsid w:val="004C36D8"/>
    <w:rsid w:val="004C45C8"/>
    <w:rsid w:val="004C4F8F"/>
    <w:rsid w:val="004C5F4B"/>
    <w:rsid w:val="004C612E"/>
    <w:rsid w:val="004C61B8"/>
    <w:rsid w:val="004C69FE"/>
    <w:rsid w:val="004C6C0A"/>
    <w:rsid w:val="004C6C6D"/>
    <w:rsid w:val="004C74FE"/>
    <w:rsid w:val="004C756E"/>
    <w:rsid w:val="004C77FF"/>
    <w:rsid w:val="004C7DB0"/>
    <w:rsid w:val="004C7FFC"/>
    <w:rsid w:val="004D0223"/>
    <w:rsid w:val="004D0C4C"/>
    <w:rsid w:val="004D14DC"/>
    <w:rsid w:val="004D16A3"/>
    <w:rsid w:val="004D1934"/>
    <w:rsid w:val="004D1E41"/>
    <w:rsid w:val="004D2326"/>
    <w:rsid w:val="004D2E11"/>
    <w:rsid w:val="004D2F9F"/>
    <w:rsid w:val="004D3108"/>
    <w:rsid w:val="004D329C"/>
    <w:rsid w:val="004D34D1"/>
    <w:rsid w:val="004D4523"/>
    <w:rsid w:val="004D4990"/>
    <w:rsid w:val="004D50B4"/>
    <w:rsid w:val="004D51AE"/>
    <w:rsid w:val="004D51D6"/>
    <w:rsid w:val="004D6435"/>
    <w:rsid w:val="004D6BF2"/>
    <w:rsid w:val="004D6F29"/>
    <w:rsid w:val="004D7BF5"/>
    <w:rsid w:val="004D7C1F"/>
    <w:rsid w:val="004D7F9C"/>
    <w:rsid w:val="004E03F4"/>
    <w:rsid w:val="004E068F"/>
    <w:rsid w:val="004E0860"/>
    <w:rsid w:val="004E09CF"/>
    <w:rsid w:val="004E0B75"/>
    <w:rsid w:val="004E0C29"/>
    <w:rsid w:val="004E0DC4"/>
    <w:rsid w:val="004E109C"/>
    <w:rsid w:val="004E166D"/>
    <w:rsid w:val="004E1D6F"/>
    <w:rsid w:val="004E1DF3"/>
    <w:rsid w:val="004E2393"/>
    <w:rsid w:val="004E3117"/>
    <w:rsid w:val="004E32BD"/>
    <w:rsid w:val="004E3A2A"/>
    <w:rsid w:val="004E3AB1"/>
    <w:rsid w:val="004E4003"/>
    <w:rsid w:val="004E4626"/>
    <w:rsid w:val="004E4984"/>
    <w:rsid w:val="004E5101"/>
    <w:rsid w:val="004E52F2"/>
    <w:rsid w:val="004E5380"/>
    <w:rsid w:val="004E5C8A"/>
    <w:rsid w:val="004E6746"/>
    <w:rsid w:val="004E675C"/>
    <w:rsid w:val="004E6CAC"/>
    <w:rsid w:val="004E6F69"/>
    <w:rsid w:val="004E75C1"/>
    <w:rsid w:val="004E7683"/>
    <w:rsid w:val="004E777F"/>
    <w:rsid w:val="004E7828"/>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4C"/>
    <w:rsid w:val="0050079C"/>
    <w:rsid w:val="0050106A"/>
    <w:rsid w:val="005010BC"/>
    <w:rsid w:val="00501848"/>
    <w:rsid w:val="00502B31"/>
    <w:rsid w:val="0050434C"/>
    <w:rsid w:val="0050537D"/>
    <w:rsid w:val="0050591C"/>
    <w:rsid w:val="005059BD"/>
    <w:rsid w:val="005060AE"/>
    <w:rsid w:val="0050790B"/>
    <w:rsid w:val="00507C71"/>
    <w:rsid w:val="00507FDF"/>
    <w:rsid w:val="0051037C"/>
    <w:rsid w:val="0051050F"/>
    <w:rsid w:val="0051058B"/>
    <w:rsid w:val="00510DDC"/>
    <w:rsid w:val="00511166"/>
    <w:rsid w:val="00512217"/>
    <w:rsid w:val="00512320"/>
    <w:rsid w:val="00512459"/>
    <w:rsid w:val="005131A2"/>
    <w:rsid w:val="005137E4"/>
    <w:rsid w:val="00513BB9"/>
    <w:rsid w:val="0051440E"/>
    <w:rsid w:val="00514480"/>
    <w:rsid w:val="005148CD"/>
    <w:rsid w:val="00515180"/>
    <w:rsid w:val="00515973"/>
    <w:rsid w:val="00516069"/>
    <w:rsid w:val="00517AC8"/>
    <w:rsid w:val="00517C3E"/>
    <w:rsid w:val="0052030A"/>
    <w:rsid w:val="005207D8"/>
    <w:rsid w:val="0052091D"/>
    <w:rsid w:val="00521098"/>
    <w:rsid w:val="005212F4"/>
    <w:rsid w:val="00521908"/>
    <w:rsid w:val="005224BC"/>
    <w:rsid w:val="00522928"/>
    <w:rsid w:val="00522FF1"/>
    <w:rsid w:val="0052316B"/>
    <w:rsid w:val="005235D8"/>
    <w:rsid w:val="00523946"/>
    <w:rsid w:val="0052397A"/>
    <w:rsid w:val="005256D6"/>
    <w:rsid w:val="00525AD8"/>
    <w:rsid w:val="00526429"/>
    <w:rsid w:val="005266C1"/>
    <w:rsid w:val="005267F4"/>
    <w:rsid w:val="005269D3"/>
    <w:rsid w:val="00527317"/>
    <w:rsid w:val="00527ED6"/>
    <w:rsid w:val="0053024F"/>
    <w:rsid w:val="0053030F"/>
    <w:rsid w:val="005308CE"/>
    <w:rsid w:val="00530E8E"/>
    <w:rsid w:val="00531064"/>
    <w:rsid w:val="005312CB"/>
    <w:rsid w:val="005313B2"/>
    <w:rsid w:val="00531594"/>
    <w:rsid w:val="00531911"/>
    <w:rsid w:val="00531E92"/>
    <w:rsid w:val="005324D7"/>
    <w:rsid w:val="005326F0"/>
    <w:rsid w:val="00532764"/>
    <w:rsid w:val="00532AA5"/>
    <w:rsid w:val="00532C5F"/>
    <w:rsid w:val="00533233"/>
    <w:rsid w:val="005335A2"/>
    <w:rsid w:val="00533D13"/>
    <w:rsid w:val="00533DEC"/>
    <w:rsid w:val="00534026"/>
    <w:rsid w:val="00534D55"/>
    <w:rsid w:val="00535A33"/>
    <w:rsid w:val="00535B53"/>
    <w:rsid w:val="00536B03"/>
    <w:rsid w:val="005370CF"/>
    <w:rsid w:val="00537456"/>
    <w:rsid w:val="0053790C"/>
    <w:rsid w:val="00537B3D"/>
    <w:rsid w:val="00540401"/>
    <w:rsid w:val="005405B2"/>
    <w:rsid w:val="0054076A"/>
    <w:rsid w:val="00540BBA"/>
    <w:rsid w:val="00540D47"/>
    <w:rsid w:val="00540E71"/>
    <w:rsid w:val="00540EE7"/>
    <w:rsid w:val="00541A22"/>
    <w:rsid w:val="00541E2B"/>
    <w:rsid w:val="00541EAD"/>
    <w:rsid w:val="005424C2"/>
    <w:rsid w:val="005426B2"/>
    <w:rsid w:val="00542AA1"/>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644"/>
    <w:rsid w:val="005524ED"/>
    <w:rsid w:val="00553627"/>
    <w:rsid w:val="00553F91"/>
    <w:rsid w:val="00554007"/>
    <w:rsid w:val="00554092"/>
    <w:rsid w:val="00554C03"/>
    <w:rsid w:val="00554C58"/>
    <w:rsid w:val="00554D5D"/>
    <w:rsid w:val="005550F9"/>
    <w:rsid w:val="00555CC1"/>
    <w:rsid w:val="00556338"/>
    <w:rsid w:val="00556441"/>
    <w:rsid w:val="00557031"/>
    <w:rsid w:val="00557F87"/>
    <w:rsid w:val="005601E7"/>
    <w:rsid w:val="00560841"/>
    <w:rsid w:val="00560FCB"/>
    <w:rsid w:val="00561001"/>
    <w:rsid w:val="0056111C"/>
    <w:rsid w:val="00561140"/>
    <w:rsid w:val="00561412"/>
    <w:rsid w:val="00561764"/>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54B"/>
    <w:rsid w:val="00567623"/>
    <w:rsid w:val="005701C2"/>
    <w:rsid w:val="00570763"/>
    <w:rsid w:val="0057200B"/>
    <w:rsid w:val="00572297"/>
    <w:rsid w:val="0057345D"/>
    <w:rsid w:val="0057347D"/>
    <w:rsid w:val="00573560"/>
    <w:rsid w:val="00574E7B"/>
    <w:rsid w:val="00574F36"/>
    <w:rsid w:val="00575B04"/>
    <w:rsid w:val="00576B5C"/>
    <w:rsid w:val="005770CC"/>
    <w:rsid w:val="005802F9"/>
    <w:rsid w:val="005806D5"/>
    <w:rsid w:val="00580DFC"/>
    <w:rsid w:val="0058134C"/>
    <w:rsid w:val="005815CD"/>
    <w:rsid w:val="00581AA8"/>
    <w:rsid w:val="00581D39"/>
    <w:rsid w:val="005827A7"/>
    <w:rsid w:val="00583D43"/>
    <w:rsid w:val="005846C3"/>
    <w:rsid w:val="0058482B"/>
    <w:rsid w:val="00584F04"/>
    <w:rsid w:val="0058544C"/>
    <w:rsid w:val="00585623"/>
    <w:rsid w:val="0058577C"/>
    <w:rsid w:val="005857F7"/>
    <w:rsid w:val="005865E9"/>
    <w:rsid w:val="005868FD"/>
    <w:rsid w:val="00587D7B"/>
    <w:rsid w:val="005904DB"/>
    <w:rsid w:val="005905ED"/>
    <w:rsid w:val="00590D11"/>
    <w:rsid w:val="005919EE"/>
    <w:rsid w:val="00591BA6"/>
    <w:rsid w:val="00592825"/>
    <w:rsid w:val="0059310B"/>
    <w:rsid w:val="005943CC"/>
    <w:rsid w:val="00594437"/>
    <w:rsid w:val="00594B70"/>
    <w:rsid w:val="00594E85"/>
    <w:rsid w:val="0059639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CE"/>
    <w:rsid w:val="005A54F1"/>
    <w:rsid w:val="005A57B8"/>
    <w:rsid w:val="005A5DDE"/>
    <w:rsid w:val="005A64A8"/>
    <w:rsid w:val="005A65C5"/>
    <w:rsid w:val="005A6875"/>
    <w:rsid w:val="005A6DBA"/>
    <w:rsid w:val="005A7016"/>
    <w:rsid w:val="005A7A32"/>
    <w:rsid w:val="005A7F85"/>
    <w:rsid w:val="005B00DD"/>
    <w:rsid w:val="005B01E9"/>
    <w:rsid w:val="005B03B1"/>
    <w:rsid w:val="005B07D5"/>
    <w:rsid w:val="005B1A8A"/>
    <w:rsid w:val="005B1AAB"/>
    <w:rsid w:val="005B20ED"/>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786"/>
    <w:rsid w:val="005B6865"/>
    <w:rsid w:val="005C039B"/>
    <w:rsid w:val="005C059F"/>
    <w:rsid w:val="005C07CE"/>
    <w:rsid w:val="005C0B8F"/>
    <w:rsid w:val="005C1912"/>
    <w:rsid w:val="005C194E"/>
    <w:rsid w:val="005C1C83"/>
    <w:rsid w:val="005C1DB1"/>
    <w:rsid w:val="005C2174"/>
    <w:rsid w:val="005C226F"/>
    <w:rsid w:val="005C2294"/>
    <w:rsid w:val="005C2E48"/>
    <w:rsid w:val="005C3344"/>
    <w:rsid w:val="005C37B7"/>
    <w:rsid w:val="005C407D"/>
    <w:rsid w:val="005C4E4D"/>
    <w:rsid w:val="005C58F2"/>
    <w:rsid w:val="005C5A97"/>
    <w:rsid w:val="005C5F77"/>
    <w:rsid w:val="005C6AAB"/>
    <w:rsid w:val="005C6D5D"/>
    <w:rsid w:val="005C6DF9"/>
    <w:rsid w:val="005C6F38"/>
    <w:rsid w:val="005C6FD0"/>
    <w:rsid w:val="005D01C3"/>
    <w:rsid w:val="005D05FF"/>
    <w:rsid w:val="005D0FB4"/>
    <w:rsid w:val="005D1176"/>
    <w:rsid w:val="005D1747"/>
    <w:rsid w:val="005D2177"/>
    <w:rsid w:val="005D266D"/>
    <w:rsid w:val="005D306D"/>
    <w:rsid w:val="005D3327"/>
    <w:rsid w:val="005D4760"/>
    <w:rsid w:val="005D4854"/>
    <w:rsid w:val="005D5BCF"/>
    <w:rsid w:val="005D65BF"/>
    <w:rsid w:val="005D6D84"/>
    <w:rsid w:val="005D70A1"/>
    <w:rsid w:val="005D79F2"/>
    <w:rsid w:val="005D7CB1"/>
    <w:rsid w:val="005D7F57"/>
    <w:rsid w:val="005E0067"/>
    <w:rsid w:val="005E0141"/>
    <w:rsid w:val="005E09CA"/>
    <w:rsid w:val="005E1AB4"/>
    <w:rsid w:val="005E255B"/>
    <w:rsid w:val="005E2B4D"/>
    <w:rsid w:val="005E2CF7"/>
    <w:rsid w:val="005E37FD"/>
    <w:rsid w:val="005E4543"/>
    <w:rsid w:val="005E4A1C"/>
    <w:rsid w:val="005E4AC6"/>
    <w:rsid w:val="005E56C9"/>
    <w:rsid w:val="005E5C95"/>
    <w:rsid w:val="005E5CF7"/>
    <w:rsid w:val="005E5FF0"/>
    <w:rsid w:val="005E642A"/>
    <w:rsid w:val="005E65A7"/>
    <w:rsid w:val="005E6A54"/>
    <w:rsid w:val="005E721E"/>
    <w:rsid w:val="005F0857"/>
    <w:rsid w:val="005F1470"/>
    <w:rsid w:val="005F15A9"/>
    <w:rsid w:val="005F203A"/>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5F7FE2"/>
    <w:rsid w:val="00600023"/>
    <w:rsid w:val="00600474"/>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6CB4"/>
    <w:rsid w:val="00607015"/>
    <w:rsid w:val="0061098D"/>
    <w:rsid w:val="00610B78"/>
    <w:rsid w:val="00611B59"/>
    <w:rsid w:val="00611FBA"/>
    <w:rsid w:val="00612098"/>
    <w:rsid w:val="0061272A"/>
    <w:rsid w:val="0061299E"/>
    <w:rsid w:val="006130D0"/>
    <w:rsid w:val="00613441"/>
    <w:rsid w:val="0061355D"/>
    <w:rsid w:val="006139F7"/>
    <w:rsid w:val="00613AA2"/>
    <w:rsid w:val="006146D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0A66"/>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46A"/>
    <w:rsid w:val="00642C69"/>
    <w:rsid w:val="00642D4F"/>
    <w:rsid w:val="0064330A"/>
    <w:rsid w:val="0064369F"/>
    <w:rsid w:val="00643F89"/>
    <w:rsid w:val="00644334"/>
    <w:rsid w:val="0064487C"/>
    <w:rsid w:val="00644BED"/>
    <w:rsid w:val="00644E2E"/>
    <w:rsid w:val="00645A3A"/>
    <w:rsid w:val="00645B87"/>
    <w:rsid w:val="00645CB4"/>
    <w:rsid w:val="00646084"/>
    <w:rsid w:val="006468ED"/>
    <w:rsid w:val="00647664"/>
    <w:rsid w:val="00650D19"/>
    <w:rsid w:val="0065277B"/>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3B3"/>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085"/>
    <w:rsid w:val="006811F3"/>
    <w:rsid w:val="00681240"/>
    <w:rsid w:val="00681E43"/>
    <w:rsid w:val="00683068"/>
    <w:rsid w:val="00683DAD"/>
    <w:rsid w:val="00684592"/>
    <w:rsid w:val="00684853"/>
    <w:rsid w:val="00684963"/>
    <w:rsid w:val="00685033"/>
    <w:rsid w:val="0068510D"/>
    <w:rsid w:val="0068517F"/>
    <w:rsid w:val="00685D65"/>
    <w:rsid w:val="00685FC8"/>
    <w:rsid w:val="006860CC"/>
    <w:rsid w:val="00686E80"/>
    <w:rsid w:val="0068790B"/>
    <w:rsid w:val="00687AF2"/>
    <w:rsid w:val="006901AC"/>
    <w:rsid w:val="00690C8D"/>
    <w:rsid w:val="00691890"/>
    <w:rsid w:val="00691AAD"/>
    <w:rsid w:val="00691EB8"/>
    <w:rsid w:val="00692416"/>
    <w:rsid w:val="00692AFF"/>
    <w:rsid w:val="00692D2D"/>
    <w:rsid w:val="00693B73"/>
    <w:rsid w:val="00693F29"/>
    <w:rsid w:val="006945A1"/>
    <w:rsid w:val="00694A53"/>
    <w:rsid w:val="006952DE"/>
    <w:rsid w:val="00695985"/>
    <w:rsid w:val="00695C78"/>
    <w:rsid w:val="00695E6C"/>
    <w:rsid w:val="00695EAC"/>
    <w:rsid w:val="00696C79"/>
    <w:rsid w:val="00697068"/>
    <w:rsid w:val="006977DE"/>
    <w:rsid w:val="00697D5F"/>
    <w:rsid w:val="006A0235"/>
    <w:rsid w:val="006A035B"/>
    <w:rsid w:val="006A0582"/>
    <w:rsid w:val="006A060C"/>
    <w:rsid w:val="006A06F8"/>
    <w:rsid w:val="006A071C"/>
    <w:rsid w:val="006A0DC7"/>
    <w:rsid w:val="006A150D"/>
    <w:rsid w:val="006A1B00"/>
    <w:rsid w:val="006A2766"/>
    <w:rsid w:val="006A3786"/>
    <w:rsid w:val="006A39D0"/>
    <w:rsid w:val="006A3E91"/>
    <w:rsid w:val="006A430B"/>
    <w:rsid w:val="006A4321"/>
    <w:rsid w:val="006A4E20"/>
    <w:rsid w:val="006A4F11"/>
    <w:rsid w:val="006A563C"/>
    <w:rsid w:val="006A5A6F"/>
    <w:rsid w:val="006A5F7E"/>
    <w:rsid w:val="006A6786"/>
    <w:rsid w:val="006A67AF"/>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A81"/>
    <w:rsid w:val="006B4CF8"/>
    <w:rsid w:val="006B506B"/>
    <w:rsid w:val="006B54E8"/>
    <w:rsid w:val="006B5766"/>
    <w:rsid w:val="006B5FBC"/>
    <w:rsid w:val="006B6ED2"/>
    <w:rsid w:val="006B7F74"/>
    <w:rsid w:val="006C0230"/>
    <w:rsid w:val="006C05C7"/>
    <w:rsid w:val="006C1323"/>
    <w:rsid w:val="006C1FC8"/>
    <w:rsid w:val="006C25AB"/>
    <w:rsid w:val="006C2DA6"/>
    <w:rsid w:val="006C3335"/>
    <w:rsid w:val="006C3581"/>
    <w:rsid w:val="006C3973"/>
    <w:rsid w:val="006C39A0"/>
    <w:rsid w:val="006C3AB0"/>
    <w:rsid w:val="006C3EFE"/>
    <w:rsid w:val="006C46C7"/>
    <w:rsid w:val="006C4767"/>
    <w:rsid w:val="006C4A1A"/>
    <w:rsid w:val="006C4D02"/>
    <w:rsid w:val="006C4F7E"/>
    <w:rsid w:val="006C53A4"/>
    <w:rsid w:val="006C54DF"/>
    <w:rsid w:val="006C5D2E"/>
    <w:rsid w:val="006C5D5D"/>
    <w:rsid w:val="006C627E"/>
    <w:rsid w:val="006C6303"/>
    <w:rsid w:val="006C6A51"/>
    <w:rsid w:val="006C6EBD"/>
    <w:rsid w:val="006C73ED"/>
    <w:rsid w:val="006C7E04"/>
    <w:rsid w:val="006C7F79"/>
    <w:rsid w:val="006D0004"/>
    <w:rsid w:val="006D015F"/>
    <w:rsid w:val="006D060E"/>
    <w:rsid w:val="006D0665"/>
    <w:rsid w:val="006D0681"/>
    <w:rsid w:val="006D0A80"/>
    <w:rsid w:val="006D0AE8"/>
    <w:rsid w:val="006D135C"/>
    <w:rsid w:val="006D2F72"/>
    <w:rsid w:val="006D43C1"/>
    <w:rsid w:val="006D5442"/>
    <w:rsid w:val="006D647B"/>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89D"/>
    <w:rsid w:val="006E61C8"/>
    <w:rsid w:val="006E727B"/>
    <w:rsid w:val="006E76C8"/>
    <w:rsid w:val="006E7A92"/>
    <w:rsid w:val="006F01FF"/>
    <w:rsid w:val="006F0CB2"/>
    <w:rsid w:val="006F1DE9"/>
    <w:rsid w:val="006F2046"/>
    <w:rsid w:val="006F2F59"/>
    <w:rsid w:val="006F311E"/>
    <w:rsid w:val="006F3442"/>
    <w:rsid w:val="006F36A5"/>
    <w:rsid w:val="006F41F4"/>
    <w:rsid w:val="006F4576"/>
    <w:rsid w:val="006F46E1"/>
    <w:rsid w:val="006F4975"/>
    <w:rsid w:val="006F49D2"/>
    <w:rsid w:val="006F5453"/>
    <w:rsid w:val="006F5813"/>
    <w:rsid w:val="006F59A8"/>
    <w:rsid w:val="006F5A1D"/>
    <w:rsid w:val="006F5A44"/>
    <w:rsid w:val="006F71A6"/>
    <w:rsid w:val="006F7974"/>
    <w:rsid w:val="006F7C2C"/>
    <w:rsid w:val="006F7FD5"/>
    <w:rsid w:val="00700405"/>
    <w:rsid w:val="00700D18"/>
    <w:rsid w:val="0070168D"/>
    <w:rsid w:val="00701C36"/>
    <w:rsid w:val="00702F2D"/>
    <w:rsid w:val="0070353F"/>
    <w:rsid w:val="00703772"/>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0F4F"/>
    <w:rsid w:val="0071108E"/>
    <w:rsid w:val="007119DC"/>
    <w:rsid w:val="00711CC7"/>
    <w:rsid w:val="00711D07"/>
    <w:rsid w:val="0071226D"/>
    <w:rsid w:val="0071230A"/>
    <w:rsid w:val="0071294A"/>
    <w:rsid w:val="00712BDD"/>
    <w:rsid w:val="00712E1E"/>
    <w:rsid w:val="00712F37"/>
    <w:rsid w:val="00713A6B"/>
    <w:rsid w:val="00713CB5"/>
    <w:rsid w:val="0071499C"/>
    <w:rsid w:val="00714F9D"/>
    <w:rsid w:val="007154D8"/>
    <w:rsid w:val="00715577"/>
    <w:rsid w:val="0071604D"/>
    <w:rsid w:val="00716C67"/>
    <w:rsid w:val="00716C8C"/>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3CE"/>
    <w:rsid w:val="00725829"/>
    <w:rsid w:val="00725D6A"/>
    <w:rsid w:val="007263A2"/>
    <w:rsid w:val="007266B9"/>
    <w:rsid w:val="00726B9E"/>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1"/>
    <w:rsid w:val="0073618A"/>
    <w:rsid w:val="007364A3"/>
    <w:rsid w:val="00736740"/>
    <w:rsid w:val="0073709C"/>
    <w:rsid w:val="0073742F"/>
    <w:rsid w:val="007378FD"/>
    <w:rsid w:val="007403FE"/>
    <w:rsid w:val="007409CE"/>
    <w:rsid w:val="007413EB"/>
    <w:rsid w:val="007413FB"/>
    <w:rsid w:val="00742408"/>
    <w:rsid w:val="00742D32"/>
    <w:rsid w:val="00742E9B"/>
    <w:rsid w:val="007444E6"/>
    <w:rsid w:val="00744D06"/>
    <w:rsid w:val="0074592C"/>
    <w:rsid w:val="00745C91"/>
    <w:rsid w:val="00746098"/>
    <w:rsid w:val="00746473"/>
    <w:rsid w:val="00746814"/>
    <w:rsid w:val="00746D58"/>
    <w:rsid w:val="00747578"/>
    <w:rsid w:val="00750D12"/>
    <w:rsid w:val="00751073"/>
    <w:rsid w:val="00751AF2"/>
    <w:rsid w:val="00751B1A"/>
    <w:rsid w:val="00751BD2"/>
    <w:rsid w:val="00751CE5"/>
    <w:rsid w:val="00752188"/>
    <w:rsid w:val="00752CC6"/>
    <w:rsid w:val="00753938"/>
    <w:rsid w:val="00753A57"/>
    <w:rsid w:val="0075409E"/>
    <w:rsid w:val="007543CE"/>
    <w:rsid w:val="0075497E"/>
    <w:rsid w:val="00754A29"/>
    <w:rsid w:val="00754DCC"/>
    <w:rsid w:val="0075511D"/>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5BD7"/>
    <w:rsid w:val="007660EC"/>
    <w:rsid w:val="007662C7"/>
    <w:rsid w:val="00766862"/>
    <w:rsid w:val="0076726C"/>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122"/>
    <w:rsid w:val="00783959"/>
    <w:rsid w:val="00783BA5"/>
    <w:rsid w:val="007844A9"/>
    <w:rsid w:val="007847B1"/>
    <w:rsid w:val="00785091"/>
    <w:rsid w:val="00785797"/>
    <w:rsid w:val="0078638C"/>
    <w:rsid w:val="007869F9"/>
    <w:rsid w:val="00786CBB"/>
    <w:rsid w:val="00786E21"/>
    <w:rsid w:val="0079038E"/>
    <w:rsid w:val="00790EBB"/>
    <w:rsid w:val="00791C6E"/>
    <w:rsid w:val="00791FA3"/>
    <w:rsid w:val="007921F7"/>
    <w:rsid w:val="00792909"/>
    <w:rsid w:val="00792BC6"/>
    <w:rsid w:val="00792C3F"/>
    <w:rsid w:val="00792EE2"/>
    <w:rsid w:val="00792EFD"/>
    <w:rsid w:val="00793105"/>
    <w:rsid w:val="007931E8"/>
    <w:rsid w:val="00793333"/>
    <w:rsid w:val="00793F57"/>
    <w:rsid w:val="00794158"/>
    <w:rsid w:val="00794509"/>
    <w:rsid w:val="00794D80"/>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DDC"/>
    <w:rsid w:val="007A54F6"/>
    <w:rsid w:val="007A55FE"/>
    <w:rsid w:val="007A582C"/>
    <w:rsid w:val="007A5950"/>
    <w:rsid w:val="007A6D91"/>
    <w:rsid w:val="007A7618"/>
    <w:rsid w:val="007B00C9"/>
    <w:rsid w:val="007B02C7"/>
    <w:rsid w:val="007B0306"/>
    <w:rsid w:val="007B08E4"/>
    <w:rsid w:val="007B0A36"/>
    <w:rsid w:val="007B0D86"/>
    <w:rsid w:val="007B28C3"/>
    <w:rsid w:val="007B3219"/>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8B3"/>
    <w:rsid w:val="007C2D00"/>
    <w:rsid w:val="007C3590"/>
    <w:rsid w:val="007C387A"/>
    <w:rsid w:val="007C3987"/>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C28"/>
    <w:rsid w:val="007D2882"/>
    <w:rsid w:val="007D296C"/>
    <w:rsid w:val="007D2C31"/>
    <w:rsid w:val="007D2E50"/>
    <w:rsid w:val="007D3D74"/>
    <w:rsid w:val="007D445F"/>
    <w:rsid w:val="007D4DED"/>
    <w:rsid w:val="007D4EDC"/>
    <w:rsid w:val="007D5BA2"/>
    <w:rsid w:val="007D5ED3"/>
    <w:rsid w:val="007D682F"/>
    <w:rsid w:val="007D6FB9"/>
    <w:rsid w:val="007D7211"/>
    <w:rsid w:val="007D7569"/>
    <w:rsid w:val="007E0595"/>
    <w:rsid w:val="007E0A63"/>
    <w:rsid w:val="007E0C63"/>
    <w:rsid w:val="007E0E05"/>
    <w:rsid w:val="007E0F5D"/>
    <w:rsid w:val="007E23A1"/>
    <w:rsid w:val="007E259F"/>
    <w:rsid w:val="007E347E"/>
    <w:rsid w:val="007E41A4"/>
    <w:rsid w:val="007E43E3"/>
    <w:rsid w:val="007E4854"/>
    <w:rsid w:val="007E54B8"/>
    <w:rsid w:val="007E5D12"/>
    <w:rsid w:val="007E6420"/>
    <w:rsid w:val="007E677F"/>
    <w:rsid w:val="007E6B25"/>
    <w:rsid w:val="007E6E06"/>
    <w:rsid w:val="007E6F4A"/>
    <w:rsid w:val="007E79CC"/>
    <w:rsid w:val="007F04E6"/>
    <w:rsid w:val="007F1124"/>
    <w:rsid w:val="007F152D"/>
    <w:rsid w:val="007F20C4"/>
    <w:rsid w:val="007F20EE"/>
    <w:rsid w:val="007F23D8"/>
    <w:rsid w:val="007F3030"/>
    <w:rsid w:val="007F307A"/>
    <w:rsid w:val="007F30C6"/>
    <w:rsid w:val="007F318A"/>
    <w:rsid w:val="007F38FD"/>
    <w:rsid w:val="007F3A50"/>
    <w:rsid w:val="007F3C18"/>
    <w:rsid w:val="007F4318"/>
    <w:rsid w:val="007F4709"/>
    <w:rsid w:val="007F47DA"/>
    <w:rsid w:val="007F4E52"/>
    <w:rsid w:val="007F4F84"/>
    <w:rsid w:val="007F5382"/>
    <w:rsid w:val="007F55A4"/>
    <w:rsid w:val="007F5D28"/>
    <w:rsid w:val="007F6260"/>
    <w:rsid w:val="007F682B"/>
    <w:rsid w:val="007F759D"/>
    <w:rsid w:val="007F7745"/>
    <w:rsid w:val="007F78E8"/>
    <w:rsid w:val="007F7F8F"/>
    <w:rsid w:val="00800509"/>
    <w:rsid w:val="0080078E"/>
    <w:rsid w:val="00800B7F"/>
    <w:rsid w:val="008012B1"/>
    <w:rsid w:val="00801466"/>
    <w:rsid w:val="00801D63"/>
    <w:rsid w:val="0080348B"/>
    <w:rsid w:val="00803D82"/>
    <w:rsid w:val="00803D98"/>
    <w:rsid w:val="008052CE"/>
    <w:rsid w:val="008058D0"/>
    <w:rsid w:val="00806A4C"/>
    <w:rsid w:val="00806FED"/>
    <w:rsid w:val="0080705B"/>
    <w:rsid w:val="0080723C"/>
    <w:rsid w:val="00807F71"/>
    <w:rsid w:val="0081000F"/>
    <w:rsid w:val="00811748"/>
    <w:rsid w:val="00812657"/>
    <w:rsid w:val="00812A1A"/>
    <w:rsid w:val="00812DFF"/>
    <w:rsid w:val="0081362F"/>
    <w:rsid w:val="0081383A"/>
    <w:rsid w:val="0081497F"/>
    <w:rsid w:val="00814B90"/>
    <w:rsid w:val="00814FC7"/>
    <w:rsid w:val="008154DA"/>
    <w:rsid w:val="0081660C"/>
    <w:rsid w:val="00816AD8"/>
    <w:rsid w:val="00816AD9"/>
    <w:rsid w:val="00817195"/>
    <w:rsid w:val="00817416"/>
    <w:rsid w:val="00817658"/>
    <w:rsid w:val="008206AE"/>
    <w:rsid w:val="00821271"/>
    <w:rsid w:val="00821306"/>
    <w:rsid w:val="00821361"/>
    <w:rsid w:val="008213D9"/>
    <w:rsid w:val="008216CE"/>
    <w:rsid w:val="008218AE"/>
    <w:rsid w:val="00821D85"/>
    <w:rsid w:val="00821E47"/>
    <w:rsid w:val="008220F6"/>
    <w:rsid w:val="00822456"/>
    <w:rsid w:val="00823819"/>
    <w:rsid w:val="00823C4B"/>
    <w:rsid w:val="00823F50"/>
    <w:rsid w:val="00823FCD"/>
    <w:rsid w:val="0082427D"/>
    <w:rsid w:val="00824872"/>
    <w:rsid w:val="00824FB9"/>
    <w:rsid w:val="00824FD9"/>
    <w:rsid w:val="00825441"/>
    <w:rsid w:val="00826855"/>
    <w:rsid w:val="00826E73"/>
    <w:rsid w:val="00830052"/>
    <w:rsid w:val="008300D0"/>
    <w:rsid w:val="008308D8"/>
    <w:rsid w:val="0083093A"/>
    <w:rsid w:val="00830ECE"/>
    <w:rsid w:val="008320D2"/>
    <w:rsid w:val="008321CE"/>
    <w:rsid w:val="0083257C"/>
    <w:rsid w:val="0083261B"/>
    <w:rsid w:val="00832A4F"/>
    <w:rsid w:val="00832B44"/>
    <w:rsid w:val="00832EC9"/>
    <w:rsid w:val="00833307"/>
    <w:rsid w:val="00833583"/>
    <w:rsid w:val="008337CD"/>
    <w:rsid w:val="00833B5B"/>
    <w:rsid w:val="00833E9A"/>
    <w:rsid w:val="00834FEF"/>
    <w:rsid w:val="00836323"/>
    <w:rsid w:val="00836D7F"/>
    <w:rsid w:val="008379FF"/>
    <w:rsid w:val="00837D3D"/>
    <w:rsid w:val="00837E9B"/>
    <w:rsid w:val="008404AA"/>
    <w:rsid w:val="008406D7"/>
    <w:rsid w:val="00840718"/>
    <w:rsid w:val="0084074F"/>
    <w:rsid w:val="008407BA"/>
    <w:rsid w:val="00840AA3"/>
    <w:rsid w:val="00840AAC"/>
    <w:rsid w:val="0084101C"/>
    <w:rsid w:val="0084181B"/>
    <w:rsid w:val="00841F29"/>
    <w:rsid w:val="0084218B"/>
    <w:rsid w:val="008425CC"/>
    <w:rsid w:val="008425DE"/>
    <w:rsid w:val="00842DC2"/>
    <w:rsid w:val="0084357B"/>
    <w:rsid w:val="008465B4"/>
    <w:rsid w:val="00846D25"/>
    <w:rsid w:val="00846E6E"/>
    <w:rsid w:val="00850013"/>
    <w:rsid w:val="008500DD"/>
    <w:rsid w:val="00850A0A"/>
    <w:rsid w:val="00850A94"/>
    <w:rsid w:val="0085199A"/>
    <w:rsid w:val="00851CEF"/>
    <w:rsid w:val="00851E96"/>
    <w:rsid w:val="00851F1C"/>
    <w:rsid w:val="0085237B"/>
    <w:rsid w:val="00852FA5"/>
    <w:rsid w:val="00853864"/>
    <w:rsid w:val="008539F4"/>
    <w:rsid w:val="00853F7D"/>
    <w:rsid w:val="0085517F"/>
    <w:rsid w:val="0085562D"/>
    <w:rsid w:val="00855A78"/>
    <w:rsid w:val="00856154"/>
    <w:rsid w:val="00856286"/>
    <w:rsid w:val="0085657E"/>
    <w:rsid w:val="00856F0E"/>
    <w:rsid w:val="008573AF"/>
    <w:rsid w:val="008576B0"/>
    <w:rsid w:val="00860296"/>
    <w:rsid w:val="008602E3"/>
    <w:rsid w:val="008609D6"/>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67FC1"/>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77D0D"/>
    <w:rsid w:val="00880354"/>
    <w:rsid w:val="0088069A"/>
    <w:rsid w:val="0088093C"/>
    <w:rsid w:val="00880BC0"/>
    <w:rsid w:val="0088127A"/>
    <w:rsid w:val="00881D59"/>
    <w:rsid w:val="00881EBC"/>
    <w:rsid w:val="008821A9"/>
    <w:rsid w:val="00882991"/>
    <w:rsid w:val="00882EC1"/>
    <w:rsid w:val="0088324E"/>
    <w:rsid w:val="0088434F"/>
    <w:rsid w:val="00884371"/>
    <w:rsid w:val="008848E2"/>
    <w:rsid w:val="00884B7A"/>
    <w:rsid w:val="00884D47"/>
    <w:rsid w:val="00884DEF"/>
    <w:rsid w:val="00885169"/>
    <w:rsid w:val="008856C5"/>
    <w:rsid w:val="0088600D"/>
    <w:rsid w:val="00886112"/>
    <w:rsid w:val="008872B3"/>
    <w:rsid w:val="00887392"/>
    <w:rsid w:val="008873D8"/>
    <w:rsid w:val="00890A64"/>
    <w:rsid w:val="00890C40"/>
    <w:rsid w:val="0089122E"/>
    <w:rsid w:val="008912A7"/>
    <w:rsid w:val="008915B6"/>
    <w:rsid w:val="00891763"/>
    <w:rsid w:val="0089183A"/>
    <w:rsid w:val="008920B4"/>
    <w:rsid w:val="008925EB"/>
    <w:rsid w:val="0089275E"/>
    <w:rsid w:val="00892B43"/>
    <w:rsid w:val="00893432"/>
    <w:rsid w:val="00893936"/>
    <w:rsid w:val="00893CE2"/>
    <w:rsid w:val="00893F41"/>
    <w:rsid w:val="008944BA"/>
    <w:rsid w:val="00894934"/>
    <w:rsid w:val="00895144"/>
    <w:rsid w:val="00895963"/>
    <w:rsid w:val="0089653D"/>
    <w:rsid w:val="008972B6"/>
    <w:rsid w:val="00897339"/>
    <w:rsid w:val="00897697"/>
    <w:rsid w:val="008977E1"/>
    <w:rsid w:val="00897BFA"/>
    <w:rsid w:val="00897D19"/>
    <w:rsid w:val="008A0044"/>
    <w:rsid w:val="008A0BFE"/>
    <w:rsid w:val="008A1023"/>
    <w:rsid w:val="008A1932"/>
    <w:rsid w:val="008A2030"/>
    <w:rsid w:val="008A21D9"/>
    <w:rsid w:val="008A232D"/>
    <w:rsid w:val="008A3182"/>
    <w:rsid w:val="008A3C76"/>
    <w:rsid w:val="008A3D54"/>
    <w:rsid w:val="008A3E10"/>
    <w:rsid w:val="008A404B"/>
    <w:rsid w:val="008A411C"/>
    <w:rsid w:val="008A45AC"/>
    <w:rsid w:val="008A4630"/>
    <w:rsid w:val="008A47CE"/>
    <w:rsid w:val="008A4CF6"/>
    <w:rsid w:val="008A4DFA"/>
    <w:rsid w:val="008A5F2F"/>
    <w:rsid w:val="008A6BAE"/>
    <w:rsid w:val="008A7350"/>
    <w:rsid w:val="008A760A"/>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0E"/>
    <w:rsid w:val="008B48EC"/>
    <w:rsid w:val="008B4AF0"/>
    <w:rsid w:val="008B518E"/>
    <w:rsid w:val="008B527B"/>
    <w:rsid w:val="008B5AB9"/>
    <w:rsid w:val="008B67E6"/>
    <w:rsid w:val="008B69B8"/>
    <w:rsid w:val="008B7042"/>
    <w:rsid w:val="008B770C"/>
    <w:rsid w:val="008C0325"/>
    <w:rsid w:val="008C094A"/>
    <w:rsid w:val="008C1011"/>
    <w:rsid w:val="008C1570"/>
    <w:rsid w:val="008C1792"/>
    <w:rsid w:val="008C17B2"/>
    <w:rsid w:val="008C1E3E"/>
    <w:rsid w:val="008C2059"/>
    <w:rsid w:val="008C21D0"/>
    <w:rsid w:val="008C2DBC"/>
    <w:rsid w:val="008C3639"/>
    <w:rsid w:val="008C3A4E"/>
    <w:rsid w:val="008C3DF0"/>
    <w:rsid w:val="008C4B17"/>
    <w:rsid w:val="008C5371"/>
    <w:rsid w:val="008C546A"/>
    <w:rsid w:val="008C623D"/>
    <w:rsid w:val="008C65F4"/>
    <w:rsid w:val="008C6683"/>
    <w:rsid w:val="008C6917"/>
    <w:rsid w:val="008C6A25"/>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48F"/>
    <w:rsid w:val="008D3B9F"/>
    <w:rsid w:val="008D3D02"/>
    <w:rsid w:val="008D3D5A"/>
    <w:rsid w:val="008D3FD6"/>
    <w:rsid w:val="008D4226"/>
    <w:rsid w:val="008D4427"/>
    <w:rsid w:val="008D4D7C"/>
    <w:rsid w:val="008D5432"/>
    <w:rsid w:val="008D54C0"/>
    <w:rsid w:val="008D5558"/>
    <w:rsid w:val="008D5806"/>
    <w:rsid w:val="008D5ED9"/>
    <w:rsid w:val="008D65BE"/>
    <w:rsid w:val="008D7247"/>
    <w:rsid w:val="008D7567"/>
    <w:rsid w:val="008E0EE4"/>
    <w:rsid w:val="008E12BE"/>
    <w:rsid w:val="008E13FD"/>
    <w:rsid w:val="008E1C24"/>
    <w:rsid w:val="008E1FBA"/>
    <w:rsid w:val="008E2626"/>
    <w:rsid w:val="008E27A9"/>
    <w:rsid w:val="008E299E"/>
    <w:rsid w:val="008E2CE4"/>
    <w:rsid w:val="008E323C"/>
    <w:rsid w:val="008E32E0"/>
    <w:rsid w:val="008E35A6"/>
    <w:rsid w:val="008E36D9"/>
    <w:rsid w:val="008E3A1A"/>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CE"/>
    <w:rsid w:val="009000F2"/>
    <w:rsid w:val="00900675"/>
    <w:rsid w:val="0090079D"/>
    <w:rsid w:val="0090086A"/>
    <w:rsid w:val="00900D2C"/>
    <w:rsid w:val="00901807"/>
    <w:rsid w:val="00901F0E"/>
    <w:rsid w:val="009026F1"/>
    <w:rsid w:val="00902A26"/>
    <w:rsid w:val="00902A57"/>
    <w:rsid w:val="00902B29"/>
    <w:rsid w:val="00903C83"/>
    <w:rsid w:val="00903D77"/>
    <w:rsid w:val="0090408F"/>
    <w:rsid w:val="0090446A"/>
    <w:rsid w:val="00904537"/>
    <w:rsid w:val="00904746"/>
    <w:rsid w:val="00904DC3"/>
    <w:rsid w:val="0090534A"/>
    <w:rsid w:val="00905469"/>
    <w:rsid w:val="00905B3B"/>
    <w:rsid w:val="00906078"/>
    <w:rsid w:val="0090629C"/>
    <w:rsid w:val="00906EA2"/>
    <w:rsid w:val="00907278"/>
    <w:rsid w:val="009076CA"/>
    <w:rsid w:val="00910041"/>
    <w:rsid w:val="00910D5C"/>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70B"/>
    <w:rsid w:val="0093386D"/>
    <w:rsid w:val="00934C8E"/>
    <w:rsid w:val="00934E28"/>
    <w:rsid w:val="00934EB8"/>
    <w:rsid w:val="00935194"/>
    <w:rsid w:val="0093545F"/>
    <w:rsid w:val="0093554C"/>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61D"/>
    <w:rsid w:val="0095370A"/>
    <w:rsid w:val="009537C0"/>
    <w:rsid w:val="00955233"/>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316"/>
    <w:rsid w:val="009625B7"/>
    <w:rsid w:val="00962FB8"/>
    <w:rsid w:val="00963183"/>
    <w:rsid w:val="0096356A"/>
    <w:rsid w:val="0096373F"/>
    <w:rsid w:val="00964007"/>
    <w:rsid w:val="00964283"/>
    <w:rsid w:val="009642A4"/>
    <w:rsid w:val="009643F4"/>
    <w:rsid w:val="009645A6"/>
    <w:rsid w:val="00964F5A"/>
    <w:rsid w:val="0096527F"/>
    <w:rsid w:val="009653ED"/>
    <w:rsid w:val="009664AE"/>
    <w:rsid w:val="00966A21"/>
    <w:rsid w:val="00966AD2"/>
    <w:rsid w:val="009672E4"/>
    <w:rsid w:val="0097025C"/>
    <w:rsid w:val="00971415"/>
    <w:rsid w:val="009716D8"/>
    <w:rsid w:val="00971F54"/>
    <w:rsid w:val="00972057"/>
    <w:rsid w:val="0097227B"/>
    <w:rsid w:val="0097262E"/>
    <w:rsid w:val="0097293F"/>
    <w:rsid w:val="00973103"/>
    <w:rsid w:val="00974022"/>
    <w:rsid w:val="009743E8"/>
    <w:rsid w:val="009745D8"/>
    <w:rsid w:val="00974C13"/>
    <w:rsid w:val="00974F3B"/>
    <w:rsid w:val="0097552A"/>
    <w:rsid w:val="0097564A"/>
    <w:rsid w:val="00975974"/>
    <w:rsid w:val="00975D06"/>
    <w:rsid w:val="00975D63"/>
    <w:rsid w:val="00975DAE"/>
    <w:rsid w:val="00976BBE"/>
    <w:rsid w:val="00976ECE"/>
    <w:rsid w:val="009779F8"/>
    <w:rsid w:val="0098055B"/>
    <w:rsid w:val="00980B30"/>
    <w:rsid w:val="009810BE"/>
    <w:rsid w:val="00981696"/>
    <w:rsid w:val="009817BC"/>
    <w:rsid w:val="009819A7"/>
    <w:rsid w:val="0098220A"/>
    <w:rsid w:val="00982E75"/>
    <w:rsid w:val="00983337"/>
    <w:rsid w:val="009836AA"/>
    <w:rsid w:val="009840C1"/>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CD2"/>
    <w:rsid w:val="00990EB7"/>
    <w:rsid w:val="00990F5F"/>
    <w:rsid w:val="009911A7"/>
    <w:rsid w:val="009913B8"/>
    <w:rsid w:val="009914E4"/>
    <w:rsid w:val="00992141"/>
    <w:rsid w:val="009921DB"/>
    <w:rsid w:val="00992509"/>
    <w:rsid w:val="00992C67"/>
    <w:rsid w:val="00992D5B"/>
    <w:rsid w:val="00993135"/>
    <w:rsid w:val="00993AA7"/>
    <w:rsid w:val="00993AC7"/>
    <w:rsid w:val="00993BAD"/>
    <w:rsid w:val="00993E49"/>
    <w:rsid w:val="00994120"/>
    <w:rsid w:val="009942F5"/>
    <w:rsid w:val="00994568"/>
    <w:rsid w:val="00994602"/>
    <w:rsid w:val="0099493F"/>
    <w:rsid w:val="009954B7"/>
    <w:rsid w:val="00995B01"/>
    <w:rsid w:val="00996055"/>
    <w:rsid w:val="00996E2E"/>
    <w:rsid w:val="00996EF4"/>
    <w:rsid w:val="00997044"/>
    <w:rsid w:val="00997727"/>
    <w:rsid w:val="00997BC9"/>
    <w:rsid w:val="00997C44"/>
    <w:rsid w:val="009A113D"/>
    <w:rsid w:val="009A1ECA"/>
    <w:rsid w:val="009A2BE9"/>
    <w:rsid w:val="009A2BF3"/>
    <w:rsid w:val="009A3688"/>
    <w:rsid w:val="009A3713"/>
    <w:rsid w:val="009A3C3E"/>
    <w:rsid w:val="009A4153"/>
    <w:rsid w:val="009A4C2C"/>
    <w:rsid w:val="009A4E60"/>
    <w:rsid w:val="009A543A"/>
    <w:rsid w:val="009A5620"/>
    <w:rsid w:val="009A59B3"/>
    <w:rsid w:val="009A5FAE"/>
    <w:rsid w:val="009A6454"/>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B8F"/>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A54"/>
    <w:rsid w:val="009D1172"/>
    <w:rsid w:val="009D13CC"/>
    <w:rsid w:val="009D14C1"/>
    <w:rsid w:val="009D1654"/>
    <w:rsid w:val="009D1AAC"/>
    <w:rsid w:val="009D1BDB"/>
    <w:rsid w:val="009D23B3"/>
    <w:rsid w:val="009D298F"/>
    <w:rsid w:val="009D2F9C"/>
    <w:rsid w:val="009D4207"/>
    <w:rsid w:val="009D4508"/>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1EB6"/>
    <w:rsid w:val="009E377C"/>
    <w:rsid w:val="009E38D1"/>
    <w:rsid w:val="009E3DF1"/>
    <w:rsid w:val="009E44C6"/>
    <w:rsid w:val="009E514A"/>
    <w:rsid w:val="009E5177"/>
    <w:rsid w:val="009E5701"/>
    <w:rsid w:val="009E5711"/>
    <w:rsid w:val="009E758E"/>
    <w:rsid w:val="009E7BA2"/>
    <w:rsid w:val="009E7BFB"/>
    <w:rsid w:val="009E7D6B"/>
    <w:rsid w:val="009E7E81"/>
    <w:rsid w:val="009F020A"/>
    <w:rsid w:val="009F057B"/>
    <w:rsid w:val="009F05AD"/>
    <w:rsid w:val="009F0659"/>
    <w:rsid w:val="009F1109"/>
    <w:rsid w:val="009F143E"/>
    <w:rsid w:val="009F1DE8"/>
    <w:rsid w:val="009F2186"/>
    <w:rsid w:val="009F227C"/>
    <w:rsid w:val="009F28DC"/>
    <w:rsid w:val="009F2BE1"/>
    <w:rsid w:val="009F2EDB"/>
    <w:rsid w:val="009F304C"/>
    <w:rsid w:val="009F33DC"/>
    <w:rsid w:val="009F3572"/>
    <w:rsid w:val="009F4550"/>
    <w:rsid w:val="009F56C0"/>
    <w:rsid w:val="009F5C76"/>
    <w:rsid w:val="00A000C5"/>
    <w:rsid w:val="00A0051A"/>
    <w:rsid w:val="00A007B4"/>
    <w:rsid w:val="00A00930"/>
    <w:rsid w:val="00A00CA0"/>
    <w:rsid w:val="00A00E00"/>
    <w:rsid w:val="00A01221"/>
    <w:rsid w:val="00A012A8"/>
    <w:rsid w:val="00A012F1"/>
    <w:rsid w:val="00A016FF"/>
    <w:rsid w:val="00A01886"/>
    <w:rsid w:val="00A0192D"/>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6DD"/>
    <w:rsid w:val="00A21838"/>
    <w:rsid w:val="00A22530"/>
    <w:rsid w:val="00A22C10"/>
    <w:rsid w:val="00A22C3E"/>
    <w:rsid w:val="00A22C4D"/>
    <w:rsid w:val="00A2334E"/>
    <w:rsid w:val="00A23442"/>
    <w:rsid w:val="00A249D2"/>
    <w:rsid w:val="00A254AB"/>
    <w:rsid w:val="00A259F2"/>
    <w:rsid w:val="00A266B3"/>
    <w:rsid w:val="00A266CC"/>
    <w:rsid w:val="00A26DB4"/>
    <w:rsid w:val="00A27425"/>
    <w:rsid w:val="00A3023E"/>
    <w:rsid w:val="00A305C5"/>
    <w:rsid w:val="00A30919"/>
    <w:rsid w:val="00A30AD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687"/>
    <w:rsid w:val="00A41819"/>
    <w:rsid w:val="00A41C9A"/>
    <w:rsid w:val="00A41D73"/>
    <w:rsid w:val="00A41E99"/>
    <w:rsid w:val="00A42406"/>
    <w:rsid w:val="00A42A74"/>
    <w:rsid w:val="00A433E8"/>
    <w:rsid w:val="00A43A1D"/>
    <w:rsid w:val="00A43AB0"/>
    <w:rsid w:val="00A44854"/>
    <w:rsid w:val="00A44A45"/>
    <w:rsid w:val="00A45660"/>
    <w:rsid w:val="00A4665D"/>
    <w:rsid w:val="00A46859"/>
    <w:rsid w:val="00A46C1E"/>
    <w:rsid w:val="00A46D39"/>
    <w:rsid w:val="00A47019"/>
    <w:rsid w:val="00A472B8"/>
    <w:rsid w:val="00A47D57"/>
    <w:rsid w:val="00A5004A"/>
    <w:rsid w:val="00A5017C"/>
    <w:rsid w:val="00A502D6"/>
    <w:rsid w:val="00A502F5"/>
    <w:rsid w:val="00A504F4"/>
    <w:rsid w:val="00A507C4"/>
    <w:rsid w:val="00A508AA"/>
    <w:rsid w:val="00A50EE7"/>
    <w:rsid w:val="00A51BDA"/>
    <w:rsid w:val="00A526CE"/>
    <w:rsid w:val="00A53224"/>
    <w:rsid w:val="00A53D28"/>
    <w:rsid w:val="00A5468F"/>
    <w:rsid w:val="00A54909"/>
    <w:rsid w:val="00A54DC0"/>
    <w:rsid w:val="00A5507E"/>
    <w:rsid w:val="00A550C9"/>
    <w:rsid w:val="00A55228"/>
    <w:rsid w:val="00A55410"/>
    <w:rsid w:val="00A55A04"/>
    <w:rsid w:val="00A564DE"/>
    <w:rsid w:val="00A6054E"/>
    <w:rsid w:val="00A60722"/>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B50"/>
    <w:rsid w:val="00A66E28"/>
    <w:rsid w:val="00A6707F"/>
    <w:rsid w:val="00A67429"/>
    <w:rsid w:val="00A677E7"/>
    <w:rsid w:val="00A67CE9"/>
    <w:rsid w:val="00A70590"/>
    <w:rsid w:val="00A7062E"/>
    <w:rsid w:val="00A70834"/>
    <w:rsid w:val="00A71542"/>
    <w:rsid w:val="00A7171F"/>
    <w:rsid w:val="00A719BC"/>
    <w:rsid w:val="00A71FA0"/>
    <w:rsid w:val="00A71FBD"/>
    <w:rsid w:val="00A72727"/>
    <w:rsid w:val="00A727D8"/>
    <w:rsid w:val="00A728A1"/>
    <w:rsid w:val="00A72C1A"/>
    <w:rsid w:val="00A732FB"/>
    <w:rsid w:val="00A7463E"/>
    <w:rsid w:val="00A74E67"/>
    <w:rsid w:val="00A758E2"/>
    <w:rsid w:val="00A7654B"/>
    <w:rsid w:val="00A765B1"/>
    <w:rsid w:val="00A76C5A"/>
    <w:rsid w:val="00A772F2"/>
    <w:rsid w:val="00A77828"/>
    <w:rsid w:val="00A77BAA"/>
    <w:rsid w:val="00A800F9"/>
    <w:rsid w:val="00A803A6"/>
    <w:rsid w:val="00A8073D"/>
    <w:rsid w:val="00A80939"/>
    <w:rsid w:val="00A80D02"/>
    <w:rsid w:val="00A815FB"/>
    <w:rsid w:val="00A81AEB"/>
    <w:rsid w:val="00A82D32"/>
    <w:rsid w:val="00A82EAE"/>
    <w:rsid w:val="00A82FC7"/>
    <w:rsid w:val="00A83FDA"/>
    <w:rsid w:val="00A847F9"/>
    <w:rsid w:val="00A84F27"/>
    <w:rsid w:val="00A8519C"/>
    <w:rsid w:val="00A855EE"/>
    <w:rsid w:val="00A8597A"/>
    <w:rsid w:val="00A85B87"/>
    <w:rsid w:val="00A85C8D"/>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557E"/>
    <w:rsid w:val="00A962AE"/>
    <w:rsid w:val="00A96724"/>
    <w:rsid w:val="00A9686A"/>
    <w:rsid w:val="00A96B4A"/>
    <w:rsid w:val="00A976DD"/>
    <w:rsid w:val="00A97BDA"/>
    <w:rsid w:val="00AA043A"/>
    <w:rsid w:val="00AA0779"/>
    <w:rsid w:val="00AA08F3"/>
    <w:rsid w:val="00AA0A7E"/>
    <w:rsid w:val="00AA0F23"/>
    <w:rsid w:val="00AA1067"/>
    <w:rsid w:val="00AA1163"/>
    <w:rsid w:val="00AA1DA8"/>
    <w:rsid w:val="00AA222C"/>
    <w:rsid w:val="00AA2264"/>
    <w:rsid w:val="00AA2335"/>
    <w:rsid w:val="00AA238E"/>
    <w:rsid w:val="00AA2483"/>
    <w:rsid w:val="00AA253B"/>
    <w:rsid w:val="00AA29F8"/>
    <w:rsid w:val="00AA2FB1"/>
    <w:rsid w:val="00AA3243"/>
    <w:rsid w:val="00AA388F"/>
    <w:rsid w:val="00AA3C4C"/>
    <w:rsid w:val="00AA3EBF"/>
    <w:rsid w:val="00AA408E"/>
    <w:rsid w:val="00AA4DA9"/>
    <w:rsid w:val="00AA4F6D"/>
    <w:rsid w:val="00AA50CE"/>
    <w:rsid w:val="00AA536B"/>
    <w:rsid w:val="00AA57C9"/>
    <w:rsid w:val="00AA5A5C"/>
    <w:rsid w:val="00AA5A6F"/>
    <w:rsid w:val="00AA634D"/>
    <w:rsid w:val="00AA64CC"/>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8ED"/>
    <w:rsid w:val="00AB4E41"/>
    <w:rsid w:val="00AB5EB1"/>
    <w:rsid w:val="00AB6003"/>
    <w:rsid w:val="00AB759A"/>
    <w:rsid w:val="00AB7B06"/>
    <w:rsid w:val="00AB7EAA"/>
    <w:rsid w:val="00AC0432"/>
    <w:rsid w:val="00AC0770"/>
    <w:rsid w:val="00AC1304"/>
    <w:rsid w:val="00AC1683"/>
    <w:rsid w:val="00AC1D82"/>
    <w:rsid w:val="00AC2686"/>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15F"/>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6CF9"/>
    <w:rsid w:val="00AE71EE"/>
    <w:rsid w:val="00AF03CF"/>
    <w:rsid w:val="00AF0565"/>
    <w:rsid w:val="00AF0A0A"/>
    <w:rsid w:val="00AF14FC"/>
    <w:rsid w:val="00AF178B"/>
    <w:rsid w:val="00AF1ED2"/>
    <w:rsid w:val="00AF1F4E"/>
    <w:rsid w:val="00AF2302"/>
    <w:rsid w:val="00AF262A"/>
    <w:rsid w:val="00AF3557"/>
    <w:rsid w:val="00AF3F86"/>
    <w:rsid w:val="00AF4CEE"/>
    <w:rsid w:val="00AF4F4A"/>
    <w:rsid w:val="00AF584C"/>
    <w:rsid w:val="00AF5CCA"/>
    <w:rsid w:val="00AF5D84"/>
    <w:rsid w:val="00AF6476"/>
    <w:rsid w:val="00AF669D"/>
    <w:rsid w:val="00AF672C"/>
    <w:rsid w:val="00AF673E"/>
    <w:rsid w:val="00AF6ABE"/>
    <w:rsid w:val="00AF7389"/>
    <w:rsid w:val="00AF79DF"/>
    <w:rsid w:val="00AF7C37"/>
    <w:rsid w:val="00B00378"/>
    <w:rsid w:val="00B00D91"/>
    <w:rsid w:val="00B00E84"/>
    <w:rsid w:val="00B01956"/>
    <w:rsid w:val="00B01DD9"/>
    <w:rsid w:val="00B01F0E"/>
    <w:rsid w:val="00B02313"/>
    <w:rsid w:val="00B02E56"/>
    <w:rsid w:val="00B0315F"/>
    <w:rsid w:val="00B03338"/>
    <w:rsid w:val="00B03342"/>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239"/>
    <w:rsid w:val="00B20760"/>
    <w:rsid w:val="00B2125C"/>
    <w:rsid w:val="00B21676"/>
    <w:rsid w:val="00B219E1"/>
    <w:rsid w:val="00B21ECF"/>
    <w:rsid w:val="00B22150"/>
    <w:rsid w:val="00B226DE"/>
    <w:rsid w:val="00B22FB5"/>
    <w:rsid w:val="00B24184"/>
    <w:rsid w:val="00B241D5"/>
    <w:rsid w:val="00B24BE9"/>
    <w:rsid w:val="00B2551D"/>
    <w:rsid w:val="00B25F8C"/>
    <w:rsid w:val="00B260BE"/>
    <w:rsid w:val="00B26677"/>
    <w:rsid w:val="00B268B5"/>
    <w:rsid w:val="00B26A96"/>
    <w:rsid w:val="00B274E3"/>
    <w:rsid w:val="00B2765C"/>
    <w:rsid w:val="00B27C4B"/>
    <w:rsid w:val="00B30563"/>
    <w:rsid w:val="00B3069E"/>
    <w:rsid w:val="00B30A76"/>
    <w:rsid w:val="00B31246"/>
    <w:rsid w:val="00B31F8E"/>
    <w:rsid w:val="00B32295"/>
    <w:rsid w:val="00B33AB5"/>
    <w:rsid w:val="00B3412E"/>
    <w:rsid w:val="00B343E0"/>
    <w:rsid w:val="00B34F12"/>
    <w:rsid w:val="00B35B6D"/>
    <w:rsid w:val="00B35D53"/>
    <w:rsid w:val="00B36070"/>
    <w:rsid w:val="00B367C4"/>
    <w:rsid w:val="00B36D3E"/>
    <w:rsid w:val="00B37B8E"/>
    <w:rsid w:val="00B37FB9"/>
    <w:rsid w:val="00B40222"/>
    <w:rsid w:val="00B404C3"/>
    <w:rsid w:val="00B41422"/>
    <w:rsid w:val="00B41938"/>
    <w:rsid w:val="00B41A04"/>
    <w:rsid w:val="00B42743"/>
    <w:rsid w:val="00B430E9"/>
    <w:rsid w:val="00B4311F"/>
    <w:rsid w:val="00B431AE"/>
    <w:rsid w:val="00B43954"/>
    <w:rsid w:val="00B44288"/>
    <w:rsid w:val="00B448BF"/>
    <w:rsid w:val="00B45A30"/>
    <w:rsid w:val="00B45A59"/>
    <w:rsid w:val="00B45F9F"/>
    <w:rsid w:val="00B4627C"/>
    <w:rsid w:val="00B4641F"/>
    <w:rsid w:val="00B46793"/>
    <w:rsid w:val="00B46871"/>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5C19"/>
    <w:rsid w:val="00B66054"/>
    <w:rsid w:val="00B6677F"/>
    <w:rsid w:val="00B66C7A"/>
    <w:rsid w:val="00B672EA"/>
    <w:rsid w:val="00B6747B"/>
    <w:rsid w:val="00B677B4"/>
    <w:rsid w:val="00B70200"/>
    <w:rsid w:val="00B702D7"/>
    <w:rsid w:val="00B70389"/>
    <w:rsid w:val="00B70E01"/>
    <w:rsid w:val="00B7178D"/>
    <w:rsid w:val="00B718FA"/>
    <w:rsid w:val="00B72A0B"/>
    <w:rsid w:val="00B72CF0"/>
    <w:rsid w:val="00B72F47"/>
    <w:rsid w:val="00B7380E"/>
    <w:rsid w:val="00B740F6"/>
    <w:rsid w:val="00B74615"/>
    <w:rsid w:val="00B74789"/>
    <w:rsid w:val="00B75522"/>
    <w:rsid w:val="00B755B6"/>
    <w:rsid w:val="00B75977"/>
    <w:rsid w:val="00B75A48"/>
    <w:rsid w:val="00B75CC0"/>
    <w:rsid w:val="00B76021"/>
    <w:rsid w:val="00B766F6"/>
    <w:rsid w:val="00B76FCD"/>
    <w:rsid w:val="00B7764D"/>
    <w:rsid w:val="00B8023D"/>
    <w:rsid w:val="00B804F8"/>
    <w:rsid w:val="00B8095A"/>
    <w:rsid w:val="00B81274"/>
    <w:rsid w:val="00B815D3"/>
    <w:rsid w:val="00B81742"/>
    <w:rsid w:val="00B817B5"/>
    <w:rsid w:val="00B81C0F"/>
    <w:rsid w:val="00B823A6"/>
    <w:rsid w:val="00B830A5"/>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D07"/>
    <w:rsid w:val="00B93849"/>
    <w:rsid w:val="00B938BD"/>
    <w:rsid w:val="00B93CF3"/>
    <w:rsid w:val="00B9407F"/>
    <w:rsid w:val="00B944E9"/>
    <w:rsid w:val="00B945D7"/>
    <w:rsid w:val="00B94896"/>
    <w:rsid w:val="00B94CDD"/>
    <w:rsid w:val="00B94DA7"/>
    <w:rsid w:val="00B95163"/>
    <w:rsid w:val="00B954D0"/>
    <w:rsid w:val="00B95E2B"/>
    <w:rsid w:val="00B96DD9"/>
    <w:rsid w:val="00B96EA6"/>
    <w:rsid w:val="00B9789D"/>
    <w:rsid w:val="00B97A4C"/>
    <w:rsid w:val="00B97E10"/>
    <w:rsid w:val="00BA050E"/>
    <w:rsid w:val="00BA1289"/>
    <w:rsid w:val="00BA14B2"/>
    <w:rsid w:val="00BA15DC"/>
    <w:rsid w:val="00BA1E2F"/>
    <w:rsid w:val="00BA1EB8"/>
    <w:rsid w:val="00BA2C82"/>
    <w:rsid w:val="00BA3869"/>
    <w:rsid w:val="00BA4399"/>
    <w:rsid w:val="00BA4452"/>
    <w:rsid w:val="00BA46C6"/>
    <w:rsid w:val="00BA4ACF"/>
    <w:rsid w:val="00BA5039"/>
    <w:rsid w:val="00BA513E"/>
    <w:rsid w:val="00BA583B"/>
    <w:rsid w:val="00BA5DF2"/>
    <w:rsid w:val="00BA5EC7"/>
    <w:rsid w:val="00BA6319"/>
    <w:rsid w:val="00BA63CE"/>
    <w:rsid w:val="00BA676E"/>
    <w:rsid w:val="00BA6980"/>
    <w:rsid w:val="00BA6EF2"/>
    <w:rsid w:val="00BA7227"/>
    <w:rsid w:val="00BA763C"/>
    <w:rsid w:val="00BA784C"/>
    <w:rsid w:val="00BA784D"/>
    <w:rsid w:val="00BA7CD7"/>
    <w:rsid w:val="00BB00E5"/>
    <w:rsid w:val="00BB1688"/>
    <w:rsid w:val="00BB1EFB"/>
    <w:rsid w:val="00BB269F"/>
    <w:rsid w:val="00BB27CC"/>
    <w:rsid w:val="00BB2ACE"/>
    <w:rsid w:val="00BB2E4E"/>
    <w:rsid w:val="00BB2E62"/>
    <w:rsid w:val="00BB36C9"/>
    <w:rsid w:val="00BB3A66"/>
    <w:rsid w:val="00BB40D1"/>
    <w:rsid w:val="00BB5A50"/>
    <w:rsid w:val="00BB5ED5"/>
    <w:rsid w:val="00BB6D85"/>
    <w:rsid w:val="00BB777D"/>
    <w:rsid w:val="00BB7EC0"/>
    <w:rsid w:val="00BB7F88"/>
    <w:rsid w:val="00BC0207"/>
    <w:rsid w:val="00BC089F"/>
    <w:rsid w:val="00BC0A0C"/>
    <w:rsid w:val="00BC0A5A"/>
    <w:rsid w:val="00BC0E64"/>
    <w:rsid w:val="00BC25D1"/>
    <w:rsid w:val="00BC2DBD"/>
    <w:rsid w:val="00BC3BB1"/>
    <w:rsid w:val="00BC3BCB"/>
    <w:rsid w:val="00BC3CF1"/>
    <w:rsid w:val="00BC4202"/>
    <w:rsid w:val="00BC428A"/>
    <w:rsid w:val="00BC4741"/>
    <w:rsid w:val="00BC4828"/>
    <w:rsid w:val="00BC4C40"/>
    <w:rsid w:val="00BC5A29"/>
    <w:rsid w:val="00BC5AE3"/>
    <w:rsid w:val="00BC5BAD"/>
    <w:rsid w:val="00BC692A"/>
    <w:rsid w:val="00BC6F92"/>
    <w:rsid w:val="00BC76C5"/>
    <w:rsid w:val="00BC7F94"/>
    <w:rsid w:val="00BD01D7"/>
    <w:rsid w:val="00BD0E25"/>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E3C"/>
    <w:rsid w:val="00BE0591"/>
    <w:rsid w:val="00BE0C55"/>
    <w:rsid w:val="00BE0F03"/>
    <w:rsid w:val="00BE11A2"/>
    <w:rsid w:val="00BE1EF0"/>
    <w:rsid w:val="00BE246C"/>
    <w:rsid w:val="00BE2657"/>
    <w:rsid w:val="00BE2FD2"/>
    <w:rsid w:val="00BE377A"/>
    <w:rsid w:val="00BE37AE"/>
    <w:rsid w:val="00BE3B14"/>
    <w:rsid w:val="00BE3C65"/>
    <w:rsid w:val="00BE3CA7"/>
    <w:rsid w:val="00BE4222"/>
    <w:rsid w:val="00BE472D"/>
    <w:rsid w:val="00BE4C03"/>
    <w:rsid w:val="00BE67FB"/>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1EE"/>
    <w:rsid w:val="00C04314"/>
    <w:rsid w:val="00C04BD0"/>
    <w:rsid w:val="00C05730"/>
    <w:rsid w:val="00C05AF4"/>
    <w:rsid w:val="00C05AFD"/>
    <w:rsid w:val="00C0661C"/>
    <w:rsid w:val="00C0675F"/>
    <w:rsid w:val="00C06CC4"/>
    <w:rsid w:val="00C06ECC"/>
    <w:rsid w:val="00C0702A"/>
    <w:rsid w:val="00C0724C"/>
    <w:rsid w:val="00C078B5"/>
    <w:rsid w:val="00C07C11"/>
    <w:rsid w:val="00C07E10"/>
    <w:rsid w:val="00C10015"/>
    <w:rsid w:val="00C10A4E"/>
    <w:rsid w:val="00C10D3B"/>
    <w:rsid w:val="00C1110A"/>
    <w:rsid w:val="00C11689"/>
    <w:rsid w:val="00C12414"/>
    <w:rsid w:val="00C12ECB"/>
    <w:rsid w:val="00C145BE"/>
    <w:rsid w:val="00C148B2"/>
    <w:rsid w:val="00C14ABD"/>
    <w:rsid w:val="00C151E0"/>
    <w:rsid w:val="00C15456"/>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264"/>
    <w:rsid w:val="00C215ED"/>
    <w:rsid w:val="00C22350"/>
    <w:rsid w:val="00C2243D"/>
    <w:rsid w:val="00C22B96"/>
    <w:rsid w:val="00C2302B"/>
    <w:rsid w:val="00C23615"/>
    <w:rsid w:val="00C2397E"/>
    <w:rsid w:val="00C23A83"/>
    <w:rsid w:val="00C24381"/>
    <w:rsid w:val="00C24801"/>
    <w:rsid w:val="00C24C2E"/>
    <w:rsid w:val="00C24C7A"/>
    <w:rsid w:val="00C24FFB"/>
    <w:rsid w:val="00C25936"/>
    <w:rsid w:val="00C25CFF"/>
    <w:rsid w:val="00C25EA6"/>
    <w:rsid w:val="00C26164"/>
    <w:rsid w:val="00C261C1"/>
    <w:rsid w:val="00C26574"/>
    <w:rsid w:val="00C26DBF"/>
    <w:rsid w:val="00C27199"/>
    <w:rsid w:val="00C27204"/>
    <w:rsid w:val="00C304E9"/>
    <w:rsid w:val="00C30A3F"/>
    <w:rsid w:val="00C30B0B"/>
    <w:rsid w:val="00C31320"/>
    <w:rsid w:val="00C316B4"/>
    <w:rsid w:val="00C31A82"/>
    <w:rsid w:val="00C332D4"/>
    <w:rsid w:val="00C33A66"/>
    <w:rsid w:val="00C33E51"/>
    <w:rsid w:val="00C33F3A"/>
    <w:rsid w:val="00C34C45"/>
    <w:rsid w:val="00C34C47"/>
    <w:rsid w:val="00C34FCE"/>
    <w:rsid w:val="00C35411"/>
    <w:rsid w:val="00C35EED"/>
    <w:rsid w:val="00C36B2C"/>
    <w:rsid w:val="00C3701A"/>
    <w:rsid w:val="00C379EF"/>
    <w:rsid w:val="00C405C8"/>
    <w:rsid w:val="00C40C2F"/>
    <w:rsid w:val="00C40EF1"/>
    <w:rsid w:val="00C4153D"/>
    <w:rsid w:val="00C415AC"/>
    <w:rsid w:val="00C4297A"/>
    <w:rsid w:val="00C42A31"/>
    <w:rsid w:val="00C4360C"/>
    <w:rsid w:val="00C439B8"/>
    <w:rsid w:val="00C43A0B"/>
    <w:rsid w:val="00C43EDA"/>
    <w:rsid w:val="00C43FEC"/>
    <w:rsid w:val="00C4414C"/>
    <w:rsid w:val="00C45512"/>
    <w:rsid w:val="00C4602B"/>
    <w:rsid w:val="00C46564"/>
    <w:rsid w:val="00C4660E"/>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8A0"/>
    <w:rsid w:val="00C60CB2"/>
    <w:rsid w:val="00C61223"/>
    <w:rsid w:val="00C61246"/>
    <w:rsid w:val="00C61409"/>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3FB"/>
    <w:rsid w:val="00C65BD3"/>
    <w:rsid w:val="00C664FB"/>
    <w:rsid w:val="00C665DE"/>
    <w:rsid w:val="00C667C3"/>
    <w:rsid w:val="00C6728B"/>
    <w:rsid w:val="00C675DA"/>
    <w:rsid w:val="00C70718"/>
    <w:rsid w:val="00C70B25"/>
    <w:rsid w:val="00C70EA7"/>
    <w:rsid w:val="00C71528"/>
    <w:rsid w:val="00C717E4"/>
    <w:rsid w:val="00C7191B"/>
    <w:rsid w:val="00C71F09"/>
    <w:rsid w:val="00C72588"/>
    <w:rsid w:val="00C727B9"/>
    <w:rsid w:val="00C72F44"/>
    <w:rsid w:val="00C73670"/>
    <w:rsid w:val="00C737D1"/>
    <w:rsid w:val="00C738A0"/>
    <w:rsid w:val="00C73DE0"/>
    <w:rsid w:val="00C74435"/>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972"/>
    <w:rsid w:val="00C87BBA"/>
    <w:rsid w:val="00C87BD0"/>
    <w:rsid w:val="00C905E5"/>
    <w:rsid w:val="00C90754"/>
    <w:rsid w:val="00C90905"/>
    <w:rsid w:val="00C90B95"/>
    <w:rsid w:val="00C90BC4"/>
    <w:rsid w:val="00C90CA9"/>
    <w:rsid w:val="00C91802"/>
    <w:rsid w:val="00C919DA"/>
    <w:rsid w:val="00C91FE1"/>
    <w:rsid w:val="00C92E41"/>
    <w:rsid w:val="00C92F62"/>
    <w:rsid w:val="00C93097"/>
    <w:rsid w:val="00C937B2"/>
    <w:rsid w:val="00C93B40"/>
    <w:rsid w:val="00C93DB5"/>
    <w:rsid w:val="00C93E16"/>
    <w:rsid w:val="00C93F1E"/>
    <w:rsid w:val="00C94CB9"/>
    <w:rsid w:val="00C95853"/>
    <w:rsid w:val="00C95C2F"/>
    <w:rsid w:val="00C95F87"/>
    <w:rsid w:val="00C96035"/>
    <w:rsid w:val="00C968EF"/>
    <w:rsid w:val="00C972CE"/>
    <w:rsid w:val="00CA00B3"/>
    <w:rsid w:val="00CA0492"/>
    <w:rsid w:val="00CA05B0"/>
    <w:rsid w:val="00CA0632"/>
    <w:rsid w:val="00CA0A04"/>
    <w:rsid w:val="00CA2528"/>
    <w:rsid w:val="00CA3CAB"/>
    <w:rsid w:val="00CA3FC0"/>
    <w:rsid w:val="00CA4816"/>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BFE"/>
    <w:rsid w:val="00CC4701"/>
    <w:rsid w:val="00CC56B4"/>
    <w:rsid w:val="00CC5F95"/>
    <w:rsid w:val="00CC642A"/>
    <w:rsid w:val="00CC6AC7"/>
    <w:rsid w:val="00CC733D"/>
    <w:rsid w:val="00CC7617"/>
    <w:rsid w:val="00CC7E0D"/>
    <w:rsid w:val="00CC7E97"/>
    <w:rsid w:val="00CD00EB"/>
    <w:rsid w:val="00CD09A7"/>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30"/>
    <w:rsid w:val="00CD7544"/>
    <w:rsid w:val="00CD78D4"/>
    <w:rsid w:val="00CD7F00"/>
    <w:rsid w:val="00CE0205"/>
    <w:rsid w:val="00CE0697"/>
    <w:rsid w:val="00CE14CB"/>
    <w:rsid w:val="00CE20D7"/>
    <w:rsid w:val="00CE256C"/>
    <w:rsid w:val="00CE2E2E"/>
    <w:rsid w:val="00CE3A51"/>
    <w:rsid w:val="00CE41F9"/>
    <w:rsid w:val="00CE4FFE"/>
    <w:rsid w:val="00CE59F6"/>
    <w:rsid w:val="00CE66CD"/>
    <w:rsid w:val="00CE6BA9"/>
    <w:rsid w:val="00CE71C3"/>
    <w:rsid w:val="00CE727A"/>
    <w:rsid w:val="00CE7E02"/>
    <w:rsid w:val="00CF029C"/>
    <w:rsid w:val="00CF0AF0"/>
    <w:rsid w:val="00CF0C4D"/>
    <w:rsid w:val="00CF157E"/>
    <w:rsid w:val="00CF1631"/>
    <w:rsid w:val="00CF1834"/>
    <w:rsid w:val="00CF1AAA"/>
    <w:rsid w:val="00CF1EC2"/>
    <w:rsid w:val="00CF2ACF"/>
    <w:rsid w:val="00CF345B"/>
    <w:rsid w:val="00CF3F7D"/>
    <w:rsid w:val="00CF475F"/>
    <w:rsid w:val="00CF5008"/>
    <w:rsid w:val="00CF5069"/>
    <w:rsid w:val="00CF51A1"/>
    <w:rsid w:val="00CF58DB"/>
    <w:rsid w:val="00CF5E34"/>
    <w:rsid w:val="00CF6707"/>
    <w:rsid w:val="00CF6EE8"/>
    <w:rsid w:val="00CF7101"/>
    <w:rsid w:val="00CF7327"/>
    <w:rsid w:val="00CF7385"/>
    <w:rsid w:val="00CF7539"/>
    <w:rsid w:val="00CF75C6"/>
    <w:rsid w:val="00CF7612"/>
    <w:rsid w:val="00CF7B77"/>
    <w:rsid w:val="00CF7DF5"/>
    <w:rsid w:val="00D001D2"/>
    <w:rsid w:val="00D01DAA"/>
    <w:rsid w:val="00D0254E"/>
    <w:rsid w:val="00D026A8"/>
    <w:rsid w:val="00D02A80"/>
    <w:rsid w:val="00D0352D"/>
    <w:rsid w:val="00D038DC"/>
    <w:rsid w:val="00D04F01"/>
    <w:rsid w:val="00D04F8B"/>
    <w:rsid w:val="00D054EF"/>
    <w:rsid w:val="00D0559E"/>
    <w:rsid w:val="00D05637"/>
    <w:rsid w:val="00D05BA9"/>
    <w:rsid w:val="00D05EB1"/>
    <w:rsid w:val="00D0650B"/>
    <w:rsid w:val="00D068AA"/>
    <w:rsid w:val="00D06E71"/>
    <w:rsid w:val="00D06E9C"/>
    <w:rsid w:val="00D0714B"/>
    <w:rsid w:val="00D0764E"/>
    <w:rsid w:val="00D07D82"/>
    <w:rsid w:val="00D101F5"/>
    <w:rsid w:val="00D10327"/>
    <w:rsid w:val="00D103C9"/>
    <w:rsid w:val="00D104CF"/>
    <w:rsid w:val="00D1079C"/>
    <w:rsid w:val="00D10BE1"/>
    <w:rsid w:val="00D11FE3"/>
    <w:rsid w:val="00D12393"/>
    <w:rsid w:val="00D12945"/>
    <w:rsid w:val="00D12CC0"/>
    <w:rsid w:val="00D12DA1"/>
    <w:rsid w:val="00D130C0"/>
    <w:rsid w:val="00D1343A"/>
    <w:rsid w:val="00D13B85"/>
    <w:rsid w:val="00D13D50"/>
    <w:rsid w:val="00D14101"/>
    <w:rsid w:val="00D144D8"/>
    <w:rsid w:val="00D14919"/>
    <w:rsid w:val="00D14E25"/>
    <w:rsid w:val="00D14FD1"/>
    <w:rsid w:val="00D15470"/>
    <w:rsid w:val="00D15AE3"/>
    <w:rsid w:val="00D160C4"/>
    <w:rsid w:val="00D165D8"/>
    <w:rsid w:val="00D1724E"/>
    <w:rsid w:val="00D17A33"/>
    <w:rsid w:val="00D17C26"/>
    <w:rsid w:val="00D17E08"/>
    <w:rsid w:val="00D206F6"/>
    <w:rsid w:val="00D20FD1"/>
    <w:rsid w:val="00D214D4"/>
    <w:rsid w:val="00D21AAA"/>
    <w:rsid w:val="00D21E6F"/>
    <w:rsid w:val="00D21EAD"/>
    <w:rsid w:val="00D2218A"/>
    <w:rsid w:val="00D22B13"/>
    <w:rsid w:val="00D2371E"/>
    <w:rsid w:val="00D237E0"/>
    <w:rsid w:val="00D23A17"/>
    <w:rsid w:val="00D24F5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BC0"/>
    <w:rsid w:val="00D32D38"/>
    <w:rsid w:val="00D32FA0"/>
    <w:rsid w:val="00D33112"/>
    <w:rsid w:val="00D331CB"/>
    <w:rsid w:val="00D335A4"/>
    <w:rsid w:val="00D3451E"/>
    <w:rsid w:val="00D3497A"/>
    <w:rsid w:val="00D35F2F"/>
    <w:rsid w:val="00D35FC6"/>
    <w:rsid w:val="00D369E8"/>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155"/>
    <w:rsid w:val="00D45A88"/>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5FE"/>
    <w:rsid w:val="00D629A4"/>
    <w:rsid w:val="00D62BDF"/>
    <w:rsid w:val="00D62EEE"/>
    <w:rsid w:val="00D63034"/>
    <w:rsid w:val="00D647C3"/>
    <w:rsid w:val="00D64F1C"/>
    <w:rsid w:val="00D6570C"/>
    <w:rsid w:val="00D659EA"/>
    <w:rsid w:val="00D65A89"/>
    <w:rsid w:val="00D65E85"/>
    <w:rsid w:val="00D6611C"/>
    <w:rsid w:val="00D66751"/>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402"/>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0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307"/>
    <w:rsid w:val="00D9359A"/>
    <w:rsid w:val="00D9384E"/>
    <w:rsid w:val="00D93AEE"/>
    <w:rsid w:val="00D9413E"/>
    <w:rsid w:val="00D94C8D"/>
    <w:rsid w:val="00D95715"/>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37"/>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1603"/>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373"/>
    <w:rsid w:val="00DC7608"/>
    <w:rsid w:val="00DC761E"/>
    <w:rsid w:val="00DC7B3B"/>
    <w:rsid w:val="00DC7CFC"/>
    <w:rsid w:val="00DC7DB4"/>
    <w:rsid w:val="00DD080F"/>
    <w:rsid w:val="00DD09F2"/>
    <w:rsid w:val="00DD0DEE"/>
    <w:rsid w:val="00DD1169"/>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290D"/>
    <w:rsid w:val="00DE30AC"/>
    <w:rsid w:val="00DE38D1"/>
    <w:rsid w:val="00DE4106"/>
    <w:rsid w:val="00DE466B"/>
    <w:rsid w:val="00DE48F4"/>
    <w:rsid w:val="00DE5258"/>
    <w:rsid w:val="00DE5563"/>
    <w:rsid w:val="00DE5C19"/>
    <w:rsid w:val="00DE5D48"/>
    <w:rsid w:val="00DE6E4D"/>
    <w:rsid w:val="00DE7498"/>
    <w:rsid w:val="00DE75EF"/>
    <w:rsid w:val="00DE7611"/>
    <w:rsid w:val="00DE7D19"/>
    <w:rsid w:val="00DF05A0"/>
    <w:rsid w:val="00DF07C5"/>
    <w:rsid w:val="00DF1162"/>
    <w:rsid w:val="00DF1BA8"/>
    <w:rsid w:val="00DF1F63"/>
    <w:rsid w:val="00DF28F2"/>
    <w:rsid w:val="00DF2BFF"/>
    <w:rsid w:val="00DF339B"/>
    <w:rsid w:val="00DF3798"/>
    <w:rsid w:val="00DF393E"/>
    <w:rsid w:val="00DF3ABB"/>
    <w:rsid w:val="00DF4FF1"/>
    <w:rsid w:val="00DF56A3"/>
    <w:rsid w:val="00DF5B33"/>
    <w:rsid w:val="00DF6FD2"/>
    <w:rsid w:val="00DF72EF"/>
    <w:rsid w:val="00DF743D"/>
    <w:rsid w:val="00DF7724"/>
    <w:rsid w:val="00E000D8"/>
    <w:rsid w:val="00E00C1E"/>
    <w:rsid w:val="00E00F5F"/>
    <w:rsid w:val="00E010E6"/>
    <w:rsid w:val="00E01377"/>
    <w:rsid w:val="00E014E7"/>
    <w:rsid w:val="00E01936"/>
    <w:rsid w:val="00E0232F"/>
    <w:rsid w:val="00E026A9"/>
    <w:rsid w:val="00E02AD9"/>
    <w:rsid w:val="00E02D1A"/>
    <w:rsid w:val="00E0356F"/>
    <w:rsid w:val="00E03B42"/>
    <w:rsid w:val="00E03C10"/>
    <w:rsid w:val="00E0479F"/>
    <w:rsid w:val="00E04816"/>
    <w:rsid w:val="00E04982"/>
    <w:rsid w:val="00E04D6A"/>
    <w:rsid w:val="00E050CE"/>
    <w:rsid w:val="00E058DB"/>
    <w:rsid w:val="00E05950"/>
    <w:rsid w:val="00E05AF7"/>
    <w:rsid w:val="00E05CD4"/>
    <w:rsid w:val="00E05DE8"/>
    <w:rsid w:val="00E06100"/>
    <w:rsid w:val="00E0614E"/>
    <w:rsid w:val="00E06E97"/>
    <w:rsid w:val="00E07B8F"/>
    <w:rsid w:val="00E07C4D"/>
    <w:rsid w:val="00E105CE"/>
    <w:rsid w:val="00E10712"/>
    <w:rsid w:val="00E10DD1"/>
    <w:rsid w:val="00E11A5D"/>
    <w:rsid w:val="00E1224C"/>
    <w:rsid w:val="00E1254C"/>
    <w:rsid w:val="00E12BDF"/>
    <w:rsid w:val="00E1302B"/>
    <w:rsid w:val="00E13326"/>
    <w:rsid w:val="00E13D07"/>
    <w:rsid w:val="00E14356"/>
    <w:rsid w:val="00E14961"/>
    <w:rsid w:val="00E14D76"/>
    <w:rsid w:val="00E15183"/>
    <w:rsid w:val="00E15D6C"/>
    <w:rsid w:val="00E167D9"/>
    <w:rsid w:val="00E1720B"/>
    <w:rsid w:val="00E203DE"/>
    <w:rsid w:val="00E2048A"/>
    <w:rsid w:val="00E20CE7"/>
    <w:rsid w:val="00E217B1"/>
    <w:rsid w:val="00E21B10"/>
    <w:rsid w:val="00E222FA"/>
    <w:rsid w:val="00E229CE"/>
    <w:rsid w:val="00E22B4A"/>
    <w:rsid w:val="00E238BC"/>
    <w:rsid w:val="00E2449B"/>
    <w:rsid w:val="00E24A62"/>
    <w:rsid w:val="00E24F52"/>
    <w:rsid w:val="00E255CC"/>
    <w:rsid w:val="00E25636"/>
    <w:rsid w:val="00E25755"/>
    <w:rsid w:val="00E25F90"/>
    <w:rsid w:val="00E26266"/>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66E"/>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899"/>
    <w:rsid w:val="00E45A2C"/>
    <w:rsid w:val="00E46A6B"/>
    <w:rsid w:val="00E46A9C"/>
    <w:rsid w:val="00E47DB1"/>
    <w:rsid w:val="00E50BDD"/>
    <w:rsid w:val="00E510CF"/>
    <w:rsid w:val="00E513D7"/>
    <w:rsid w:val="00E519FE"/>
    <w:rsid w:val="00E51DDC"/>
    <w:rsid w:val="00E5206C"/>
    <w:rsid w:val="00E52AAB"/>
    <w:rsid w:val="00E5323C"/>
    <w:rsid w:val="00E5448E"/>
    <w:rsid w:val="00E54E0D"/>
    <w:rsid w:val="00E55247"/>
    <w:rsid w:val="00E558E5"/>
    <w:rsid w:val="00E55B2B"/>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BD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1FFB"/>
    <w:rsid w:val="00E821A2"/>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0E1"/>
    <w:rsid w:val="00E86976"/>
    <w:rsid w:val="00E87A37"/>
    <w:rsid w:val="00E87CF7"/>
    <w:rsid w:val="00E9036E"/>
    <w:rsid w:val="00E90420"/>
    <w:rsid w:val="00E9078A"/>
    <w:rsid w:val="00E912FD"/>
    <w:rsid w:val="00E91B26"/>
    <w:rsid w:val="00E92C6E"/>
    <w:rsid w:val="00E92D0B"/>
    <w:rsid w:val="00E92FFF"/>
    <w:rsid w:val="00E93195"/>
    <w:rsid w:val="00E9391C"/>
    <w:rsid w:val="00E93D05"/>
    <w:rsid w:val="00E93F19"/>
    <w:rsid w:val="00E951D8"/>
    <w:rsid w:val="00E95781"/>
    <w:rsid w:val="00E95C2A"/>
    <w:rsid w:val="00E961CB"/>
    <w:rsid w:val="00E963BC"/>
    <w:rsid w:val="00E966A6"/>
    <w:rsid w:val="00E96E91"/>
    <w:rsid w:val="00E96F6E"/>
    <w:rsid w:val="00E9751D"/>
    <w:rsid w:val="00E97DC6"/>
    <w:rsid w:val="00E97F7A"/>
    <w:rsid w:val="00EA0010"/>
    <w:rsid w:val="00EA0143"/>
    <w:rsid w:val="00EA089B"/>
    <w:rsid w:val="00EA144F"/>
    <w:rsid w:val="00EA1ACC"/>
    <w:rsid w:val="00EA23E8"/>
    <w:rsid w:val="00EA2E21"/>
    <w:rsid w:val="00EA2EAA"/>
    <w:rsid w:val="00EA380C"/>
    <w:rsid w:val="00EA4AB6"/>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76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09E7"/>
    <w:rsid w:val="00EC1E8A"/>
    <w:rsid w:val="00EC328C"/>
    <w:rsid w:val="00EC32F5"/>
    <w:rsid w:val="00EC3852"/>
    <w:rsid w:val="00EC3DBB"/>
    <w:rsid w:val="00EC4528"/>
    <w:rsid w:val="00EC488B"/>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459"/>
    <w:rsid w:val="00ED18B1"/>
    <w:rsid w:val="00ED1ADE"/>
    <w:rsid w:val="00ED2A4D"/>
    <w:rsid w:val="00ED3187"/>
    <w:rsid w:val="00ED3692"/>
    <w:rsid w:val="00ED44BD"/>
    <w:rsid w:val="00ED4A77"/>
    <w:rsid w:val="00ED4B0D"/>
    <w:rsid w:val="00ED4B6E"/>
    <w:rsid w:val="00ED54F0"/>
    <w:rsid w:val="00ED5981"/>
    <w:rsid w:val="00ED5EF6"/>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91B"/>
    <w:rsid w:val="00EE499F"/>
    <w:rsid w:val="00EE56E2"/>
    <w:rsid w:val="00EE5FCD"/>
    <w:rsid w:val="00EE63BF"/>
    <w:rsid w:val="00EE6D45"/>
    <w:rsid w:val="00EE6E89"/>
    <w:rsid w:val="00EE7C80"/>
    <w:rsid w:val="00EF0D4B"/>
    <w:rsid w:val="00EF0FE6"/>
    <w:rsid w:val="00EF1130"/>
    <w:rsid w:val="00EF1432"/>
    <w:rsid w:val="00EF1511"/>
    <w:rsid w:val="00EF1D6E"/>
    <w:rsid w:val="00EF1F01"/>
    <w:rsid w:val="00EF2C39"/>
    <w:rsid w:val="00EF2C5F"/>
    <w:rsid w:val="00EF3811"/>
    <w:rsid w:val="00EF3AC4"/>
    <w:rsid w:val="00EF3FF9"/>
    <w:rsid w:val="00EF41AF"/>
    <w:rsid w:val="00EF4B87"/>
    <w:rsid w:val="00EF4DB4"/>
    <w:rsid w:val="00EF4FFB"/>
    <w:rsid w:val="00EF50D5"/>
    <w:rsid w:val="00EF5234"/>
    <w:rsid w:val="00EF55E9"/>
    <w:rsid w:val="00EF5B41"/>
    <w:rsid w:val="00EF611C"/>
    <w:rsid w:val="00EF625F"/>
    <w:rsid w:val="00EF62C0"/>
    <w:rsid w:val="00EF68C9"/>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06"/>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4F1B"/>
    <w:rsid w:val="00F254C4"/>
    <w:rsid w:val="00F25641"/>
    <w:rsid w:val="00F256D8"/>
    <w:rsid w:val="00F25824"/>
    <w:rsid w:val="00F25E8C"/>
    <w:rsid w:val="00F26065"/>
    <w:rsid w:val="00F262B8"/>
    <w:rsid w:val="00F266E3"/>
    <w:rsid w:val="00F2689C"/>
    <w:rsid w:val="00F26A97"/>
    <w:rsid w:val="00F27E44"/>
    <w:rsid w:val="00F30313"/>
    <w:rsid w:val="00F303BC"/>
    <w:rsid w:val="00F30472"/>
    <w:rsid w:val="00F31052"/>
    <w:rsid w:val="00F31068"/>
    <w:rsid w:val="00F318A1"/>
    <w:rsid w:val="00F31CF5"/>
    <w:rsid w:val="00F3265C"/>
    <w:rsid w:val="00F32C4A"/>
    <w:rsid w:val="00F33262"/>
    <w:rsid w:val="00F340A3"/>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B10"/>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2FCD"/>
    <w:rsid w:val="00F630B4"/>
    <w:rsid w:val="00F635EF"/>
    <w:rsid w:val="00F63BF4"/>
    <w:rsid w:val="00F63C55"/>
    <w:rsid w:val="00F63C60"/>
    <w:rsid w:val="00F64991"/>
    <w:rsid w:val="00F65425"/>
    <w:rsid w:val="00F65BA9"/>
    <w:rsid w:val="00F65BC8"/>
    <w:rsid w:val="00F65EEA"/>
    <w:rsid w:val="00F66205"/>
    <w:rsid w:val="00F6630F"/>
    <w:rsid w:val="00F66419"/>
    <w:rsid w:val="00F66B9E"/>
    <w:rsid w:val="00F67079"/>
    <w:rsid w:val="00F673B1"/>
    <w:rsid w:val="00F67B58"/>
    <w:rsid w:val="00F67E81"/>
    <w:rsid w:val="00F7044B"/>
    <w:rsid w:val="00F70B6F"/>
    <w:rsid w:val="00F70FD4"/>
    <w:rsid w:val="00F71342"/>
    <w:rsid w:val="00F71C68"/>
    <w:rsid w:val="00F724E2"/>
    <w:rsid w:val="00F74103"/>
    <w:rsid w:val="00F7410A"/>
    <w:rsid w:val="00F745A4"/>
    <w:rsid w:val="00F74C0C"/>
    <w:rsid w:val="00F74E75"/>
    <w:rsid w:val="00F758E1"/>
    <w:rsid w:val="00F75BB5"/>
    <w:rsid w:val="00F75FD5"/>
    <w:rsid w:val="00F7604C"/>
    <w:rsid w:val="00F76D4E"/>
    <w:rsid w:val="00F7708A"/>
    <w:rsid w:val="00F773A9"/>
    <w:rsid w:val="00F8056E"/>
    <w:rsid w:val="00F805B7"/>
    <w:rsid w:val="00F810C1"/>
    <w:rsid w:val="00F81623"/>
    <w:rsid w:val="00F81D25"/>
    <w:rsid w:val="00F8245C"/>
    <w:rsid w:val="00F82928"/>
    <w:rsid w:val="00F829B9"/>
    <w:rsid w:val="00F82B45"/>
    <w:rsid w:val="00F83045"/>
    <w:rsid w:val="00F83615"/>
    <w:rsid w:val="00F83C74"/>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993"/>
    <w:rsid w:val="00F93291"/>
    <w:rsid w:val="00F934DD"/>
    <w:rsid w:val="00F97A34"/>
    <w:rsid w:val="00F97E4A"/>
    <w:rsid w:val="00F97EA1"/>
    <w:rsid w:val="00FA003A"/>
    <w:rsid w:val="00FA05C8"/>
    <w:rsid w:val="00FA0678"/>
    <w:rsid w:val="00FA0DB6"/>
    <w:rsid w:val="00FA1F2F"/>
    <w:rsid w:val="00FA23F7"/>
    <w:rsid w:val="00FA27EB"/>
    <w:rsid w:val="00FA35B6"/>
    <w:rsid w:val="00FA38AF"/>
    <w:rsid w:val="00FA3EBC"/>
    <w:rsid w:val="00FA423C"/>
    <w:rsid w:val="00FA44D0"/>
    <w:rsid w:val="00FA4590"/>
    <w:rsid w:val="00FA55A2"/>
    <w:rsid w:val="00FA672F"/>
    <w:rsid w:val="00FA775E"/>
    <w:rsid w:val="00FA7792"/>
    <w:rsid w:val="00FA7AA8"/>
    <w:rsid w:val="00FA7F1D"/>
    <w:rsid w:val="00FB011C"/>
    <w:rsid w:val="00FB0D60"/>
    <w:rsid w:val="00FB18FD"/>
    <w:rsid w:val="00FB236E"/>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3F3"/>
    <w:rsid w:val="00FC22D0"/>
    <w:rsid w:val="00FC3177"/>
    <w:rsid w:val="00FC330F"/>
    <w:rsid w:val="00FC38D4"/>
    <w:rsid w:val="00FC391E"/>
    <w:rsid w:val="00FC39B3"/>
    <w:rsid w:val="00FC3BB7"/>
    <w:rsid w:val="00FC4345"/>
    <w:rsid w:val="00FC444A"/>
    <w:rsid w:val="00FC453D"/>
    <w:rsid w:val="00FC4A89"/>
    <w:rsid w:val="00FC5856"/>
    <w:rsid w:val="00FC619B"/>
    <w:rsid w:val="00FC665F"/>
    <w:rsid w:val="00FC6C35"/>
    <w:rsid w:val="00FC6D59"/>
    <w:rsid w:val="00FC6F5F"/>
    <w:rsid w:val="00FC7561"/>
    <w:rsid w:val="00FC765F"/>
    <w:rsid w:val="00FC778B"/>
    <w:rsid w:val="00FC78F5"/>
    <w:rsid w:val="00FC7ACA"/>
    <w:rsid w:val="00FC7AD2"/>
    <w:rsid w:val="00FD10B3"/>
    <w:rsid w:val="00FD11C3"/>
    <w:rsid w:val="00FD154E"/>
    <w:rsid w:val="00FD24D7"/>
    <w:rsid w:val="00FD29CE"/>
    <w:rsid w:val="00FD2D02"/>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FF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08"/>
    <w:rsid w:val="00FF183C"/>
    <w:rsid w:val="00FF1A06"/>
    <w:rsid w:val="00FF1AD3"/>
    <w:rsid w:val="00FF1B46"/>
    <w:rsid w:val="00FF1FCC"/>
    <w:rsid w:val="00FF219D"/>
    <w:rsid w:val="00FF2A7B"/>
    <w:rsid w:val="00FF3D2B"/>
    <w:rsid w:val="00FF4684"/>
    <w:rsid w:val="00FF49B4"/>
    <w:rsid w:val="00FF49F4"/>
    <w:rsid w:val="00FF5C6A"/>
    <w:rsid w:val="00FF651D"/>
    <w:rsid w:val="00FF6843"/>
    <w:rsid w:val="00FF6C25"/>
    <w:rsid w:val="00FF6D24"/>
    <w:rsid w:val="010651D9"/>
    <w:rsid w:val="011F6449"/>
    <w:rsid w:val="01236AFB"/>
    <w:rsid w:val="01361389"/>
    <w:rsid w:val="019F7441"/>
    <w:rsid w:val="01B37585"/>
    <w:rsid w:val="01D55165"/>
    <w:rsid w:val="01DF6BF8"/>
    <w:rsid w:val="01EC2C57"/>
    <w:rsid w:val="02426589"/>
    <w:rsid w:val="025F0711"/>
    <w:rsid w:val="026B2E25"/>
    <w:rsid w:val="02824D4D"/>
    <w:rsid w:val="02DC4B10"/>
    <w:rsid w:val="02DD76CE"/>
    <w:rsid w:val="02F36323"/>
    <w:rsid w:val="02F5619C"/>
    <w:rsid w:val="0326446A"/>
    <w:rsid w:val="032D5555"/>
    <w:rsid w:val="036634D2"/>
    <w:rsid w:val="03D83129"/>
    <w:rsid w:val="03DD35E4"/>
    <w:rsid w:val="03EB753A"/>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F40498"/>
    <w:rsid w:val="08061376"/>
    <w:rsid w:val="08452D77"/>
    <w:rsid w:val="086401F8"/>
    <w:rsid w:val="08751CAA"/>
    <w:rsid w:val="087E4C40"/>
    <w:rsid w:val="08A871D0"/>
    <w:rsid w:val="08AC118C"/>
    <w:rsid w:val="08CB77A9"/>
    <w:rsid w:val="08D66AD6"/>
    <w:rsid w:val="08DA33A3"/>
    <w:rsid w:val="08E80F13"/>
    <w:rsid w:val="09335624"/>
    <w:rsid w:val="0944690F"/>
    <w:rsid w:val="09535675"/>
    <w:rsid w:val="095F057D"/>
    <w:rsid w:val="09642282"/>
    <w:rsid w:val="09733572"/>
    <w:rsid w:val="09772C16"/>
    <w:rsid w:val="097D0556"/>
    <w:rsid w:val="098353B5"/>
    <w:rsid w:val="09A92330"/>
    <w:rsid w:val="09B06B87"/>
    <w:rsid w:val="09C13146"/>
    <w:rsid w:val="09E04166"/>
    <w:rsid w:val="0A1C0718"/>
    <w:rsid w:val="0A3E7710"/>
    <w:rsid w:val="0A4D43B0"/>
    <w:rsid w:val="0A5B7E63"/>
    <w:rsid w:val="0AA374A5"/>
    <w:rsid w:val="0AAB7649"/>
    <w:rsid w:val="0ABC5606"/>
    <w:rsid w:val="0B30404E"/>
    <w:rsid w:val="0B4B540D"/>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507A5"/>
    <w:rsid w:val="0D184CFB"/>
    <w:rsid w:val="0D4A7419"/>
    <w:rsid w:val="0D62660F"/>
    <w:rsid w:val="0D7D09ED"/>
    <w:rsid w:val="0D827401"/>
    <w:rsid w:val="0D84094E"/>
    <w:rsid w:val="0D8A00E9"/>
    <w:rsid w:val="0D8D589E"/>
    <w:rsid w:val="0DA01C73"/>
    <w:rsid w:val="0DD63300"/>
    <w:rsid w:val="0DE33306"/>
    <w:rsid w:val="0DF50604"/>
    <w:rsid w:val="0DF702FE"/>
    <w:rsid w:val="0E060E51"/>
    <w:rsid w:val="0E5604B2"/>
    <w:rsid w:val="0E6D5D79"/>
    <w:rsid w:val="0E83792A"/>
    <w:rsid w:val="0E9D0089"/>
    <w:rsid w:val="0EB02DE0"/>
    <w:rsid w:val="0EB803EE"/>
    <w:rsid w:val="0EF94D4B"/>
    <w:rsid w:val="0F4958DC"/>
    <w:rsid w:val="0F515DF7"/>
    <w:rsid w:val="0F596BA8"/>
    <w:rsid w:val="0F6248D2"/>
    <w:rsid w:val="0F693536"/>
    <w:rsid w:val="0F7B0511"/>
    <w:rsid w:val="0F7B76D9"/>
    <w:rsid w:val="0F816ACD"/>
    <w:rsid w:val="0F9832DB"/>
    <w:rsid w:val="0FBF3FD2"/>
    <w:rsid w:val="0FBF7FF3"/>
    <w:rsid w:val="102D547F"/>
    <w:rsid w:val="10646583"/>
    <w:rsid w:val="107D4B15"/>
    <w:rsid w:val="108A3C80"/>
    <w:rsid w:val="10C26171"/>
    <w:rsid w:val="10F33360"/>
    <w:rsid w:val="10FC16EA"/>
    <w:rsid w:val="110F1D40"/>
    <w:rsid w:val="11266F33"/>
    <w:rsid w:val="118963A1"/>
    <w:rsid w:val="11C6522A"/>
    <w:rsid w:val="11E104CC"/>
    <w:rsid w:val="11E20309"/>
    <w:rsid w:val="12255233"/>
    <w:rsid w:val="12371D74"/>
    <w:rsid w:val="12530213"/>
    <w:rsid w:val="127723A9"/>
    <w:rsid w:val="12862074"/>
    <w:rsid w:val="12883966"/>
    <w:rsid w:val="129E45B4"/>
    <w:rsid w:val="12D81596"/>
    <w:rsid w:val="12FC5EFD"/>
    <w:rsid w:val="13072A44"/>
    <w:rsid w:val="131507D5"/>
    <w:rsid w:val="135F4BE2"/>
    <w:rsid w:val="139B1A0A"/>
    <w:rsid w:val="139D25C7"/>
    <w:rsid w:val="13BF3CE4"/>
    <w:rsid w:val="141008D8"/>
    <w:rsid w:val="14125FE6"/>
    <w:rsid w:val="146D271E"/>
    <w:rsid w:val="14982588"/>
    <w:rsid w:val="149A5AD9"/>
    <w:rsid w:val="14A7619D"/>
    <w:rsid w:val="14F93EC9"/>
    <w:rsid w:val="150536C3"/>
    <w:rsid w:val="150C1963"/>
    <w:rsid w:val="151447A0"/>
    <w:rsid w:val="154A6454"/>
    <w:rsid w:val="15762120"/>
    <w:rsid w:val="15BB209F"/>
    <w:rsid w:val="15F542CD"/>
    <w:rsid w:val="163F7FC2"/>
    <w:rsid w:val="16A8729C"/>
    <w:rsid w:val="16B33777"/>
    <w:rsid w:val="16BC70A7"/>
    <w:rsid w:val="16C6339E"/>
    <w:rsid w:val="172F2D79"/>
    <w:rsid w:val="17557BEF"/>
    <w:rsid w:val="17D349C1"/>
    <w:rsid w:val="182C2DE0"/>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490035"/>
    <w:rsid w:val="1B530544"/>
    <w:rsid w:val="1B713184"/>
    <w:rsid w:val="1BA209CF"/>
    <w:rsid w:val="1BB4777D"/>
    <w:rsid w:val="1BD75AB8"/>
    <w:rsid w:val="1C0459C2"/>
    <w:rsid w:val="1C1B3B4A"/>
    <w:rsid w:val="1C88086E"/>
    <w:rsid w:val="1D266CE1"/>
    <w:rsid w:val="1D3963AF"/>
    <w:rsid w:val="1D546102"/>
    <w:rsid w:val="1D682ED0"/>
    <w:rsid w:val="1D6A673C"/>
    <w:rsid w:val="1D9247AE"/>
    <w:rsid w:val="1DB567EC"/>
    <w:rsid w:val="1DF51A98"/>
    <w:rsid w:val="1E3D060F"/>
    <w:rsid w:val="1E3F7D2E"/>
    <w:rsid w:val="1E4134E4"/>
    <w:rsid w:val="1E5062B3"/>
    <w:rsid w:val="1E523514"/>
    <w:rsid w:val="1E6A081E"/>
    <w:rsid w:val="1E714A66"/>
    <w:rsid w:val="1E802593"/>
    <w:rsid w:val="1E8B6156"/>
    <w:rsid w:val="1EA703CC"/>
    <w:rsid w:val="1EB7330C"/>
    <w:rsid w:val="1F0A0FF3"/>
    <w:rsid w:val="1F5771FF"/>
    <w:rsid w:val="1F971C93"/>
    <w:rsid w:val="1FD52DD5"/>
    <w:rsid w:val="1FE868A9"/>
    <w:rsid w:val="20034907"/>
    <w:rsid w:val="200362D5"/>
    <w:rsid w:val="20052E16"/>
    <w:rsid w:val="20173E4B"/>
    <w:rsid w:val="20267C46"/>
    <w:rsid w:val="204E48BC"/>
    <w:rsid w:val="208921B3"/>
    <w:rsid w:val="20973DEB"/>
    <w:rsid w:val="20B26522"/>
    <w:rsid w:val="20B44310"/>
    <w:rsid w:val="211116EB"/>
    <w:rsid w:val="2116462E"/>
    <w:rsid w:val="21293D11"/>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2D31FB"/>
    <w:rsid w:val="245375B0"/>
    <w:rsid w:val="24642C0A"/>
    <w:rsid w:val="24B22173"/>
    <w:rsid w:val="24B95AD9"/>
    <w:rsid w:val="24BE24DA"/>
    <w:rsid w:val="24CF5825"/>
    <w:rsid w:val="24D663E6"/>
    <w:rsid w:val="24D77F2B"/>
    <w:rsid w:val="2553326B"/>
    <w:rsid w:val="258B00E2"/>
    <w:rsid w:val="25A917A6"/>
    <w:rsid w:val="25BE27CC"/>
    <w:rsid w:val="25E006E5"/>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9FF3178"/>
    <w:rsid w:val="2A15033F"/>
    <w:rsid w:val="2A1662C1"/>
    <w:rsid w:val="2A1C7367"/>
    <w:rsid w:val="2A2815FA"/>
    <w:rsid w:val="2A6D6092"/>
    <w:rsid w:val="2A7D76B4"/>
    <w:rsid w:val="2A8A67DD"/>
    <w:rsid w:val="2B437463"/>
    <w:rsid w:val="2B7807EE"/>
    <w:rsid w:val="2B8204A0"/>
    <w:rsid w:val="2B9B2EEA"/>
    <w:rsid w:val="2BA50BF7"/>
    <w:rsid w:val="2BBF00EC"/>
    <w:rsid w:val="2BC37CFD"/>
    <w:rsid w:val="2BD5237F"/>
    <w:rsid w:val="2BE536CE"/>
    <w:rsid w:val="2BE758D9"/>
    <w:rsid w:val="2BEB287E"/>
    <w:rsid w:val="2C09049E"/>
    <w:rsid w:val="2C0A653C"/>
    <w:rsid w:val="2C191F85"/>
    <w:rsid w:val="2CDB6DF8"/>
    <w:rsid w:val="2CE82D6F"/>
    <w:rsid w:val="2D343236"/>
    <w:rsid w:val="2DD15014"/>
    <w:rsid w:val="2DF72DE4"/>
    <w:rsid w:val="2E0220AF"/>
    <w:rsid w:val="2E4B082A"/>
    <w:rsid w:val="2E5D4E86"/>
    <w:rsid w:val="2E5D790B"/>
    <w:rsid w:val="2E9A3C18"/>
    <w:rsid w:val="2EBB0FEE"/>
    <w:rsid w:val="2EC63002"/>
    <w:rsid w:val="2F0A6B38"/>
    <w:rsid w:val="2F1210B4"/>
    <w:rsid w:val="2F946CCB"/>
    <w:rsid w:val="2FD25781"/>
    <w:rsid w:val="2FD94FE7"/>
    <w:rsid w:val="2FDC745C"/>
    <w:rsid w:val="2FFD7934"/>
    <w:rsid w:val="301E6064"/>
    <w:rsid w:val="303A0D58"/>
    <w:rsid w:val="30733ACD"/>
    <w:rsid w:val="307C370E"/>
    <w:rsid w:val="308C3862"/>
    <w:rsid w:val="309379D8"/>
    <w:rsid w:val="30A270F7"/>
    <w:rsid w:val="30DF1478"/>
    <w:rsid w:val="30EC586F"/>
    <w:rsid w:val="313905F0"/>
    <w:rsid w:val="314550B7"/>
    <w:rsid w:val="319C6071"/>
    <w:rsid w:val="31AC537E"/>
    <w:rsid w:val="31E3679B"/>
    <w:rsid w:val="31E732FD"/>
    <w:rsid w:val="32472899"/>
    <w:rsid w:val="32517576"/>
    <w:rsid w:val="32AB1912"/>
    <w:rsid w:val="32B31CDC"/>
    <w:rsid w:val="32B43860"/>
    <w:rsid w:val="32BE5C2C"/>
    <w:rsid w:val="32FB6478"/>
    <w:rsid w:val="33263B3F"/>
    <w:rsid w:val="33570580"/>
    <w:rsid w:val="336963EB"/>
    <w:rsid w:val="337A6A8A"/>
    <w:rsid w:val="33816EEB"/>
    <w:rsid w:val="33E24CF9"/>
    <w:rsid w:val="33EB55CD"/>
    <w:rsid w:val="33EC4C02"/>
    <w:rsid w:val="340D2360"/>
    <w:rsid w:val="3410665D"/>
    <w:rsid w:val="34211214"/>
    <w:rsid w:val="342E63AB"/>
    <w:rsid w:val="34950E68"/>
    <w:rsid w:val="34986E94"/>
    <w:rsid w:val="34AF62C9"/>
    <w:rsid w:val="34CB4388"/>
    <w:rsid w:val="34FA6E12"/>
    <w:rsid w:val="353A55E3"/>
    <w:rsid w:val="354D7158"/>
    <w:rsid w:val="35887BD1"/>
    <w:rsid w:val="358D5588"/>
    <w:rsid w:val="363A3B40"/>
    <w:rsid w:val="365302AE"/>
    <w:rsid w:val="36607A0A"/>
    <w:rsid w:val="366E227C"/>
    <w:rsid w:val="366F2E0D"/>
    <w:rsid w:val="367B6A5C"/>
    <w:rsid w:val="36A74ADA"/>
    <w:rsid w:val="36AD60D5"/>
    <w:rsid w:val="36B224F9"/>
    <w:rsid w:val="36EC0CC9"/>
    <w:rsid w:val="36F44255"/>
    <w:rsid w:val="373F410B"/>
    <w:rsid w:val="37EE7094"/>
    <w:rsid w:val="38296C89"/>
    <w:rsid w:val="383002EB"/>
    <w:rsid w:val="38586797"/>
    <w:rsid w:val="38706E63"/>
    <w:rsid w:val="38BC0149"/>
    <w:rsid w:val="38D66824"/>
    <w:rsid w:val="38D87D1C"/>
    <w:rsid w:val="38EE2B03"/>
    <w:rsid w:val="38FF6D29"/>
    <w:rsid w:val="39335925"/>
    <w:rsid w:val="39636459"/>
    <w:rsid w:val="396B7F6C"/>
    <w:rsid w:val="39B417A9"/>
    <w:rsid w:val="39FC5695"/>
    <w:rsid w:val="3A006D8E"/>
    <w:rsid w:val="3A3651E5"/>
    <w:rsid w:val="3A744481"/>
    <w:rsid w:val="3A8C7BEF"/>
    <w:rsid w:val="3A906246"/>
    <w:rsid w:val="3B2349B7"/>
    <w:rsid w:val="3B53405D"/>
    <w:rsid w:val="3B616CFF"/>
    <w:rsid w:val="3B6259F6"/>
    <w:rsid w:val="3B976654"/>
    <w:rsid w:val="3BC01EFC"/>
    <w:rsid w:val="3BCA786A"/>
    <w:rsid w:val="3BD31E2F"/>
    <w:rsid w:val="3BF15831"/>
    <w:rsid w:val="3C105946"/>
    <w:rsid w:val="3C471448"/>
    <w:rsid w:val="3C5F759A"/>
    <w:rsid w:val="3C6C525A"/>
    <w:rsid w:val="3CCE23CB"/>
    <w:rsid w:val="3CD17D17"/>
    <w:rsid w:val="3D007B53"/>
    <w:rsid w:val="3D3C7F39"/>
    <w:rsid w:val="3D440F09"/>
    <w:rsid w:val="3D4504A0"/>
    <w:rsid w:val="3D8734BB"/>
    <w:rsid w:val="3D9A11D4"/>
    <w:rsid w:val="3DA16D89"/>
    <w:rsid w:val="3DA364BE"/>
    <w:rsid w:val="3DE041CB"/>
    <w:rsid w:val="3E0D48F6"/>
    <w:rsid w:val="3E1868B4"/>
    <w:rsid w:val="3E377251"/>
    <w:rsid w:val="3E42664B"/>
    <w:rsid w:val="3E5A7334"/>
    <w:rsid w:val="3E72738E"/>
    <w:rsid w:val="3E7B5D6B"/>
    <w:rsid w:val="3E843E66"/>
    <w:rsid w:val="3E8F51FE"/>
    <w:rsid w:val="3E926F87"/>
    <w:rsid w:val="3E9A59DE"/>
    <w:rsid w:val="3EAF4836"/>
    <w:rsid w:val="3EC33DFA"/>
    <w:rsid w:val="3EEA576C"/>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13FA2"/>
    <w:rsid w:val="42CD1CE0"/>
    <w:rsid w:val="42E1381E"/>
    <w:rsid w:val="42ED6459"/>
    <w:rsid w:val="42FE58DD"/>
    <w:rsid w:val="43174B3D"/>
    <w:rsid w:val="434B790E"/>
    <w:rsid w:val="4360274F"/>
    <w:rsid w:val="43977AB6"/>
    <w:rsid w:val="43A16A84"/>
    <w:rsid w:val="43A3342B"/>
    <w:rsid w:val="43C77C27"/>
    <w:rsid w:val="43DE09EE"/>
    <w:rsid w:val="44002FAD"/>
    <w:rsid w:val="448919A2"/>
    <w:rsid w:val="449101DD"/>
    <w:rsid w:val="44965DFA"/>
    <w:rsid w:val="44DE1391"/>
    <w:rsid w:val="44EB11D6"/>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83961"/>
    <w:rsid w:val="46893133"/>
    <w:rsid w:val="46893F2B"/>
    <w:rsid w:val="46C4686E"/>
    <w:rsid w:val="477B778F"/>
    <w:rsid w:val="478203EC"/>
    <w:rsid w:val="47B025FA"/>
    <w:rsid w:val="4809698F"/>
    <w:rsid w:val="4811697D"/>
    <w:rsid w:val="48395978"/>
    <w:rsid w:val="487A3E25"/>
    <w:rsid w:val="488B5503"/>
    <w:rsid w:val="48937E21"/>
    <w:rsid w:val="489A0361"/>
    <w:rsid w:val="48B94FF3"/>
    <w:rsid w:val="48C76BF4"/>
    <w:rsid w:val="48E37AAB"/>
    <w:rsid w:val="48FD4B4C"/>
    <w:rsid w:val="48FD5A16"/>
    <w:rsid w:val="490A68E0"/>
    <w:rsid w:val="491055FE"/>
    <w:rsid w:val="492A0E97"/>
    <w:rsid w:val="495753D6"/>
    <w:rsid w:val="495F5B3E"/>
    <w:rsid w:val="496F77D7"/>
    <w:rsid w:val="497654FD"/>
    <w:rsid w:val="49B64211"/>
    <w:rsid w:val="49E56AF9"/>
    <w:rsid w:val="49F6167F"/>
    <w:rsid w:val="4A064FA0"/>
    <w:rsid w:val="4A0712BA"/>
    <w:rsid w:val="4A16615C"/>
    <w:rsid w:val="4A4424D7"/>
    <w:rsid w:val="4AB82D0F"/>
    <w:rsid w:val="4AEB7664"/>
    <w:rsid w:val="4AFD7C19"/>
    <w:rsid w:val="4B0567D1"/>
    <w:rsid w:val="4B236AAE"/>
    <w:rsid w:val="4B707271"/>
    <w:rsid w:val="4B9739F7"/>
    <w:rsid w:val="4BEE2503"/>
    <w:rsid w:val="4C124497"/>
    <w:rsid w:val="4C245A30"/>
    <w:rsid w:val="4C3D66F5"/>
    <w:rsid w:val="4CB6685F"/>
    <w:rsid w:val="4CC367FE"/>
    <w:rsid w:val="4CD03B43"/>
    <w:rsid w:val="4D077F3C"/>
    <w:rsid w:val="4D123355"/>
    <w:rsid w:val="4D2A3B31"/>
    <w:rsid w:val="4D312C52"/>
    <w:rsid w:val="4D905305"/>
    <w:rsid w:val="4D964A72"/>
    <w:rsid w:val="4D9C1254"/>
    <w:rsid w:val="4E157897"/>
    <w:rsid w:val="4E793892"/>
    <w:rsid w:val="4E800872"/>
    <w:rsid w:val="4EC569ED"/>
    <w:rsid w:val="4ED50EA1"/>
    <w:rsid w:val="4EEC050C"/>
    <w:rsid w:val="4F104EC3"/>
    <w:rsid w:val="4F47354A"/>
    <w:rsid w:val="4F911C54"/>
    <w:rsid w:val="4FA74C51"/>
    <w:rsid w:val="4FE625E0"/>
    <w:rsid w:val="5021480F"/>
    <w:rsid w:val="504A29F2"/>
    <w:rsid w:val="50962ECB"/>
    <w:rsid w:val="50A42E38"/>
    <w:rsid w:val="50A4577F"/>
    <w:rsid w:val="50B73D1F"/>
    <w:rsid w:val="50BD5BC9"/>
    <w:rsid w:val="50C11EEE"/>
    <w:rsid w:val="50E97CFC"/>
    <w:rsid w:val="50FA4028"/>
    <w:rsid w:val="5100200B"/>
    <w:rsid w:val="510D65B7"/>
    <w:rsid w:val="511157AB"/>
    <w:rsid w:val="5142540C"/>
    <w:rsid w:val="518832C8"/>
    <w:rsid w:val="519D3C50"/>
    <w:rsid w:val="51A0432A"/>
    <w:rsid w:val="51A86090"/>
    <w:rsid w:val="51B7396D"/>
    <w:rsid w:val="51EA1F63"/>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A4459A"/>
    <w:rsid w:val="54B3506A"/>
    <w:rsid w:val="54CA0D16"/>
    <w:rsid w:val="54DD4057"/>
    <w:rsid w:val="54E7490F"/>
    <w:rsid w:val="550764A4"/>
    <w:rsid w:val="550B2BF6"/>
    <w:rsid w:val="55214EB5"/>
    <w:rsid w:val="552A3C28"/>
    <w:rsid w:val="55364EFD"/>
    <w:rsid w:val="555D4828"/>
    <w:rsid w:val="557A4C8B"/>
    <w:rsid w:val="558931E1"/>
    <w:rsid w:val="55923347"/>
    <w:rsid w:val="55925180"/>
    <w:rsid w:val="55983B1B"/>
    <w:rsid w:val="55A8376B"/>
    <w:rsid w:val="55DC29B6"/>
    <w:rsid w:val="55DD4241"/>
    <w:rsid w:val="56204B57"/>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310F2"/>
    <w:rsid w:val="58917D2F"/>
    <w:rsid w:val="5894085C"/>
    <w:rsid w:val="58A12453"/>
    <w:rsid w:val="58AE4F0C"/>
    <w:rsid w:val="58B85899"/>
    <w:rsid w:val="58E363A9"/>
    <w:rsid w:val="595E1678"/>
    <w:rsid w:val="596C0CB3"/>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FC6067"/>
    <w:rsid w:val="5B2E1A1D"/>
    <w:rsid w:val="5B5A4B3C"/>
    <w:rsid w:val="5B843A1C"/>
    <w:rsid w:val="5B873E3F"/>
    <w:rsid w:val="5BBE50CA"/>
    <w:rsid w:val="5C02690E"/>
    <w:rsid w:val="5C196DA7"/>
    <w:rsid w:val="5C2A048C"/>
    <w:rsid w:val="5C6914DA"/>
    <w:rsid w:val="5C80234E"/>
    <w:rsid w:val="5C8A680C"/>
    <w:rsid w:val="5CA14C6C"/>
    <w:rsid w:val="5D0C4701"/>
    <w:rsid w:val="5D0F0395"/>
    <w:rsid w:val="5D221076"/>
    <w:rsid w:val="5D397964"/>
    <w:rsid w:val="5D5A391C"/>
    <w:rsid w:val="5D5F10C0"/>
    <w:rsid w:val="5D891B7B"/>
    <w:rsid w:val="5DAD38EE"/>
    <w:rsid w:val="5DD6277E"/>
    <w:rsid w:val="5E006862"/>
    <w:rsid w:val="5E0207B9"/>
    <w:rsid w:val="5E1834A1"/>
    <w:rsid w:val="5E261785"/>
    <w:rsid w:val="5E4A7017"/>
    <w:rsid w:val="5E552BBA"/>
    <w:rsid w:val="5E611C10"/>
    <w:rsid w:val="5E7A0F3F"/>
    <w:rsid w:val="5EF3065B"/>
    <w:rsid w:val="5EFC7377"/>
    <w:rsid w:val="5F06174D"/>
    <w:rsid w:val="5F3A3602"/>
    <w:rsid w:val="5F45733B"/>
    <w:rsid w:val="5F6277C6"/>
    <w:rsid w:val="5F6D0B1D"/>
    <w:rsid w:val="5F8D0B82"/>
    <w:rsid w:val="5FCC5339"/>
    <w:rsid w:val="5FE34A5B"/>
    <w:rsid w:val="5FF03A6E"/>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01D56"/>
    <w:rsid w:val="61F94C26"/>
    <w:rsid w:val="62000E56"/>
    <w:rsid w:val="624F3E49"/>
    <w:rsid w:val="62632286"/>
    <w:rsid w:val="62885958"/>
    <w:rsid w:val="62D11B87"/>
    <w:rsid w:val="62F40B65"/>
    <w:rsid w:val="62FC2CFE"/>
    <w:rsid w:val="63024505"/>
    <w:rsid w:val="632903FC"/>
    <w:rsid w:val="635600A5"/>
    <w:rsid w:val="635B1DB5"/>
    <w:rsid w:val="63711FED"/>
    <w:rsid w:val="63880DDC"/>
    <w:rsid w:val="638D750D"/>
    <w:rsid w:val="63AC6CC0"/>
    <w:rsid w:val="64055776"/>
    <w:rsid w:val="64240056"/>
    <w:rsid w:val="643E143A"/>
    <w:rsid w:val="64491666"/>
    <w:rsid w:val="64782E49"/>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446C37"/>
    <w:rsid w:val="674D0433"/>
    <w:rsid w:val="67551CE3"/>
    <w:rsid w:val="67A22552"/>
    <w:rsid w:val="67B22DCC"/>
    <w:rsid w:val="67BE71AA"/>
    <w:rsid w:val="67D90273"/>
    <w:rsid w:val="67DE5875"/>
    <w:rsid w:val="67E22141"/>
    <w:rsid w:val="67E55852"/>
    <w:rsid w:val="67EB1AB4"/>
    <w:rsid w:val="67FA1285"/>
    <w:rsid w:val="68551F4F"/>
    <w:rsid w:val="687C10C9"/>
    <w:rsid w:val="68840C16"/>
    <w:rsid w:val="68872541"/>
    <w:rsid w:val="68876EFB"/>
    <w:rsid w:val="68884654"/>
    <w:rsid w:val="689F444F"/>
    <w:rsid w:val="68B96DBB"/>
    <w:rsid w:val="68CA2805"/>
    <w:rsid w:val="68E937A3"/>
    <w:rsid w:val="691664E5"/>
    <w:rsid w:val="692866CF"/>
    <w:rsid w:val="693E15D3"/>
    <w:rsid w:val="69522712"/>
    <w:rsid w:val="69627681"/>
    <w:rsid w:val="6977531D"/>
    <w:rsid w:val="69A74FFE"/>
    <w:rsid w:val="69CC2BFF"/>
    <w:rsid w:val="69FD55B8"/>
    <w:rsid w:val="6A0B1C62"/>
    <w:rsid w:val="6A2406C8"/>
    <w:rsid w:val="6A3C6D13"/>
    <w:rsid w:val="6ADE0BD1"/>
    <w:rsid w:val="6AE96859"/>
    <w:rsid w:val="6B064398"/>
    <w:rsid w:val="6B147746"/>
    <w:rsid w:val="6B24787C"/>
    <w:rsid w:val="6B563571"/>
    <w:rsid w:val="6B573233"/>
    <w:rsid w:val="6B5B6274"/>
    <w:rsid w:val="6B935D53"/>
    <w:rsid w:val="6C196F71"/>
    <w:rsid w:val="6C226FCB"/>
    <w:rsid w:val="6C31226F"/>
    <w:rsid w:val="6C552F0B"/>
    <w:rsid w:val="6C8C67B7"/>
    <w:rsid w:val="6C9D744C"/>
    <w:rsid w:val="6D167928"/>
    <w:rsid w:val="6D237F77"/>
    <w:rsid w:val="6D26299B"/>
    <w:rsid w:val="6D4772EC"/>
    <w:rsid w:val="6D9078AF"/>
    <w:rsid w:val="6DAA3FEF"/>
    <w:rsid w:val="6DC0172B"/>
    <w:rsid w:val="6DCB690C"/>
    <w:rsid w:val="6DD41A5B"/>
    <w:rsid w:val="6DF43C2E"/>
    <w:rsid w:val="6DF51CA3"/>
    <w:rsid w:val="6E8335BD"/>
    <w:rsid w:val="6E8E12EF"/>
    <w:rsid w:val="6E972936"/>
    <w:rsid w:val="6EB5370B"/>
    <w:rsid w:val="6ED446C5"/>
    <w:rsid w:val="6F1057E5"/>
    <w:rsid w:val="6F2A7D94"/>
    <w:rsid w:val="6F775E48"/>
    <w:rsid w:val="6F8331F1"/>
    <w:rsid w:val="6FAE1A09"/>
    <w:rsid w:val="6FD75BF8"/>
    <w:rsid w:val="704D04A2"/>
    <w:rsid w:val="707723D0"/>
    <w:rsid w:val="70904454"/>
    <w:rsid w:val="70F5661B"/>
    <w:rsid w:val="71360107"/>
    <w:rsid w:val="713B688E"/>
    <w:rsid w:val="71AD032E"/>
    <w:rsid w:val="71D43752"/>
    <w:rsid w:val="71F1796A"/>
    <w:rsid w:val="72154626"/>
    <w:rsid w:val="72220DAF"/>
    <w:rsid w:val="72262B5D"/>
    <w:rsid w:val="72283FF7"/>
    <w:rsid w:val="722E7212"/>
    <w:rsid w:val="723A0474"/>
    <w:rsid w:val="725923E4"/>
    <w:rsid w:val="72864BF7"/>
    <w:rsid w:val="729023FC"/>
    <w:rsid w:val="72FB66AE"/>
    <w:rsid w:val="73C0646E"/>
    <w:rsid w:val="74005123"/>
    <w:rsid w:val="742222F5"/>
    <w:rsid w:val="74476126"/>
    <w:rsid w:val="74706664"/>
    <w:rsid w:val="747F3682"/>
    <w:rsid w:val="748A4CCB"/>
    <w:rsid w:val="749C4185"/>
    <w:rsid w:val="75067759"/>
    <w:rsid w:val="752540C8"/>
    <w:rsid w:val="752E6DCD"/>
    <w:rsid w:val="753A476D"/>
    <w:rsid w:val="754E350B"/>
    <w:rsid w:val="7551380D"/>
    <w:rsid w:val="75600BE5"/>
    <w:rsid w:val="7564475C"/>
    <w:rsid w:val="7583797F"/>
    <w:rsid w:val="75AD3D8E"/>
    <w:rsid w:val="75D20F1D"/>
    <w:rsid w:val="75DA2C18"/>
    <w:rsid w:val="75F54412"/>
    <w:rsid w:val="761D08E0"/>
    <w:rsid w:val="763B6F45"/>
    <w:rsid w:val="765D347C"/>
    <w:rsid w:val="76826699"/>
    <w:rsid w:val="76C0482F"/>
    <w:rsid w:val="76C87133"/>
    <w:rsid w:val="76CD08D5"/>
    <w:rsid w:val="76DB4B92"/>
    <w:rsid w:val="76FD013A"/>
    <w:rsid w:val="77052AA4"/>
    <w:rsid w:val="77136511"/>
    <w:rsid w:val="77340A39"/>
    <w:rsid w:val="77351FD0"/>
    <w:rsid w:val="77472422"/>
    <w:rsid w:val="777D1E86"/>
    <w:rsid w:val="777F31F2"/>
    <w:rsid w:val="77D1700D"/>
    <w:rsid w:val="77EC04CC"/>
    <w:rsid w:val="784F42A6"/>
    <w:rsid w:val="785121CA"/>
    <w:rsid w:val="78775729"/>
    <w:rsid w:val="78A42DB0"/>
    <w:rsid w:val="78A656AB"/>
    <w:rsid w:val="78B2245C"/>
    <w:rsid w:val="78E172CC"/>
    <w:rsid w:val="78EA1D1F"/>
    <w:rsid w:val="7904172F"/>
    <w:rsid w:val="790F7E27"/>
    <w:rsid w:val="79277560"/>
    <w:rsid w:val="792A231A"/>
    <w:rsid w:val="79316829"/>
    <w:rsid w:val="797E66A9"/>
    <w:rsid w:val="798518A4"/>
    <w:rsid w:val="79A97383"/>
    <w:rsid w:val="79D26573"/>
    <w:rsid w:val="79E27E8B"/>
    <w:rsid w:val="79F850CE"/>
    <w:rsid w:val="79FD443C"/>
    <w:rsid w:val="7A1D1975"/>
    <w:rsid w:val="7A3E5150"/>
    <w:rsid w:val="7A4670D6"/>
    <w:rsid w:val="7A534B63"/>
    <w:rsid w:val="7A615382"/>
    <w:rsid w:val="7A67303B"/>
    <w:rsid w:val="7AA8721A"/>
    <w:rsid w:val="7AAB1D04"/>
    <w:rsid w:val="7ABA4368"/>
    <w:rsid w:val="7AD05746"/>
    <w:rsid w:val="7B0F7D15"/>
    <w:rsid w:val="7B257FFD"/>
    <w:rsid w:val="7B273D20"/>
    <w:rsid w:val="7B343476"/>
    <w:rsid w:val="7B5A2978"/>
    <w:rsid w:val="7B5A7E4C"/>
    <w:rsid w:val="7B667AF9"/>
    <w:rsid w:val="7B7468F8"/>
    <w:rsid w:val="7BEE0103"/>
    <w:rsid w:val="7C0A0FE4"/>
    <w:rsid w:val="7C0F6C2A"/>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3E7CAB"/>
    <w:rsid w:val="7F715AF2"/>
    <w:rsid w:val="7F886E69"/>
    <w:rsid w:val="BB7FA927"/>
    <w:rsid w:val="BEAEA1FC"/>
    <w:rsid w:val="ECED2B49"/>
    <w:rsid w:val="F5FFD31F"/>
    <w:rsid w:val="FF77A1AA"/>
    <w:rsid w:val="FFFBDE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966"/>
    <w:qFormat/>
    <w:uiPriority w:val="0"/>
    <w:pPr>
      <w:keepNext/>
      <w:keepLines/>
      <w:tabs>
        <w:tab w:val="left" w:pos="432"/>
        <w:tab w:val="left" w:pos="1110"/>
      </w:tabs>
      <w:adjustRightInd/>
      <w:spacing w:line="360" w:lineRule="auto"/>
      <w:ind w:left="210" w:leftChars="100" w:firstLine="357" w:firstLineChars="148"/>
      <w:jc w:val="left"/>
      <w:outlineLvl w:val="1"/>
    </w:pPr>
    <w:rPr>
      <w:rFonts w:ascii="宋体" w:hAnsi="宋体"/>
      <w:b/>
      <w:bCs/>
      <w:sz w:val="24"/>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2"/>
    <w:qFormat/>
    <w:uiPriority w:val="99"/>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20"/>
    <w:qFormat/>
    <w:uiPriority w:val="0"/>
    <w:pPr>
      <w:ind w:firstLine="420"/>
    </w:pPr>
    <w:rPr>
      <w:rFonts w:hAnsi="Calibri" w:cs="Times New Roman"/>
      <w:snapToGrid/>
      <w:szCs w:val="20"/>
    </w:rPr>
  </w:style>
  <w:style w:type="paragraph" w:styleId="26">
    <w:name w:val="Body Text Indent"/>
    <w:basedOn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next w:val="7"/>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09"/>
    <w:qFormat/>
    <w:uiPriority w:val="99"/>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5"/>
    <w:qFormat/>
    <w:uiPriority w:val="0"/>
    <w:rPr>
      <w:b/>
      <w:bCs/>
    </w:rPr>
  </w:style>
  <w:style w:type="paragraph" w:styleId="62">
    <w:name w:val="Body Text First Indent 2"/>
    <w:basedOn w:val="26"/>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styleId="80">
    <w:name w:val="footnote reference"/>
    <w:basedOn w:val="70"/>
    <w:unhideWhenUsed/>
    <w:qFormat/>
    <w:uiPriority w:val="99"/>
    <w:rPr>
      <w:vertAlign w:val="superscript"/>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6"/>
    <w:qFormat/>
    <w:uiPriority w:val="99"/>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8"/>
    <w:qFormat/>
    <w:uiPriority w:val="0"/>
    <w:rPr>
      <w:rFonts w:ascii="黑体" w:hAnsi="Courier New" w:eastAsia="黑体"/>
    </w:rPr>
  </w:style>
  <w:style w:type="character" w:customStyle="1" w:styleId="301">
    <w:name w:val="正文文本 2 字符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0"/>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99"/>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hAnsi="Arial"/>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hAnsi="Cambria"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hAnsi="Arial"/>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未处理的提及2"/>
    <w:basedOn w:val="70"/>
    <w:semiHidden/>
    <w:unhideWhenUsed/>
    <w:qFormat/>
    <w:uiPriority w:val="99"/>
    <w:rPr>
      <w:color w:val="605E5C"/>
      <w:shd w:val="clear" w:color="auto" w:fill="E1DFDD"/>
    </w:rPr>
  </w:style>
  <w:style w:type="paragraph" w:customStyle="1" w:styleId="965">
    <w:name w:val="jd-正文1"/>
    <w:basedOn w:val="1"/>
    <w:qFormat/>
    <w:uiPriority w:val="0"/>
    <w:pPr>
      <w:widowControl/>
      <w:adjustRightInd/>
      <w:spacing w:line="360" w:lineRule="auto"/>
      <w:ind w:firstLine="482" w:firstLineChars="200"/>
    </w:pPr>
    <w:rPr>
      <w:rFonts w:ascii="宋体" w:hAnsi="宋体" w:cs="宋体"/>
      <w:sz w:val="24"/>
      <w:szCs w:val="20"/>
    </w:rPr>
  </w:style>
  <w:style w:type="character" w:customStyle="1" w:styleId="966">
    <w:name w:val="标题 2 字符1"/>
    <w:link w:val="4"/>
    <w:qFormat/>
    <w:uiPriority w:val="0"/>
    <w:rPr>
      <w:rFonts w:ascii="宋体" w:hAnsi="宋体"/>
      <w:b/>
      <w:bCs/>
      <w:kern w:val="2"/>
      <w:sz w:val="24"/>
      <w:szCs w:val="24"/>
      <w:lang w:val="zh-CN"/>
    </w:rPr>
  </w:style>
  <w:style w:type="paragraph" w:customStyle="1" w:styleId="967">
    <w:name w:val="_正文"/>
    <w:basedOn w:val="1"/>
    <w:link w:val="968"/>
    <w:qFormat/>
    <w:uiPriority w:val="0"/>
    <w:pPr>
      <w:tabs>
        <w:tab w:val="left" w:pos="840"/>
      </w:tabs>
      <w:adjustRightInd/>
      <w:spacing w:line="360" w:lineRule="auto"/>
      <w:ind w:firstLine="200" w:firstLineChars="200"/>
    </w:pPr>
    <w:rPr>
      <w:sz w:val="24"/>
    </w:rPr>
  </w:style>
  <w:style w:type="character" w:customStyle="1" w:styleId="968">
    <w:name w:val="_正文 Char"/>
    <w:link w:val="967"/>
    <w:qFormat/>
    <w:uiPriority w:val="0"/>
    <w:rPr>
      <w:kern w:val="2"/>
      <w:sz w:val="24"/>
      <w:szCs w:val="24"/>
    </w:rPr>
  </w:style>
  <w:style w:type="paragraph" w:customStyle="1" w:styleId="969">
    <w:name w:val="正文（上会）"/>
    <w:basedOn w:val="1"/>
    <w:link w:val="970"/>
    <w:qFormat/>
    <w:uiPriority w:val="0"/>
    <w:pPr>
      <w:adjustRightInd/>
      <w:spacing w:line="336" w:lineRule="auto"/>
      <w:ind w:firstLine="200" w:firstLineChars="200"/>
    </w:pPr>
    <w:rPr>
      <w:rFonts w:ascii="仿宋_GB2312" w:hAnsi="仿宋_GB2312" w:eastAsia="仿宋_GB2312" w:cs="仿宋_GB2312"/>
      <w:sz w:val="32"/>
      <w:szCs w:val="32"/>
    </w:rPr>
  </w:style>
  <w:style w:type="character" w:customStyle="1" w:styleId="970">
    <w:name w:val="正文（上会） 字符"/>
    <w:link w:val="969"/>
    <w:qFormat/>
    <w:uiPriority w:val="0"/>
    <w:rPr>
      <w:rFonts w:ascii="仿宋_GB2312" w:hAnsi="仿宋_GB2312" w:eastAsia="仿宋_GB2312" w:cs="仿宋_GB2312"/>
      <w:kern w:val="2"/>
      <w:sz w:val="32"/>
      <w:szCs w:val="32"/>
    </w:rPr>
  </w:style>
  <w:style w:type="paragraph" w:customStyle="1" w:styleId="971">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972">
    <w:name w:val="未处理的提及3"/>
    <w:basedOn w:val="70"/>
    <w:semiHidden/>
    <w:unhideWhenUsed/>
    <w:qFormat/>
    <w:uiPriority w:val="99"/>
    <w:rPr>
      <w:color w:val="605E5C"/>
      <w:shd w:val="clear" w:color="auto" w:fill="E1DFDD"/>
    </w:rPr>
  </w:style>
  <w:style w:type="paragraph" w:customStyle="1" w:styleId="973">
    <w:name w:val="修订6"/>
    <w:hidden/>
    <w:semiHidden/>
    <w:qFormat/>
    <w:uiPriority w:val="99"/>
    <w:rPr>
      <w:rFonts w:ascii="Times New Roman" w:hAnsi="Times New Roman" w:eastAsia="宋体" w:cs="Times New Roman"/>
      <w:kern w:val="2"/>
      <w:sz w:val="21"/>
      <w:szCs w:val="24"/>
      <w:lang w:val="en-US" w:eastAsia="zh-CN" w:bidi="ar-SA"/>
    </w:rPr>
  </w:style>
  <w:style w:type="character" w:customStyle="1" w:styleId="974">
    <w:name w:val="font181"/>
    <w:basedOn w:val="70"/>
    <w:qFormat/>
    <w:uiPriority w:val="0"/>
    <w:rPr>
      <w:rFonts w:hint="eastAsia" w:ascii="宋体" w:hAnsi="宋体" w:eastAsia="宋体" w:cs="宋体"/>
      <w:color w:val="000000"/>
      <w:sz w:val="22"/>
      <w:szCs w:val="22"/>
      <w:u w:val="none"/>
    </w:rPr>
  </w:style>
  <w:style w:type="character" w:customStyle="1" w:styleId="975">
    <w:name w:val="font131"/>
    <w:basedOn w:val="70"/>
    <w:qFormat/>
    <w:uiPriority w:val="0"/>
    <w:rPr>
      <w:rFonts w:hint="eastAsia" w:ascii="宋体" w:hAnsi="宋体" w:eastAsia="宋体" w:cs="宋体"/>
      <w:color w:val="000000"/>
      <w:sz w:val="22"/>
      <w:szCs w:val="22"/>
      <w:u w:val="none"/>
    </w:rPr>
  </w:style>
  <w:style w:type="character" w:customStyle="1" w:styleId="976">
    <w:name w:val="font151"/>
    <w:basedOn w:val="70"/>
    <w:qFormat/>
    <w:uiPriority w:val="0"/>
    <w:rPr>
      <w:rFonts w:hint="eastAsia" w:ascii="宋体" w:hAnsi="宋体" w:eastAsia="宋体" w:cs="宋体"/>
      <w:b/>
      <w:bCs/>
      <w:color w:val="000000"/>
      <w:sz w:val="22"/>
      <w:szCs w:val="22"/>
      <w:u w:val="none"/>
    </w:rPr>
  </w:style>
  <w:style w:type="character" w:customStyle="1" w:styleId="977">
    <w:name w:val="font161"/>
    <w:basedOn w:val="70"/>
    <w:qFormat/>
    <w:uiPriority w:val="0"/>
    <w:rPr>
      <w:rFonts w:hint="eastAsia" w:ascii="宋体" w:hAnsi="宋体" w:eastAsia="宋体" w:cs="宋体"/>
      <w:b/>
      <w:bCs/>
      <w:color w:val="000000"/>
      <w:sz w:val="20"/>
      <w:szCs w:val="20"/>
      <w:u w:val="none"/>
    </w:rPr>
  </w:style>
  <w:style w:type="character" w:customStyle="1" w:styleId="978">
    <w:name w:val="font191"/>
    <w:basedOn w:val="70"/>
    <w:qFormat/>
    <w:uiPriority w:val="0"/>
    <w:rPr>
      <w:rFonts w:hint="eastAsia" w:ascii="宋体" w:hAnsi="宋体" w:eastAsia="宋体" w:cs="宋体"/>
      <w:color w:val="000000"/>
      <w:sz w:val="22"/>
      <w:szCs w:val="22"/>
      <w:u w:val="none"/>
    </w:rPr>
  </w:style>
  <w:style w:type="paragraph" w:customStyle="1" w:styleId="979">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980">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981">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982">
    <w:name w:val="修订10"/>
    <w:hidden/>
    <w:unhideWhenUsed/>
    <w:qFormat/>
    <w:uiPriority w:val="99"/>
    <w:rPr>
      <w:rFonts w:ascii="Times New Roman" w:hAnsi="Times New Roman" w:eastAsia="宋体" w:cs="Times New Roman"/>
      <w:kern w:val="2"/>
      <w:sz w:val="21"/>
      <w:szCs w:val="24"/>
      <w:lang w:val="en-US" w:eastAsia="zh-CN" w:bidi="ar-SA"/>
    </w:rPr>
  </w:style>
  <w:style w:type="paragraph" w:customStyle="1" w:styleId="983">
    <w:name w:val="修订11"/>
    <w:hidden/>
    <w:semiHidden/>
    <w:qFormat/>
    <w:uiPriority w:val="99"/>
    <w:rPr>
      <w:rFonts w:ascii="Times New Roman" w:hAnsi="Times New Roman" w:eastAsia="宋体" w:cs="Times New Roman"/>
      <w:kern w:val="2"/>
      <w:sz w:val="21"/>
      <w:szCs w:val="24"/>
      <w:lang w:val="en-US" w:eastAsia="zh-CN" w:bidi="ar-SA"/>
    </w:rPr>
  </w:style>
  <w:style w:type="character" w:customStyle="1" w:styleId="984">
    <w:name w:val="未处理的提及4"/>
    <w:basedOn w:val="70"/>
    <w:semiHidden/>
    <w:unhideWhenUsed/>
    <w:qFormat/>
    <w:uiPriority w:val="99"/>
    <w:rPr>
      <w:color w:val="605E5C"/>
      <w:shd w:val="clear" w:color="auto" w:fill="E1DFDD"/>
    </w:rPr>
  </w:style>
  <w:style w:type="paragraph" w:customStyle="1" w:styleId="985">
    <w:name w:val="修订12"/>
    <w:hidden/>
    <w:semiHidden/>
    <w:qFormat/>
    <w:uiPriority w:val="99"/>
    <w:rPr>
      <w:rFonts w:ascii="Times New Roman" w:hAnsi="Times New Roman" w:eastAsia="宋体" w:cs="Times New Roman"/>
      <w:kern w:val="2"/>
      <w:sz w:val="21"/>
      <w:szCs w:val="24"/>
      <w:lang w:val="en-US" w:eastAsia="zh-CN" w:bidi="ar-SA"/>
    </w:rPr>
  </w:style>
  <w:style w:type="paragraph" w:customStyle="1" w:styleId="986">
    <w:name w:val="正文！"/>
    <w:basedOn w:val="1"/>
    <w:qFormat/>
    <w:uiPriority w:val="0"/>
    <w:pPr>
      <w:adjustRightInd/>
      <w:spacing w:line="360" w:lineRule="auto"/>
      <w:ind w:firstLine="200" w:firstLineChars="200"/>
    </w:pPr>
    <w:rPr>
      <w:szCs w:val="21"/>
    </w:rPr>
  </w:style>
  <w:style w:type="paragraph" w:customStyle="1" w:styleId="987">
    <w:name w:val="修订13"/>
    <w:hidden/>
    <w:semiHidden/>
    <w:qFormat/>
    <w:uiPriority w:val="99"/>
    <w:rPr>
      <w:rFonts w:ascii="Times New Roman" w:hAnsi="Times New Roman" w:eastAsia="宋体" w:cs="Times New Roman"/>
      <w:kern w:val="2"/>
      <w:sz w:val="21"/>
      <w:szCs w:val="24"/>
      <w:lang w:val="en-US" w:eastAsia="zh-CN" w:bidi="ar-SA"/>
    </w:rPr>
  </w:style>
  <w:style w:type="character" w:customStyle="1" w:styleId="988">
    <w:name w:val="未处理的提及5"/>
    <w:basedOn w:val="70"/>
    <w:semiHidden/>
    <w:unhideWhenUsed/>
    <w:qFormat/>
    <w:uiPriority w:val="99"/>
    <w:rPr>
      <w:color w:val="605E5C"/>
      <w:shd w:val="clear" w:color="auto" w:fill="E1DFDD"/>
    </w:rPr>
  </w:style>
  <w:style w:type="character" w:customStyle="1" w:styleId="989">
    <w:name w:val="未处理的提及6"/>
    <w:basedOn w:val="70"/>
    <w:semiHidden/>
    <w:unhideWhenUsed/>
    <w:qFormat/>
    <w:uiPriority w:val="99"/>
    <w:rPr>
      <w:color w:val="605E5C"/>
      <w:shd w:val="clear" w:color="auto" w:fill="E1DFDD"/>
    </w:rPr>
  </w:style>
  <w:style w:type="character" w:customStyle="1" w:styleId="990">
    <w:name w:val="未处理的提及7"/>
    <w:basedOn w:val="70"/>
    <w:semiHidden/>
    <w:unhideWhenUsed/>
    <w:qFormat/>
    <w:uiPriority w:val="99"/>
    <w:rPr>
      <w:color w:val="605E5C"/>
      <w:shd w:val="clear" w:color="auto" w:fill="E1DFDD"/>
    </w:rPr>
  </w:style>
  <w:style w:type="paragraph" w:customStyle="1" w:styleId="991">
    <w:name w:val="正文空2字"/>
    <w:basedOn w:val="99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92">
    <w:name w:val="左对齐正文"/>
    <w:qFormat/>
    <w:uiPriority w:val="99"/>
    <w:rPr>
      <w:rFonts w:ascii="Calibri" w:hAnsi="Calibri" w:eastAsia="仿宋_GB2312" w:cs="Calibri"/>
      <w:kern w:val="2"/>
      <w:sz w:val="32"/>
      <w:szCs w:val="32"/>
      <w:lang w:val="en-US" w:eastAsia="zh-CN" w:bidi="ar-SA"/>
    </w:rPr>
  </w:style>
  <w:style w:type="character" w:customStyle="1" w:styleId="993">
    <w:name w:val="fontstyle01"/>
    <w:basedOn w:val="70"/>
    <w:qFormat/>
    <w:uiPriority w:val="0"/>
    <w:rPr>
      <w:rFonts w:hint="eastAsia" w:ascii="宋体" w:hAnsi="宋体" w:eastAsia="宋体"/>
      <w:color w:val="000000"/>
      <w:sz w:val="18"/>
      <w:szCs w:val="18"/>
    </w:rPr>
  </w:style>
  <w:style w:type="character" w:customStyle="1" w:styleId="994">
    <w:name w:val="未处理的提及8"/>
    <w:basedOn w:val="70"/>
    <w:semiHidden/>
    <w:unhideWhenUsed/>
    <w:qFormat/>
    <w:uiPriority w:val="99"/>
    <w:rPr>
      <w:color w:val="605E5C"/>
      <w:shd w:val="clear" w:color="auto" w:fill="E1DFDD"/>
    </w:rPr>
  </w:style>
  <w:style w:type="paragraph" w:customStyle="1" w:styleId="995">
    <w:name w:val="修订14"/>
    <w:hidden/>
    <w:unhideWhenUsed/>
    <w:qFormat/>
    <w:uiPriority w:val="99"/>
    <w:rPr>
      <w:rFonts w:ascii="Times New Roman" w:hAnsi="Times New Roman" w:eastAsia="宋体" w:cs="Times New Roman"/>
      <w:kern w:val="2"/>
      <w:sz w:val="21"/>
      <w:szCs w:val="24"/>
      <w:lang w:val="en-US" w:eastAsia="zh-CN" w:bidi="ar-SA"/>
    </w:rPr>
  </w:style>
  <w:style w:type="paragraph" w:customStyle="1" w:styleId="996">
    <w:name w:val="修订15"/>
    <w:hidden/>
    <w:unhideWhenUsed/>
    <w:qFormat/>
    <w:uiPriority w:val="99"/>
    <w:rPr>
      <w:rFonts w:ascii="Times New Roman" w:hAnsi="Times New Roman" w:eastAsia="宋体" w:cs="Times New Roman"/>
      <w:kern w:val="2"/>
      <w:sz w:val="21"/>
      <w:szCs w:val="24"/>
      <w:lang w:val="en-US" w:eastAsia="zh-CN" w:bidi="ar-SA"/>
    </w:rPr>
  </w:style>
  <w:style w:type="character" w:customStyle="1" w:styleId="997">
    <w:name w:val="未处理的提及9"/>
    <w:basedOn w:val="7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41272</Words>
  <Characters>43662</Characters>
  <Lines>360</Lines>
  <Paragraphs>101</Paragraphs>
  <TotalTime>39</TotalTime>
  <ScaleCrop>false</ScaleCrop>
  <LinksUpToDate>false</LinksUpToDate>
  <CharactersWithSpaces>48876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2025-01-03T13:06:00Z</dcterms:created>
  <dc:creator>玥</dc:creator>
  <cp:lastModifiedBy>肥肥</cp:lastModifiedBy>
  <cp:lastPrinted>2023-03-11T17:43:00Z</cp:lastPrinted>
  <dcterms:modified xsi:type="dcterms:W3CDTF">2025-01-23T08:44:28Z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8AC23E212EBC482C909974C75958591C_13</vt:lpwstr>
  </property>
  <property fmtid="{D5CDD505-2E9C-101B-9397-08002B2CF9AE}" pid="5" name="KSOTemplateDocerSaveRecord">
    <vt:lpwstr>eyJoZGlkIjoiMzEwNTM5NzYwMDRjMzkwZTVkZjY2ODkwMGIxNGU0OTUiLCJ1c2VySWQiOiIzMDgxNzI1NjkifQ==</vt:lpwstr>
  </property>
</Properties>
</file>