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lang w:val="en-US" w:eastAsia="zh-CN"/>
        </w:rPr>
      </w:pPr>
    </w:p>
    <w:p>
      <w:pPr>
        <w:spacing w:line="360" w:lineRule="auto"/>
        <w:jc w:val="center"/>
        <w:rPr>
          <w:rFonts w:hint="eastAsia" w:ascii="仿宋" w:hAnsi="仿宋" w:eastAsia="仿宋" w:cs="仿宋"/>
          <w:b/>
          <w:color w:val="auto"/>
          <w:sz w:val="24"/>
          <w:highlight w:val="none"/>
        </w:rPr>
      </w:pPr>
    </w:p>
    <w:p>
      <w:pPr>
        <w:snapToGrid w:val="0"/>
        <w:spacing w:line="30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杭州市城市水设施和河道保护管理中心</w:t>
      </w:r>
    </w:p>
    <w:p>
      <w:pPr>
        <w:snapToGrid w:val="0"/>
        <w:spacing w:line="30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4"/>
          <w:szCs w:val="44"/>
          <w:highlight w:val="none"/>
          <w:lang w:eastAsia="zh-CN"/>
        </w:rPr>
        <w:t>水处理絮凝药剂采购项目</w:t>
      </w:r>
    </w:p>
    <w:p>
      <w:pPr>
        <w:pStyle w:val="4"/>
        <w:rPr>
          <w:rFonts w:hint="eastAsia" w:ascii="仿宋" w:hAnsi="仿宋" w:eastAsia="仿宋" w:cs="仿宋"/>
          <w:color w:val="auto"/>
          <w:highlight w:val="none"/>
          <w:lang w:val="en-US"/>
        </w:rPr>
      </w:pPr>
    </w:p>
    <w:p>
      <w:pPr>
        <w:rPr>
          <w:rFonts w:hint="eastAsia" w:ascii="仿宋" w:hAnsi="仿宋" w:eastAsia="仿宋" w:cs="仿宋"/>
          <w:b/>
          <w:bCs/>
          <w:color w:val="auto"/>
          <w:highlight w:val="none"/>
        </w:rPr>
      </w:pPr>
    </w:p>
    <w:p>
      <w:pPr>
        <w:pStyle w:val="4"/>
        <w:rPr>
          <w:rFonts w:hint="eastAsia" w:ascii="仿宋" w:hAnsi="仿宋" w:eastAsia="仿宋" w:cs="仿宋"/>
          <w:color w:val="auto"/>
          <w:highlight w:val="none"/>
        </w:rPr>
      </w:pPr>
    </w:p>
    <w:p>
      <w:pPr>
        <w:pStyle w:val="4"/>
        <w:rPr>
          <w:rFonts w:hint="eastAsia" w:ascii="仿宋" w:hAnsi="仿宋" w:eastAsia="仿宋" w:cs="仿宋"/>
          <w:color w:val="auto"/>
          <w:highlight w:val="none"/>
          <w:lang w:val="en-US"/>
        </w:rPr>
      </w:pPr>
    </w:p>
    <w:p>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招 标 文 件</w:t>
      </w:r>
    </w:p>
    <w:p>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w:t>
      </w:r>
      <w:r>
        <w:rPr>
          <w:rFonts w:hint="eastAsia" w:ascii="仿宋" w:hAnsi="仿宋" w:eastAsia="仿宋" w:cs="仿宋"/>
          <w:b/>
          <w:bCs/>
          <w:color w:val="auto"/>
          <w:sz w:val="44"/>
          <w:szCs w:val="44"/>
          <w:highlight w:val="none"/>
          <w:lang w:val="en-US" w:eastAsia="zh-CN"/>
        </w:rPr>
        <w:t>招投标</w:t>
      </w:r>
      <w:r>
        <w:rPr>
          <w:rFonts w:hint="eastAsia" w:ascii="仿宋" w:hAnsi="仿宋" w:eastAsia="仿宋" w:cs="仿宋"/>
          <w:b/>
          <w:bCs/>
          <w:color w:val="auto"/>
          <w:sz w:val="44"/>
          <w:szCs w:val="44"/>
          <w:highlight w:val="none"/>
        </w:rPr>
        <w:t>）</w:t>
      </w:r>
    </w:p>
    <w:p>
      <w:pPr>
        <w:snapToGrid w:val="0"/>
        <w:spacing w:line="360" w:lineRule="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采购编号</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ZJYX-2025-0020</w:t>
      </w:r>
    </w:p>
    <w:p>
      <w:pPr>
        <w:adjustRightInd/>
        <w:spacing w:line="360" w:lineRule="auto"/>
        <w:rPr>
          <w:rFonts w:hint="eastAsia" w:ascii="仿宋" w:hAnsi="仿宋" w:eastAsia="仿宋" w:cs="仿宋"/>
          <w:b/>
          <w:bCs/>
          <w:color w:val="auto"/>
          <w:sz w:val="28"/>
          <w:szCs w:val="20"/>
          <w:highlight w:val="none"/>
        </w:rPr>
      </w:pPr>
    </w:p>
    <w:p>
      <w:pPr>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pPr>
    </w:p>
    <w:p>
      <w:pPr>
        <w:pStyle w:val="4"/>
        <w:rPr>
          <w:rFonts w:hint="eastAsia" w:ascii="仿宋" w:hAnsi="仿宋" w:eastAsia="仿宋" w:cs="仿宋"/>
          <w:color w:val="auto"/>
          <w:highlight w:val="none"/>
          <w:lang w:val="en-US"/>
        </w:rPr>
      </w:pPr>
    </w:p>
    <w:p>
      <w:pPr>
        <w:snapToGrid w:val="0"/>
        <w:spacing w:line="360" w:lineRule="auto"/>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杭州市城市水设施和河道保护管理中心</w:t>
      </w:r>
    </w:p>
    <w:p>
      <w:pPr>
        <w:snapToGrid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浙江耀信工程咨询有限公司</w:t>
      </w:r>
    </w:p>
    <w:p>
      <w:pPr>
        <w:snapToGrid w:val="0"/>
        <w:spacing w:line="360" w:lineRule="auto"/>
        <w:jc w:val="center"/>
        <w:rPr>
          <w:rFonts w:hint="eastAsia" w:ascii="仿宋" w:hAnsi="仿宋" w:eastAsia="仿宋" w:cs="仿宋"/>
          <w:b/>
          <w:bCs/>
          <w:color w:val="auto"/>
          <w:sz w:val="18"/>
          <w:szCs w:val="18"/>
          <w:highlight w:val="none"/>
        </w:rPr>
      </w:pPr>
    </w:p>
    <w:p>
      <w:pPr>
        <w:snapToGrid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eastAsia="zh-CN"/>
        </w:rPr>
        <w:t>一</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eastAsia="zh-CN"/>
        </w:rPr>
        <w:t>十五</w:t>
      </w:r>
      <w:r>
        <w:rPr>
          <w:rFonts w:hint="eastAsia" w:ascii="仿宋" w:hAnsi="仿宋" w:eastAsia="仿宋" w:cs="仿宋"/>
          <w:b/>
          <w:bCs/>
          <w:color w:val="auto"/>
          <w:sz w:val="36"/>
          <w:szCs w:val="36"/>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4"/>
          <w:szCs w:val="24"/>
          <w:highlight w:val="none"/>
          <w:u w:val="none"/>
          <w:lang w:eastAsia="zh-CN"/>
        </w:rPr>
        <w:t>杭州市城市水设施和河道保护管理中心水处理絮凝药剂采购</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2</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13</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 xml:space="preserve"> 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一、项目基本情况                                            </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项目编号：</w:t>
      </w:r>
      <w:r>
        <w:rPr>
          <w:rFonts w:hint="eastAsia" w:ascii="仿宋" w:hAnsi="仿宋" w:eastAsia="仿宋" w:cs="仿宋"/>
          <w:b/>
          <w:color w:val="auto"/>
          <w:sz w:val="21"/>
          <w:szCs w:val="21"/>
          <w:highlight w:val="none"/>
          <w:lang w:val="en-US" w:eastAsia="zh-CN"/>
        </w:rPr>
        <w:t>ZJYX-2025-0020</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项目名称：</w:t>
      </w:r>
      <w:r>
        <w:rPr>
          <w:rFonts w:hint="eastAsia" w:ascii="仿宋" w:hAnsi="仿宋" w:eastAsia="仿宋" w:cs="仿宋"/>
          <w:b/>
          <w:color w:val="auto"/>
          <w:sz w:val="21"/>
          <w:szCs w:val="21"/>
          <w:highlight w:val="none"/>
          <w:lang w:eastAsia="zh-CN"/>
        </w:rPr>
        <w:t>杭州市城市水设施和河道保护管理中心水处理絮凝药剂采购</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rPr>
        <w:t>预算金额（元）：</w:t>
      </w:r>
      <w:r>
        <w:rPr>
          <w:rFonts w:hint="eastAsia" w:ascii="仿宋" w:hAnsi="仿宋" w:eastAsia="仿宋" w:cs="仿宋"/>
          <w:b/>
          <w:color w:val="auto"/>
          <w:szCs w:val="21"/>
          <w:highlight w:val="none"/>
          <w:lang w:val="en-US" w:eastAsia="zh-CN"/>
        </w:rPr>
        <w:t>2700000元（三年），每年900000元</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rPr>
        <w:t>最高限价（元）：</w:t>
      </w:r>
      <w:r>
        <w:rPr>
          <w:rFonts w:hint="eastAsia" w:ascii="仿宋" w:hAnsi="仿宋" w:eastAsia="仿宋" w:cs="仿宋"/>
          <w:b/>
          <w:color w:val="auto"/>
          <w:szCs w:val="21"/>
          <w:highlight w:val="none"/>
          <w:lang w:val="en-US" w:eastAsia="zh-CN"/>
        </w:rPr>
        <w:t>2700000元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581"/>
        <w:gridCol w:w="1388"/>
        <w:gridCol w:w="1100"/>
        <w:gridCol w:w="3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8" w:type="dxa"/>
            <w:vAlign w:val="center"/>
          </w:tcPr>
          <w:p>
            <w:pPr>
              <w:spacing w:line="300" w:lineRule="auto"/>
              <w:jc w:val="center"/>
              <w:rPr>
                <w:rFonts w:hint="eastAsia" w:ascii="仿宋" w:hAnsi="仿宋" w:eastAsia="仿宋" w:cs="仿宋"/>
                <w:b/>
                <w:bCs/>
                <w:color w:val="auto"/>
                <w:sz w:val="21"/>
                <w:szCs w:val="21"/>
                <w:highlight w:val="none"/>
              </w:rPr>
            </w:pPr>
          </w:p>
          <w:p>
            <w:pPr>
              <w:spacing w:line="30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采购需求：</w:t>
            </w:r>
          </w:p>
          <w:p>
            <w:pPr>
              <w:spacing w:line="300" w:lineRule="auto"/>
              <w:jc w:val="both"/>
              <w:rPr>
                <w:rFonts w:hint="eastAsia" w:ascii="仿宋" w:hAnsi="仿宋" w:eastAsia="仿宋" w:cs="仿宋"/>
                <w:color w:val="auto"/>
                <w:highlight w:val="none"/>
                <w:vertAlign w:val="baseline"/>
              </w:rPr>
            </w:pPr>
          </w:p>
        </w:tc>
        <w:tc>
          <w:tcPr>
            <w:tcW w:w="1581" w:type="dxa"/>
            <w:vAlign w:val="center"/>
          </w:tcPr>
          <w:p>
            <w:pPr>
              <w:spacing w:line="300" w:lineRule="auto"/>
              <w:jc w:val="center"/>
              <w:rPr>
                <w:rFonts w:hint="eastAsia" w:ascii="仿宋" w:hAnsi="仿宋" w:eastAsia="仿宋" w:cs="仿宋"/>
                <w:color w:val="auto"/>
                <w:highlight w:val="none"/>
                <w:vertAlign w:val="baseline"/>
              </w:rPr>
            </w:pPr>
            <w:r>
              <w:rPr>
                <w:rFonts w:hint="eastAsia" w:ascii="仿宋" w:hAnsi="仿宋" w:eastAsia="仿宋" w:cs="仿宋"/>
                <w:b/>
                <w:bCs/>
                <w:color w:val="auto"/>
                <w:szCs w:val="21"/>
                <w:highlight w:val="none"/>
              </w:rPr>
              <w:t>项目名称</w:t>
            </w:r>
          </w:p>
        </w:tc>
        <w:tc>
          <w:tcPr>
            <w:tcW w:w="1388" w:type="dxa"/>
            <w:vAlign w:val="center"/>
          </w:tcPr>
          <w:p>
            <w:pPr>
              <w:spacing w:line="300" w:lineRule="auto"/>
              <w:jc w:val="center"/>
              <w:rPr>
                <w:rFonts w:hint="eastAsia" w:ascii="仿宋" w:hAnsi="仿宋" w:eastAsia="仿宋" w:cs="仿宋"/>
                <w:color w:val="auto"/>
                <w:highlight w:val="none"/>
                <w:vertAlign w:val="baseline"/>
              </w:rPr>
            </w:pPr>
            <w:r>
              <w:rPr>
                <w:rFonts w:hint="eastAsia" w:ascii="仿宋" w:hAnsi="仿宋" w:eastAsia="仿宋" w:cs="仿宋"/>
                <w:b/>
                <w:bCs/>
                <w:color w:val="auto"/>
                <w:szCs w:val="21"/>
                <w:highlight w:val="none"/>
              </w:rPr>
              <w:t>数量</w:t>
            </w:r>
          </w:p>
        </w:tc>
        <w:tc>
          <w:tcPr>
            <w:tcW w:w="1100" w:type="dxa"/>
            <w:vAlign w:val="center"/>
          </w:tcPr>
          <w:p>
            <w:pPr>
              <w:spacing w:line="300" w:lineRule="auto"/>
              <w:jc w:val="center"/>
              <w:rPr>
                <w:rFonts w:hint="eastAsia" w:ascii="仿宋" w:hAnsi="仿宋" w:eastAsia="仿宋" w:cs="仿宋"/>
                <w:color w:val="auto"/>
                <w:highlight w:val="none"/>
                <w:vertAlign w:val="baseline"/>
              </w:rPr>
            </w:pPr>
            <w:r>
              <w:rPr>
                <w:rFonts w:hint="eastAsia" w:ascii="仿宋" w:hAnsi="仿宋" w:eastAsia="仿宋" w:cs="仿宋"/>
                <w:b/>
                <w:bCs/>
                <w:color w:val="auto"/>
                <w:szCs w:val="21"/>
                <w:highlight w:val="none"/>
              </w:rPr>
              <w:t>单位</w:t>
            </w:r>
          </w:p>
        </w:tc>
        <w:tc>
          <w:tcPr>
            <w:tcW w:w="3979" w:type="dxa"/>
            <w:vAlign w:val="center"/>
          </w:tcPr>
          <w:p>
            <w:pPr>
              <w:spacing w:line="300" w:lineRule="auto"/>
              <w:jc w:val="center"/>
              <w:rPr>
                <w:rFonts w:hint="eastAsia" w:ascii="仿宋" w:hAnsi="仿宋" w:eastAsia="仿宋" w:cs="仿宋"/>
                <w:color w:val="auto"/>
                <w:highlight w:val="none"/>
                <w:vertAlign w:val="baseline"/>
              </w:rPr>
            </w:pPr>
            <w:r>
              <w:rPr>
                <w:rFonts w:hint="eastAsia" w:ascii="仿宋" w:hAnsi="仿宋" w:eastAsia="仿宋" w:cs="仿宋"/>
                <w:b/>
                <w:bCs/>
                <w:color w:val="auto"/>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pPr>
              <w:spacing w:line="300" w:lineRule="auto"/>
              <w:jc w:val="center"/>
              <w:rPr>
                <w:rFonts w:hint="eastAsia" w:ascii="仿宋" w:hAnsi="仿宋" w:eastAsia="仿宋" w:cs="仿宋"/>
                <w:color w:val="auto"/>
                <w:highlight w:val="none"/>
                <w:vertAlign w:val="baseline"/>
              </w:rPr>
            </w:pPr>
            <w:r>
              <w:rPr>
                <w:rFonts w:hint="eastAsia" w:ascii="仿宋" w:hAnsi="仿宋" w:eastAsia="仿宋" w:cs="仿宋"/>
                <w:color w:val="auto"/>
                <w:szCs w:val="21"/>
                <w:highlight w:val="none"/>
                <w:lang w:bidi="ar"/>
              </w:rPr>
              <w:t>1</w:t>
            </w:r>
          </w:p>
        </w:tc>
        <w:tc>
          <w:tcPr>
            <w:tcW w:w="1581" w:type="dxa"/>
            <w:vAlign w:val="center"/>
          </w:tcPr>
          <w:p>
            <w:pPr>
              <w:spacing w:line="300" w:lineRule="auto"/>
              <w:jc w:val="both"/>
              <w:rPr>
                <w:rFonts w:hint="eastAsia" w:ascii="仿宋" w:hAnsi="仿宋" w:eastAsia="仿宋" w:cs="仿宋"/>
                <w:color w:val="auto"/>
                <w:highlight w:val="none"/>
                <w:vertAlign w:val="baseline"/>
              </w:rPr>
            </w:pPr>
            <w:r>
              <w:rPr>
                <w:rFonts w:hint="eastAsia" w:ascii="仿宋" w:hAnsi="仿宋" w:eastAsia="仿宋" w:cs="仿宋"/>
                <w:bCs/>
                <w:color w:val="auto"/>
                <w:szCs w:val="21"/>
                <w:highlight w:val="none"/>
                <w:u w:val="none"/>
                <w:vertAlign w:val="baseline"/>
                <w:lang w:eastAsia="zh-CN"/>
              </w:rPr>
              <w:t>杭州市城市水设施和河道保护管理中心水处理絮凝药剂采购项目</w:t>
            </w:r>
          </w:p>
        </w:tc>
        <w:tc>
          <w:tcPr>
            <w:tcW w:w="1388" w:type="dxa"/>
            <w:vAlign w:val="center"/>
          </w:tcPr>
          <w:p>
            <w:pPr>
              <w:spacing w:line="300" w:lineRule="auto"/>
              <w:jc w:val="center"/>
              <w:rPr>
                <w:rFonts w:hint="eastAsia" w:ascii="仿宋" w:hAnsi="仿宋" w:eastAsia="仿宋" w:cs="仿宋"/>
                <w:color w:val="auto"/>
                <w:highlight w:val="none"/>
                <w:vertAlign w:val="baseline"/>
              </w:rPr>
            </w:pPr>
            <w:r>
              <w:rPr>
                <w:rFonts w:hint="eastAsia" w:ascii="仿宋" w:hAnsi="仿宋" w:eastAsia="仿宋" w:cs="仿宋"/>
                <w:bCs/>
                <w:color w:val="auto"/>
                <w:szCs w:val="21"/>
                <w:highlight w:val="none"/>
                <w:lang w:val="en-US" w:eastAsia="zh-CN"/>
              </w:rPr>
              <w:t>1</w:t>
            </w:r>
          </w:p>
        </w:tc>
        <w:tc>
          <w:tcPr>
            <w:tcW w:w="1100" w:type="dxa"/>
            <w:vAlign w:val="center"/>
          </w:tcPr>
          <w:p>
            <w:pPr>
              <w:spacing w:line="300" w:lineRule="auto"/>
              <w:jc w:val="center"/>
              <w:rPr>
                <w:rFonts w:hint="eastAsia" w:ascii="仿宋" w:hAnsi="仿宋" w:eastAsia="仿宋" w:cs="仿宋"/>
                <w:color w:val="auto"/>
                <w:highlight w:val="none"/>
                <w:vertAlign w:val="baseline"/>
              </w:rPr>
            </w:pPr>
            <w:r>
              <w:rPr>
                <w:rFonts w:hint="eastAsia" w:ascii="仿宋" w:hAnsi="仿宋" w:eastAsia="仿宋" w:cs="仿宋"/>
                <w:bCs/>
                <w:color w:val="auto"/>
                <w:szCs w:val="21"/>
                <w:highlight w:val="none"/>
                <w:lang w:val="en-US" w:eastAsia="zh-CN"/>
              </w:rPr>
              <w:t>项</w:t>
            </w:r>
          </w:p>
        </w:tc>
        <w:tc>
          <w:tcPr>
            <w:tcW w:w="3979" w:type="dxa"/>
            <w:vAlign w:val="center"/>
          </w:tcPr>
          <w:p>
            <w:pPr>
              <w:spacing w:line="300" w:lineRule="auto"/>
              <w:jc w:val="both"/>
              <w:rPr>
                <w:rFonts w:hint="eastAsia" w:ascii="仿宋" w:hAnsi="仿宋" w:eastAsia="仿宋" w:cs="仿宋"/>
                <w:color w:val="auto"/>
                <w:highlight w:val="none"/>
                <w:vertAlign w:val="baseline"/>
              </w:rPr>
            </w:pPr>
            <w:r>
              <w:rPr>
                <w:rFonts w:hint="eastAsia" w:ascii="仿宋" w:hAnsi="仿宋" w:eastAsia="仿宋" w:cs="仿宋"/>
                <w:bCs/>
                <w:color w:val="auto"/>
                <w:szCs w:val="21"/>
                <w:highlight w:val="none"/>
                <w:lang w:val="en-US" w:eastAsia="zh-CN"/>
              </w:rPr>
              <w:t>本项目主要采购</w:t>
            </w:r>
            <w:r>
              <w:rPr>
                <w:rFonts w:hint="eastAsia" w:ascii="仿宋" w:hAnsi="仿宋" w:eastAsia="仿宋" w:cs="仿宋"/>
                <w:bCs/>
                <w:color w:val="auto"/>
                <w:spacing w:val="0"/>
                <w:sz w:val="21"/>
                <w:szCs w:val="21"/>
                <w:highlight w:val="none"/>
                <w:u w:val="none"/>
                <w:lang w:eastAsia="zh-CN"/>
              </w:rPr>
              <w:t>杭州市城市水设施和河道保护管理中心水处理絮凝药剂</w:t>
            </w:r>
            <w:r>
              <w:rPr>
                <w:rFonts w:hint="eastAsia" w:ascii="仿宋" w:hAnsi="仿宋" w:eastAsia="仿宋" w:cs="仿宋"/>
                <w:bCs/>
                <w:color w:val="auto"/>
                <w:szCs w:val="21"/>
                <w:highlight w:val="none"/>
                <w:lang w:val="en-US" w:eastAsia="zh-CN"/>
              </w:rPr>
              <w:t>（三年暂估量）。具体以招标文件第三部分采购需求为准，供应商可点击本公告下方“浏览采购文件”查看采购需求。</w:t>
            </w:r>
          </w:p>
        </w:tc>
      </w:tr>
    </w:tbl>
    <w:p>
      <w:pPr>
        <w:keepNext w:val="0"/>
        <w:keepLines w:val="0"/>
        <w:pageBreakBefore w:val="0"/>
        <w:kinsoku/>
        <w:wordWrap/>
        <w:overflowPunct/>
        <w:topLinePunct w:val="0"/>
        <w:autoSpaceDE/>
        <w:autoSpaceDN/>
        <w:bidi w:val="0"/>
        <w:adjustRightInd w:val="0"/>
        <w:spacing w:line="360" w:lineRule="auto"/>
        <w:ind w:firstLine="422" w:firstLineChars="200"/>
        <w:textAlignment w:val="auto"/>
        <w:rPr>
          <w:rFonts w:hint="eastAsia" w:ascii="仿宋" w:hAnsi="仿宋" w:eastAsia="仿宋" w:cs="仿宋"/>
          <w:bCs/>
          <w:snapToGrid/>
          <w:color w:val="auto"/>
          <w:kern w:val="2"/>
          <w:sz w:val="21"/>
          <w:szCs w:val="21"/>
          <w:highlight w:val="none"/>
        </w:rPr>
      </w:pPr>
      <w:r>
        <w:rPr>
          <w:rFonts w:hint="eastAsia" w:ascii="仿宋" w:hAnsi="仿宋" w:eastAsia="仿宋" w:cs="仿宋"/>
          <w:b/>
          <w:bCs/>
          <w:color w:val="auto"/>
          <w:szCs w:val="21"/>
          <w:highlight w:val="none"/>
        </w:rPr>
        <w:t>合同履行期限：</w:t>
      </w:r>
      <w:r>
        <w:rPr>
          <w:rFonts w:hint="eastAsia" w:ascii="仿宋" w:hAnsi="仿宋" w:eastAsia="仿宋" w:cs="仿宋"/>
          <w:b/>
          <w:bCs/>
          <w:color w:val="auto"/>
          <w:szCs w:val="21"/>
          <w:highlight w:val="none"/>
          <w:lang w:eastAsia="zh-CN"/>
        </w:rPr>
        <w:t>供货期</w:t>
      </w:r>
      <w:r>
        <w:rPr>
          <w:rFonts w:hint="eastAsia" w:ascii="仿宋" w:hAnsi="仿宋" w:eastAsia="仿宋" w:cs="仿宋"/>
          <w:b/>
          <w:bCs/>
          <w:color w:val="auto"/>
          <w:szCs w:val="21"/>
          <w:highlight w:val="none"/>
          <w:lang w:val="en-US" w:eastAsia="zh-CN"/>
        </w:rPr>
        <w:t>3年，合同为一年一签（年履约验收通过的则续签次年供货合同）。</w:t>
      </w:r>
    </w:p>
    <w:p>
      <w:pPr>
        <w:pStyle w:val="6"/>
        <w:keepNext w:val="0"/>
        <w:keepLines w:val="0"/>
        <w:pageBreakBefore w:val="0"/>
        <w:kinsoku/>
        <w:wordWrap/>
        <w:overflowPunct/>
        <w:topLinePunct w:val="0"/>
        <w:autoSpaceDE/>
        <w:autoSpaceDN/>
        <w:bidi w:val="0"/>
        <w:adjustRightInd w:val="0"/>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本项目接受联合体投标：</w:t>
      </w:r>
      <w:sdt>
        <w:sdtPr>
          <w:rPr>
            <w:rFonts w:hint="eastAsia" w:ascii="仿宋" w:hAnsi="仿宋" w:eastAsia="仿宋" w:cs="仿宋"/>
            <w:color w:val="auto"/>
            <w:kern w:val="0"/>
            <w:sz w:val="21"/>
            <w:szCs w:val="21"/>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snapToGrid w:val="0"/>
              <w:color w:val="auto"/>
              <w:kern w:val="0"/>
              <w:sz w:val="21"/>
              <w:szCs w:val="21"/>
              <w:highlight w:val="none"/>
              <w:lang w:val="en-US" w:eastAsia="zh-CN" w:bidi="ar-SA"/>
            </w:rPr>
            <w:t>þ</w:t>
          </w:r>
        </w:sdtContent>
      </w:sdt>
      <w:r>
        <w:rPr>
          <w:rFonts w:hint="eastAsia" w:ascii="仿宋" w:hAnsi="仿宋" w:eastAsia="仿宋" w:cs="仿宋"/>
          <w:b/>
          <w:color w:val="auto"/>
          <w:sz w:val="21"/>
          <w:szCs w:val="21"/>
          <w:highlight w:val="none"/>
        </w:rPr>
        <w:t>是</w:t>
      </w:r>
      <w:r>
        <w:rPr>
          <w:rFonts w:hint="eastAsia" w:ascii="仿宋" w:hAnsi="仿宋" w:eastAsia="仿宋" w:cs="仿宋"/>
          <w:b/>
          <w:snapToGrid/>
          <w:color w:val="auto"/>
          <w:kern w:val="2"/>
          <w:sz w:val="21"/>
          <w:szCs w:val="21"/>
          <w:highlight w:val="none"/>
        </w:rPr>
        <w:t>；</w:t>
      </w:r>
      <w:sdt>
        <w:sdtPr>
          <w:rPr>
            <w:rFonts w:hint="eastAsia" w:ascii="仿宋" w:hAnsi="仿宋" w:eastAsia="仿宋" w:cs="仿宋"/>
            <w:color w:val="auto"/>
            <w:kern w:val="0"/>
            <w:sz w:val="21"/>
            <w:szCs w:val="21"/>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snapToGrid w:val="0"/>
              <w:color w:val="auto"/>
              <w:kern w:val="0"/>
              <w:sz w:val="21"/>
              <w:szCs w:val="21"/>
              <w:highlight w:val="none"/>
              <w:lang w:val="en-US" w:eastAsia="zh-CN" w:bidi="ar-SA"/>
            </w:rPr>
            <w:t>☐</w:t>
          </w:r>
        </w:sdtContent>
      </w:sdt>
      <w:r>
        <w:rPr>
          <w:rFonts w:hint="eastAsia" w:ascii="仿宋" w:hAnsi="仿宋" w:eastAsia="仿宋" w:cs="仿宋"/>
          <w:b/>
          <w:color w:val="auto"/>
          <w:sz w:val="21"/>
          <w:szCs w:val="21"/>
          <w:highlight w:val="none"/>
        </w:rPr>
        <w:t>否</w:t>
      </w:r>
      <w:r>
        <w:rPr>
          <w:rFonts w:hint="eastAsia" w:ascii="仿宋" w:hAnsi="仿宋" w:eastAsia="仿宋" w:cs="仿宋"/>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w:t>
      </w:r>
      <w:bookmarkStart w:id="11" w:name="_Hlk101132948"/>
      <w:r>
        <w:rPr>
          <w:rFonts w:hint="eastAsia" w:ascii="仿宋" w:hAnsi="仿宋" w:eastAsia="仿宋" w:cs="仿宋"/>
          <w:b/>
          <w:color w:val="auto"/>
          <w:sz w:val="21"/>
          <w:szCs w:val="21"/>
          <w:highlight w:val="none"/>
        </w:rPr>
        <w:t>申请人的资格要求</w:t>
      </w:r>
      <w:bookmarkEnd w:id="11"/>
      <w:r>
        <w:rPr>
          <w:rFonts w:hint="eastAsia" w:ascii="仿宋" w:hAnsi="仿宋" w:eastAsia="仿宋" w:cs="仿宋"/>
          <w:b/>
          <w:color w:val="auto"/>
          <w:sz w:val="21"/>
          <w:szCs w:val="21"/>
          <w:highlight w:val="none"/>
        </w:rPr>
        <w:t>：</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2.</w:t>
      </w:r>
      <w:r>
        <w:rPr>
          <w:rFonts w:hint="eastAsia" w:ascii="仿宋" w:hAnsi="仿宋" w:eastAsia="仿宋" w:cs="仿宋"/>
          <w:color w:val="auto"/>
          <w:sz w:val="21"/>
          <w:szCs w:val="21"/>
          <w:highlight w:val="none"/>
        </w:rPr>
        <w:t xml:space="preserve"> </w:t>
      </w:r>
      <w:r>
        <w:rPr>
          <w:rFonts w:hint="eastAsia" w:ascii="仿宋" w:hAnsi="仿宋" w:eastAsia="仿宋" w:cs="仿宋"/>
          <w:snapToGrid w:val="0"/>
          <w:color w:val="auto"/>
          <w:kern w:val="28"/>
          <w:sz w:val="21"/>
          <w:szCs w:val="21"/>
          <w:highlight w:val="none"/>
        </w:rPr>
        <w:t>以联合体形式投标的，</w:t>
      </w:r>
      <w:r>
        <w:rPr>
          <w:rFonts w:hint="eastAsia" w:ascii="仿宋" w:hAnsi="仿宋" w:eastAsia="仿宋" w:cs="仿宋"/>
          <w:snapToGrid w:val="0"/>
          <w:color w:val="auto"/>
          <w:kern w:val="28"/>
          <w:sz w:val="21"/>
          <w:szCs w:val="21"/>
          <w:highlight w:val="none"/>
          <w:lang w:eastAsia="zh-CN"/>
        </w:rPr>
        <w:t>需</w:t>
      </w:r>
      <w:r>
        <w:rPr>
          <w:rFonts w:hint="eastAsia" w:ascii="仿宋" w:hAnsi="仿宋" w:eastAsia="仿宋" w:cs="仿宋"/>
          <w:snapToGrid w:val="0"/>
          <w:color w:val="auto"/>
          <w:kern w:val="28"/>
          <w:sz w:val="21"/>
          <w:szCs w:val="21"/>
          <w:highlight w:val="none"/>
        </w:rPr>
        <w:t>提供联合协议</w:t>
      </w:r>
      <w:r>
        <w:rPr>
          <w:rFonts w:hint="eastAsia" w:ascii="仿宋" w:hAnsi="仿宋" w:eastAsia="仿宋" w:cs="仿宋"/>
          <w:snapToGrid w:val="0"/>
          <w:color w:val="auto"/>
          <w:kern w:val="28"/>
          <w:sz w:val="21"/>
          <w:szCs w:val="21"/>
          <w:highlight w:val="none"/>
          <w:lang w:eastAsia="zh-CN"/>
        </w:rPr>
        <w:t>书，联合体成员不超过</w:t>
      </w:r>
      <w:r>
        <w:rPr>
          <w:rFonts w:hint="eastAsia" w:ascii="仿宋" w:hAnsi="仿宋" w:eastAsia="仿宋" w:cs="仿宋"/>
          <w:snapToGrid w:val="0"/>
          <w:color w:val="auto"/>
          <w:kern w:val="28"/>
          <w:sz w:val="21"/>
          <w:szCs w:val="21"/>
          <w:highlight w:val="none"/>
          <w:lang w:val="en-US" w:eastAsia="zh-CN"/>
        </w:rPr>
        <w:t>2家</w:t>
      </w:r>
      <w:r>
        <w:rPr>
          <w:rFonts w:hint="eastAsia" w:ascii="仿宋" w:hAnsi="仿宋" w:eastAsia="仿宋" w:cs="仿宋"/>
          <w:snapToGrid w:val="0"/>
          <w:color w:val="auto"/>
          <w:kern w:val="28"/>
          <w:sz w:val="21"/>
          <w:szCs w:val="21"/>
          <w:highlight w:val="none"/>
        </w:rPr>
        <w:t xml:space="preserve"> ；</w:t>
      </w:r>
    </w:p>
    <w:p>
      <w:pPr>
        <w:keepNext w:val="0"/>
        <w:keepLines w:val="0"/>
        <w:pageBreakBefore w:val="0"/>
        <w:widowControl w:val="0"/>
        <w:kinsoku/>
        <w:wordWrap w:val="0"/>
        <w:overflowPunct/>
        <w:topLinePunct w:val="0"/>
        <w:autoSpaceDE w:val="0"/>
        <w:autoSpaceDN w:val="0"/>
        <w:bidi w:val="0"/>
        <w:adjustRightIn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3.落实政府采购政策需满足的资格要求：</w:t>
      </w:r>
    </w:p>
    <w:p>
      <w:pPr>
        <w:keepNext w:val="0"/>
        <w:keepLines w:val="0"/>
        <w:pageBreakBefore w:val="0"/>
        <w:widowControl w:val="0"/>
        <w:kinsoku/>
        <w:wordWrap w:val="0"/>
        <w:overflowPunct/>
        <w:topLinePunct w:val="0"/>
        <w:autoSpaceDE w:val="0"/>
        <w:autoSpaceDN w:val="0"/>
        <w:bidi w:val="0"/>
        <w:adjustRightInd/>
        <w:spacing w:line="360"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47451711"/>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无（注：不得限制大中型企业与小微企业组成联合体参与投标）；</w:t>
      </w:r>
    </w:p>
    <w:p>
      <w:pPr>
        <w:keepNext w:val="0"/>
        <w:keepLines w:val="0"/>
        <w:pageBreakBefore w:val="0"/>
        <w:widowControl w:val="0"/>
        <w:kinsoku/>
        <w:wordWrap w:val="0"/>
        <w:overflowPunct/>
        <w:topLinePunct w:val="0"/>
        <w:autoSpaceDE w:val="0"/>
        <w:autoSpaceDN w:val="0"/>
        <w:bidi w:val="0"/>
        <w:adjustRightInd/>
        <w:spacing w:line="360"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47481620"/>
          <w14:checkbox>
            <w14:checked w14:val="1"/>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Wingdings" w:hAnsi="Wingdings" w:eastAsia="仿宋" w:cs="仿宋"/>
              <w:color w:val="auto"/>
              <w:kern w:val="2"/>
              <w:sz w:val="21"/>
              <w:szCs w:val="21"/>
              <w:highlight w:val="none"/>
              <w:lang w:val="en-US" w:eastAsia="zh-CN" w:bidi="ar-SA"/>
            </w:rPr>
            <w:t>þ</w:t>
          </w:r>
        </w:sdtContent>
      </w:sdt>
      <w:r>
        <w:rPr>
          <w:rFonts w:hint="eastAsia" w:ascii="仿宋" w:hAnsi="仿宋" w:eastAsia="仿宋" w:cs="仿宋"/>
          <w:color w:val="auto"/>
          <w:sz w:val="21"/>
          <w:szCs w:val="21"/>
          <w:highlight w:val="none"/>
        </w:rPr>
        <w:t>专门面向中小企业</w:t>
      </w:r>
    </w:p>
    <w:p>
      <w:pPr>
        <w:keepNext w:val="0"/>
        <w:keepLines w:val="0"/>
        <w:pageBreakBefore w:val="0"/>
        <w:widowControl w:val="0"/>
        <w:kinsoku/>
        <w:wordWrap w:val="0"/>
        <w:overflowPunct/>
        <w:topLinePunct w:val="0"/>
        <w:autoSpaceDE w:val="0"/>
        <w:autoSpaceDN w:val="0"/>
        <w:bidi w:val="0"/>
        <w:adjustRightInd/>
        <w:spacing w:line="360"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47462160"/>
          <w14:checkbox>
            <w14:checked w14:val="1"/>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Wingdings" w:hAnsi="Wingdings" w:eastAsia="仿宋" w:cs="仿宋"/>
              <w:color w:val="auto"/>
              <w:kern w:val="2"/>
              <w:sz w:val="21"/>
              <w:szCs w:val="21"/>
              <w:highlight w:val="none"/>
              <w:lang w:val="en-US" w:eastAsia="zh-CN" w:bidi="ar-SA"/>
            </w:rPr>
            <w:t>þ</w:t>
          </w:r>
        </w:sdtContent>
      </w:sdt>
      <w:r>
        <w:rPr>
          <w:rFonts w:hint="eastAsia" w:ascii="仿宋" w:hAnsi="仿宋" w:eastAsia="仿宋" w:cs="仿宋"/>
          <w:color w:val="auto"/>
          <w:sz w:val="21"/>
          <w:szCs w:val="21"/>
          <w:highlight w:val="none"/>
        </w:rPr>
        <w:t>货物全部由符合政策要求的中小企业制造，提供中小企业声明函；</w:t>
      </w:r>
    </w:p>
    <w:p>
      <w:pPr>
        <w:keepNext w:val="0"/>
        <w:keepLines w:val="0"/>
        <w:pageBreakBefore w:val="0"/>
        <w:widowControl w:val="0"/>
        <w:kinsoku/>
        <w:wordWrap w:val="0"/>
        <w:overflowPunct/>
        <w:topLinePunct w:val="0"/>
        <w:autoSpaceDE w:val="0"/>
        <w:autoSpaceDN w:val="0"/>
        <w:bidi w:val="0"/>
        <w:adjustRightInd/>
        <w:spacing w:line="360"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47470137"/>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货物全部由符合政策要求的小微企业制造，提供中小企业声明函；</w:t>
      </w:r>
    </w:p>
    <w:p>
      <w:pPr>
        <w:keepNext w:val="0"/>
        <w:keepLines w:val="0"/>
        <w:pageBreakBefore w:val="0"/>
        <w:widowControl w:val="0"/>
        <w:kinsoku/>
        <w:wordWrap w:val="0"/>
        <w:overflowPunct/>
        <w:topLinePunct w:val="0"/>
        <w:autoSpaceDE w:val="0"/>
        <w:autoSpaceDN w:val="0"/>
        <w:bidi w:val="0"/>
        <w:adjustRightInd/>
        <w:spacing w:line="360"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47460277"/>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bookmarkStart w:id="12" w:name="_Hlk101132524"/>
          <w:r>
            <w:rPr>
              <w:rFonts w:hint="eastAsia" w:ascii="MS Gothic" w:hAnsi="MS Gothic" w:eastAsia="仿宋" w:cs="仿宋"/>
              <w:color w:val="auto"/>
              <w:kern w:val="2"/>
              <w:sz w:val="21"/>
              <w:szCs w:val="21"/>
              <w:highlight w:val="none"/>
              <w:lang w:val="en-US" w:eastAsia="zh-CN" w:bidi="ar-SA"/>
            </w:rPr>
            <w:t>☐</w:t>
          </w:r>
        </w:sdtContent>
      </w:sdt>
      <w:r>
        <w:rPr>
          <w:rFonts w:hint="eastAsia" w:ascii="仿宋" w:hAnsi="仿宋" w:eastAsia="仿宋" w:cs="仿宋"/>
          <w:color w:val="auto"/>
          <w:sz w:val="21"/>
          <w:szCs w:val="21"/>
          <w:highlight w:val="none"/>
        </w:rPr>
        <w:t>要求以联合体形式参加，提供联合协议和中小企业声明函，联合协议中中小企业合同金额应当达到  %，其中小微企业合同金额应当达到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p>
    <w:bookmarkEnd w:id="12"/>
    <w:p>
      <w:pPr>
        <w:keepNext w:val="0"/>
        <w:keepLines w:val="0"/>
        <w:pageBreakBefore w:val="0"/>
        <w:widowControl w:val="0"/>
        <w:kinsoku/>
        <w:wordWrap w:val="0"/>
        <w:overflowPunct/>
        <w:topLinePunct w:val="0"/>
        <w:autoSpaceDE w:val="0"/>
        <w:autoSpaceDN w:val="0"/>
        <w:bidi w:val="0"/>
        <w:adjustRightInd/>
        <w:spacing w:line="360"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47482220"/>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xml:space="preserve">要求合同分包，提供分包意向协议和中小企业声明函，分包意向协议中中小企业合同金额应当达到达到  % ，其中小微企业合同金额应当达到 %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如果供应商本身提供所有标的均由中小企业制造、承建或承接，并相应达到了前述比例要求，视同符合了资格条件，无需再向中小企业分包，无需提供分包意向协议；</w:t>
      </w:r>
    </w:p>
    <w:p>
      <w:pPr>
        <w:keepNext w:val="0"/>
        <w:keepLines w:val="0"/>
        <w:pageBreakBefore w:val="0"/>
        <w:widowControl w:val="0"/>
        <w:kinsoku/>
        <w:wordWrap w:val="0"/>
        <w:overflowPunct/>
        <w:topLinePunct w:val="0"/>
        <w:autoSpaceDE w:val="0"/>
        <w:autoSpaceDN w:val="0"/>
        <w:bidi w:val="0"/>
        <w:snapToGrid w:val="0"/>
        <w:spacing w:line="360" w:lineRule="auto"/>
        <w:ind w:firstLine="42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本项目的特定资格要求：</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1"/>
          <w:szCs w:val="21"/>
          <w:highlight w:val="none"/>
          <w:lang w:val="en-US" w:eastAsia="zh-CN"/>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2"/>
              <w:sz w:val="21"/>
              <w:szCs w:val="21"/>
              <w:highlight w:val="none"/>
              <w:lang w:val="en-US" w:eastAsia="zh-CN" w:bidi="ar-SA"/>
            </w:rPr>
            <w:t>þ</w:t>
          </w:r>
        </w:sdtContent>
      </w:sdt>
      <w:r>
        <w:rPr>
          <w:rFonts w:hint="eastAsia" w:ascii="仿宋" w:hAnsi="仿宋" w:eastAsia="仿宋" w:cs="仿宋"/>
          <w:color w:val="auto"/>
          <w:kern w:val="2"/>
          <w:sz w:val="21"/>
          <w:szCs w:val="21"/>
          <w:highlight w:val="none"/>
          <w:lang w:val="en-US" w:eastAsia="zh-CN"/>
        </w:rPr>
        <w:t>无。</w:t>
      </w:r>
    </w:p>
    <w:p>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color w:val="auto"/>
          <w:sz w:val="21"/>
          <w:szCs w:val="21"/>
          <w:highlight w:val="none"/>
          <w:u w:val="single"/>
        </w:rPr>
      </w:pPr>
      <w:sdt>
        <w:sdtPr>
          <w:rPr>
            <w:rFonts w:hint="eastAsia" w:ascii="仿宋" w:hAnsi="仿宋" w:eastAsia="仿宋" w:cs="仿宋"/>
            <w:color w:val="auto"/>
            <w:kern w:val="2"/>
            <w:sz w:val="21"/>
            <w:szCs w:val="21"/>
            <w:highlight w:val="none"/>
          </w:rPr>
          <w:id w:val="-1607112291"/>
          <w14:checkbox>
            <w14:checked w14:val="0"/>
            <w14:checkedState w14:val="00FE" w14:font="Wingdings"/>
            <w14:uncheckedState w14:val="2610" w14:font="MS Gothic"/>
          </w14:checkbox>
        </w:sdtPr>
        <w:sdtEndPr>
          <w:rPr>
            <w:rFonts w:hint="eastAsia" w:ascii="仿宋" w:hAnsi="仿宋" w:eastAsia="仿宋" w:cs="仿宋"/>
            <w:color w:val="auto"/>
            <w:kern w:val="2"/>
            <w:sz w:val="21"/>
            <w:szCs w:val="21"/>
            <w:highlight w:val="none"/>
          </w:rPr>
        </w:sdtEndPr>
        <w:sdtContent>
          <w:r>
            <w:rPr>
              <w:rFonts w:hint="eastAsia" w:ascii="仿宋" w:hAnsi="仿宋" w:eastAsia="仿宋" w:cs="仿宋"/>
              <w:color w:val="auto"/>
              <w:kern w:val="2"/>
              <w:sz w:val="21"/>
              <w:szCs w:val="21"/>
              <w:highlight w:val="none"/>
            </w:rPr>
            <w:t>☐</w:t>
          </w:r>
        </w:sdtContent>
      </w:sdt>
      <w:r>
        <w:rPr>
          <w:rFonts w:hint="eastAsia" w:ascii="仿宋" w:hAnsi="仿宋" w:eastAsia="仿宋" w:cs="仿宋"/>
          <w:color w:val="auto"/>
          <w:sz w:val="21"/>
          <w:szCs w:val="21"/>
          <w:highlight w:val="none"/>
        </w:rPr>
        <w:t>有特定资格要求：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rPr>
        <w:t xml:space="preserve"> </w:t>
      </w:r>
      <w:r>
        <w:rPr>
          <w:rFonts w:hint="eastAsia" w:ascii="仿宋" w:hAnsi="仿宋" w:eastAsia="仿宋" w:cs="仿宋"/>
          <w:color w:val="auto"/>
          <w:sz w:val="21"/>
          <w:szCs w:val="21"/>
          <w:highlight w:val="none"/>
        </w:rPr>
        <w:t>，该特定条件的法律法规依据：</w:t>
      </w:r>
      <w:r>
        <w:rPr>
          <w:rFonts w:hint="eastAsia" w:ascii="仿宋" w:hAnsi="仿宋" w:eastAsia="仿宋" w:cs="仿宋"/>
          <w:color w:val="auto"/>
          <w:sz w:val="21"/>
          <w:szCs w:val="21"/>
          <w:highlight w:val="none"/>
          <w:u w:val="single"/>
          <w:lang w:val="en-US" w:eastAsia="zh-CN"/>
        </w:rPr>
        <w:t xml:space="preserve">            。</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三、获取招标文件 </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13</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，每天上午00:00至12:00 ，下午12:00至23:59（北京时间，线上获取法定节假日均可，线下获取文件法定节假日除外）</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rPr>
        <w:t xml:space="preserve">政采云平台（https://www.zcygov.cn/） </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售价（元）：</w:t>
      </w:r>
      <w:r>
        <w:rPr>
          <w:rFonts w:hint="eastAsia" w:ascii="仿宋" w:hAnsi="仿宋" w:eastAsia="仿宋" w:cs="仿宋"/>
          <w:color w:val="auto"/>
          <w:sz w:val="21"/>
          <w:szCs w:val="21"/>
          <w:highlight w:val="none"/>
        </w:rPr>
        <w:t xml:space="preserve">0 </w:t>
      </w:r>
      <w:r>
        <w:rPr>
          <w:rFonts w:hint="eastAsia" w:ascii="仿宋" w:hAnsi="仿宋" w:eastAsia="仿宋" w:cs="仿宋"/>
          <w:color w:val="auto"/>
          <w:sz w:val="21"/>
          <w:szCs w:val="21"/>
          <w:highlight w:val="none"/>
        </w:rPr>
        <w:tab/>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四、提交投标文件截止时间、开标时间和地点</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提交投标文件截止时间：</w:t>
      </w:r>
      <w:r>
        <w:rPr>
          <w:rFonts w:hint="eastAsia" w:ascii="仿宋" w:hAnsi="仿宋" w:eastAsia="仿宋" w:cs="仿宋"/>
          <w:color w:val="auto"/>
          <w:sz w:val="21"/>
          <w:szCs w:val="21"/>
          <w:highlight w:val="none"/>
          <w:u w:val="single"/>
        </w:rPr>
        <w:t xml:space="preserve"> 202</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13</w:t>
      </w:r>
      <w:r>
        <w:rPr>
          <w:rFonts w:hint="eastAsia" w:ascii="仿宋" w:hAnsi="仿宋" w:eastAsia="仿宋" w:cs="仿宋"/>
          <w:color w:val="auto"/>
          <w:sz w:val="21"/>
          <w:szCs w:val="21"/>
          <w:highlight w:val="none"/>
          <w:u w:val="single"/>
        </w:rPr>
        <w:t xml:space="preserve">日 </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30</w:t>
      </w:r>
      <w:bookmarkStart w:id="560" w:name="_GoBack"/>
      <w:bookmarkEnd w:id="560"/>
      <w:r>
        <w:rPr>
          <w:rFonts w:hint="eastAsia" w:ascii="仿宋" w:hAnsi="仿宋" w:eastAsia="仿宋" w:cs="仿宋"/>
          <w:color w:val="auto"/>
          <w:sz w:val="21"/>
          <w:szCs w:val="21"/>
          <w:highlight w:val="none"/>
          <w:u w:val="single"/>
        </w:rPr>
        <w:t>分00秒</w:t>
      </w:r>
      <w:r>
        <w:rPr>
          <w:rFonts w:hint="eastAsia" w:ascii="仿宋" w:hAnsi="仿宋" w:eastAsia="仿宋" w:cs="仿宋"/>
          <w:color w:val="auto"/>
          <w:sz w:val="21"/>
          <w:szCs w:val="21"/>
          <w:highlight w:val="none"/>
        </w:rPr>
        <w:t>（北京时间）</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投标地点（网址）：</w:t>
      </w:r>
      <w:r>
        <w:rPr>
          <w:rFonts w:hint="eastAsia" w:ascii="仿宋" w:hAnsi="仿宋" w:eastAsia="仿宋" w:cs="仿宋"/>
          <w:color w:val="auto"/>
          <w:sz w:val="21"/>
          <w:szCs w:val="21"/>
          <w:highlight w:val="none"/>
        </w:rPr>
        <w:t xml:space="preserve">政采云平台（https://www.zcygov.cn/） </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b/>
          <w:color w:val="auto"/>
          <w:sz w:val="21"/>
          <w:szCs w:val="21"/>
          <w:highlight w:val="none"/>
        </w:rPr>
        <w:t>开标时间：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13</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分00秒</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开标地点（网址）：</w:t>
      </w:r>
      <w:r>
        <w:rPr>
          <w:rFonts w:hint="eastAsia" w:ascii="仿宋" w:hAnsi="仿宋" w:eastAsia="仿宋" w:cs="仿宋"/>
          <w:color w:val="auto"/>
          <w:sz w:val="21"/>
          <w:szCs w:val="21"/>
          <w:highlight w:val="none"/>
        </w:rPr>
        <w:t>政采云平台（https://www.zcygov.cn/）</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五、公告期限 </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六、其他补充事宜</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七、对本次采购提出询问、质疑、投诉，请按以下方式联系</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kern w:val="2"/>
          <w:szCs w:val="21"/>
          <w:highlight w:val="none"/>
          <w:lang w:eastAsia="zh-CN"/>
        </w:rPr>
        <w:t>杭州市城市水设施和河道保护管理中心</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kern w:val="2"/>
          <w:szCs w:val="21"/>
          <w:highlight w:val="none"/>
          <w:lang w:val="en-US" w:eastAsia="zh-CN"/>
        </w:rPr>
        <w:t>杭州市</w:t>
      </w:r>
      <w:r>
        <w:rPr>
          <w:rFonts w:hint="eastAsia" w:ascii="仿宋" w:hAnsi="仿宋" w:eastAsia="仿宋" w:cs="仿宋"/>
          <w:color w:val="auto"/>
          <w:kern w:val="2"/>
          <w:szCs w:val="21"/>
          <w:highlight w:val="none"/>
          <w:lang w:eastAsia="zh-CN"/>
        </w:rPr>
        <w:t>拱墅区体育场路</w:t>
      </w:r>
      <w:r>
        <w:rPr>
          <w:rFonts w:hint="eastAsia" w:ascii="仿宋" w:hAnsi="仿宋" w:eastAsia="仿宋" w:cs="仿宋"/>
          <w:color w:val="auto"/>
          <w:kern w:val="2"/>
          <w:szCs w:val="21"/>
          <w:highlight w:val="none"/>
          <w:lang w:val="en-US" w:eastAsia="zh-CN"/>
        </w:rPr>
        <w:t>231号</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    真： /</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eastAsia="zh-CN"/>
        </w:rPr>
        <w:t>俞工</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w:t>
      </w:r>
      <w:r>
        <w:rPr>
          <w:rFonts w:hint="eastAsia" w:ascii="仿宋" w:hAnsi="仿宋" w:eastAsia="仿宋" w:cs="仿宋"/>
          <w:b w:val="0"/>
          <w:bCs w:val="0"/>
          <w:color w:val="auto"/>
          <w:szCs w:val="21"/>
          <w:highlight w:val="none"/>
          <w:lang w:val="en-US" w:eastAsia="zh-CN"/>
        </w:rPr>
        <w:t>0571-</w:t>
      </w:r>
      <w:r>
        <w:rPr>
          <w:rFonts w:hint="eastAsia" w:ascii="仿宋" w:hAnsi="仿宋" w:eastAsia="仿宋" w:cs="仿宋"/>
          <w:b w:val="0"/>
          <w:bCs w:val="0"/>
          <w:color w:val="auto"/>
          <w:highlight w:val="none"/>
          <w:lang w:eastAsia="zh-CN"/>
        </w:rPr>
        <w:t>85866260</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eastAsia="zh-CN"/>
        </w:rPr>
        <w:t>吴</w:t>
      </w:r>
      <w:r>
        <w:rPr>
          <w:rFonts w:hint="eastAsia" w:ascii="仿宋" w:hAnsi="仿宋" w:eastAsia="仿宋" w:cs="仿宋"/>
          <w:color w:val="auto"/>
          <w:szCs w:val="21"/>
          <w:highlight w:val="none"/>
          <w:lang w:val="en-US" w:eastAsia="zh-CN"/>
        </w:rPr>
        <w:t>工</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质疑联系方式：0571-85866213</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2.采购代理机构信息            </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称：浙江耀信工程咨询有限公司</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址：杭州市拱墅区古运路15号城发天地1605室</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传    真：/ </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eastAsia="zh-CN"/>
        </w:rPr>
        <w:t>卢工</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项目联系方式（询问）：0571-88372035/13</w:t>
      </w:r>
      <w:r>
        <w:rPr>
          <w:rFonts w:hint="eastAsia" w:ascii="仿宋" w:hAnsi="仿宋" w:eastAsia="仿宋" w:cs="仿宋"/>
          <w:color w:val="auto"/>
          <w:szCs w:val="21"/>
          <w:highlight w:val="none"/>
          <w:lang w:val="en-US" w:eastAsia="zh-CN"/>
        </w:rPr>
        <w:t>958012158</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eastAsia="zh-CN"/>
        </w:rPr>
        <w:t>胡工</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质疑联系方式：0571-883720</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5</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3. 同级政府采购监督管理部门            </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名    称：杭州市财政局政府采购监管处 /浙江省政府采购行政裁决服务中心（杭州）</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lang w:eastAsia="zh-CN"/>
        </w:rPr>
        <w:t>杭州市上城区清泰街549号城建综合大楼11楼</w:t>
      </w:r>
      <w:r>
        <w:rPr>
          <w:rFonts w:hint="eastAsia" w:ascii="仿宋" w:hAnsi="仿宋" w:eastAsia="仿宋" w:cs="仿宋"/>
          <w:color w:val="auto"/>
          <w:sz w:val="21"/>
          <w:szCs w:val="21"/>
          <w:highlight w:val="none"/>
        </w:rPr>
        <w:t>（快递仅限ems或顺丰）</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 /</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联系人 ：朱女士、王女士</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监督投诉电话：0571-8</w:t>
      </w:r>
      <w:r>
        <w:rPr>
          <w:rFonts w:hint="eastAsia" w:ascii="仿宋" w:hAnsi="仿宋" w:eastAsia="仿宋" w:cs="仿宋"/>
          <w:color w:val="auto"/>
          <w:sz w:val="21"/>
          <w:szCs w:val="21"/>
          <w:highlight w:val="none"/>
          <w:lang w:val="en-US" w:eastAsia="zh-CN"/>
        </w:rPr>
        <w:t>7227671,0571-87800218</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CA问题联系电话（人工）：汇信CA 400-888-4636；天谷CA 400-087-8198。</w:t>
      </w:r>
    </w:p>
    <w:p>
      <w:pPr>
        <w:pStyle w:val="33"/>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pPr>
        <w:pStyle w:val="4"/>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55"/>
        <w:gridCol w:w="2080"/>
        <w:gridCol w:w="5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08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593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08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项目属性与核心产品</w:t>
            </w:r>
          </w:p>
        </w:tc>
        <w:tc>
          <w:tcPr>
            <w:tcW w:w="593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货物类，单一产品或</w:t>
            </w:r>
            <w:r>
              <w:rPr>
                <w:rFonts w:hint="eastAsia" w:ascii="仿宋" w:hAnsi="仿宋" w:eastAsia="仿宋" w:cs="仿宋"/>
                <w:color w:val="auto"/>
                <w:kern w:val="0"/>
                <w:sz w:val="21"/>
                <w:szCs w:val="21"/>
                <w:highlight w:val="none"/>
              </w:rPr>
              <w:t>核心产品为：</w:t>
            </w:r>
            <w:r>
              <w:rPr>
                <w:rFonts w:hint="eastAsia" w:ascii="仿宋" w:hAnsi="仿宋" w:eastAsia="仿宋" w:cs="仿宋"/>
                <w:b/>
                <w:bCs/>
                <w:color w:val="auto"/>
                <w:kern w:val="0"/>
                <w:sz w:val="21"/>
                <w:szCs w:val="21"/>
                <w:highlight w:val="none"/>
                <w:u w:val="single"/>
                <w:lang w:val="en-US" w:eastAsia="zh-CN"/>
              </w:rPr>
              <w:t>水处理絮凝药剂</w:t>
            </w:r>
            <w:r>
              <w:rPr>
                <w:rFonts w:hint="eastAsia" w:ascii="仿宋" w:hAnsi="仿宋" w:eastAsia="仿宋" w:cs="仿宋"/>
                <w:b/>
                <w:bCs/>
                <w:color w:val="auto"/>
                <w:szCs w:val="21"/>
                <w:highlight w:val="none"/>
                <w:u w:val="single"/>
              </w:rPr>
              <w:t>（聚氯化铝</w:t>
            </w:r>
            <w:r>
              <w:rPr>
                <w:rFonts w:hint="eastAsia" w:ascii="仿宋" w:hAnsi="仿宋" w:eastAsia="仿宋" w:cs="仿宋"/>
                <w:b/>
                <w:bCs/>
                <w:color w:val="auto"/>
                <w:szCs w:val="21"/>
                <w:highlight w:val="none"/>
                <w:u w:val="single"/>
                <w:lang w:eastAsia="zh-CN"/>
              </w:rPr>
              <w:t>）</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tblHead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08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采购标的及其对应的中小企业划分标准所属行业</w:t>
            </w:r>
          </w:p>
        </w:tc>
        <w:tc>
          <w:tcPr>
            <w:tcW w:w="593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1"/>
              </w:numPr>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标的：</w:t>
            </w:r>
            <w:r>
              <w:rPr>
                <w:rFonts w:hint="eastAsia" w:ascii="仿宋" w:hAnsi="仿宋" w:eastAsia="仿宋" w:cs="仿宋"/>
                <w:color w:val="auto"/>
                <w:kern w:val="0"/>
                <w:sz w:val="21"/>
                <w:szCs w:val="21"/>
                <w:highlight w:val="none"/>
                <w:u w:val="single"/>
                <w:lang w:val="en-US" w:eastAsia="zh-CN"/>
              </w:rPr>
              <w:t>水处理絮凝药剂</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lang w:val="en-US" w:eastAsia="zh-CN"/>
              </w:rPr>
              <w:t xml:space="preserve"> 工业（制造业） </w:t>
            </w:r>
            <w:r>
              <w:rPr>
                <w:rFonts w:hint="eastAsia" w:ascii="仿宋" w:hAnsi="仿宋" w:eastAsia="仿宋" w:cs="仿宋"/>
                <w:color w:val="auto"/>
                <w:kern w:val="0"/>
                <w:sz w:val="21"/>
                <w:szCs w:val="21"/>
                <w:highlight w:val="none"/>
              </w:rPr>
              <w:t>行业；</w:t>
            </w:r>
          </w:p>
          <w:p>
            <w:pPr>
              <w:pStyle w:val="2"/>
              <w:keepNext w:val="0"/>
              <w:keepLines w:val="0"/>
              <w:pageBreakBefore w:val="0"/>
              <w:widowControl w:val="0"/>
              <w:numPr>
                <w:ilvl w:val="-1"/>
                <w:numId w:val="0"/>
              </w:numPr>
              <w:kinsoku/>
              <w:wordWrap w:val="0"/>
              <w:overflowPunct/>
              <w:topLinePunct w:val="0"/>
              <w:autoSpaceDE w:val="0"/>
              <w:autoSpaceDN w:val="0"/>
              <w:bidi w:val="0"/>
              <w:adjustRightInd w:val="0"/>
              <w:spacing w:line="400" w:lineRule="exact"/>
              <w:ind w:left="21" w:leftChars="10" w:right="21" w:rightChars="10" w:firstLine="0" w:firstLineChars="0"/>
              <w:jc w:val="both"/>
              <w:textAlignment w:val="auto"/>
              <w:rPr>
                <w:rFonts w:hint="eastAsia" w:ascii="仿宋" w:hAnsi="仿宋" w:eastAsia="仿宋" w:cs="仿宋"/>
                <w:color w:val="auto"/>
                <w:sz w:val="21"/>
                <w:highlight w:val="none"/>
                <w:u w:val="single"/>
                <w:lang w:val="en-US" w:eastAsia="zh-CN"/>
              </w:rPr>
            </w:pPr>
            <w:r>
              <w:rPr>
                <w:rFonts w:hint="eastAsia" w:ascii="仿宋" w:hAnsi="仿宋" w:eastAsia="仿宋" w:cs="仿宋"/>
                <w:color w:val="auto"/>
                <w:sz w:val="21"/>
                <w:highlight w:val="none"/>
                <w:u w:val="single"/>
                <w:lang w:val="en-US"/>
              </w:rPr>
              <w:t>备注：</w:t>
            </w:r>
            <w:r>
              <w:rPr>
                <w:rFonts w:hint="eastAsia" w:ascii="仿宋" w:hAnsi="仿宋" w:eastAsia="仿宋" w:cs="仿宋"/>
                <w:color w:val="auto"/>
                <w:sz w:val="21"/>
                <w:highlight w:val="none"/>
                <w:u w:val="single"/>
                <w:lang w:val="en-US" w:eastAsia="zh-CN"/>
              </w:rPr>
              <w:t>（中小企业声明函中需供应商逐项填写）；</w:t>
            </w:r>
          </w:p>
          <w:p>
            <w:pPr>
              <w:pStyle w:val="2"/>
              <w:keepNext w:val="0"/>
              <w:keepLines w:val="0"/>
              <w:pageBreakBefore w:val="0"/>
              <w:widowControl w:val="0"/>
              <w:numPr>
                <w:ilvl w:val="-1"/>
                <w:numId w:val="0"/>
              </w:numPr>
              <w:kinsoku/>
              <w:wordWrap w:val="0"/>
              <w:overflowPunct/>
              <w:topLinePunct w:val="0"/>
              <w:autoSpaceDE w:val="0"/>
              <w:autoSpaceDN w:val="0"/>
              <w:bidi w:val="0"/>
              <w:adjustRightInd w:val="0"/>
              <w:spacing w:line="400" w:lineRule="exact"/>
              <w:ind w:left="21" w:leftChars="10" w:right="21" w:rightChars="10" w:firstLine="0" w:firstLineChars="0"/>
              <w:jc w:val="both"/>
              <w:textAlignment w:val="auto"/>
              <w:rPr>
                <w:rFonts w:hint="eastAsia" w:ascii="仿宋" w:hAnsi="仿宋" w:eastAsia="仿宋" w:cs="仿宋"/>
                <w:color w:val="auto"/>
                <w:highlight w:val="none"/>
                <w:lang w:val="en-US"/>
              </w:rPr>
            </w:pPr>
            <w:r>
              <w:rPr>
                <w:rFonts w:hint="eastAsia" w:ascii="仿宋" w:hAnsi="仿宋" w:eastAsia="仿宋" w:cs="仿宋"/>
                <w:color w:val="auto"/>
                <w:sz w:val="21"/>
                <w:highlight w:val="none"/>
                <w:u w:val="single"/>
                <w:lang w:val="en-US"/>
              </w:rPr>
              <w:t>《关于印发中小企业划型标准规定的通知》（工信部联企业〔2011〕300）：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08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593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1" w:hRule="atLeast"/>
          <w:tblHead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08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593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sz w:val="21"/>
                <w:szCs w:val="21"/>
                <w:highlight w:val="none"/>
                <w:lang w:eastAsia="zh-CN"/>
              </w:rPr>
            </w:pPr>
            <w:sdt>
              <w:sdtPr>
                <w:rPr>
                  <w:rFonts w:hint="eastAsia" w:ascii="仿宋" w:hAnsi="仿宋" w:eastAsia="仿宋" w:cs="仿宋"/>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 xml:space="preserve"> 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工作分包</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sym w:font="Wingdings" w:char="00FE"/>
            </w:r>
            <w:r>
              <w:rPr>
                <w:rFonts w:hint="eastAsia" w:ascii="仿宋" w:hAnsi="仿宋" w:eastAsia="仿宋" w:cs="仿宋"/>
                <w:color w:val="auto"/>
                <w:kern w:val="0"/>
                <w:sz w:val="21"/>
                <w:szCs w:val="21"/>
                <w:highlight w:val="none"/>
              </w:rPr>
              <w:t>B</w:t>
            </w:r>
            <w:r>
              <w:rPr>
                <w:rFonts w:hint="eastAsia" w:ascii="仿宋" w:hAnsi="仿宋" w:eastAsia="仿宋" w:cs="仿宋"/>
                <w:color w:val="auto"/>
                <w:sz w:val="21"/>
                <w:szCs w:val="21"/>
                <w:highlight w:val="none"/>
              </w:rPr>
              <w:t>不同意分包。</w:t>
            </w:r>
          </w:p>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tblHead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08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593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08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593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b/>
                <w:color w:val="auto"/>
                <w:sz w:val="21"/>
                <w:szCs w:val="21"/>
                <w:highlight w:val="none"/>
              </w:rPr>
            </w:pPr>
            <w:sdt>
              <w:sdtPr>
                <w:rPr>
                  <w:rFonts w:hint="eastAsia" w:ascii="仿宋" w:hAnsi="仿宋" w:eastAsia="仿宋" w:cs="仿宋"/>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08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593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b/>
                <w:color w:val="auto"/>
                <w:kern w:val="0"/>
                <w:sz w:val="21"/>
                <w:szCs w:val="21"/>
                <w:highlight w:val="none"/>
                <w:lang w:val="zh-CN"/>
              </w:rPr>
            </w:pPr>
            <w:sdt>
              <w:sdtPr>
                <w:rPr>
                  <w:rFonts w:hint="eastAsia" w:ascii="仿宋" w:hAnsi="仿宋" w:eastAsia="仿宋" w:cs="仿宋"/>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080"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投标人应当提供的资格、资信证明文件</w:t>
            </w:r>
          </w:p>
        </w:tc>
        <w:tc>
          <w:tcPr>
            <w:tcW w:w="5932"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（1）资格证明文件：见招标文件第二部分11.1。</w:t>
            </w:r>
          </w:p>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5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p>
        </w:tc>
        <w:tc>
          <w:tcPr>
            <w:tcW w:w="2080"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p>
        </w:tc>
        <w:tc>
          <w:tcPr>
            <w:tcW w:w="5932"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8" w:hRule="atLeast"/>
          <w:tblHeader/>
        </w:trPr>
        <w:tc>
          <w:tcPr>
            <w:tcW w:w="55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0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593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强制采购。产品：</w:t>
            </w:r>
            <w:r>
              <w:rPr>
                <w:rFonts w:hint="eastAsia" w:ascii="仿宋" w:hAnsi="仿宋" w:eastAsia="仿宋" w:cs="仿宋"/>
                <w:color w:val="auto"/>
                <w:kern w:val="0"/>
                <w:sz w:val="21"/>
                <w:szCs w:val="21"/>
                <w:highlight w:val="none"/>
                <w:lang w:val="en-US" w:eastAsia="zh-CN"/>
              </w:rPr>
              <w:t xml:space="preserve">    </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□优先采购节能产品。产品：</w:t>
            </w:r>
            <w:r>
              <w:rPr>
                <w:rFonts w:hint="eastAsia" w:ascii="仿宋" w:hAnsi="仿宋" w:eastAsia="仿宋" w:cs="仿宋"/>
                <w:color w:val="auto"/>
                <w:kern w:val="0"/>
                <w:sz w:val="21"/>
                <w:szCs w:val="21"/>
                <w:highlight w:val="none"/>
                <w:lang w:val="en-US" w:eastAsia="zh-CN"/>
              </w:rPr>
              <w:t xml:space="preserve">   </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□优先采购环保产品。产品：</w:t>
            </w:r>
            <w:r>
              <w:rPr>
                <w:rFonts w:hint="eastAsia" w:ascii="仿宋" w:hAnsi="仿宋" w:eastAsia="仿宋" w:cs="仿宋"/>
                <w:color w:val="auto"/>
                <w:kern w:val="0"/>
                <w:sz w:val="21"/>
                <w:szCs w:val="21"/>
                <w:highlight w:val="none"/>
                <w:lang w:val="en-US" w:eastAsia="zh-CN"/>
              </w:rPr>
              <w:t xml:space="preserve">    </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5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0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593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b/>
                <w:bCs/>
                <w:color w:val="auto"/>
                <w:kern w:val="0"/>
                <w:sz w:val="21"/>
                <w:szCs w:val="21"/>
                <w:highlight w:val="none"/>
                <w:lang w:val="zh-CN"/>
              </w:rPr>
              <w:t>投标文件</w:t>
            </w:r>
            <w:r>
              <w:rPr>
                <w:rFonts w:hint="eastAsia" w:ascii="仿宋" w:hAnsi="仿宋" w:eastAsia="仿宋" w:cs="仿宋"/>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1"/>
                <w:szCs w:val="21"/>
                <w:highlight w:val="none"/>
                <w:lang w:val="zh-CN"/>
              </w:rPr>
              <w:t>投标文件中价格全部采用人民币报价。招标文件未列明，而投标人认为必需的费用也需列入报价。</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提醒：验收时检测费用由采购人承担，不包含在投标总价中。</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投标报价出现下列情形的，投标无效：</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right="21" w:rightChars="10"/>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投标文件出现不是唯一的、有选择性投标报价的；</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right="21" w:rightChars="1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投标报价超过招标文件中规定的预算金额或者最高限价的;</w:t>
            </w:r>
          </w:p>
          <w:p>
            <w:pPr>
              <w:keepNext w:val="0"/>
              <w:keepLines w:val="0"/>
              <w:pageBreakBefore w:val="0"/>
              <w:widowControl w:val="0"/>
              <w:kinsoku/>
              <w:wordWrap w:val="0"/>
              <w:overflowPunct/>
              <w:topLinePunct w:val="0"/>
              <w:autoSpaceDE w:val="0"/>
              <w:autoSpaceDN w:val="0"/>
              <w:bidi w:val="0"/>
              <w:adjustRightInd w:val="0"/>
              <w:spacing w:line="400" w:lineRule="exact"/>
              <w:ind w:right="21" w:rightChars="10"/>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pPr>
              <w:keepNext w:val="0"/>
              <w:keepLines w:val="0"/>
              <w:pageBreakBefore w:val="0"/>
              <w:widowControl w:val="0"/>
              <w:kinsoku/>
              <w:wordWrap w:val="0"/>
              <w:overflowPunct/>
              <w:topLinePunct w:val="0"/>
              <w:autoSpaceDE w:val="0"/>
              <w:autoSpaceDN w:val="0"/>
              <w:bidi w:val="0"/>
              <w:adjustRightInd w:val="0"/>
              <w:spacing w:line="400" w:lineRule="exact"/>
              <w:ind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投标人对根据修正原则修正后的报价不确认的</w:t>
            </w:r>
            <w:r>
              <w:rPr>
                <w:rFonts w:hint="eastAsia" w:ascii="仿宋" w:hAnsi="仿宋" w:eastAsia="仿宋" w:cs="仿宋"/>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9" w:hRule="atLeast"/>
          <w:tblHeader/>
        </w:trPr>
        <w:tc>
          <w:tcPr>
            <w:tcW w:w="55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080"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中小企业信用融资</w:t>
            </w:r>
          </w:p>
        </w:tc>
        <w:tc>
          <w:tcPr>
            <w:tcW w:w="5932"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4" w:hRule="atLeast"/>
          <w:tblHeader/>
        </w:trPr>
        <w:tc>
          <w:tcPr>
            <w:tcW w:w="55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080"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备份投标文件送达地点和签收人员</w:t>
            </w:r>
          </w:p>
        </w:tc>
        <w:tc>
          <w:tcPr>
            <w:tcW w:w="5932"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备份投标文件送达地点：</w:t>
            </w:r>
            <w:r>
              <w:rPr>
                <w:rFonts w:hint="eastAsia" w:ascii="仿宋" w:hAnsi="仿宋" w:eastAsia="仿宋" w:cs="仿宋"/>
                <w:b/>
                <w:bCs/>
                <w:color w:val="auto"/>
                <w:kern w:val="28"/>
                <w:sz w:val="21"/>
                <w:szCs w:val="21"/>
                <w:highlight w:val="none"/>
                <w:u w:val="single"/>
              </w:rPr>
              <w:t>杭州市拱墅区古运路15号城发天地大厦1605室</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28"/>
                <w:sz w:val="21"/>
                <w:szCs w:val="21"/>
                <w:highlight w:val="none"/>
              </w:rPr>
              <w:t>；备份投标文件签收人员联系电话</w:t>
            </w:r>
            <w:r>
              <w:rPr>
                <w:rFonts w:hint="eastAsia" w:ascii="仿宋" w:hAnsi="仿宋" w:eastAsia="仿宋" w:cs="仿宋"/>
                <w:color w:val="auto"/>
                <w:kern w:val="28"/>
                <w:sz w:val="21"/>
                <w:szCs w:val="21"/>
                <w:highlight w:val="none"/>
                <w:lang w:eastAsia="zh-CN"/>
              </w:rPr>
              <w:t>：</w:t>
            </w:r>
            <w:r>
              <w:rPr>
                <w:rFonts w:hint="eastAsia" w:ascii="仿宋" w:hAnsi="仿宋" w:eastAsia="仿宋" w:cs="仿宋"/>
                <w:b/>
                <w:bCs/>
                <w:color w:val="auto"/>
                <w:highlight w:val="none"/>
                <w:u w:val="single"/>
                <w:lang w:eastAsia="zh-CN"/>
              </w:rPr>
              <w:t>卢小飞</w:t>
            </w:r>
            <w:r>
              <w:rPr>
                <w:rFonts w:hint="eastAsia" w:ascii="仿宋" w:hAnsi="仿宋" w:eastAsia="仿宋" w:cs="仿宋"/>
                <w:b/>
                <w:bCs/>
                <w:color w:val="auto"/>
                <w:highlight w:val="none"/>
                <w:u w:val="single"/>
              </w:rPr>
              <w:t xml:space="preserve"> 13</w:t>
            </w:r>
            <w:r>
              <w:rPr>
                <w:rFonts w:hint="eastAsia" w:ascii="仿宋" w:hAnsi="仿宋" w:eastAsia="仿宋" w:cs="仿宋"/>
                <w:b/>
                <w:bCs/>
                <w:color w:val="auto"/>
                <w:highlight w:val="none"/>
                <w:u w:val="single"/>
                <w:lang w:val="en-US" w:eastAsia="zh-CN"/>
              </w:rPr>
              <w:t>958012158</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4" w:hRule="atLeast"/>
          <w:tblHeader/>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w:t>
            </w:r>
          </w:p>
        </w:tc>
        <w:tc>
          <w:tcPr>
            <w:tcW w:w="5932"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snapToGrid w:val="0"/>
                <w:color w:val="auto"/>
                <w:kern w:val="28"/>
                <w:sz w:val="21"/>
                <w:szCs w:val="21"/>
                <w:highlight w:val="none"/>
                <w:lang w:eastAsia="zh-CN"/>
              </w:rPr>
            </w:pPr>
            <w:r>
              <w:rPr>
                <w:rFonts w:hint="eastAsia" w:ascii="仿宋" w:hAnsi="仿宋" w:eastAsia="仿宋" w:cs="仿宋"/>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4" w:hRule="atLeast"/>
          <w:tblHeader/>
        </w:trPr>
        <w:tc>
          <w:tcPr>
            <w:tcW w:w="555" w:type="dxa"/>
            <w:vMerge w:val="continue"/>
            <w:tcBorders>
              <w:top w:val="single" w:color="auto" w:sz="4" w:space="0"/>
              <w:left w:val="single" w:color="auto" w:sz="4"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p>
        </w:tc>
        <w:tc>
          <w:tcPr>
            <w:tcW w:w="2080" w:type="dxa"/>
            <w:vMerge w:val="continue"/>
            <w:tcBorders>
              <w:top w:val="single" w:color="auto" w:sz="4" w:space="0"/>
              <w:left w:val="single" w:color="000000" w:sz="2"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p>
        </w:tc>
        <w:tc>
          <w:tcPr>
            <w:tcW w:w="5932"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052570136"/>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147460343"/>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2" w:hRule="atLeast"/>
          <w:tblHeader/>
        </w:trPr>
        <w:tc>
          <w:tcPr>
            <w:tcW w:w="555" w:type="dxa"/>
            <w:vMerge w:val="continue"/>
            <w:tcBorders>
              <w:top w:val="single" w:color="auto" w:sz="4" w:space="0"/>
              <w:left w:val="single" w:color="auto" w:sz="4"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p>
        </w:tc>
        <w:tc>
          <w:tcPr>
            <w:tcW w:w="2080" w:type="dxa"/>
            <w:vMerge w:val="continue"/>
            <w:tcBorders>
              <w:top w:val="single" w:color="auto" w:sz="4" w:space="0"/>
              <w:left w:val="single" w:color="000000" w:sz="2"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rPr>
            </w:pPr>
          </w:p>
        </w:tc>
        <w:tc>
          <w:tcPr>
            <w:tcW w:w="5932"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lang w:val="en" w:eastAsia="zh-CN"/>
              </w:rPr>
              <w:t>本项目推荐的中标候选人数量：</w:t>
            </w:r>
            <w:r>
              <w:rPr>
                <w:rFonts w:hint="eastAsia" w:ascii="仿宋" w:hAnsi="仿宋" w:eastAsia="仿宋" w:cs="仿宋"/>
                <w:b/>
                <w:bCs/>
                <w:color w:val="auto"/>
                <w:kern w:val="0"/>
                <w:sz w:val="21"/>
                <w:szCs w:val="21"/>
                <w:highlight w:val="none"/>
                <w:u w:val="single"/>
                <w:lang w:val="en-US" w:eastAsia="zh-CN"/>
              </w:rPr>
              <w:t xml:space="preserve"> 1 </w:t>
            </w:r>
            <w:r>
              <w:rPr>
                <w:rFonts w:hint="eastAsia" w:ascii="仿宋" w:hAnsi="仿宋" w:eastAsia="仿宋" w:cs="仿宋"/>
                <w:b/>
                <w:bCs/>
                <w:color w:val="auto"/>
                <w:kern w:val="0"/>
                <w:sz w:val="21"/>
                <w:szCs w:val="21"/>
                <w:highlight w:val="none"/>
                <w:u w:val="none"/>
                <w:lang w:val="en-US" w:eastAsia="zh-CN"/>
              </w:rPr>
              <w:t>名</w:t>
            </w:r>
            <w:r>
              <w:rPr>
                <w:rFonts w:hint="eastAsia" w:ascii="仿宋" w:hAnsi="仿宋" w:eastAsia="仿宋" w:cs="仿宋"/>
                <w:b/>
                <w:bCs/>
                <w:color w:val="auto"/>
                <w:kern w:val="0"/>
                <w:sz w:val="21"/>
                <w:szCs w:val="21"/>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19" w:hRule="atLeast"/>
          <w:tblHeader/>
        </w:trPr>
        <w:tc>
          <w:tcPr>
            <w:tcW w:w="55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2080"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采购代理服务费</w:t>
            </w:r>
          </w:p>
        </w:tc>
        <w:tc>
          <w:tcPr>
            <w:tcW w:w="593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b/>
                <w:bCs/>
                <w:snapToGrid w:val="0"/>
                <w:color w:val="auto"/>
                <w:kern w:val="28"/>
                <w:szCs w:val="21"/>
                <w:highlight w:val="none"/>
              </w:rPr>
            </w:pPr>
            <w:r>
              <w:rPr>
                <w:rFonts w:hint="eastAsia" w:ascii="仿宋" w:hAnsi="仿宋" w:eastAsia="仿宋" w:cs="仿宋"/>
                <w:b/>
                <w:bCs/>
                <w:snapToGrid w:val="0"/>
                <w:color w:val="auto"/>
                <w:kern w:val="28"/>
                <w:szCs w:val="21"/>
                <w:highlight w:val="none"/>
              </w:rPr>
              <w:t>采购代理服务费金额：本项目采购代理服务费由成交供应商支付，采购代理服务费按《关于杭州市招标代理服务收费管理有关问题的通知》（杭价费[2003]148号）文件服务类型收费标准的</w:t>
            </w:r>
            <w:r>
              <w:rPr>
                <w:rFonts w:hint="eastAsia" w:ascii="仿宋" w:hAnsi="仿宋" w:eastAsia="仿宋" w:cs="仿宋"/>
                <w:b/>
                <w:bCs/>
                <w:snapToGrid w:val="0"/>
                <w:color w:val="auto"/>
                <w:kern w:val="28"/>
                <w:szCs w:val="21"/>
                <w:highlight w:val="none"/>
                <w:lang w:val="en-US" w:eastAsia="zh-CN"/>
              </w:rPr>
              <w:t>70</w:t>
            </w:r>
            <w:r>
              <w:rPr>
                <w:rFonts w:hint="eastAsia" w:ascii="仿宋" w:hAnsi="仿宋" w:eastAsia="仿宋" w:cs="仿宋"/>
                <w:b/>
                <w:bCs/>
                <w:snapToGrid w:val="0"/>
                <w:color w:val="auto"/>
                <w:kern w:val="28"/>
                <w:szCs w:val="21"/>
                <w:highlight w:val="none"/>
              </w:rPr>
              <w:t>%收取，收费基价为中标价。采购代理服务费交纳形式：汇票/支票/电汇/现金</w:t>
            </w:r>
          </w:p>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b/>
                <w:bCs/>
                <w:snapToGrid w:val="0"/>
                <w:color w:val="auto"/>
                <w:kern w:val="28"/>
                <w:szCs w:val="21"/>
                <w:highlight w:val="none"/>
              </w:rPr>
            </w:pPr>
            <w:r>
              <w:rPr>
                <w:rFonts w:hint="eastAsia" w:ascii="仿宋" w:hAnsi="仿宋" w:eastAsia="仿宋" w:cs="仿宋"/>
                <w:b/>
                <w:bCs/>
                <w:snapToGrid w:val="0"/>
                <w:color w:val="auto"/>
                <w:kern w:val="28"/>
                <w:szCs w:val="21"/>
                <w:highlight w:val="none"/>
              </w:rPr>
              <w:t>采购代理服务费由中标人在</w:t>
            </w:r>
            <w:r>
              <w:rPr>
                <w:rFonts w:hint="eastAsia" w:ascii="仿宋" w:hAnsi="仿宋" w:eastAsia="仿宋" w:cs="仿宋"/>
                <w:b/>
                <w:bCs/>
                <w:snapToGrid w:val="0"/>
                <w:color w:val="auto"/>
                <w:kern w:val="28"/>
                <w:szCs w:val="21"/>
                <w:highlight w:val="none"/>
                <w:lang w:eastAsia="zh-CN"/>
              </w:rPr>
              <w:t>领取</w:t>
            </w:r>
            <w:r>
              <w:rPr>
                <w:rFonts w:hint="eastAsia" w:ascii="仿宋" w:hAnsi="仿宋" w:eastAsia="仿宋" w:cs="仿宋"/>
                <w:b/>
                <w:bCs/>
                <w:snapToGrid w:val="0"/>
                <w:color w:val="auto"/>
                <w:kern w:val="28"/>
                <w:szCs w:val="21"/>
                <w:highlight w:val="none"/>
              </w:rPr>
              <w:t>中标通知书时以人民币方式向招标代理机构支付。结算方式及时间为：在领取中标通知书时由成交人一次性向采购代理机构付清。</w:t>
            </w:r>
          </w:p>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b/>
                <w:bCs/>
                <w:snapToGrid w:val="0"/>
                <w:color w:val="auto"/>
                <w:kern w:val="28"/>
                <w:szCs w:val="21"/>
                <w:highlight w:val="none"/>
              </w:rPr>
            </w:pPr>
            <w:r>
              <w:rPr>
                <w:rFonts w:hint="eastAsia" w:ascii="仿宋" w:hAnsi="仿宋" w:eastAsia="仿宋" w:cs="仿宋"/>
                <w:b/>
                <w:bCs/>
                <w:snapToGrid w:val="0"/>
                <w:color w:val="auto"/>
                <w:kern w:val="28"/>
                <w:szCs w:val="21"/>
                <w:highlight w:val="none"/>
              </w:rPr>
              <w:t>账户信息如下：</w:t>
            </w:r>
          </w:p>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b/>
                <w:bCs/>
                <w:snapToGrid w:val="0"/>
                <w:color w:val="auto"/>
                <w:kern w:val="28"/>
                <w:szCs w:val="21"/>
                <w:highlight w:val="none"/>
              </w:rPr>
            </w:pPr>
            <w:r>
              <w:rPr>
                <w:rFonts w:hint="eastAsia" w:ascii="仿宋" w:hAnsi="仿宋" w:eastAsia="仿宋" w:cs="仿宋"/>
                <w:b/>
                <w:bCs/>
                <w:snapToGrid w:val="0"/>
                <w:color w:val="auto"/>
                <w:kern w:val="28"/>
                <w:szCs w:val="21"/>
                <w:highlight w:val="none"/>
              </w:rPr>
              <w:t>账户名称：浙江耀信工程咨询有限公司</w:t>
            </w:r>
          </w:p>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b/>
                <w:bCs/>
                <w:snapToGrid w:val="0"/>
                <w:color w:val="auto"/>
                <w:kern w:val="28"/>
                <w:szCs w:val="21"/>
                <w:highlight w:val="none"/>
              </w:rPr>
            </w:pPr>
            <w:r>
              <w:rPr>
                <w:rFonts w:hint="eastAsia" w:ascii="仿宋" w:hAnsi="仿宋" w:eastAsia="仿宋" w:cs="仿宋"/>
                <w:b/>
                <w:bCs/>
                <w:snapToGrid w:val="0"/>
                <w:color w:val="auto"/>
                <w:kern w:val="28"/>
                <w:szCs w:val="21"/>
                <w:highlight w:val="none"/>
              </w:rPr>
              <w:t>开户银行：招商银行杭州分行湖墅支行</w:t>
            </w:r>
          </w:p>
          <w:p>
            <w:pPr>
              <w:keepNext w:val="0"/>
              <w:keepLines w:val="0"/>
              <w:pageBreakBefore w:val="0"/>
              <w:widowControl w:val="0"/>
              <w:kinsoku/>
              <w:wordWrap w:val="0"/>
              <w:overflowPunct/>
              <w:topLinePunct w:val="0"/>
              <w:autoSpaceDE w:val="0"/>
              <w:autoSpaceDN w:val="0"/>
              <w:bidi w:val="0"/>
              <w:adjustRightInd w:val="0"/>
              <w:spacing w:line="400" w:lineRule="exact"/>
              <w:ind w:left="21" w:leftChars="10" w:right="21" w:rightChars="1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b/>
                <w:bCs/>
                <w:snapToGrid w:val="0"/>
                <w:color w:val="auto"/>
                <w:kern w:val="28"/>
                <w:szCs w:val="21"/>
                <w:highlight w:val="none"/>
              </w:rPr>
              <w:t>银行账号：571905042610901</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br w:type="page"/>
      </w:r>
    </w:p>
    <w:p>
      <w:pPr>
        <w:pStyle w:val="132"/>
        <w:pageBreakBefore w:val="0"/>
        <w:kinsoku/>
        <w:wordWrap/>
        <w:overflowPunct/>
        <w:topLinePunct w:val="0"/>
        <w:bidi w:val="0"/>
        <w:spacing w:before="0" w:line="400" w:lineRule="exact"/>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p>
    <w:p>
      <w:pPr>
        <w:pageBreakBefore w:val="0"/>
        <w:kinsoku/>
        <w:wordWrap/>
        <w:overflowPunct/>
        <w:topLinePunct w:val="0"/>
        <w:bidi w:val="0"/>
        <w:snapToGrid w:val="0"/>
        <w:spacing w:line="400" w:lineRule="exact"/>
        <w:ind w:firstLine="316" w:firstLineChars="150"/>
        <w:jc w:val="left"/>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 适用范围</w:t>
      </w:r>
    </w:p>
    <w:p>
      <w:pPr>
        <w:pageBreakBefore w:val="0"/>
        <w:kinsoku/>
        <w:wordWrap/>
        <w:overflowPunct/>
        <w:topLinePunct w:val="0"/>
        <w:bidi w:val="0"/>
        <w:snapToGrid w:val="0"/>
        <w:spacing w:line="400" w:lineRule="exact"/>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本招标文件适用于该项目的招标、投标、开标、资格审查及信用信息查询、评标、定标、合同、验收等行为（法律、法规另有规定的，从其规定）。</w:t>
      </w:r>
    </w:p>
    <w:p>
      <w:pPr>
        <w:pageBreakBefore w:val="0"/>
        <w:kinsoku/>
        <w:wordWrap/>
        <w:overflowPunct/>
        <w:topLinePunct w:val="0"/>
        <w:bidi w:val="0"/>
        <w:adjustRightInd/>
        <w:spacing w:line="400" w:lineRule="exact"/>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   2.定义</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 “采购人”系指招标公告中载明的本项目的采购人。</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”系指招标公告中载明的本项目的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“投标人”系指是指响应招标、参加投标竞争的法人、其他组织或者自然人。</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“负责人”系指法人企业的法定负责人，或其他组织为法律、行政法规规定代表单位行使职权的主要负责人，或自然人本人。</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2.6“电子交易平台”</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指本项目政府采购活动所依托的政府采购云平台（https://www.zcygov.cn/）。</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 “▲” 系指实质性要求条款，</w:t>
      </w:r>
      <w:r>
        <w:rPr>
          <w:rFonts w:hint="eastAsia" w:ascii="仿宋" w:hAnsi="仿宋" w:eastAsia="仿宋" w:cs="仿宋"/>
          <w:color w:val="auto"/>
          <w:sz w:val="24"/>
          <w:highlight w:val="none"/>
        </w:rPr>
        <w:t>“</w:t>
      </w:r>
      <w:sdt>
        <w:sdtPr>
          <w:rPr>
            <w:rFonts w:hint="eastAsia" w:ascii="仿宋" w:hAnsi="仿宋" w:eastAsia="仿宋" w:cs="仿宋"/>
            <w:color w:val="auto"/>
            <w:kern w:val="0"/>
            <w:sz w:val="24"/>
            <w:highlight w:val="none"/>
          </w:rPr>
          <w:id w:val="14746721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w:t>
      </w:r>
      <w:r>
        <w:rPr>
          <w:rFonts w:hint="eastAsia" w:ascii="仿宋" w:hAnsi="仿宋" w:eastAsia="仿宋" w:cs="仿宋"/>
          <w:color w:val="auto"/>
          <w:sz w:val="21"/>
          <w:szCs w:val="21"/>
          <w:highlight w:val="none"/>
        </w:rPr>
        <w:t xml:space="preserve"> 系指适用本项目的要求，“</w:t>
      </w:r>
      <w:sdt>
        <w:sdtPr>
          <w:rPr>
            <w:rFonts w:hint="eastAsia" w:ascii="仿宋" w:hAnsi="仿宋" w:eastAsia="仿宋" w:cs="仿宋"/>
            <w:color w:val="auto"/>
            <w:sz w:val="21"/>
            <w:szCs w:val="21"/>
            <w:highlight w:val="none"/>
          </w:rPr>
          <w:id w:val="147480133"/>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系指不适用本项目的要求。</w:t>
      </w:r>
    </w:p>
    <w:p>
      <w:pPr>
        <w:pageBreakBefore w:val="0"/>
        <w:kinsoku/>
        <w:wordWrap/>
        <w:overflowPunct/>
        <w:topLinePunct w:val="0"/>
        <w:bidi w:val="0"/>
        <w:spacing w:line="400" w:lineRule="exact"/>
        <w:ind w:firstLine="211" w:firstLineChars="1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采购项目需要落实的政府采购政策</w:t>
      </w:r>
    </w:p>
    <w:p>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不会对其加以限制，仍将按照公平竞争原则实施采购）；</w:t>
      </w:r>
      <w:r>
        <w:rPr>
          <w:rFonts w:hint="eastAsia" w:ascii="仿宋" w:hAnsi="仿宋" w:eastAsia="仿宋" w:cs="仿宋"/>
          <w:color w:val="auto"/>
          <w:kern w:val="0"/>
          <w:sz w:val="21"/>
          <w:szCs w:val="21"/>
          <w:highlight w:val="none"/>
        </w:rPr>
        <w:t>优先采购向我国企业转让技术、与我国企业签订消化吸收再创新方案的供应商的进口产品</w:t>
      </w:r>
      <w:r>
        <w:rPr>
          <w:rFonts w:hint="eastAsia" w:ascii="仿宋" w:hAnsi="仿宋" w:eastAsia="仿宋" w:cs="仿宋"/>
          <w:color w:val="auto"/>
          <w:sz w:val="21"/>
          <w:szCs w:val="21"/>
          <w:highlight w:val="none"/>
        </w:rPr>
        <w:t>。</w:t>
      </w:r>
    </w:p>
    <w:p>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 支持绿色发展</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1"/>
          <w:szCs w:val="21"/>
          <w:highlight w:val="none"/>
        </w:rPr>
        <w:t>鼓励采购单位优先采购秸秆环保板材等资源综合利用产品。鼓励采购单位优先采购绿色物流配送服务、提供新能源交通工具的租赁服务。</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3.3支持中小企业发展</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符合中小企业划分标准的个体工商户，在政府采购活动中视同中小企业。</w:t>
      </w:r>
    </w:p>
    <w:p>
      <w:pPr>
        <w:pageBreakBefore w:val="0"/>
        <w:widowControl/>
        <w:kinsoku/>
        <w:wordWrap/>
        <w:overflowPunct/>
        <w:topLinePunct w:val="0"/>
        <w:bidi w:val="0"/>
        <w:spacing w:line="400" w:lineRule="exact"/>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3.3.2</w:t>
      </w:r>
      <w:r>
        <w:rPr>
          <w:rFonts w:hint="eastAsia" w:ascii="仿宋" w:hAnsi="仿宋" w:eastAsia="仿宋" w:cs="仿宋"/>
          <w:color w:val="auto"/>
          <w:kern w:val="0"/>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pageBreakBefore w:val="0"/>
        <w:widowControl/>
        <w:kinsoku/>
        <w:wordWrap/>
        <w:overflowPunct/>
        <w:topLinePunct w:val="0"/>
        <w:bidi w:val="0"/>
        <w:spacing w:line="400" w:lineRule="exact"/>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以联合体形式参加政府采购活动，联合体各方均为中小企业的，联合体视同中小企业。其中，联合体各方均为小微企业的，联合体视同小微企业。</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1"/>
          <w:szCs w:val="21"/>
          <w:highlight w:val="none"/>
        </w:rPr>
        <w:t>联合协议或者分包意向协议约定小微企业的合同份额占到合同总金额30%以上的</w:t>
      </w:r>
      <w:bookmarkEnd w:id="16"/>
      <w:r>
        <w:rPr>
          <w:rFonts w:hint="eastAsia" w:ascii="仿宋" w:hAnsi="仿宋" w:eastAsia="仿宋" w:cs="仿宋"/>
          <w:color w:val="auto"/>
          <w:sz w:val="21"/>
          <w:szCs w:val="21"/>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3.3.4符合《关于促进残疾人就业政府采购政策的通知》（财库〔2017〕141号）规定的条件并提供《残疾人福利性单位声明函》（附件1）的残疾人福利性单位视同小型、微型企业；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3.3.7中小企业享受扶持政策获得政府采购合同的，小微企业不得将合同分包给大中型企业，中型企业不得将合同分包给大型企业。</w:t>
      </w:r>
    </w:p>
    <w:p>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r>
        <w:rPr>
          <w:rFonts w:hint="eastAsia" w:ascii="仿宋" w:hAnsi="仿宋" w:eastAsia="仿宋" w:cs="仿宋"/>
          <w:bCs/>
          <w:color w:val="auto"/>
          <w:sz w:val="21"/>
          <w:szCs w:val="21"/>
          <w:highlight w:val="none"/>
        </w:rPr>
        <w:t>支持创新发展</w:t>
      </w:r>
    </w:p>
    <w:p>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 采购人优先采购被认定为首台套产品和“制造精品”的自主创新产品。</w:t>
      </w:r>
    </w:p>
    <w:p>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 xml:space="preserve">3.4.3 </w:t>
      </w:r>
      <w:r>
        <w:rPr>
          <w:rFonts w:hint="eastAsia" w:ascii="仿宋" w:hAnsi="仿宋" w:eastAsia="仿宋" w:cs="仿宋"/>
          <w:color w:val="auto"/>
          <w:sz w:val="21"/>
          <w:szCs w:val="21"/>
          <w:highlight w:val="none"/>
          <w:lang w:val="en-US" w:eastAsia="zh-CN"/>
        </w:rPr>
        <w:t>采购人应当贯彻落实知识产权保护相关法律法规，</w:t>
      </w:r>
      <w:r>
        <w:rPr>
          <w:rFonts w:hint="eastAsia" w:ascii="仿宋" w:hAnsi="仿宋" w:eastAsia="仿宋" w:cs="仿宋"/>
          <w:color w:val="auto"/>
          <w:sz w:val="21"/>
          <w:szCs w:val="21"/>
          <w:highlight w:val="none"/>
          <w:lang w:val="en-US"/>
        </w:rPr>
        <w:t>应当采购使用正版软件。</w:t>
      </w:r>
    </w:p>
    <w:p>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3.5平等对待内外资企业和符合条件的破产重整企业</w:t>
      </w:r>
    </w:p>
    <w:p>
      <w:pPr>
        <w:pageBreakBefore w:val="0"/>
        <w:kinsoku/>
        <w:wordWrap/>
        <w:overflowPunct/>
        <w:topLinePunct w:val="0"/>
        <w:bidi w:val="0"/>
        <w:spacing w:line="4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平等对待内外资企业和符合条件的破产重整企业，切实保障企业公平竞争，平等维护企业的合法利益。</w:t>
      </w:r>
    </w:p>
    <w:p>
      <w:pPr>
        <w:pageBreakBefore w:val="0"/>
        <w:kinsoku/>
        <w:wordWrap/>
        <w:overflowPunct/>
        <w:topLinePunct w:val="0"/>
        <w:bidi w:val="0"/>
        <w:spacing w:line="400" w:lineRule="exact"/>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 询问、质疑、投诉、补偿救济</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4.1在线询问、质疑、投诉</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autoSpaceDE w:val="0"/>
        <w:autoSpaceDN w:val="0"/>
        <w:bidi w:val="0"/>
        <w:spacing w:line="400" w:lineRule="exact"/>
        <w:ind w:firstLine="210" w:firstLineChars="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4.2供应商询问</w:t>
      </w:r>
    </w:p>
    <w:p>
      <w:pPr>
        <w:pageBreakBefore w:val="0"/>
        <w:kinsoku/>
        <w:wordWrap/>
        <w:overflowPunct/>
        <w:topLinePunct w:val="0"/>
        <w:autoSpaceDE w:val="0"/>
        <w:autoSpaceDN w:val="0"/>
        <w:bidi w:val="0"/>
        <w:spacing w:line="400" w:lineRule="exact"/>
        <w:ind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autoSpaceDE w:val="0"/>
        <w:autoSpaceDN w:val="0"/>
        <w:bidi w:val="0"/>
        <w:spacing w:line="400" w:lineRule="exact"/>
        <w:ind w:firstLine="210" w:firstLineChars="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4.3供应商质疑</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.1提出质疑的供应商应当是参与所质疑项目采购活动的供应商。潜在供应商已依法获取其可质疑的招标文件的，可以对该文件提出质疑。</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提出质疑，否则，采购人或者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不予受理：</w:t>
      </w:r>
    </w:p>
    <w:p>
      <w:pPr>
        <w:pStyle w:val="6"/>
        <w:pageBreakBefore w:val="0"/>
        <w:kinsoku/>
        <w:wordWrap/>
        <w:overflowPunct/>
        <w:topLinePunct w:val="0"/>
        <w:bidi w:val="0"/>
        <w:spacing w:line="400" w:lineRule="exact"/>
        <w:ind w:firstLine="420" w:firstLineChars="200"/>
        <w:textAlignment w:val="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4.3.2.1对招标文件提出质疑的，质疑期限为供应商获得招标文件之日或者招标文件公告期限届满之日起计算。</w:t>
      </w:r>
    </w:p>
    <w:p>
      <w:pPr>
        <w:pStyle w:val="33"/>
        <w:pageBreakBefore w:val="0"/>
        <w:kinsoku/>
        <w:wordWrap/>
        <w:overflowPunct/>
        <w:topLinePunct w:val="0"/>
        <w:bidi w:val="0"/>
        <w:spacing w:line="400" w:lineRule="exact"/>
        <w:ind w:left="479" w:leftChars="228"/>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4.3.2.2对采购过程提出质疑的，质疑期限为各采购程序环节结束之日起计算。4.3.2.3对采购结果提出质疑的，质疑期限自采购结果公告期限届满之日起计算。</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w:t>
      </w:r>
      <w:r>
        <w:rPr>
          <w:rFonts w:hint="eastAsia" w:ascii="仿宋" w:hAnsi="仿宋" w:eastAsia="仿宋" w:cs="仿宋"/>
          <w:color w:val="auto"/>
          <w:sz w:val="21"/>
          <w:szCs w:val="21"/>
          <w:highlight w:val="none"/>
        </w:rPr>
        <w:t>供应商提出质疑应当提交质疑函和必要的证明材料。质疑函应当包括下列内容：</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4.3.3.1供应商的姓名或者名称、地址、邮编、联系人及联系电话；</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4.3.3.2质疑项目的名称、编号；</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4.3.3.3具体、明确的质疑事项和与质疑事项相关的请求；</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4.3.3.4事实依据；</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4.3.3.5必要的法律依据；</w:t>
      </w:r>
    </w:p>
    <w:p>
      <w:pPr>
        <w:pStyle w:val="33"/>
        <w:pageBreakBefore w:val="0"/>
        <w:kinsoku/>
        <w:wordWrap/>
        <w:overflowPunct/>
        <w:topLinePunct w:val="0"/>
        <w:bidi w:val="0"/>
        <w:spacing w:line="400" w:lineRule="exact"/>
        <w:ind w:firstLine="840" w:firstLineChars="4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4.3.3.6提出质疑的日期。</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质疑函范本及制作说明详见附件2。</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4.3.4对同一采购程序环节的质疑，供应商须在法定质疑期内一次性提出。</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.5采购人或者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在质疑回复后5个工作日内，在浙江政府采购网的“其他公告”栏目公开质疑答复，答复内容应当完整。质疑函作为附件上传。</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.6询问或者质疑事项可能影响采购结果的，采购人应当暂停签订合同，已经签订合同的，应当中止履行合同。</w:t>
      </w:r>
    </w:p>
    <w:p>
      <w:pPr>
        <w:pStyle w:val="891"/>
        <w:pageBreakBefore w:val="0"/>
        <w:shd w:val="clear" w:color="auto" w:fill="FFFFFF"/>
        <w:kinsoku/>
        <w:wordWrap/>
        <w:overflowPunct/>
        <w:topLinePunct w:val="0"/>
        <w:bidi w:val="0"/>
        <w:snapToGrid w:val="0"/>
        <w:spacing w:after="240" w:afterAutospacing="0" w:line="400" w:lineRule="exact"/>
        <w:ind w:firstLine="420" w:firstLineChars="200"/>
        <w:contextualSpacing/>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4.4供应商投诉</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4.4.1质疑供应商对采购人、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的答复不满意或者采购人、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未在规定的时间内作出答复的，可以在答复期满后十五个工作日内向同级政府采购监督管理部门提出投诉。</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w:t>
      </w: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供应商投诉的事项不得超出已质疑事项的范围，基于质疑答复内容提出的投诉事项除外。</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4.4.3供应商投诉应当有明确的请求和必要的证明材料。</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4.4.4 以联合体形式参加政府采购活动的，其投诉应当由组成联合体的所有供应商共同提出。</w:t>
      </w:r>
    </w:p>
    <w:p>
      <w:pPr>
        <w:pStyle w:val="891"/>
        <w:pageBreakBefore w:val="0"/>
        <w:shd w:val="clear" w:color="auto" w:fill="FFFFFF"/>
        <w:kinsoku/>
        <w:wordWrap/>
        <w:overflowPunct/>
        <w:topLinePunct w:val="0"/>
        <w:bidi w:val="0"/>
        <w:snapToGrid w:val="0"/>
        <w:spacing w:after="240" w:afterAutospacing="0" w:line="400" w:lineRule="exact"/>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1"/>
        <w:pageBreakBefore w:val="0"/>
        <w:shd w:val="clear" w:color="auto" w:fill="FFFFFF"/>
        <w:kinsoku/>
        <w:wordWrap/>
        <w:overflowPunct/>
        <w:topLinePunct w:val="0"/>
        <w:bidi w:val="0"/>
        <w:snapToGrid w:val="0"/>
        <w:spacing w:after="240" w:afterAutospacing="0" w:line="400" w:lineRule="exact"/>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 补偿救济</w:t>
      </w:r>
    </w:p>
    <w:p>
      <w:pPr>
        <w:pStyle w:val="891"/>
        <w:pageBreakBefore w:val="0"/>
        <w:shd w:val="clear" w:color="auto" w:fill="FFFFFF"/>
        <w:kinsoku/>
        <w:wordWrap/>
        <w:overflowPunct/>
        <w:topLinePunct w:val="0"/>
        <w:bidi w:val="0"/>
        <w:snapToGrid w:val="0"/>
        <w:spacing w:after="240" w:afterAutospacing="0" w:line="400" w:lineRule="exact"/>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采购人（行政机关）因政策变化、规划调整而不履行政府采购合同的，供应商可依据《杭州市涉企补偿救济实施办法（试行）》向采购人（行政机关）提起补偿申请。</w:t>
      </w:r>
    </w:p>
    <w:p>
      <w:pPr>
        <w:pStyle w:val="891"/>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投诉书范本及制作说明详见附件3。</w:t>
      </w:r>
    </w:p>
    <w:p>
      <w:pPr>
        <w:pStyle w:val="132"/>
        <w:pageBreakBefore w:val="0"/>
        <w:kinsoku/>
        <w:wordWrap/>
        <w:overflowPunct/>
        <w:topLinePunct w:val="0"/>
        <w:bidi w:val="0"/>
        <w:spacing w:before="0" w:line="400" w:lineRule="exact"/>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二、招标文件的构成、澄清、修改</w:t>
      </w:r>
    </w:p>
    <w:p>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5．招标文件的构成</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 招标文件包括下列文件及附件：</w:t>
      </w:r>
    </w:p>
    <w:p>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5.1.1招标公告；</w:t>
      </w:r>
    </w:p>
    <w:p>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5.1.2投标人须知；</w:t>
      </w:r>
    </w:p>
    <w:p>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5.1.3采购需求；</w:t>
      </w:r>
    </w:p>
    <w:p>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5.1.4评标办法；</w:t>
      </w:r>
    </w:p>
    <w:p>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5.1.5拟签订的合同文本；</w:t>
      </w:r>
    </w:p>
    <w:p>
      <w:pPr>
        <w:pStyle w:val="33"/>
        <w:pageBreakBefore w:val="0"/>
        <w:tabs>
          <w:tab w:val="left" w:pos="840"/>
        </w:tabs>
        <w:kinsoku/>
        <w:wordWrap/>
        <w:overflowPunct/>
        <w:topLinePunct w:val="0"/>
        <w:bidi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5.1.6应提交的有关格式范例。</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5.2与本项目有关的</w:t>
      </w:r>
      <w:r>
        <w:rPr>
          <w:rFonts w:hint="eastAsia" w:ascii="仿宋" w:hAnsi="仿宋" w:eastAsia="仿宋" w:cs="仿宋"/>
          <w:bCs/>
          <w:color w:val="auto"/>
          <w:sz w:val="21"/>
          <w:szCs w:val="21"/>
          <w:highlight w:val="none"/>
        </w:rPr>
        <w:t>澄清或者修改的内容为招标文件的组成部分</w:t>
      </w:r>
      <w:r>
        <w:rPr>
          <w:rFonts w:hint="eastAsia" w:ascii="仿宋" w:hAnsi="仿宋" w:eastAsia="仿宋" w:cs="仿宋"/>
          <w:color w:val="auto"/>
          <w:sz w:val="21"/>
          <w:szCs w:val="21"/>
          <w:highlight w:val="none"/>
        </w:rPr>
        <w:t>。</w:t>
      </w:r>
    </w:p>
    <w:p>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 招标文件的澄清、修改</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6.1已获取招标文件的潜在投标人，若有问题需要澄清，应于投标截止时间前，以书面形式向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pageBreakBefore w:val="0"/>
        <w:kinsoku/>
        <w:wordWrap/>
        <w:overflowPunct/>
        <w:topLinePunct w:val="0"/>
        <w:bidi w:val="0"/>
        <w:spacing w:line="400" w:lineRule="exact"/>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 xml:space="preserve">    </w:t>
      </w:r>
    </w:p>
    <w:p>
      <w:pPr>
        <w:pStyle w:val="132"/>
        <w:pageBreakBefore w:val="0"/>
        <w:kinsoku/>
        <w:wordWrap/>
        <w:overflowPunct/>
        <w:topLinePunct w:val="0"/>
        <w:bidi w:val="0"/>
        <w:spacing w:before="0" w:line="400" w:lineRule="exact"/>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w:t>
      </w:r>
    </w:p>
    <w:p>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 招标文件的获取</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详见招标公告中获取招标文件的时间期限、地点、方式及招标文件售价。</w:t>
      </w:r>
    </w:p>
    <w:p>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8.开标前答疑会或现场考察</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采购人组织潜在投标人现场考察或者召开开标前答疑会的，潜在投标人按第二部分投标人须知前附表的规定参加现场考察或者开标前答疑会。</w:t>
      </w:r>
    </w:p>
    <w:p>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28"/>
          <w:sz w:val="21"/>
          <w:szCs w:val="21"/>
          <w:highlight w:val="none"/>
        </w:rPr>
        <w:t>9.投标保证金</w:t>
      </w:r>
    </w:p>
    <w:p>
      <w:pPr>
        <w:pStyle w:val="6"/>
        <w:pageBreakBefore w:val="0"/>
        <w:kinsoku/>
        <w:wordWrap/>
        <w:overflowPunct/>
        <w:topLinePunct w:val="0"/>
        <w:bidi w:val="0"/>
        <w:spacing w:line="400" w:lineRule="exact"/>
        <w:ind w:firstLine="411" w:firstLineChars="196"/>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本项目不需缴纳投标保证金。</w:t>
      </w:r>
    </w:p>
    <w:p>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10. 投标文件的语言</w:t>
      </w:r>
    </w:p>
    <w:p>
      <w:pPr>
        <w:pageBreakBefore w:val="0"/>
        <w:kinsoku/>
        <w:wordWrap/>
        <w:overflowPunct/>
        <w:topLinePunct w:val="0"/>
        <w:autoSpaceDE w:val="0"/>
        <w:autoSpaceDN w:val="0"/>
        <w:bidi w:val="0"/>
        <w:spacing w:line="400" w:lineRule="exact"/>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投标文件及投标人与采购有关的来往通知、函件和文件均应使用中文。</w:t>
      </w:r>
    </w:p>
    <w:p>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11. 投标文件的组成</w:t>
      </w:r>
    </w:p>
    <w:p>
      <w:pPr>
        <w:pageBreakBefore w:val="0"/>
        <w:kinsoku/>
        <w:wordWrap/>
        <w:overflowPunct/>
        <w:topLinePunct w:val="0"/>
        <w:bidi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r>
        <w:rPr>
          <w:rFonts w:hint="eastAsia" w:ascii="仿宋" w:hAnsi="仿宋" w:eastAsia="仿宋" w:cs="仿宋"/>
          <w:b/>
          <w:color w:val="auto"/>
          <w:sz w:val="21"/>
          <w:szCs w:val="21"/>
          <w:highlight w:val="none"/>
        </w:rPr>
        <w:t>资格文件</w:t>
      </w:r>
      <w:r>
        <w:rPr>
          <w:rFonts w:hint="eastAsia" w:ascii="仿宋" w:hAnsi="仿宋" w:eastAsia="仿宋" w:cs="仿宋"/>
          <w:color w:val="auto"/>
          <w:sz w:val="21"/>
          <w:szCs w:val="21"/>
          <w:highlight w:val="none"/>
        </w:rPr>
        <w:t>：</w:t>
      </w:r>
    </w:p>
    <w:p>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11.1.1符合参加政府采购活动应当具备的一般条件的承诺函；</w:t>
      </w:r>
    </w:p>
    <w:p>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11.1.2</w:t>
      </w:r>
      <w:bookmarkStart w:id="17" w:name="_Hlk101259339"/>
      <w:r>
        <w:rPr>
          <w:rFonts w:hint="eastAsia" w:ascii="仿宋" w:hAnsi="仿宋" w:eastAsia="仿宋" w:cs="仿宋"/>
          <w:snapToGrid w:val="0"/>
          <w:color w:val="auto"/>
          <w:kern w:val="28"/>
          <w:sz w:val="21"/>
          <w:szCs w:val="21"/>
          <w:highlight w:val="none"/>
        </w:rPr>
        <w:t>联合协议</w:t>
      </w:r>
      <w:bookmarkEnd w:id="17"/>
      <w:r>
        <w:rPr>
          <w:rFonts w:hint="eastAsia" w:ascii="仿宋" w:hAnsi="仿宋" w:eastAsia="仿宋" w:cs="仿宋"/>
          <w:snapToGrid w:val="0"/>
          <w:color w:val="auto"/>
          <w:kern w:val="28"/>
          <w:sz w:val="21"/>
          <w:szCs w:val="21"/>
          <w:highlight w:val="none"/>
        </w:rPr>
        <w:t>（如果有)；</w:t>
      </w:r>
    </w:p>
    <w:p>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11.1.3落实政府采购政策需满足的资格要求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11.1.4本项目的特定资格要求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pPr>
        <w:pageBreakBefore w:val="0"/>
        <w:kinsoku/>
        <w:wordWrap/>
        <w:overflowPunct/>
        <w:topLinePunct w:val="0"/>
        <w:bidi w:val="0"/>
        <w:snapToGrid w:val="0"/>
        <w:spacing w:line="400" w:lineRule="exact"/>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11.2.1投标函；</w:t>
      </w:r>
      <w:r>
        <w:rPr>
          <w:rFonts w:hint="eastAsia" w:ascii="仿宋" w:hAnsi="仿宋" w:eastAsia="仿宋" w:cs="仿宋"/>
          <w:color w:val="auto"/>
          <w:sz w:val="21"/>
          <w:szCs w:val="21"/>
          <w:highlight w:val="none"/>
          <w:lang w:val="zh-CN"/>
        </w:rPr>
        <w:t xml:space="preserve"> </w:t>
      </w:r>
    </w:p>
    <w:p>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11.2.2授权委托书或法定代表人（单位负责人、自然人本人）身份证明；</w:t>
      </w:r>
    </w:p>
    <w:p>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11.2.3分包意向协议</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11.2.4符合性审查资料；</w:t>
      </w:r>
    </w:p>
    <w:p>
      <w:pPr>
        <w:pageBreakBefore w:val="0"/>
        <w:kinsoku/>
        <w:wordWrap/>
        <w:overflowPunct/>
        <w:topLinePunct w:val="0"/>
        <w:bidi w:val="0"/>
        <w:snapToGrid w:val="0"/>
        <w:spacing w:line="400" w:lineRule="exact"/>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11.2.5评标标准相应的商务技术资料；</w:t>
      </w:r>
    </w:p>
    <w:p>
      <w:pPr>
        <w:pageBreakBefore w:val="0"/>
        <w:kinsoku/>
        <w:wordWrap/>
        <w:overflowPunct/>
        <w:topLinePunct w:val="0"/>
        <w:bidi w:val="0"/>
        <w:snapToGrid w:val="0"/>
        <w:spacing w:line="400" w:lineRule="exact"/>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11.2.6投标标的清单；</w:t>
      </w:r>
    </w:p>
    <w:p>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11.2.7商务技术偏离表；</w:t>
      </w:r>
    </w:p>
    <w:p>
      <w:pPr>
        <w:pageBreakBefore w:val="0"/>
        <w:kinsoku/>
        <w:wordWrap/>
        <w:overflowPunct/>
        <w:topLinePunct w:val="0"/>
        <w:bidi w:val="0"/>
        <w:snapToGrid w:val="0"/>
        <w:spacing w:line="400" w:lineRule="exact"/>
        <w:ind w:firstLine="840" w:firstLineChars="4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政府采购供应商廉洁自律承诺书；</w:t>
      </w:r>
    </w:p>
    <w:p>
      <w:pPr>
        <w:pageBreakBefore w:val="0"/>
        <w:kinsoku/>
        <w:wordWrap/>
        <w:overflowPunct/>
        <w:topLinePunct w:val="0"/>
        <w:bidi w:val="0"/>
        <w:snapToGrid w:val="0"/>
        <w:spacing w:line="400" w:lineRule="exact"/>
        <w:ind w:firstLine="420" w:firstLineChars="200"/>
        <w:textAlignment w:val="auto"/>
        <w:rPr>
          <w:rFonts w:hint="eastAsia" w:ascii="仿宋" w:hAnsi="仿宋" w:eastAsia="仿宋" w:cs="仿宋"/>
          <w:color w:val="auto"/>
          <w:sz w:val="21"/>
          <w:szCs w:val="21"/>
          <w:highlight w:val="none"/>
          <w:u w:val="single"/>
          <w:lang w:val="zh-CN"/>
        </w:rPr>
      </w:pPr>
      <w:r>
        <w:rPr>
          <w:rFonts w:hint="eastAsia" w:ascii="仿宋" w:hAnsi="仿宋" w:eastAsia="仿宋" w:cs="仿宋"/>
          <w:color w:val="auto"/>
          <w:kern w:val="0"/>
          <w:sz w:val="21"/>
          <w:szCs w:val="21"/>
          <w:highlight w:val="none"/>
          <w:lang w:val="zh-CN"/>
        </w:rPr>
        <w:t>11.</w:t>
      </w:r>
      <w:r>
        <w:rPr>
          <w:rFonts w:hint="eastAsia" w:ascii="仿宋" w:hAnsi="仿宋" w:eastAsia="仿宋" w:cs="仿宋"/>
          <w:color w:val="auto"/>
          <w:kern w:val="0"/>
          <w:sz w:val="21"/>
          <w:szCs w:val="21"/>
          <w:highlight w:val="none"/>
        </w:rPr>
        <w:t>3</w:t>
      </w:r>
      <w:r>
        <w:rPr>
          <w:rFonts w:hint="eastAsia" w:ascii="仿宋" w:hAnsi="仿宋" w:eastAsia="仿宋" w:cs="仿宋"/>
          <w:b/>
          <w:color w:val="auto"/>
          <w:sz w:val="21"/>
          <w:szCs w:val="21"/>
          <w:highlight w:val="none"/>
        </w:rPr>
        <w:t>报价文件：</w:t>
      </w:r>
      <w:r>
        <w:rPr>
          <w:rFonts w:hint="eastAsia" w:ascii="仿宋" w:hAnsi="仿宋" w:eastAsia="仿宋" w:cs="仿宋"/>
          <w:color w:val="auto"/>
          <w:sz w:val="21"/>
          <w:szCs w:val="21"/>
          <w:highlight w:val="none"/>
        </w:rPr>
        <w:t xml:space="preserve"> </w:t>
      </w:r>
    </w:p>
    <w:p>
      <w:pPr>
        <w:pageBreakBefore w:val="0"/>
        <w:kinsoku/>
        <w:wordWrap/>
        <w:overflowPunct/>
        <w:topLinePunct w:val="0"/>
        <w:bidi w:val="0"/>
        <w:spacing w:line="400" w:lineRule="exact"/>
        <w:ind w:firstLine="630" w:firstLineChars="300"/>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11.3.1开标一览表（报价表）；</w:t>
      </w:r>
    </w:p>
    <w:p>
      <w:pPr>
        <w:pageBreakBefore w:val="0"/>
        <w:kinsoku/>
        <w:wordWrap/>
        <w:overflowPunct/>
        <w:topLinePunct w:val="0"/>
        <w:bidi w:val="0"/>
        <w:spacing w:line="400" w:lineRule="exact"/>
        <w:ind w:firstLine="630" w:firstLineChars="300"/>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rPr>
        <w:t>11.3.</w:t>
      </w:r>
      <w:r>
        <w:rPr>
          <w:rFonts w:hint="eastAsia" w:ascii="仿宋" w:hAnsi="仿宋" w:eastAsia="仿宋" w:cs="仿宋"/>
          <w:b w:val="0"/>
          <w:bCs/>
          <w:color w:val="auto"/>
          <w:sz w:val="21"/>
          <w:szCs w:val="21"/>
          <w:highlight w:val="none"/>
          <w:lang w:val="en-US" w:eastAsia="zh-CN"/>
        </w:rPr>
        <w:t>2</w:t>
      </w:r>
      <w:r>
        <w:rPr>
          <w:rFonts w:hint="eastAsia" w:ascii="仿宋" w:hAnsi="仿宋" w:eastAsia="仿宋" w:cs="仿宋"/>
          <w:b w:val="0"/>
          <w:bCs/>
          <w:color w:val="auto"/>
          <w:sz w:val="21"/>
          <w:szCs w:val="21"/>
          <w:highlight w:val="none"/>
          <w:lang w:val="en-US"/>
        </w:rPr>
        <w:t xml:space="preserve"> 报价情况说明</w:t>
      </w:r>
      <w:r>
        <w:rPr>
          <w:rFonts w:hint="eastAsia" w:ascii="仿宋" w:hAnsi="仿宋" w:eastAsia="仿宋" w:cs="仿宋"/>
          <w:b w:val="0"/>
          <w:bCs/>
          <w:color w:val="auto"/>
          <w:sz w:val="21"/>
          <w:szCs w:val="21"/>
          <w:highlight w:val="none"/>
          <w:lang w:val="en-US" w:eastAsia="zh-CN"/>
        </w:rPr>
        <w:t>；</w:t>
      </w:r>
    </w:p>
    <w:p>
      <w:pPr>
        <w:pageBreakBefore w:val="0"/>
        <w:kinsoku/>
        <w:wordWrap/>
        <w:overflowPunct/>
        <w:topLinePunct w:val="0"/>
        <w:bidi w:val="0"/>
        <w:spacing w:line="400" w:lineRule="exact"/>
        <w:ind w:firstLine="630" w:firstLineChars="300"/>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11.3.</w:t>
      </w: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rPr>
        <w:t>中小企业声明函。</w:t>
      </w:r>
      <w:r>
        <w:rPr>
          <w:rFonts w:hint="eastAsia" w:ascii="仿宋" w:hAnsi="仿宋" w:eastAsia="仿宋" w:cs="仿宋"/>
          <w:b w:val="0"/>
          <w:bCs/>
          <w:color w:val="auto"/>
          <w:sz w:val="21"/>
          <w:szCs w:val="21"/>
          <w:highlight w:val="none"/>
          <w:lang w:eastAsia="zh-CN"/>
        </w:rPr>
        <w:t>（如果有）</w:t>
      </w:r>
    </w:p>
    <w:p>
      <w:pPr>
        <w:pageBreakBefore w:val="0"/>
        <w:kinsoku/>
        <w:wordWrap/>
        <w:overflowPunct/>
        <w:topLinePunct w:val="0"/>
        <w:bidi w:val="0"/>
        <w:spacing w:line="400" w:lineRule="exact"/>
        <w:ind w:firstLine="632" w:firstLineChars="3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投标文件含有采购人不能接受的附加条件的，投标无效；</w:t>
      </w:r>
    </w:p>
    <w:p>
      <w:pPr>
        <w:pageBreakBefore w:val="0"/>
        <w:kinsoku/>
        <w:wordWrap/>
        <w:overflowPunct/>
        <w:topLinePunct w:val="0"/>
        <w:bidi w:val="0"/>
        <w:spacing w:line="400" w:lineRule="exact"/>
        <w:ind w:firstLine="632" w:firstLineChars="3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投标人提供虚假材料投标的，投标无效。</w:t>
      </w:r>
    </w:p>
    <w:p>
      <w:pPr>
        <w:pStyle w:val="2"/>
        <w:ind w:firstLine="632" w:firstLineChars="300"/>
        <w:rPr>
          <w:rFonts w:hint="eastAsia" w:ascii="仿宋" w:hAnsi="仿宋" w:eastAsia="仿宋" w:cs="仿宋"/>
          <w:b/>
          <w:bCs/>
          <w:color w:val="auto"/>
          <w:highlight w:val="none"/>
        </w:rPr>
      </w:pPr>
      <w:r>
        <w:rPr>
          <w:rFonts w:hint="eastAsia" w:ascii="仿宋" w:hAnsi="仿宋" w:eastAsia="仿宋" w:cs="仿宋"/>
          <w:b/>
          <w:bCs/>
          <w:color w:val="auto"/>
          <w:sz w:val="21"/>
          <w:highlight w:val="none"/>
          <w:lang w:val="zh-CN" w:eastAsia="zh-CN"/>
        </w:rPr>
        <w:t>投标人应对投标文件中材料的真实性、合法性负责。</w:t>
      </w:r>
    </w:p>
    <w:p>
      <w:pPr>
        <w:pStyle w:val="132"/>
        <w:pageBreakBefore w:val="0"/>
        <w:kinsoku/>
        <w:wordWrap/>
        <w:overflowPunct/>
        <w:topLinePunct w:val="0"/>
        <w:bidi w:val="0"/>
        <w:snapToGrid w:val="0"/>
        <w:spacing w:before="0" w:line="400" w:lineRule="exact"/>
        <w:ind w:firstLine="0" w:firstLineChars="0"/>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12</w:t>
      </w:r>
      <w:r>
        <w:rPr>
          <w:rFonts w:hint="eastAsia" w:ascii="仿宋" w:hAnsi="仿宋" w:eastAsia="仿宋" w:cs="仿宋"/>
          <w:b/>
          <w:color w:val="auto"/>
          <w:kern w:val="0"/>
          <w:sz w:val="21"/>
          <w:szCs w:val="21"/>
          <w:highlight w:val="none"/>
          <w:lang w:val="zh-CN"/>
        </w:rPr>
        <w:t xml:space="preserve">. </w:t>
      </w:r>
      <w:r>
        <w:rPr>
          <w:rFonts w:hint="eastAsia" w:ascii="仿宋" w:hAnsi="仿宋" w:eastAsia="仿宋" w:cs="仿宋"/>
          <w:b/>
          <w:color w:val="auto"/>
          <w:sz w:val="21"/>
          <w:szCs w:val="21"/>
          <w:highlight w:val="none"/>
        </w:rPr>
        <w:t>投标文件的编制</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pPr>
        <w:pageBreakBefore w:val="0"/>
        <w:kinsoku/>
        <w:wordWrap/>
        <w:overflowPunct/>
        <w:topLinePunct w:val="0"/>
        <w:bidi w:val="0"/>
        <w:snapToGrid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13.投标文件的签署、盖章</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13.1投标文件按照招标文件第六部分格式要求进行签署、盖章。</w:t>
      </w:r>
      <w:r>
        <w:rPr>
          <w:rFonts w:hint="eastAsia" w:ascii="仿宋" w:hAnsi="仿宋" w:eastAsia="仿宋" w:cs="仿宋"/>
          <w:b/>
          <w:color w:val="auto"/>
          <w:sz w:val="21"/>
          <w:szCs w:val="21"/>
          <w:highlight w:val="none"/>
        </w:rPr>
        <w:t>▲投标人的投标文件未按照招标文件要求签署、盖章的，其投标无效</w:t>
      </w:r>
      <w:r>
        <w:rPr>
          <w:rFonts w:hint="eastAsia" w:ascii="仿宋" w:hAnsi="仿宋" w:eastAsia="仿宋" w:cs="仿宋"/>
          <w:color w:val="auto"/>
          <w:sz w:val="21"/>
          <w:szCs w:val="21"/>
          <w:highlight w:val="none"/>
        </w:rPr>
        <w:t>。</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13.3招标文件对投标文件签署、盖章的要求适用于电子签名。</w:t>
      </w:r>
    </w:p>
    <w:p>
      <w:pPr>
        <w:pStyle w:val="132"/>
        <w:pageBreakBefore w:val="0"/>
        <w:kinsoku/>
        <w:wordWrap/>
        <w:overflowPunct/>
        <w:topLinePunct w:val="0"/>
        <w:bidi w:val="0"/>
        <w:spacing w:before="0"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14. 投标文件的提交、补充、修改、撤回</w:t>
      </w:r>
    </w:p>
    <w:p>
      <w:pPr>
        <w:pStyle w:val="132"/>
        <w:pageBreakBefore w:val="0"/>
        <w:kinsoku/>
        <w:wordWrap/>
        <w:overflowPunct/>
        <w:topLinePunct w:val="0"/>
        <w:bidi w:val="0"/>
        <w:spacing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可以视情况延长投标文件提交的截止时间。在上述情况下，</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与投标人以前在投标截止期方面的全部权利、责任和义务，将适用于延长至新的投标截止期。</w:t>
      </w:r>
    </w:p>
    <w:p>
      <w:pPr>
        <w:pStyle w:val="33"/>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15.备份投标文件</w:t>
      </w:r>
    </w:p>
    <w:p>
      <w:pPr>
        <w:pStyle w:val="33"/>
        <w:pageBreakBefore w:val="0"/>
        <w:kinsoku/>
        <w:wordWrap/>
        <w:overflowPunct/>
        <w:topLinePunct w:val="0"/>
        <w:bidi w:val="0"/>
        <w:spacing w:line="400" w:lineRule="exact"/>
        <w:ind w:firstLine="315" w:firstLineChars="15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1"/>
          <w:szCs w:val="21"/>
          <w:highlight w:val="none"/>
        </w:rPr>
        <w:t>但采购人、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不强制或变相强制投标人提交备份投标文件。</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15.2备份投标文件须在“政采云投标客户端”制作生成，并储存在DVD光盘</w:t>
      </w:r>
      <w:r>
        <w:rPr>
          <w:rFonts w:hint="eastAsia" w:ascii="仿宋" w:hAnsi="仿宋" w:eastAsia="仿宋" w:cs="仿宋"/>
          <w:color w:val="auto"/>
          <w:sz w:val="21"/>
          <w:szCs w:val="21"/>
          <w:highlight w:val="none"/>
          <w:lang w:val="en-US" w:eastAsia="zh-CN"/>
        </w:rPr>
        <w:t>等存储介质</w:t>
      </w:r>
      <w:r>
        <w:rPr>
          <w:rFonts w:hint="eastAsia" w:ascii="仿宋" w:hAnsi="仿宋" w:eastAsia="仿宋" w:cs="仿宋"/>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1"/>
          <w:szCs w:val="21"/>
          <w:highlight w:val="none"/>
        </w:rPr>
        <w:t>不符合上述制作、存储、密封规定的备份投标文件将被视为无效或者被拒绝接收。</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将拒绝接受逾期送达的备份投标文件。</w:t>
      </w:r>
    </w:p>
    <w:p>
      <w:pPr>
        <w:pStyle w:val="33"/>
        <w:pageBreakBefore w:val="0"/>
        <w:kinsoku/>
        <w:wordWrap/>
        <w:overflowPunct/>
        <w:topLinePunct w:val="0"/>
        <w:bidi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1"/>
          <w:szCs w:val="21"/>
          <w:highlight w:val="none"/>
        </w:rPr>
        <w:t>招标文件第二部分投标人须知前附表规定的备份投标文件送达地点；</w:t>
      </w:r>
      <w:r>
        <w:rPr>
          <w:rFonts w:hint="eastAsia" w:ascii="仿宋" w:hAnsi="仿宋" w:eastAsia="仿宋" w:cs="仿宋"/>
          <w:color w:val="auto"/>
          <w:sz w:val="21"/>
          <w:szCs w:val="21"/>
          <w:highlight w:val="none"/>
        </w:rPr>
        <w:t>送达时间以签收人签收时间为准。</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将拒绝接受逾期送达的备份投标文件。邮寄过程中，电子备份投标文件发生泄露、遗失、损坏或延期送达等情况的，由投标人自行负责。</w:t>
      </w:r>
    </w:p>
    <w:p>
      <w:pPr>
        <w:pStyle w:val="33"/>
        <w:pageBreakBefore w:val="0"/>
        <w:kinsoku/>
        <w:wordWrap/>
        <w:overflowPunct/>
        <w:topLinePunct w:val="0"/>
        <w:bidi w:val="0"/>
        <w:spacing w:line="400" w:lineRule="exact"/>
        <w:ind w:firstLine="420" w:firstLine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15.5投标人仅提交备份投标文件，未在电子交易平台传输递交投标文件的，投标无效。</w:t>
      </w:r>
    </w:p>
    <w:p>
      <w:pPr>
        <w:pStyle w:val="132"/>
        <w:pageBreakBefore w:val="0"/>
        <w:kinsoku/>
        <w:wordWrap/>
        <w:overflowPunct/>
        <w:topLinePunct w:val="0"/>
        <w:bidi w:val="0"/>
        <w:spacing w:before="0"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16.投标文件的无效处理</w:t>
      </w:r>
    </w:p>
    <w:p>
      <w:pPr>
        <w:pStyle w:val="25"/>
        <w:pageBreakBefore w:val="0"/>
        <w:kinsoku/>
        <w:wordWrap/>
        <w:overflowPunct/>
        <w:topLinePunct w:val="0"/>
        <w:bidi w:val="0"/>
        <w:spacing w:line="400" w:lineRule="exact"/>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有招标文件第四部分4.2规定的情形之一的，投标无效：</w:t>
      </w:r>
    </w:p>
    <w:p>
      <w:pPr>
        <w:pStyle w:val="132"/>
        <w:pageBreakBefore w:val="0"/>
        <w:kinsoku/>
        <w:wordWrap/>
        <w:overflowPunct/>
        <w:topLinePunct w:val="0"/>
        <w:bidi w:val="0"/>
        <w:spacing w:before="0"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17.投标有效期</w:t>
      </w:r>
    </w:p>
    <w:p>
      <w:pPr>
        <w:pageBreakBefore w:val="0"/>
        <w:kinsoku/>
        <w:wordWrap/>
        <w:overflowPunct/>
        <w:topLinePunct w:val="0"/>
        <w:bidi w:val="0"/>
        <w:spacing w:line="400" w:lineRule="exact"/>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17.1投标有效期为从提交投标文件的截止之日起90天。</w:t>
      </w:r>
      <w:r>
        <w:rPr>
          <w:rFonts w:hint="eastAsia" w:ascii="仿宋" w:hAnsi="仿宋" w:eastAsia="仿宋" w:cs="仿宋"/>
          <w:b/>
          <w:color w:val="auto"/>
          <w:sz w:val="21"/>
          <w:szCs w:val="21"/>
          <w:highlight w:val="none"/>
        </w:rPr>
        <w:t>投标人的投标文件中承诺的投标有效期少于招标文件中载明的投标有效期的，投标无效。</w:t>
      </w:r>
    </w:p>
    <w:p>
      <w:pPr>
        <w:pStyle w:val="132"/>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17.2投标文件合格投递后，自投标截止日期起，在投标有效期内有效。</w:t>
      </w:r>
    </w:p>
    <w:p>
      <w:pPr>
        <w:pStyle w:val="132"/>
        <w:pageBreakBefore w:val="0"/>
        <w:kinsoku/>
        <w:wordWrap/>
        <w:overflowPunct/>
        <w:topLinePunct w:val="0"/>
        <w:bidi w:val="0"/>
        <w:spacing w:before="0" w:line="400" w:lineRule="exact"/>
        <w:ind w:firstLine="48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17.3在原定投标有效期满之前，如果出现特殊情况，</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可以以书面形式通知投标人延长投标有效期。投标人同意延长的，不得要求或被允许修改其投标文件，投标人拒绝延长的，其投标无效。</w:t>
      </w:r>
    </w:p>
    <w:p>
      <w:pPr>
        <w:pStyle w:val="132"/>
        <w:pageBreakBefore w:val="0"/>
        <w:kinsoku/>
        <w:wordWrap/>
        <w:overflowPunct/>
        <w:topLinePunct w:val="0"/>
        <w:bidi w:val="0"/>
        <w:spacing w:before="0" w:line="400" w:lineRule="exact"/>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pPr>
        <w:pStyle w:val="557"/>
        <w:pageBreakBefore w:val="0"/>
        <w:kinsoku/>
        <w:wordWrap/>
        <w:overflowPunct/>
        <w:topLinePunct w:val="0"/>
        <w:bidi w:val="0"/>
        <w:spacing w:before="0" w:line="400" w:lineRule="exact"/>
        <w:ind w:left="0" w:firstLine="211" w:firstLineChars="100"/>
        <w:contextualSpacing/>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18.开标</w:t>
      </w:r>
      <w:r>
        <w:rPr>
          <w:rFonts w:hint="eastAsia" w:ascii="仿宋" w:hAnsi="仿宋" w:eastAsia="仿宋" w:cs="仿宋"/>
          <w:color w:val="auto"/>
          <w:sz w:val="21"/>
          <w:szCs w:val="21"/>
          <w:highlight w:val="none"/>
        </w:rPr>
        <w:t xml:space="preserve"> </w:t>
      </w:r>
    </w:p>
    <w:p>
      <w:pPr>
        <w:pStyle w:val="557"/>
        <w:pageBreakBefore w:val="0"/>
        <w:kinsoku/>
        <w:wordWrap/>
        <w:overflowPunct/>
        <w:topLinePunct w:val="0"/>
        <w:bidi w:val="0"/>
        <w:spacing w:before="0" w:line="400" w:lineRule="exact"/>
        <w:ind w:left="0"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按照招标文件规定的时间通过电子交易平台组织开标，所有投标人均应当准时在线参加。投标人不足3家的，不得开标。</w:t>
      </w:r>
    </w:p>
    <w:p>
      <w:pPr>
        <w:pStyle w:val="557"/>
        <w:pageBreakBefore w:val="0"/>
        <w:kinsoku/>
        <w:wordWrap/>
        <w:overflowPunct/>
        <w:topLinePunct w:val="0"/>
        <w:bidi w:val="0"/>
        <w:spacing w:before="0" w:line="400" w:lineRule="exact"/>
        <w:ind w:left="0" w:firstLine="210" w:firstLineChars="1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18.2开标时，电子交易平台按开标时间自动提取所有投标文件。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依托电子交易平台发起开始解密指令，投标人按照平台提示和招标文件的规定在半小时内完成在线解密。</w:t>
      </w:r>
    </w:p>
    <w:p>
      <w:pPr>
        <w:pStyle w:val="557"/>
        <w:pageBreakBefore w:val="0"/>
        <w:kinsoku/>
        <w:wordWrap/>
        <w:overflowPunct/>
        <w:topLinePunct w:val="0"/>
        <w:bidi w:val="0"/>
        <w:spacing w:before="0" w:line="400" w:lineRule="exact"/>
        <w:ind w:left="0" w:firstLine="210" w:firstLineChars="100"/>
        <w:contextualSpacing/>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18.3</w:t>
      </w:r>
      <w:r>
        <w:rPr>
          <w:rFonts w:hint="eastAsia" w:ascii="仿宋" w:hAnsi="仿宋" w:eastAsia="仿宋" w:cs="仿宋"/>
          <w:b/>
          <w:color w:val="auto"/>
          <w:sz w:val="21"/>
          <w:szCs w:val="21"/>
          <w:highlight w:val="none"/>
        </w:rPr>
        <w:t>投标文件未按时解密，投标人提供了备份投标文件的，以备份投标文件作为依据，否则视为投标文件撤回。投标文件已按时解密的，备份投标文件自动失效。</w:t>
      </w:r>
    </w:p>
    <w:p>
      <w:pPr>
        <w:pageBreakBefore w:val="0"/>
        <w:widowControl/>
        <w:kinsoku/>
        <w:wordWrap/>
        <w:overflowPunct/>
        <w:topLinePunct w:val="0"/>
        <w:bidi w:val="0"/>
        <w:spacing w:before="100" w:beforeAutospacing="1" w:after="240" w:line="40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19、资格审查</w:t>
      </w:r>
    </w:p>
    <w:p>
      <w:pPr>
        <w:pageBreakBefore w:val="0"/>
        <w:kinsoku/>
        <w:wordWrap/>
        <w:overflowPunct/>
        <w:topLinePunct w:val="0"/>
        <w:bidi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sz w:val="21"/>
          <w:szCs w:val="21"/>
          <w:highlight w:val="none"/>
        </w:rPr>
        <w:t>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依据法律法规和招标文件的规定，对投标人的资格进行审查。</w:t>
      </w:r>
    </w:p>
    <w:p>
      <w:pPr>
        <w:pStyle w:val="132"/>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投标人未按照招标文件要求提供与</w:t>
      </w:r>
      <w:r>
        <w:rPr>
          <w:rFonts w:hint="eastAsia" w:ascii="仿宋" w:hAnsi="仿宋" w:eastAsia="仿宋" w:cs="仿宋"/>
          <w:color w:val="auto"/>
          <w:sz w:val="21"/>
          <w:szCs w:val="21"/>
          <w:highlight w:val="none"/>
        </w:rPr>
        <w:t>资格条件相应的</w:t>
      </w:r>
      <w:r>
        <w:rPr>
          <w:rFonts w:hint="eastAsia" w:ascii="仿宋" w:hAnsi="仿宋" w:eastAsia="仿宋" w:cs="仿宋"/>
          <w:color w:val="auto"/>
          <w:kern w:val="0"/>
          <w:sz w:val="21"/>
          <w:szCs w:val="21"/>
          <w:highlight w:val="none"/>
        </w:rPr>
        <w:t>有效资格证明材料的，视为</w:t>
      </w:r>
      <w:r>
        <w:rPr>
          <w:rFonts w:hint="eastAsia" w:ascii="仿宋" w:hAnsi="仿宋" w:eastAsia="仿宋" w:cs="仿宋"/>
          <w:color w:val="auto"/>
          <w:sz w:val="21"/>
          <w:szCs w:val="21"/>
          <w:highlight w:val="none"/>
        </w:rPr>
        <w:t>投标人不具备招标文件中规定的资格要求，其投标无效。</w:t>
      </w:r>
    </w:p>
    <w:p>
      <w:pPr>
        <w:pStyle w:val="132"/>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对未通过资格审查的投标人，采购人或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告知其未通过的原因。</w:t>
      </w:r>
    </w:p>
    <w:p>
      <w:pPr>
        <w:pStyle w:val="132"/>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合格投标人不足3家的，不再评标。</w:t>
      </w:r>
    </w:p>
    <w:p>
      <w:pPr>
        <w:pStyle w:val="132"/>
        <w:pageBreakBefore w:val="0"/>
        <w:kinsoku/>
        <w:wordWrap/>
        <w:overflowPunct/>
        <w:topLinePunct w:val="0"/>
        <w:bidi w:val="0"/>
        <w:spacing w:before="0"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20、信用信息查询</w:t>
      </w:r>
    </w:p>
    <w:p>
      <w:pPr>
        <w:pStyle w:val="132"/>
        <w:pageBreakBefore w:val="0"/>
        <w:kinsoku/>
        <w:wordWrap/>
        <w:overflowPunct/>
        <w:topLinePunct w:val="0"/>
        <w:bidi w:val="0"/>
        <w:spacing w:before="0" w:line="400" w:lineRule="exact"/>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20.1信用信息查询渠道及截止时间：</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将在资格审查时通过“信用中国”网站(www.creditchina.gov.cn)、中国政府采购网(www.ccgp.gov.cn)渠道查询投标人接受资格审查时的信用记录。</w:t>
      </w:r>
    </w:p>
    <w:p>
      <w:pPr>
        <w:pStyle w:val="132"/>
        <w:pageBreakBefore w:val="0"/>
        <w:kinsoku/>
        <w:wordWrap/>
        <w:overflowPunct/>
        <w:topLinePunct w:val="0"/>
        <w:bidi w:val="0"/>
        <w:spacing w:before="0" w:line="400" w:lineRule="exact"/>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20.2信用信息查询记录和证据留存的具体方式：现场查询的投标人的信用记录、查询结果经确认后将与采购文件一起存档。</w:t>
      </w:r>
    </w:p>
    <w:p>
      <w:pPr>
        <w:pStyle w:val="132"/>
        <w:pageBreakBefore w:val="0"/>
        <w:kinsoku/>
        <w:wordWrap/>
        <w:overflowPunct/>
        <w:topLinePunct w:val="0"/>
        <w:bidi w:val="0"/>
        <w:spacing w:before="0" w:line="400" w:lineRule="exact"/>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pPr>
        <w:pStyle w:val="132"/>
        <w:pageBreakBefore w:val="0"/>
        <w:kinsoku/>
        <w:wordWrap/>
        <w:overflowPunct/>
        <w:topLinePunct w:val="0"/>
        <w:bidi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1"/>
          <w:szCs w:val="21"/>
          <w:highlight w:val="none"/>
        </w:rPr>
        <w:t>。</w:t>
      </w:r>
    </w:p>
    <w:p>
      <w:pPr>
        <w:pageBreakBefore w:val="0"/>
        <w:kinsoku/>
        <w:wordWrap/>
        <w:overflowPunct/>
        <w:topLinePunct w:val="0"/>
        <w:bidi w:val="0"/>
        <w:snapToGrid w:val="0"/>
        <w:spacing w:line="40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sz w:val="28"/>
          <w:szCs w:val="28"/>
          <w:highlight w:val="none"/>
        </w:rPr>
        <w:t>五、评标</w:t>
      </w:r>
    </w:p>
    <w:p>
      <w:pPr>
        <w:pageBreakBefore w:val="0"/>
        <w:kinsoku/>
        <w:wordWrap/>
        <w:overflowPunct/>
        <w:topLinePunct w:val="0"/>
        <w:bidi w:val="0"/>
        <w:spacing w:line="400" w:lineRule="exact"/>
        <w:textAlignment w:val="auto"/>
        <w:rPr>
          <w:rFonts w:hint="eastAsia" w:ascii="仿宋" w:hAnsi="仿宋" w:eastAsia="仿宋" w:cs="仿宋"/>
          <w:b/>
          <w:color w:val="auto"/>
          <w:sz w:val="21"/>
          <w:szCs w:val="21"/>
          <w:highlight w:val="none"/>
          <w:lang w:eastAsia="zh-CN"/>
        </w:rPr>
      </w:pPr>
      <w:bookmarkStart w:id="18" w:name="_Toc91899903"/>
      <w:r>
        <w:rPr>
          <w:rFonts w:hint="eastAsia" w:ascii="仿宋" w:hAnsi="仿宋" w:eastAsia="仿宋" w:cs="仿宋"/>
          <w:b/>
          <w:color w:val="auto"/>
          <w:sz w:val="21"/>
          <w:szCs w:val="21"/>
          <w:highlight w:val="none"/>
        </w:rPr>
        <w:t>21.</w:t>
      </w:r>
      <w:r>
        <w:rPr>
          <w:rFonts w:hint="eastAsia" w:ascii="仿宋" w:hAnsi="仿宋" w:eastAsia="仿宋" w:cs="仿宋"/>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1"/>
          <w:szCs w:val="21"/>
          <w:highlight w:val="none"/>
        </w:rPr>
        <w:t>详见招标文件第四部分评标办法。</w:t>
      </w:r>
    </w:p>
    <w:p>
      <w:pPr>
        <w:pageBreakBefore w:val="0"/>
        <w:kinsoku/>
        <w:wordWrap/>
        <w:overflowPunct/>
        <w:topLinePunct w:val="0"/>
        <w:bidi w:val="0"/>
        <w:snapToGrid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 标</w:t>
      </w:r>
    </w:p>
    <w:p>
      <w:pPr>
        <w:pStyle w:val="25"/>
        <w:pageBreakBefore w:val="0"/>
        <w:kinsoku/>
        <w:wordWrap/>
        <w:overflowPunct/>
        <w:topLinePunct w:val="0"/>
        <w:bidi w:val="0"/>
        <w:spacing w:line="400" w:lineRule="exact"/>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22. 确定中标供应商</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 w:val="21"/>
          <w:szCs w:val="21"/>
          <w:highlight w:val="none"/>
          <w:lang w:val="en-US" w:eastAsia="zh-CN"/>
        </w:rPr>
        <w:t>鼓励</w:t>
      </w:r>
      <w:r>
        <w:rPr>
          <w:rFonts w:hint="eastAsia" w:ascii="仿宋" w:hAnsi="仿宋" w:eastAsia="仿宋" w:cs="仿宋"/>
          <w:color w:val="auto"/>
          <w:sz w:val="21"/>
          <w:szCs w:val="21"/>
          <w:highlight w:val="none"/>
        </w:rPr>
        <w:t>在收到评审报告当天</w:t>
      </w:r>
      <w:r>
        <w:rPr>
          <w:rFonts w:hint="eastAsia" w:ascii="仿宋" w:hAnsi="仿宋" w:eastAsia="仿宋" w:cs="仿宋"/>
          <w:color w:val="auto"/>
          <w:sz w:val="21"/>
          <w:szCs w:val="21"/>
          <w:highlight w:val="none"/>
          <w:lang w:val="en-US" w:eastAsia="zh-CN"/>
        </w:rPr>
        <w:t>在线</w:t>
      </w:r>
      <w:r>
        <w:rPr>
          <w:rFonts w:hint="eastAsia" w:ascii="仿宋" w:hAnsi="仿宋" w:eastAsia="仿宋" w:cs="仿宋"/>
          <w:color w:val="auto"/>
          <w:sz w:val="21"/>
          <w:szCs w:val="21"/>
          <w:highlight w:val="none"/>
        </w:rPr>
        <w:t>确定中标或者成交供应商。中标、成交通知书和中标、成交结果公告应当在规定时间内同时发出。</w:t>
      </w:r>
    </w:p>
    <w:p>
      <w:pPr>
        <w:pStyle w:val="132"/>
        <w:pageBreakBefore w:val="0"/>
        <w:kinsoku/>
        <w:wordWrap/>
        <w:overflowPunct/>
        <w:topLinePunct w:val="0"/>
        <w:bidi w:val="0"/>
        <w:snapToGrid w:val="0"/>
        <w:spacing w:before="0"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23. 中标通知与中标结果公告</w:t>
      </w:r>
    </w:p>
    <w:p>
      <w:pPr>
        <w:pageBreakBefore w:val="0"/>
        <w:widowControl/>
        <w:shd w:val="clear" w:color="auto" w:fill="FFFFFF"/>
        <w:kinsoku/>
        <w:wordWrap/>
        <w:overflowPunct/>
        <w:topLinePunct w:val="0"/>
        <w:bidi w:val="0"/>
        <w:spacing w:line="400" w:lineRule="exact"/>
        <w:ind w:firstLine="48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23.1自中标人确定之日起2个工作日内，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通过电子交易平台向中标人发出中标通知书，同时编制发布采购结果公告。</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也可以以纸质形式进行中标通知。</w:t>
      </w:r>
    </w:p>
    <w:p>
      <w:pPr>
        <w:pageBreakBefore w:val="0"/>
        <w:widowControl/>
        <w:shd w:val="clear" w:color="auto" w:fill="FFFFFF"/>
        <w:kinsoku/>
        <w:wordWrap/>
        <w:overflowPunct/>
        <w:topLinePunct w:val="0"/>
        <w:bidi w:val="0"/>
        <w:spacing w:line="400" w:lineRule="exact"/>
        <w:ind w:firstLine="48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23.2中标结果公告内容包括采购人及其委托的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ageBreakBefore w:val="0"/>
        <w:widowControl/>
        <w:shd w:val="clear" w:color="auto" w:fill="FFFFFF"/>
        <w:kinsoku/>
        <w:wordWrap/>
        <w:overflowPunct/>
        <w:topLinePunct w:val="0"/>
        <w:bidi w:val="0"/>
        <w:spacing w:line="400" w:lineRule="exact"/>
        <w:ind w:firstLine="48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23.3公告期限为1个工作日。</w:t>
      </w:r>
    </w:p>
    <w:p>
      <w:pPr>
        <w:shd w:val="clear" w:color="auto" w:fill="FFFFFF"/>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 xml:space="preserve">.4 </w:t>
      </w:r>
      <w:r>
        <w:rPr>
          <w:rFonts w:hint="eastAsia" w:ascii="仿宋" w:hAnsi="仿宋" w:eastAsia="仿宋" w:cs="仿宋"/>
          <w:color w:val="auto"/>
          <w:szCs w:val="21"/>
          <w:highlight w:val="none"/>
        </w:rPr>
        <w:t>由于中标、成交供应商原因导致重新采购的，应当承担支付代理费和专家评审费等费用在内的赔偿责任。</w:t>
      </w:r>
    </w:p>
    <w:p>
      <w:pPr>
        <w:pStyle w:val="2"/>
        <w:rPr>
          <w:rFonts w:hint="eastAsia" w:ascii="仿宋" w:hAnsi="仿宋" w:eastAsia="仿宋" w:cs="仿宋"/>
          <w:color w:val="auto"/>
          <w:highlight w:val="none"/>
        </w:rPr>
      </w:pPr>
    </w:p>
    <w:p>
      <w:pPr>
        <w:pageBreakBefore w:val="0"/>
        <w:kinsoku/>
        <w:wordWrap/>
        <w:overflowPunct/>
        <w:topLinePunct w:val="0"/>
        <w:bidi w:val="0"/>
        <w:snapToGrid w:val="0"/>
        <w:spacing w:line="400" w:lineRule="exact"/>
        <w:ind w:firstLine="3654" w:firstLineChars="1300"/>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8"/>
          <w:szCs w:val="28"/>
          <w:highlight w:val="none"/>
        </w:rPr>
        <w:t>七、合同授予</w:t>
      </w:r>
    </w:p>
    <w:p>
      <w:pPr>
        <w:pStyle w:val="25"/>
        <w:pageBreakBefore w:val="0"/>
        <w:kinsoku/>
        <w:wordWrap/>
        <w:overflowPunct/>
        <w:topLinePunct w:val="0"/>
        <w:bidi w:val="0"/>
        <w:spacing w:line="400" w:lineRule="exact"/>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24. </w:t>
      </w:r>
      <w:r>
        <w:rPr>
          <w:rFonts w:hint="eastAsia" w:ascii="仿宋" w:hAnsi="仿宋" w:eastAsia="仿宋" w:cs="仿宋"/>
          <w:color w:val="auto"/>
          <w:sz w:val="21"/>
          <w:szCs w:val="21"/>
          <w:highlight w:val="none"/>
        </w:rPr>
        <w:t>合同主要条款详见第五部分拟签订的合同文本。</w:t>
      </w:r>
    </w:p>
    <w:p>
      <w:pPr>
        <w:pStyle w:val="25"/>
        <w:pageBreakBefore w:val="0"/>
        <w:kinsoku/>
        <w:wordWrap/>
        <w:overflowPunct/>
        <w:topLinePunct w:val="0"/>
        <w:bidi w:val="0"/>
        <w:spacing w:line="400" w:lineRule="exact"/>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 合同的签订</w:t>
      </w:r>
    </w:p>
    <w:p>
      <w:pPr>
        <w:pageBreakBefore w:val="0"/>
        <w:widowControl/>
        <w:shd w:val="clear" w:color="auto" w:fill="FFFFFF"/>
        <w:kinsoku/>
        <w:wordWrap/>
        <w:overflowPunct/>
        <w:topLinePunct w:val="0"/>
        <w:bidi w:val="0"/>
        <w:spacing w:line="400" w:lineRule="exact"/>
        <w:ind w:firstLine="48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25.1</w:t>
      </w:r>
      <w:r>
        <w:rPr>
          <w:rFonts w:hint="eastAsia" w:ascii="仿宋" w:hAnsi="仿宋" w:eastAsia="仿宋" w:cs="仿宋"/>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25.3如签订合同并生效后，供应商无故拒绝或延期，除按照合同条款处理外，列入不良行为记录一次，并给予通报。</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pPr>
        <w:pStyle w:val="132"/>
        <w:pageBreakBefore w:val="0"/>
        <w:kinsoku/>
        <w:wordWrap/>
        <w:overflowPunct/>
        <w:topLinePunct w:val="0"/>
        <w:bidi w:val="0"/>
        <w:snapToGrid w:val="0"/>
        <w:spacing w:before="0" w:after="12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25.5采购合同由采购人与中标供应商根据招标文件、投标文件等内容通过政府采购电子交易平台在线签订，自动备案。</w:t>
      </w:r>
    </w:p>
    <w:p>
      <w:pPr>
        <w:pStyle w:val="25"/>
        <w:pageBreakBefore w:val="0"/>
        <w:kinsoku/>
        <w:wordWrap/>
        <w:overflowPunct/>
        <w:topLinePunct w:val="0"/>
        <w:bidi w:val="0"/>
        <w:spacing w:line="400" w:lineRule="exact"/>
        <w:ind w:left="479" w:hanging="420" w:hangingChars="199"/>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26. 履约保证金</w:t>
      </w:r>
    </w:p>
    <w:p>
      <w:pPr>
        <w:pageBreakBefore w:val="0"/>
        <w:tabs>
          <w:tab w:val="left" w:pos="0"/>
        </w:tabs>
        <w:kinsoku/>
        <w:wordWrap/>
        <w:overflowPunct/>
        <w:topLinePunct w:val="0"/>
        <w:bidi w:val="0"/>
        <w:spacing w:line="400" w:lineRule="exact"/>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1"/>
          <w:szCs w:val="21"/>
          <w:highlight w:val="none"/>
        </w:rPr>
        <w:t>。履约保证金的数额不得超过政府采购合同金额的1%，</w:t>
      </w:r>
      <w:r>
        <w:rPr>
          <w:rFonts w:hint="eastAsia" w:ascii="仿宋" w:hAnsi="仿宋" w:eastAsia="仿宋" w:cs="仿宋"/>
          <w:color w:val="auto"/>
          <w:kern w:val="2"/>
          <w:sz w:val="21"/>
          <w:szCs w:val="21"/>
          <w:highlight w:val="none"/>
        </w:rPr>
        <w:t>鼓励根据项目特点、供应商诚信等因素免收履约保证金或降低缴纳比例。</w:t>
      </w:r>
      <w:r>
        <w:rPr>
          <w:rFonts w:hint="eastAsia" w:ascii="仿宋" w:hAnsi="仿宋" w:eastAsia="仿宋" w:cs="仿宋"/>
          <w:color w:val="auto"/>
          <w:sz w:val="21"/>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pStyle w:val="4"/>
        <w:pageBreakBefore w:val="0"/>
        <w:kinsoku/>
        <w:wordWrap/>
        <w:overflowPunct/>
        <w:topLinePunct w:val="0"/>
        <w:bidi w:val="0"/>
        <w:spacing w:line="400" w:lineRule="exact"/>
        <w:ind w:left="0" w:firstLine="420" w:firstLineChars="200"/>
        <w:textAlignment w:val="auto"/>
        <w:rPr>
          <w:rFonts w:hint="eastAsia" w:ascii="仿宋" w:hAnsi="仿宋" w:eastAsia="仿宋" w:cs="仿宋"/>
          <w:b w:val="0"/>
          <w:bCs w:val="0"/>
          <w:snapToGrid w:val="0"/>
          <w:color w:val="auto"/>
          <w:kern w:val="28"/>
          <w:sz w:val="21"/>
          <w:szCs w:val="21"/>
          <w:highlight w:val="none"/>
        </w:rPr>
      </w:pPr>
      <w:r>
        <w:rPr>
          <w:rFonts w:hint="eastAsia" w:ascii="仿宋" w:hAnsi="仿宋" w:eastAsia="仿宋" w:cs="仿宋"/>
          <w:b w:val="0"/>
          <w:bCs w:val="0"/>
          <w:snapToGrid w:val="0"/>
          <w:color w:val="auto"/>
          <w:kern w:val="28"/>
          <w:sz w:val="21"/>
          <w:szCs w:val="21"/>
          <w:highlight w:val="none"/>
        </w:rPr>
        <w:t>供应商</w:t>
      </w:r>
      <w:r>
        <w:rPr>
          <w:rFonts w:hint="eastAsia" w:ascii="仿宋" w:hAnsi="仿宋" w:eastAsia="仿宋" w:cs="仿宋"/>
          <w:b w:val="0"/>
          <w:bCs w:val="0"/>
          <w:snapToGrid w:val="0"/>
          <w:color w:val="auto"/>
          <w:kern w:val="28"/>
          <w:sz w:val="21"/>
          <w:szCs w:val="21"/>
          <w:highlight w:val="none"/>
          <w:lang w:val="en-US"/>
        </w:rPr>
        <w:t>可</w:t>
      </w:r>
      <w:r>
        <w:rPr>
          <w:rFonts w:hint="eastAsia" w:ascii="仿宋" w:hAnsi="仿宋" w:eastAsia="仿宋" w:cs="仿宋"/>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1"/>
          <w:szCs w:val="21"/>
          <w:highlight w:val="none"/>
          <w:lang w:val="en-US" w:eastAsia="zh-CN"/>
        </w:rPr>
        <w:t>95763</w:t>
      </w:r>
      <w:r>
        <w:rPr>
          <w:rFonts w:hint="eastAsia" w:ascii="仿宋" w:hAnsi="仿宋" w:eastAsia="仿宋" w:cs="仿宋"/>
          <w:b w:val="0"/>
          <w:bCs w:val="0"/>
          <w:snapToGrid w:val="0"/>
          <w:color w:val="auto"/>
          <w:kern w:val="28"/>
          <w:sz w:val="21"/>
          <w:szCs w:val="21"/>
          <w:highlight w:val="none"/>
        </w:rPr>
        <w:t>。</w:t>
      </w:r>
    </w:p>
    <w:p>
      <w:pPr>
        <w:pStyle w:val="4"/>
        <w:pageBreakBefore w:val="0"/>
        <w:kinsoku/>
        <w:wordWrap/>
        <w:overflowPunct/>
        <w:topLinePunct w:val="0"/>
        <w:bidi w:val="0"/>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lang w:val="en-US"/>
        </w:rPr>
        <w:t>27.预付款</w:t>
      </w:r>
    </w:p>
    <w:p>
      <w:pPr>
        <w:pageBreakBefore w:val="0"/>
        <w:kinsoku/>
        <w:wordWrap/>
        <w:overflowPunct/>
        <w:topLinePunct w:val="0"/>
        <w:bidi w:val="0"/>
        <w:adjustRightInd/>
        <w:spacing w:line="400" w:lineRule="exact"/>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1"/>
          <w:szCs w:val="21"/>
          <w:highlight w:val="none"/>
        </w:rPr>
        <w:t>不低于</w:t>
      </w:r>
      <w:r>
        <w:rPr>
          <w:rFonts w:hint="eastAsia" w:ascii="仿宋" w:hAnsi="仿宋" w:eastAsia="仿宋" w:cs="仿宋"/>
          <w:color w:val="auto"/>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1"/>
          <w:szCs w:val="21"/>
          <w:highlight w:val="none"/>
          <w:lang w:val="en-US" w:eastAsia="zh-CN"/>
        </w:rPr>
        <w:t>95763</w:t>
      </w:r>
      <w:r>
        <w:rPr>
          <w:rFonts w:hint="eastAsia" w:ascii="仿宋" w:hAnsi="仿宋" w:eastAsia="仿宋" w:cs="仿宋"/>
          <w:color w:val="auto"/>
          <w:kern w:val="2"/>
          <w:sz w:val="21"/>
          <w:szCs w:val="21"/>
          <w:highlight w:val="none"/>
        </w:rPr>
        <w:t>。</w:t>
      </w:r>
    </w:p>
    <w:p>
      <w:pPr>
        <w:pageBreakBefore w:val="0"/>
        <w:kinsoku/>
        <w:wordWrap/>
        <w:overflowPunct/>
        <w:topLinePunct w:val="0"/>
        <w:bidi w:val="0"/>
        <w:snapToGrid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pPr>
        <w:pStyle w:val="132"/>
        <w:pageBreakBefore w:val="0"/>
        <w:kinsoku/>
        <w:wordWrap/>
        <w:overflowPunct/>
        <w:topLinePunct w:val="0"/>
        <w:bidi w:val="0"/>
        <w:snapToGrid w:val="0"/>
        <w:spacing w:before="0" w:line="400" w:lineRule="exact"/>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rPr>
        <w:t>28</w:t>
      </w:r>
      <w:r>
        <w:rPr>
          <w:rFonts w:hint="eastAsia" w:ascii="仿宋" w:hAnsi="仿宋" w:eastAsia="仿宋" w:cs="仿宋"/>
          <w:b/>
          <w:color w:val="auto"/>
          <w:sz w:val="21"/>
          <w:szCs w:val="21"/>
          <w:highlight w:val="none"/>
        </w:rPr>
        <w:t>. 电子交易活动的中止。</w:t>
      </w:r>
      <w:r>
        <w:rPr>
          <w:rFonts w:hint="eastAsia" w:ascii="仿宋" w:hAnsi="仿宋" w:eastAsia="仿宋" w:cs="仿宋"/>
          <w:color w:val="auto"/>
          <w:sz w:val="21"/>
          <w:szCs w:val="21"/>
          <w:highlight w:val="none"/>
        </w:rPr>
        <w:t>采购过程中出现以下情形，导致电子交易平台无法正常运行，或者无法保证电子交易的公平、公正和安全时，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可中止电子交易活动：</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28.1电子交易平台发生故障而无法登录访问的； </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28.2电子交易平台应用或数据库出现错误，不能进行正常操作的；</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28.3电子交易平台发现严重安全漏洞，有潜在泄密危险的；</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28.4病毒发作导致不能进行正常操作的； </w:t>
      </w:r>
    </w:p>
    <w:p>
      <w:pPr>
        <w:pStyle w:val="132"/>
        <w:pageBreakBefore w:val="0"/>
        <w:kinsoku/>
        <w:wordWrap/>
        <w:overflowPunct/>
        <w:topLinePunct w:val="0"/>
        <w:bidi w:val="0"/>
        <w:snapToGrid w:val="0"/>
        <w:spacing w:before="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28.5其他无法保证电子交易的公平、公正和安全的情况。</w:t>
      </w:r>
    </w:p>
    <w:p>
      <w:pPr>
        <w:pStyle w:val="132"/>
        <w:pageBreakBefore w:val="0"/>
        <w:kinsoku/>
        <w:wordWrap/>
        <w:overflowPunct/>
        <w:topLinePunct w:val="0"/>
        <w:bidi w:val="0"/>
        <w:snapToGrid w:val="0"/>
        <w:spacing w:before="0" w:line="400" w:lineRule="exact"/>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kinsoku/>
        <w:wordWrap/>
        <w:overflowPunct/>
        <w:topLinePunct w:val="0"/>
        <w:bidi w:val="0"/>
        <w:snapToGrid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pPr>
        <w:pStyle w:val="25"/>
        <w:pageBreakBefore w:val="0"/>
        <w:kinsoku/>
        <w:wordWrap/>
        <w:overflowPunct/>
        <w:topLinePunct w:val="0"/>
        <w:bidi w:val="0"/>
        <w:spacing w:line="400" w:lineRule="exact"/>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30.验收</w:t>
      </w:r>
    </w:p>
    <w:p>
      <w:pPr>
        <w:pageBreakBefore w:val="0"/>
        <w:tabs>
          <w:tab w:val="left" w:pos="0"/>
        </w:tabs>
        <w:kinsoku/>
        <w:wordWrap/>
        <w:overflowPunct/>
        <w:topLinePunct w:val="0"/>
        <w:bidi w:val="0"/>
        <w:spacing w:line="400" w:lineRule="exact"/>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spacing w:line="400" w:lineRule="exact"/>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30.2采购人可以邀请参加本项目的其他投标人或者第三方机构参与验收。参与验收的投标人或者第三方机构的意见作为验收书的参考资料一并存档。</w:t>
      </w:r>
    </w:p>
    <w:p>
      <w:pPr>
        <w:pageBreakBefore w:val="0"/>
        <w:tabs>
          <w:tab w:val="left" w:pos="0"/>
        </w:tabs>
        <w:kinsoku/>
        <w:wordWrap/>
        <w:overflowPunct/>
        <w:topLinePunct w:val="0"/>
        <w:bidi w:val="0"/>
        <w:spacing w:line="400" w:lineRule="exact"/>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spacing w:line="400" w:lineRule="exact"/>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290"/>
      <w:bookmarkEnd w:id="19"/>
      <w:bookmarkStart w:id="20" w:name="_Hlt74730295"/>
      <w:bookmarkEnd w:id="20"/>
      <w:bookmarkStart w:id="21" w:name="_Hlt68057669"/>
      <w:bookmarkEnd w:id="21"/>
      <w:bookmarkStart w:id="22" w:name="_Hlt74707468"/>
      <w:bookmarkEnd w:id="22"/>
      <w:bookmarkStart w:id="23" w:name="_Hlt74729768"/>
      <w:bookmarkEnd w:id="23"/>
      <w:bookmarkStart w:id="24" w:name="_Hlt74714665"/>
      <w:bookmarkEnd w:id="24"/>
      <w:bookmarkStart w:id="25" w:name="_Hlt68073093"/>
      <w:bookmarkEnd w:id="25"/>
      <w:bookmarkStart w:id="26" w:name="_Hlt68072998"/>
      <w:bookmarkEnd w:id="26"/>
      <w:bookmarkStart w:id="27" w:name="_Hlt68072990"/>
      <w:bookmarkEnd w:id="27"/>
      <w:bookmarkStart w:id="28" w:name="_Hlt75236101"/>
      <w:bookmarkEnd w:id="28"/>
      <w:bookmarkStart w:id="29" w:name="_Hlt68403820"/>
      <w:bookmarkEnd w:id="29"/>
      <w:bookmarkStart w:id="30" w:name="_Hlt75236011"/>
      <w:bookmarkEnd w:id="30"/>
    </w:p>
    <w:p>
      <w:pPr>
        <w:tabs>
          <w:tab w:val="left" w:pos="0"/>
        </w:tabs>
        <w:spacing w:line="400" w:lineRule="exact"/>
        <w:ind w:firstLine="480"/>
        <w:rPr>
          <w:rFonts w:hint="eastAsia" w:ascii="仿宋" w:hAnsi="仿宋" w:eastAsia="仿宋" w:cs="仿宋"/>
          <w:color w:val="auto"/>
          <w:kern w:val="0"/>
          <w:szCs w:val="21"/>
          <w:highlight w:val="none"/>
          <w:lang w:val="en-US"/>
        </w:rPr>
      </w:pPr>
      <w:r>
        <w:rPr>
          <w:rFonts w:hint="eastAsia" w:ascii="仿宋" w:hAnsi="仿宋" w:eastAsia="仿宋" w:cs="仿宋"/>
          <w:color w:val="auto"/>
          <w:kern w:val="0"/>
          <w:szCs w:val="21"/>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color w:val="auto"/>
          <w:kern w:val="0"/>
          <w:szCs w:val="21"/>
          <w:highlight w:val="none"/>
          <w:lang w:val="en-US" w:eastAsia="zh-CN"/>
        </w:rPr>
        <w:t>合同管理</w:t>
      </w:r>
      <w:r>
        <w:rPr>
          <w:rFonts w:hint="eastAsia" w:ascii="仿宋" w:hAnsi="仿宋" w:eastAsia="仿宋" w:cs="仿宋"/>
          <w:color w:val="auto"/>
          <w:kern w:val="0"/>
          <w:szCs w:val="21"/>
          <w:highlight w:val="none"/>
          <w:lang w:val="en-US"/>
        </w:rPr>
        <w:t>-支付管理。对于供应商提起在线支付申请的，采购</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en-US"/>
        </w:rPr>
        <w:t>应当</w:t>
      </w:r>
      <w:r>
        <w:rPr>
          <w:rFonts w:hint="eastAsia" w:ascii="仿宋" w:hAnsi="仿宋" w:eastAsia="仿宋" w:cs="仿宋"/>
          <w:color w:val="auto"/>
          <w:kern w:val="0"/>
          <w:szCs w:val="21"/>
          <w:highlight w:val="none"/>
          <w:lang w:val="en-US" w:eastAsia="zh-CN"/>
        </w:rPr>
        <w:t>按规定</w:t>
      </w:r>
      <w:r>
        <w:rPr>
          <w:rFonts w:hint="eastAsia" w:ascii="仿宋" w:hAnsi="仿宋" w:eastAsia="仿宋" w:cs="仿宋"/>
          <w:color w:val="auto"/>
          <w:kern w:val="0"/>
          <w:szCs w:val="21"/>
          <w:highlight w:val="none"/>
          <w:lang w:val="en-US"/>
        </w:rPr>
        <w:t>做好审核并完成支付。</w:t>
      </w:r>
    </w:p>
    <w:p>
      <w:pPr>
        <w:pStyle w:val="2"/>
        <w:rPr>
          <w:rFonts w:hint="eastAsia"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1417" w:right="1417" w:bottom="1417" w:left="1417" w:header="851" w:footer="992" w:gutter="0"/>
          <w:cols w:space="0" w:num="1"/>
          <w:titlePg/>
          <w:rtlGutter w:val="0"/>
          <w:docGrid w:linePitch="312" w:charSpace="0"/>
        </w:sectPr>
      </w:pPr>
    </w:p>
    <w:bookmarkEnd w:id="13"/>
    <w:bookmarkEnd w:id="14"/>
    <w:p>
      <w:pPr>
        <w:pStyle w:val="3"/>
        <w:numPr>
          <w:ilvl w:val="0"/>
          <w:numId w:val="2"/>
        </w:numPr>
        <w:spacing w:before="0" w:beforeLines="0"/>
        <w:jc w:val="center"/>
        <w:rPr>
          <w:rFonts w:hint="eastAsia" w:ascii="仿宋" w:hAnsi="仿宋" w:eastAsia="仿宋" w:cs="仿宋"/>
          <w:bCs w:val="0"/>
          <w:color w:val="auto"/>
          <w:kern w:val="2"/>
          <w:sz w:val="36"/>
          <w:szCs w:val="36"/>
          <w:highlight w:val="none"/>
        </w:rPr>
      </w:pPr>
      <w:bookmarkStart w:id="31" w:name="第四部分"/>
      <w:r>
        <w:rPr>
          <w:rFonts w:hint="eastAsia" w:ascii="仿宋" w:hAnsi="仿宋" w:eastAsia="仿宋" w:cs="仿宋"/>
          <w:b/>
          <w:color w:val="auto"/>
          <w:sz w:val="36"/>
          <w:szCs w:val="36"/>
          <w:highlight w:val="none"/>
        </w:rPr>
        <w:t xml:space="preserve"> </w:t>
      </w:r>
      <w:bookmarkStart w:id="32" w:name="_Toc3218"/>
      <w:bookmarkStart w:id="33" w:name="_Toc4285"/>
      <w:bookmarkStart w:id="34" w:name="_Toc9587"/>
      <w:bookmarkStart w:id="35" w:name="_Toc15985"/>
      <w:bookmarkStart w:id="36" w:name="_Toc4606"/>
      <w:bookmarkStart w:id="37" w:name="_Toc671"/>
      <w:bookmarkStart w:id="38" w:name="_Toc581"/>
      <w:r>
        <w:rPr>
          <w:rFonts w:hint="eastAsia" w:ascii="仿宋" w:hAnsi="仿宋" w:eastAsia="仿宋" w:cs="仿宋"/>
          <w:bCs w:val="0"/>
          <w:color w:val="auto"/>
          <w:kern w:val="2"/>
          <w:sz w:val="36"/>
          <w:szCs w:val="36"/>
          <w:highlight w:val="none"/>
          <w:lang w:eastAsia="zh-CN"/>
        </w:rPr>
        <w:t>采购</w:t>
      </w:r>
      <w:r>
        <w:rPr>
          <w:rFonts w:hint="eastAsia" w:ascii="仿宋" w:hAnsi="仿宋" w:eastAsia="仿宋" w:cs="仿宋"/>
          <w:bCs w:val="0"/>
          <w:color w:val="auto"/>
          <w:kern w:val="2"/>
          <w:sz w:val="36"/>
          <w:szCs w:val="36"/>
          <w:highlight w:val="none"/>
        </w:rPr>
        <w:t>需求</w:t>
      </w:r>
      <w:bookmarkEnd w:id="32"/>
      <w:bookmarkEnd w:id="33"/>
      <w:bookmarkEnd w:id="34"/>
      <w:bookmarkEnd w:id="35"/>
      <w:bookmarkEnd w:id="36"/>
      <w:bookmarkEnd w:id="37"/>
      <w:bookmarkEnd w:id="38"/>
    </w:p>
    <w:p>
      <w:pPr>
        <w:pStyle w:val="6"/>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招标内容及需求书为招标人最基本的要求，中标后，以招标人最终补充完善及最终确认的《招标需求说明书》为准，中标人应按招标人需求实施，但中标价不再增加，参与和承担本项目实施涉及的全部成本和费用，均由投标人考虑并包含在本次报价中。</w:t>
      </w:r>
    </w:p>
    <w:p>
      <w:pPr>
        <w:pStyle w:val="4"/>
        <w:tabs>
          <w:tab w:val="left" w:pos="2985"/>
          <w:tab w:val="clear" w:pos="432"/>
        </w:tabs>
        <w:spacing w:before="12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一、</w:t>
      </w:r>
      <w:r>
        <w:rPr>
          <w:rFonts w:hint="eastAsia" w:ascii="仿宋" w:hAnsi="仿宋" w:eastAsia="仿宋" w:cs="仿宋"/>
          <w:color w:val="auto"/>
          <w:sz w:val="21"/>
          <w:szCs w:val="21"/>
          <w:highlight w:val="none"/>
          <w:lang w:val="en-US"/>
        </w:rPr>
        <w:t>项目概况</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 总则</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1.1本次采购货物为</w:t>
      </w:r>
      <w:r>
        <w:rPr>
          <w:rFonts w:hint="eastAsia" w:ascii="仿宋" w:hAnsi="仿宋" w:eastAsia="仿宋" w:cs="仿宋"/>
          <w:b/>
          <w:bCs/>
          <w:color w:val="auto"/>
          <w:szCs w:val="21"/>
          <w:highlight w:val="none"/>
          <w:u w:val="single"/>
        </w:rPr>
        <w:t>水处理絮凝药剂（聚氯化铝）</w:t>
      </w:r>
      <w:r>
        <w:rPr>
          <w:rFonts w:hint="eastAsia" w:ascii="仿宋" w:hAnsi="仿宋" w:eastAsia="仿宋" w:cs="仿宋"/>
          <w:color w:val="auto"/>
          <w:szCs w:val="21"/>
          <w:highlight w:val="none"/>
        </w:rPr>
        <w:t>，投标人应根据招标文件所提出的货物技术规格和服务要求，综合考虑货物的适应性，选择具有最佳性能价格比的货物前来投标。</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1.2</w:t>
      </w:r>
      <w:r>
        <w:rPr>
          <w:rFonts w:hint="eastAsia" w:ascii="仿宋" w:hAnsi="仿宋" w:eastAsia="仿宋" w:cs="仿宋"/>
          <w:color w:val="auto"/>
          <w:szCs w:val="21"/>
          <w:highlight w:val="none"/>
        </w:rPr>
        <w:t>投标人应保证所供</w:t>
      </w:r>
      <w:r>
        <w:rPr>
          <w:rFonts w:hint="eastAsia" w:ascii="仿宋" w:hAnsi="仿宋" w:eastAsia="仿宋" w:cs="仿宋"/>
          <w:b/>
          <w:bCs/>
          <w:color w:val="auto"/>
          <w:szCs w:val="21"/>
          <w:highlight w:val="none"/>
          <w:u w:val="single"/>
        </w:rPr>
        <w:t>水处理絮凝药剂</w:t>
      </w:r>
      <w:r>
        <w:rPr>
          <w:rFonts w:hint="eastAsia" w:ascii="仿宋" w:hAnsi="仿宋" w:eastAsia="仿宋" w:cs="仿宋"/>
          <w:color w:val="auto"/>
          <w:szCs w:val="21"/>
          <w:highlight w:val="none"/>
        </w:rPr>
        <w:t>的可靠性和适用性，投标人应保证所供的</w:t>
      </w:r>
      <w:r>
        <w:rPr>
          <w:rFonts w:hint="eastAsia" w:ascii="仿宋" w:hAnsi="仿宋" w:eastAsia="仿宋" w:cs="仿宋"/>
          <w:b/>
          <w:bCs/>
          <w:color w:val="auto"/>
          <w:szCs w:val="21"/>
          <w:highlight w:val="none"/>
          <w:u w:val="single"/>
        </w:rPr>
        <w:t>水处理絮凝药剂</w:t>
      </w:r>
      <w:r>
        <w:rPr>
          <w:rFonts w:hint="eastAsia" w:ascii="仿宋" w:hAnsi="仿宋" w:eastAsia="仿宋" w:cs="仿宋"/>
          <w:color w:val="auto"/>
          <w:szCs w:val="21"/>
          <w:highlight w:val="none"/>
        </w:rPr>
        <w:t>能正常使用。</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投标人（如有制造商，包括投标产品制造商）在产品生产制造（包括生产制造场地、废料处理等）、销售、仓储及物流等过程中的环境保护工作应符合当地或相关的环保部门要求。</w:t>
      </w:r>
    </w:p>
    <w:p>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u w:val="none"/>
        </w:rPr>
        <w:t>水处理絮凝药剂</w:t>
      </w:r>
      <w:r>
        <w:rPr>
          <w:rFonts w:hint="eastAsia" w:ascii="仿宋" w:hAnsi="仿宋" w:eastAsia="仿宋" w:cs="仿宋"/>
          <w:b/>
          <w:color w:val="auto"/>
          <w:szCs w:val="21"/>
          <w:highlight w:val="none"/>
          <w:u w:val="none"/>
          <w:lang w:eastAsia="zh-CN"/>
        </w:rPr>
        <w:t>（</w:t>
      </w:r>
      <w:r>
        <w:rPr>
          <w:rFonts w:hint="eastAsia" w:ascii="仿宋" w:hAnsi="仿宋" w:eastAsia="仿宋" w:cs="仿宋"/>
          <w:b/>
          <w:color w:val="auto"/>
          <w:szCs w:val="21"/>
          <w:highlight w:val="none"/>
          <w:u w:val="none"/>
        </w:rPr>
        <w:t>聚</w:t>
      </w:r>
      <w:r>
        <w:rPr>
          <w:rFonts w:hint="eastAsia" w:ascii="仿宋" w:hAnsi="仿宋" w:eastAsia="仿宋" w:cs="仿宋"/>
          <w:b/>
          <w:color w:val="auto"/>
          <w:szCs w:val="21"/>
          <w:highlight w:val="none"/>
        </w:rPr>
        <w:t>氯化铝）</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本次采购的</w:t>
      </w:r>
      <w:r>
        <w:rPr>
          <w:rFonts w:hint="eastAsia" w:ascii="仿宋" w:hAnsi="仿宋" w:eastAsia="仿宋" w:cs="仿宋"/>
          <w:b/>
          <w:color w:val="auto"/>
          <w:szCs w:val="21"/>
          <w:highlight w:val="none"/>
          <w:u w:val="single"/>
        </w:rPr>
        <w:t>水处理絮凝药剂</w:t>
      </w:r>
      <w:r>
        <w:rPr>
          <w:rFonts w:hint="eastAsia" w:ascii="仿宋" w:hAnsi="仿宋" w:eastAsia="仿宋" w:cs="仿宋"/>
          <w:b/>
          <w:color w:val="auto"/>
          <w:szCs w:val="21"/>
          <w:highlight w:val="none"/>
          <w:u w:val="single"/>
          <w:lang w:eastAsia="zh-CN"/>
        </w:rPr>
        <w:t>（</w:t>
      </w:r>
      <w:r>
        <w:rPr>
          <w:rFonts w:hint="eastAsia" w:ascii="仿宋" w:hAnsi="仿宋" w:eastAsia="仿宋" w:cs="仿宋"/>
          <w:b/>
          <w:color w:val="auto"/>
          <w:szCs w:val="21"/>
          <w:highlight w:val="none"/>
          <w:u w:val="single"/>
        </w:rPr>
        <w:t>聚氯化铝</w:t>
      </w:r>
      <w:r>
        <w:rPr>
          <w:rFonts w:hint="eastAsia" w:ascii="仿宋" w:hAnsi="仿宋" w:eastAsia="仿宋" w:cs="仿宋"/>
          <w:b/>
          <w:color w:val="auto"/>
          <w:szCs w:val="21"/>
          <w:highlight w:val="none"/>
          <w:u w:val="single"/>
          <w:lang w:eastAsia="zh-CN"/>
        </w:rPr>
        <w:t>）</w:t>
      </w:r>
      <w:r>
        <w:rPr>
          <w:rFonts w:hint="eastAsia" w:ascii="仿宋" w:hAnsi="仿宋" w:eastAsia="仿宋" w:cs="仿宋"/>
          <w:b/>
          <w:color w:val="auto"/>
          <w:szCs w:val="21"/>
          <w:highlight w:val="none"/>
        </w:rPr>
        <w:t>暂定</w:t>
      </w:r>
      <w:r>
        <w:rPr>
          <w:rFonts w:hint="eastAsia" w:ascii="仿宋" w:hAnsi="仿宋" w:eastAsia="仿宋" w:cs="仿宋"/>
          <w:b/>
          <w:color w:val="auto"/>
          <w:szCs w:val="21"/>
          <w:highlight w:val="none"/>
          <w:u w:val="single"/>
        </w:rPr>
        <w:t>390</w:t>
      </w:r>
      <w:r>
        <w:rPr>
          <w:rFonts w:hint="eastAsia" w:ascii="仿宋" w:hAnsi="仿宋" w:eastAsia="仿宋" w:cs="仿宋"/>
          <w:b/>
          <w:color w:val="auto"/>
          <w:szCs w:val="21"/>
          <w:highlight w:val="none"/>
          <w:u w:val="single"/>
          <w:lang w:val="en-US" w:eastAsia="zh-CN"/>
        </w:rPr>
        <w:t>0</w:t>
      </w:r>
      <w:r>
        <w:rPr>
          <w:rFonts w:hint="eastAsia" w:ascii="仿宋" w:hAnsi="仿宋" w:eastAsia="仿宋" w:cs="仿宋"/>
          <w:b/>
          <w:color w:val="auto"/>
          <w:szCs w:val="21"/>
          <w:highlight w:val="none"/>
          <w:u w:val="single"/>
        </w:rPr>
        <w:t>吨（1300吨/年）</w:t>
      </w:r>
      <w:r>
        <w:rPr>
          <w:rFonts w:hint="eastAsia" w:ascii="仿宋" w:hAnsi="仿宋" w:eastAsia="仿宋" w:cs="仿宋"/>
          <w:b/>
          <w:color w:val="auto"/>
          <w:szCs w:val="21"/>
          <w:highlight w:val="none"/>
        </w:rPr>
        <w:t xml:space="preserve">。仅为参考数，在合同执行过程中的实际采购量以每次招标人通知为准，中标人须确保一定数量的库存量，项目结算按照每批次货物按实结算。 </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2.2交货时间：招标人将需供货数量、送货地点</w:t>
      </w:r>
      <w:r>
        <w:rPr>
          <w:rStyle w:val="371"/>
          <w:rFonts w:hint="eastAsia" w:ascii="仿宋" w:hAnsi="仿宋" w:eastAsia="仿宋" w:cs="仿宋"/>
          <w:color w:val="auto"/>
          <w:szCs w:val="21"/>
          <w:highlight w:val="none"/>
        </w:rPr>
        <w:t>通知中标人</w:t>
      </w:r>
      <w:r>
        <w:rPr>
          <w:rFonts w:hint="eastAsia" w:ascii="仿宋" w:hAnsi="仿宋" w:eastAsia="仿宋" w:cs="仿宋"/>
          <w:color w:val="auto"/>
          <w:szCs w:val="21"/>
          <w:highlight w:val="none"/>
        </w:rPr>
        <w:t>，</w:t>
      </w:r>
      <w:r>
        <w:rPr>
          <w:rStyle w:val="371"/>
          <w:rFonts w:hint="eastAsia" w:ascii="仿宋" w:hAnsi="仿宋" w:eastAsia="仿宋" w:cs="仿宋"/>
          <w:color w:val="auto"/>
          <w:szCs w:val="21"/>
          <w:highlight w:val="none"/>
        </w:rPr>
        <w:t>中标人</w:t>
      </w:r>
      <w:r>
        <w:rPr>
          <w:rFonts w:hint="eastAsia" w:ascii="仿宋" w:hAnsi="仿宋" w:eastAsia="仿宋" w:cs="仿宋"/>
          <w:color w:val="auto"/>
          <w:szCs w:val="21"/>
          <w:highlight w:val="none"/>
        </w:rPr>
        <w:t>负责在收到</w:t>
      </w:r>
      <w:r>
        <w:rPr>
          <w:rStyle w:val="371"/>
          <w:rFonts w:hint="eastAsia" w:ascii="仿宋" w:hAnsi="仿宋" w:eastAsia="仿宋" w:cs="仿宋"/>
          <w:color w:val="auto"/>
          <w:szCs w:val="21"/>
          <w:highlight w:val="none"/>
        </w:rPr>
        <w:t>通知后</w:t>
      </w:r>
      <w:r>
        <w:rPr>
          <w:rStyle w:val="371"/>
          <w:rFonts w:hint="eastAsia" w:ascii="仿宋" w:hAnsi="仿宋" w:eastAsia="仿宋" w:cs="仿宋"/>
          <w:color w:val="auto"/>
          <w:szCs w:val="21"/>
          <w:highlight w:val="none"/>
          <w:lang w:eastAsia="zh-CN"/>
        </w:rPr>
        <w:t>当日</w:t>
      </w:r>
      <w:r>
        <w:rPr>
          <w:rFonts w:hint="eastAsia" w:ascii="仿宋" w:hAnsi="仿宋" w:eastAsia="仿宋" w:cs="仿宋"/>
          <w:color w:val="auto"/>
          <w:szCs w:val="21"/>
          <w:highlight w:val="none"/>
        </w:rPr>
        <w:t>内将所有货物送达招标人指定地点。产品采用送货方式：</w:t>
      </w:r>
      <w:r>
        <w:rPr>
          <w:rStyle w:val="371"/>
          <w:rFonts w:hint="eastAsia" w:ascii="仿宋" w:hAnsi="仿宋" w:eastAsia="仿宋" w:cs="仿宋"/>
          <w:color w:val="auto"/>
          <w:szCs w:val="21"/>
          <w:highlight w:val="none"/>
        </w:rPr>
        <w:t>中标人</w:t>
      </w:r>
      <w:r>
        <w:rPr>
          <w:rFonts w:hint="eastAsia" w:ascii="仿宋" w:hAnsi="仿宋" w:eastAsia="仿宋" w:cs="仿宋"/>
          <w:color w:val="auto"/>
          <w:szCs w:val="21"/>
          <w:highlight w:val="none"/>
        </w:rPr>
        <w:t>接到买方通知后将产品送至指定的地点。产品必须完整安全按时到达交货地点（在运送过程中，须办理道路通行证或须夜间运送的由</w:t>
      </w:r>
      <w:r>
        <w:rPr>
          <w:rStyle w:val="371"/>
          <w:rFonts w:hint="eastAsia" w:ascii="仿宋" w:hAnsi="仿宋" w:eastAsia="仿宋" w:cs="仿宋"/>
          <w:color w:val="auto"/>
          <w:szCs w:val="21"/>
          <w:highlight w:val="none"/>
        </w:rPr>
        <w:t>中标人</w:t>
      </w:r>
      <w:r>
        <w:rPr>
          <w:rFonts w:hint="eastAsia" w:ascii="仿宋" w:hAnsi="仿宋" w:eastAsia="仿宋" w:cs="仿宋"/>
          <w:color w:val="auto"/>
          <w:szCs w:val="21"/>
          <w:highlight w:val="none"/>
        </w:rPr>
        <w:t>办理和承担）。</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3.技术要求</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参照GB15892—2020</w:t>
      </w:r>
      <w:r>
        <w:rPr>
          <w:rStyle w:val="71"/>
          <w:rFonts w:hint="eastAsia" w:ascii="仿宋" w:hAnsi="仿宋" w:eastAsia="仿宋" w:cs="仿宋"/>
          <w:color w:val="auto"/>
          <w:szCs w:val="21"/>
          <w:highlight w:val="none"/>
        </w:rPr>
        <w:t>《生活饮用水用聚氯化铝》中的指标要求</w:t>
      </w:r>
      <w:r>
        <w:rPr>
          <w:rFonts w:hint="eastAsia" w:ascii="仿宋" w:hAnsi="仿宋" w:eastAsia="仿宋" w:cs="仿宋"/>
          <w:b/>
          <w:color w:val="auto"/>
          <w:szCs w:val="21"/>
          <w:highlight w:val="none"/>
        </w:rPr>
        <w:t>，提出以下的聚氯化铝技术要求：</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出厂检验：其中聚氯化铝的相对密度、氧化铝、盐基度、水不溶物、pH等五项指标为出厂检验项目，应逐批检验。</w:t>
      </w:r>
    </w:p>
    <w:p>
      <w:pPr>
        <w:keepNext w:val="0"/>
        <w:keepLines w:val="0"/>
        <w:pageBreakBefore w:val="0"/>
        <w:widowControl w:val="0"/>
        <w:kinsoku/>
        <w:wordWrap w:val="0"/>
        <w:overflowPunct/>
        <w:topLinePunct w:val="0"/>
        <w:autoSpaceDE w:val="0"/>
        <w:autoSpaceDN w:val="0"/>
        <w:bidi w:val="0"/>
        <w:adjustRightIn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产品</w:t>
      </w:r>
      <w:r>
        <w:rPr>
          <w:rFonts w:hint="eastAsia" w:ascii="仿宋" w:hAnsi="仿宋" w:eastAsia="仿宋" w:cs="仿宋"/>
          <w:b/>
          <w:color w:val="auto"/>
          <w:szCs w:val="21"/>
          <w:highlight w:val="none"/>
        </w:rPr>
        <w:t>检验：</w:t>
      </w:r>
      <w:r>
        <w:rPr>
          <w:rFonts w:hint="eastAsia" w:ascii="仿宋" w:hAnsi="仿宋" w:eastAsia="仿宋" w:cs="仿宋"/>
          <w:b/>
          <w:color w:val="auto"/>
          <w:szCs w:val="21"/>
          <w:highlight w:val="none"/>
          <w:lang w:eastAsia="zh-CN"/>
        </w:rPr>
        <w:t>根据甲方要求</w:t>
      </w:r>
      <w:r>
        <w:rPr>
          <w:rFonts w:hint="eastAsia" w:ascii="仿宋" w:hAnsi="仿宋" w:eastAsia="仿宋" w:cs="仿宋"/>
          <w:b/>
          <w:color w:val="auto"/>
          <w:szCs w:val="21"/>
          <w:highlight w:val="none"/>
        </w:rPr>
        <w:t>每年至少一次将成品送</w:t>
      </w:r>
      <w:r>
        <w:rPr>
          <w:rFonts w:hint="eastAsia" w:ascii="仿宋" w:hAnsi="仿宋" w:eastAsia="仿宋" w:cs="仿宋"/>
          <w:b/>
          <w:color w:val="auto"/>
          <w:szCs w:val="21"/>
          <w:highlight w:val="none"/>
          <w:lang w:eastAsia="zh-CN"/>
        </w:rPr>
        <w:t>具有CMA检测</w:t>
      </w:r>
      <w:r>
        <w:rPr>
          <w:rFonts w:hint="eastAsia" w:ascii="仿宋" w:hAnsi="仿宋" w:eastAsia="仿宋" w:cs="仿宋"/>
          <w:b/>
          <w:color w:val="auto"/>
          <w:szCs w:val="21"/>
          <w:highlight w:val="none"/>
        </w:rPr>
        <w:t>资质认定证书的单位</w:t>
      </w:r>
      <w:r>
        <w:rPr>
          <w:rFonts w:hint="eastAsia" w:ascii="仿宋" w:hAnsi="仿宋" w:eastAsia="仿宋" w:cs="仿宋"/>
          <w:b/>
          <w:color w:val="auto"/>
          <w:szCs w:val="21"/>
          <w:highlight w:val="none"/>
          <w:lang w:eastAsia="zh-CN"/>
        </w:rPr>
        <w:t>对照国标指标进行检测</w:t>
      </w:r>
      <w:r>
        <w:rPr>
          <w:rFonts w:hint="eastAsia" w:ascii="仿宋" w:hAnsi="仿宋" w:eastAsia="仿宋" w:cs="仿宋"/>
          <w:b/>
          <w:color w:val="auto"/>
          <w:szCs w:val="21"/>
          <w:highlight w:val="none"/>
        </w:rPr>
        <w:t>，检测合格出具检验报告。</w:t>
      </w:r>
    </w:p>
    <w:p>
      <w:pPr>
        <w:keepNext w:val="0"/>
        <w:keepLines w:val="0"/>
        <w:pageBreakBefore w:val="0"/>
        <w:widowControl w:val="0"/>
        <w:kinsoku/>
        <w:wordWrap w:val="0"/>
        <w:overflowPunct/>
        <w:topLinePunct w:val="0"/>
        <w:autoSpaceDE w:val="0"/>
        <w:autoSpaceDN w:val="0"/>
        <w:bidi w:val="0"/>
        <w:adjustRightIn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szCs w:val="21"/>
          <w:highlight w:val="none"/>
        </w:rPr>
        <w:t>投</w:t>
      </w:r>
      <w:r>
        <w:rPr>
          <w:rFonts w:hint="eastAsia" w:ascii="仿宋" w:hAnsi="仿宋" w:eastAsia="仿宋" w:cs="仿宋"/>
          <w:b/>
          <w:bCs w:val="0"/>
          <w:color w:val="auto"/>
          <w:szCs w:val="21"/>
          <w:highlight w:val="none"/>
        </w:rPr>
        <w:t>标人提供</w:t>
      </w:r>
      <w:r>
        <w:rPr>
          <w:rFonts w:hint="eastAsia" w:ascii="仿宋" w:hAnsi="仿宋" w:eastAsia="仿宋" w:cs="仿宋"/>
          <w:b/>
          <w:bCs w:val="0"/>
          <w:color w:val="auto"/>
          <w:szCs w:val="21"/>
          <w:highlight w:val="none"/>
          <w:lang w:eastAsia="zh-CN"/>
        </w:rPr>
        <w:t>的产品必须符合国标要求</w:t>
      </w:r>
      <w:r>
        <w:rPr>
          <w:rFonts w:hint="eastAsia" w:ascii="仿宋" w:hAnsi="仿宋" w:eastAsia="仿宋" w:cs="仿宋"/>
          <w:b/>
          <w:bCs w:val="0"/>
          <w:color w:val="auto"/>
          <w:szCs w:val="21"/>
          <w:highlight w:val="none"/>
        </w:rPr>
        <w:t>（对照GB15892-2020）</w:t>
      </w:r>
      <w:r>
        <w:rPr>
          <w:rFonts w:hint="eastAsia" w:ascii="仿宋" w:hAnsi="仿宋" w:eastAsia="仿宋" w:cs="仿宋"/>
          <w:b/>
          <w:bCs w:val="0"/>
          <w:color w:val="auto"/>
          <w:szCs w:val="21"/>
          <w:highlight w:val="none"/>
          <w:lang w:eastAsia="zh-CN"/>
        </w:rPr>
        <w:t>的</w:t>
      </w:r>
      <w:r>
        <w:rPr>
          <w:rFonts w:hint="eastAsia" w:ascii="仿宋" w:hAnsi="仿宋" w:eastAsia="仿宋" w:cs="仿宋"/>
          <w:b/>
          <w:bCs w:val="0"/>
          <w:color w:val="auto"/>
          <w:szCs w:val="21"/>
          <w:highlight w:val="none"/>
        </w:rPr>
        <w:t>第三方检测</w:t>
      </w:r>
      <w:r>
        <w:rPr>
          <w:rFonts w:hint="eastAsia" w:ascii="仿宋" w:hAnsi="仿宋" w:eastAsia="仿宋" w:cs="仿宋"/>
          <w:b/>
          <w:bCs w:val="0"/>
          <w:color w:val="auto"/>
          <w:szCs w:val="21"/>
          <w:highlight w:val="none"/>
          <w:lang w:eastAsia="zh-CN"/>
        </w:rPr>
        <w:t>合格</w:t>
      </w:r>
      <w:r>
        <w:rPr>
          <w:rFonts w:hint="eastAsia" w:ascii="仿宋" w:hAnsi="仿宋" w:eastAsia="仿宋" w:cs="仿宋"/>
          <w:b/>
          <w:bCs w:val="0"/>
          <w:color w:val="auto"/>
          <w:szCs w:val="21"/>
          <w:highlight w:val="none"/>
        </w:rPr>
        <w:t>报告</w:t>
      </w:r>
      <w:r>
        <w:rPr>
          <w:rFonts w:hint="eastAsia" w:ascii="仿宋" w:hAnsi="仿宋" w:eastAsia="仿宋" w:cs="仿宋"/>
          <w:b/>
          <w:bCs w:val="0"/>
          <w:color w:val="auto"/>
          <w:szCs w:val="21"/>
          <w:highlight w:val="none"/>
          <w:lang w:eastAsia="zh-CN"/>
        </w:rPr>
        <w:t>（投标产品半年内的CMA检测合格报告（</w:t>
      </w:r>
      <w:r>
        <w:rPr>
          <w:rFonts w:hint="eastAsia" w:ascii="仿宋" w:hAnsi="仿宋" w:eastAsia="仿宋" w:cs="仿宋"/>
          <w:b/>
          <w:bCs w:val="0"/>
          <w:color w:val="auto"/>
          <w:szCs w:val="21"/>
          <w:highlight w:val="none"/>
          <w:lang w:val="en-US" w:eastAsia="zh-CN"/>
        </w:rPr>
        <w:t>2024年7月1日后至今）。CMA相关</w:t>
      </w:r>
      <w:r>
        <w:rPr>
          <w:rFonts w:hint="eastAsia" w:ascii="仿宋" w:hAnsi="仿宋" w:eastAsia="仿宋" w:cs="仿宋"/>
          <w:b/>
          <w:bCs w:val="0"/>
          <w:color w:val="auto"/>
          <w:szCs w:val="21"/>
          <w:highlight w:val="none"/>
          <w:lang w:eastAsia="zh-CN"/>
        </w:rPr>
        <w:t>检测</w:t>
      </w:r>
      <w:r>
        <w:rPr>
          <w:rFonts w:hint="eastAsia" w:ascii="仿宋" w:hAnsi="仿宋" w:eastAsia="仿宋" w:cs="仿宋"/>
          <w:b/>
          <w:bCs w:val="0"/>
          <w:color w:val="auto"/>
          <w:szCs w:val="21"/>
          <w:highlight w:val="none"/>
          <w:lang w:val="en-US" w:eastAsia="zh-CN"/>
        </w:rPr>
        <w:t>证书在国家市场监督管理总局网站查询（网址：http://cx.cnca.cn/CertECloud/index/index/page?currentPosition=），提供查询截图；</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厂家须随车提供</w:t>
      </w:r>
      <w:bookmarkStart w:id="39" w:name="_Hlk184376474"/>
      <w:r>
        <w:rPr>
          <w:rFonts w:hint="eastAsia" w:ascii="仿宋" w:hAnsi="仿宋" w:eastAsia="仿宋" w:cs="仿宋"/>
          <w:b/>
          <w:color w:val="auto"/>
          <w:szCs w:val="21"/>
          <w:highlight w:val="none"/>
        </w:rPr>
        <w:t>每批次货物质量检验报告和合格证</w:t>
      </w:r>
      <w:bookmarkEnd w:id="39"/>
      <w:r>
        <w:rPr>
          <w:rFonts w:hint="eastAsia" w:ascii="仿宋" w:hAnsi="仿宋" w:eastAsia="仿宋" w:cs="仿宋"/>
          <w:b/>
          <w:color w:val="auto"/>
          <w:szCs w:val="21"/>
          <w:highlight w:val="none"/>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上述产品质量、检验和索证不符合招标人质量指标和管理要求，则按影响程度进行退货、折价或其他补偿处理，具体在合同签订时明确。</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4.质量指标</w:t>
      </w:r>
    </w:p>
    <w:p>
      <w:pPr>
        <w:keepNext w:val="0"/>
        <w:keepLines w:val="0"/>
        <w:pageBreakBefore w:val="0"/>
        <w:widowControl w:val="0"/>
        <w:kinsoku/>
        <w:wordWrap w:val="0"/>
        <w:overflowPunct/>
        <w:topLinePunct w:val="0"/>
        <w:autoSpaceDE w:val="0"/>
        <w:autoSpaceDN w:val="0"/>
        <w:bidi w:val="0"/>
        <w:adjustRightInd w:val="0"/>
        <w:spacing w:line="360" w:lineRule="auto"/>
        <w:ind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Cs w:val="21"/>
          <w:highlight w:val="none"/>
        </w:rPr>
        <w:t>聚氯化铝的质量要求</w:t>
      </w:r>
      <w:r>
        <w:rPr>
          <w:rFonts w:hint="eastAsia" w:ascii="仿宋" w:hAnsi="仿宋" w:eastAsia="仿宋" w:cs="仿宋"/>
          <w:b/>
          <w:color w:val="auto"/>
          <w:szCs w:val="21"/>
          <w:highlight w:val="none"/>
          <w:lang w:eastAsia="zh-CN"/>
        </w:rPr>
        <w:t>国标按GB15892-2020</w:t>
      </w:r>
      <w:r>
        <w:rPr>
          <w:rFonts w:hint="eastAsia" w:ascii="仿宋" w:hAnsi="仿宋" w:eastAsia="仿宋" w:cs="仿宋"/>
          <w:b/>
          <w:color w:val="auto"/>
          <w:szCs w:val="21"/>
          <w:highlight w:val="none"/>
        </w:rPr>
        <w:t>。具体见下表格：</w:t>
      </w:r>
    </w:p>
    <w:tbl>
      <w:tblPr>
        <w:tblStyle w:val="63"/>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955"/>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473" w:type="dxa"/>
            <w:vMerge w:val="restart"/>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955" w:type="dxa"/>
            <w:vMerge w:val="restart"/>
            <w:vAlign w:val="center"/>
          </w:tcPr>
          <w:p>
            <w:pPr>
              <w:keepNext w:val="0"/>
              <w:keepLines w:val="0"/>
              <w:pageBreakBefore w:val="0"/>
              <w:widowControl w:val="0"/>
              <w:tabs>
                <w:tab w:val="left" w:pos="882"/>
              </w:tabs>
              <w:kinsoku/>
              <w:wordWrap w:val="0"/>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指标名称</w:t>
            </w: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473" w:type="dxa"/>
            <w:vMerge w:val="continue"/>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0"/>
              <w:jc w:val="center"/>
              <w:textAlignment w:val="auto"/>
              <w:rPr>
                <w:rFonts w:hint="eastAsia" w:ascii="仿宋" w:hAnsi="仿宋" w:eastAsia="仿宋" w:cs="仿宋"/>
                <w:b/>
                <w:color w:val="auto"/>
                <w:szCs w:val="21"/>
                <w:highlight w:val="none"/>
              </w:rPr>
            </w:pPr>
          </w:p>
        </w:tc>
        <w:tc>
          <w:tcPr>
            <w:tcW w:w="2955" w:type="dxa"/>
            <w:vMerge w:val="continue"/>
            <w:vAlign w:val="center"/>
          </w:tcPr>
          <w:p>
            <w:pPr>
              <w:keepNext w:val="0"/>
              <w:keepLines w:val="0"/>
              <w:pageBreakBefore w:val="0"/>
              <w:widowControl w:val="0"/>
              <w:tabs>
                <w:tab w:val="left" w:pos="882"/>
              </w:tabs>
              <w:kinsoku/>
              <w:wordWrap w:val="0"/>
              <w:overflowPunct/>
              <w:topLinePunct w:val="0"/>
              <w:autoSpaceDE w:val="0"/>
              <w:autoSpaceDN w:val="0"/>
              <w:bidi w:val="0"/>
              <w:adjustRightInd w:val="0"/>
              <w:snapToGrid/>
              <w:spacing w:line="360" w:lineRule="auto"/>
              <w:ind w:firstLine="422" w:firstLineChars="200"/>
              <w:jc w:val="center"/>
              <w:textAlignment w:val="auto"/>
              <w:rPr>
                <w:rFonts w:hint="eastAsia" w:ascii="仿宋" w:hAnsi="仿宋" w:eastAsia="仿宋" w:cs="仿宋"/>
                <w:b/>
                <w:color w:val="auto"/>
                <w:szCs w:val="21"/>
                <w:highlight w:val="none"/>
              </w:rPr>
            </w:pP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聚氯化铝（饮用水级）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473" w:type="dxa"/>
            <w:vMerge w:val="continue"/>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0"/>
              <w:jc w:val="center"/>
              <w:textAlignment w:val="auto"/>
              <w:rPr>
                <w:rFonts w:hint="eastAsia" w:ascii="仿宋" w:hAnsi="仿宋" w:eastAsia="仿宋" w:cs="仿宋"/>
                <w:b/>
                <w:color w:val="auto"/>
                <w:szCs w:val="21"/>
                <w:highlight w:val="none"/>
              </w:rPr>
            </w:pPr>
          </w:p>
        </w:tc>
        <w:tc>
          <w:tcPr>
            <w:tcW w:w="2955" w:type="dxa"/>
            <w:vMerge w:val="continue"/>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0"/>
              <w:jc w:val="center"/>
              <w:textAlignment w:val="auto"/>
              <w:rPr>
                <w:rFonts w:hint="eastAsia" w:ascii="仿宋" w:hAnsi="仿宋" w:eastAsia="仿宋" w:cs="仿宋"/>
                <w:b/>
                <w:color w:val="auto"/>
                <w:szCs w:val="21"/>
                <w:highlight w:val="none"/>
              </w:rPr>
            </w:pP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液  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473"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w:t>
            </w:r>
          </w:p>
        </w:tc>
        <w:tc>
          <w:tcPr>
            <w:tcW w:w="2955"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外观</w:t>
            </w: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液体为无色至淡黄</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色透明液体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473"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w:t>
            </w:r>
          </w:p>
        </w:tc>
        <w:tc>
          <w:tcPr>
            <w:tcW w:w="2955"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氧化铝（Al 2 O 3 ）的质量分</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w:t>
            </w: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2473"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w:t>
            </w:r>
          </w:p>
        </w:tc>
        <w:tc>
          <w:tcPr>
            <w:tcW w:w="2955"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盐 基 度/%</w:t>
            </w: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45.0~90.0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473" w:type="dxa"/>
            <w:tcBorders>
              <w:bottom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w:t>
            </w:r>
          </w:p>
        </w:tc>
        <w:tc>
          <w:tcPr>
            <w:tcW w:w="2955" w:type="dxa"/>
            <w:tcBorders>
              <w:bottom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水不溶物的质量分数/ ％</w:t>
            </w:r>
          </w:p>
        </w:tc>
        <w:tc>
          <w:tcPr>
            <w:tcW w:w="3217" w:type="dxa"/>
            <w:tcBorders>
              <w:bottom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473"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w:t>
            </w:r>
          </w:p>
        </w:tc>
        <w:tc>
          <w:tcPr>
            <w:tcW w:w="2955" w:type="dxa"/>
            <w:tcBorders>
              <w:top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PH 值（10g/L 水溶液）</w:t>
            </w:r>
          </w:p>
        </w:tc>
        <w:tc>
          <w:tcPr>
            <w:tcW w:w="3217" w:type="dxa"/>
            <w:tcBorders>
              <w:top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473"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w:t>
            </w:r>
          </w:p>
        </w:tc>
        <w:tc>
          <w:tcPr>
            <w:tcW w:w="2955"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密度（20℃）（g/CM³）</w:t>
            </w: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2473"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w:t>
            </w:r>
          </w:p>
        </w:tc>
        <w:tc>
          <w:tcPr>
            <w:tcW w:w="2955"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铁（Ｆｅ）的质量分数／％</w:t>
            </w: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473"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w:t>
            </w:r>
          </w:p>
        </w:tc>
        <w:tc>
          <w:tcPr>
            <w:tcW w:w="2955"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砷（AS）的质量分数/% </w:t>
            </w: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473"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w:t>
            </w:r>
          </w:p>
        </w:tc>
        <w:tc>
          <w:tcPr>
            <w:tcW w:w="2955"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铅（Pb）的质量分数/%</w:t>
            </w: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473"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w:t>
            </w:r>
          </w:p>
        </w:tc>
        <w:tc>
          <w:tcPr>
            <w:tcW w:w="2955"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镉（Cd）的质量分数/%</w:t>
            </w: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473"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w:t>
            </w:r>
          </w:p>
        </w:tc>
        <w:tc>
          <w:tcPr>
            <w:tcW w:w="2955"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汞 (Hg)的质量分数/% </w:t>
            </w: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473"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w:t>
            </w:r>
          </w:p>
        </w:tc>
        <w:tc>
          <w:tcPr>
            <w:tcW w:w="2955"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铬（Cr）的质量分数/%</w:t>
            </w:r>
          </w:p>
        </w:tc>
        <w:tc>
          <w:tcPr>
            <w:tcW w:w="321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≤0.0005</w:t>
            </w:r>
          </w:p>
        </w:tc>
      </w:tr>
    </w:tbl>
    <w:p>
      <w:pPr>
        <w:keepNext w:val="0"/>
        <w:keepLines w:val="0"/>
        <w:pageBreakBefore w:val="0"/>
        <w:widowControl w:val="0"/>
        <w:kinsoku/>
        <w:wordWrap w:val="0"/>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注：砷（As）、六价铬（Cr</w:t>
      </w:r>
      <w:r>
        <w:rPr>
          <w:rFonts w:hint="eastAsia" w:ascii="仿宋" w:hAnsi="仿宋" w:eastAsia="仿宋" w:cs="仿宋"/>
          <w:b/>
          <w:color w:val="auto"/>
          <w:szCs w:val="21"/>
          <w:highlight w:val="none"/>
          <w:vertAlign w:val="superscript"/>
        </w:rPr>
        <w:t>6+</w:t>
      </w:r>
      <w:r>
        <w:rPr>
          <w:rFonts w:hint="eastAsia" w:ascii="仿宋" w:hAnsi="仿宋" w:eastAsia="仿宋" w:cs="仿宋"/>
          <w:b/>
          <w:color w:val="auto"/>
          <w:szCs w:val="21"/>
          <w:highlight w:val="none"/>
        </w:rPr>
        <w:t>）、汞（Hg）、铅（Pb）、镉（Cd）等杂质的质量分数均按10.0% Al</w:t>
      </w:r>
      <w:r>
        <w:rPr>
          <w:rFonts w:hint="eastAsia" w:ascii="仿宋" w:hAnsi="仿宋" w:eastAsia="仿宋" w:cs="仿宋"/>
          <w:b/>
          <w:color w:val="auto"/>
          <w:szCs w:val="21"/>
          <w:highlight w:val="none"/>
          <w:vertAlign w:val="subscript"/>
        </w:rPr>
        <w:t>2</w:t>
      </w:r>
      <w:r>
        <w:rPr>
          <w:rFonts w:hint="eastAsia" w:ascii="仿宋" w:hAnsi="仿宋" w:eastAsia="仿宋" w:cs="仿宋"/>
          <w:b/>
          <w:color w:val="auto"/>
          <w:szCs w:val="21"/>
          <w:highlight w:val="none"/>
        </w:rPr>
        <w:t>O</w:t>
      </w:r>
      <w:r>
        <w:rPr>
          <w:rFonts w:hint="eastAsia" w:ascii="仿宋" w:hAnsi="仿宋" w:eastAsia="仿宋" w:cs="仿宋"/>
          <w:b/>
          <w:color w:val="auto"/>
          <w:szCs w:val="21"/>
          <w:highlight w:val="none"/>
          <w:vertAlign w:val="subscript"/>
        </w:rPr>
        <w:t>3</w:t>
      </w:r>
      <w:r>
        <w:rPr>
          <w:rFonts w:hint="eastAsia" w:ascii="仿宋" w:hAnsi="仿宋" w:eastAsia="仿宋" w:cs="仿宋"/>
          <w:b/>
          <w:color w:val="auto"/>
          <w:szCs w:val="21"/>
          <w:highlight w:val="none"/>
        </w:rPr>
        <w:t xml:space="preserve">计。 </w:t>
      </w:r>
    </w:p>
    <w:p>
      <w:pPr>
        <w:keepNext w:val="0"/>
        <w:keepLines w:val="0"/>
        <w:pageBreakBefore w:val="0"/>
        <w:widowControl w:val="0"/>
        <w:kinsoku/>
        <w:wordWrap w:val="0"/>
        <w:overflowPunct/>
        <w:topLinePunct w:val="0"/>
        <w:autoSpaceDE w:val="0"/>
        <w:autoSpaceDN w:val="0"/>
        <w:bidi w:val="0"/>
        <w:adjustRightInd w:val="0"/>
        <w:spacing w:line="360" w:lineRule="auto"/>
        <w:ind w:firstLine="422" w:firstLineChars="200"/>
        <w:textAlignment w:val="auto"/>
        <w:rPr>
          <w:rFonts w:hint="eastAsia" w:ascii="仿宋" w:hAnsi="仿宋" w:eastAsia="仿宋" w:cs="仿宋"/>
          <w:b/>
          <w:bCs/>
          <w:color w:val="auto"/>
          <w:sz w:val="21"/>
          <w:szCs w:val="21"/>
          <w:highlight w:val="none"/>
        </w:rPr>
      </w:pPr>
    </w:p>
    <w:p>
      <w:pPr>
        <w:keepNext w:val="0"/>
        <w:keepLines w:val="0"/>
        <w:pageBreakBefore w:val="0"/>
        <w:widowControl w:val="0"/>
        <w:kinsoku/>
        <w:wordWrap w:val="0"/>
        <w:overflowPunct/>
        <w:topLinePunct w:val="0"/>
        <w:autoSpaceDE w:val="0"/>
        <w:autoSpaceDN w:val="0"/>
        <w:bidi w:val="0"/>
        <w:adjustRightIn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5.计量方式</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液体采用计量容积法或现场称重（现场有地秤），固体采用现场称重，按招标人储液池的面积*液位高差*密度，各池的面积双方可进行复核，密度按（1.20g/cm3）固定计量，如货物接收地有地秤，供货数量在进入招标人指定区内须过磅秤重（过磅须由双方监磅人签字）每车重量以招标人地秤为主，中标人表计为辅。</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w:t>
      </w:r>
      <w:r>
        <w:rPr>
          <w:rFonts w:hint="eastAsia" w:ascii="仿宋" w:hAnsi="仿宋" w:eastAsia="仿宋" w:cs="仿宋"/>
          <w:b/>
          <w:color w:val="auto"/>
          <w:szCs w:val="21"/>
          <w:highlight w:val="none"/>
          <w:lang w:eastAsia="zh-CN"/>
        </w:rPr>
        <w:t>售后</w:t>
      </w:r>
      <w:r>
        <w:rPr>
          <w:rFonts w:hint="eastAsia" w:ascii="仿宋" w:hAnsi="仿宋" w:eastAsia="仿宋" w:cs="仿宋"/>
          <w:b/>
          <w:color w:val="auto"/>
          <w:szCs w:val="21"/>
          <w:highlight w:val="none"/>
        </w:rPr>
        <w:t>要求</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rPr>
        <w:t>6.1</w:t>
      </w:r>
      <w:r>
        <w:rPr>
          <w:rFonts w:hint="eastAsia" w:ascii="仿宋" w:hAnsi="仿宋" w:eastAsia="仿宋" w:cs="仿宋"/>
          <w:b/>
          <w:color w:val="auto"/>
          <w:szCs w:val="21"/>
          <w:highlight w:val="none"/>
          <w:lang w:eastAsia="zh-CN"/>
        </w:rPr>
        <w:t>乙方</w:t>
      </w:r>
      <w:r>
        <w:rPr>
          <w:rFonts w:hint="eastAsia" w:ascii="仿宋" w:hAnsi="仿宋" w:eastAsia="仿宋" w:cs="仿宋"/>
          <w:b/>
          <w:color w:val="auto"/>
          <w:szCs w:val="21"/>
          <w:highlight w:val="none"/>
        </w:rPr>
        <w:t>提供的成品在储存期内（聚氯化铝液体不少于6个月</w:t>
      </w:r>
      <w:r>
        <w:rPr>
          <w:rFonts w:hint="eastAsia" w:ascii="仿宋" w:hAnsi="仿宋" w:eastAsia="仿宋" w:cs="仿宋"/>
          <w:b/>
          <w:color w:val="auto"/>
          <w:szCs w:val="21"/>
          <w:highlight w:val="none"/>
          <w:lang w:eastAsia="zh-CN"/>
        </w:rPr>
        <w:t>、固体产品不少于</w:t>
      </w:r>
      <w:r>
        <w:rPr>
          <w:rFonts w:hint="eastAsia" w:ascii="仿宋" w:hAnsi="仿宋" w:eastAsia="仿宋" w:cs="仿宋"/>
          <w:b/>
          <w:color w:val="auto"/>
          <w:szCs w:val="21"/>
          <w:highlight w:val="none"/>
          <w:lang w:val="en-US" w:eastAsia="zh-CN"/>
        </w:rPr>
        <w:t>12个月</w:t>
      </w:r>
      <w:r>
        <w:rPr>
          <w:rFonts w:hint="eastAsia" w:ascii="仿宋" w:hAnsi="仿宋" w:eastAsia="仿宋" w:cs="仿宋"/>
          <w:b/>
          <w:color w:val="auto"/>
          <w:szCs w:val="21"/>
          <w:highlight w:val="none"/>
        </w:rPr>
        <w:t>）不能变质（如液体原液水解、结晶体析出等）</w:t>
      </w:r>
      <w:r>
        <w:rPr>
          <w:rFonts w:hint="eastAsia" w:ascii="仿宋" w:hAnsi="仿宋" w:eastAsia="仿宋" w:cs="仿宋"/>
          <w:b/>
          <w:color w:val="auto"/>
          <w:szCs w:val="21"/>
          <w:highlight w:val="none"/>
          <w:lang w:val="en-US"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lang w:eastAsia="zh-CN"/>
        </w:rPr>
      </w:pPr>
      <w:r>
        <w:rPr>
          <w:rFonts w:hint="eastAsia" w:ascii="仿宋" w:hAnsi="仿宋" w:eastAsia="仿宋" w:cs="仿宋"/>
          <w:b/>
          <w:color w:val="auto"/>
          <w:kern w:val="2"/>
          <w:sz w:val="21"/>
          <w:szCs w:val="21"/>
          <w:highlight w:val="none"/>
          <w:lang w:val="en-US" w:eastAsia="zh-CN" w:bidi="ar-SA"/>
        </w:rPr>
        <w:t>6.2</w:t>
      </w:r>
      <w:r>
        <w:rPr>
          <w:rFonts w:hint="eastAsia" w:ascii="仿宋" w:hAnsi="仿宋" w:eastAsia="仿宋" w:cs="仿宋"/>
          <w:b/>
          <w:color w:val="auto"/>
          <w:szCs w:val="21"/>
          <w:highlight w:val="none"/>
          <w:lang w:eastAsia="zh-CN"/>
        </w:rPr>
        <w:t>乙方</w:t>
      </w:r>
      <w:r>
        <w:rPr>
          <w:rFonts w:hint="eastAsia" w:ascii="仿宋" w:hAnsi="仿宋" w:eastAsia="仿宋" w:cs="仿宋"/>
          <w:b/>
          <w:color w:val="auto"/>
          <w:szCs w:val="21"/>
          <w:highlight w:val="none"/>
        </w:rPr>
        <w:t>提供成品</w:t>
      </w:r>
      <w:r>
        <w:rPr>
          <w:rFonts w:hint="eastAsia" w:ascii="仿宋" w:hAnsi="仿宋" w:eastAsia="仿宋" w:cs="仿宋"/>
          <w:b/>
          <w:color w:val="auto"/>
          <w:szCs w:val="21"/>
          <w:highlight w:val="none"/>
          <w:lang w:eastAsia="zh-CN"/>
        </w:rPr>
        <w:t>的同时需对产品在不同季节的储存、使用量及使用方式方法进行说明和提供产品使用技术支持。</w:t>
      </w:r>
    </w:p>
    <w:p>
      <w:pPr>
        <w:pStyle w:val="2"/>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kern w:val="2"/>
          <w:sz w:val="21"/>
          <w:szCs w:val="21"/>
          <w:highlight w:val="none"/>
          <w:lang w:val="en-US" w:eastAsia="zh-CN" w:bidi="ar-SA"/>
        </w:rPr>
        <w:t>6.3当产品使用过程中问题出现异常情况，在收到甲方通知的后， 乙方需在6个小时内落实专业力量进行必要的技术支持，及时予以妥善处置相关问题。</w:t>
      </w:r>
    </w:p>
    <w:p>
      <w:pPr>
        <w:pStyle w:val="2"/>
        <w:rPr>
          <w:rFonts w:hint="default" w:ascii="仿宋" w:hAnsi="仿宋" w:eastAsia="仿宋" w:cs="仿宋"/>
          <w:b/>
          <w:color w:val="auto"/>
          <w:kern w:val="2"/>
          <w:sz w:val="21"/>
          <w:szCs w:val="21"/>
          <w:highlight w:val="none"/>
          <w:lang w:val="en-US" w:eastAsia="zh-CN" w:bidi="ar-SA"/>
        </w:rPr>
      </w:pP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rPr>
        <w:t>若合同供货期内国家标准有所更新，则产品必须符合最新标准的要求。</w:t>
      </w:r>
    </w:p>
    <w:p>
      <w:pPr>
        <w:pStyle w:val="4"/>
        <w:tabs>
          <w:tab w:val="left" w:pos="2985"/>
          <w:tab w:val="clear" w:pos="432"/>
        </w:tabs>
        <w:spacing w:before="12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二、合同有效期</w:t>
      </w:r>
    </w:p>
    <w:p>
      <w:pPr>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本项目供货期3年，合同为一年一签（年履约验收通过的则续签次年供货合同）。</w:t>
      </w:r>
    </w:p>
    <w:p>
      <w:pPr>
        <w:pStyle w:val="4"/>
        <w:tabs>
          <w:tab w:val="left" w:pos="2985"/>
          <w:tab w:val="clear" w:pos="432"/>
        </w:tabs>
        <w:spacing w:before="12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三、商务要求</w:t>
      </w:r>
    </w:p>
    <w:p>
      <w:pPr>
        <w:pStyle w:val="4"/>
        <w:tabs>
          <w:tab w:val="left" w:pos="2985"/>
          <w:tab w:val="clear" w:pos="432"/>
        </w:tabs>
        <w:spacing w:before="12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（一）报价要求</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报价应包括完成本项目工作所需的人力物力成本、原材料、管理费、运输费、其他费用、利润、税金等完成本项目的所有费用。本次投标报价为人民币价。</w:t>
      </w:r>
    </w:p>
    <w:p>
      <w:pPr>
        <w:pStyle w:val="4"/>
        <w:tabs>
          <w:tab w:val="left" w:pos="2985"/>
          <w:tab w:val="clear" w:pos="432"/>
        </w:tabs>
        <w:spacing w:before="12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（二）签订合同</w:t>
      </w:r>
    </w:p>
    <w:p>
      <w:pPr>
        <w:pageBreakBefore w:val="0"/>
        <w:widowControl/>
        <w:shd w:val="clear" w:color="auto" w:fill="FFFFFF"/>
        <w:kinsoku/>
        <w:wordWrap/>
        <w:overflowPunct/>
        <w:topLinePunct w:val="0"/>
        <w:bidi w:val="0"/>
        <w:spacing w:line="400" w:lineRule="exact"/>
        <w:ind w:firstLine="48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本项目不得转包与分包，否则取消中标资格，并承担相应责任。 </w:t>
      </w:r>
    </w:p>
    <w:p>
      <w:pPr>
        <w:pStyle w:val="4"/>
        <w:tabs>
          <w:tab w:val="left" w:pos="2985"/>
          <w:tab w:val="clear" w:pos="432"/>
        </w:tabs>
        <w:spacing w:before="12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（三）履约保证金缴纳</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本项目无需支付</w:t>
      </w:r>
      <w:r>
        <w:rPr>
          <w:rFonts w:hint="eastAsia" w:ascii="仿宋" w:hAnsi="仿宋" w:eastAsia="仿宋" w:cs="仿宋"/>
          <w:color w:val="auto"/>
          <w:szCs w:val="21"/>
          <w:highlight w:val="none"/>
        </w:rPr>
        <w:t>履约保证金。</w:t>
      </w:r>
    </w:p>
    <w:p>
      <w:pPr>
        <w:pStyle w:val="4"/>
        <w:tabs>
          <w:tab w:val="left" w:pos="2985"/>
          <w:tab w:val="clear" w:pos="432"/>
        </w:tabs>
        <w:spacing w:before="12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（四）付款条件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需要支付预付款，合同签订后5个工作日内，乙方提供合格发票和银行开具的等额预付款担保函，甲方在收到发票和担保函后，向乙方支付合同总价的40%预付款，如未提供预付款担保，视为无需支付预付款。</w:t>
      </w:r>
    </w:p>
    <w:p>
      <w:pPr>
        <w:pStyle w:val="20"/>
        <w:keepNext w:val="0"/>
        <w:pageBreakBefore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仿宋" w:hAnsi="仿宋" w:eastAsia="仿宋" w:cs="仿宋"/>
          <w:color w:val="auto"/>
          <w:szCs w:val="21"/>
          <w:highlight w:val="none"/>
          <w:lang w:val="en-US" w:eastAsia="zh-CN"/>
        </w:rPr>
        <w:t>履约期内，每次供货数量以招标人通知为准。货款每3个月结算1次，甲方向乙方支付该3个月的全额货款，首先用已支付的预付款抵消货款，待抵消完后再按实结算支付。如乙方未提供预付款担保，视为无需甲方支付预付款，货款按每3个月结算1次，甲方向乙方支付该3个月的全额货款。</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若发生过渡期，则过渡期内由原供货单位负责，费用按本合同单价计算，由乙方支付原供货服务单位。（过渡期是2025年1月1日起至指本项目中标通知书发出止）</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p>
    <w:p>
      <w:pPr>
        <w:pStyle w:val="4"/>
        <w:tabs>
          <w:tab w:val="left" w:pos="2985"/>
          <w:tab w:val="clear" w:pos="432"/>
        </w:tabs>
        <w:spacing w:before="12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（五）其他内容</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详见招标文件的</w:t>
      </w:r>
      <w:r>
        <w:rPr>
          <w:rFonts w:hint="eastAsia" w:ascii="仿宋" w:hAnsi="仿宋" w:eastAsia="仿宋" w:cs="仿宋"/>
          <w:b/>
          <w:bCs/>
          <w:color w:val="auto"/>
          <w:szCs w:val="21"/>
          <w:highlight w:val="none"/>
          <w:u w:val="single"/>
        </w:rPr>
        <w:t>《第五章 采购合同》</w:t>
      </w:r>
      <w:r>
        <w:rPr>
          <w:rFonts w:hint="eastAsia" w:ascii="仿宋" w:hAnsi="仿宋" w:eastAsia="仿宋" w:cs="仿宋"/>
          <w:color w:val="auto"/>
          <w:szCs w:val="21"/>
          <w:highlight w:val="none"/>
        </w:rPr>
        <w:t>，投标人应对合同内容进行审核，如有偏离，请在投标文件的“偏离表”中反映。</w:t>
      </w:r>
    </w:p>
    <w:p>
      <w:pPr>
        <w:pStyle w:val="4"/>
        <w:tabs>
          <w:tab w:val="left" w:pos="2985"/>
          <w:tab w:val="clear" w:pos="432"/>
        </w:tabs>
        <w:spacing w:before="12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四、落实政府采购政策要求</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本项目对符合政府采购扶持政策的小型、微型企业、监狱企业、残疾人福利性单位给予价格优惠扶持，价格优惠扶持见《第四章 评标办法》。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满足转发财政部 工业和信息化部关于印发《政府采购促进中小企业发展暂行办法》的通知（浙财采监[2012]11号）的规定，为小型、微型企业的投标人可享受优惠扶持。</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满足关于政府采购支持监狱企业发展有关问题的通知（财库〔2014〕68号）的规定的投标人可享受优惠扶持。</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满足关于促进残疾人就业政府采购政策的通知（财库〔2017〕141号）的规定的投标人可享受优惠扶持。</w:t>
      </w:r>
    </w:p>
    <w:p>
      <w:pPr>
        <w:pStyle w:val="4"/>
        <w:tabs>
          <w:tab w:val="left" w:pos="2985"/>
          <w:tab w:val="clear" w:pos="432"/>
        </w:tabs>
        <w:spacing w:before="12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五、实质性内容</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本章中所有带▲的内容是招标人提出的实质性内容，投标文件响应内容若不满足实质性内容要求，该投标文件将被评标委员会认定为无效。</w:t>
      </w:r>
    </w:p>
    <w:p>
      <w:pPr>
        <w:snapToGrid w:val="0"/>
        <w:spacing w:line="300" w:lineRule="auto"/>
        <w:ind w:firstLine="420" w:firstLineChars="200"/>
        <w:rPr>
          <w:rFonts w:hint="eastAsia" w:ascii="仿宋" w:hAnsi="仿宋" w:eastAsia="仿宋" w:cs="仿宋"/>
          <w:color w:val="auto"/>
          <w:szCs w:val="21"/>
          <w:highlight w:val="none"/>
        </w:rPr>
      </w:pPr>
    </w:p>
    <w:p>
      <w:pPr>
        <w:snapToGrid w:val="0"/>
        <w:spacing w:line="300" w:lineRule="auto"/>
        <w:ind w:firstLine="420" w:firstLineChars="200"/>
        <w:rPr>
          <w:rFonts w:hint="eastAsia" w:ascii="仿宋" w:hAnsi="仿宋" w:eastAsia="仿宋" w:cs="仿宋"/>
          <w:color w:val="auto"/>
          <w:szCs w:val="21"/>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pStyle w:val="2"/>
        <w:rPr>
          <w:rFonts w:hint="eastAsia"/>
          <w:color w:val="auto"/>
          <w:highlight w:val="none"/>
        </w:rPr>
      </w:pPr>
    </w:p>
    <w:p>
      <w:pPr>
        <w:numPr>
          <w:ilvl w:val="0"/>
          <w:numId w:val="4"/>
        </w:numPr>
        <w:spacing w:line="360" w:lineRule="auto"/>
        <w:ind w:firstLine="2891" w:firstLineChars="800"/>
        <w:jc w:val="both"/>
        <w:outlineLvl w:val="0"/>
        <w:rPr>
          <w:rFonts w:hint="eastAsia" w:ascii="仿宋" w:hAnsi="仿宋" w:eastAsia="仿宋" w:cs="仿宋"/>
          <w:b/>
          <w:color w:val="auto"/>
          <w:sz w:val="36"/>
          <w:szCs w:val="36"/>
          <w:highlight w:val="none"/>
        </w:rPr>
      </w:pPr>
      <w:bookmarkStart w:id="40" w:name="_Toc184312114"/>
      <w:bookmarkEnd w:id="40"/>
      <w:bookmarkStart w:id="41" w:name="_Toc184313248"/>
      <w:bookmarkEnd w:id="41"/>
      <w:bookmarkStart w:id="42" w:name="_Toc184312090"/>
      <w:bookmarkEnd w:id="42"/>
      <w:bookmarkStart w:id="43" w:name="_Toc184314476"/>
      <w:bookmarkEnd w:id="43"/>
      <w:bookmarkStart w:id="44" w:name="_Toc184310294"/>
      <w:bookmarkEnd w:id="44"/>
      <w:bookmarkStart w:id="45" w:name="_Toc184310281"/>
      <w:bookmarkEnd w:id="45"/>
      <w:bookmarkStart w:id="46" w:name="_Toc184312136"/>
      <w:bookmarkEnd w:id="46"/>
      <w:bookmarkStart w:id="47" w:name="_Toc184308062"/>
      <w:bookmarkEnd w:id="47"/>
      <w:bookmarkStart w:id="48" w:name="_Toc184308048"/>
      <w:bookmarkEnd w:id="48"/>
      <w:bookmarkStart w:id="49" w:name="_Toc184308056"/>
      <w:bookmarkEnd w:id="49"/>
      <w:bookmarkStart w:id="50" w:name="_Toc184310330"/>
      <w:bookmarkEnd w:id="50"/>
      <w:bookmarkStart w:id="51" w:name="_Toc184312116"/>
      <w:bookmarkEnd w:id="51"/>
      <w:bookmarkStart w:id="52" w:name="_Toc184314465"/>
      <w:bookmarkEnd w:id="52"/>
      <w:bookmarkStart w:id="53" w:name="_Toc184312072"/>
      <w:bookmarkEnd w:id="53"/>
      <w:bookmarkStart w:id="54" w:name="_Toc184310299"/>
      <w:bookmarkEnd w:id="54"/>
      <w:bookmarkStart w:id="55" w:name="_Toc184308107"/>
      <w:bookmarkEnd w:id="55"/>
      <w:bookmarkStart w:id="56" w:name="_Toc184313299"/>
      <w:bookmarkEnd w:id="56"/>
      <w:bookmarkStart w:id="57" w:name="_Toc184314436"/>
      <w:bookmarkEnd w:id="57"/>
      <w:bookmarkStart w:id="58" w:name="_Toc184308088"/>
      <w:bookmarkEnd w:id="58"/>
      <w:bookmarkStart w:id="59" w:name="_Toc184314428"/>
      <w:bookmarkEnd w:id="59"/>
      <w:bookmarkStart w:id="60" w:name="_Toc184313265"/>
      <w:bookmarkEnd w:id="60"/>
      <w:bookmarkStart w:id="61" w:name="_Toc184310305"/>
      <w:bookmarkEnd w:id="61"/>
      <w:bookmarkStart w:id="62" w:name="_Toc184314455"/>
      <w:bookmarkEnd w:id="62"/>
      <w:bookmarkStart w:id="63" w:name="_Toc184310312"/>
      <w:bookmarkEnd w:id="63"/>
      <w:bookmarkStart w:id="64" w:name="_Toc184312104"/>
      <w:bookmarkEnd w:id="64"/>
      <w:bookmarkStart w:id="65" w:name="_Toc184308053"/>
      <w:bookmarkEnd w:id="65"/>
      <w:bookmarkStart w:id="66" w:name="_Toc184312098"/>
      <w:bookmarkEnd w:id="66"/>
      <w:bookmarkStart w:id="67" w:name="_Toc184313291"/>
      <w:bookmarkEnd w:id="67"/>
      <w:bookmarkStart w:id="68" w:name="_Toc184314429"/>
      <w:bookmarkEnd w:id="68"/>
      <w:bookmarkStart w:id="69" w:name="_Toc184310276"/>
      <w:bookmarkEnd w:id="69"/>
      <w:bookmarkStart w:id="70" w:name="_Toc184310322"/>
      <w:bookmarkEnd w:id="70"/>
      <w:bookmarkStart w:id="71" w:name="_Toc184313261"/>
      <w:bookmarkEnd w:id="71"/>
      <w:bookmarkStart w:id="72" w:name="_Toc184313250"/>
      <w:bookmarkEnd w:id="72"/>
      <w:bookmarkStart w:id="73" w:name="_Toc184313255"/>
      <w:bookmarkEnd w:id="73"/>
      <w:bookmarkStart w:id="74" w:name="_Toc184308102"/>
      <w:bookmarkEnd w:id="74"/>
      <w:bookmarkStart w:id="75" w:name="_Toc184313283"/>
      <w:bookmarkEnd w:id="75"/>
      <w:bookmarkStart w:id="76" w:name="_Toc184314478"/>
      <w:bookmarkEnd w:id="76"/>
      <w:bookmarkStart w:id="77" w:name="_Toc184314430"/>
      <w:bookmarkEnd w:id="77"/>
      <w:bookmarkStart w:id="78" w:name="_Toc184310325"/>
      <w:bookmarkEnd w:id="78"/>
      <w:bookmarkStart w:id="79" w:name="_Toc184312069"/>
      <w:bookmarkEnd w:id="79"/>
      <w:bookmarkStart w:id="80" w:name="_Toc184312096"/>
      <w:bookmarkEnd w:id="80"/>
      <w:bookmarkStart w:id="81" w:name="_Toc184312125"/>
      <w:bookmarkEnd w:id="81"/>
      <w:bookmarkStart w:id="82" w:name="_Toc184310315"/>
      <w:bookmarkEnd w:id="82"/>
      <w:bookmarkStart w:id="83" w:name="_Toc184313284"/>
      <w:bookmarkEnd w:id="83"/>
      <w:bookmarkStart w:id="84" w:name="_Toc184313288"/>
      <w:bookmarkEnd w:id="84"/>
      <w:bookmarkStart w:id="85" w:name="_Toc184308059"/>
      <w:bookmarkEnd w:id="85"/>
      <w:bookmarkStart w:id="86" w:name="_Toc184313263"/>
      <w:bookmarkEnd w:id="86"/>
      <w:bookmarkStart w:id="87" w:name="_Toc184312135"/>
      <w:bookmarkEnd w:id="87"/>
      <w:bookmarkStart w:id="88" w:name="_Toc184308089"/>
      <w:bookmarkEnd w:id="88"/>
      <w:bookmarkStart w:id="89" w:name="_Toc184312076"/>
      <w:bookmarkEnd w:id="89"/>
      <w:bookmarkStart w:id="90" w:name="_Toc184310307"/>
      <w:bookmarkEnd w:id="90"/>
      <w:bookmarkStart w:id="91" w:name="_Toc184308052"/>
      <w:bookmarkEnd w:id="91"/>
      <w:bookmarkStart w:id="92" w:name="_Toc184314479"/>
      <w:bookmarkEnd w:id="92"/>
      <w:bookmarkStart w:id="93" w:name="_Toc184310318"/>
      <w:bookmarkEnd w:id="93"/>
      <w:bookmarkStart w:id="94" w:name="_Toc184308070"/>
      <w:bookmarkEnd w:id="94"/>
      <w:bookmarkStart w:id="95" w:name="_Toc184310297"/>
      <w:bookmarkEnd w:id="95"/>
      <w:bookmarkStart w:id="96" w:name="_Toc184308098"/>
      <w:bookmarkEnd w:id="96"/>
      <w:bookmarkStart w:id="97" w:name="_Toc184310313"/>
      <w:bookmarkEnd w:id="97"/>
      <w:bookmarkStart w:id="98" w:name="_Toc184308068"/>
      <w:bookmarkEnd w:id="98"/>
      <w:bookmarkStart w:id="99" w:name="_Toc184314468"/>
      <w:bookmarkEnd w:id="99"/>
      <w:bookmarkStart w:id="100" w:name="_Toc184312068"/>
      <w:bookmarkEnd w:id="100"/>
      <w:bookmarkStart w:id="101" w:name="_Toc184314439"/>
      <w:bookmarkEnd w:id="101"/>
      <w:bookmarkStart w:id="102" w:name="_Toc184313273"/>
      <w:bookmarkEnd w:id="102"/>
      <w:bookmarkStart w:id="103" w:name="_Toc184308074"/>
      <w:bookmarkEnd w:id="103"/>
      <w:bookmarkStart w:id="104" w:name="_Toc184308047"/>
      <w:bookmarkEnd w:id="104"/>
      <w:bookmarkStart w:id="105" w:name="_Toc184312106"/>
      <w:bookmarkEnd w:id="105"/>
      <w:bookmarkStart w:id="106" w:name="_Toc184313251"/>
      <w:bookmarkEnd w:id="106"/>
      <w:bookmarkStart w:id="107" w:name="_Toc184313278"/>
      <w:bookmarkEnd w:id="107"/>
      <w:bookmarkStart w:id="108" w:name="_Toc184313245"/>
      <w:bookmarkEnd w:id="108"/>
      <w:bookmarkStart w:id="109" w:name="_Toc184313257"/>
      <w:bookmarkEnd w:id="109"/>
      <w:bookmarkStart w:id="110" w:name="_Toc184312101"/>
      <w:bookmarkEnd w:id="110"/>
      <w:bookmarkStart w:id="111" w:name="_Toc184313302"/>
      <w:bookmarkEnd w:id="111"/>
      <w:bookmarkStart w:id="112" w:name="_Toc184314418"/>
      <w:bookmarkEnd w:id="112"/>
      <w:bookmarkStart w:id="113" w:name="_Toc184314453"/>
      <w:bookmarkEnd w:id="113"/>
      <w:bookmarkStart w:id="114" w:name="_Toc184314464"/>
      <w:bookmarkEnd w:id="114"/>
      <w:bookmarkStart w:id="115" w:name="_Toc184313240"/>
      <w:bookmarkEnd w:id="115"/>
      <w:bookmarkStart w:id="116" w:name="_Toc184313306"/>
      <w:bookmarkEnd w:id="116"/>
      <w:bookmarkStart w:id="117" w:name="_Toc184308078"/>
      <w:bookmarkEnd w:id="117"/>
      <w:bookmarkStart w:id="118" w:name="_Toc184313246"/>
      <w:bookmarkEnd w:id="118"/>
      <w:bookmarkStart w:id="119" w:name="_Toc184308079"/>
      <w:bookmarkEnd w:id="119"/>
      <w:bookmarkStart w:id="120" w:name="_Toc184310301"/>
      <w:bookmarkEnd w:id="120"/>
      <w:bookmarkStart w:id="121" w:name="_Toc184313280"/>
      <w:bookmarkEnd w:id="121"/>
      <w:bookmarkStart w:id="122" w:name="_Toc184313253"/>
      <w:bookmarkEnd w:id="122"/>
      <w:bookmarkStart w:id="123" w:name="_Toc184310283"/>
      <w:bookmarkEnd w:id="123"/>
      <w:bookmarkStart w:id="124" w:name="_Toc184312115"/>
      <w:bookmarkEnd w:id="124"/>
      <w:bookmarkStart w:id="125" w:name="_Toc184308038"/>
      <w:bookmarkEnd w:id="125"/>
      <w:bookmarkStart w:id="126" w:name="_Toc184310340"/>
      <w:bookmarkEnd w:id="126"/>
      <w:bookmarkStart w:id="127" w:name="_Toc184314470"/>
      <w:bookmarkEnd w:id="127"/>
      <w:bookmarkStart w:id="128" w:name="_Toc184308064"/>
      <w:bookmarkEnd w:id="128"/>
      <w:bookmarkStart w:id="129" w:name="_Toc184312128"/>
      <w:bookmarkEnd w:id="129"/>
      <w:bookmarkStart w:id="130" w:name="_Toc184314410"/>
      <w:bookmarkEnd w:id="130"/>
      <w:bookmarkStart w:id="131" w:name="_Toc184312084"/>
      <w:bookmarkEnd w:id="131"/>
      <w:bookmarkStart w:id="132" w:name="_Toc184313260"/>
      <w:bookmarkEnd w:id="132"/>
      <w:bookmarkStart w:id="133" w:name="_Toc184314451"/>
      <w:bookmarkEnd w:id="133"/>
      <w:bookmarkStart w:id="134" w:name="_Toc184313293"/>
      <w:bookmarkEnd w:id="134"/>
      <w:bookmarkStart w:id="135" w:name="_Toc184308095"/>
      <w:bookmarkEnd w:id="135"/>
      <w:bookmarkStart w:id="136" w:name="_Toc184308042"/>
      <w:bookmarkEnd w:id="136"/>
      <w:bookmarkStart w:id="137" w:name="_Toc184312091"/>
      <w:bookmarkEnd w:id="137"/>
      <w:bookmarkStart w:id="138" w:name="_Toc184313281"/>
      <w:bookmarkEnd w:id="138"/>
      <w:bookmarkStart w:id="139" w:name="_Toc184313267"/>
      <w:bookmarkEnd w:id="139"/>
      <w:bookmarkStart w:id="140" w:name="_Toc184312113"/>
      <w:bookmarkEnd w:id="140"/>
      <w:bookmarkStart w:id="141" w:name="_Toc184314438"/>
      <w:bookmarkEnd w:id="141"/>
      <w:bookmarkStart w:id="142" w:name="_Toc184314434"/>
      <w:bookmarkEnd w:id="142"/>
      <w:bookmarkStart w:id="143" w:name="_Toc184313276"/>
      <w:bookmarkEnd w:id="143"/>
      <w:bookmarkStart w:id="144" w:name="_Toc184310334"/>
      <w:bookmarkEnd w:id="144"/>
      <w:bookmarkStart w:id="145" w:name="_Toc184314422"/>
      <w:bookmarkEnd w:id="145"/>
      <w:bookmarkStart w:id="146" w:name="_Toc184314419"/>
      <w:bookmarkEnd w:id="146"/>
      <w:bookmarkStart w:id="147" w:name="_Toc184312134"/>
      <w:bookmarkEnd w:id="147"/>
      <w:bookmarkStart w:id="148" w:name="_Toc184310292"/>
      <w:bookmarkEnd w:id="148"/>
      <w:bookmarkStart w:id="149" w:name="_Toc184308081"/>
      <w:bookmarkEnd w:id="149"/>
      <w:bookmarkStart w:id="150" w:name="_Toc184313242"/>
      <w:bookmarkEnd w:id="150"/>
      <w:bookmarkStart w:id="151" w:name="_Toc184313277"/>
      <w:bookmarkEnd w:id="151"/>
      <w:bookmarkStart w:id="152" w:name="_Toc184313304"/>
      <w:bookmarkEnd w:id="152"/>
      <w:bookmarkStart w:id="153" w:name="_Toc184310309"/>
      <w:bookmarkEnd w:id="153"/>
      <w:bookmarkStart w:id="154" w:name="_Toc184313310"/>
      <w:bookmarkEnd w:id="154"/>
      <w:bookmarkStart w:id="155" w:name="_Toc184313290"/>
      <w:bookmarkEnd w:id="155"/>
      <w:bookmarkStart w:id="156" w:name="_Toc184313282"/>
      <w:bookmarkEnd w:id="156"/>
      <w:bookmarkStart w:id="157" w:name="_Toc184313270"/>
      <w:bookmarkEnd w:id="157"/>
      <w:bookmarkStart w:id="158" w:name="_Toc184312086"/>
      <w:bookmarkEnd w:id="158"/>
      <w:bookmarkStart w:id="159" w:name="_Toc184310278"/>
      <w:bookmarkEnd w:id="159"/>
      <w:bookmarkStart w:id="160" w:name="_Toc184313308"/>
      <w:bookmarkEnd w:id="160"/>
      <w:bookmarkStart w:id="161" w:name="_Toc184312085"/>
      <w:bookmarkEnd w:id="161"/>
      <w:bookmarkStart w:id="162" w:name="_Toc184308103"/>
      <w:bookmarkEnd w:id="162"/>
      <w:bookmarkStart w:id="163" w:name="_Toc184310326"/>
      <w:bookmarkEnd w:id="163"/>
      <w:bookmarkStart w:id="164" w:name="_Toc184312099"/>
      <w:bookmarkEnd w:id="164"/>
      <w:bookmarkStart w:id="165" w:name="_Toc184312088"/>
      <w:bookmarkEnd w:id="165"/>
      <w:bookmarkStart w:id="166" w:name="_Toc184312108"/>
      <w:bookmarkEnd w:id="166"/>
      <w:bookmarkStart w:id="167" w:name="_Toc184312074"/>
      <w:bookmarkEnd w:id="167"/>
      <w:bookmarkStart w:id="168" w:name="_Toc184308083"/>
      <w:bookmarkEnd w:id="168"/>
      <w:bookmarkStart w:id="169" w:name="_Toc184308066"/>
      <w:bookmarkEnd w:id="169"/>
      <w:bookmarkStart w:id="170" w:name="_Toc184308065"/>
      <w:bookmarkEnd w:id="170"/>
      <w:bookmarkStart w:id="171" w:name="_Toc184310314"/>
      <w:bookmarkEnd w:id="171"/>
      <w:bookmarkStart w:id="172" w:name="_Toc184312067"/>
      <w:bookmarkEnd w:id="172"/>
      <w:bookmarkStart w:id="173" w:name="_Toc184313295"/>
      <w:bookmarkEnd w:id="173"/>
      <w:bookmarkStart w:id="174" w:name="_Toc184310323"/>
      <w:bookmarkEnd w:id="174"/>
      <w:bookmarkStart w:id="175" w:name="_Toc184310311"/>
      <w:bookmarkEnd w:id="175"/>
      <w:bookmarkStart w:id="176" w:name="_Toc184310303"/>
      <w:bookmarkEnd w:id="176"/>
      <w:bookmarkStart w:id="177" w:name="_Toc184310273"/>
      <w:bookmarkEnd w:id="177"/>
      <w:bookmarkStart w:id="178" w:name="_Toc184308075"/>
      <w:bookmarkEnd w:id="178"/>
      <w:bookmarkStart w:id="179" w:name="_Toc184313259"/>
      <w:bookmarkEnd w:id="179"/>
      <w:bookmarkStart w:id="180" w:name="_Toc184314474"/>
      <w:bookmarkEnd w:id="180"/>
      <w:bookmarkStart w:id="181" w:name="_Toc184314472"/>
      <w:bookmarkEnd w:id="181"/>
      <w:bookmarkStart w:id="182" w:name="_Toc184314461"/>
      <w:bookmarkEnd w:id="182"/>
      <w:bookmarkStart w:id="183" w:name="_Toc184308091"/>
      <w:bookmarkEnd w:id="183"/>
      <w:bookmarkStart w:id="184" w:name="_Toc184308040"/>
      <w:bookmarkEnd w:id="184"/>
      <w:bookmarkStart w:id="185" w:name="_Toc184314445"/>
      <w:bookmarkEnd w:id="185"/>
      <w:bookmarkStart w:id="186" w:name="_Toc184310342"/>
      <w:bookmarkEnd w:id="186"/>
      <w:bookmarkStart w:id="187" w:name="_Toc184310291"/>
      <w:bookmarkEnd w:id="187"/>
      <w:bookmarkStart w:id="188" w:name="_Toc184308049"/>
      <w:bookmarkEnd w:id="188"/>
      <w:bookmarkStart w:id="189" w:name="_Toc184312111"/>
      <w:bookmarkEnd w:id="189"/>
      <w:bookmarkStart w:id="190" w:name="_Toc184313301"/>
      <w:bookmarkEnd w:id="190"/>
      <w:bookmarkStart w:id="191" w:name="_Toc184312092"/>
      <w:bookmarkEnd w:id="191"/>
      <w:bookmarkStart w:id="192" w:name="_Toc184314457"/>
      <w:bookmarkEnd w:id="192"/>
      <w:bookmarkStart w:id="193" w:name="_Toc184314411"/>
      <w:bookmarkEnd w:id="193"/>
      <w:bookmarkStart w:id="194" w:name="_Toc184314415"/>
      <w:bookmarkEnd w:id="194"/>
      <w:bookmarkStart w:id="195" w:name="_Toc184308094"/>
      <w:bookmarkEnd w:id="195"/>
      <w:bookmarkStart w:id="196" w:name="_Toc184312129"/>
      <w:bookmarkEnd w:id="196"/>
      <w:bookmarkStart w:id="197" w:name="_Toc184312089"/>
      <w:bookmarkEnd w:id="197"/>
      <w:bookmarkStart w:id="198" w:name="_Toc184312127"/>
      <w:bookmarkEnd w:id="198"/>
      <w:bookmarkStart w:id="199" w:name="_Toc184312073"/>
      <w:bookmarkEnd w:id="199"/>
      <w:bookmarkStart w:id="200" w:name="_Toc184313272"/>
      <w:bookmarkEnd w:id="200"/>
      <w:bookmarkStart w:id="201" w:name="_Toc184308045"/>
      <w:bookmarkEnd w:id="201"/>
      <w:bookmarkStart w:id="202" w:name="_Toc184312081"/>
      <w:bookmarkEnd w:id="202"/>
      <w:bookmarkStart w:id="203" w:name="_Toc184310324"/>
      <w:bookmarkEnd w:id="203"/>
      <w:bookmarkStart w:id="204" w:name="_Toc184314480"/>
      <w:bookmarkEnd w:id="204"/>
      <w:bookmarkStart w:id="205" w:name="_Toc184308084"/>
      <w:bookmarkEnd w:id="205"/>
      <w:bookmarkStart w:id="206" w:name="_Toc184308046"/>
      <w:bookmarkEnd w:id="206"/>
      <w:bookmarkStart w:id="207" w:name="_Toc184313262"/>
      <w:bookmarkEnd w:id="207"/>
      <w:bookmarkStart w:id="208" w:name="_Toc184308086"/>
      <w:bookmarkEnd w:id="208"/>
      <w:bookmarkStart w:id="209" w:name="_Toc184313244"/>
      <w:bookmarkEnd w:id="209"/>
      <w:bookmarkStart w:id="210" w:name="_Toc184310319"/>
      <w:bookmarkEnd w:id="210"/>
      <w:bookmarkStart w:id="211" w:name="_Toc184312075"/>
      <w:bookmarkEnd w:id="211"/>
      <w:bookmarkStart w:id="212" w:name="_Toc184310289"/>
      <w:bookmarkEnd w:id="212"/>
      <w:bookmarkStart w:id="213" w:name="_Toc184312077"/>
      <w:bookmarkEnd w:id="213"/>
      <w:bookmarkStart w:id="214" w:name="_Toc184314444"/>
      <w:bookmarkEnd w:id="214"/>
      <w:bookmarkStart w:id="215" w:name="_Toc184310284"/>
      <w:bookmarkEnd w:id="215"/>
      <w:bookmarkStart w:id="216" w:name="_Toc184308041"/>
      <w:bookmarkEnd w:id="216"/>
      <w:bookmarkStart w:id="217" w:name="_Toc184312071"/>
      <w:bookmarkEnd w:id="217"/>
      <w:bookmarkStart w:id="218" w:name="_Toc184314473"/>
      <w:bookmarkEnd w:id="218"/>
      <w:bookmarkStart w:id="219" w:name="_Toc184312082"/>
      <w:bookmarkEnd w:id="219"/>
      <w:bookmarkStart w:id="220" w:name="_Toc184312138"/>
      <w:bookmarkEnd w:id="220"/>
      <w:bookmarkStart w:id="221" w:name="_Toc184308044"/>
      <w:bookmarkEnd w:id="221"/>
      <w:bookmarkStart w:id="222" w:name="_Toc184308106"/>
      <w:bookmarkEnd w:id="222"/>
      <w:bookmarkStart w:id="223" w:name="_Toc184308096"/>
      <w:bookmarkEnd w:id="223"/>
      <w:bookmarkStart w:id="224" w:name="_Toc184312093"/>
      <w:bookmarkEnd w:id="224"/>
      <w:bookmarkStart w:id="225" w:name="_Toc184314466"/>
      <w:bookmarkEnd w:id="225"/>
      <w:bookmarkStart w:id="226" w:name="_Toc184314482"/>
      <w:bookmarkEnd w:id="226"/>
      <w:bookmarkStart w:id="227" w:name="_Toc184312079"/>
      <w:bookmarkEnd w:id="227"/>
      <w:bookmarkStart w:id="228" w:name="_Toc184308055"/>
      <w:bookmarkEnd w:id="228"/>
      <w:bookmarkStart w:id="229" w:name="_Toc184310337"/>
      <w:bookmarkEnd w:id="229"/>
      <w:bookmarkStart w:id="230" w:name="_Toc184312120"/>
      <w:bookmarkEnd w:id="230"/>
      <w:bookmarkStart w:id="231" w:name="_Toc184310333"/>
      <w:bookmarkEnd w:id="231"/>
      <w:bookmarkStart w:id="232" w:name="_Toc184313275"/>
      <w:bookmarkEnd w:id="232"/>
      <w:bookmarkStart w:id="233" w:name="_Toc184310279"/>
      <w:bookmarkEnd w:id="233"/>
      <w:bookmarkStart w:id="234" w:name="_Toc184314450"/>
      <w:bookmarkEnd w:id="234"/>
      <w:bookmarkStart w:id="235" w:name="_Toc184308108"/>
      <w:bookmarkEnd w:id="235"/>
      <w:bookmarkStart w:id="236" w:name="_Toc184314447"/>
      <w:bookmarkEnd w:id="236"/>
      <w:bookmarkStart w:id="237" w:name="_Toc184310296"/>
      <w:bookmarkEnd w:id="237"/>
      <w:bookmarkStart w:id="238" w:name="_Toc184312139"/>
      <w:bookmarkEnd w:id="238"/>
      <w:bookmarkStart w:id="239" w:name="_Toc184313279"/>
      <w:bookmarkEnd w:id="239"/>
      <w:bookmarkStart w:id="240" w:name="_Toc184313239"/>
      <w:bookmarkEnd w:id="240"/>
      <w:bookmarkStart w:id="241" w:name="_Toc184314414"/>
      <w:bookmarkEnd w:id="241"/>
      <w:bookmarkStart w:id="242" w:name="_Toc184313238"/>
      <w:bookmarkEnd w:id="242"/>
      <w:bookmarkStart w:id="243" w:name="_Toc184310285"/>
      <w:bookmarkEnd w:id="243"/>
      <w:bookmarkStart w:id="244" w:name="_Toc184314420"/>
      <w:bookmarkEnd w:id="244"/>
      <w:bookmarkStart w:id="245" w:name="_Toc184308105"/>
      <w:bookmarkEnd w:id="245"/>
      <w:bookmarkStart w:id="246" w:name="_Toc184314458"/>
      <w:bookmarkEnd w:id="246"/>
      <w:bookmarkStart w:id="247" w:name="_Toc184313243"/>
      <w:bookmarkEnd w:id="247"/>
      <w:bookmarkStart w:id="248" w:name="_Toc184312109"/>
      <w:bookmarkEnd w:id="248"/>
      <w:bookmarkStart w:id="249" w:name="_Toc184312102"/>
      <w:bookmarkEnd w:id="249"/>
      <w:bookmarkStart w:id="250" w:name="_Toc184310286"/>
      <w:bookmarkEnd w:id="250"/>
      <w:bookmarkStart w:id="251" w:name="_Toc184314417"/>
      <w:bookmarkEnd w:id="251"/>
      <w:bookmarkStart w:id="252" w:name="_Toc184312126"/>
      <w:bookmarkEnd w:id="252"/>
      <w:bookmarkStart w:id="253" w:name="_Toc184312133"/>
      <w:bookmarkEnd w:id="253"/>
      <w:bookmarkStart w:id="254" w:name="_Toc184314449"/>
      <w:bookmarkEnd w:id="254"/>
      <w:bookmarkStart w:id="255" w:name="_Toc184313266"/>
      <w:bookmarkEnd w:id="255"/>
      <w:bookmarkStart w:id="256" w:name="_Toc184308057"/>
      <w:bookmarkEnd w:id="256"/>
      <w:bookmarkStart w:id="257" w:name="_Toc184314442"/>
      <w:bookmarkEnd w:id="257"/>
      <w:bookmarkStart w:id="258" w:name="_Toc184314431"/>
      <w:bookmarkEnd w:id="258"/>
      <w:bookmarkStart w:id="259" w:name="_Toc184313247"/>
      <w:bookmarkEnd w:id="259"/>
      <w:bookmarkStart w:id="260" w:name="_Toc184314454"/>
      <w:bookmarkEnd w:id="260"/>
      <w:bookmarkStart w:id="261" w:name="_Toc184312123"/>
      <w:bookmarkEnd w:id="261"/>
      <w:bookmarkStart w:id="262" w:name="_Toc184310298"/>
      <w:bookmarkEnd w:id="262"/>
      <w:bookmarkStart w:id="263" w:name="_Toc184313300"/>
      <w:bookmarkEnd w:id="263"/>
      <w:bookmarkStart w:id="264" w:name="_Toc184314412"/>
      <w:bookmarkEnd w:id="264"/>
      <w:bookmarkStart w:id="265" w:name="_Toc184314432"/>
      <w:bookmarkEnd w:id="265"/>
      <w:bookmarkStart w:id="266" w:name="_Toc184312097"/>
      <w:bookmarkEnd w:id="266"/>
      <w:bookmarkStart w:id="267" w:name="_Toc184310343"/>
      <w:bookmarkEnd w:id="267"/>
      <w:bookmarkStart w:id="268" w:name="_Toc184308061"/>
      <w:bookmarkEnd w:id="268"/>
      <w:bookmarkStart w:id="269" w:name="_Toc184310274"/>
      <w:bookmarkEnd w:id="269"/>
      <w:bookmarkStart w:id="270" w:name="_Toc184312131"/>
      <w:bookmarkEnd w:id="270"/>
      <w:bookmarkStart w:id="271" w:name="_Toc184310290"/>
      <w:bookmarkEnd w:id="271"/>
      <w:bookmarkStart w:id="272" w:name="_Toc184308043"/>
      <w:bookmarkEnd w:id="272"/>
      <w:bookmarkStart w:id="273" w:name="_Toc184313254"/>
      <w:bookmarkEnd w:id="273"/>
      <w:bookmarkStart w:id="274" w:name="_Toc184314459"/>
      <w:bookmarkEnd w:id="274"/>
      <w:bookmarkStart w:id="275" w:name="_Toc184314441"/>
      <w:bookmarkEnd w:id="275"/>
      <w:bookmarkStart w:id="276" w:name="_Toc184313287"/>
      <w:bookmarkEnd w:id="276"/>
      <w:bookmarkStart w:id="277" w:name="_Toc184308099"/>
      <w:bookmarkEnd w:id="277"/>
      <w:bookmarkStart w:id="278" w:name="_Toc184310275"/>
      <w:bookmarkEnd w:id="278"/>
      <w:bookmarkStart w:id="279" w:name="_Toc184312132"/>
      <w:bookmarkEnd w:id="279"/>
      <w:bookmarkStart w:id="280" w:name="_Toc184313303"/>
      <w:bookmarkEnd w:id="280"/>
      <w:bookmarkStart w:id="281" w:name="_Toc184314463"/>
      <w:bookmarkEnd w:id="281"/>
      <w:bookmarkStart w:id="282" w:name="_Toc184312117"/>
      <w:bookmarkEnd w:id="282"/>
      <w:bookmarkStart w:id="283" w:name="_Toc184308077"/>
      <w:bookmarkEnd w:id="283"/>
      <w:bookmarkStart w:id="284" w:name="_Toc184314416"/>
      <w:bookmarkEnd w:id="284"/>
      <w:bookmarkStart w:id="285" w:name="_Toc184310272"/>
      <w:bookmarkEnd w:id="285"/>
      <w:bookmarkStart w:id="286" w:name="_Toc184314448"/>
      <w:bookmarkEnd w:id="286"/>
      <w:bookmarkStart w:id="287" w:name="_Toc184312100"/>
      <w:bookmarkEnd w:id="287"/>
      <w:bookmarkStart w:id="288" w:name="_Toc184310336"/>
      <w:bookmarkEnd w:id="288"/>
      <w:bookmarkStart w:id="289" w:name="_Toc184308085"/>
      <w:bookmarkEnd w:id="289"/>
      <w:bookmarkStart w:id="290" w:name="_Toc184310310"/>
      <w:bookmarkEnd w:id="290"/>
      <w:bookmarkStart w:id="291" w:name="_Toc184313258"/>
      <w:bookmarkEnd w:id="291"/>
      <w:bookmarkStart w:id="292" w:name="_Toc184310321"/>
      <w:bookmarkEnd w:id="292"/>
      <w:bookmarkStart w:id="293" w:name="_Toc184312103"/>
      <w:bookmarkEnd w:id="293"/>
      <w:bookmarkStart w:id="294" w:name="_Toc184308072"/>
      <w:bookmarkEnd w:id="294"/>
      <w:bookmarkStart w:id="295" w:name="_Toc184310295"/>
      <w:bookmarkEnd w:id="295"/>
      <w:bookmarkStart w:id="296" w:name="_Toc184313241"/>
      <w:bookmarkEnd w:id="296"/>
      <w:bookmarkStart w:id="297" w:name="_Toc184310302"/>
      <w:bookmarkEnd w:id="297"/>
      <w:bookmarkStart w:id="298" w:name="_Toc184308037"/>
      <w:bookmarkEnd w:id="298"/>
      <w:bookmarkStart w:id="299" w:name="_Toc184313292"/>
      <w:bookmarkEnd w:id="299"/>
      <w:bookmarkStart w:id="300" w:name="_Toc184310338"/>
      <w:bookmarkEnd w:id="300"/>
      <w:bookmarkStart w:id="301" w:name="_Toc184310300"/>
      <w:bookmarkEnd w:id="301"/>
      <w:bookmarkStart w:id="302" w:name="_Toc184313286"/>
      <w:bookmarkEnd w:id="302"/>
      <w:bookmarkStart w:id="303" w:name="_Toc184314425"/>
      <w:bookmarkEnd w:id="303"/>
      <w:bookmarkStart w:id="304" w:name="_Toc184312080"/>
      <w:bookmarkEnd w:id="304"/>
      <w:bookmarkStart w:id="305" w:name="_Toc184313249"/>
      <w:bookmarkEnd w:id="305"/>
      <w:bookmarkStart w:id="306" w:name="_Toc184308100"/>
      <w:bookmarkEnd w:id="306"/>
      <w:bookmarkStart w:id="307" w:name="_Toc184312118"/>
      <w:bookmarkEnd w:id="307"/>
      <w:bookmarkStart w:id="308" w:name="_Toc184308063"/>
      <w:bookmarkEnd w:id="308"/>
      <w:bookmarkStart w:id="309" w:name="_Toc184313307"/>
      <w:bookmarkEnd w:id="309"/>
      <w:bookmarkStart w:id="310" w:name="_Toc184314467"/>
      <w:bookmarkEnd w:id="310"/>
      <w:bookmarkStart w:id="311" w:name="_Toc184310331"/>
      <w:bookmarkEnd w:id="311"/>
      <w:bookmarkStart w:id="312" w:name="_Toc184312122"/>
      <w:bookmarkEnd w:id="312"/>
      <w:bookmarkStart w:id="313" w:name="_Toc184313256"/>
      <w:bookmarkEnd w:id="313"/>
      <w:bookmarkStart w:id="314" w:name="_Toc184313305"/>
      <w:bookmarkEnd w:id="314"/>
      <w:bookmarkStart w:id="315" w:name="_Toc184313264"/>
      <w:bookmarkEnd w:id="315"/>
      <w:bookmarkStart w:id="316" w:name="_Toc184313269"/>
      <w:bookmarkEnd w:id="316"/>
      <w:bookmarkStart w:id="317" w:name="_Toc184314440"/>
      <w:bookmarkEnd w:id="317"/>
      <w:bookmarkStart w:id="318" w:name="_Toc184313271"/>
      <w:bookmarkEnd w:id="318"/>
      <w:bookmarkStart w:id="319" w:name="_Toc184310320"/>
      <w:bookmarkEnd w:id="319"/>
      <w:bookmarkStart w:id="320" w:name="_Toc184312083"/>
      <w:bookmarkEnd w:id="320"/>
      <w:bookmarkStart w:id="321" w:name="_Toc184310288"/>
      <w:bookmarkEnd w:id="321"/>
      <w:bookmarkStart w:id="322" w:name="_Toc184308076"/>
      <w:bookmarkEnd w:id="322"/>
      <w:bookmarkStart w:id="323" w:name="_Toc184313268"/>
      <w:bookmarkEnd w:id="323"/>
      <w:bookmarkStart w:id="324" w:name="_Toc184308069"/>
      <w:bookmarkEnd w:id="324"/>
      <w:bookmarkStart w:id="325" w:name="_Toc184313298"/>
      <w:bookmarkEnd w:id="325"/>
      <w:bookmarkStart w:id="326" w:name="_Toc184308101"/>
      <w:bookmarkEnd w:id="326"/>
      <w:bookmarkStart w:id="327" w:name="_Toc184313294"/>
      <w:bookmarkEnd w:id="327"/>
      <w:bookmarkStart w:id="328" w:name="_Toc184313289"/>
      <w:bookmarkEnd w:id="328"/>
      <w:bookmarkStart w:id="329" w:name="_Toc184314423"/>
      <w:bookmarkEnd w:id="329"/>
      <w:bookmarkStart w:id="330" w:name="_Toc184308093"/>
      <w:bookmarkEnd w:id="330"/>
      <w:bookmarkStart w:id="331" w:name="_Toc184312095"/>
      <w:bookmarkEnd w:id="331"/>
      <w:bookmarkStart w:id="332" w:name="_Toc184308097"/>
      <w:bookmarkEnd w:id="332"/>
      <w:bookmarkStart w:id="333" w:name="_Toc184310341"/>
      <w:bookmarkEnd w:id="333"/>
      <w:bookmarkStart w:id="334" w:name="_Toc184310327"/>
      <w:bookmarkEnd w:id="334"/>
      <w:bookmarkStart w:id="335" w:name="_Toc184312107"/>
      <w:bookmarkEnd w:id="335"/>
      <w:bookmarkStart w:id="336" w:name="_Toc184313252"/>
      <w:bookmarkEnd w:id="336"/>
      <w:bookmarkStart w:id="337" w:name="_Toc184308051"/>
      <w:bookmarkEnd w:id="337"/>
      <w:bookmarkStart w:id="338" w:name="_Toc184310282"/>
      <w:bookmarkEnd w:id="338"/>
      <w:bookmarkStart w:id="339" w:name="_Toc184310277"/>
      <w:bookmarkEnd w:id="339"/>
      <w:bookmarkStart w:id="340" w:name="_Toc184313297"/>
      <w:bookmarkEnd w:id="340"/>
      <w:bookmarkStart w:id="341" w:name="_Toc184310335"/>
      <w:bookmarkEnd w:id="341"/>
      <w:bookmarkStart w:id="342" w:name="_Toc184313296"/>
      <w:bookmarkEnd w:id="342"/>
      <w:bookmarkStart w:id="343" w:name="_Toc184310308"/>
      <w:bookmarkEnd w:id="343"/>
      <w:bookmarkStart w:id="344" w:name="_Toc184313285"/>
      <w:bookmarkEnd w:id="344"/>
      <w:bookmarkStart w:id="345" w:name="_Toc184314456"/>
      <w:bookmarkEnd w:id="345"/>
      <w:bookmarkStart w:id="346" w:name="_Toc184308060"/>
      <w:bookmarkEnd w:id="346"/>
      <w:bookmarkStart w:id="347" w:name="_Toc184312105"/>
      <w:bookmarkEnd w:id="347"/>
      <w:bookmarkStart w:id="348" w:name="_Toc184310280"/>
      <w:bookmarkEnd w:id="348"/>
      <w:bookmarkStart w:id="349" w:name="_Toc184310329"/>
      <w:bookmarkEnd w:id="349"/>
      <w:bookmarkStart w:id="350" w:name="_Toc184312078"/>
      <w:bookmarkEnd w:id="350"/>
      <w:bookmarkStart w:id="351" w:name="_Toc184308036"/>
      <w:bookmarkEnd w:id="351"/>
      <w:bookmarkStart w:id="352" w:name="_Toc184314424"/>
      <w:bookmarkEnd w:id="352"/>
      <w:bookmarkStart w:id="353" w:name="_Toc184310304"/>
      <w:bookmarkEnd w:id="353"/>
      <w:bookmarkStart w:id="354" w:name="_Toc184308067"/>
      <w:bookmarkEnd w:id="354"/>
      <w:bookmarkStart w:id="355" w:name="_Toc184314452"/>
      <w:bookmarkEnd w:id="355"/>
      <w:bookmarkStart w:id="356" w:name="_Toc184313309"/>
      <w:bookmarkEnd w:id="356"/>
      <w:bookmarkStart w:id="357" w:name="_Toc184308050"/>
      <w:bookmarkEnd w:id="357"/>
      <w:bookmarkStart w:id="358" w:name="_Toc184310332"/>
      <w:bookmarkEnd w:id="358"/>
      <w:bookmarkStart w:id="359" w:name="_Toc184308080"/>
      <w:bookmarkEnd w:id="359"/>
      <w:bookmarkStart w:id="360" w:name="_Toc184314426"/>
      <w:bookmarkEnd w:id="360"/>
      <w:bookmarkStart w:id="361" w:name="_Toc184314471"/>
      <w:bookmarkEnd w:id="361"/>
      <w:bookmarkStart w:id="362" w:name="_Toc184312087"/>
      <w:bookmarkEnd w:id="362"/>
      <w:bookmarkStart w:id="363" w:name="_Toc184308092"/>
      <w:bookmarkEnd w:id="363"/>
      <w:bookmarkStart w:id="364" w:name="_Toc184310287"/>
      <w:bookmarkEnd w:id="364"/>
      <w:bookmarkStart w:id="365" w:name="_Toc184314435"/>
      <w:bookmarkEnd w:id="365"/>
      <w:bookmarkStart w:id="366" w:name="_Toc184308054"/>
      <w:bookmarkEnd w:id="366"/>
      <w:bookmarkStart w:id="367" w:name="_Toc184308058"/>
      <w:bookmarkEnd w:id="367"/>
      <w:bookmarkStart w:id="368" w:name="_Toc184312094"/>
      <w:bookmarkEnd w:id="368"/>
      <w:bookmarkStart w:id="369" w:name="_Toc184308071"/>
      <w:bookmarkEnd w:id="369"/>
      <w:bookmarkStart w:id="370" w:name="_Toc184314462"/>
      <w:bookmarkEnd w:id="370"/>
      <w:bookmarkStart w:id="371" w:name="_Toc184314475"/>
      <w:bookmarkEnd w:id="371"/>
      <w:bookmarkStart w:id="372" w:name="_Toc184314437"/>
      <w:bookmarkEnd w:id="372"/>
      <w:bookmarkStart w:id="373" w:name="_Toc184312124"/>
      <w:bookmarkEnd w:id="373"/>
      <w:bookmarkStart w:id="374" w:name="_Toc184314477"/>
      <w:bookmarkEnd w:id="374"/>
      <w:bookmarkStart w:id="375" w:name="_Toc184308082"/>
      <w:bookmarkEnd w:id="375"/>
      <w:bookmarkStart w:id="376" w:name="_Toc184314469"/>
      <w:bookmarkEnd w:id="376"/>
      <w:bookmarkStart w:id="377" w:name="_Toc184314460"/>
      <w:bookmarkEnd w:id="377"/>
      <w:bookmarkStart w:id="378" w:name="_Toc184312137"/>
      <w:bookmarkEnd w:id="378"/>
      <w:bookmarkStart w:id="379" w:name="_Toc184308039"/>
      <w:bookmarkEnd w:id="379"/>
      <w:bookmarkStart w:id="380" w:name="_Toc184310316"/>
      <w:bookmarkEnd w:id="380"/>
      <w:bookmarkStart w:id="381" w:name="_Toc184308090"/>
      <w:bookmarkEnd w:id="381"/>
      <w:bookmarkStart w:id="382" w:name="_Toc184314481"/>
      <w:bookmarkEnd w:id="382"/>
      <w:bookmarkStart w:id="383" w:name="_Toc184310339"/>
      <w:bookmarkEnd w:id="383"/>
      <w:bookmarkStart w:id="384" w:name="_Toc184308073"/>
      <w:bookmarkEnd w:id="384"/>
      <w:bookmarkStart w:id="385" w:name="_Toc184314433"/>
      <w:bookmarkEnd w:id="385"/>
      <w:bookmarkStart w:id="386" w:name="_Toc184312130"/>
      <w:bookmarkEnd w:id="386"/>
      <w:bookmarkStart w:id="387" w:name="_Toc184310328"/>
      <w:bookmarkEnd w:id="387"/>
      <w:bookmarkStart w:id="388" w:name="_Toc184312121"/>
      <w:bookmarkEnd w:id="388"/>
      <w:bookmarkStart w:id="389" w:name="_Toc184308087"/>
      <w:bookmarkEnd w:id="389"/>
      <w:bookmarkStart w:id="390" w:name="_Toc184314427"/>
      <w:bookmarkEnd w:id="390"/>
      <w:bookmarkStart w:id="391" w:name="_Toc184310293"/>
      <w:bookmarkEnd w:id="391"/>
      <w:bookmarkStart w:id="392" w:name="_Toc184313274"/>
      <w:bookmarkEnd w:id="392"/>
      <w:bookmarkStart w:id="393" w:name="_Toc184314421"/>
      <w:bookmarkEnd w:id="393"/>
      <w:bookmarkStart w:id="394" w:name="_Toc184312070"/>
      <w:bookmarkEnd w:id="394"/>
      <w:bookmarkStart w:id="395" w:name="_Toc184312110"/>
      <w:bookmarkEnd w:id="395"/>
      <w:bookmarkStart w:id="396" w:name="_Toc184312119"/>
      <w:bookmarkEnd w:id="396"/>
      <w:bookmarkStart w:id="397" w:name="_Toc184308104"/>
      <w:bookmarkEnd w:id="397"/>
      <w:bookmarkStart w:id="398" w:name="_Toc184314446"/>
      <w:bookmarkEnd w:id="398"/>
      <w:bookmarkStart w:id="399" w:name="_Toc184310344"/>
      <w:bookmarkEnd w:id="399"/>
      <w:bookmarkStart w:id="400" w:name="_Toc184314443"/>
      <w:bookmarkEnd w:id="400"/>
      <w:bookmarkStart w:id="401" w:name="_Toc184310306"/>
      <w:bookmarkEnd w:id="401"/>
      <w:bookmarkStart w:id="402" w:name="_Toc184314413"/>
      <w:bookmarkEnd w:id="402"/>
      <w:bookmarkStart w:id="403" w:name="_Toc184310317"/>
      <w:bookmarkEnd w:id="403"/>
      <w:bookmarkStart w:id="404" w:name="_Toc184312112"/>
      <w:bookmarkEnd w:id="404"/>
      <w:r>
        <w:rPr>
          <w:rFonts w:hint="eastAsia" w:ascii="仿宋" w:hAnsi="仿宋" w:eastAsia="仿宋" w:cs="仿宋"/>
          <w:b/>
          <w:color w:val="auto"/>
          <w:sz w:val="36"/>
          <w:szCs w:val="36"/>
          <w:highlight w:val="none"/>
        </w:rPr>
        <w:t>评标办法</w:t>
      </w:r>
    </w:p>
    <w:p>
      <w:pPr>
        <w:snapToGrid w:val="0"/>
        <w:spacing w:line="360" w:lineRule="auto"/>
        <w:ind w:firstLine="3213" w:firstLineChars="1000"/>
        <w:jc w:val="both"/>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2"/>
          <w:szCs w:val="20"/>
          <w:highlight w:val="none"/>
        </w:rPr>
        <w:t>评标办法前附表</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726"/>
        <w:gridCol w:w="2025"/>
        <w:gridCol w:w="51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726"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评标标准</w:t>
            </w:r>
          </w:p>
        </w:tc>
        <w:tc>
          <w:tcPr>
            <w:tcW w:w="202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权重</w:t>
            </w:r>
          </w:p>
        </w:tc>
        <w:tc>
          <w:tcPr>
            <w:tcW w:w="510"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34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26" w:type="dxa"/>
          </w:tcPr>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企业认证：</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投标人具有ISO9001质量管理体系认证、ISO14001环境管理体系认证和ISO45001职业健康安全管理体系认证证书，每个得1分，最高得3分。</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（证明材料：在国家市场监督管理总局全国认证认可信息公共服务平台</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http://cx.cnca.cn/CertECloud/result/skipResultList 查询打印页面（加盖公章）为准。）未按要求提供证明材料的不得分。</w:t>
            </w:r>
          </w:p>
        </w:tc>
        <w:tc>
          <w:tcPr>
            <w:tcW w:w="202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3分</w:t>
            </w:r>
          </w:p>
        </w:tc>
        <w:tc>
          <w:tcPr>
            <w:tcW w:w="510"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34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726" w:type="dxa"/>
          </w:tcPr>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企业业绩：</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投标人自20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月1日以来</w:t>
            </w:r>
            <w:r>
              <w:rPr>
                <w:rFonts w:hint="eastAsia" w:ascii="仿宋" w:hAnsi="仿宋" w:eastAsia="仿宋" w:cs="仿宋"/>
                <w:color w:val="auto"/>
                <w:sz w:val="21"/>
                <w:szCs w:val="21"/>
                <w:highlight w:val="none"/>
                <w:lang w:val="en-US" w:eastAsia="zh-CN"/>
              </w:rPr>
              <w:t>具有同类</w:t>
            </w:r>
            <w:r>
              <w:rPr>
                <w:rFonts w:hint="eastAsia" w:ascii="仿宋" w:hAnsi="仿宋" w:eastAsia="仿宋" w:cs="仿宋"/>
                <w:color w:val="auto"/>
                <w:sz w:val="21"/>
                <w:szCs w:val="21"/>
                <w:highlight w:val="none"/>
              </w:rPr>
              <w:t>项目</w:t>
            </w:r>
            <w:r>
              <w:rPr>
                <w:rFonts w:hint="eastAsia" w:ascii="仿宋" w:hAnsi="仿宋" w:eastAsia="仿宋" w:cs="仿宋"/>
                <w:b/>
                <w:bCs/>
                <w:color w:val="auto"/>
                <w:szCs w:val="21"/>
                <w:highlight w:val="none"/>
                <w:u w:val="single"/>
              </w:rPr>
              <w:t>（具有本项目采购标的，且符合本项目采购需求标准的同类产品）</w:t>
            </w:r>
            <w:r>
              <w:rPr>
                <w:rFonts w:hint="eastAsia" w:ascii="仿宋" w:hAnsi="仿宋" w:eastAsia="仿宋" w:cs="仿宋"/>
                <w:color w:val="auto"/>
                <w:sz w:val="21"/>
                <w:szCs w:val="21"/>
                <w:highlight w:val="none"/>
              </w:rPr>
              <w:t>业绩</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，每个业绩得1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注：需提供合同复印件及网上中标公示截图并加盖公章，未提供则不得分。</w:t>
            </w:r>
          </w:p>
        </w:tc>
        <w:tc>
          <w:tcPr>
            <w:tcW w:w="202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510"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34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3726"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产品生产保证措施方案：</w:t>
            </w:r>
            <w:r>
              <w:rPr>
                <w:rFonts w:hint="eastAsia" w:ascii="仿宋" w:hAnsi="仿宋" w:eastAsia="仿宋" w:cs="仿宋"/>
                <w:color w:val="auto"/>
                <w:sz w:val="21"/>
                <w:szCs w:val="21"/>
                <w:highlight w:val="none"/>
                <w:lang w:val="en-US" w:eastAsia="zh-CN"/>
              </w:rPr>
              <w:t>根据投标人水处理絮凝药剂的生产工艺、生产方法、检测设备与仪器、原材料品牌和质量情况进行评审。</w:t>
            </w:r>
          </w:p>
        </w:tc>
        <w:tc>
          <w:tcPr>
            <w:tcW w:w="202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方案科学性、合理性、针对性及可操作性高的得8分；较高的得6分；一般的得4分；较差或提供不完整的得2分；未提供的得0分。</w:t>
            </w:r>
          </w:p>
        </w:tc>
        <w:tc>
          <w:tcPr>
            <w:tcW w:w="510"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主观分</w:t>
            </w:r>
          </w:p>
        </w:tc>
        <w:tc>
          <w:tcPr>
            <w:tcW w:w="134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726"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质量保证措施方案：</w:t>
            </w:r>
            <w:r>
              <w:rPr>
                <w:rFonts w:hint="eastAsia" w:ascii="仿宋" w:hAnsi="仿宋" w:eastAsia="仿宋" w:cs="仿宋"/>
                <w:color w:val="auto"/>
                <w:sz w:val="21"/>
                <w:szCs w:val="21"/>
                <w:highlight w:val="none"/>
                <w:lang w:val="en-US" w:eastAsia="zh-CN"/>
              </w:rPr>
              <w:t>根据质量控制目标是否明确，产品自检、包装、存储等质量保障措施是否到位进行评审。</w:t>
            </w:r>
          </w:p>
        </w:tc>
        <w:tc>
          <w:tcPr>
            <w:tcW w:w="202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方案科学性、合理性、针对性及可操作性高的得8分；较高的得6分；一般的得4分；较差或提供不完整的得2分；未提供的得0分。</w:t>
            </w:r>
          </w:p>
        </w:tc>
        <w:tc>
          <w:tcPr>
            <w:tcW w:w="510"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主观分</w:t>
            </w:r>
          </w:p>
        </w:tc>
        <w:tc>
          <w:tcPr>
            <w:tcW w:w="134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726"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供货保障措施方案：</w:t>
            </w:r>
            <w:r>
              <w:rPr>
                <w:rFonts w:hint="eastAsia" w:ascii="仿宋" w:hAnsi="仿宋" w:eastAsia="仿宋" w:cs="仿宋"/>
                <w:color w:val="auto"/>
                <w:sz w:val="21"/>
                <w:szCs w:val="21"/>
                <w:highlight w:val="none"/>
                <w:lang w:val="en-US" w:eastAsia="zh-CN"/>
              </w:rPr>
              <w:t>根据投标人针对本项目的供货计划、送货时限和运输方案，应急保障措施进行评审。</w:t>
            </w:r>
          </w:p>
        </w:tc>
        <w:tc>
          <w:tcPr>
            <w:tcW w:w="202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方案科学性、合理性、针对性及可操作性高的得8分；较高的得6分；一般的得4分；较差或提供不完整的得2分；未提供的得0分。</w:t>
            </w:r>
          </w:p>
        </w:tc>
        <w:tc>
          <w:tcPr>
            <w:tcW w:w="510"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主观分</w:t>
            </w:r>
          </w:p>
        </w:tc>
        <w:tc>
          <w:tcPr>
            <w:tcW w:w="134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3726"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售后服务措施方案：</w:t>
            </w:r>
            <w:r>
              <w:rPr>
                <w:rFonts w:hint="eastAsia" w:ascii="仿宋" w:hAnsi="仿宋" w:eastAsia="仿宋" w:cs="仿宋"/>
                <w:color w:val="auto"/>
                <w:sz w:val="21"/>
                <w:szCs w:val="21"/>
                <w:highlight w:val="none"/>
                <w:lang w:val="en-US" w:eastAsia="zh-CN"/>
              </w:rPr>
              <w:t>根据投标人承诺的售后服务响应时间是否满足采购文件要求、质保期内的服务承诺等情况进行评审。</w:t>
            </w:r>
          </w:p>
        </w:tc>
        <w:tc>
          <w:tcPr>
            <w:tcW w:w="202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方案科学性、合理性、针对性及可操作性高的得7分；较高的得5分；一般的得3分；较差或提供不完整的得1分；未提供的得0分。</w:t>
            </w:r>
          </w:p>
        </w:tc>
        <w:tc>
          <w:tcPr>
            <w:tcW w:w="510"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主观分</w:t>
            </w:r>
          </w:p>
        </w:tc>
        <w:tc>
          <w:tcPr>
            <w:tcW w:w="1345"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val="0"/>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3726" w:type="dxa"/>
          </w:tcPr>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商务分：</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21" w:leftChars="10" w:right="21" w:rightChars="1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有效投标报价的最低价作为评标基准价，其最低报价为满分；按［投标报价得分=（评标基准价/投标报价）*</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］的计算公式计算。</w:t>
            </w:r>
          </w:p>
          <w:p>
            <w:pPr>
              <w:keepNext w:val="0"/>
              <w:keepLines w:val="0"/>
              <w:pageBreakBefore w:val="0"/>
              <w:widowControl w:val="0"/>
              <w:shd w:val="clear"/>
              <w:kinsoku/>
              <w:wordWrap w:val="0"/>
              <w:overflowPunct/>
              <w:topLinePunct w:val="0"/>
              <w:autoSpaceDE w:val="0"/>
              <w:autoSpaceDN w:val="0"/>
              <w:bidi w:val="0"/>
              <w:adjustRightInd w:val="0"/>
              <w:snapToGrid w:val="0"/>
              <w:spacing w:after="0"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p>
            <w:pPr>
              <w:keepNext w:val="0"/>
              <w:keepLines w:val="0"/>
              <w:pageBreakBefore w:val="0"/>
              <w:widowControl w:val="0"/>
              <w:shd w:val="clear"/>
              <w:kinsoku/>
              <w:wordWrap w:val="0"/>
              <w:overflowPunct/>
              <w:topLinePunct w:val="0"/>
              <w:autoSpaceDE w:val="0"/>
              <w:autoSpaceDN w:val="0"/>
              <w:bidi w:val="0"/>
              <w:adjustRightInd w:val="0"/>
              <w:snapToGrid w:val="0"/>
              <w:spacing w:after="0" w:line="400" w:lineRule="exact"/>
              <w:ind w:left="21" w:leftChars="10" w:right="21" w:rightChars="1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%的扣除，用扣除后的价格参加评审。</w:t>
            </w:r>
          </w:p>
        </w:tc>
        <w:tc>
          <w:tcPr>
            <w:tcW w:w="2025" w:type="dxa"/>
            <w:vAlign w:val="center"/>
          </w:tcPr>
          <w:p>
            <w:pPr>
              <w:keepNext w:val="0"/>
              <w:keepLines w:val="0"/>
              <w:pageBreakBefore w:val="0"/>
              <w:widowControl w:val="0"/>
              <w:kinsoku/>
              <w:wordWrap w:val="0"/>
              <w:overflowPunct/>
              <w:topLinePunct w:val="0"/>
              <w:autoSpaceDE w:val="0"/>
              <w:autoSpaceDN w:val="0"/>
              <w:bidi w:val="0"/>
              <w:adjustRightInd w:val="0"/>
              <w:spacing w:line="400" w:lineRule="exact"/>
              <w:jc w:val="center"/>
              <w:textAlignment w:val="auto"/>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60分</w:t>
            </w:r>
          </w:p>
        </w:tc>
        <w:tc>
          <w:tcPr>
            <w:tcW w:w="510" w:type="dxa"/>
            <w:vAlign w:val="center"/>
          </w:tcPr>
          <w:p>
            <w:pPr>
              <w:keepNext w:val="0"/>
              <w:keepLines w:val="0"/>
              <w:pageBreakBefore w:val="0"/>
              <w:widowControl w:val="0"/>
              <w:kinsoku/>
              <w:wordWrap w:val="0"/>
              <w:overflowPunct/>
              <w:topLinePunct w:val="0"/>
              <w:autoSpaceDE w:val="0"/>
              <w:autoSpaceDN w:val="0"/>
              <w:bidi w:val="0"/>
              <w:adjustRightInd w:val="0"/>
              <w:spacing w:line="400" w:lineRule="exact"/>
              <w:jc w:val="center"/>
              <w:textAlignment w:val="auto"/>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c>
          <w:tcPr>
            <w:tcW w:w="1345" w:type="dxa"/>
            <w:vAlign w:val="center"/>
          </w:tcPr>
          <w:p>
            <w:pPr>
              <w:keepNext w:val="0"/>
              <w:keepLines w:val="0"/>
              <w:pageBreakBefore w:val="0"/>
              <w:widowControl w:val="0"/>
              <w:kinsoku/>
              <w:wordWrap w:val="0"/>
              <w:overflowPunct/>
              <w:topLinePunct w:val="0"/>
              <w:autoSpaceDE w:val="0"/>
              <w:autoSpaceDN w:val="0"/>
              <w:bidi w:val="0"/>
              <w:adjustRightInd w:val="0"/>
              <w:spacing w:line="400" w:lineRule="exact"/>
              <w:jc w:val="center"/>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bl>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2"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val="0"/>
        <w:overflowPunct/>
        <w:topLinePunct w:val="0"/>
        <w:autoSpaceDE w:val="0"/>
        <w:autoSpaceDN w:val="0"/>
        <w:bidi w:val="0"/>
        <w:adjustRightInd/>
        <w:snapToGrid/>
        <w:spacing w:line="360" w:lineRule="auto"/>
        <w:ind w:firstLine="0" w:firstLineChars="0"/>
        <w:jc w:val="both"/>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keepNext w:val="0"/>
        <w:keepLines w:val="0"/>
        <w:pageBreakBefore w:val="0"/>
        <w:widowControl w:val="0"/>
        <w:kinsoku/>
        <w:wordWrap w:val="0"/>
        <w:overflowPunct/>
        <w:topLinePunct w:val="0"/>
        <w:autoSpaceDE w:val="0"/>
        <w:autoSpaceDN w:val="0"/>
        <w:bidi w:val="0"/>
        <w:snapToGrid/>
        <w:spacing w:line="360" w:lineRule="auto"/>
        <w:ind w:firstLine="482" w:firstLineChars="200"/>
        <w:jc w:val="both"/>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keepNext w:val="0"/>
        <w:keepLines w:val="0"/>
        <w:pageBreakBefore w:val="0"/>
        <w:widowControl w:val="0"/>
        <w:kinsoku/>
        <w:wordWrap w:val="0"/>
        <w:overflowPunct/>
        <w:topLinePunct w:val="0"/>
        <w:autoSpaceDE w:val="0"/>
        <w:autoSpaceDN w:val="0"/>
        <w:bidi w:val="0"/>
        <w:snapToGrid/>
        <w:spacing w:line="360" w:lineRule="auto"/>
        <w:ind w:firstLine="482"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val="0"/>
        <w:overflowPunct/>
        <w:topLinePunct w:val="0"/>
        <w:autoSpaceDE w:val="0"/>
        <w:autoSpaceDN w:val="0"/>
        <w:bidi w:val="0"/>
        <w:snapToGrid/>
        <w:spacing w:line="360" w:lineRule="auto"/>
        <w:ind w:firstLine="482"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val="0"/>
        <w:overflowPunct/>
        <w:topLinePunct w:val="0"/>
        <w:autoSpaceDE w:val="0"/>
        <w:autoSpaceDN w:val="0"/>
        <w:bidi w:val="0"/>
        <w:snapToGrid/>
        <w:spacing w:line="360" w:lineRule="auto"/>
        <w:ind w:firstLine="482"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keepNext w:val="0"/>
        <w:keepLines w:val="0"/>
        <w:pageBreakBefore w:val="0"/>
        <w:widowControl w:val="0"/>
        <w:kinsoku/>
        <w:wordWrap w:val="0"/>
        <w:overflowPunct/>
        <w:topLinePunct w:val="0"/>
        <w:autoSpaceDE w:val="0"/>
        <w:autoSpaceDN w:val="0"/>
        <w:bidi w:val="0"/>
        <w:snapToGrid/>
        <w:spacing w:line="360" w:lineRule="auto"/>
        <w:ind w:firstLine="482" w:firstLineChars="200"/>
        <w:jc w:val="both"/>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2"/>
        <w:keepNext w:val="0"/>
        <w:keepLines w:val="0"/>
        <w:pageBreakBefore w:val="0"/>
        <w:widowControl w:val="0"/>
        <w:kinsoku/>
        <w:wordWrap w:val="0"/>
        <w:overflowPunct/>
        <w:topLinePunct w:val="0"/>
        <w:autoSpaceDE w:val="0"/>
        <w:autoSpaceDN w:val="0"/>
        <w:bidi w:val="0"/>
        <w:snapToGrid/>
        <w:spacing w:before="0" w:line="360" w:lineRule="auto"/>
        <w:ind w:firstLine="480" w:firstLineChars="200"/>
        <w:jc w:val="both"/>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2"/>
        <w:keepNext w:val="0"/>
        <w:keepLines w:val="0"/>
        <w:pageBreakBefore w:val="0"/>
        <w:widowControl w:val="0"/>
        <w:kinsoku/>
        <w:wordWrap w:val="0"/>
        <w:overflowPunct/>
        <w:topLinePunct w:val="0"/>
        <w:autoSpaceDE w:val="0"/>
        <w:autoSpaceDN w:val="0"/>
        <w:bidi w:val="0"/>
        <w:snapToGrid/>
        <w:spacing w:before="0" w:line="360" w:lineRule="auto"/>
        <w:ind w:firstLine="480" w:firstLineChars="200"/>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2"/>
        <w:keepNext w:val="0"/>
        <w:keepLines w:val="0"/>
        <w:pageBreakBefore w:val="0"/>
        <w:widowControl w:val="0"/>
        <w:kinsoku/>
        <w:wordWrap w:val="0"/>
        <w:overflowPunct/>
        <w:topLinePunct w:val="0"/>
        <w:autoSpaceDE w:val="0"/>
        <w:autoSpaceDN w:val="0"/>
        <w:bidi w:val="0"/>
        <w:snapToGrid/>
        <w:spacing w:before="0" w:line="360" w:lineRule="auto"/>
        <w:ind w:firstLine="480" w:firstLineChars="200"/>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2"/>
        <w:keepNext w:val="0"/>
        <w:keepLines w:val="0"/>
        <w:pageBreakBefore w:val="0"/>
        <w:widowControl w:val="0"/>
        <w:kinsoku/>
        <w:wordWrap w:val="0"/>
        <w:overflowPunct/>
        <w:topLinePunct w:val="0"/>
        <w:autoSpaceDE w:val="0"/>
        <w:autoSpaceDN w:val="0"/>
        <w:bidi w:val="0"/>
        <w:snapToGrid/>
        <w:spacing w:before="0" w:line="360" w:lineRule="auto"/>
        <w:ind w:firstLine="480" w:firstLineChars="200"/>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2"/>
        <w:keepNext w:val="0"/>
        <w:keepLines w:val="0"/>
        <w:pageBreakBefore w:val="0"/>
        <w:widowControl w:val="0"/>
        <w:kinsoku/>
        <w:wordWrap w:val="0"/>
        <w:overflowPunct/>
        <w:topLinePunct w:val="0"/>
        <w:autoSpaceDE w:val="0"/>
        <w:autoSpaceDN w:val="0"/>
        <w:bidi w:val="0"/>
        <w:snapToGrid/>
        <w:spacing w:before="0" w:line="360" w:lineRule="auto"/>
        <w:ind w:firstLine="480" w:firstLineChars="200"/>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2"/>
        <w:keepNext w:val="0"/>
        <w:keepLines w:val="0"/>
        <w:pageBreakBefore w:val="0"/>
        <w:widowControl w:val="0"/>
        <w:kinsoku/>
        <w:wordWrap w:val="0"/>
        <w:overflowPunct/>
        <w:topLinePunct w:val="0"/>
        <w:autoSpaceDE w:val="0"/>
        <w:autoSpaceDN w:val="0"/>
        <w:bidi w:val="0"/>
        <w:snapToGrid/>
        <w:spacing w:before="0" w:line="360" w:lineRule="auto"/>
        <w:ind w:firstLine="480" w:firstLineChars="200"/>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2"/>
        <w:keepNext w:val="0"/>
        <w:keepLines w:val="0"/>
        <w:pageBreakBefore w:val="0"/>
        <w:widowControl w:val="0"/>
        <w:kinsoku/>
        <w:wordWrap w:val="0"/>
        <w:overflowPunct/>
        <w:topLinePunct w:val="0"/>
        <w:autoSpaceDE w:val="0"/>
        <w:autoSpaceDN w:val="0"/>
        <w:bidi w:val="0"/>
        <w:snapToGrid/>
        <w:spacing w:before="0" w:line="360" w:lineRule="auto"/>
        <w:ind w:firstLine="480" w:firstLineChars="200"/>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keepNext w:val="0"/>
        <w:keepLines w:val="0"/>
        <w:pageBreakBefore w:val="0"/>
        <w:widowControl w:val="0"/>
        <w:kinsoku/>
        <w:wordWrap w:val="0"/>
        <w:overflowPunct/>
        <w:topLinePunct w:val="0"/>
        <w:autoSpaceDE w:val="0"/>
        <w:autoSpaceDN w:val="0"/>
        <w:bidi w:val="0"/>
        <w:snapToGrid/>
        <w:spacing w:before="0" w:line="360" w:lineRule="auto"/>
        <w:ind w:firstLine="480" w:firstLineChars="200"/>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val="0"/>
        <w:overflowPunct/>
        <w:topLinePunct w:val="0"/>
        <w:autoSpaceDE w:val="0"/>
        <w:autoSpaceDN w:val="0"/>
        <w:bidi w:val="0"/>
        <w:snapToGrid/>
        <w:spacing w:line="360" w:lineRule="auto"/>
        <w:ind w:firstLine="482"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wordWrap w:val="0"/>
        <w:overflowPunct/>
        <w:topLinePunct w:val="0"/>
        <w:autoSpaceDE w:val="0"/>
        <w:autoSpaceDN w:val="0"/>
        <w:bidi w:val="0"/>
        <w:snapToGrid/>
        <w:spacing w:line="360" w:lineRule="auto"/>
        <w:ind w:firstLine="482"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2"/>
        <w:keepNext w:val="0"/>
        <w:keepLines w:val="0"/>
        <w:pageBreakBefore w:val="0"/>
        <w:widowControl w:val="0"/>
        <w:kinsoku/>
        <w:wordWrap w:val="0"/>
        <w:overflowPunct/>
        <w:topLinePunct w:val="0"/>
        <w:autoSpaceDE w:val="0"/>
        <w:autoSpaceDN w:val="0"/>
        <w:bidi w:val="0"/>
        <w:snapToGrid/>
        <w:spacing w:before="0" w:line="360" w:lineRule="auto"/>
        <w:ind w:firstLine="482" w:firstLineChars="200"/>
        <w:jc w:val="both"/>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keepNext w:val="0"/>
        <w:keepLines w:val="0"/>
        <w:pageBreakBefore w:val="0"/>
        <w:widowControl w:val="0"/>
        <w:kinsoku/>
        <w:wordWrap w:val="0"/>
        <w:overflowPunct/>
        <w:topLinePunct w:val="0"/>
        <w:autoSpaceDE w:val="0"/>
        <w:autoSpaceDN w:val="0"/>
        <w:bidi w:val="0"/>
        <w:snapToGrid/>
        <w:spacing w:line="360" w:lineRule="auto"/>
        <w:jc w:val="both"/>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sz w:val="24"/>
          <w:highlight w:val="none"/>
          <w:lang w:val="en-US" w:eastAsia="zh-CN"/>
        </w:rPr>
        <w:t>《中小企业声明函》填写企业类型错误或者未填写企业类型的，投标无效。</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 xml:space="preserve">4.2.12 </w:t>
      </w:r>
      <w:r>
        <w:rPr>
          <w:rFonts w:hint="eastAsia" w:ascii="仿宋" w:hAnsi="仿宋" w:eastAsia="仿宋" w:cs="仿宋"/>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r>
        <w:rPr>
          <w:rFonts w:hint="eastAsia" w:ascii="仿宋" w:hAnsi="仿宋" w:eastAsia="仿宋" w:cs="仿宋"/>
          <w:color w:val="auto"/>
          <w:kern w:val="0"/>
          <w:sz w:val="24"/>
          <w:highlight w:val="none"/>
        </w:rPr>
        <w:t>投标人仅提交备份投标文件，未在电子交易平台传输递交投标文件的，投标无效；</w:t>
      </w:r>
    </w:p>
    <w:p>
      <w:pPr>
        <w:pStyle w:val="4"/>
        <w:keepNext w:val="0"/>
        <w:keepLines w:val="0"/>
        <w:pageBreakBefore w:val="0"/>
        <w:widowControl w:val="0"/>
        <w:kinsoku/>
        <w:wordWrap w:val="0"/>
        <w:overflowPunct/>
        <w:topLinePunct w:val="0"/>
        <w:autoSpaceDE w:val="0"/>
        <w:autoSpaceDN w:val="0"/>
        <w:bidi w:val="0"/>
        <w:adjustRightInd/>
        <w:snapToGrid/>
        <w:spacing w:line="360" w:lineRule="auto"/>
        <w:ind w:left="0" w:firstLine="431"/>
        <w:jc w:val="both"/>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5"/>
        <w:keepNext w:val="0"/>
        <w:keepLines w:val="0"/>
        <w:pageBreakBefore w:val="0"/>
        <w:widowControl w:val="0"/>
        <w:kinsoku/>
        <w:wordWrap w:val="0"/>
        <w:overflowPunct/>
        <w:topLinePunct w:val="0"/>
        <w:autoSpaceDE w:val="0"/>
        <w:autoSpaceDN w:val="0"/>
        <w:bidi w:val="0"/>
        <w:snapToGrid/>
        <w:spacing w:line="360" w:lineRule="auto"/>
        <w:ind w:firstLine="482" w:firstLineChars="200"/>
        <w:jc w:val="both"/>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5"/>
        <w:keepNext w:val="0"/>
        <w:keepLines w:val="0"/>
        <w:pageBreakBefore w:val="0"/>
        <w:widowControl w:val="0"/>
        <w:kinsoku/>
        <w:wordWrap w:val="0"/>
        <w:overflowPunct/>
        <w:topLinePunct w:val="0"/>
        <w:autoSpaceDE w:val="0"/>
        <w:autoSpaceDN w:val="0"/>
        <w:bidi w:val="0"/>
        <w:snapToGrid/>
        <w:spacing w:line="360" w:lineRule="auto"/>
        <w:ind w:firstLine="482" w:firstLineChars="200"/>
        <w:jc w:val="both"/>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5"/>
        <w:keepNext w:val="0"/>
        <w:keepLines w:val="0"/>
        <w:pageBreakBefore w:val="0"/>
        <w:widowControl w:val="0"/>
        <w:kinsoku/>
        <w:wordWrap w:val="0"/>
        <w:overflowPunct/>
        <w:topLinePunct w:val="0"/>
        <w:autoSpaceDE w:val="0"/>
        <w:autoSpaceDN w:val="0"/>
        <w:bidi w:val="0"/>
        <w:snapToGrid/>
        <w:spacing w:line="360" w:lineRule="auto"/>
        <w:ind w:firstLine="482" w:firstLineChars="200"/>
        <w:jc w:val="both"/>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5"/>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5"/>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5"/>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5"/>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405" w:name="第五部分"/>
      <w:bookmarkStart w:id="406" w:name="_Toc86217003"/>
      <w:r>
        <w:rPr>
          <w:rFonts w:hint="eastAsia" w:ascii="仿宋" w:hAnsi="仿宋" w:eastAsia="仿宋" w:cs="仿宋"/>
          <w:color w:val="auto"/>
          <w:highlight w:val="none"/>
        </w:rPr>
        <w:br w:type="page"/>
      </w:r>
    </w:p>
    <w:p>
      <w:pPr>
        <w:pStyle w:val="25"/>
        <w:keepNext w:val="0"/>
        <w:keepLines w:val="0"/>
        <w:pageBreakBefore w:val="0"/>
        <w:widowControl w:val="0"/>
        <w:kinsoku/>
        <w:wordWrap w:val="0"/>
        <w:overflowPunct/>
        <w:topLinePunct w:val="0"/>
        <w:autoSpaceDE w:val="0"/>
        <w:autoSpaceDN w:val="0"/>
        <w:bidi w:val="0"/>
        <w:snapToGrid/>
        <w:spacing w:line="360" w:lineRule="auto"/>
        <w:ind w:firstLine="480" w:firstLineChars="200"/>
        <w:jc w:val="both"/>
        <w:textAlignment w:val="auto"/>
        <w:rPr>
          <w:rFonts w:hint="eastAsia" w:ascii="仿宋" w:hAnsi="仿宋" w:eastAsia="仿宋" w:cs="仿宋"/>
          <w:color w:val="auto"/>
          <w:highlight w:val="none"/>
          <w:lang w:val="en-US" w:eastAsia="zh-CN"/>
        </w:rPr>
      </w:pPr>
    </w:p>
    <w:p>
      <w:pPr>
        <w:spacing w:line="360" w:lineRule="auto"/>
        <w:ind w:left="720" w:leftChars="343" w:firstLine="1084" w:firstLineChars="300"/>
        <w:outlineLvl w:val="0"/>
        <w:rPr>
          <w:rFonts w:hint="eastAsia" w:ascii="仿宋" w:hAnsi="仿宋" w:eastAsia="仿宋" w:cs="仿宋"/>
          <w:b/>
          <w:color w:val="auto"/>
          <w:sz w:val="36"/>
          <w:szCs w:val="36"/>
          <w:highlight w:val="none"/>
          <w:lang w:val="en-US" w:eastAsia="zh-CN"/>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第五部分 拟签订的合同文本</w:t>
      </w: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702"/>
        <w:rPr>
          <w:rFonts w:hint="eastAsia" w:ascii="仿宋" w:hAnsi="仿宋" w:eastAsia="仿宋" w:cs="仿宋"/>
          <w:color w:val="auto"/>
          <w:szCs w:val="24"/>
          <w:highlight w:val="none"/>
        </w:rPr>
      </w:pPr>
    </w:p>
    <w:p>
      <w:pPr>
        <w:pStyle w:val="702"/>
        <w:rPr>
          <w:rFonts w:hint="eastAsia" w:ascii="仿宋" w:hAnsi="仿宋" w:eastAsia="仿宋" w:cs="仿宋"/>
          <w:color w:val="auto"/>
          <w:szCs w:val="24"/>
          <w:highlight w:val="none"/>
        </w:rPr>
      </w:pPr>
    </w:p>
    <w:p>
      <w:pPr>
        <w:pStyle w:val="702"/>
        <w:jc w:val="center"/>
        <w:rPr>
          <w:rFonts w:hint="eastAsia" w:ascii="仿宋" w:hAnsi="仿宋" w:eastAsia="仿宋" w:cs="仿宋"/>
          <w:color w:val="auto"/>
          <w:szCs w:val="24"/>
          <w:highlight w:val="none"/>
        </w:rPr>
      </w:pPr>
    </w:p>
    <w:p>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702"/>
        <w:rPr>
          <w:rFonts w:hint="eastAsia" w:ascii="仿宋" w:hAnsi="仿宋" w:eastAsia="仿宋" w:cs="仿宋"/>
          <w:color w:val="auto"/>
          <w:szCs w:val="24"/>
          <w:highlight w:val="none"/>
        </w:rPr>
      </w:pPr>
    </w:p>
    <w:p>
      <w:pPr>
        <w:pStyle w:val="702"/>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水处理絮凝药剂采购项目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599"/>
        <w:spacing w:before="120" w:line="22" w:lineRule="atLeast"/>
        <w:rPr>
          <w:rFonts w:hint="eastAsia" w:ascii="仿宋" w:hAnsi="仿宋" w:eastAsia="仿宋" w:cs="仿宋"/>
          <w:color w:val="auto"/>
          <w:szCs w:val="24"/>
          <w:highlight w:val="none"/>
        </w:rPr>
      </w:pPr>
    </w:p>
    <w:p>
      <w:pPr>
        <w:pStyle w:val="599"/>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lang w:val="en-US"/>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杭州市城市水设施和河道保护管理中心</w:t>
      </w:r>
      <w:r>
        <w:rPr>
          <w:rFonts w:hint="eastAsia" w:ascii="仿宋" w:hAnsi="仿宋" w:eastAsia="仿宋" w:cs="仿宋"/>
          <w:color w:val="auto"/>
          <w:sz w:val="24"/>
          <w:highlight w:val="none"/>
          <w:u w:val="single"/>
          <w:lang w:val="en-US" w:eastAsia="zh-CN"/>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17" w:right="1417" w:bottom="1417" w:left="1417" w:header="851" w:footer="851" w:gutter="0"/>
          <w:cols w:space="720" w:num="1"/>
        </w:sect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杭州市城市水设施和河道保护管理中心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公开招标方式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水处理絮凝药剂采购</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评审小组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杭州市城市水设施和河道保护管理中心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b/>
          <w:color w:val="auto"/>
          <w:sz w:val="24"/>
          <w:highlight w:val="none"/>
        </w:rPr>
      </w:pPr>
      <w:bookmarkStart w:id="407" w:name="_Toc24059"/>
      <w:bookmarkStart w:id="408" w:name="_Toc2232"/>
      <w:bookmarkStart w:id="409" w:name="_Toc3029"/>
      <w:r>
        <w:rPr>
          <w:rFonts w:hint="eastAsia" w:ascii="仿宋" w:hAnsi="仿宋" w:eastAsia="仿宋" w:cs="仿宋"/>
          <w:b/>
          <w:color w:val="auto"/>
          <w:sz w:val="24"/>
          <w:highlight w:val="none"/>
        </w:rPr>
        <w:t>1.1 合同组成部分</w:t>
      </w:r>
      <w:bookmarkEnd w:id="407"/>
      <w:bookmarkEnd w:id="408"/>
      <w:bookmarkEnd w:id="4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10" w:name="_Toc21295"/>
      <w:bookmarkStart w:id="411" w:name="_Toc27126"/>
      <w:bookmarkStart w:id="412" w:name="_Toc24300"/>
      <w:r>
        <w:rPr>
          <w:rFonts w:hint="eastAsia" w:ascii="仿宋" w:hAnsi="仿宋" w:eastAsia="仿宋" w:cs="仿宋"/>
          <w:b/>
          <w:color w:val="auto"/>
          <w:sz w:val="24"/>
          <w:highlight w:val="none"/>
        </w:rPr>
        <w:t>1.2 货物</w:t>
      </w:r>
      <w:bookmarkEnd w:id="410"/>
      <w:bookmarkEnd w:id="411"/>
      <w:bookmarkEnd w:id="41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水处理絮凝药剂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本次采购的水处理絮凝药剂</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聚氯化铝</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暂定390</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吨（1300吨/年</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。仅为参考数，在合同执行过程中的实际采购量以每次招标人通知为准，中标人须确保一定数量的库存量</w:t>
      </w:r>
      <w:r>
        <w:rPr>
          <w:rFonts w:hint="eastAsia" w:ascii="仿宋" w:hAnsi="仿宋" w:eastAsia="仿宋" w:cs="仿宋"/>
          <w:color w:val="auto"/>
          <w:sz w:val="24"/>
          <w:highlight w:val="none"/>
          <w:u w:val="single"/>
          <w:lang w:eastAsia="zh-CN"/>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p>
    <w:p>
      <w:pPr>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质量指标</w:t>
      </w:r>
    </w:p>
    <w:p>
      <w:pPr>
        <w:spacing w:line="360" w:lineRule="auto"/>
        <w:ind w:firstLine="422"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聚氯化铝的质量要求</w:t>
      </w:r>
      <w:r>
        <w:rPr>
          <w:rFonts w:hint="eastAsia" w:ascii="仿宋" w:hAnsi="仿宋" w:eastAsia="仿宋" w:cs="仿宋"/>
          <w:b/>
          <w:color w:val="auto"/>
          <w:szCs w:val="21"/>
          <w:highlight w:val="none"/>
          <w:lang w:eastAsia="zh-CN"/>
        </w:rPr>
        <w:t>达到国标GB15892-2020标准</w:t>
      </w:r>
      <w:r>
        <w:rPr>
          <w:rFonts w:hint="eastAsia" w:ascii="仿宋" w:hAnsi="仿宋" w:eastAsia="仿宋" w:cs="仿宋"/>
          <w:b/>
          <w:color w:val="auto"/>
          <w:szCs w:val="21"/>
          <w:highlight w:val="none"/>
        </w:rPr>
        <w:t>。具体</w:t>
      </w:r>
      <w:r>
        <w:rPr>
          <w:rFonts w:hint="eastAsia" w:ascii="仿宋" w:hAnsi="仿宋" w:eastAsia="仿宋" w:cs="仿宋"/>
          <w:b/>
          <w:color w:val="auto"/>
          <w:szCs w:val="21"/>
          <w:highlight w:val="none"/>
          <w:lang w:eastAsia="zh-CN"/>
        </w:rPr>
        <w:t>见采购需求。</w:t>
      </w:r>
    </w:p>
    <w:p>
      <w:pPr>
        <w:pStyle w:val="82"/>
        <w:rPr>
          <w:rFonts w:hint="eastAsia" w:ascii="仿宋" w:hAnsi="仿宋" w:eastAsia="仿宋" w:cs="仿宋"/>
          <w:color w:val="auto"/>
          <w:highlight w:val="none"/>
        </w:rPr>
      </w:pPr>
    </w:p>
    <w:p>
      <w:pPr>
        <w:spacing w:line="560" w:lineRule="exact"/>
        <w:ind w:firstLine="482" w:firstLineChars="200"/>
        <w:outlineLvl w:val="0"/>
        <w:rPr>
          <w:rFonts w:hint="eastAsia" w:ascii="仿宋" w:hAnsi="仿宋" w:eastAsia="仿宋" w:cs="仿宋"/>
          <w:b/>
          <w:color w:val="auto"/>
          <w:sz w:val="24"/>
          <w:highlight w:val="none"/>
        </w:rPr>
      </w:pPr>
      <w:bookmarkStart w:id="413" w:name="_Toc23292"/>
      <w:bookmarkStart w:id="414" w:name="_Toc21631"/>
      <w:bookmarkStart w:id="415" w:name="_Toc21551"/>
      <w:r>
        <w:rPr>
          <w:rFonts w:hint="eastAsia" w:ascii="仿宋" w:hAnsi="仿宋" w:eastAsia="仿宋" w:cs="仿宋"/>
          <w:b/>
          <w:color w:val="auto"/>
          <w:sz w:val="24"/>
          <w:highlight w:val="none"/>
        </w:rPr>
        <w:t>1.3 价款</w:t>
      </w:r>
      <w:bookmarkEnd w:id="413"/>
      <w:bookmarkEnd w:id="414"/>
      <w:bookmarkEnd w:id="41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仿宋" w:hAnsi="仿宋" w:eastAsia="仿宋" w:cs="仿宋"/>
                <w:color w:val="auto"/>
                <w:sz w:val="24"/>
                <w:szCs w:val="24"/>
                <w:highlight w:val="none"/>
              </w:rPr>
            </w:pPr>
          </w:p>
        </w:tc>
      </w:tr>
    </w:tbl>
    <w:p>
      <w:pPr>
        <w:pStyle w:val="962"/>
        <w:spacing w:before="0" w:beforeAutospacing="0" w:after="0" w:afterAutospacing="0" w:line="360" w:lineRule="auto"/>
        <w:ind w:firstLine="480"/>
        <w:rPr>
          <w:rFonts w:hint="eastAsia" w:ascii="仿宋" w:hAnsi="仿宋" w:eastAsia="仿宋" w:cs="仿宋"/>
          <w:b/>
          <w:color w:val="auto"/>
          <w:highlight w:val="none"/>
        </w:rPr>
      </w:pPr>
      <w:bookmarkStart w:id="416" w:name="_Toc1814"/>
      <w:bookmarkStart w:id="417" w:name="_Toc22618"/>
      <w:bookmarkStart w:id="418" w:name="_Toc10340"/>
      <w:r>
        <w:rPr>
          <w:rFonts w:hint="eastAsia" w:ascii="仿宋" w:hAnsi="仿宋" w:eastAsia="仿宋" w:cs="仿宋"/>
          <w:b/>
          <w:color w:val="auto"/>
          <w:highlight w:val="none"/>
        </w:rPr>
        <w:t>1.4履约保证金</w:t>
      </w:r>
    </w:p>
    <w:p>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无</w:t>
      </w:r>
      <w:r>
        <w:rPr>
          <w:rFonts w:hint="eastAsia" w:ascii="仿宋" w:hAnsi="仿宋" w:eastAsia="仿宋" w:cs="仿宋"/>
          <w:color w:val="auto"/>
          <w:highlight w:val="none"/>
          <w:u w:val="single"/>
        </w:rPr>
        <w:t>需</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4"/>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合同履行完成且无质量问题后退还</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lang w:val="en-US" w:eastAsia="zh-CN"/>
        </w:rPr>
        <w:t xml:space="preserve"> 需 </w:t>
      </w:r>
      <w:r>
        <w:rPr>
          <w:rFonts w:hint="eastAsia" w:ascii="仿宋" w:hAnsi="仿宋" w:eastAsia="仿宋" w:cs="仿宋"/>
          <w:color w:val="auto"/>
          <w:highlight w:val="none"/>
        </w:rPr>
        <w:t>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2"/>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2"/>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19" w:name="_Toc32071"/>
      <w:bookmarkStart w:id="420" w:name="_Toc2846"/>
      <w:bookmarkStart w:id="421" w:name="_Toc19304"/>
      <w:r>
        <w:rPr>
          <w:rFonts w:hint="eastAsia" w:ascii="仿宋" w:hAnsi="仿宋" w:eastAsia="仿宋" w:cs="仿宋"/>
          <w:b/>
          <w:color w:val="auto"/>
          <w:sz w:val="24"/>
          <w:highlight w:val="none"/>
        </w:rPr>
        <w:t>1.7货物交付期限、地点和方式</w:t>
      </w:r>
      <w:bookmarkEnd w:id="419"/>
      <w:bookmarkEnd w:id="420"/>
      <w:bookmarkEnd w:id="421"/>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22" w:name="_Toc19554"/>
      <w:bookmarkStart w:id="423" w:name="_Toc21423"/>
      <w:bookmarkStart w:id="424" w:name="_Toc27250"/>
      <w:r>
        <w:rPr>
          <w:rFonts w:hint="eastAsia" w:ascii="仿宋" w:hAnsi="仿宋" w:eastAsia="仿宋" w:cs="仿宋"/>
          <w:b/>
          <w:color w:val="auto"/>
          <w:sz w:val="24"/>
          <w:highlight w:val="none"/>
        </w:rPr>
        <w:t>1.8违约责任</w:t>
      </w:r>
      <w:bookmarkEnd w:id="422"/>
      <w:bookmarkEnd w:id="423"/>
      <w:bookmarkEnd w:id="42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lang w:val="en-US" w:eastAsia="zh-CN"/>
        </w:rPr>
        <w:t xml:space="preserve"> 0.05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560" w:lineRule="exact"/>
        <w:ind w:firstLine="482" w:firstLineChars="200"/>
        <w:outlineLvl w:val="0"/>
        <w:rPr>
          <w:rFonts w:hint="eastAsia" w:ascii="仿宋" w:hAnsi="仿宋" w:eastAsia="仿宋" w:cs="仿宋"/>
          <w:b/>
          <w:color w:val="auto"/>
          <w:sz w:val="24"/>
          <w:highlight w:val="none"/>
        </w:rPr>
      </w:pPr>
      <w:bookmarkStart w:id="425" w:name="_Toc16021"/>
      <w:bookmarkStart w:id="426" w:name="_Toc28375"/>
      <w:bookmarkStart w:id="427" w:name="_Toc15583"/>
      <w:r>
        <w:rPr>
          <w:rFonts w:hint="eastAsia" w:ascii="仿宋" w:hAnsi="仿宋" w:eastAsia="仿宋" w:cs="仿宋"/>
          <w:b/>
          <w:color w:val="auto"/>
          <w:sz w:val="24"/>
          <w:highlight w:val="none"/>
        </w:rPr>
        <w:t>1.9合同争议的解决</w:t>
      </w:r>
      <w:bookmarkEnd w:id="425"/>
      <w:bookmarkEnd w:id="426"/>
      <w:bookmarkEnd w:id="427"/>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28" w:name="_Toc15322"/>
      <w:bookmarkStart w:id="429" w:name="_Toc11173"/>
      <w:bookmarkStart w:id="430" w:name="_Toc7245"/>
      <w:r>
        <w:rPr>
          <w:rFonts w:hint="eastAsia" w:ascii="仿宋" w:hAnsi="仿宋" w:eastAsia="仿宋" w:cs="仿宋"/>
          <w:b/>
          <w:color w:val="auto"/>
          <w:sz w:val="24"/>
          <w:highlight w:val="none"/>
        </w:rPr>
        <w:t>2.0 合同生效</w:t>
      </w:r>
      <w:bookmarkEnd w:id="428"/>
      <w:bookmarkEnd w:id="429"/>
      <w:bookmarkEnd w:id="430"/>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pStyle w:val="4"/>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4"/>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4"/>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702"/>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31" w:name="_Toc19614"/>
      <w:bookmarkStart w:id="432" w:name="_Ref467379101"/>
      <w:bookmarkStart w:id="433" w:name="_Toc279701240"/>
      <w:bookmarkStart w:id="434" w:name="_Ref467379205"/>
      <w:bookmarkStart w:id="435" w:name="_Ref467378404"/>
      <w:bookmarkStart w:id="436" w:name="_Toc487900349"/>
      <w:bookmarkStart w:id="437" w:name="_Ref467378499"/>
      <w:bookmarkStart w:id="438" w:name="_Ref467379195"/>
      <w:bookmarkStart w:id="439" w:name="_Ref467379214"/>
      <w:bookmarkStart w:id="440" w:name="_Ref467378463"/>
      <w:bookmarkStart w:id="441" w:name="_Ref467379094"/>
      <w:bookmarkStart w:id="442" w:name="_Toc28763"/>
      <w:bookmarkStart w:id="443" w:name="_Ref467379109"/>
      <w:bookmarkStart w:id="444" w:name="_Toc16917"/>
      <w:bookmarkStart w:id="445" w:name="_Ref467379225"/>
      <w:bookmarkStart w:id="446" w:name="_Toc259093669"/>
      <w:r>
        <w:rPr>
          <w:rFonts w:hint="eastAsia" w:ascii="仿宋" w:hAnsi="仿宋" w:eastAsia="仿宋" w:cs="仿宋"/>
          <w:b/>
          <w:color w:val="auto"/>
          <w:sz w:val="24"/>
          <w:highlight w:val="none"/>
        </w:rPr>
        <w:t>2.1 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highlight w:val="none"/>
        </w:rPr>
      </w:pPr>
      <w:bookmarkStart w:id="447" w:name="_Ref467378840"/>
      <w:r>
        <w:rPr>
          <w:rFonts w:hint="eastAsia" w:ascii="仿宋" w:hAnsi="仿宋" w:eastAsia="仿宋" w:cs="仿宋"/>
          <w:color w:val="auto"/>
          <w:sz w:val="24"/>
          <w:highlight w:val="none"/>
        </w:rPr>
        <w:t>2.1.4 “甲方”系指与中标或成交供应商签署合同的采购人</w:t>
      </w:r>
      <w:bookmarkEnd w:id="447"/>
      <w:r>
        <w:rPr>
          <w:rFonts w:hint="eastAsia" w:ascii="仿宋" w:hAnsi="仿宋" w:eastAsia="仿宋" w:cs="仿宋"/>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bookmarkStart w:id="448" w:name="_Ref467379400"/>
      <w:r>
        <w:rPr>
          <w:rFonts w:hint="eastAsia" w:ascii="仿宋" w:hAnsi="仿宋" w:eastAsia="仿宋" w:cs="仿宋"/>
          <w:color w:val="auto"/>
          <w:sz w:val="24"/>
          <w:highlight w:val="none"/>
        </w:rPr>
        <w:t>2.1.5 “乙方”系指根据合同约定交付货物的中标或成交供应商</w:t>
      </w:r>
      <w:bookmarkEnd w:id="448"/>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bookmarkStart w:id="449" w:name="_Ref467379436"/>
      <w:r>
        <w:rPr>
          <w:rFonts w:hint="eastAsia" w:ascii="仿宋" w:hAnsi="仿宋" w:eastAsia="仿宋" w:cs="仿宋"/>
          <w:color w:val="auto"/>
          <w:sz w:val="24"/>
          <w:highlight w:val="none"/>
        </w:rPr>
        <w:t>2.1.6 “现场”系指合同约定货物将要运至或者安装的地点。</w:t>
      </w:r>
      <w:bookmarkEnd w:id="449"/>
    </w:p>
    <w:p>
      <w:pPr>
        <w:spacing w:line="560" w:lineRule="exact"/>
        <w:ind w:firstLine="482" w:firstLineChars="200"/>
        <w:outlineLvl w:val="0"/>
        <w:rPr>
          <w:rFonts w:hint="eastAsia" w:ascii="仿宋" w:hAnsi="仿宋" w:eastAsia="仿宋" w:cs="仿宋"/>
          <w:b/>
          <w:color w:val="auto"/>
          <w:sz w:val="24"/>
          <w:highlight w:val="none"/>
        </w:rPr>
      </w:pPr>
      <w:bookmarkStart w:id="450" w:name="_Toc487900350"/>
      <w:bookmarkStart w:id="451" w:name="_Toc279701241"/>
      <w:bookmarkStart w:id="452" w:name="_Toc13336"/>
      <w:bookmarkStart w:id="453" w:name="_Toc32504"/>
      <w:bookmarkStart w:id="454" w:name="_Toc27635"/>
      <w:bookmarkStart w:id="455" w:name="_Toc259093670"/>
      <w:r>
        <w:rPr>
          <w:rFonts w:hint="eastAsia" w:ascii="仿宋" w:hAnsi="仿宋" w:eastAsia="仿宋" w:cs="仿宋"/>
          <w:b/>
          <w:color w:val="auto"/>
          <w:sz w:val="24"/>
          <w:highlight w:val="none"/>
        </w:rPr>
        <w:t>2.2 技术规范</w:t>
      </w:r>
      <w:bookmarkEnd w:id="450"/>
      <w:bookmarkEnd w:id="451"/>
      <w:bookmarkEnd w:id="452"/>
      <w:bookmarkEnd w:id="453"/>
      <w:bookmarkEnd w:id="454"/>
      <w:bookmarkEnd w:id="45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56" w:name="_Toc9829"/>
      <w:bookmarkStart w:id="457" w:name="_Toc31634"/>
      <w:bookmarkStart w:id="458" w:name="_Toc259093671"/>
      <w:bookmarkStart w:id="459" w:name="_Toc27853"/>
      <w:bookmarkStart w:id="460" w:name="_Toc487900351"/>
      <w:bookmarkStart w:id="461" w:name="_Toc279701242"/>
      <w:r>
        <w:rPr>
          <w:rFonts w:hint="eastAsia" w:ascii="仿宋" w:hAnsi="仿宋" w:eastAsia="仿宋" w:cs="仿宋"/>
          <w:b/>
          <w:color w:val="auto"/>
          <w:sz w:val="24"/>
          <w:highlight w:val="none"/>
        </w:rPr>
        <w:t>2.3 知识产权</w:t>
      </w:r>
      <w:bookmarkEnd w:id="456"/>
      <w:bookmarkEnd w:id="457"/>
      <w:bookmarkEnd w:id="458"/>
      <w:bookmarkEnd w:id="459"/>
      <w:bookmarkEnd w:id="460"/>
      <w:bookmarkEnd w:id="46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62" w:name="_Toc29149"/>
      <w:bookmarkStart w:id="463" w:name="_Toc11932"/>
      <w:bookmarkStart w:id="464" w:name="_Toc4194"/>
      <w:r>
        <w:rPr>
          <w:rFonts w:hint="eastAsia" w:ascii="仿宋" w:hAnsi="仿宋" w:eastAsia="仿宋" w:cs="仿宋"/>
          <w:b/>
          <w:color w:val="auto"/>
          <w:sz w:val="24"/>
          <w:highlight w:val="none"/>
        </w:rPr>
        <w:t>2.4 包装和装运</w:t>
      </w:r>
      <w:bookmarkEnd w:id="462"/>
      <w:bookmarkEnd w:id="463"/>
      <w:bookmarkEnd w:id="46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65" w:name="_Ref467378591"/>
      <w:bookmarkStart w:id="466" w:name="_Toc279701245"/>
      <w:bookmarkStart w:id="467" w:name="_Ref467379527"/>
      <w:bookmarkStart w:id="468" w:name="_Ref467378541"/>
      <w:bookmarkStart w:id="469" w:name="_Toc259093674"/>
      <w:bookmarkStart w:id="470" w:name="_Ref467379536"/>
      <w:bookmarkStart w:id="471" w:name="_Toc487900354"/>
      <w:bookmarkStart w:id="472" w:name="_Ref467379542"/>
      <w:bookmarkStart w:id="473" w:name="_Toc26182"/>
      <w:bookmarkStart w:id="474" w:name="_Toc19074"/>
      <w:bookmarkStart w:id="475" w:name="_Toc30272"/>
      <w:r>
        <w:rPr>
          <w:rFonts w:hint="eastAsia" w:ascii="仿宋" w:hAnsi="仿宋" w:eastAsia="仿宋" w:cs="仿宋"/>
          <w:b/>
          <w:color w:val="auto"/>
          <w:sz w:val="24"/>
          <w:highlight w:val="none"/>
        </w:rPr>
        <w:t>2.</w:t>
      </w:r>
      <w:bookmarkEnd w:id="465"/>
      <w:bookmarkEnd w:id="466"/>
      <w:bookmarkEnd w:id="467"/>
      <w:bookmarkEnd w:id="468"/>
      <w:bookmarkEnd w:id="469"/>
      <w:bookmarkEnd w:id="470"/>
      <w:bookmarkEnd w:id="471"/>
      <w:bookmarkEnd w:id="472"/>
      <w:r>
        <w:rPr>
          <w:rFonts w:hint="eastAsia" w:ascii="仿宋" w:hAnsi="仿宋" w:eastAsia="仿宋" w:cs="仿宋"/>
          <w:b/>
          <w:color w:val="auto"/>
          <w:sz w:val="24"/>
          <w:highlight w:val="none"/>
        </w:rPr>
        <w:t>5 履约检查和问题反馈</w:t>
      </w:r>
      <w:bookmarkEnd w:id="473"/>
      <w:bookmarkEnd w:id="474"/>
      <w:bookmarkEnd w:id="475"/>
    </w:p>
    <w:p>
      <w:pPr>
        <w:spacing w:line="560" w:lineRule="exact"/>
        <w:ind w:firstLine="480" w:firstLineChars="200"/>
        <w:rPr>
          <w:rFonts w:hint="eastAsia" w:ascii="仿宋" w:hAnsi="仿宋" w:eastAsia="仿宋" w:cs="仿宋"/>
          <w:color w:val="auto"/>
          <w:sz w:val="24"/>
          <w:highlight w:val="none"/>
        </w:rPr>
      </w:pPr>
      <w:bookmarkStart w:id="476" w:name="_Ref467379657"/>
      <w:r>
        <w:rPr>
          <w:rFonts w:hint="eastAsia" w:ascii="仿宋" w:hAnsi="仿宋" w:eastAsia="仿宋" w:cs="仿宋"/>
          <w:color w:val="auto"/>
          <w:sz w:val="24"/>
          <w:highlight w:val="none"/>
        </w:rPr>
        <w:t>2.5.1</w:t>
      </w:r>
      <w:bookmarkEnd w:id="476"/>
      <w:bookmarkStart w:id="477" w:name="_Toc186431854"/>
      <w:bookmarkStart w:id="478" w:name="_Ref467379793"/>
      <w:bookmarkStart w:id="479" w:name="_Toc487900357"/>
      <w:bookmarkStart w:id="480" w:name="_Toc259093676"/>
      <w:bookmarkStart w:id="481" w:name="_Ref467379807"/>
      <w:bookmarkStart w:id="482"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77"/>
      <w:bookmarkStart w:id="483" w:name="_Toc186431855"/>
      <w:r>
        <w:rPr>
          <w:rFonts w:hint="eastAsia" w:ascii="仿宋" w:hAnsi="仿宋" w:eastAsia="仿宋" w:cs="仿宋"/>
          <w:color w:val="auto"/>
          <w:sz w:val="24"/>
          <w:highlight w:val="none"/>
        </w:rPr>
        <w:t>。</w:t>
      </w:r>
    </w:p>
    <w:bookmarkEnd w:id="478"/>
    <w:bookmarkEnd w:id="479"/>
    <w:bookmarkEnd w:id="480"/>
    <w:bookmarkEnd w:id="481"/>
    <w:bookmarkEnd w:id="482"/>
    <w:bookmarkEnd w:id="483"/>
    <w:p>
      <w:pPr>
        <w:spacing w:line="560" w:lineRule="exact"/>
        <w:ind w:firstLine="482" w:firstLineChars="200"/>
        <w:outlineLvl w:val="0"/>
        <w:rPr>
          <w:rFonts w:hint="eastAsia" w:ascii="仿宋" w:hAnsi="仿宋" w:eastAsia="仿宋" w:cs="仿宋"/>
          <w:b/>
          <w:color w:val="auto"/>
          <w:sz w:val="24"/>
          <w:highlight w:val="none"/>
        </w:rPr>
      </w:pPr>
      <w:bookmarkStart w:id="484" w:name="_Toc279701248"/>
      <w:bookmarkStart w:id="485" w:name="_Toc487900358"/>
      <w:bookmarkStart w:id="486" w:name="_Ref467379863"/>
      <w:bookmarkStart w:id="487" w:name="_Ref467379923"/>
      <w:bookmarkStart w:id="488" w:name="_Toc259093677"/>
      <w:bookmarkStart w:id="489" w:name="_Ref467379852"/>
      <w:bookmarkStart w:id="490" w:name="_Toc16110"/>
      <w:bookmarkStart w:id="491" w:name="_Toc774"/>
      <w:bookmarkStart w:id="492" w:name="_Toc3225"/>
      <w:r>
        <w:rPr>
          <w:rFonts w:hint="eastAsia" w:ascii="仿宋" w:hAnsi="仿宋" w:eastAsia="仿宋" w:cs="仿宋"/>
          <w:b/>
          <w:color w:val="auto"/>
          <w:sz w:val="24"/>
          <w:highlight w:val="none"/>
        </w:rPr>
        <w:t>2.6 技术资料</w:t>
      </w:r>
      <w:bookmarkEnd w:id="484"/>
      <w:bookmarkEnd w:id="485"/>
      <w:bookmarkEnd w:id="486"/>
      <w:bookmarkEnd w:id="487"/>
      <w:bookmarkEnd w:id="488"/>
      <w:bookmarkEnd w:id="489"/>
      <w:r>
        <w:rPr>
          <w:rFonts w:hint="eastAsia" w:ascii="仿宋" w:hAnsi="仿宋" w:eastAsia="仿宋" w:cs="仿宋"/>
          <w:b/>
          <w:color w:val="auto"/>
          <w:sz w:val="24"/>
          <w:highlight w:val="none"/>
        </w:rPr>
        <w:t>和保密义务</w:t>
      </w:r>
      <w:bookmarkEnd w:id="490"/>
      <w:bookmarkEnd w:id="491"/>
      <w:bookmarkEnd w:id="49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93" w:name="_Toc7860"/>
      <w:r>
        <w:rPr>
          <w:rFonts w:hint="eastAsia" w:ascii="仿宋" w:hAnsi="仿宋" w:eastAsia="仿宋" w:cs="仿宋"/>
          <w:b/>
          <w:color w:val="auto"/>
          <w:sz w:val="24"/>
          <w:highlight w:val="none"/>
        </w:rPr>
        <w:t>2.7 质量保证</w:t>
      </w:r>
      <w:bookmarkEnd w:id="49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94" w:name="_Toc17244"/>
      <w:bookmarkStart w:id="495" w:name="_Toc279701252"/>
      <w:bookmarkStart w:id="496" w:name="_Toc259093681"/>
      <w:bookmarkStart w:id="497" w:name="_Toc487900362"/>
      <w:r>
        <w:rPr>
          <w:rFonts w:hint="eastAsia" w:ascii="仿宋" w:hAnsi="仿宋" w:eastAsia="仿宋" w:cs="仿宋"/>
          <w:b/>
          <w:color w:val="auto"/>
          <w:sz w:val="24"/>
          <w:highlight w:val="none"/>
        </w:rPr>
        <w:t>2.8 货物的风险负担</w:t>
      </w:r>
      <w:bookmarkEnd w:id="494"/>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8" w:name="_Toc14055"/>
      <w:r>
        <w:rPr>
          <w:rFonts w:hint="eastAsia" w:ascii="仿宋" w:hAnsi="仿宋" w:eastAsia="仿宋" w:cs="仿宋"/>
          <w:b/>
          <w:color w:val="auto"/>
          <w:sz w:val="24"/>
          <w:highlight w:val="none"/>
        </w:rPr>
        <w:t>2.9 延迟交货</w:t>
      </w:r>
      <w:bookmarkEnd w:id="495"/>
      <w:bookmarkEnd w:id="496"/>
      <w:bookmarkEnd w:id="497"/>
      <w:bookmarkEnd w:id="49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highlight w:val="none"/>
        </w:rPr>
      </w:pPr>
      <w:bookmarkStart w:id="499" w:name="_Toc7502"/>
      <w:bookmarkStart w:id="500" w:name="_Toc279701254"/>
      <w:bookmarkStart w:id="501" w:name="_Toc487900364"/>
      <w:bookmarkStart w:id="502" w:name="_Ref467378121"/>
      <w:bookmarkStart w:id="503" w:name="_Toc259093683"/>
      <w:r>
        <w:rPr>
          <w:rFonts w:hint="eastAsia" w:ascii="仿宋" w:hAnsi="仿宋" w:eastAsia="仿宋" w:cs="仿宋"/>
          <w:b/>
          <w:color w:val="auto"/>
          <w:sz w:val="24"/>
          <w:highlight w:val="none"/>
        </w:rPr>
        <w:t>2.10 合同变更</w:t>
      </w:r>
      <w:bookmarkEnd w:id="49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4" w:name="_Toc487900369"/>
      <w:bookmarkStart w:id="505" w:name="_Toc259093688"/>
      <w:bookmarkStart w:id="506" w:name="_Toc279701259"/>
    </w:p>
    <w:p>
      <w:pPr>
        <w:spacing w:line="560" w:lineRule="exact"/>
        <w:ind w:firstLine="482" w:firstLineChars="200"/>
        <w:outlineLvl w:val="0"/>
        <w:rPr>
          <w:rFonts w:hint="eastAsia" w:ascii="仿宋" w:hAnsi="仿宋" w:eastAsia="仿宋" w:cs="仿宋"/>
          <w:b/>
          <w:color w:val="auto"/>
          <w:sz w:val="24"/>
          <w:highlight w:val="none"/>
        </w:rPr>
      </w:pPr>
      <w:bookmarkStart w:id="507" w:name="_Toc22955"/>
      <w:bookmarkStart w:id="508" w:name="_Toc15237"/>
      <w:bookmarkStart w:id="509" w:name="_Toc10366"/>
      <w:r>
        <w:rPr>
          <w:rFonts w:hint="eastAsia" w:ascii="仿宋" w:hAnsi="仿宋" w:eastAsia="仿宋" w:cs="仿宋"/>
          <w:b/>
          <w:color w:val="auto"/>
          <w:sz w:val="24"/>
          <w:highlight w:val="none"/>
        </w:rPr>
        <w:t>2.11 合同转让</w:t>
      </w:r>
      <w:bookmarkEnd w:id="504"/>
      <w:bookmarkEnd w:id="505"/>
      <w:bookmarkEnd w:id="506"/>
      <w:r>
        <w:rPr>
          <w:rFonts w:hint="eastAsia" w:ascii="仿宋" w:hAnsi="仿宋" w:eastAsia="仿宋" w:cs="仿宋"/>
          <w:b/>
          <w:color w:val="auto"/>
          <w:sz w:val="24"/>
          <w:highlight w:val="none"/>
        </w:rPr>
        <w:t>和分包</w:t>
      </w:r>
      <w:bookmarkEnd w:id="507"/>
      <w:bookmarkEnd w:id="508"/>
      <w:bookmarkEnd w:id="5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highlight w:val="none"/>
        </w:rPr>
      </w:pPr>
      <w:bookmarkStart w:id="510" w:name="_Toc14066"/>
      <w:bookmarkStart w:id="511" w:name="_Toc13566"/>
      <w:bookmarkStart w:id="512" w:name="_Toc16508"/>
      <w:r>
        <w:rPr>
          <w:rFonts w:hint="eastAsia" w:ascii="仿宋" w:hAnsi="仿宋" w:eastAsia="仿宋" w:cs="仿宋"/>
          <w:b/>
          <w:color w:val="auto"/>
          <w:sz w:val="24"/>
          <w:highlight w:val="none"/>
        </w:rPr>
        <w:t>2.12 不可抗力</w:t>
      </w:r>
      <w:bookmarkEnd w:id="510"/>
      <w:bookmarkEnd w:id="511"/>
      <w:bookmarkEnd w:id="51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513" w:name="_Toc487900365"/>
      <w:bookmarkStart w:id="514" w:name="_Toc689"/>
      <w:bookmarkStart w:id="515" w:name="_Toc6969"/>
      <w:bookmarkStart w:id="516" w:name="_Toc279701255"/>
      <w:bookmarkStart w:id="517" w:name="_Toc259093684"/>
      <w:bookmarkStart w:id="518" w:name="_Toc30676"/>
      <w:r>
        <w:rPr>
          <w:rFonts w:hint="eastAsia" w:ascii="仿宋" w:hAnsi="仿宋" w:eastAsia="仿宋" w:cs="仿宋"/>
          <w:b/>
          <w:color w:val="auto"/>
          <w:sz w:val="24"/>
          <w:highlight w:val="none"/>
        </w:rPr>
        <w:t>2.13 税费</w:t>
      </w:r>
      <w:bookmarkEnd w:id="513"/>
      <w:bookmarkEnd w:id="514"/>
      <w:bookmarkEnd w:id="515"/>
      <w:bookmarkEnd w:id="516"/>
      <w:bookmarkEnd w:id="517"/>
      <w:bookmarkEnd w:id="51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highlight w:val="none"/>
        </w:rPr>
      </w:pPr>
      <w:bookmarkStart w:id="519" w:name="_Toc487900368"/>
      <w:bookmarkStart w:id="520" w:name="_Toc259093687"/>
      <w:bookmarkStart w:id="521" w:name="_Toc16959"/>
      <w:bookmarkStart w:id="522" w:name="_Toc7102"/>
      <w:bookmarkStart w:id="523" w:name="_Toc8298"/>
      <w:bookmarkStart w:id="524" w:name="_Toc279701258"/>
      <w:r>
        <w:rPr>
          <w:rFonts w:hint="eastAsia" w:ascii="仿宋" w:hAnsi="仿宋" w:eastAsia="仿宋" w:cs="仿宋"/>
          <w:b/>
          <w:color w:val="auto"/>
          <w:sz w:val="24"/>
          <w:highlight w:val="none"/>
        </w:rPr>
        <w:t>2.14乙方破产</w:t>
      </w:r>
      <w:bookmarkEnd w:id="519"/>
      <w:bookmarkEnd w:id="520"/>
      <w:bookmarkEnd w:id="521"/>
      <w:bookmarkEnd w:id="522"/>
      <w:bookmarkEnd w:id="523"/>
      <w:bookmarkEnd w:id="52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525" w:name="_Toc29333"/>
      <w:bookmarkStart w:id="526" w:name="_Toc6134"/>
      <w:bookmarkStart w:id="527" w:name="_Toc15387"/>
      <w:r>
        <w:rPr>
          <w:rFonts w:hint="eastAsia" w:ascii="仿宋" w:hAnsi="仿宋" w:eastAsia="仿宋" w:cs="仿宋"/>
          <w:b/>
          <w:color w:val="auto"/>
          <w:sz w:val="24"/>
          <w:highlight w:val="none"/>
        </w:rPr>
        <w:t>2.15 合同中止、终止</w:t>
      </w:r>
      <w:bookmarkEnd w:id="525"/>
      <w:bookmarkEnd w:id="526"/>
      <w:bookmarkEnd w:id="52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528" w:name="_Toc1125"/>
      <w:bookmarkStart w:id="529" w:name="_Toc14563"/>
      <w:bookmarkStart w:id="530" w:name="_Toc6596"/>
      <w:r>
        <w:rPr>
          <w:rFonts w:hint="eastAsia" w:ascii="仿宋" w:hAnsi="仿宋" w:eastAsia="仿宋" w:cs="仿宋"/>
          <w:b/>
          <w:color w:val="auto"/>
          <w:sz w:val="24"/>
          <w:highlight w:val="none"/>
        </w:rPr>
        <w:t>2.16检验和验收</w:t>
      </w:r>
      <w:bookmarkEnd w:id="528"/>
      <w:bookmarkEnd w:id="529"/>
      <w:bookmarkEnd w:id="530"/>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500"/>
    <w:bookmarkEnd w:id="501"/>
    <w:bookmarkEnd w:id="502"/>
    <w:bookmarkEnd w:id="503"/>
    <w:p>
      <w:pPr>
        <w:spacing w:line="560" w:lineRule="exact"/>
        <w:ind w:firstLine="482" w:firstLineChars="200"/>
        <w:outlineLvl w:val="0"/>
        <w:rPr>
          <w:rFonts w:hint="eastAsia" w:ascii="仿宋" w:hAnsi="仿宋" w:eastAsia="仿宋" w:cs="仿宋"/>
          <w:b/>
          <w:color w:val="auto"/>
          <w:sz w:val="24"/>
          <w:highlight w:val="none"/>
        </w:rPr>
      </w:pPr>
      <w:bookmarkStart w:id="531" w:name="_Toc487900371"/>
      <w:bookmarkStart w:id="532" w:name="_Toc259093690"/>
      <w:bookmarkStart w:id="533" w:name="_Toc279701261"/>
      <w:bookmarkStart w:id="534" w:name="_Toc19604"/>
      <w:bookmarkStart w:id="535" w:name="_Toc11284"/>
      <w:bookmarkStart w:id="536" w:name="_Toc25182"/>
      <w:r>
        <w:rPr>
          <w:rFonts w:hint="eastAsia" w:ascii="仿宋" w:hAnsi="仿宋" w:eastAsia="仿宋" w:cs="仿宋"/>
          <w:b/>
          <w:color w:val="auto"/>
          <w:sz w:val="24"/>
          <w:highlight w:val="none"/>
        </w:rPr>
        <w:t>2.17 通知</w:t>
      </w:r>
      <w:bookmarkEnd w:id="531"/>
      <w:bookmarkEnd w:id="532"/>
      <w:bookmarkEnd w:id="533"/>
      <w:r>
        <w:rPr>
          <w:rFonts w:hint="eastAsia" w:ascii="仿宋" w:hAnsi="仿宋" w:eastAsia="仿宋" w:cs="仿宋"/>
          <w:b/>
          <w:color w:val="auto"/>
          <w:sz w:val="24"/>
          <w:highlight w:val="none"/>
        </w:rPr>
        <w:t>和送达</w:t>
      </w:r>
      <w:bookmarkEnd w:id="534"/>
      <w:bookmarkEnd w:id="535"/>
      <w:bookmarkEnd w:id="536"/>
    </w:p>
    <w:p>
      <w:pPr>
        <w:spacing w:line="560" w:lineRule="exact"/>
        <w:ind w:firstLine="480" w:firstLineChars="200"/>
        <w:rPr>
          <w:rFonts w:hint="eastAsia" w:ascii="仿宋" w:hAnsi="仿宋" w:eastAsia="仿宋" w:cs="仿宋"/>
          <w:color w:val="auto"/>
          <w:sz w:val="24"/>
          <w:highlight w:val="none"/>
        </w:rPr>
      </w:pPr>
      <w:bookmarkStart w:id="537" w:name="_Toc6698"/>
      <w:bookmarkStart w:id="538" w:name="_Toc3135"/>
      <w:bookmarkStart w:id="539" w:name="_Toc259093691"/>
      <w:bookmarkStart w:id="540" w:name="_Toc487900372"/>
      <w:bookmarkStart w:id="541" w:name="_Toc27970126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37"/>
      <w:bookmarkEnd w:id="538"/>
    </w:p>
    <w:p>
      <w:pPr>
        <w:spacing w:line="560" w:lineRule="exact"/>
        <w:ind w:firstLine="480" w:firstLineChars="200"/>
        <w:rPr>
          <w:rFonts w:hint="eastAsia" w:ascii="仿宋" w:hAnsi="仿宋" w:eastAsia="仿宋" w:cs="仿宋"/>
          <w:color w:val="auto"/>
          <w:sz w:val="24"/>
          <w:highlight w:val="none"/>
        </w:rPr>
      </w:pPr>
      <w:bookmarkStart w:id="542" w:name="_Toc23128"/>
      <w:bookmarkStart w:id="543"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2"/>
      <w:bookmarkEnd w:id="543"/>
    </w:p>
    <w:p>
      <w:pPr>
        <w:spacing w:line="560" w:lineRule="exact"/>
        <w:ind w:firstLine="482" w:firstLineChars="200"/>
        <w:outlineLvl w:val="0"/>
        <w:rPr>
          <w:rFonts w:hint="eastAsia" w:ascii="仿宋" w:hAnsi="仿宋" w:eastAsia="仿宋" w:cs="仿宋"/>
          <w:b/>
          <w:color w:val="auto"/>
          <w:sz w:val="24"/>
          <w:highlight w:val="none"/>
        </w:rPr>
      </w:pPr>
      <w:bookmarkStart w:id="544" w:name="_Toc18540"/>
      <w:bookmarkStart w:id="545" w:name="_Toc4355"/>
      <w:bookmarkStart w:id="546" w:name="_Toc30599"/>
      <w:r>
        <w:rPr>
          <w:rFonts w:hint="eastAsia" w:ascii="仿宋" w:hAnsi="仿宋" w:eastAsia="仿宋" w:cs="仿宋"/>
          <w:b/>
          <w:color w:val="auto"/>
          <w:sz w:val="24"/>
          <w:highlight w:val="none"/>
        </w:rPr>
        <w:t>2.18 计量单位</w:t>
      </w:r>
      <w:bookmarkEnd w:id="539"/>
      <w:bookmarkEnd w:id="540"/>
      <w:bookmarkEnd w:id="541"/>
      <w:bookmarkEnd w:id="544"/>
      <w:bookmarkEnd w:id="545"/>
      <w:bookmarkEnd w:id="54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highlight w:val="none"/>
        </w:rPr>
      </w:pPr>
      <w:bookmarkStart w:id="547" w:name="_Toc279701263"/>
      <w:bookmarkStart w:id="548" w:name="_Toc12773"/>
      <w:bookmarkStart w:id="549" w:name="_Toc18567"/>
      <w:bookmarkStart w:id="550" w:name="_Toc259093692"/>
      <w:bookmarkStart w:id="551" w:name="_Toc10330"/>
      <w:bookmarkStart w:id="552" w:name="_Toc487900373"/>
      <w:r>
        <w:rPr>
          <w:rFonts w:hint="eastAsia" w:ascii="仿宋" w:hAnsi="仿宋" w:eastAsia="仿宋" w:cs="仿宋"/>
          <w:b/>
          <w:color w:val="auto"/>
          <w:sz w:val="24"/>
          <w:highlight w:val="none"/>
        </w:rPr>
        <w:t>2.19 合同使用的文字和适用的法律</w:t>
      </w:r>
      <w:bookmarkEnd w:id="547"/>
      <w:bookmarkEnd w:id="548"/>
      <w:bookmarkEnd w:id="549"/>
      <w:bookmarkEnd w:id="550"/>
      <w:bookmarkEnd w:id="551"/>
      <w:bookmarkEnd w:id="55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53" w:name="_Toc14001"/>
      <w:bookmarkStart w:id="554" w:name="_Toc19890"/>
      <w:bookmarkStart w:id="555" w:name="_Toc6885"/>
      <w:r>
        <w:rPr>
          <w:rFonts w:hint="eastAsia" w:ascii="仿宋" w:hAnsi="仿宋" w:eastAsia="仿宋" w:cs="仿宋"/>
          <w:b/>
          <w:color w:val="auto"/>
          <w:sz w:val="24"/>
          <w:highlight w:val="none"/>
        </w:rPr>
        <w:t>2.20 合同份数</w:t>
      </w:r>
      <w:bookmarkEnd w:id="553"/>
      <w:bookmarkEnd w:id="554"/>
      <w:bookmarkEnd w:id="55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2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2"/>
        <w:gridCol w:w="85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42"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51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51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履约保证金支付方式：本项目无需支付履约保证金。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512" w:type="dxa"/>
            <w:vAlign w:val="center"/>
          </w:tcPr>
          <w:p>
            <w:pPr>
              <w:pStyle w:val="20"/>
              <w:keepNext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本项目需要支付预付款，合同签订后5个工作日内，乙方提供合格发票和银行开具的等额预付款担保函，甲方在收到发票和担保函后，向乙方支付合同总价的40%预付款，如乙方未提供预付款担保，视为甲方无需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8512" w:type="dxa"/>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512" w:type="dxa"/>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512" w:type="dxa"/>
            <w:vAlign w:val="center"/>
          </w:tcPr>
          <w:p>
            <w:pPr>
              <w:pStyle w:val="20"/>
              <w:keepNext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履约期内，每次供货数量以招标人通知为准。货款每3个月结算1次，甲方向乙方支付该3个月的全额货款，首先用已支付的预付款抵消货款，待抵消完后再按实结算支付。如乙方未提供预付款担保，视为无需甲方支付预付款，货款按每3个月结算1次，甲方向乙方支付该3个月的全额货款。</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若发生过渡期，则过渡期内由原供货单位负责，费用按本合同单价计算，由乙方支付原供货服务单位。（过渡期是2025年1月1日起至指本项目中标通知书发出止）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因乙方迟延履行以及不符合财政资金支付时间要求等原因造成不能及时支付款的，甲方不承担责任。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51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交货时间：根据甲方的实际需要进行分批供货、交货，甲方将需供货数量、送货地点通知乙方，乙方负责在收到通知后</w:t>
            </w:r>
            <w:r>
              <w:rPr>
                <w:rFonts w:hint="eastAsia" w:ascii="仿宋" w:hAnsi="仿宋" w:eastAsia="仿宋" w:cs="仿宋"/>
                <w:color w:val="auto"/>
                <w:sz w:val="24"/>
                <w:highlight w:val="none"/>
                <w:lang w:eastAsia="zh-CN"/>
              </w:rPr>
              <w:t>当日</w:t>
            </w:r>
            <w:r>
              <w:rPr>
                <w:rFonts w:hint="eastAsia" w:ascii="仿宋" w:hAnsi="仿宋" w:eastAsia="仿宋" w:cs="仿宋"/>
                <w:color w:val="auto"/>
                <w:sz w:val="24"/>
                <w:highlight w:val="none"/>
              </w:rPr>
              <w:t>内将所有货物送达甲方指定地点交货（包括卸货）。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51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甲方项目现场指定地点。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51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无论多少，采用何种运输方式，采取何种包装，完整安全按时送达甲方项目现场指定地点。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8512" w:type="dxa"/>
            <w:vAlign w:val="center"/>
          </w:tcPr>
          <w:p>
            <w:pPr>
              <w:numPr>
                <w:ilvl w:val="0"/>
                <w:numId w:val="0"/>
              </w:num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1、在产品质保期内及使用过程中问题出现异常情况，在收到甲方通知后， 乙方需在6个小时内落实专业力量进行必要的技术支持，及时予以妥善处置相关问题，如未能按时落实处置问题的，发现一次罚款人民币</w:t>
            </w:r>
            <w:r>
              <w:rPr>
                <w:rFonts w:hint="eastAsia" w:ascii="仿宋" w:hAnsi="仿宋" w:eastAsia="仿宋" w:cs="仿宋"/>
                <w:color w:val="auto"/>
                <w:sz w:val="24"/>
                <w:highlight w:val="none"/>
                <w:u w:val="single"/>
                <w:lang w:val="en-US" w:eastAsia="zh-CN"/>
              </w:rPr>
              <w:t xml:space="preserve">  5000  </w:t>
            </w:r>
            <w:r>
              <w:rPr>
                <w:rFonts w:hint="eastAsia" w:ascii="仿宋" w:hAnsi="仿宋" w:eastAsia="仿宋" w:cs="仿宋"/>
                <w:color w:val="auto"/>
                <w:sz w:val="24"/>
                <w:highlight w:val="none"/>
                <w:lang w:val="en-US" w:eastAsia="zh-CN"/>
              </w:rPr>
              <w:t>元，并赔偿甲方由此引发的一切损失。合同服务期内累计两次发生此类情况，甲方有权终止合同。</w:t>
            </w:r>
          </w:p>
          <w:p>
            <w:pPr>
              <w:numPr>
                <w:ilvl w:val="0"/>
                <w:numId w:val="0"/>
              </w:num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2、如出现产品抽检不合格的，乙方须及时更换当批次货物，同时处以当批次货款同额度罚款，并赔偿甲方由此引发的一切损失。合同服务期内累计两次抽检不合格的，甲方有权终止合同。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51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双方在执行合同中所发生的一切争议，应通过协商解决。如协商不成，可向甲方所在地法院起诉。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512"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512"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8512" w:type="dxa"/>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交货时间：招标人将需供货数量、送货地点通知中标人，中标人负责在收到通知后</w:t>
            </w:r>
            <w:r>
              <w:rPr>
                <w:rFonts w:hint="eastAsia" w:ascii="仿宋" w:hAnsi="仿宋" w:eastAsia="仿宋" w:cs="仿宋"/>
                <w:color w:val="auto"/>
                <w:sz w:val="24"/>
                <w:highlight w:val="none"/>
                <w:lang w:eastAsia="zh-CN"/>
              </w:rPr>
              <w:t>当日</w:t>
            </w:r>
            <w:r>
              <w:rPr>
                <w:rFonts w:hint="eastAsia" w:ascii="仿宋" w:hAnsi="仿宋" w:eastAsia="仿宋" w:cs="仿宋"/>
                <w:color w:val="auto"/>
                <w:sz w:val="24"/>
                <w:highlight w:val="none"/>
              </w:rPr>
              <w:t>内将所有货物送达招标人指定地点。产品采用送货方式：中标人接到买方通知后将产品送至指定的地点。产品必须完整安全按时到达交货地点（在运送过程中，须办理道路通行证或须夜间运送的由中标人办理和承担）</w:t>
            </w:r>
            <w:r>
              <w:rPr>
                <w:rFonts w:hint="eastAsia" w:ascii="仿宋" w:hAnsi="仿宋" w:eastAsia="仿宋" w:cs="仿宋"/>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512"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、安全责任：乙方承担货物在送达指定地点前及运输过程（包括卸装期间）中货物的毁损、灭失等和发生人身伤亡事故等风险和安全责任，并承担一切经济损失和法律责任。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、乙方在交货时与收货人共同签字确认送货清单，作为结算凭单。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51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约双方任何一方由于不可抗力事件的影响而不能执行合同时，履行合同的期限应予以延长，其延长的期限应相当于事件所影响的时间。不可抗力事件系指甲乙双方在缔结合同时所不能预见的，并且它的发生及其后果是无法避免的和无法克服的事件，诸如战争、严重火灾、洪水、台风、地震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51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受阻一方应在不可抗力事件发生后尽快用传真或电传通知对方，并于事件发生后14日内将有关当局出具的证明文件用特快专递或挂号信寄给对方审阅确认。一旦不可抗力事件的影响持续120日以上，双方应通过友好协商在合理的时间内达成进一步履行合同的协议。</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、因下列事件导致的费用由甲乙双方按照以下条款分别承担：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（1）在生产地或在途中的货物损害及造成第三方人员和财产损害由乙方承担；交至指定地点验收后待使用的货物损害及造成第三方人员和财产损害由甲方承担。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（2）甲方或乙方人员或其委托代理人员的伤亡由甲方或乙方或委托方各自负责，并承担相应费用。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51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提供的主要技术资料</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1、产品检验报告。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2、每批次货物质量检验报告和合格证的原件或复印件（交货时提供）。</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3、产品使用说明书等其它需要提供的技术资料（交货时提供）。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42"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851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履约验收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1、乙方年度履约验收资料准备，包括每批次送货清单、货物质量检验报告、合格证、检测报告等，按甲方要求做好年度履约验收评价，并承担相关费用。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、乙方应按招标要求做好产品检验，相关费用由乙方承担。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、乙方须认可甲方的操作规程及相关计量、化验数据。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42" w:type="dxa"/>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851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份，具有同等法律效力，甲乙双方各执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tc>
      </w:tr>
      <w:bookmarkEnd w:id="405"/>
      <w:bookmarkEnd w:id="406"/>
    </w:tbl>
    <w:p>
      <w:pPr>
        <w:rPr>
          <w:rFonts w:hint="eastAsia"/>
          <w:color w:val="auto"/>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pStyle w:val="62"/>
        <w:rPr>
          <w:rFonts w:hint="eastAsia" w:ascii="仿宋" w:hAnsi="仿宋" w:eastAsia="仿宋" w:cs="仿宋"/>
          <w:color w:val="auto"/>
          <w:kern w:val="0"/>
          <w:sz w:val="24"/>
          <w:highlight w:val="none"/>
        </w:rPr>
      </w:pP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pPr>
        <w:pStyle w:val="2"/>
        <w:rPr>
          <w:rFonts w:hint="eastAsia"/>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杭州市城市水设施和河道保护管理中心、浙江耀信工程咨询有限公司</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rPr>
          <w:rFonts w:hint="eastAsia"/>
          <w:color w:val="auto"/>
          <w:highlight w:val="none"/>
        </w:rPr>
      </w:pPr>
      <w:r>
        <w:rPr>
          <w:rFonts w:hint="eastAsia"/>
          <w:color w:val="auto"/>
          <w:highlight w:val="none"/>
        </w:rPr>
        <w:br w:type="page"/>
      </w:r>
    </w:p>
    <w:p>
      <w:pPr>
        <w:pStyle w:val="2"/>
        <w:rPr>
          <w:rFonts w:hint="eastAsia"/>
          <w:color w:val="auto"/>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color w:val="auto"/>
          <w:highlight w:val="none"/>
        </w:rPr>
      </w:pPr>
      <w:r>
        <w:rPr>
          <w:rFonts w:hint="eastAsia"/>
          <w:color w:val="auto"/>
          <w:highlight w:val="none"/>
        </w:rPr>
        <w:br w:type="page"/>
      </w:r>
    </w:p>
    <w:p>
      <w:pPr>
        <w:pStyle w:val="2"/>
        <w:rPr>
          <w:rFonts w:hint="eastAsia"/>
          <w:color w:val="auto"/>
          <w:highlight w:val="none"/>
        </w:rPr>
      </w:pPr>
    </w:p>
    <w:p>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pStyle w:val="2"/>
        <w:rPr>
          <w:rFonts w:hint="eastAsia"/>
          <w:color w:val="auto"/>
          <w:highlight w:val="none"/>
        </w:rPr>
      </w:pPr>
    </w:p>
    <w:p>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杭州市城市水设施和河道保护管理中心、浙江耀信工程咨询有限公司</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widowControl/>
        <w:numPr>
          <w:ilvl w:val="-1"/>
          <w:numId w:val="0"/>
        </w:numPr>
        <w:snapToGrid w:val="0"/>
        <w:spacing w:line="360" w:lineRule="auto"/>
        <w:ind w:left="210" w:leftChars="100" w:firstLine="480" w:firstLineChars="200"/>
        <w:jc w:val="left"/>
        <w:rPr>
          <w:rFonts w:hint="eastAsia" w:ascii="仿宋" w:hAnsi="仿宋" w:eastAsia="仿宋" w:cs="仿宋"/>
          <w:i w:val="0"/>
          <w:caps w:val="0"/>
          <w:color w:val="auto"/>
          <w:spacing w:val="0"/>
          <w:sz w:val="24"/>
          <w:szCs w:val="24"/>
          <w:highlight w:val="none"/>
          <w:shd w:val="clear"/>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i w:val="0"/>
          <w:caps w:val="0"/>
          <w:color w:val="auto"/>
          <w:spacing w:val="0"/>
          <w:sz w:val="24"/>
          <w:szCs w:val="24"/>
          <w:highlight w:val="none"/>
          <w:shd w:val="clear"/>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pStyle w:val="2"/>
        <w:rPr>
          <w:rFonts w:hint="eastAsia" w:ascii="仿宋" w:hAnsi="仿宋" w:eastAsia="仿宋" w:cs="仿宋"/>
          <w:color w:val="auto"/>
          <w:highlight w:val="none"/>
          <w:lang w:val="en-US" w:eastAsia="zh-CN"/>
        </w:rPr>
      </w:pP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pStyle w:val="2"/>
        <w:rPr>
          <w:rFonts w:hint="eastAsia"/>
          <w:color w:val="auto"/>
          <w:highlight w:val="none"/>
        </w:rPr>
      </w:pPr>
    </w:p>
    <w:p>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杭州市城市水设施和河道保护管理中心、浙江耀信工程咨询有限公司</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杭州市城市水设施和河道保护管理中心、浙江耀信工程咨询有限公司</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both"/>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pPr>
        <w:pStyle w:val="2"/>
        <w:rPr>
          <w:rFonts w:hint="eastAsia"/>
          <w:color w:val="auto"/>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0"/>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417" w:right="1417" w:bottom="1417" w:left="1417" w:header="851" w:footer="992" w:gutter="0"/>
          <w:cols w:space="720" w:num="1"/>
          <w:titlePg/>
          <w:docGrid w:linePitch="312" w:charSpace="0"/>
        </w:sect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pPr>
              <w:spacing w:line="360" w:lineRule="auto"/>
              <w:rPr>
                <w:rFonts w:hint="eastAsia" w:ascii="仿宋" w:hAnsi="仿宋" w:eastAsia="仿宋" w:cs="仿宋"/>
                <w:color w:val="auto"/>
                <w:sz w:val="24"/>
                <w:highlight w:val="none"/>
              </w:rPr>
            </w:pP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pPr>
              <w:rPr>
                <w:rFonts w:hint="eastAsia" w:ascii="仿宋" w:hAnsi="仿宋" w:eastAsia="仿宋" w:cs="仿宋"/>
                <w:b w:val="0"/>
                <w:bCs w:val="0"/>
                <w:color w:val="auto"/>
                <w:sz w:val="24"/>
                <w:highlight w:val="none"/>
                <w:lang w:val="en-US" w:eastAsia="zh-CN"/>
              </w:rPr>
            </w:pPr>
          </w:p>
        </w:tc>
        <w:tc>
          <w:tcPr>
            <w:tcW w:w="1418" w:type="dxa"/>
            <w:vAlign w:val="top"/>
          </w:tcPr>
          <w:p>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pPr>
              <w:rPr>
                <w:rFonts w:hint="eastAsia" w:ascii="仿宋" w:hAnsi="仿宋" w:eastAsia="仿宋" w:cs="仿宋"/>
                <w:b w:val="0"/>
                <w:bCs w:val="0"/>
                <w:color w:val="auto"/>
                <w:sz w:val="24"/>
                <w:highlight w:val="none"/>
                <w:lang w:val="en-US" w:eastAsia="zh-CN"/>
              </w:rPr>
            </w:pPr>
          </w:p>
        </w:tc>
        <w:tc>
          <w:tcPr>
            <w:tcW w:w="1418" w:type="dxa"/>
            <w:vAlign w:val="top"/>
          </w:tcPr>
          <w:p>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pPr>
        <w:spacing w:line="360" w:lineRule="auto"/>
        <w:ind w:right="420"/>
        <w:jc w:val="both"/>
        <w:rPr>
          <w:rFonts w:hint="eastAsia" w:ascii="仿宋" w:hAnsi="仿宋" w:eastAsia="仿宋" w:cs="仿宋"/>
          <w:b/>
          <w:color w:val="auto"/>
          <w:kern w:val="0"/>
          <w:sz w:val="32"/>
          <w:szCs w:val="32"/>
          <w:highlight w:val="none"/>
        </w:rPr>
      </w:pPr>
      <w:r>
        <w:rPr>
          <w:rFonts w:hint="eastAsia" w:ascii="仿宋" w:hAnsi="仿宋" w:eastAsia="仿宋" w:cs="仿宋"/>
          <w:b/>
          <w:bCs/>
          <w:color w:val="auto"/>
          <w:sz w:val="24"/>
          <w:highlight w:val="none"/>
        </w:rPr>
        <w:t>2、招标文件中实质性要求必须明确响应。</w:t>
      </w:r>
    </w:p>
    <w:p>
      <w:pPr>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pStyle w:val="2"/>
        <w:rPr>
          <w:rFonts w:hint="eastAsia"/>
          <w:color w:val="auto"/>
          <w:highlight w:val="none"/>
        </w:rPr>
      </w:pPr>
    </w:p>
    <w:p>
      <w:pPr>
        <w:jc w:val="center"/>
        <w:rPr>
          <w:rFonts w:hint="eastAsia" w:ascii="仿宋" w:hAnsi="仿宋" w:eastAsia="仿宋" w:cs="仿宋"/>
          <w:b/>
          <w:color w:val="auto"/>
          <w:kern w:val="0"/>
          <w:sz w:val="32"/>
          <w:szCs w:val="32"/>
          <w:highlight w:val="none"/>
        </w:rPr>
      </w:pPr>
    </w:p>
    <w:p>
      <w:pPr>
        <w:widowControl/>
        <w:adjustRightInd/>
        <w:ind w:firstLine="1606" w:firstLineChars="500"/>
        <w:jc w:val="left"/>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pPr>
        <w:pStyle w:val="2"/>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02"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c>
          <w:tcPr>
            <w:tcW w:w="1088" w:type="dxa"/>
          </w:tcPr>
          <w:p>
            <w:pPr>
              <w:jc w:val="center"/>
              <w:rPr>
                <w:rFonts w:hint="eastAsia" w:ascii="仿宋" w:hAnsi="仿宋" w:eastAsia="仿宋" w:cs="仿宋"/>
                <w:b/>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tcPr>
          <w:p>
            <w:pPr>
              <w:jc w:val="center"/>
              <w:rPr>
                <w:rFonts w:hint="eastAsia" w:ascii="仿宋" w:hAnsi="仿宋" w:eastAsia="仿宋" w:cs="仿宋"/>
                <w:b/>
                <w:color w:val="auto"/>
                <w:kern w:val="0"/>
                <w:sz w:val="32"/>
                <w:szCs w:val="32"/>
                <w:highlight w:val="none"/>
              </w:rPr>
            </w:pPr>
          </w:p>
        </w:tc>
        <w:tc>
          <w:tcPr>
            <w:tcW w:w="3062" w:type="dxa"/>
          </w:tcPr>
          <w:p>
            <w:pPr>
              <w:jc w:val="center"/>
              <w:rPr>
                <w:rFonts w:hint="eastAsia" w:ascii="仿宋" w:hAnsi="仿宋" w:eastAsia="仿宋" w:cs="仿宋"/>
                <w:b/>
                <w:color w:val="auto"/>
                <w:kern w:val="0"/>
                <w:sz w:val="32"/>
                <w:szCs w:val="32"/>
                <w:highlight w:val="none"/>
              </w:rPr>
            </w:pPr>
          </w:p>
        </w:tc>
        <w:tc>
          <w:tcPr>
            <w:tcW w:w="1102" w:type="dxa"/>
          </w:tcPr>
          <w:p>
            <w:pPr>
              <w:jc w:val="center"/>
              <w:rPr>
                <w:rFonts w:hint="eastAsia" w:ascii="仿宋" w:hAnsi="仿宋" w:eastAsia="仿宋" w:cs="仿宋"/>
                <w:b/>
                <w:color w:val="auto"/>
                <w:kern w:val="0"/>
                <w:sz w:val="32"/>
                <w:szCs w:val="32"/>
                <w:highlight w:val="none"/>
              </w:rPr>
            </w:pPr>
          </w:p>
        </w:tc>
        <w:tc>
          <w:tcPr>
            <w:tcW w:w="1088"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tcPr>
          <w:p>
            <w:pPr>
              <w:jc w:val="center"/>
              <w:rPr>
                <w:rFonts w:hint="eastAsia" w:ascii="仿宋" w:hAnsi="仿宋" w:eastAsia="仿宋" w:cs="仿宋"/>
                <w:b/>
                <w:color w:val="auto"/>
                <w:kern w:val="0"/>
                <w:sz w:val="32"/>
                <w:szCs w:val="32"/>
                <w:highlight w:val="none"/>
              </w:rPr>
            </w:pPr>
          </w:p>
        </w:tc>
        <w:tc>
          <w:tcPr>
            <w:tcW w:w="3062" w:type="dxa"/>
          </w:tcPr>
          <w:p>
            <w:pPr>
              <w:jc w:val="center"/>
              <w:rPr>
                <w:rFonts w:hint="eastAsia" w:ascii="仿宋" w:hAnsi="仿宋" w:eastAsia="仿宋" w:cs="仿宋"/>
                <w:b/>
                <w:color w:val="auto"/>
                <w:kern w:val="0"/>
                <w:sz w:val="32"/>
                <w:szCs w:val="32"/>
                <w:highlight w:val="none"/>
              </w:rPr>
            </w:pPr>
          </w:p>
        </w:tc>
        <w:tc>
          <w:tcPr>
            <w:tcW w:w="1102" w:type="dxa"/>
          </w:tcPr>
          <w:p>
            <w:pPr>
              <w:jc w:val="center"/>
              <w:rPr>
                <w:rFonts w:hint="eastAsia" w:ascii="仿宋" w:hAnsi="仿宋" w:eastAsia="仿宋" w:cs="仿宋"/>
                <w:b/>
                <w:color w:val="auto"/>
                <w:kern w:val="0"/>
                <w:sz w:val="32"/>
                <w:szCs w:val="32"/>
                <w:highlight w:val="none"/>
              </w:rPr>
            </w:pPr>
          </w:p>
        </w:tc>
        <w:tc>
          <w:tcPr>
            <w:tcW w:w="1088"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tcPr>
          <w:p>
            <w:pPr>
              <w:jc w:val="center"/>
              <w:rPr>
                <w:rFonts w:hint="eastAsia" w:ascii="仿宋" w:hAnsi="仿宋" w:eastAsia="仿宋" w:cs="仿宋"/>
                <w:b/>
                <w:color w:val="auto"/>
                <w:kern w:val="0"/>
                <w:sz w:val="32"/>
                <w:szCs w:val="32"/>
                <w:highlight w:val="none"/>
              </w:rPr>
            </w:pPr>
          </w:p>
        </w:tc>
        <w:tc>
          <w:tcPr>
            <w:tcW w:w="3062" w:type="dxa"/>
          </w:tcPr>
          <w:p>
            <w:pPr>
              <w:jc w:val="center"/>
              <w:rPr>
                <w:rFonts w:hint="eastAsia" w:ascii="仿宋" w:hAnsi="仿宋" w:eastAsia="仿宋" w:cs="仿宋"/>
                <w:b/>
                <w:color w:val="auto"/>
                <w:kern w:val="0"/>
                <w:sz w:val="32"/>
                <w:szCs w:val="32"/>
                <w:highlight w:val="none"/>
              </w:rPr>
            </w:pPr>
          </w:p>
        </w:tc>
        <w:tc>
          <w:tcPr>
            <w:tcW w:w="1102" w:type="dxa"/>
          </w:tcPr>
          <w:p>
            <w:pPr>
              <w:jc w:val="center"/>
              <w:rPr>
                <w:rFonts w:hint="eastAsia" w:ascii="仿宋" w:hAnsi="仿宋" w:eastAsia="仿宋" w:cs="仿宋"/>
                <w:b/>
                <w:color w:val="auto"/>
                <w:kern w:val="0"/>
                <w:sz w:val="32"/>
                <w:szCs w:val="32"/>
                <w:highlight w:val="none"/>
              </w:rPr>
            </w:pPr>
          </w:p>
        </w:tc>
        <w:tc>
          <w:tcPr>
            <w:tcW w:w="1088"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2.本表格所反映的偏离情况与“符合性审查资料”、“评标标准相应的商务技术资料”不一致的，以“符合性审查资料”、“评标标准相应的商务技术资料”为准。</w:t>
      </w:r>
    </w:p>
    <w:p>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3.投标人须保证：除商务技术偏离表列出的偏离外，投标人响应招标文件的全部非实质性要求。</w:t>
      </w:r>
    </w:p>
    <w:p>
      <w:pPr>
        <w:pStyle w:val="2"/>
        <w:rPr>
          <w:rFonts w:hint="eastAsia" w:ascii="仿宋" w:hAnsi="仿宋" w:eastAsia="仿宋" w:cs="仿宋"/>
          <w:color w:val="auto"/>
          <w:highlight w:val="none"/>
          <w:lang w:val="en-US" w:eastAsia="zh-CN"/>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杭州市城市水设施和河道保护管理中心、浙江耀信工程咨询有限公司</w:t>
      </w:r>
      <w:r>
        <w:rPr>
          <w:rFonts w:hint="eastAsia" w:ascii="仿宋" w:hAnsi="仿宋" w:eastAsia="仿宋" w:cs="仿宋"/>
          <w:color w:val="auto"/>
          <w:sz w:val="24"/>
          <w:highlight w:val="none"/>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17" w:right="1417" w:bottom="1417" w:left="1417"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numPr>
          <w:ilvl w:val="0"/>
          <w:numId w:val="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）中小企业声明函………………………………………………………………（页码）</w:t>
      </w:r>
    </w:p>
    <w:p>
      <w:pPr>
        <w:pStyle w:val="968"/>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17" w:right="1417" w:bottom="1417" w:left="1417"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杭州市城市水设施和河道保护管理中心、浙江耀信工程咨询有限公司</w:t>
      </w:r>
      <w:r>
        <w:rPr>
          <w:rFonts w:hint="eastAsia" w:ascii="仿宋" w:hAnsi="仿宋" w:eastAsia="仿宋" w:cs="仿宋"/>
          <w:color w:val="auto"/>
          <w:sz w:val="24"/>
          <w:highlight w:val="none"/>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数量</w:t>
            </w:r>
            <w:r>
              <w:rPr>
                <w:rFonts w:hint="eastAsia" w:ascii="仿宋" w:hAnsi="仿宋" w:eastAsia="仿宋" w:cs="仿宋"/>
                <w:b/>
                <w:color w:val="auto"/>
                <w:sz w:val="24"/>
                <w:highlight w:val="none"/>
                <w:lang w:eastAsia="zh-CN"/>
              </w:rPr>
              <w:t>（吨）</w:t>
            </w:r>
          </w:p>
        </w:tc>
        <w:tc>
          <w:tcPr>
            <w:tcW w:w="1559" w:type="dxa"/>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（元）</w:t>
            </w:r>
          </w:p>
        </w:tc>
        <w:tc>
          <w:tcPr>
            <w:tcW w:w="1984" w:type="dxa"/>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合计</w:t>
            </w:r>
            <w:r>
              <w:rPr>
                <w:rFonts w:hint="eastAsia" w:ascii="仿宋" w:hAnsi="仿宋" w:eastAsia="仿宋" w:cs="仿宋"/>
                <w:b/>
                <w:color w:val="auto"/>
                <w:sz w:val="24"/>
                <w:highlight w:val="none"/>
                <w:lang w:eastAsia="zh-CN"/>
              </w:rPr>
              <w:t>（元）</w:t>
            </w:r>
          </w:p>
        </w:tc>
        <w:tc>
          <w:tcPr>
            <w:tcW w:w="3119"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Cs w:val="21"/>
                <w:highlight w:val="none"/>
              </w:rPr>
              <w:t>聚氯化铝</w:t>
            </w: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3900</w:t>
            </w: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（删除）部分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p>
    <w:p>
      <w:pPr>
        <w:spacing w:line="360" w:lineRule="auto"/>
        <w:ind w:firstLine="482" w:firstLineChars="200"/>
        <w:rPr>
          <w:rFonts w:hint="eastAsia" w:ascii="仿宋" w:hAnsi="仿宋" w:eastAsia="仿宋" w:cs="仿宋"/>
          <w:b/>
          <w:color w:val="auto"/>
          <w:kern w:val="0"/>
          <w:sz w:val="24"/>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7" w:right="1417" w:bottom="1417" w:left="1417"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rPr>
          <w:rFonts w:hint="eastAsia"/>
          <w:color w:val="auto"/>
          <w:highlight w:val="none"/>
        </w:rPr>
      </w:pPr>
      <w:r>
        <w:rPr>
          <w:rFonts w:hint="eastAsia"/>
          <w:color w:val="auto"/>
          <w:highlight w:val="none"/>
        </w:rPr>
        <w:br w:type="page"/>
      </w:r>
    </w:p>
    <w:p>
      <w:pPr>
        <w:pStyle w:val="2"/>
        <w:rPr>
          <w:rFonts w:hint="eastAsia"/>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240" w:lineRule="auto"/>
        <w:ind w:right="0"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w:t>
      </w:r>
    </w:p>
    <w:p>
      <w:pPr>
        <w:spacing w:line="240" w:lineRule="auto"/>
        <w:ind w:right="0" w:firstLine="240" w:firstLineChars="100"/>
        <w:rPr>
          <w:rFonts w:hint="eastAsia" w:ascii="仿宋" w:hAnsi="仿宋" w:eastAsia="仿宋" w:cs="仿宋"/>
          <w:i w:val="0"/>
          <w:caps w:val="0"/>
          <w:color w:val="auto"/>
          <w:spacing w:val="0"/>
          <w:sz w:val="24"/>
          <w:szCs w:val="24"/>
          <w:highlight w:val="none"/>
          <w:shd w:val="clear"/>
        </w:rPr>
      </w:pPr>
      <w:r>
        <w:rPr>
          <w:rFonts w:hint="eastAsia" w:ascii="仿宋" w:hAnsi="仿宋" w:eastAsia="仿宋" w:cs="仿宋"/>
          <w:i w:val="0"/>
          <w:caps w:val="0"/>
          <w:color w:val="auto"/>
          <w:spacing w:val="0"/>
          <w:sz w:val="24"/>
          <w:szCs w:val="24"/>
          <w:highlight w:val="none"/>
          <w:shd w:val="clear"/>
          <w:lang w:eastAsia="zh-CN"/>
        </w:rPr>
        <w:t>②</w:t>
      </w:r>
      <w:r>
        <w:rPr>
          <w:rFonts w:hint="eastAsia" w:ascii="仿宋" w:hAnsi="仿宋" w:eastAsia="仿宋" w:cs="仿宋"/>
          <w:i w:val="0"/>
          <w:caps w:val="0"/>
          <w:color w:val="auto"/>
          <w:spacing w:val="0"/>
          <w:sz w:val="24"/>
          <w:szCs w:val="24"/>
          <w:highlight w:val="none"/>
          <w:shd w:val="clear"/>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pPr>
        <w:spacing w:line="240" w:lineRule="auto"/>
        <w:ind w:right="0" w:firstLine="240" w:firstLineChars="100"/>
        <w:rPr>
          <w:rFonts w:hint="eastAsia" w:ascii="仿宋" w:hAnsi="仿宋" w:eastAsia="仿宋" w:cs="仿宋"/>
          <w:color w:val="auto"/>
          <w:sz w:val="24"/>
          <w:highlight w:val="none"/>
        </w:rPr>
      </w:pPr>
      <w:r>
        <w:rPr>
          <w:rFonts w:hint="eastAsia" w:ascii="仿宋" w:hAnsi="仿宋" w:eastAsia="仿宋" w:cs="仿宋"/>
          <w:i w:val="0"/>
          <w:caps w:val="0"/>
          <w:color w:val="auto"/>
          <w:spacing w:val="0"/>
          <w:sz w:val="24"/>
          <w:szCs w:val="24"/>
          <w:highlight w:val="none"/>
          <w:shd w:val="clear"/>
          <w:lang w:eastAsia="zh-CN"/>
        </w:rPr>
        <w:t>③</w:t>
      </w:r>
      <w:r>
        <w:rPr>
          <w:rFonts w:hint="eastAsia" w:ascii="仿宋" w:hAnsi="仿宋" w:eastAsia="仿宋" w:cs="仿宋"/>
          <w:color w:val="auto"/>
          <w:sz w:val="24"/>
          <w:highlight w:val="none"/>
          <w:lang w:val="en-US" w:eastAsia="zh-CN"/>
        </w:rPr>
        <w:t>《中小企业声明函》填写企业类型错误或者未填写企业类型的，投标无效。</w:t>
      </w:r>
      <w:r>
        <w:rPr>
          <w:rFonts w:hint="eastAsia" w:ascii="仿宋" w:hAnsi="仿宋" w:eastAsia="仿宋" w:cs="仿宋"/>
          <w:color w:val="auto"/>
          <w:sz w:val="24"/>
          <w:highlight w:val="none"/>
        </w:rPr>
        <w:t>。</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417" w:right="1417" w:bottom="141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91899912"/>
    <w:bookmarkStart w:id="557" w:name="_Toc36110187"/>
    <w:bookmarkStart w:id="558" w:name="_Toc131845147"/>
    <w:bookmarkStart w:id="559" w:name="_Toc164085800"/>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none" w:color="auto" w:sz="0" w:space="0"/>
        <w:left w:val="none" w:color="auto" w:sz="0" w:space="0"/>
        <w:bottom w:val="none" w:color="auto" w:sz="0" w:space="4"/>
        <w:right w:val="none" w:color="auto" w:sz="0" w:space="0"/>
        <w:between w:val="none" w:color="auto" w:sz="0" w:space="0"/>
      </w:pBdr>
      <w:jc w:val="right"/>
      <w:rPr>
        <w:rFonts w:ascii="仿宋_GB2312" w:eastAsia="仿宋_GB2312"/>
        <w:b w:val="0"/>
        <w:i/>
        <w:sz w:val="18"/>
        <w:u w:val="single"/>
        <w:lang w:val="en-US"/>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EF0B"/>
    <w:multiLevelType w:val="singleLevel"/>
    <w:tmpl w:val="87E2EF0B"/>
    <w:lvl w:ilvl="0" w:tentative="0">
      <w:start w:val="2"/>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2FC1AFB0"/>
    <w:multiLevelType w:val="singleLevel"/>
    <w:tmpl w:val="2FC1AFB0"/>
    <w:lvl w:ilvl="0" w:tentative="0">
      <w:start w:val="3"/>
      <w:numFmt w:val="chineseCounting"/>
      <w:suff w:val="space"/>
      <w:lvlText w:val="第%1部分"/>
      <w:lvlJc w:val="left"/>
      <w:rPr>
        <w:rFonts w:hint="eastAsia"/>
      </w:rPr>
    </w:lvl>
  </w:abstractNum>
  <w:abstractNum w:abstractNumId="3">
    <w:nsid w:val="43204766"/>
    <w:multiLevelType w:val="singleLevel"/>
    <w:tmpl w:val="43204766"/>
    <w:lvl w:ilvl="0" w:tentative="0">
      <w:start w:val="4"/>
      <w:numFmt w:val="chineseCounting"/>
      <w:suff w:val="space"/>
      <w:lvlText w:val="第%1部分"/>
      <w:lvlJc w:val="left"/>
      <w:rPr>
        <w:rFonts w:hint="eastAsia"/>
      </w:rPr>
    </w:lvl>
  </w:abstractNum>
  <w:abstractNum w:abstractNumId="4">
    <w:nsid w:val="70267AC0"/>
    <w:multiLevelType w:val="singleLevel"/>
    <w:tmpl w:val="70267AC0"/>
    <w:lvl w:ilvl="0" w:tentative="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ZWFmNjM3OWM2Zjc3ZjEyMTM1YzJkMmI3ZDA4Y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BF77F6"/>
    <w:rsid w:val="02DC4B10"/>
    <w:rsid w:val="02DD76CE"/>
    <w:rsid w:val="02F36323"/>
    <w:rsid w:val="02F5619C"/>
    <w:rsid w:val="0326446A"/>
    <w:rsid w:val="032D5555"/>
    <w:rsid w:val="036634D2"/>
    <w:rsid w:val="03BD390D"/>
    <w:rsid w:val="03DD35E4"/>
    <w:rsid w:val="04076900"/>
    <w:rsid w:val="041A5A3B"/>
    <w:rsid w:val="042311BA"/>
    <w:rsid w:val="042B157A"/>
    <w:rsid w:val="048F763B"/>
    <w:rsid w:val="049F330E"/>
    <w:rsid w:val="04AA775C"/>
    <w:rsid w:val="04AF1889"/>
    <w:rsid w:val="04BA0275"/>
    <w:rsid w:val="04F66F48"/>
    <w:rsid w:val="05251E14"/>
    <w:rsid w:val="05A16594"/>
    <w:rsid w:val="05A7762D"/>
    <w:rsid w:val="05DD12E7"/>
    <w:rsid w:val="060D081A"/>
    <w:rsid w:val="060E5941"/>
    <w:rsid w:val="06110FAF"/>
    <w:rsid w:val="06493CA7"/>
    <w:rsid w:val="065A6178"/>
    <w:rsid w:val="066F1CF3"/>
    <w:rsid w:val="0678706D"/>
    <w:rsid w:val="06930BB8"/>
    <w:rsid w:val="06AA3F53"/>
    <w:rsid w:val="06F06E80"/>
    <w:rsid w:val="070B300A"/>
    <w:rsid w:val="07245D42"/>
    <w:rsid w:val="07264C62"/>
    <w:rsid w:val="0779354C"/>
    <w:rsid w:val="08061376"/>
    <w:rsid w:val="0827690C"/>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50C7C"/>
    <w:rsid w:val="09A92330"/>
    <w:rsid w:val="09B06B87"/>
    <w:rsid w:val="09C13146"/>
    <w:rsid w:val="09E04166"/>
    <w:rsid w:val="0A1C0718"/>
    <w:rsid w:val="0A336EEA"/>
    <w:rsid w:val="0A3E7710"/>
    <w:rsid w:val="0A5B7E63"/>
    <w:rsid w:val="0AA374A5"/>
    <w:rsid w:val="0AAB7649"/>
    <w:rsid w:val="0ABC5606"/>
    <w:rsid w:val="0B2D4B3A"/>
    <w:rsid w:val="0B30404E"/>
    <w:rsid w:val="0B4C6C14"/>
    <w:rsid w:val="0B547599"/>
    <w:rsid w:val="0B631A88"/>
    <w:rsid w:val="0B683D45"/>
    <w:rsid w:val="0B7F3F11"/>
    <w:rsid w:val="0B884417"/>
    <w:rsid w:val="0BF6188C"/>
    <w:rsid w:val="0BF73C91"/>
    <w:rsid w:val="0C035AA8"/>
    <w:rsid w:val="0C123C69"/>
    <w:rsid w:val="0C170175"/>
    <w:rsid w:val="0C571A41"/>
    <w:rsid w:val="0C5C1171"/>
    <w:rsid w:val="0C5E1CBC"/>
    <w:rsid w:val="0C615B50"/>
    <w:rsid w:val="0C8445DA"/>
    <w:rsid w:val="0C87121B"/>
    <w:rsid w:val="0CC007F7"/>
    <w:rsid w:val="0CC617AC"/>
    <w:rsid w:val="0CE618DF"/>
    <w:rsid w:val="0CFE707A"/>
    <w:rsid w:val="0D063BDA"/>
    <w:rsid w:val="0D08375F"/>
    <w:rsid w:val="0D0A7810"/>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23630"/>
    <w:rsid w:val="0F4958DC"/>
    <w:rsid w:val="0F515DF7"/>
    <w:rsid w:val="0F596BA8"/>
    <w:rsid w:val="0F6248D2"/>
    <w:rsid w:val="0F693536"/>
    <w:rsid w:val="0F7B0511"/>
    <w:rsid w:val="0F7B76D9"/>
    <w:rsid w:val="0F816ACD"/>
    <w:rsid w:val="0F9832DB"/>
    <w:rsid w:val="0FBF3FD2"/>
    <w:rsid w:val="0FBF7FF3"/>
    <w:rsid w:val="0FFE195E"/>
    <w:rsid w:val="10646583"/>
    <w:rsid w:val="107D4B15"/>
    <w:rsid w:val="108A3C80"/>
    <w:rsid w:val="109220A6"/>
    <w:rsid w:val="10C26171"/>
    <w:rsid w:val="10EA1EE2"/>
    <w:rsid w:val="10F33360"/>
    <w:rsid w:val="10FC16EA"/>
    <w:rsid w:val="110F1D40"/>
    <w:rsid w:val="11266F33"/>
    <w:rsid w:val="1173012A"/>
    <w:rsid w:val="118963A1"/>
    <w:rsid w:val="11C6522A"/>
    <w:rsid w:val="11E104CC"/>
    <w:rsid w:val="11E20309"/>
    <w:rsid w:val="12255233"/>
    <w:rsid w:val="123F2207"/>
    <w:rsid w:val="12530213"/>
    <w:rsid w:val="127723A9"/>
    <w:rsid w:val="12862074"/>
    <w:rsid w:val="12883966"/>
    <w:rsid w:val="129E45B4"/>
    <w:rsid w:val="12D81596"/>
    <w:rsid w:val="13072A44"/>
    <w:rsid w:val="135F4BE2"/>
    <w:rsid w:val="139B11CB"/>
    <w:rsid w:val="139B1A0A"/>
    <w:rsid w:val="139D25C7"/>
    <w:rsid w:val="13BF3CE4"/>
    <w:rsid w:val="141008D8"/>
    <w:rsid w:val="14125FE6"/>
    <w:rsid w:val="146D271E"/>
    <w:rsid w:val="146F2E2A"/>
    <w:rsid w:val="14982588"/>
    <w:rsid w:val="149A5AD9"/>
    <w:rsid w:val="14A7619D"/>
    <w:rsid w:val="150536C3"/>
    <w:rsid w:val="150C1963"/>
    <w:rsid w:val="151447A0"/>
    <w:rsid w:val="154A6454"/>
    <w:rsid w:val="15762120"/>
    <w:rsid w:val="159054F4"/>
    <w:rsid w:val="162E2871"/>
    <w:rsid w:val="16A8729C"/>
    <w:rsid w:val="16B33777"/>
    <w:rsid w:val="16BC70A7"/>
    <w:rsid w:val="16C6339E"/>
    <w:rsid w:val="172F2D79"/>
    <w:rsid w:val="17557BEF"/>
    <w:rsid w:val="17945A40"/>
    <w:rsid w:val="17D349C1"/>
    <w:rsid w:val="18244F26"/>
    <w:rsid w:val="1830729E"/>
    <w:rsid w:val="1870062C"/>
    <w:rsid w:val="18817102"/>
    <w:rsid w:val="18830A15"/>
    <w:rsid w:val="18852B28"/>
    <w:rsid w:val="188B5321"/>
    <w:rsid w:val="196F567B"/>
    <w:rsid w:val="197A1125"/>
    <w:rsid w:val="19932372"/>
    <w:rsid w:val="19A20DD5"/>
    <w:rsid w:val="19AE03F1"/>
    <w:rsid w:val="19CC0273"/>
    <w:rsid w:val="1A071A03"/>
    <w:rsid w:val="1A1F16AE"/>
    <w:rsid w:val="1A2553F4"/>
    <w:rsid w:val="1A3B5C77"/>
    <w:rsid w:val="1A954C6D"/>
    <w:rsid w:val="1A984BAD"/>
    <w:rsid w:val="1AB8220E"/>
    <w:rsid w:val="1ACA5123"/>
    <w:rsid w:val="1AE4166C"/>
    <w:rsid w:val="1AF06CFB"/>
    <w:rsid w:val="1AF11B8D"/>
    <w:rsid w:val="1B11359C"/>
    <w:rsid w:val="1B245FF1"/>
    <w:rsid w:val="1B2A271F"/>
    <w:rsid w:val="1B530544"/>
    <w:rsid w:val="1B6038E5"/>
    <w:rsid w:val="1B713184"/>
    <w:rsid w:val="1BA209CF"/>
    <w:rsid w:val="1BB4777D"/>
    <w:rsid w:val="1BD75AB8"/>
    <w:rsid w:val="1C0459C2"/>
    <w:rsid w:val="1C1B3B4A"/>
    <w:rsid w:val="1C88086E"/>
    <w:rsid w:val="1D266CE1"/>
    <w:rsid w:val="1D3963AF"/>
    <w:rsid w:val="1D6A673C"/>
    <w:rsid w:val="1D9247AE"/>
    <w:rsid w:val="1DB567EC"/>
    <w:rsid w:val="1DF51A98"/>
    <w:rsid w:val="1E051CD9"/>
    <w:rsid w:val="1E197963"/>
    <w:rsid w:val="1E3D060F"/>
    <w:rsid w:val="1E3F7D2E"/>
    <w:rsid w:val="1E4134E4"/>
    <w:rsid w:val="1E5062B3"/>
    <w:rsid w:val="1E523514"/>
    <w:rsid w:val="1E714A66"/>
    <w:rsid w:val="1E802593"/>
    <w:rsid w:val="1E8B6156"/>
    <w:rsid w:val="1EA703CC"/>
    <w:rsid w:val="1EB7330C"/>
    <w:rsid w:val="1EDC6725"/>
    <w:rsid w:val="1F0A0FF3"/>
    <w:rsid w:val="1F5771FF"/>
    <w:rsid w:val="1F93602B"/>
    <w:rsid w:val="1FD52574"/>
    <w:rsid w:val="1FE868A9"/>
    <w:rsid w:val="20034907"/>
    <w:rsid w:val="20173E4B"/>
    <w:rsid w:val="204E48BC"/>
    <w:rsid w:val="208921B3"/>
    <w:rsid w:val="20973DEB"/>
    <w:rsid w:val="20B26522"/>
    <w:rsid w:val="20B44310"/>
    <w:rsid w:val="211116EB"/>
    <w:rsid w:val="21330599"/>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213A15"/>
    <w:rsid w:val="245375B0"/>
    <w:rsid w:val="24561911"/>
    <w:rsid w:val="24642C0A"/>
    <w:rsid w:val="24B22173"/>
    <w:rsid w:val="24B95AD9"/>
    <w:rsid w:val="24BE24DA"/>
    <w:rsid w:val="24CF5825"/>
    <w:rsid w:val="24D663E6"/>
    <w:rsid w:val="24D77F2B"/>
    <w:rsid w:val="24E64094"/>
    <w:rsid w:val="25017F34"/>
    <w:rsid w:val="258B00E2"/>
    <w:rsid w:val="25A917A6"/>
    <w:rsid w:val="25BE27CC"/>
    <w:rsid w:val="25E42F4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8051AE"/>
    <w:rsid w:val="289F7086"/>
    <w:rsid w:val="28C32028"/>
    <w:rsid w:val="28CC490F"/>
    <w:rsid w:val="28DE40AA"/>
    <w:rsid w:val="291A1933"/>
    <w:rsid w:val="29345E77"/>
    <w:rsid w:val="294C65AD"/>
    <w:rsid w:val="29806583"/>
    <w:rsid w:val="298B3C4C"/>
    <w:rsid w:val="29F26D24"/>
    <w:rsid w:val="2A15033F"/>
    <w:rsid w:val="2A1662C1"/>
    <w:rsid w:val="2A1C7367"/>
    <w:rsid w:val="2A2815FA"/>
    <w:rsid w:val="2A6D6092"/>
    <w:rsid w:val="2A7D76B4"/>
    <w:rsid w:val="2AD30360"/>
    <w:rsid w:val="2B3127E7"/>
    <w:rsid w:val="2B437463"/>
    <w:rsid w:val="2B7807EE"/>
    <w:rsid w:val="2BA50BF7"/>
    <w:rsid w:val="2BB46F1D"/>
    <w:rsid w:val="2BBF00EC"/>
    <w:rsid w:val="2BC37CFD"/>
    <w:rsid w:val="2BD5237F"/>
    <w:rsid w:val="2BE536CE"/>
    <w:rsid w:val="2BE758D9"/>
    <w:rsid w:val="2BF346BB"/>
    <w:rsid w:val="2C09049E"/>
    <w:rsid w:val="2C0A653C"/>
    <w:rsid w:val="2C191F85"/>
    <w:rsid w:val="2C2E4F21"/>
    <w:rsid w:val="2C563FAB"/>
    <w:rsid w:val="2CA379A5"/>
    <w:rsid w:val="2CE82D6F"/>
    <w:rsid w:val="2D343236"/>
    <w:rsid w:val="2D575011"/>
    <w:rsid w:val="2DB72CF5"/>
    <w:rsid w:val="2DD15014"/>
    <w:rsid w:val="2DE61657"/>
    <w:rsid w:val="2DF72DE4"/>
    <w:rsid w:val="2E0220AF"/>
    <w:rsid w:val="2E13521A"/>
    <w:rsid w:val="2E4B082A"/>
    <w:rsid w:val="2E5D4E86"/>
    <w:rsid w:val="2E5D790B"/>
    <w:rsid w:val="2E9A3C18"/>
    <w:rsid w:val="2EBB0FEE"/>
    <w:rsid w:val="2EC63002"/>
    <w:rsid w:val="2F084067"/>
    <w:rsid w:val="2F0A6B38"/>
    <w:rsid w:val="2F946CCB"/>
    <w:rsid w:val="2FD25781"/>
    <w:rsid w:val="2FDC745C"/>
    <w:rsid w:val="2FFD7934"/>
    <w:rsid w:val="30733ACD"/>
    <w:rsid w:val="308C3862"/>
    <w:rsid w:val="309379D8"/>
    <w:rsid w:val="30A270F7"/>
    <w:rsid w:val="30C60BE4"/>
    <w:rsid w:val="30DF1478"/>
    <w:rsid w:val="30EC586F"/>
    <w:rsid w:val="317E3C20"/>
    <w:rsid w:val="319C6071"/>
    <w:rsid w:val="31A6555A"/>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97199"/>
    <w:rsid w:val="34950E68"/>
    <w:rsid w:val="34986E94"/>
    <w:rsid w:val="34AF62C9"/>
    <w:rsid w:val="34CB4388"/>
    <w:rsid w:val="34E742B8"/>
    <w:rsid w:val="34FA6E12"/>
    <w:rsid w:val="354D7158"/>
    <w:rsid w:val="358D5588"/>
    <w:rsid w:val="35B0125C"/>
    <w:rsid w:val="35B7130C"/>
    <w:rsid w:val="363A3B40"/>
    <w:rsid w:val="365302AE"/>
    <w:rsid w:val="36607A0A"/>
    <w:rsid w:val="366E227C"/>
    <w:rsid w:val="366F2E0D"/>
    <w:rsid w:val="367B6A5C"/>
    <w:rsid w:val="36A74ADA"/>
    <w:rsid w:val="36AD60D5"/>
    <w:rsid w:val="36B224F9"/>
    <w:rsid w:val="36EC0CC9"/>
    <w:rsid w:val="373F410B"/>
    <w:rsid w:val="374B2E2B"/>
    <w:rsid w:val="37EE7094"/>
    <w:rsid w:val="38296C89"/>
    <w:rsid w:val="383002EB"/>
    <w:rsid w:val="38586797"/>
    <w:rsid w:val="385D15DF"/>
    <w:rsid w:val="38984FF8"/>
    <w:rsid w:val="38BC0149"/>
    <w:rsid w:val="38D87D1C"/>
    <w:rsid w:val="38EC526E"/>
    <w:rsid w:val="390D6C3A"/>
    <w:rsid w:val="39636459"/>
    <w:rsid w:val="396B7F6C"/>
    <w:rsid w:val="39A63AF2"/>
    <w:rsid w:val="39B417A9"/>
    <w:rsid w:val="39FC5695"/>
    <w:rsid w:val="3A006D8E"/>
    <w:rsid w:val="3A3651E5"/>
    <w:rsid w:val="3A744481"/>
    <w:rsid w:val="3A80103E"/>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F2FF1"/>
    <w:rsid w:val="3E0D48F6"/>
    <w:rsid w:val="3E1868B4"/>
    <w:rsid w:val="3E196450"/>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A40DF"/>
    <w:rsid w:val="406E1CAE"/>
    <w:rsid w:val="40A0133A"/>
    <w:rsid w:val="40C31A53"/>
    <w:rsid w:val="40E8793D"/>
    <w:rsid w:val="40FF545D"/>
    <w:rsid w:val="410067C8"/>
    <w:rsid w:val="41287D39"/>
    <w:rsid w:val="414A4154"/>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61CCF"/>
    <w:rsid w:val="43DE09EE"/>
    <w:rsid w:val="44002FAD"/>
    <w:rsid w:val="449101DD"/>
    <w:rsid w:val="44DE1391"/>
    <w:rsid w:val="451B225C"/>
    <w:rsid w:val="452410C9"/>
    <w:rsid w:val="45317DFB"/>
    <w:rsid w:val="453265E1"/>
    <w:rsid w:val="456D3CE4"/>
    <w:rsid w:val="4579042C"/>
    <w:rsid w:val="457F0571"/>
    <w:rsid w:val="45851176"/>
    <w:rsid w:val="45C63B94"/>
    <w:rsid w:val="460E7DA5"/>
    <w:rsid w:val="46107DEC"/>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DC65F1"/>
    <w:rsid w:val="48E37AAB"/>
    <w:rsid w:val="48FD4B4C"/>
    <w:rsid w:val="490A68E0"/>
    <w:rsid w:val="491055FE"/>
    <w:rsid w:val="493F3E72"/>
    <w:rsid w:val="495F5B3E"/>
    <w:rsid w:val="496F77D7"/>
    <w:rsid w:val="497654FD"/>
    <w:rsid w:val="49B64211"/>
    <w:rsid w:val="49D56585"/>
    <w:rsid w:val="49F6167F"/>
    <w:rsid w:val="4A064FA0"/>
    <w:rsid w:val="4A16615C"/>
    <w:rsid w:val="4A4424D7"/>
    <w:rsid w:val="4A4D25BF"/>
    <w:rsid w:val="4AB82D0F"/>
    <w:rsid w:val="4AEB7664"/>
    <w:rsid w:val="4AFD7C19"/>
    <w:rsid w:val="4B0567D1"/>
    <w:rsid w:val="4B236AAE"/>
    <w:rsid w:val="4B707271"/>
    <w:rsid w:val="4B9739F7"/>
    <w:rsid w:val="4BEE2503"/>
    <w:rsid w:val="4C245A30"/>
    <w:rsid w:val="4C8E6B2A"/>
    <w:rsid w:val="4C910E89"/>
    <w:rsid w:val="4CA12ADC"/>
    <w:rsid w:val="4CB6685F"/>
    <w:rsid w:val="4CC367FE"/>
    <w:rsid w:val="4D077F3C"/>
    <w:rsid w:val="4D123355"/>
    <w:rsid w:val="4D2A3B31"/>
    <w:rsid w:val="4D312C52"/>
    <w:rsid w:val="4D573E80"/>
    <w:rsid w:val="4D905305"/>
    <w:rsid w:val="4D964A72"/>
    <w:rsid w:val="4D9C1254"/>
    <w:rsid w:val="4E793892"/>
    <w:rsid w:val="4E800872"/>
    <w:rsid w:val="4EC569ED"/>
    <w:rsid w:val="4ED50EA1"/>
    <w:rsid w:val="4EDA5261"/>
    <w:rsid w:val="4EEC050C"/>
    <w:rsid w:val="4F104EC3"/>
    <w:rsid w:val="4F17362A"/>
    <w:rsid w:val="4F47354A"/>
    <w:rsid w:val="4F6665FD"/>
    <w:rsid w:val="4F911C54"/>
    <w:rsid w:val="4FD77571"/>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0541F"/>
    <w:rsid w:val="51B7396D"/>
    <w:rsid w:val="51D6312E"/>
    <w:rsid w:val="51DC2BA6"/>
    <w:rsid w:val="520168A7"/>
    <w:rsid w:val="522E4CC3"/>
    <w:rsid w:val="5244713B"/>
    <w:rsid w:val="52615633"/>
    <w:rsid w:val="526F4DE4"/>
    <w:rsid w:val="527A38E1"/>
    <w:rsid w:val="52977FD4"/>
    <w:rsid w:val="52A25790"/>
    <w:rsid w:val="52A96B6F"/>
    <w:rsid w:val="52AA258F"/>
    <w:rsid w:val="52B45975"/>
    <w:rsid w:val="52D94AA4"/>
    <w:rsid w:val="52EA3A62"/>
    <w:rsid w:val="52F50BB8"/>
    <w:rsid w:val="52FC0719"/>
    <w:rsid w:val="53097272"/>
    <w:rsid w:val="531E35BE"/>
    <w:rsid w:val="53544462"/>
    <w:rsid w:val="5397158E"/>
    <w:rsid w:val="54013861"/>
    <w:rsid w:val="54487265"/>
    <w:rsid w:val="544D6070"/>
    <w:rsid w:val="544E673D"/>
    <w:rsid w:val="54605E1E"/>
    <w:rsid w:val="54B3506A"/>
    <w:rsid w:val="54CA0D16"/>
    <w:rsid w:val="54DD4057"/>
    <w:rsid w:val="54E24C04"/>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6E5A4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8E45767"/>
    <w:rsid w:val="59166304"/>
    <w:rsid w:val="595E1678"/>
    <w:rsid w:val="596D5BD4"/>
    <w:rsid w:val="597E3DD8"/>
    <w:rsid w:val="59B051B2"/>
    <w:rsid w:val="59F80043"/>
    <w:rsid w:val="5A09252F"/>
    <w:rsid w:val="5A0B2778"/>
    <w:rsid w:val="5A2A7C7B"/>
    <w:rsid w:val="5A3E2560"/>
    <w:rsid w:val="5A5D3B6E"/>
    <w:rsid w:val="5A637A76"/>
    <w:rsid w:val="5A6D33BA"/>
    <w:rsid w:val="5A792B1F"/>
    <w:rsid w:val="5A874767"/>
    <w:rsid w:val="5AA85BE2"/>
    <w:rsid w:val="5AAD6F28"/>
    <w:rsid w:val="5AC82CF9"/>
    <w:rsid w:val="5AD63A24"/>
    <w:rsid w:val="5AF21A23"/>
    <w:rsid w:val="5B2513F5"/>
    <w:rsid w:val="5B2E1A1D"/>
    <w:rsid w:val="5B843A1C"/>
    <w:rsid w:val="5B85046A"/>
    <w:rsid w:val="5B873E3F"/>
    <w:rsid w:val="5C02690E"/>
    <w:rsid w:val="5C196DA7"/>
    <w:rsid w:val="5C2A048C"/>
    <w:rsid w:val="5C80234E"/>
    <w:rsid w:val="5C8A680C"/>
    <w:rsid w:val="5CAD347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017DC"/>
    <w:rsid w:val="5EF13143"/>
    <w:rsid w:val="5EFC7377"/>
    <w:rsid w:val="5F06174D"/>
    <w:rsid w:val="5F3A3602"/>
    <w:rsid w:val="5F45733B"/>
    <w:rsid w:val="5F6277C6"/>
    <w:rsid w:val="5F6D0B1D"/>
    <w:rsid w:val="5F8D0B82"/>
    <w:rsid w:val="5FCC5339"/>
    <w:rsid w:val="5FD9149A"/>
    <w:rsid w:val="5FE34A5B"/>
    <w:rsid w:val="5FE377F5"/>
    <w:rsid w:val="5FFE1E36"/>
    <w:rsid w:val="60232584"/>
    <w:rsid w:val="603A6047"/>
    <w:rsid w:val="607330CE"/>
    <w:rsid w:val="60825176"/>
    <w:rsid w:val="609F2AC4"/>
    <w:rsid w:val="60FA2EE8"/>
    <w:rsid w:val="61054A27"/>
    <w:rsid w:val="610A52BC"/>
    <w:rsid w:val="611D2366"/>
    <w:rsid w:val="61421856"/>
    <w:rsid w:val="615227C4"/>
    <w:rsid w:val="6157509D"/>
    <w:rsid w:val="61654E3F"/>
    <w:rsid w:val="6182292A"/>
    <w:rsid w:val="619F7F92"/>
    <w:rsid w:val="61F94C26"/>
    <w:rsid w:val="62000E56"/>
    <w:rsid w:val="624F3E49"/>
    <w:rsid w:val="62632286"/>
    <w:rsid w:val="62885958"/>
    <w:rsid w:val="62BB1B06"/>
    <w:rsid w:val="62F40B65"/>
    <w:rsid w:val="62FC2CFE"/>
    <w:rsid w:val="63024505"/>
    <w:rsid w:val="635600A5"/>
    <w:rsid w:val="635B1DB5"/>
    <w:rsid w:val="63711FED"/>
    <w:rsid w:val="63880DDC"/>
    <w:rsid w:val="638D750D"/>
    <w:rsid w:val="63AC6CC0"/>
    <w:rsid w:val="63AE1A35"/>
    <w:rsid w:val="64055776"/>
    <w:rsid w:val="64240056"/>
    <w:rsid w:val="643E143A"/>
    <w:rsid w:val="64491666"/>
    <w:rsid w:val="648B6EEF"/>
    <w:rsid w:val="64C158BF"/>
    <w:rsid w:val="64C729AF"/>
    <w:rsid w:val="64CE2EAA"/>
    <w:rsid w:val="652A37D1"/>
    <w:rsid w:val="653C3090"/>
    <w:rsid w:val="65854376"/>
    <w:rsid w:val="658767BE"/>
    <w:rsid w:val="65892531"/>
    <w:rsid w:val="65E67989"/>
    <w:rsid w:val="660202AA"/>
    <w:rsid w:val="66195831"/>
    <w:rsid w:val="662E75B1"/>
    <w:rsid w:val="66342C2E"/>
    <w:rsid w:val="663E784C"/>
    <w:rsid w:val="66410DD2"/>
    <w:rsid w:val="664D61B2"/>
    <w:rsid w:val="668B6A45"/>
    <w:rsid w:val="66AC6B93"/>
    <w:rsid w:val="66AD46B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D6C67"/>
    <w:rsid w:val="69CC2BFF"/>
    <w:rsid w:val="69FD55B8"/>
    <w:rsid w:val="6A0B1C62"/>
    <w:rsid w:val="6A2406C8"/>
    <w:rsid w:val="6A88522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D58F9"/>
    <w:rsid w:val="6ED446C5"/>
    <w:rsid w:val="6F2A7D94"/>
    <w:rsid w:val="6F392F8E"/>
    <w:rsid w:val="6F8331F1"/>
    <w:rsid w:val="6FAE1A09"/>
    <w:rsid w:val="6FD75BF8"/>
    <w:rsid w:val="707723D0"/>
    <w:rsid w:val="70F5661B"/>
    <w:rsid w:val="71360107"/>
    <w:rsid w:val="713B688E"/>
    <w:rsid w:val="71D43752"/>
    <w:rsid w:val="71F1796A"/>
    <w:rsid w:val="72154626"/>
    <w:rsid w:val="72262B5D"/>
    <w:rsid w:val="72283FF7"/>
    <w:rsid w:val="722E7212"/>
    <w:rsid w:val="72314190"/>
    <w:rsid w:val="723A0474"/>
    <w:rsid w:val="725923E4"/>
    <w:rsid w:val="72864BF7"/>
    <w:rsid w:val="729023FC"/>
    <w:rsid w:val="73C0646E"/>
    <w:rsid w:val="74027EA8"/>
    <w:rsid w:val="742222F5"/>
    <w:rsid w:val="74476126"/>
    <w:rsid w:val="74706664"/>
    <w:rsid w:val="747F3682"/>
    <w:rsid w:val="749C4185"/>
    <w:rsid w:val="75067759"/>
    <w:rsid w:val="7520349B"/>
    <w:rsid w:val="752E6DCD"/>
    <w:rsid w:val="7551380D"/>
    <w:rsid w:val="75600BE5"/>
    <w:rsid w:val="7564475C"/>
    <w:rsid w:val="7583797F"/>
    <w:rsid w:val="75D20F1D"/>
    <w:rsid w:val="75DA2C18"/>
    <w:rsid w:val="75F54412"/>
    <w:rsid w:val="761D08E0"/>
    <w:rsid w:val="765834A0"/>
    <w:rsid w:val="765D347C"/>
    <w:rsid w:val="76826699"/>
    <w:rsid w:val="76C87133"/>
    <w:rsid w:val="76CD08D5"/>
    <w:rsid w:val="76DB4B92"/>
    <w:rsid w:val="77052AA4"/>
    <w:rsid w:val="77136511"/>
    <w:rsid w:val="77340A39"/>
    <w:rsid w:val="77351FD0"/>
    <w:rsid w:val="77472422"/>
    <w:rsid w:val="777F31F2"/>
    <w:rsid w:val="77822FF8"/>
    <w:rsid w:val="77D1700D"/>
    <w:rsid w:val="77EC04CC"/>
    <w:rsid w:val="78775729"/>
    <w:rsid w:val="78A42DB0"/>
    <w:rsid w:val="78A656AB"/>
    <w:rsid w:val="78B2245C"/>
    <w:rsid w:val="78E172CC"/>
    <w:rsid w:val="78EA1D1F"/>
    <w:rsid w:val="7904172F"/>
    <w:rsid w:val="790F7E27"/>
    <w:rsid w:val="792A231A"/>
    <w:rsid w:val="79316829"/>
    <w:rsid w:val="793D3E38"/>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4BDB"/>
    <w:rsid w:val="7D0C32F1"/>
    <w:rsid w:val="7D0F408D"/>
    <w:rsid w:val="7D491C6C"/>
    <w:rsid w:val="7D5429C0"/>
    <w:rsid w:val="7D6E6D43"/>
    <w:rsid w:val="7DB57A34"/>
    <w:rsid w:val="7DE60973"/>
    <w:rsid w:val="7DEF0916"/>
    <w:rsid w:val="7E1E5218"/>
    <w:rsid w:val="7E491181"/>
    <w:rsid w:val="7E9759D1"/>
    <w:rsid w:val="7E991353"/>
    <w:rsid w:val="7E9A4E1F"/>
    <w:rsid w:val="7EA7723A"/>
    <w:rsid w:val="7EF56FBB"/>
    <w:rsid w:val="7F0768EB"/>
    <w:rsid w:val="7F143BEC"/>
    <w:rsid w:val="7F533B4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3"/>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autoRedefine/>
    <w:qFormat/>
    <w:uiPriority w:val="0"/>
    <w:rPr>
      <w:b/>
      <w:bCs/>
    </w:rPr>
  </w:style>
  <w:style w:type="paragraph" w:styleId="61">
    <w:name w:val="Body Text First Indent"/>
    <w:basedOn w:val="24"/>
    <w:link w:val="321"/>
    <w:autoRedefine/>
    <w:qFormat/>
    <w:uiPriority w:val="0"/>
    <w:pPr>
      <w:ind w:firstLine="420"/>
    </w:pPr>
    <w:rPr>
      <w:rFonts w:hAnsi="Calibri" w:cs="Times New Roman"/>
      <w:snapToGrid/>
      <w:szCs w:val="20"/>
    </w:rPr>
  </w:style>
  <w:style w:type="paragraph" w:styleId="62">
    <w:name w:val="Body Text First Indent 2"/>
    <w:basedOn w:val="25"/>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Default"/>
    <w:next w:val="82"/>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9"/>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7"/>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0"/>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basedOn w:val="70"/>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5"/>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703"/>
    <w:next w:val="25"/>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3">
    <w:name w:val="正文1"/>
    <w:basedOn w:val="32"/>
    <w:next w:val="704"/>
    <w:autoRedefine/>
    <w:qFormat/>
    <w:uiPriority w:val="0"/>
    <w:pPr>
      <w:ind w:left="0" w:leftChars="0" w:firstLine="480" w:firstLineChars="200"/>
    </w:pPr>
    <w:rPr>
      <w:rFonts w:ascii="仿宋_GB2312" w:hAnsi="Courier New" w:eastAsia="仿宋_GB2312"/>
      <w:kern w:val="28"/>
      <w:sz w:val="24"/>
    </w:rPr>
  </w:style>
  <w:style w:type="paragraph" w:customStyle="1" w:styleId="704">
    <w:name w:val="标题 21"/>
    <w:basedOn w:val="703"/>
    <w:next w:val="703"/>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705">
    <w:name w:val="正文文本首行缩进 2"/>
    <w:basedOn w:val="702"/>
    <w:autoRedefine/>
    <w:qFormat/>
    <w:uiPriority w:val="99"/>
    <w:pPr>
      <w:spacing w:line="200" w:lineRule="atLeast"/>
      <w:ind w:firstLine="420"/>
    </w:pPr>
    <w:rPr>
      <w:rFonts w:ascii="宋体" w:hAnsi="Courier New" w:cs="宋体"/>
      <w:spacing w:val="-4"/>
      <w:sz w:val="18"/>
      <w:szCs w:val="18"/>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0"/>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5"/>
    <w:next w:val="640"/>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4"/>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9"/>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2"/>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38"/>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3"/>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2"/>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8"/>
    <w:autoRedefine/>
    <w:qFormat/>
    <w:uiPriority w:val="0"/>
    <w:rPr>
      <w:kern w:val="2"/>
      <w:sz w:val="21"/>
      <w:szCs w:val="24"/>
      <w:lang w:val="zh-CN"/>
    </w:rPr>
  </w:style>
  <w:style w:type="character" w:customStyle="1" w:styleId="935">
    <w:name w:val="无间隔 Char"/>
    <w:link w:val="483"/>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58"/>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autoRedefine/>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customStyle="1" w:styleId="968">
    <w:name w:val="正文空2字"/>
    <w:basedOn w:val="969"/>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36710</Words>
  <Characters>38957</Characters>
  <Lines>279</Lines>
  <Paragraphs>78</Paragraphs>
  <TotalTime>58</TotalTime>
  <ScaleCrop>false</ScaleCrop>
  <LinksUpToDate>false</LinksUpToDate>
  <CharactersWithSpaces>43945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顾七七</cp:lastModifiedBy>
  <cp:lastPrinted>2024-12-23T08:48:00Z</cp:lastPrinted>
  <dcterms:modified xsi:type="dcterms:W3CDTF">2025-01-15T04:23:46Z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D0906F4C240C4AFCA2037B156627EF56_13</vt:lpwstr>
  </property>
</Properties>
</file>