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F1B8E">
      <w:pPr>
        <w:autoSpaceDN w:val="0"/>
        <w:spacing w:line="200" w:lineRule="exact"/>
        <w:ind w:firstLine="301"/>
        <w:rPr>
          <w:rFonts w:ascii="宋体" w:hAnsi="Courier New" w:eastAsia="宋体" w:cs="Times New Roman"/>
          <w:color w:val="auto"/>
          <w:spacing w:val="-4"/>
          <w:kern w:val="0"/>
          <w:sz w:val="18"/>
          <w:szCs w:val="20"/>
          <w:highlight w:val="none"/>
        </w:rPr>
      </w:pPr>
      <w:bookmarkStart w:id="0" w:name="_Hlk130282328"/>
      <w:bookmarkStart w:id="207" w:name="_GoBack"/>
    </w:p>
    <w:p w14:paraId="691731E5">
      <w:pPr>
        <w:autoSpaceDN w:val="0"/>
        <w:spacing w:line="200" w:lineRule="exact"/>
        <w:rPr>
          <w:rFonts w:ascii="宋体" w:hAnsi="Courier New" w:eastAsia="宋体" w:cs="Times New Roman"/>
          <w:color w:val="auto"/>
          <w:spacing w:val="-4"/>
          <w:kern w:val="0"/>
          <w:sz w:val="18"/>
          <w:szCs w:val="20"/>
          <w:highlight w:val="none"/>
        </w:rPr>
      </w:pPr>
    </w:p>
    <w:p w14:paraId="7C2E1919">
      <w:pPr>
        <w:autoSpaceDN w:val="0"/>
        <w:adjustRightInd w:val="0"/>
        <w:snapToGrid w:val="0"/>
        <w:spacing w:line="480" w:lineRule="auto"/>
        <w:jc w:val="center"/>
        <w:rPr>
          <w:rFonts w:hint="eastAsia" w:ascii="仿宋" w:hAnsi="仿宋" w:eastAsia="仿宋" w:cs="宋体"/>
          <w:b/>
          <w:color w:val="auto"/>
          <w:sz w:val="44"/>
          <w:szCs w:val="44"/>
          <w:highlight w:val="none"/>
          <w:lang w:eastAsia="zh-CN"/>
        </w:rPr>
      </w:pPr>
      <w:bookmarkStart w:id="1" w:name="_Hlk130364830"/>
      <w:r>
        <w:rPr>
          <w:rFonts w:hint="eastAsia" w:ascii="仿宋" w:hAnsi="仿宋" w:eastAsia="仿宋" w:cs="宋体"/>
          <w:b/>
          <w:color w:val="auto"/>
          <w:sz w:val="44"/>
          <w:szCs w:val="44"/>
          <w:highlight w:val="none"/>
          <w:lang w:eastAsia="zh-CN"/>
        </w:rPr>
        <w:t>浙江工业大学屏峰校区学生宿舍建设工程项目施工用电工程</w:t>
      </w:r>
    </w:p>
    <w:bookmarkEnd w:id="1"/>
    <w:p w14:paraId="6CE421BB">
      <w:pPr>
        <w:autoSpaceDN w:val="0"/>
        <w:adjustRightInd w:val="0"/>
        <w:snapToGrid w:val="0"/>
        <w:spacing w:line="480" w:lineRule="auto"/>
        <w:jc w:val="center"/>
        <w:rPr>
          <w:rFonts w:ascii="仿宋" w:hAnsi="仿宋" w:eastAsia="仿宋" w:cs="宋体"/>
          <w:b/>
          <w:color w:val="auto"/>
          <w:sz w:val="44"/>
          <w:szCs w:val="44"/>
          <w:highlight w:val="none"/>
        </w:rPr>
      </w:pPr>
      <w:r>
        <w:rPr>
          <w:rFonts w:hint="eastAsia" w:ascii="仿宋" w:hAnsi="仿宋" w:eastAsia="仿宋" w:cs="宋体"/>
          <w:b/>
          <w:color w:val="auto"/>
          <w:sz w:val="44"/>
          <w:szCs w:val="44"/>
          <w:highlight w:val="none"/>
        </w:rPr>
        <w:t>竞争性磋商采购文件</w:t>
      </w:r>
    </w:p>
    <w:p w14:paraId="17CBAC42">
      <w:pPr>
        <w:autoSpaceDN w:val="0"/>
        <w:snapToGrid w:val="0"/>
        <w:spacing w:line="360" w:lineRule="auto"/>
        <w:jc w:val="left"/>
        <w:rPr>
          <w:rFonts w:ascii="仿宋" w:hAnsi="仿宋" w:eastAsia="仿宋" w:cs="宋体"/>
          <w:color w:val="auto"/>
          <w:sz w:val="32"/>
          <w:szCs w:val="32"/>
          <w:highlight w:val="none"/>
        </w:rPr>
      </w:pPr>
    </w:p>
    <w:p w14:paraId="30401510">
      <w:pPr>
        <w:autoSpaceDN w:val="0"/>
        <w:spacing w:line="200" w:lineRule="exact"/>
        <w:ind w:firstLine="301"/>
        <w:rPr>
          <w:rFonts w:ascii="宋体" w:hAnsi="Courier New" w:eastAsia="宋体" w:cs="Times New Roman"/>
          <w:color w:val="auto"/>
          <w:spacing w:val="-4"/>
          <w:kern w:val="0"/>
          <w:sz w:val="18"/>
          <w:szCs w:val="20"/>
          <w:highlight w:val="none"/>
        </w:rPr>
      </w:pPr>
    </w:p>
    <w:p w14:paraId="7D0D5024">
      <w:pPr>
        <w:tabs>
          <w:tab w:val="left" w:pos="7133"/>
        </w:tabs>
        <w:autoSpaceDN w:val="0"/>
        <w:spacing w:line="200" w:lineRule="exact"/>
        <w:ind w:firstLine="301"/>
        <w:rPr>
          <w:rFonts w:hint="eastAsia" w:ascii="宋体" w:hAnsi="Courier New" w:eastAsia="宋体" w:cs="Times New Roman"/>
          <w:color w:val="auto"/>
          <w:spacing w:val="-4"/>
          <w:kern w:val="0"/>
          <w:sz w:val="18"/>
          <w:szCs w:val="20"/>
          <w:highlight w:val="none"/>
          <w:lang w:eastAsia="zh-CN"/>
        </w:rPr>
      </w:pPr>
      <w:r>
        <w:rPr>
          <w:rFonts w:hint="eastAsia" w:ascii="宋体" w:hAnsi="Courier New" w:eastAsia="宋体" w:cs="Times New Roman"/>
          <w:color w:val="auto"/>
          <w:spacing w:val="-4"/>
          <w:kern w:val="0"/>
          <w:sz w:val="18"/>
          <w:szCs w:val="20"/>
          <w:highlight w:val="none"/>
          <w:lang w:eastAsia="zh-CN"/>
        </w:rPr>
        <w:tab/>
      </w:r>
    </w:p>
    <w:p w14:paraId="72B41C82">
      <w:pPr>
        <w:pStyle w:val="78"/>
        <w:rPr>
          <w:rFonts w:ascii="仿宋" w:hAnsi="仿宋" w:eastAsia="仿宋" w:cs="宋体"/>
          <w:b/>
          <w:bCs/>
          <w:color w:val="auto"/>
          <w:sz w:val="28"/>
          <w:szCs w:val="28"/>
          <w:highlight w:val="none"/>
        </w:rPr>
      </w:pPr>
    </w:p>
    <w:p w14:paraId="3BC513D1">
      <w:pPr>
        <w:pStyle w:val="78"/>
        <w:rPr>
          <w:rFonts w:ascii="仿宋" w:hAnsi="仿宋" w:eastAsia="仿宋" w:cs="宋体"/>
          <w:b/>
          <w:bCs/>
          <w:color w:val="auto"/>
          <w:sz w:val="28"/>
          <w:szCs w:val="28"/>
          <w:highlight w:val="none"/>
        </w:rPr>
      </w:pPr>
    </w:p>
    <w:p w14:paraId="52A3EAAF">
      <w:pPr>
        <w:pStyle w:val="78"/>
        <w:rPr>
          <w:rFonts w:ascii="仿宋" w:hAnsi="仿宋" w:eastAsia="仿宋" w:cs="宋体"/>
          <w:b/>
          <w:bCs/>
          <w:color w:val="auto"/>
          <w:sz w:val="28"/>
          <w:szCs w:val="28"/>
          <w:highlight w:val="none"/>
        </w:rPr>
      </w:pPr>
    </w:p>
    <w:p w14:paraId="2F8905AC">
      <w:pPr>
        <w:pStyle w:val="78"/>
        <w:rPr>
          <w:rFonts w:ascii="仿宋" w:hAnsi="仿宋" w:eastAsia="仿宋" w:cs="宋体"/>
          <w:b/>
          <w:bCs/>
          <w:color w:val="auto"/>
          <w:sz w:val="28"/>
          <w:szCs w:val="28"/>
          <w:highlight w:val="none"/>
        </w:rPr>
      </w:pPr>
    </w:p>
    <w:p w14:paraId="66E398DC">
      <w:pPr>
        <w:pStyle w:val="78"/>
        <w:rPr>
          <w:rFonts w:ascii="仿宋" w:hAnsi="仿宋" w:eastAsia="仿宋" w:cs="宋体"/>
          <w:b/>
          <w:bCs/>
          <w:color w:val="auto"/>
          <w:sz w:val="28"/>
          <w:szCs w:val="28"/>
          <w:highlight w:val="none"/>
        </w:rPr>
      </w:pPr>
    </w:p>
    <w:p w14:paraId="2012DD64">
      <w:pPr>
        <w:pStyle w:val="78"/>
        <w:rPr>
          <w:rFonts w:ascii="仿宋" w:hAnsi="仿宋" w:eastAsia="仿宋" w:cs="宋体"/>
          <w:b/>
          <w:bCs/>
          <w:color w:val="auto"/>
          <w:sz w:val="28"/>
          <w:szCs w:val="28"/>
          <w:highlight w:val="none"/>
        </w:rPr>
      </w:pPr>
    </w:p>
    <w:tbl>
      <w:tblPr>
        <w:tblStyle w:val="6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41"/>
        <w:gridCol w:w="4476"/>
      </w:tblGrid>
      <w:tr w14:paraId="5C245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141" w:type="dxa"/>
            <w:vAlign w:val="center"/>
          </w:tcPr>
          <w:p w14:paraId="2CBF1A3E">
            <w:pPr>
              <w:widowControl/>
              <w:autoSpaceDN w:val="0"/>
              <w:adjustRightInd w:val="0"/>
              <w:snapToGrid w:val="0"/>
              <w:spacing w:line="240" w:lineRule="auto"/>
              <w:jc w:val="center"/>
              <w:rPr>
                <w:rFonts w:hint="eastAsia"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项目编号：</w:t>
            </w:r>
          </w:p>
        </w:tc>
        <w:tc>
          <w:tcPr>
            <w:tcW w:w="4476" w:type="dxa"/>
            <w:vAlign w:val="center"/>
          </w:tcPr>
          <w:p w14:paraId="38507DC8">
            <w:pPr>
              <w:widowControl/>
              <w:autoSpaceDN w:val="0"/>
              <w:adjustRightInd w:val="0"/>
              <w:snapToGrid w:val="0"/>
              <w:spacing w:line="240" w:lineRule="auto"/>
              <w:jc w:val="both"/>
              <w:rPr>
                <w:rFonts w:hint="eastAsia" w:ascii="仿宋" w:hAnsi="仿宋" w:eastAsia="仿宋" w:cs="宋体"/>
                <w:b/>
                <w:bCs/>
                <w:color w:val="auto"/>
                <w:sz w:val="28"/>
                <w:szCs w:val="28"/>
                <w:highlight w:val="none"/>
                <w:vertAlign w:val="baseline"/>
                <w:lang w:eastAsia="zh-CN"/>
              </w:rPr>
            </w:pPr>
            <w:r>
              <w:rPr>
                <w:rFonts w:hint="eastAsia" w:ascii="仿宋" w:hAnsi="仿宋" w:eastAsia="仿宋" w:cs="宋体"/>
                <w:b/>
                <w:bCs/>
                <w:color w:val="auto"/>
                <w:kern w:val="0"/>
                <w:sz w:val="28"/>
                <w:szCs w:val="28"/>
                <w:highlight w:val="none"/>
                <w:lang w:eastAsia="zh-CN"/>
              </w:rPr>
              <w:t>HCZX-24982</w:t>
            </w:r>
          </w:p>
        </w:tc>
      </w:tr>
      <w:tr w14:paraId="4D892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3141" w:type="dxa"/>
            <w:vAlign w:val="center"/>
          </w:tcPr>
          <w:p w14:paraId="64C985DC">
            <w:pPr>
              <w:widowControl/>
              <w:autoSpaceDN w:val="0"/>
              <w:adjustRightInd w:val="0"/>
              <w:snapToGrid w:val="0"/>
              <w:spacing w:line="240" w:lineRule="auto"/>
              <w:jc w:val="center"/>
              <w:rPr>
                <w:rFonts w:hint="eastAsia"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项目名称：</w:t>
            </w:r>
          </w:p>
        </w:tc>
        <w:tc>
          <w:tcPr>
            <w:tcW w:w="4476" w:type="dxa"/>
            <w:vAlign w:val="center"/>
          </w:tcPr>
          <w:p w14:paraId="242ED055">
            <w:pPr>
              <w:widowControl/>
              <w:autoSpaceDN w:val="0"/>
              <w:adjustRightInd w:val="0"/>
              <w:snapToGrid w:val="0"/>
              <w:spacing w:line="240" w:lineRule="auto"/>
              <w:jc w:val="both"/>
              <w:rPr>
                <w:rFonts w:hint="eastAsia" w:ascii="仿宋" w:hAnsi="仿宋" w:eastAsia="仿宋" w:cs="宋体"/>
                <w:b/>
                <w:bCs/>
                <w:color w:val="auto"/>
                <w:sz w:val="28"/>
                <w:szCs w:val="28"/>
                <w:highlight w:val="none"/>
                <w:vertAlign w:val="baseline"/>
              </w:rPr>
            </w:pPr>
            <w:r>
              <w:rPr>
                <w:rFonts w:hint="eastAsia" w:ascii="仿宋" w:hAnsi="仿宋" w:eastAsia="仿宋" w:cs="宋体"/>
                <w:b/>
                <w:bCs/>
                <w:color w:val="auto"/>
                <w:kern w:val="0"/>
                <w:sz w:val="28"/>
                <w:szCs w:val="28"/>
                <w:highlight w:val="none"/>
                <w:lang w:eastAsia="zh-CN"/>
              </w:rPr>
              <w:t>浙江工业大学屏峰校区学生宿舍建设工程项目施工用电工程</w:t>
            </w:r>
          </w:p>
        </w:tc>
      </w:tr>
      <w:tr w14:paraId="1427B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141" w:type="dxa"/>
            <w:vAlign w:val="center"/>
          </w:tcPr>
          <w:p w14:paraId="3701B4D3">
            <w:pPr>
              <w:widowControl/>
              <w:autoSpaceDN w:val="0"/>
              <w:adjustRightInd w:val="0"/>
              <w:snapToGrid w:val="0"/>
              <w:spacing w:line="240" w:lineRule="auto"/>
              <w:jc w:val="center"/>
              <w:rPr>
                <w:rFonts w:hint="eastAsia"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采购单位：</w:t>
            </w:r>
          </w:p>
        </w:tc>
        <w:tc>
          <w:tcPr>
            <w:tcW w:w="4476" w:type="dxa"/>
            <w:vAlign w:val="center"/>
          </w:tcPr>
          <w:p w14:paraId="7FA5507D">
            <w:pPr>
              <w:widowControl/>
              <w:autoSpaceDN w:val="0"/>
              <w:adjustRightInd w:val="0"/>
              <w:snapToGrid w:val="0"/>
              <w:spacing w:line="240" w:lineRule="auto"/>
              <w:jc w:val="both"/>
              <w:rPr>
                <w:rFonts w:hint="eastAsia" w:ascii="仿宋" w:hAnsi="仿宋" w:eastAsia="仿宋" w:cs="宋体"/>
                <w:b/>
                <w:bCs/>
                <w:color w:val="auto"/>
                <w:sz w:val="28"/>
                <w:szCs w:val="28"/>
                <w:highlight w:val="none"/>
                <w:vertAlign w:val="baseline"/>
              </w:rPr>
            </w:pPr>
            <w:r>
              <w:rPr>
                <w:rFonts w:hint="eastAsia" w:ascii="仿宋" w:hAnsi="仿宋" w:eastAsia="仿宋" w:cs="宋体"/>
                <w:b/>
                <w:bCs/>
                <w:color w:val="auto"/>
                <w:kern w:val="0"/>
                <w:sz w:val="28"/>
                <w:szCs w:val="28"/>
                <w:highlight w:val="none"/>
              </w:rPr>
              <w:t>浙江工业大学</w:t>
            </w:r>
          </w:p>
        </w:tc>
      </w:tr>
      <w:tr w14:paraId="04A19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141" w:type="dxa"/>
            <w:vAlign w:val="center"/>
          </w:tcPr>
          <w:p w14:paraId="61672164">
            <w:pPr>
              <w:widowControl/>
              <w:autoSpaceDN w:val="0"/>
              <w:adjustRightInd w:val="0"/>
              <w:snapToGrid w:val="0"/>
              <w:spacing w:line="240" w:lineRule="auto"/>
              <w:jc w:val="center"/>
              <w:rPr>
                <w:rFonts w:hint="eastAsia"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代理机构：</w:t>
            </w:r>
          </w:p>
        </w:tc>
        <w:tc>
          <w:tcPr>
            <w:tcW w:w="4476" w:type="dxa"/>
            <w:vAlign w:val="center"/>
          </w:tcPr>
          <w:p w14:paraId="388076FD">
            <w:pPr>
              <w:widowControl/>
              <w:autoSpaceDN w:val="0"/>
              <w:adjustRightInd w:val="0"/>
              <w:snapToGrid w:val="0"/>
              <w:spacing w:line="240" w:lineRule="auto"/>
              <w:jc w:val="both"/>
              <w:rPr>
                <w:rFonts w:hint="eastAsia" w:ascii="仿宋" w:hAnsi="仿宋" w:eastAsia="仿宋" w:cs="宋体"/>
                <w:b/>
                <w:bCs/>
                <w:color w:val="auto"/>
                <w:sz w:val="28"/>
                <w:szCs w:val="28"/>
                <w:highlight w:val="none"/>
                <w:vertAlign w:val="baseline"/>
                <w:lang w:eastAsia="zh-CN"/>
              </w:rPr>
            </w:pPr>
            <w:r>
              <w:rPr>
                <w:rFonts w:hint="eastAsia" w:ascii="仿宋" w:hAnsi="仿宋" w:eastAsia="仿宋" w:cs="宋体"/>
                <w:b/>
                <w:bCs/>
                <w:color w:val="auto"/>
                <w:kern w:val="0"/>
                <w:sz w:val="28"/>
                <w:szCs w:val="28"/>
                <w:highlight w:val="none"/>
                <w:lang w:eastAsia="zh-CN"/>
              </w:rPr>
              <w:t>华诚工程咨询集团有限公司</w:t>
            </w:r>
          </w:p>
        </w:tc>
      </w:tr>
      <w:tr w14:paraId="4A206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617" w:type="dxa"/>
            <w:gridSpan w:val="2"/>
            <w:vAlign w:val="center"/>
          </w:tcPr>
          <w:p w14:paraId="4A2172D8">
            <w:pPr>
              <w:widowControl/>
              <w:autoSpaceDN w:val="0"/>
              <w:adjustRightInd w:val="0"/>
              <w:snapToGrid w:val="0"/>
              <w:spacing w:line="480" w:lineRule="auto"/>
              <w:jc w:val="center"/>
              <w:rPr>
                <w:rFonts w:hint="eastAsia" w:ascii="仿宋" w:hAnsi="仿宋" w:eastAsia="仿宋" w:cs="宋体"/>
                <w:b/>
                <w:color w:val="auto"/>
                <w:sz w:val="28"/>
                <w:szCs w:val="28"/>
                <w:highlight w:val="none"/>
              </w:rPr>
            </w:pPr>
          </w:p>
          <w:p w14:paraId="1838F9CA">
            <w:pPr>
              <w:pStyle w:val="2"/>
              <w:rPr>
                <w:rFonts w:hint="eastAsia"/>
                <w:color w:val="auto"/>
                <w:highlight w:val="none"/>
              </w:rPr>
            </w:pPr>
          </w:p>
          <w:p w14:paraId="04AB98A7">
            <w:pPr>
              <w:widowControl/>
              <w:autoSpaceDN w:val="0"/>
              <w:adjustRightInd w:val="0"/>
              <w:snapToGrid w:val="0"/>
              <w:spacing w:line="480" w:lineRule="auto"/>
              <w:jc w:val="center"/>
              <w:rPr>
                <w:rFonts w:hint="eastAsia" w:ascii="仿宋" w:hAnsi="仿宋" w:eastAsia="仿宋" w:cs="宋体"/>
                <w:b/>
                <w:bCs/>
                <w:color w:val="auto"/>
                <w:sz w:val="28"/>
                <w:szCs w:val="28"/>
                <w:highlight w:val="none"/>
                <w:vertAlign w:val="baseline"/>
              </w:rPr>
            </w:pPr>
            <w:r>
              <w:rPr>
                <w:rFonts w:hint="eastAsia" w:ascii="仿宋" w:hAnsi="仿宋" w:eastAsia="仿宋" w:cs="宋体"/>
                <w:b/>
                <w:color w:val="auto"/>
                <w:sz w:val="28"/>
                <w:szCs w:val="28"/>
                <w:highlight w:val="none"/>
              </w:rPr>
              <w:t>202</w:t>
            </w:r>
            <w:r>
              <w:rPr>
                <w:rFonts w:hint="eastAsia" w:ascii="仿宋" w:hAnsi="仿宋" w:eastAsia="仿宋" w:cs="宋体"/>
                <w:b/>
                <w:color w:val="auto"/>
                <w:sz w:val="28"/>
                <w:szCs w:val="28"/>
                <w:highlight w:val="none"/>
                <w:lang w:val="en-US" w:eastAsia="zh-CN"/>
              </w:rPr>
              <w:t>5</w:t>
            </w:r>
            <w:r>
              <w:rPr>
                <w:rFonts w:hint="eastAsia" w:ascii="仿宋" w:hAnsi="仿宋" w:eastAsia="仿宋" w:cs="宋体"/>
                <w:b/>
                <w:color w:val="auto"/>
                <w:sz w:val="28"/>
                <w:szCs w:val="28"/>
                <w:highlight w:val="none"/>
              </w:rPr>
              <w:t>年</w:t>
            </w:r>
            <w:r>
              <w:rPr>
                <w:rFonts w:hint="eastAsia" w:ascii="仿宋" w:hAnsi="仿宋" w:eastAsia="仿宋" w:cs="宋体"/>
                <w:b/>
                <w:color w:val="auto"/>
                <w:sz w:val="28"/>
                <w:szCs w:val="28"/>
                <w:highlight w:val="none"/>
                <w:lang w:val="en-US" w:eastAsia="zh-CN"/>
              </w:rPr>
              <w:t>02</w:t>
            </w:r>
            <w:r>
              <w:rPr>
                <w:rFonts w:hint="eastAsia" w:ascii="仿宋" w:hAnsi="仿宋" w:eastAsia="仿宋" w:cs="宋体"/>
                <w:b/>
                <w:color w:val="auto"/>
                <w:sz w:val="28"/>
                <w:szCs w:val="28"/>
                <w:highlight w:val="none"/>
              </w:rPr>
              <w:t>月</w:t>
            </w:r>
            <w:r>
              <w:rPr>
                <w:rFonts w:hint="eastAsia" w:ascii="仿宋" w:hAnsi="仿宋" w:eastAsia="仿宋" w:cs="宋体"/>
                <w:b/>
                <w:color w:val="auto"/>
                <w:sz w:val="28"/>
                <w:szCs w:val="28"/>
                <w:highlight w:val="none"/>
                <w:lang w:val="en-US" w:eastAsia="zh-CN"/>
              </w:rPr>
              <w:t>08</w:t>
            </w:r>
            <w:r>
              <w:rPr>
                <w:rFonts w:hint="eastAsia" w:ascii="仿宋" w:hAnsi="仿宋" w:eastAsia="仿宋" w:cs="宋体"/>
                <w:b/>
                <w:color w:val="auto"/>
                <w:sz w:val="28"/>
                <w:szCs w:val="28"/>
                <w:highlight w:val="none"/>
              </w:rPr>
              <w:t>日</w:t>
            </w:r>
          </w:p>
        </w:tc>
      </w:tr>
    </w:tbl>
    <w:p w14:paraId="4EF20D72">
      <w:pPr>
        <w:autoSpaceDN w:val="0"/>
        <w:snapToGrid w:val="0"/>
        <w:spacing w:line="360" w:lineRule="auto"/>
        <w:jc w:val="both"/>
        <w:rPr>
          <w:rFonts w:ascii="仿宋" w:hAnsi="仿宋" w:eastAsia="仿宋" w:cs="宋体"/>
          <w:b/>
          <w:color w:val="auto"/>
          <w:sz w:val="28"/>
          <w:szCs w:val="28"/>
          <w:highlight w:val="none"/>
        </w:rPr>
      </w:pPr>
    </w:p>
    <w:p w14:paraId="03E1A7F7">
      <w:pPr>
        <w:widowControl/>
        <w:spacing w:line="360" w:lineRule="auto"/>
        <w:jc w:val="left"/>
        <w:rPr>
          <w:rFonts w:ascii="仿宋" w:hAnsi="仿宋" w:eastAsia="仿宋" w:cs="宋体"/>
          <w:b/>
          <w:bCs/>
          <w:color w:val="auto"/>
          <w:w w:val="95"/>
          <w:sz w:val="28"/>
          <w:szCs w:val="28"/>
          <w:highlight w:val="none"/>
        </w:rPr>
        <w:sectPr>
          <w:footerReference r:id="rId4" w:type="first"/>
          <w:headerReference r:id="rId3" w:type="default"/>
          <w:pgSz w:w="11906" w:h="16838"/>
          <w:pgMar w:top="1418" w:right="1418" w:bottom="1418" w:left="1418" w:header="851" w:footer="851" w:gutter="0"/>
          <w:cols w:space="720" w:num="1"/>
        </w:sectPr>
      </w:pPr>
    </w:p>
    <w:p w14:paraId="2263A56D">
      <w:pPr>
        <w:autoSpaceDN w:val="0"/>
        <w:snapToGrid w:val="0"/>
        <w:spacing w:before="120" w:beforeLines="50" w:after="120" w:afterLines="50"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目  录</w:t>
      </w:r>
    </w:p>
    <w:p w14:paraId="27CED1F1">
      <w:pPr>
        <w:pStyle w:val="40"/>
        <w:tabs>
          <w:tab w:val="right" w:leader="dot" w:pos="9070"/>
        </w:tabs>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TOC \o "1-2" \h \z \u </w:instrText>
      </w:r>
      <w:r>
        <w:rPr>
          <w:rFonts w:hint="eastAsia" w:ascii="仿宋" w:hAnsi="仿宋" w:eastAsia="仿宋" w:cs="仿宋"/>
          <w:b/>
          <w:bCs/>
          <w:color w:val="auto"/>
          <w:szCs w:val="21"/>
          <w:highlight w:val="none"/>
        </w:rPr>
        <w:fldChar w:fldCharType="separate"/>
      </w:r>
      <w:r>
        <w:rPr>
          <w:color w:val="auto"/>
          <w:highlight w:val="none"/>
        </w:rPr>
        <w:fldChar w:fldCharType="begin"/>
      </w:r>
      <w:r>
        <w:rPr>
          <w:color w:val="auto"/>
          <w:highlight w:val="none"/>
        </w:rPr>
        <w:instrText xml:space="preserve"> HYPERLINK \l "_Toc4241" </w:instrText>
      </w:r>
      <w:r>
        <w:rPr>
          <w:color w:val="auto"/>
          <w:highlight w:val="none"/>
        </w:rPr>
        <w:fldChar w:fldCharType="separate"/>
      </w:r>
      <w:r>
        <w:rPr>
          <w:rFonts w:hint="eastAsia" w:ascii="仿宋" w:hAnsi="仿宋" w:eastAsia="仿宋" w:cs="仿宋"/>
          <w:b/>
          <w:bCs/>
          <w:color w:val="auto"/>
          <w:kern w:val="0"/>
          <w:szCs w:val="21"/>
          <w:highlight w:val="none"/>
        </w:rPr>
        <w:t>第一章 竞争性磋商公告</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_Toc4241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3</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574C661C">
      <w:pPr>
        <w:pStyle w:val="4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"_Toc32606" </w:instrText>
      </w:r>
      <w:r>
        <w:rPr>
          <w:color w:val="auto"/>
          <w:highlight w:val="none"/>
        </w:rPr>
        <w:fldChar w:fldCharType="separate"/>
      </w:r>
      <w:r>
        <w:rPr>
          <w:rFonts w:hint="eastAsia" w:ascii="仿宋" w:hAnsi="仿宋" w:eastAsia="仿宋" w:cs="仿宋"/>
          <w:b/>
          <w:bCs/>
          <w:color w:val="auto"/>
          <w:spacing w:val="-4"/>
          <w:kern w:val="0"/>
          <w:szCs w:val="21"/>
          <w:highlight w:val="none"/>
        </w:rPr>
        <w:t>第二章 磋商须知</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_Toc32606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8</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4D510E3E">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"_Toc3099" </w:instrText>
      </w:r>
      <w:r>
        <w:rPr>
          <w:color w:val="auto"/>
          <w:highlight w:val="none"/>
        </w:rPr>
        <w:fldChar w:fldCharType="separate"/>
      </w:r>
      <w:r>
        <w:rPr>
          <w:rFonts w:hint="eastAsia" w:ascii="仿宋" w:hAnsi="仿宋" w:eastAsia="仿宋" w:cs="仿宋"/>
          <w:b/>
          <w:bCs/>
          <w:color w:val="auto"/>
          <w:szCs w:val="21"/>
          <w:highlight w:val="none"/>
        </w:rPr>
        <w:t>前附表</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_Toc3099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8</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338A5A34">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"_Toc19240" </w:instrText>
      </w:r>
      <w:r>
        <w:rPr>
          <w:color w:val="auto"/>
          <w:highlight w:val="none"/>
        </w:rPr>
        <w:fldChar w:fldCharType="separate"/>
      </w:r>
      <w:r>
        <w:rPr>
          <w:rFonts w:hint="eastAsia" w:ascii="仿宋" w:hAnsi="仿宋" w:eastAsia="仿宋" w:cs="仿宋"/>
          <w:b/>
          <w:bCs/>
          <w:color w:val="auto"/>
          <w:szCs w:val="21"/>
          <w:highlight w:val="none"/>
        </w:rPr>
        <w:t>一、总则</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_Toc19240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14</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142FA23C">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"_Toc19497" </w:instrText>
      </w:r>
      <w:r>
        <w:rPr>
          <w:color w:val="auto"/>
          <w:highlight w:val="none"/>
        </w:rPr>
        <w:fldChar w:fldCharType="separate"/>
      </w:r>
      <w:r>
        <w:rPr>
          <w:rFonts w:hint="eastAsia" w:ascii="仿宋" w:hAnsi="仿宋" w:eastAsia="仿宋" w:cs="仿宋"/>
          <w:b/>
          <w:bCs/>
          <w:color w:val="auto"/>
          <w:szCs w:val="21"/>
          <w:highlight w:val="none"/>
        </w:rPr>
        <w:t>二、落实的政府采购政策</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_Toc19497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22</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272C69D2">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"_Toc1246" </w:instrText>
      </w:r>
      <w:r>
        <w:rPr>
          <w:color w:val="auto"/>
          <w:highlight w:val="none"/>
        </w:rPr>
        <w:fldChar w:fldCharType="separate"/>
      </w:r>
      <w:r>
        <w:rPr>
          <w:rFonts w:hint="eastAsia" w:ascii="仿宋" w:hAnsi="仿宋" w:eastAsia="仿宋" w:cs="仿宋"/>
          <w:b/>
          <w:bCs/>
          <w:color w:val="auto"/>
          <w:szCs w:val="21"/>
          <w:highlight w:val="none"/>
        </w:rPr>
        <w:t>三、竞争性磋商文件</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_Toc1246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25</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0734A75C">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"_Toc1284" </w:instrText>
      </w:r>
      <w:r>
        <w:rPr>
          <w:color w:val="auto"/>
          <w:highlight w:val="none"/>
        </w:rPr>
        <w:fldChar w:fldCharType="separate"/>
      </w:r>
      <w:r>
        <w:rPr>
          <w:rFonts w:hint="eastAsia" w:ascii="仿宋" w:hAnsi="仿宋" w:eastAsia="仿宋" w:cs="仿宋"/>
          <w:b/>
          <w:bCs/>
          <w:color w:val="auto"/>
          <w:szCs w:val="21"/>
          <w:highlight w:val="none"/>
        </w:rPr>
        <w:t>四、磋商响应文件</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_Toc1284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27</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6576393D">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"_Toc11633" </w:instrText>
      </w:r>
      <w:r>
        <w:rPr>
          <w:color w:val="auto"/>
          <w:highlight w:val="none"/>
        </w:rPr>
        <w:fldChar w:fldCharType="separate"/>
      </w:r>
      <w:r>
        <w:rPr>
          <w:rFonts w:hint="eastAsia" w:ascii="仿宋" w:hAnsi="仿宋" w:eastAsia="仿宋" w:cs="仿宋"/>
          <w:b/>
          <w:bCs/>
          <w:color w:val="auto"/>
          <w:szCs w:val="21"/>
          <w:highlight w:val="none"/>
        </w:rPr>
        <w:t>五、磋商响应</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_Toc11633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32</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73BCAEAD">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"_Toc640" </w:instrText>
      </w:r>
      <w:r>
        <w:rPr>
          <w:color w:val="auto"/>
          <w:highlight w:val="none"/>
        </w:rPr>
        <w:fldChar w:fldCharType="separate"/>
      </w:r>
      <w:r>
        <w:rPr>
          <w:rFonts w:hint="eastAsia" w:ascii="仿宋" w:hAnsi="仿宋" w:eastAsia="仿宋" w:cs="仿宋"/>
          <w:b/>
          <w:bCs/>
          <w:color w:val="auto"/>
          <w:szCs w:val="21"/>
          <w:highlight w:val="none"/>
        </w:rPr>
        <w:t>六、开标</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_Toc640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33</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2763A7AF">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"_Toc32126" </w:instrText>
      </w:r>
      <w:r>
        <w:rPr>
          <w:color w:val="auto"/>
          <w:highlight w:val="none"/>
        </w:rPr>
        <w:fldChar w:fldCharType="separate"/>
      </w:r>
      <w:r>
        <w:rPr>
          <w:rFonts w:hint="eastAsia" w:ascii="仿宋" w:hAnsi="仿宋" w:eastAsia="仿宋" w:cs="仿宋"/>
          <w:b/>
          <w:bCs/>
          <w:color w:val="auto"/>
          <w:szCs w:val="21"/>
          <w:highlight w:val="none"/>
        </w:rPr>
        <w:t>七、评审</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_Toc32126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35</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7845BCEF">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"_Toc11895" </w:instrText>
      </w:r>
      <w:r>
        <w:rPr>
          <w:color w:val="auto"/>
          <w:highlight w:val="none"/>
        </w:rPr>
        <w:fldChar w:fldCharType="separate"/>
      </w:r>
      <w:r>
        <w:rPr>
          <w:rFonts w:hint="eastAsia" w:ascii="仿宋" w:hAnsi="仿宋" w:eastAsia="仿宋" w:cs="仿宋"/>
          <w:b/>
          <w:bCs/>
          <w:color w:val="auto"/>
          <w:szCs w:val="21"/>
          <w:highlight w:val="none"/>
        </w:rPr>
        <w:t>八、采购结果确认与公告</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_Toc11895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36</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15F182C2">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"_Toc17503" </w:instrText>
      </w:r>
      <w:r>
        <w:rPr>
          <w:color w:val="auto"/>
          <w:highlight w:val="none"/>
        </w:rPr>
        <w:fldChar w:fldCharType="separate"/>
      </w:r>
      <w:r>
        <w:rPr>
          <w:rFonts w:hint="eastAsia" w:ascii="仿宋" w:hAnsi="仿宋" w:eastAsia="仿宋" w:cs="仿宋"/>
          <w:b/>
          <w:bCs/>
          <w:color w:val="auto"/>
          <w:szCs w:val="21"/>
          <w:highlight w:val="none"/>
        </w:rPr>
        <w:t>九、采购代理服务费</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_Toc17503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37</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3D0C353C">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"_Toc7194" </w:instrText>
      </w:r>
      <w:r>
        <w:rPr>
          <w:color w:val="auto"/>
          <w:highlight w:val="none"/>
        </w:rPr>
        <w:fldChar w:fldCharType="separate"/>
      </w:r>
      <w:r>
        <w:rPr>
          <w:rFonts w:hint="eastAsia" w:ascii="仿宋" w:hAnsi="仿宋" w:eastAsia="仿宋" w:cs="仿宋"/>
          <w:b/>
          <w:bCs/>
          <w:color w:val="auto"/>
          <w:szCs w:val="21"/>
          <w:highlight w:val="none"/>
        </w:rPr>
        <w:t>十、合同签订和履约担保</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_Toc7194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37</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3991052B">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"_Toc19649" </w:instrText>
      </w:r>
      <w:r>
        <w:rPr>
          <w:color w:val="auto"/>
          <w:highlight w:val="none"/>
        </w:rPr>
        <w:fldChar w:fldCharType="separate"/>
      </w:r>
      <w:r>
        <w:rPr>
          <w:rFonts w:hint="eastAsia" w:ascii="仿宋" w:hAnsi="仿宋" w:eastAsia="仿宋" w:cs="仿宋"/>
          <w:b/>
          <w:bCs/>
          <w:color w:val="auto"/>
          <w:szCs w:val="21"/>
          <w:highlight w:val="none"/>
        </w:rPr>
        <w:t>十一、其他事项说明</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_Toc19649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38</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35919627">
      <w:pPr>
        <w:pStyle w:val="4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"_Toc18106" </w:instrText>
      </w:r>
      <w:r>
        <w:rPr>
          <w:color w:val="auto"/>
          <w:highlight w:val="none"/>
        </w:rPr>
        <w:fldChar w:fldCharType="separate"/>
      </w:r>
      <w:r>
        <w:rPr>
          <w:rFonts w:hint="eastAsia" w:ascii="仿宋" w:hAnsi="仿宋" w:eastAsia="仿宋" w:cs="仿宋"/>
          <w:b/>
          <w:bCs/>
          <w:color w:val="auto"/>
          <w:kern w:val="0"/>
          <w:szCs w:val="21"/>
          <w:highlight w:val="none"/>
        </w:rPr>
        <w:t>第三章 评审办法</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_Toc18106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39</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7A7A4866">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"_Toc23222" </w:instrText>
      </w:r>
      <w:r>
        <w:rPr>
          <w:color w:val="auto"/>
          <w:highlight w:val="none"/>
        </w:rPr>
        <w:fldChar w:fldCharType="separate"/>
      </w:r>
      <w:r>
        <w:rPr>
          <w:rFonts w:hint="eastAsia" w:ascii="仿宋" w:hAnsi="仿宋" w:eastAsia="仿宋" w:cs="仿宋"/>
          <w:b/>
          <w:bCs/>
          <w:color w:val="auto"/>
          <w:szCs w:val="21"/>
          <w:highlight w:val="none"/>
        </w:rPr>
        <w:t>一、总则</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_Toc23222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39</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741AFCE5">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"_Toc26621" </w:instrText>
      </w:r>
      <w:r>
        <w:rPr>
          <w:color w:val="auto"/>
          <w:highlight w:val="none"/>
        </w:rPr>
        <w:fldChar w:fldCharType="separate"/>
      </w:r>
      <w:r>
        <w:rPr>
          <w:rFonts w:hint="eastAsia" w:ascii="仿宋" w:hAnsi="仿宋" w:eastAsia="仿宋" w:cs="仿宋"/>
          <w:b/>
          <w:bCs/>
          <w:color w:val="auto"/>
          <w:szCs w:val="21"/>
          <w:highlight w:val="none"/>
        </w:rPr>
        <w:t>二、评审程序</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_Toc26621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39</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59D8B2B4">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"_Toc14247" </w:instrText>
      </w:r>
      <w:r>
        <w:rPr>
          <w:color w:val="auto"/>
          <w:highlight w:val="none"/>
        </w:rPr>
        <w:fldChar w:fldCharType="separate"/>
      </w:r>
      <w:r>
        <w:rPr>
          <w:rFonts w:hint="eastAsia" w:ascii="仿宋" w:hAnsi="仿宋" w:eastAsia="仿宋" w:cs="仿宋"/>
          <w:b/>
          <w:bCs/>
          <w:color w:val="auto"/>
          <w:szCs w:val="21"/>
          <w:highlight w:val="none"/>
        </w:rPr>
        <w:t>三、评审内容及标准</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_Toc14247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44</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393EC379">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"_Toc10395" </w:instrText>
      </w:r>
      <w:r>
        <w:rPr>
          <w:color w:val="auto"/>
          <w:highlight w:val="none"/>
        </w:rPr>
        <w:fldChar w:fldCharType="separate"/>
      </w:r>
      <w:r>
        <w:rPr>
          <w:rFonts w:hint="eastAsia" w:ascii="仿宋" w:hAnsi="仿宋" w:eastAsia="仿宋" w:cs="仿宋"/>
          <w:b/>
          <w:bCs/>
          <w:color w:val="auto"/>
          <w:szCs w:val="21"/>
          <w:highlight w:val="none"/>
        </w:rPr>
        <w:t>四、其他评审事项规定</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_Toc10395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47</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79F69C9D">
      <w:pPr>
        <w:pStyle w:val="4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"_Toc8854" </w:instrText>
      </w:r>
      <w:r>
        <w:rPr>
          <w:color w:val="auto"/>
          <w:highlight w:val="none"/>
        </w:rPr>
        <w:fldChar w:fldCharType="separate"/>
      </w:r>
      <w:r>
        <w:rPr>
          <w:rFonts w:hint="eastAsia" w:ascii="仿宋" w:hAnsi="仿宋" w:eastAsia="仿宋" w:cs="仿宋"/>
          <w:b/>
          <w:bCs/>
          <w:color w:val="auto"/>
          <w:szCs w:val="21"/>
          <w:highlight w:val="none"/>
        </w:rPr>
        <w:t>第四章 采购内容及需求</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_Toc8854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50</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272D266A">
      <w:pPr>
        <w:pStyle w:val="4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"_Toc18450" </w:instrText>
      </w:r>
      <w:r>
        <w:rPr>
          <w:color w:val="auto"/>
          <w:highlight w:val="none"/>
        </w:rPr>
        <w:fldChar w:fldCharType="separate"/>
      </w:r>
      <w:r>
        <w:rPr>
          <w:rFonts w:hint="eastAsia" w:ascii="仿宋" w:hAnsi="仿宋" w:eastAsia="仿宋" w:cs="仿宋"/>
          <w:b/>
          <w:bCs/>
          <w:color w:val="auto"/>
          <w:szCs w:val="21"/>
          <w:highlight w:val="none"/>
        </w:rPr>
        <w:t>第五章 合同</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_Toc18450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57</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0F759FAD">
      <w:pPr>
        <w:pStyle w:val="4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"_Toc15050" </w:instrText>
      </w:r>
      <w:r>
        <w:rPr>
          <w:color w:val="auto"/>
          <w:highlight w:val="none"/>
        </w:rPr>
        <w:fldChar w:fldCharType="separate"/>
      </w:r>
      <w:r>
        <w:rPr>
          <w:rFonts w:hint="eastAsia" w:ascii="仿宋" w:hAnsi="仿宋" w:eastAsia="仿宋" w:cs="仿宋"/>
          <w:b/>
          <w:bCs/>
          <w:color w:val="auto"/>
          <w:szCs w:val="21"/>
          <w:highlight w:val="none"/>
        </w:rPr>
        <w:t>第六章 响应文件格式</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t>9</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t>9</w:t>
      </w:r>
    </w:p>
    <w:p w14:paraId="4168920A">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"_Toc1935" </w:instrText>
      </w:r>
      <w:r>
        <w:rPr>
          <w:color w:val="auto"/>
          <w:highlight w:val="none"/>
        </w:rPr>
        <w:fldChar w:fldCharType="separate"/>
      </w:r>
      <w:r>
        <w:rPr>
          <w:rFonts w:hint="eastAsia" w:ascii="仿宋" w:hAnsi="仿宋" w:eastAsia="仿宋" w:cs="仿宋"/>
          <w:b/>
          <w:bCs/>
          <w:color w:val="auto"/>
          <w:szCs w:val="21"/>
          <w:highlight w:val="none"/>
        </w:rPr>
        <w:t>一、资格文件部分格式</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_Toc1935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84</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533A2F92">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"_Toc16209" </w:instrText>
      </w:r>
      <w:r>
        <w:rPr>
          <w:color w:val="auto"/>
          <w:highlight w:val="none"/>
        </w:rPr>
        <w:fldChar w:fldCharType="separate"/>
      </w:r>
      <w:r>
        <w:rPr>
          <w:rFonts w:hint="eastAsia" w:ascii="仿宋" w:hAnsi="仿宋" w:eastAsia="仿宋" w:cs="仿宋"/>
          <w:b/>
          <w:bCs/>
          <w:color w:val="auto"/>
          <w:szCs w:val="21"/>
          <w:highlight w:val="none"/>
        </w:rPr>
        <w:t>二、商务技术文件部分格式</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_Toc16209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95</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75C6DE34">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"_Toc11526" </w:instrText>
      </w:r>
      <w:r>
        <w:rPr>
          <w:color w:val="auto"/>
          <w:highlight w:val="none"/>
        </w:rPr>
        <w:fldChar w:fldCharType="separate"/>
      </w:r>
      <w:r>
        <w:rPr>
          <w:rFonts w:hint="eastAsia" w:ascii="仿宋" w:hAnsi="仿宋" w:eastAsia="仿宋" w:cs="仿宋"/>
          <w:b/>
          <w:bCs/>
          <w:color w:val="auto"/>
          <w:szCs w:val="21"/>
          <w:highlight w:val="none"/>
        </w:rPr>
        <w:t>三、报价文件部分格式</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_Toc11526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110</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07B5C698">
      <w:pPr>
        <w:pStyle w:val="4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"_Toc5995" </w:instrText>
      </w:r>
      <w:r>
        <w:rPr>
          <w:color w:val="auto"/>
          <w:highlight w:val="none"/>
        </w:rPr>
        <w:fldChar w:fldCharType="separate"/>
      </w:r>
      <w:r>
        <w:rPr>
          <w:rFonts w:hint="eastAsia" w:ascii="仿宋" w:hAnsi="仿宋" w:eastAsia="仿宋" w:cs="仿宋"/>
          <w:b/>
          <w:bCs/>
          <w:color w:val="auto"/>
          <w:szCs w:val="21"/>
          <w:highlight w:val="none"/>
        </w:rPr>
        <w:t>第七章 附件</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_Toc5995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136</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12BC7546">
      <w:pPr>
        <w:autoSpaceDN w:val="0"/>
        <w:adjustRightInd w:val="0"/>
        <w:snapToGrid w:val="0"/>
        <w:spacing w:line="360" w:lineRule="auto"/>
        <w:jc w:val="center"/>
        <w:rPr>
          <w:rFonts w:ascii="仿宋" w:hAnsi="仿宋" w:eastAsia="仿宋" w:cs="宋体"/>
          <w:b/>
          <w:color w:val="auto"/>
          <w:kern w:val="0"/>
          <w:sz w:val="32"/>
          <w:szCs w:val="32"/>
          <w:highlight w:val="none"/>
        </w:rPr>
      </w:pPr>
      <w:r>
        <w:rPr>
          <w:rFonts w:hint="eastAsia" w:ascii="仿宋" w:hAnsi="仿宋" w:eastAsia="仿宋" w:cs="仿宋"/>
          <w:b/>
          <w:bCs/>
          <w:color w:val="auto"/>
          <w:szCs w:val="21"/>
          <w:highlight w:val="none"/>
        </w:rPr>
        <w:fldChar w:fldCharType="end"/>
      </w:r>
      <w:r>
        <w:rPr>
          <w:rFonts w:hint="eastAsia" w:ascii="仿宋" w:hAnsi="仿宋" w:eastAsia="仿宋" w:cs="宋体"/>
          <w:b/>
          <w:color w:val="auto"/>
          <w:kern w:val="0"/>
          <w:sz w:val="24"/>
          <w:szCs w:val="24"/>
          <w:highlight w:val="none"/>
        </w:rPr>
        <w:br w:type="page"/>
      </w:r>
      <w:r>
        <w:rPr>
          <w:rFonts w:hint="eastAsia" w:ascii="仿宋" w:hAnsi="仿宋" w:eastAsia="仿宋" w:cs="宋体"/>
          <w:b/>
          <w:color w:val="auto"/>
          <w:kern w:val="0"/>
          <w:sz w:val="32"/>
          <w:szCs w:val="32"/>
          <w:highlight w:val="none"/>
        </w:rPr>
        <w:t>电子交易须知</w:t>
      </w:r>
    </w:p>
    <w:p w14:paraId="4EBD63AB">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1、本次采购采用电子交易方式，电子交易平台为“政府采购云平台（https://www.zcygov.cn/）”。供应商参与本项目电子交易活动前，应通过浙江政府采购网“浙江政府采购供应商信息登记管理系统”进行信息登记，获得线上政府采购活动操作权限。编制电子响应文件前还需申领CA证书并绑定帐号，供应商应充分考虑完成登记、申领CA证书等所需的时间。</w:t>
      </w:r>
    </w:p>
    <w:p w14:paraId="3A2EDD4B">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2、供应商编制电子响应文件应安装“电子交易客户端”软件，并按照本采购文件和电子交易平台的要求编制并加密响应文件。未按规定加密的响应文件，将被电子交易平台拒收。“电子交易客户端”请供应商自行前往“浙江政府采购网（https://zfcg.czt.zj.gov.cn/）— 下载专区 — 电子交易客户端”版块获取。</w:t>
      </w:r>
    </w:p>
    <w:p w14:paraId="7C143389">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3、供应商应当在递交响应文件截止时间前，将“电子交易客户端”生成的“电子加密响应文件”上传电子交易平台。</w:t>
      </w:r>
    </w:p>
    <w:p w14:paraId="14120D54">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14:paraId="04833891">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5、通过“政府采购云平台”递交的“电子加密响应文件”如无法按时解密的，如供应商提交了“电子备份响应文件”的，则由采购组织机构按“政府采购云平台”操作规范将“电子备份响应文件”上传至“政府采购云平台”，上传成功后，以“电子备份响应文件”参与评审，“电子加密响应文件”自动失效; 在“政府采购云平台”正常运行情况下，“电子备份响应文件”无法上传至“政府采购云平台”的，视为响应文件撤回。供应商未按规定递交“电子备份响应文件”的，视为响应文件撤回。未上传“电子加密响应文件”，仅提交“电子备份响应文件”的，响应无效。</w:t>
      </w:r>
    </w:p>
    <w:p w14:paraId="0A906EBF">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6、供应商在参加电子交易过程中,可登录电子交易平台“帮助文档”版面获取《电子交易管理操作指南》，或致电平台</w:t>
      </w:r>
      <w:r>
        <w:rPr>
          <w:rFonts w:hint="eastAsia" w:ascii="仿宋" w:hAnsi="仿宋" w:eastAsia="仿宋" w:cs="宋体"/>
          <w:b/>
          <w:color w:val="auto"/>
          <w:kern w:val="0"/>
          <w:sz w:val="24"/>
          <w:szCs w:val="24"/>
          <w:highlight w:val="none"/>
          <w:lang w:eastAsia="zh-CN"/>
        </w:rPr>
        <w:t>95763</w:t>
      </w:r>
      <w:r>
        <w:rPr>
          <w:rFonts w:hint="eastAsia" w:ascii="仿宋" w:hAnsi="仿宋" w:eastAsia="仿宋" w:cs="宋体"/>
          <w:b/>
          <w:color w:val="auto"/>
          <w:kern w:val="0"/>
          <w:sz w:val="24"/>
          <w:szCs w:val="24"/>
          <w:highlight w:val="none"/>
        </w:rPr>
        <w:t>获取相关服务支持。</w:t>
      </w:r>
    </w:p>
    <w:p w14:paraId="74814DA2">
      <w:pPr>
        <w:widowControl/>
        <w:spacing w:line="360" w:lineRule="auto"/>
        <w:jc w:val="left"/>
        <w:rPr>
          <w:rFonts w:ascii="仿宋" w:hAnsi="仿宋" w:eastAsia="仿宋" w:cs="宋体"/>
          <w:b/>
          <w:color w:val="auto"/>
          <w:kern w:val="0"/>
          <w:sz w:val="24"/>
          <w:szCs w:val="24"/>
          <w:highlight w:val="none"/>
        </w:rPr>
        <w:sectPr>
          <w:footerReference r:id="rId6" w:type="first"/>
          <w:footerReference r:id="rId5" w:type="default"/>
          <w:pgSz w:w="11906" w:h="16838"/>
          <w:pgMar w:top="1418" w:right="1418" w:bottom="1418" w:left="1418" w:header="851" w:footer="1077" w:gutter="0"/>
          <w:pgNumType w:start="1"/>
          <w:cols w:space="720" w:num="1"/>
          <w:titlePg/>
          <w:docGrid w:linePitch="286" w:charSpace="0"/>
        </w:sectPr>
      </w:pPr>
    </w:p>
    <w:p w14:paraId="59639CD7">
      <w:pPr>
        <w:autoSpaceDN w:val="0"/>
        <w:adjustRightInd w:val="0"/>
        <w:snapToGrid w:val="0"/>
        <w:spacing w:before="162" w:beforeLines="50" w:after="162" w:afterLines="50" w:line="360" w:lineRule="auto"/>
        <w:jc w:val="center"/>
        <w:outlineLvl w:val="0"/>
        <w:rPr>
          <w:rFonts w:ascii="仿宋" w:hAnsi="仿宋" w:eastAsia="仿宋" w:cs="宋体"/>
          <w:b/>
          <w:color w:val="auto"/>
          <w:kern w:val="0"/>
          <w:sz w:val="32"/>
          <w:szCs w:val="32"/>
          <w:highlight w:val="none"/>
        </w:rPr>
      </w:pPr>
      <w:bookmarkStart w:id="2" w:name="_Toc4241"/>
      <w:r>
        <w:rPr>
          <w:rFonts w:hint="eastAsia" w:ascii="仿宋" w:hAnsi="仿宋" w:eastAsia="仿宋" w:cs="宋体"/>
          <w:b/>
          <w:color w:val="auto"/>
          <w:kern w:val="0"/>
          <w:sz w:val="32"/>
          <w:szCs w:val="32"/>
          <w:highlight w:val="none"/>
        </w:rPr>
        <w:t>第一章 竞争性磋商公告</w:t>
      </w:r>
      <w:bookmarkEnd w:id="2"/>
    </w:p>
    <w:p w14:paraId="0E1A198F">
      <w:pPr>
        <w:pBdr>
          <w:top w:val="single" w:color="auto" w:sz="4" w:space="1"/>
          <w:left w:val="single" w:color="auto" w:sz="4" w:space="4"/>
          <w:bottom w:val="single" w:color="auto" w:sz="4" w:space="1"/>
          <w:right w:val="single" w:color="auto" w:sz="4" w:space="4"/>
        </w:pBdr>
        <w:autoSpaceDN w:val="0"/>
        <w:adjustRightInd w:val="0"/>
        <w:snapToGrid w:val="0"/>
        <w:spacing w:line="360"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项目概况</w:t>
      </w:r>
    </w:p>
    <w:p w14:paraId="1C2C1A19">
      <w:pPr>
        <w:pBdr>
          <w:top w:val="single" w:color="auto" w:sz="4" w:space="1"/>
          <w:left w:val="single" w:color="auto" w:sz="4" w:space="4"/>
          <w:bottom w:val="single" w:color="auto" w:sz="4" w:space="1"/>
          <w:right w:val="single" w:color="auto" w:sz="4" w:space="4"/>
        </w:pBdr>
        <w:autoSpaceDE w:val="0"/>
        <w:autoSpaceDN w:val="0"/>
        <w:adjustRightInd w:val="0"/>
        <w:snapToGrid w:val="0"/>
        <w:spacing w:line="360" w:lineRule="auto"/>
        <w:ind w:firstLine="464" w:firstLineChars="200"/>
        <w:rPr>
          <w:rFonts w:ascii="仿宋" w:hAnsi="仿宋" w:eastAsia="仿宋" w:cs="宋体"/>
          <w:color w:val="auto"/>
          <w:sz w:val="24"/>
          <w:szCs w:val="24"/>
          <w:highlight w:val="none"/>
        </w:rPr>
      </w:pPr>
      <w:r>
        <w:rPr>
          <w:rFonts w:hint="eastAsia" w:ascii="仿宋" w:hAnsi="仿宋" w:eastAsia="仿宋" w:cs="宋体"/>
          <w:color w:val="auto"/>
          <w:spacing w:val="-4"/>
          <w:kern w:val="0"/>
          <w:sz w:val="24"/>
          <w:szCs w:val="24"/>
          <w:highlight w:val="none"/>
          <w:u w:val="single"/>
          <w:lang w:eastAsia="zh-CN"/>
        </w:rPr>
        <w:t>浙江工业大学屏峰校区学生宿舍建设工程项目施工用电工程</w:t>
      </w:r>
      <w:r>
        <w:rPr>
          <w:rFonts w:hint="eastAsia" w:ascii="仿宋" w:hAnsi="仿宋" w:eastAsia="仿宋" w:cs="宋体"/>
          <w:color w:val="auto"/>
          <w:spacing w:val="-4"/>
          <w:kern w:val="0"/>
          <w:sz w:val="24"/>
          <w:szCs w:val="24"/>
          <w:highlight w:val="none"/>
        </w:rPr>
        <w:t>的潜在供应商应在</w:t>
      </w:r>
      <w:r>
        <w:rPr>
          <w:rFonts w:hint="eastAsia" w:ascii="仿宋" w:hAnsi="仿宋" w:eastAsia="仿宋" w:cs="宋体"/>
          <w:color w:val="auto"/>
          <w:sz w:val="24"/>
          <w:szCs w:val="24"/>
          <w:highlight w:val="none"/>
          <w:u w:val="single"/>
        </w:rPr>
        <w:t>https://www.zcygov.cn</w:t>
      </w:r>
      <w:r>
        <w:rPr>
          <w:rFonts w:hint="eastAsia" w:ascii="仿宋" w:hAnsi="仿宋" w:eastAsia="仿宋" w:cs="宋体"/>
          <w:color w:val="auto"/>
          <w:sz w:val="24"/>
          <w:szCs w:val="24"/>
          <w:highlight w:val="none"/>
        </w:rPr>
        <w:t>获取（下载）采购文件，并于</w:t>
      </w:r>
      <w:r>
        <w:rPr>
          <w:rFonts w:hint="eastAsia" w:ascii="仿宋" w:hAnsi="仿宋" w:eastAsia="仿宋" w:cs="宋体"/>
          <w:b/>
          <w:color w:val="auto"/>
          <w:sz w:val="24"/>
          <w:szCs w:val="24"/>
          <w:highlight w:val="none"/>
          <w:u w:val="single"/>
          <w:lang w:eastAsia="zh-CN"/>
        </w:rPr>
        <w:t>2025</w:t>
      </w:r>
      <w:r>
        <w:rPr>
          <w:rFonts w:hint="eastAsia" w:ascii="仿宋" w:hAnsi="仿宋" w:eastAsia="仿宋" w:cs="宋体"/>
          <w:b/>
          <w:color w:val="auto"/>
          <w:sz w:val="24"/>
          <w:szCs w:val="24"/>
          <w:highlight w:val="none"/>
          <w:u w:val="single"/>
        </w:rPr>
        <w:t>年</w:t>
      </w:r>
      <w:r>
        <w:rPr>
          <w:rFonts w:hint="eastAsia" w:ascii="仿宋" w:hAnsi="仿宋" w:eastAsia="仿宋" w:cs="宋体"/>
          <w:b/>
          <w:color w:val="auto"/>
          <w:sz w:val="24"/>
          <w:szCs w:val="24"/>
          <w:highlight w:val="none"/>
          <w:u w:val="single"/>
          <w:lang w:val="en-US" w:eastAsia="zh-CN"/>
        </w:rPr>
        <w:t>02</w:t>
      </w:r>
      <w:r>
        <w:rPr>
          <w:rFonts w:hint="eastAsia" w:ascii="仿宋" w:hAnsi="仿宋" w:eastAsia="仿宋" w:cs="宋体"/>
          <w:b/>
          <w:color w:val="auto"/>
          <w:sz w:val="24"/>
          <w:szCs w:val="24"/>
          <w:highlight w:val="none"/>
          <w:u w:val="single"/>
        </w:rPr>
        <w:t>月</w:t>
      </w:r>
      <w:r>
        <w:rPr>
          <w:rFonts w:hint="eastAsia" w:ascii="仿宋" w:hAnsi="仿宋" w:eastAsia="仿宋" w:cs="宋体"/>
          <w:b/>
          <w:color w:val="auto"/>
          <w:sz w:val="24"/>
          <w:szCs w:val="24"/>
          <w:highlight w:val="none"/>
          <w:u w:val="single"/>
          <w:lang w:val="en-US" w:eastAsia="zh-CN"/>
        </w:rPr>
        <w:t>19</w:t>
      </w:r>
      <w:r>
        <w:rPr>
          <w:rFonts w:hint="eastAsia" w:ascii="仿宋" w:hAnsi="仿宋" w:eastAsia="仿宋" w:cs="宋体"/>
          <w:b/>
          <w:color w:val="auto"/>
          <w:sz w:val="24"/>
          <w:szCs w:val="24"/>
          <w:highlight w:val="none"/>
          <w:u w:val="single"/>
        </w:rPr>
        <w:t>日</w:t>
      </w:r>
      <w:r>
        <w:rPr>
          <w:rFonts w:hint="eastAsia" w:ascii="仿宋" w:hAnsi="仿宋" w:eastAsia="仿宋" w:cs="宋体"/>
          <w:b/>
          <w:color w:val="auto"/>
          <w:sz w:val="24"/>
          <w:szCs w:val="24"/>
          <w:highlight w:val="none"/>
          <w:u w:val="single"/>
          <w:lang w:val="en-US" w:eastAsia="zh-CN"/>
        </w:rPr>
        <w:t>09</w:t>
      </w:r>
      <w:r>
        <w:rPr>
          <w:rFonts w:hint="eastAsia" w:ascii="仿宋" w:hAnsi="仿宋" w:eastAsia="仿宋" w:cs="宋体"/>
          <w:b/>
          <w:color w:val="auto"/>
          <w:sz w:val="24"/>
          <w:szCs w:val="24"/>
          <w:highlight w:val="none"/>
          <w:u w:val="single"/>
        </w:rPr>
        <w:t>:</w:t>
      </w:r>
      <w:r>
        <w:rPr>
          <w:rFonts w:hint="eastAsia" w:ascii="仿宋" w:hAnsi="仿宋" w:eastAsia="仿宋" w:cs="宋体"/>
          <w:b/>
          <w:color w:val="auto"/>
          <w:sz w:val="24"/>
          <w:szCs w:val="24"/>
          <w:highlight w:val="none"/>
          <w:u w:val="single"/>
          <w:lang w:val="en-US" w:eastAsia="zh-CN"/>
        </w:rPr>
        <w:t>30</w:t>
      </w:r>
      <w:r>
        <w:rPr>
          <w:rFonts w:hint="eastAsia" w:ascii="仿宋" w:hAnsi="仿宋" w:eastAsia="仿宋" w:cs="宋体"/>
          <w:b/>
          <w:color w:val="auto"/>
          <w:sz w:val="24"/>
          <w:szCs w:val="24"/>
          <w:highlight w:val="none"/>
          <w:u w:val="single"/>
        </w:rPr>
        <w:t>（北京时间）</w:t>
      </w:r>
      <w:r>
        <w:rPr>
          <w:rFonts w:hint="eastAsia" w:ascii="仿宋" w:hAnsi="仿宋" w:eastAsia="仿宋" w:cs="宋体"/>
          <w:bCs/>
          <w:color w:val="auto"/>
          <w:sz w:val="24"/>
          <w:szCs w:val="24"/>
          <w:highlight w:val="none"/>
        </w:rPr>
        <w:t>前提交（上传）响应文件</w:t>
      </w:r>
      <w:r>
        <w:rPr>
          <w:rFonts w:hint="eastAsia" w:ascii="仿宋" w:hAnsi="仿宋" w:eastAsia="仿宋" w:cs="宋体"/>
          <w:color w:val="auto"/>
          <w:sz w:val="24"/>
          <w:szCs w:val="24"/>
          <w:highlight w:val="none"/>
        </w:rPr>
        <w:t>。</w:t>
      </w:r>
    </w:p>
    <w:p w14:paraId="73FB7A48">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bookmarkStart w:id="3" w:name="_Toc28359079"/>
      <w:bookmarkStart w:id="4" w:name="_Toc35393621"/>
      <w:bookmarkStart w:id="5" w:name="_Toc35393790"/>
      <w:bookmarkStart w:id="6" w:name="_Toc28359002"/>
      <w:bookmarkStart w:id="7" w:name="_Hlk24379207"/>
      <w:r>
        <w:rPr>
          <w:rFonts w:hint="eastAsia" w:ascii="仿宋" w:hAnsi="仿宋" w:eastAsia="仿宋" w:cs="宋体"/>
          <w:b/>
          <w:color w:val="auto"/>
          <w:spacing w:val="-4"/>
          <w:kern w:val="0"/>
          <w:sz w:val="24"/>
          <w:szCs w:val="24"/>
          <w:highlight w:val="none"/>
        </w:rPr>
        <w:t>一、项目基本情况</w:t>
      </w:r>
      <w:bookmarkEnd w:id="3"/>
      <w:bookmarkEnd w:id="4"/>
      <w:bookmarkEnd w:id="5"/>
      <w:bookmarkEnd w:id="6"/>
    </w:p>
    <w:p w14:paraId="7AECEA4B">
      <w:pPr>
        <w:widowControl/>
        <w:autoSpaceDN w:val="0"/>
        <w:adjustRightInd w:val="0"/>
        <w:snapToGrid w:val="0"/>
        <w:spacing w:line="360" w:lineRule="auto"/>
        <w:ind w:firstLine="480" w:firstLineChars="200"/>
        <w:rPr>
          <w:rFonts w:hint="eastAsia" w:ascii="仿宋" w:hAnsi="仿宋" w:eastAsia="仿宋" w:cs="Times New Roman"/>
          <w:color w:val="auto"/>
          <w:sz w:val="24"/>
          <w:szCs w:val="24"/>
          <w:highlight w:val="none"/>
          <w:lang w:eastAsia="zh-CN"/>
        </w:rPr>
      </w:pPr>
      <w:r>
        <w:rPr>
          <w:rFonts w:hint="eastAsia" w:ascii="仿宋" w:hAnsi="仿宋" w:eastAsia="仿宋" w:cs="宋体"/>
          <w:color w:val="auto"/>
          <w:sz w:val="24"/>
          <w:szCs w:val="24"/>
          <w:highlight w:val="none"/>
        </w:rPr>
        <w:t>项目编号：</w:t>
      </w:r>
      <w:r>
        <w:rPr>
          <w:rFonts w:hint="eastAsia" w:ascii="仿宋" w:hAnsi="仿宋" w:eastAsia="仿宋" w:cs="宋体"/>
          <w:color w:val="auto"/>
          <w:spacing w:val="-4"/>
          <w:kern w:val="0"/>
          <w:sz w:val="24"/>
          <w:szCs w:val="24"/>
          <w:highlight w:val="none"/>
          <w:lang w:eastAsia="zh-CN"/>
        </w:rPr>
        <w:t>HCZX-24982</w:t>
      </w:r>
    </w:p>
    <w:p w14:paraId="5916FD97">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eastAsia="zh-CN"/>
        </w:rPr>
      </w:pPr>
      <w:r>
        <w:rPr>
          <w:rFonts w:hint="eastAsia" w:ascii="仿宋" w:hAnsi="仿宋" w:eastAsia="仿宋" w:cs="宋体"/>
          <w:color w:val="auto"/>
          <w:spacing w:val="-4"/>
          <w:kern w:val="0"/>
          <w:sz w:val="24"/>
          <w:szCs w:val="24"/>
          <w:highlight w:val="none"/>
        </w:rPr>
        <w:t>项目名称：</w:t>
      </w:r>
      <w:r>
        <w:rPr>
          <w:rFonts w:hint="eastAsia" w:ascii="仿宋" w:hAnsi="仿宋" w:eastAsia="仿宋" w:cs="宋体"/>
          <w:color w:val="auto"/>
          <w:spacing w:val="-4"/>
          <w:kern w:val="0"/>
          <w:sz w:val="24"/>
          <w:szCs w:val="24"/>
          <w:highlight w:val="none"/>
          <w:lang w:eastAsia="zh-CN"/>
        </w:rPr>
        <w:t>浙江工业大学屏峰校区学生宿舍建设工程项目施工用电工程</w:t>
      </w:r>
    </w:p>
    <w:p w14:paraId="49DF20F4">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采购方式：竞争性磋商</w:t>
      </w:r>
    </w:p>
    <w:bookmarkEnd w:id="7"/>
    <w:p w14:paraId="72CC8BC2">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预算金额（元）：</w:t>
      </w:r>
      <w:r>
        <w:rPr>
          <w:rFonts w:hint="eastAsia" w:ascii="仿宋" w:hAnsi="仿宋" w:eastAsia="仿宋" w:cs="宋体"/>
          <w:color w:val="auto"/>
          <w:spacing w:val="-4"/>
          <w:kern w:val="0"/>
          <w:sz w:val="24"/>
          <w:szCs w:val="24"/>
          <w:highlight w:val="none"/>
          <w:lang w:val="en-US" w:eastAsia="zh-CN"/>
        </w:rPr>
        <w:t>1970000.00</w:t>
      </w:r>
    </w:p>
    <w:p w14:paraId="7F9D3E73">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最高限价（元）：</w:t>
      </w:r>
      <w:r>
        <w:rPr>
          <w:rFonts w:hint="eastAsia" w:ascii="仿宋" w:hAnsi="仿宋" w:eastAsia="仿宋" w:cs="宋体"/>
          <w:color w:val="auto"/>
          <w:spacing w:val="-4"/>
          <w:kern w:val="0"/>
          <w:sz w:val="24"/>
          <w:szCs w:val="24"/>
          <w:highlight w:val="none"/>
        </w:rPr>
        <w:t>1890284</w:t>
      </w:r>
      <w:r>
        <w:rPr>
          <w:rFonts w:hint="eastAsia" w:ascii="仿宋" w:hAnsi="仿宋" w:eastAsia="仿宋" w:cs="宋体"/>
          <w:color w:val="auto"/>
          <w:spacing w:val="-4"/>
          <w:kern w:val="0"/>
          <w:sz w:val="24"/>
          <w:szCs w:val="24"/>
          <w:highlight w:val="none"/>
          <w:lang w:val="en-US" w:eastAsia="zh-CN"/>
        </w:rPr>
        <w:t>.00</w:t>
      </w:r>
    </w:p>
    <w:p w14:paraId="12F99750">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eastAsia="zh-CN"/>
        </w:rPr>
      </w:pPr>
      <w:r>
        <w:rPr>
          <w:rFonts w:hint="eastAsia" w:ascii="仿宋" w:hAnsi="仿宋" w:eastAsia="仿宋" w:cs="宋体"/>
          <w:color w:val="auto"/>
          <w:spacing w:val="-4"/>
          <w:kern w:val="0"/>
          <w:sz w:val="24"/>
          <w:szCs w:val="24"/>
          <w:highlight w:val="none"/>
        </w:rPr>
        <w:t>采购需求：</w:t>
      </w:r>
    </w:p>
    <w:p w14:paraId="2919A252">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数量：1</w:t>
      </w:r>
    </w:p>
    <w:p w14:paraId="42B21101">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单位：项</w:t>
      </w:r>
    </w:p>
    <w:p w14:paraId="47FF7968">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预算金额（元）：</w:t>
      </w:r>
      <w:r>
        <w:rPr>
          <w:rFonts w:hint="eastAsia" w:ascii="仿宋" w:hAnsi="仿宋" w:eastAsia="仿宋" w:cs="宋体"/>
          <w:color w:val="auto"/>
          <w:spacing w:val="-4"/>
          <w:kern w:val="0"/>
          <w:sz w:val="24"/>
          <w:szCs w:val="24"/>
          <w:highlight w:val="none"/>
          <w:lang w:val="en-US" w:eastAsia="zh-CN"/>
        </w:rPr>
        <w:t>1970000.00</w:t>
      </w:r>
    </w:p>
    <w:p w14:paraId="38B1DA23">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简要规格描述：</w:t>
      </w:r>
      <w:r>
        <w:rPr>
          <w:rFonts w:hint="eastAsia" w:ascii="仿宋" w:hAnsi="仿宋" w:eastAsia="仿宋" w:cs="宋体"/>
          <w:color w:val="auto"/>
          <w:spacing w:val="-4"/>
          <w:kern w:val="0"/>
          <w:sz w:val="24"/>
          <w:szCs w:val="24"/>
          <w:highlight w:val="none"/>
          <w:lang w:eastAsia="zh-CN"/>
        </w:rPr>
        <w:t>浙江工业大学屏峰校区学生宿舍建设工程项目施工用电工程</w:t>
      </w:r>
      <w:r>
        <w:rPr>
          <w:rFonts w:hint="eastAsia" w:ascii="仿宋" w:hAnsi="仿宋" w:eastAsia="仿宋" w:cs="宋体"/>
          <w:color w:val="auto"/>
          <w:spacing w:val="-4"/>
          <w:kern w:val="0"/>
          <w:sz w:val="24"/>
          <w:szCs w:val="24"/>
          <w:highlight w:val="none"/>
        </w:rPr>
        <w:t>，</w:t>
      </w:r>
      <w:r>
        <w:rPr>
          <w:rFonts w:hint="eastAsia" w:ascii="仿宋" w:hAnsi="仿宋" w:eastAsia="仿宋" w:cs="宋体"/>
          <w:color w:val="auto"/>
          <w:spacing w:val="-4"/>
          <w:kern w:val="0"/>
          <w:sz w:val="24"/>
          <w:szCs w:val="24"/>
          <w:highlight w:val="none"/>
          <w:lang w:eastAsia="zh-CN"/>
        </w:rPr>
        <w:t>主要包含屏峰校区学生宿舍建设工程提供临时施工用电，包含电力管线敷设、新装变压器及高压计量箱等内容。</w:t>
      </w:r>
      <w:r>
        <w:rPr>
          <w:rFonts w:hint="eastAsia" w:ascii="仿宋" w:hAnsi="仿宋" w:eastAsia="仿宋" w:cs="宋体"/>
          <w:color w:val="auto"/>
          <w:spacing w:val="-4"/>
          <w:kern w:val="0"/>
          <w:sz w:val="24"/>
          <w:szCs w:val="24"/>
          <w:highlight w:val="none"/>
        </w:rPr>
        <w:t>详见采购文件第四章采购内容及需求。</w:t>
      </w:r>
    </w:p>
    <w:p w14:paraId="4CF3BB82">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eastAsia="zh-CN"/>
        </w:rPr>
      </w:pPr>
      <w:r>
        <w:rPr>
          <w:rFonts w:hint="eastAsia" w:ascii="仿宋" w:hAnsi="仿宋" w:eastAsia="仿宋" w:cs="宋体"/>
          <w:color w:val="auto"/>
          <w:spacing w:val="-4"/>
          <w:kern w:val="0"/>
          <w:sz w:val="24"/>
          <w:szCs w:val="24"/>
          <w:highlight w:val="none"/>
        </w:rPr>
        <w:t>备注：</w:t>
      </w:r>
      <w:r>
        <w:rPr>
          <w:rFonts w:hint="eastAsia" w:ascii="仿宋" w:hAnsi="仿宋" w:eastAsia="仿宋" w:cs="宋体"/>
          <w:color w:val="auto"/>
          <w:spacing w:val="-4"/>
          <w:kern w:val="0"/>
          <w:sz w:val="24"/>
          <w:szCs w:val="24"/>
          <w:highlight w:val="none"/>
          <w:lang w:val="en-US" w:eastAsia="zh-CN"/>
        </w:rPr>
        <w:t>/</w:t>
      </w:r>
    </w:p>
    <w:p w14:paraId="39329AAC">
      <w:pPr>
        <w:autoSpaceDN w:val="0"/>
        <w:adjustRightInd w:val="0"/>
        <w:snapToGrid w:val="0"/>
        <w:spacing w:line="360" w:lineRule="auto"/>
        <w:ind w:firstLine="464" w:firstLineChars="200"/>
        <w:rPr>
          <w:rFonts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rPr>
        <w:t>合同履行期限：标项 1，</w:t>
      </w:r>
      <w:r>
        <w:rPr>
          <w:rFonts w:hint="eastAsia" w:ascii="仿宋" w:hAnsi="仿宋" w:eastAsia="仿宋" w:cs="仿宋"/>
          <w:color w:val="auto"/>
          <w:spacing w:val="-4"/>
          <w:kern w:val="0"/>
          <w:sz w:val="24"/>
          <w:szCs w:val="24"/>
          <w:highlight w:val="none"/>
          <w:lang w:val="en-US" w:eastAsia="zh-CN"/>
        </w:rPr>
        <w:t>60日历天</w:t>
      </w:r>
    </w:p>
    <w:p w14:paraId="59CDA763">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本项目（是）接受联合体投标</w:t>
      </w:r>
    </w:p>
    <w:p w14:paraId="39ABFA6E">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bookmarkStart w:id="8" w:name="_Toc28359080"/>
      <w:bookmarkStart w:id="9" w:name="_Toc35393622"/>
      <w:bookmarkStart w:id="10" w:name="_Toc28359003"/>
      <w:bookmarkStart w:id="11" w:name="_Toc35393791"/>
      <w:r>
        <w:rPr>
          <w:rFonts w:hint="eastAsia" w:ascii="仿宋" w:hAnsi="仿宋" w:eastAsia="仿宋" w:cs="宋体"/>
          <w:b/>
          <w:color w:val="auto"/>
          <w:spacing w:val="-4"/>
          <w:kern w:val="0"/>
          <w:sz w:val="24"/>
          <w:szCs w:val="24"/>
          <w:highlight w:val="none"/>
        </w:rPr>
        <w:t>二、申请人的资格要求</w:t>
      </w:r>
      <w:bookmarkEnd w:id="8"/>
      <w:bookmarkEnd w:id="9"/>
      <w:bookmarkEnd w:id="10"/>
      <w:bookmarkEnd w:id="11"/>
    </w:p>
    <w:p w14:paraId="5C136029">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5CDF0235">
      <w:pPr>
        <w:autoSpaceDN w:val="0"/>
        <w:adjustRightInd w:val="0"/>
        <w:snapToGrid w:val="0"/>
        <w:spacing w:line="360" w:lineRule="auto"/>
        <w:ind w:firstLine="480" w:firstLineChars="200"/>
        <w:rPr>
          <w:rFonts w:ascii="仿宋" w:hAnsi="仿宋" w:eastAsia="仿宋" w:cs="宋体"/>
          <w:color w:val="auto"/>
          <w:spacing w:val="-4"/>
          <w:kern w:val="0"/>
          <w:sz w:val="24"/>
          <w:szCs w:val="24"/>
          <w:highlight w:val="none"/>
        </w:rPr>
      </w:pPr>
      <w:bookmarkStart w:id="12" w:name="_Toc28359004"/>
      <w:bookmarkStart w:id="13" w:name="_Toc28359081"/>
      <w:r>
        <w:rPr>
          <w:rFonts w:hint="eastAsia" w:ascii="仿宋" w:hAnsi="仿宋" w:eastAsia="仿宋" w:cs="宋体"/>
          <w:color w:val="auto"/>
          <w:sz w:val="24"/>
          <w:szCs w:val="24"/>
          <w:highlight w:val="none"/>
        </w:rPr>
        <w:t>2.落实政府采购政策需满足的资格要求：</w:t>
      </w:r>
      <w:r>
        <w:rPr>
          <w:rFonts w:hint="eastAsia" w:ascii="仿宋" w:hAnsi="仿宋" w:eastAsia="仿宋" w:cs="宋体"/>
          <w:b/>
          <w:color w:val="auto"/>
          <w:spacing w:val="-4"/>
          <w:kern w:val="0"/>
          <w:sz w:val="24"/>
          <w:szCs w:val="24"/>
          <w:highlight w:val="none"/>
        </w:rPr>
        <w:t>本项目是专门面向中小企业采购的项目,供应商应为中、小、微企业</w:t>
      </w:r>
      <w:r>
        <w:rPr>
          <w:rFonts w:hint="eastAsia" w:ascii="仿宋" w:hAnsi="仿宋" w:eastAsia="仿宋" w:cs="Times New Roman"/>
          <w:b/>
          <w:bCs/>
          <w:color w:val="auto"/>
          <w:sz w:val="24"/>
          <w:szCs w:val="24"/>
          <w:highlight w:val="none"/>
        </w:rPr>
        <w:t>（符合要求的监狱企业和残疾人福利性单位视同为小微企业），项目属性为工程，中小企业划分标准对应行业为“建筑业”；</w:t>
      </w:r>
    </w:p>
    <w:p w14:paraId="0A17BC7E">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3.本项目的特定资格要求：</w:t>
      </w:r>
    </w:p>
    <w:p w14:paraId="3ED4BFAC">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bookmarkStart w:id="14" w:name="_Hlk130373903"/>
      <w:bookmarkStart w:id="15" w:name="_Toc35393623"/>
      <w:bookmarkStart w:id="16" w:name="_Toc35393792"/>
      <w:r>
        <w:rPr>
          <w:rFonts w:hint="eastAsia" w:ascii="仿宋" w:hAnsi="仿宋" w:eastAsia="仿宋" w:cs="宋体"/>
          <w:b/>
          <w:color w:val="auto"/>
          <w:spacing w:val="-4"/>
          <w:kern w:val="0"/>
          <w:sz w:val="24"/>
          <w:szCs w:val="24"/>
          <w:highlight w:val="none"/>
        </w:rPr>
        <w:t>（1）</w:t>
      </w:r>
      <w:r>
        <w:rPr>
          <w:rFonts w:hint="eastAsia" w:ascii="仿宋" w:hAnsi="仿宋" w:eastAsia="仿宋" w:cs="宋体"/>
          <w:b/>
          <w:color w:val="auto"/>
          <w:spacing w:val="-4"/>
          <w:kern w:val="0"/>
          <w:sz w:val="24"/>
          <w:szCs w:val="24"/>
          <w:highlight w:val="none"/>
          <w:lang w:eastAsia="zh-CN"/>
        </w:rPr>
        <w:t>同时具有电力工程施工总承包三级及以上资质或输变电工程专业承包三级及以上资质；并具有国家电力主管部门颁发的承装（修、试）四级及以上电力设施许可证；具有有效的安全生产许可证。</w:t>
      </w:r>
    </w:p>
    <w:p w14:paraId="02D1816B">
      <w:pPr>
        <w:widowControl/>
        <w:autoSpaceDN w:val="0"/>
        <w:adjustRightInd w:val="0"/>
        <w:snapToGrid w:val="0"/>
        <w:spacing w:line="360" w:lineRule="auto"/>
        <w:ind w:firstLine="466" w:firstLineChars="200"/>
        <w:jc w:val="left"/>
        <w:rPr>
          <w:rFonts w:hint="eastAsia"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2）企业主要负责人（法定代表人、企业经理、企业分管安全生产的副经理、企业技术负责人）具有“三类人员”有效A类证书，企业分管安全生产的副经理具有任命文件；拟派项目经理具有有效的机电工程二级及以上注册建造师证书及“三类人员”有效B类证书；拟派现场安全生产专职管理人员具有“三类人员”有效C类证书。</w:t>
      </w:r>
    </w:p>
    <w:p w14:paraId="10AA1F53">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（3）</w:t>
      </w:r>
      <w:bookmarkEnd w:id="14"/>
      <w:r>
        <w:rPr>
          <w:rFonts w:hint="eastAsia" w:ascii="仿宋" w:hAnsi="仿宋" w:eastAsia="仿宋" w:cs="宋体"/>
          <w:b/>
          <w:color w:val="auto"/>
          <w:spacing w:val="-4"/>
          <w:kern w:val="0"/>
          <w:sz w:val="24"/>
          <w:szCs w:val="24"/>
          <w:highlight w:val="none"/>
        </w:rPr>
        <w:t>本项目允许符合以下规定的联合体参加投标：</w:t>
      </w:r>
    </w:p>
    <w:p w14:paraId="4247A7B1">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①联合体各方均须为符合政策要求的中、小、微型企业并且符合本项目“申请人的资格要求”第1条规定；</w:t>
      </w:r>
    </w:p>
    <w:p w14:paraId="3AEC9621">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②提交有效的联合投标（响应）协议书，明确载明联合体各方承担的工作和义务。</w:t>
      </w:r>
    </w:p>
    <w:p w14:paraId="31DBCBCE">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（4）本项目允许分包，要求如下：</w:t>
      </w:r>
    </w:p>
    <w:p w14:paraId="6F8870CC">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①分包承担主体均须为符合政策要求的中、小、微型企业并且符合本项目“申请人的资格要求”第1条规定；</w:t>
      </w:r>
    </w:p>
    <w:p w14:paraId="16FE2C18">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②提交有效的分包意向协议。</w:t>
      </w:r>
    </w:p>
    <w:p w14:paraId="4372934D">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三、获取（下载）采购文件</w:t>
      </w:r>
      <w:bookmarkEnd w:id="12"/>
      <w:bookmarkEnd w:id="13"/>
      <w:bookmarkEnd w:id="15"/>
      <w:bookmarkEnd w:id="16"/>
    </w:p>
    <w:p w14:paraId="43C68EBA">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1.时间：</w:t>
      </w:r>
      <w:r>
        <w:rPr>
          <w:rFonts w:hint="eastAsia" w:ascii="仿宋" w:hAnsi="仿宋" w:eastAsia="仿宋" w:cs="宋体"/>
          <w:color w:val="auto"/>
          <w:spacing w:val="-4"/>
          <w:kern w:val="0"/>
          <w:sz w:val="24"/>
          <w:szCs w:val="24"/>
          <w:highlight w:val="none"/>
          <w:u w:val="single"/>
        </w:rPr>
        <w:t xml:space="preserve"> / </w:t>
      </w:r>
      <w:r>
        <w:rPr>
          <w:rFonts w:hint="eastAsia" w:ascii="仿宋" w:hAnsi="仿宋" w:eastAsia="仿宋" w:cs="宋体"/>
          <w:color w:val="auto"/>
          <w:spacing w:val="-4"/>
          <w:kern w:val="0"/>
          <w:sz w:val="24"/>
          <w:szCs w:val="24"/>
          <w:highlight w:val="none"/>
        </w:rPr>
        <w:t>至</w:t>
      </w:r>
      <w:r>
        <w:rPr>
          <w:rFonts w:hint="eastAsia" w:ascii="仿宋" w:hAnsi="仿宋" w:eastAsia="仿宋" w:cs="宋体"/>
          <w:color w:val="auto"/>
          <w:spacing w:val="-4"/>
          <w:kern w:val="0"/>
          <w:sz w:val="24"/>
          <w:szCs w:val="24"/>
          <w:highlight w:val="none"/>
          <w:u w:val="single"/>
          <w:lang w:eastAsia="zh-CN"/>
        </w:rPr>
        <w:t>2025</w:t>
      </w:r>
      <w:r>
        <w:rPr>
          <w:rFonts w:hint="eastAsia" w:ascii="仿宋" w:hAnsi="仿宋" w:eastAsia="仿宋" w:cs="宋体"/>
          <w:color w:val="auto"/>
          <w:spacing w:val="-4"/>
          <w:kern w:val="0"/>
          <w:sz w:val="24"/>
          <w:szCs w:val="24"/>
          <w:highlight w:val="none"/>
          <w:u w:val="single"/>
        </w:rPr>
        <w:t>年</w:t>
      </w:r>
      <w:r>
        <w:rPr>
          <w:rFonts w:hint="eastAsia" w:ascii="仿宋" w:hAnsi="仿宋" w:eastAsia="仿宋" w:cs="宋体"/>
          <w:color w:val="auto"/>
          <w:spacing w:val="-4"/>
          <w:kern w:val="0"/>
          <w:sz w:val="24"/>
          <w:szCs w:val="24"/>
          <w:highlight w:val="none"/>
          <w:u w:val="single"/>
          <w:lang w:val="en-US" w:eastAsia="zh-CN"/>
        </w:rPr>
        <w:t>02</w:t>
      </w:r>
      <w:r>
        <w:rPr>
          <w:rFonts w:hint="eastAsia" w:ascii="仿宋" w:hAnsi="仿宋" w:eastAsia="仿宋" w:cs="宋体"/>
          <w:color w:val="auto"/>
          <w:spacing w:val="-4"/>
          <w:kern w:val="0"/>
          <w:sz w:val="24"/>
          <w:szCs w:val="24"/>
          <w:highlight w:val="none"/>
          <w:u w:val="single"/>
        </w:rPr>
        <w:t>月</w:t>
      </w:r>
      <w:r>
        <w:rPr>
          <w:rFonts w:hint="eastAsia" w:ascii="仿宋" w:hAnsi="仿宋" w:eastAsia="仿宋" w:cs="宋体"/>
          <w:color w:val="auto"/>
          <w:spacing w:val="-4"/>
          <w:kern w:val="0"/>
          <w:sz w:val="24"/>
          <w:szCs w:val="24"/>
          <w:highlight w:val="none"/>
          <w:u w:val="single"/>
          <w:lang w:val="en-US" w:eastAsia="zh-CN"/>
        </w:rPr>
        <w:t>19</w:t>
      </w:r>
      <w:r>
        <w:rPr>
          <w:rFonts w:hint="eastAsia" w:ascii="仿宋" w:hAnsi="仿宋" w:eastAsia="仿宋" w:cs="宋体"/>
          <w:color w:val="auto"/>
          <w:spacing w:val="-4"/>
          <w:kern w:val="0"/>
          <w:sz w:val="24"/>
          <w:szCs w:val="24"/>
          <w:highlight w:val="none"/>
          <w:u w:val="single"/>
        </w:rPr>
        <w:t>日</w:t>
      </w:r>
      <w:r>
        <w:rPr>
          <w:rFonts w:hint="eastAsia" w:ascii="仿宋" w:hAnsi="仿宋" w:eastAsia="仿宋" w:cs="宋体"/>
          <w:color w:val="auto"/>
          <w:spacing w:val="-4"/>
          <w:kern w:val="0"/>
          <w:sz w:val="24"/>
          <w:szCs w:val="24"/>
          <w:highlight w:val="none"/>
        </w:rPr>
        <w:t>，每天上午00:00至12:00，下午12:00至23:59（北京时间，线上获取法定节假日均可，线下获取文件法定节假日除外）。</w:t>
      </w:r>
    </w:p>
    <w:p w14:paraId="397B0D8C">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2.地点（网址）：</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hint="eastAsia" w:ascii="仿宋" w:hAnsi="仿宋" w:eastAsia="仿宋" w:cs="宋体"/>
          <w:color w:val="auto"/>
          <w:spacing w:val="-4"/>
          <w:kern w:val="0"/>
          <w:sz w:val="24"/>
          <w:szCs w:val="24"/>
          <w:highlight w:val="none"/>
          <w:u w:val="single"/>
        </w:rPr>
        <w:t>https://www.zcygov.cn</w:t>
      </w:r>
      <w:r>
        <w:rPr>
          <w:rFonts w:hint="eastAsia" w:ascii="仿宋" w:hAnsi="仿宋" w:eastAsia="仿宋" w:cs="宋体"/>
          <w:color w:val="auto"/>
          <w:spacing w:val="-4"/>
          <w:kern w:val="0"/>
          <w:sz w:val="24"/>
          <w:szCs w:val="24"/>
          <w:highlight w:val="none"/>
          <w:u w:val="single"/>
        </w:rPr>
        <w:fldChar w:fldCharType="end"/>
      </w:r>
    </w:p>
    <w:p w14:paraId="2358E6CE">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3.方式：（1）线上获取（登录政府采购云平台→项目采购→获取采购文件→申请，审核通过后可下载采购文件）。本次采购不提供纸质版采购文件。（2）供应商获取采购文件前应通过浙江政府采购网“浙江政府采购供应商信息登记管理系统”进行信息登记，获得线上政府采购活动操作权限。（3）采购公告所附采购文件仅供阅览使用，供应商只有在“政府采购云平台”完成获取采购文件申请并下载了采购文件后才被视为合法获取了采购文件，否则其响应将被拒绝。</w:t>
      </w:r>
    </w:p>
    <w:p w14:paraId="5CB796F3">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4.售价（元）：0</w:t>
      </w:r>
    </w:p>
    <w:p w14:paraId="35AB34F7">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5.采购公告所附采购文件仅供阅览使用，供应商只有在“政府采购云平台”完成获取采购文件申请并下载了采购文件后才被视为合法获取了采购文件，否则其响应将被拒绝。</w:t>
      </w:r>
    </w:p>
    <w:p w14:paraId="5C109428">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bookmarkStart w:id="17" w:name="_Toc28359005"/>
      <w:bookmarkStart w:id="18" w:name="_Toc35393624"/>
      <w:bookmarkStart w:id="19" w:name="_Toc35393793"/>
      <w:bookmarkStart w:id="20" w:name="_Toc28359082"/>
      <w:r>
        <w:rPr>
          <w:rFonts w:hint="eastAsia" w:ascii="仿宋" w:hAnsi="仿宋" w:eastAsia="仿宋" w:cs="宋体"/>
          <w:b/>
          <w:color w:val="auto"/>
          <w:spacing w:val="-4"/>
          <w:kern w:val="0"/>
          <w:sz w:val="24"/>
          <w:szCs w:val="24"/>
          <w:highlight w:val="none"/>
        </w:rPr>
        <w:t>四、</w:t>
      </w:r>
      <w:bookmarkEnd w:id="17"/>
      <w:bookmarkEnd w:id="18"/>
      <w:bookmarkEnd w:id="19"/>
      <w:bookmarkEnd w:id="20"/>
      <w:r>
        <w:rPr>
          <w:rFonts w:hint="eastAsia" w:ascii="仿宋" w:hAnsi="仿宋" w:eastAsia="仿宋" w:cs="宋体"/>
          <w:b/>
          <w:color w:val="auto"/>
          <w:spacing w:val="-4"/>
          <w:kern w:val="0"/>
          <w:sz w:val="24"/>
          <w:szCs w:val="24"/>
          <w:highlight w:val="none"/>
        </w:rPr>
        <w:t>响应文件提交（上传）</w:t>
      </w:r>
    </w:p>
    <w:p w14:paraId="217C87B1">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1.递交响应文件截止时间：</w:t>
      </w:r>
      <w:r>
        <w:rPr>
          <w:rFonts w:hint="eastAsia" w:ascii="仿宋" w:hAnsi="仿宋" w:eastAsia="仿宋" w:cs="宋体"/>
          <w:b/>
          <w:color w:val="auto"/>
          <w:sz w:val="24"/>
          <w:szCs w:val="24"/>
          <w:highlight w:val="none"/>
          <w:u w:val="single"/>
          <w:lang w:eastAsia="zh-CN"/>
        </w:rPr>
        <w:t>2025</w:t>
      </w:r>
      <w:r>
        <w:rPr>
          <w:rFonts w:hint="eastAsia" w:ascii="仿宋" w:hAnsi="仿宋" w:eastAsia="仿宋" w:cs="宋体"/>
          <w:b/>
          <w:color w:val="auto"/>
          <w:sz w:val="24"/>
          <w:szCs w:val="24"/>
          <w:highlight w:val="none"/>
          <w:u w:val="single"/>
        </w:rPr>
        <w:t>年</w:t>
      </w:r>
      <w:r>
        <w:rPr>
          <w:rFonts w:hint="eastAsia" w:ascii="仿宋" w:hAnsi="仿宋" w:eastAsia="仿宋" w:cs="宋体"/>
          <w:b/>
          <w:color w:val="auto"/>
          <w:sz w:val="24"/>
          <w:szCs w:val="24"/>
          <w:highlight w:val="none"/>
          <w:u w:val="single"/>
          <w:lang w:val="en-US" w:eastAsia="zh-CN"/>
        </w:rPr>
        <w:t>02</w:t>
      </w:r>
      <w:r>
        <w:rPr>
          <w:rFonts w:hint="eastAsia" w:ascii="仿宋" w:hAnsi="仿宋" w:eastAsia="仿宋" w:cs="宋体"/>
          <w:b/>
          <w:color w:val="auto"/>
          <w:sz w:val="24"/>
          <w:szCs w:val="24"/>
          <w:highlight w:val="none"/>
          <w:u w:val="single"/>
        </w:rPr>
        <w:t>月</w:t>
      </w:r>
      <w:r>
        <w:rPr>
          <w:rFonts w:hint="eastAsia" w:ascii="仿宋" w:hAnsi="仿宋" w:eastAsia="仿宋" w:cs="宋体"/>
          <w:b/>
          <w:color w:val="auto"/>
          <w:sz w:val="24"/>
          <w:szCs w:val="24"/>
          <w:highlight w:val="none"/>
          <w:u w:val="single"/>
          <w:lang w:val="en-US" w:eastAsia="zh-CN"/>
        </w:rPr>
        <w:t>19</w:t>
      </w:r>
      <w:r>
        <w:rPr>
          <w:rFonts w:hint="eastAsia" w:ascii="仿宋" w:hAnsi="仿宋" w:eastAsia="仿宋" w:cs="宋体"/>
          <w:b/>
          <w:color w:val="auto"/>
          <w:sz w:val="24"/>
          <w:szCs w:val="24"/>
          <w:highlight w:val="none"/>
          <w:u w:val="single"/>
        </w:rPr>
        <w:t>日</w:t>
      </w:r>
      <w:r>
        <w:rPr>
          <w:rFonts w:hint="eastAsia" w:ascii="仿宋" w:hAnsi="仿宋" w:eastAsia="仿宋" w:cs="宋体"/>
          <w:b/>
          <w:color w:val="auto"/>
          <w:sz w:val="24"/>
          <w:szCs w:val="24"/>
          <w:highlight w:val="none"/>
          <w:u w:val="single"/>
          <w:lang w:val="en-US" w:eastAsia="zh-CN"/>
        </w:rPr>
        <w:t>09</w:t>
      </w:r>
      <w:r>
        <w:rPr>
          <w:rFonts w:hint="eastAsia" w:ascii="仿宋" w:hAnsi="仿宋" w:eastAsia="仿宋" w:cs="宋体"/>
          <w:b/>
          <w:color w:val="auto"/>
          <w:sz w:val="24"/>
          <w:szCs w:val="24"/>
          <w:highlight w:val="none"/>
          <w:u w:val="single"/>
        </w:rPr>
        <w:t>:</w:t>
      </w:r>
      <w:r>
        <w:rPr>
          <w:rFonts w:hint="eastAsia" w:ascii="仿宋" w:hAnsi="仿宋" w:eastAsia="仿宋" w:cs="宋体"/>
          <w:b/>
          <w:color w:val="auto"/>
          <w:sz w:val="24"/>
          <w:szCs w:val="24"/>
          <w:highlight w:val="none"/>
          <w:u w:val="single"/>
          <w:lang w:val="en-US" w:eastAsia="zh-CN"/>
        </w:rPr>
        <w:t>30</w:t>
      </w:r>
      <w:r>
        <w:rPr>
          <w:rFonts w:hint="eastAsia" w:ascii="仿宋" w:hAnsi="仿宋" w:eastAsia="仿宋" w:cs="宋体"/>
          <w:b/>
          <w:color w:val="auto"/>
          <w:spacing w:val="-4"/>
          <w:kern w:val="0"/>
          <w:sz w:val="24"/>
          <w:szCs w:val="24"/>
          <w:highlight w:val="none"/>
          <w:u w:val="single"/>
        </w:rPr>
        <w:t>:00（北京时间）</w:t>
      </w:r>
    </w:p>
    <w:p w14:paraId="766E09F0">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2.递交地点（网址）：（1）“电子加密响应文件”：https://www.zcygov.cn在线递交；（2）“电子备份响应文件”：杭州市拱墅区彩云路105号锦盛大楼</w:t>
      </w:r>
      <w:r>
        <w:rPr>
          <w:rFonts w:hint="eastAsia" w:ascii="仿宋" w:hAnsi="仿宋" w:eastAsia="仿宋" w:cs="宋体"/>
          <w:color w:val="auto"/>
          <w:spacing w:val="-4"/>
          <w:kern w:val="0"/>
          <w:sz w:val="24"/>
          <w:szCs w:val="24"/>
          <w:highlight w:val="none"/>
          <w:lang w:val="en-US" w:eastAsia="zh-CN"/>
        </w:rPr>
        <w:t>8楼</w:t>
      </w:r>
      <w:r>
        <w:rPr>
          <w:rFonts w:hint="eastAsia" w:ascii="仿宋" w:hAnsi="仿宋" w:eastAsia="仿宋" w:cs="宋体"/>
          <w:color w:val="auto"/>
          <w:spacing w:val="-4"/>
          <w:kern w:val="0"/>
          <w:sz w:val="24"/>
          <w:szCs w:val="24"/>
          <w:highlight w:val="none"/>
        </w:rPr>
        <w:t>。</w:t>
      </w:r>
    </w:p>
    <w:p w14:paraId="3F976337">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五、响应文件开启</w:t>
      </w:r>
    </w:p>
    <w:p w14:paraId="13C972F8">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1.开启时间：</w:t>
      </w:r>
      <w:r>
        <w:rPr>
          <w:rFonts w:hint="eastAsia" w:ascii="仿宋" w:hAnsi="仿宋" w:eastAsia="仿宋" w:cs="宋体"/>
          <w:b/>
          <w:color w:val="auto"/>
          <w:sz w:val="24"/>
          <w:szCs w:val="24"/>
          <w:highlight w:val="none"/>
          <w:u w:val="single"/>
          <w:lang w:eastAsia="zh-CN"/>
        </w:rPr>
        <w:t>2025</w:t>
      </w:r>
      <w:r>
        <w:rPr>
          <w:rFonts w:hint="eastAsia" w:ascii="仿宋" w:hAnsi="仿宋" w:eastAsia="仿宋" w:cs="宋体"/>
          <w:b/>
          <w:color w:val="auto"/>
          <w:sz w:val="24"/>
          <w:szCs w:val="24"/>
          <w:highlight w:val="none"/>
          <w:u w:val="single"/>
        </w:rPr>
        <w:t>年</w:t>
      </w:r>
      <w:r>
        <w:rPr>
          <w:rFonts w:hint="eastAsia" w:ascii="仿宋" w:hAnsi="仿宋" w:eastAsia="仿宋" w:cs="宋体"/>
          <w:b/>
          <w:color w:val="auto"/>
          <w:sz w:val="24"/>
          <w:szCs w:val="24"/>
          <w:highlight w:val="none"/>
          <w:u w:val="single"/>
          <w:lang w:val="en-US" w:eastAsia="zh-CN"/>
        </w:rPr>
        <w:t>02</w:t>
      </w:r>
      <w:r>
        <w:rPr>
          <w:rFonts w:hint="eastAsia" w:ascii="仿宋" w:hAnsi="仿宋" w:eastAsia="仿宋" w:cs="宋体"/>
          <w:b/>
          <w:color w:val="auto"/>
          <w:sz w:val="24"/>
          <w:szCs w:val="24"/>
          <w:highlight w:val="none"/>
          <w:u w:val="single"/>
        </w:rPr>
        <w:t>月</w:t>
      </w:r>
      <w:r>
        <w:rPr>
          <w:rFonts w:hint="eastAsia" w:ascii="仿宋" w:hAnsi="仿宋" w:eastAsia="仿宋" w:cs="宋体"/>
          <w:b/>
          <w:color w:val="auto"/>
          <w:sz w:val="24"/>
          <w:szCs w:val="24"/>
          <w:highlight w:val="none"/>
          <w:u w:val="single"/>
          <w:lang w:val="en-US" w:eastAsia="zh-CN"/>
        </w:rPr>
        <w:t>19</w:t>
      </w:r>
      <w:r>
        <w:rPr>
          <w:rFonts w:hint="eastAsia" w:ascii="仿宋" w:hAnsi="仿宋" w:eastAsia="仿宋" w:cs="宋体"/>
          <w:b/>
          <w:color w:val="auto"/>
          <w:sz w:val="24"/>
          <w:szCs w:val="24"/>
          <w:highlight w:val="none"/>
          <w:u w:val="single"/>
        </w:rPr>
        <w:t>日</w:t>
      </w:r>
      <w:r>
        <w:rPr>
          <w:rFonts w:hint="eastAsia" w:ascii="仿宋" w:hAnsi="仿宋" w:eastAsia="仿宋" w:cs="宋体"/>
          <w:b/>
          <w:color w:val="auto"/>
          <w:sz w:val="24"/>
          <w:szCs w:val="24"/>
          <w:highlight w:val="none"/>
          <w:u w:val="single"/>
          <w:lang w:val="en-US" w:eastAsia="zh-CN"/>
        </w:rPr>
        <w:t>09</w:t>
      </w:r>
      <w:r>
        <w:rPr>
          <w:rFonts w:hint="eastAsia" w:ascii="仿宋" w:hAnsi="仿宋" w:eastAsia="仿宋" w:cs="宋体"/>
          <w:b/>
          <w:color w:val="auto"/>
          <w:sz w:val="24"/>
          <w:szCs w:val="24"/>
          <w:highlight w:val="none"/>
          <w:u w:val="single"/>
        </w:rPr>
        <w:t>:</w:t>
      </w:r>
      <w:r>
        <w:rPr>
          <w:rFonts w:hint="eastAsia" w:ascii="仿宋" w:hAnsi="仿宋" w:eastAsia="仿宋" w:cs="宋体"/>
          <w:b/>
          <w:color w:val="auto"/>
          <w:sz w:val="24"/>
          <w:szCs w:val="24"/>
          <w:highlight w:val="none"/>
          <w:u w:val="single"/>
          <w:lang w:val="en-US" w:eastAsia="zh-CN"/>
        </w:rPr>
        <w:t>30</w:t>
      </w:r>
      <w:r>
        <w:rPr>
          <w:rFonts w:hint="eastAsia" w:ascii="仿宋" w:hAnsi="仿宋" w:eastAsia="仿宋" w:cs="宋体"/>
          <w:b/>
          <w:color w:val="auto"/>
          <w:spacing w:val="-4"/>
          <w:kern w:val="0"/>
          <w:sz w:val="24"/>
          <w:szCs w:val="24"/>
          <w:highlight w:val="none"/>
          <w:u w:val="single"/>
        </w:rPr>
        <w:t>:00（北京时间）</w:t>
      </w:r>
    </w:p>
    <w:p w14:paraId="2CA70FC8">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u w:val="single"/>
        </w:rPr>
      </w:pPr>
      <w:r>
        <w:rPr>
          <w:rFonts w:hint="eastAsia" w:ascii="仿宋" w:hAnsi="仿宋" w:eastAsia="仿宋" w:cs="宋体"/>
          <w:color w:val="auto"/>
          <w:spacing w:val="-4"/>
          <w:kern w:val="0"/>
          <w:sz w:val="24"/>
          <w:szCs w:val="24"/>
          <w:highlight w:val="none"/>
        </w:rPr>
        <w:t>2.地点（网址）：杭州市拱墅区彩云路105号锦盛大楼</w:t>
      </w:r>
      <w:r>
        <w:rPr>
          <w:rFonts w:hint="eastAsia" w:ascii="仿宋" w:hAnsi="仿宋" w:eastAsia="仿宋" w:cs="宋体"/>
          <w:color w:val="auto"/>
          <w:spacing w:val="-4"/>
          <w:kern w:val="0"/>
          <w:sz w:val="24"/>
          <w:szCs w:val="24"/>
          <w:highlight w:val="none"/>
          <w:lang w:val="en-US" w:eastAsia="zh-CN"/>
        </w:rPr>
        <w:t>302</w:t>
      </w:r>
      <w:r>
        <w:rPr>
          <w:rFonts w:hint="eastAsia" w:ascii="仿宋" w:hAnsi="仿宋" w:eastAsia="仿宋" w:cs="宋体"/>
          <w:color w:val="auto"/>
          <w:spacing w:val="-4"/>
          <w:kern w:val="0"/>
          <w:sz w:val="24"/>
          <w:szCs w:val="24"/>
          <w:highlight w:val="none"/>
        </w:rPr>
        <w:t>会议室</w:t>
      </w:r>
      <w:r>
        <w:rPr>
          <w:rFonts w:hint="eastAsia" w:ascii="仿宋" w:hAnsi="仿宋" w:eastAsia="仿宋" w:cs="宋体"/>
          <w:color w:val="auto"/>
          <w:spacing w:val="-4"/>
          <w:kern w:val="0"/>
          <w:sz w:val="24"/>
          <w:szCs w:val="24"/>
          <w:highlight w:val="none"/>
        </w:rPr>
        <w:t>，政采云平台（https://www.zcygov.cn/）</w:t>
      </w:r>
    </w:p>
    <w:p w14:paraId="7CC5F09E">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bookmarkStart w:id="21" w:name="_Toc35393794"/>
      <w:bookmarkStart w:id="22" w:name="_Toc28359007"/>
      <w:bookmarkStart w:id="23" w:name="_Toc35393625"/>
      <w:bookmarkStart w:id="24" w:name="_Toc28359084"/>
      <w:r>
        <w:rPr>
          <w:rFonts w:hint="eastAsia" w:ascii="仿宋" w:hAnsi="仿宋" w:eastAsia="仿宋" w:cs="宋体"/>
          <w:b/>
          <w:color w:val="auto"/>
          <w:spacing w:val="-4"/>
          <w:kern w:val="0"/>
          <w:sz w:val="24"/>
          <w:szCs w:val="24"/>
          <w:highlight w:val="none"/>
        </w:rPr>
        <w:t>六、公告期限</w:t>
      </w:r>
      <w:bookmarkEnd w:id="21"/>
      <w:bookmarkEnd w:id="22"/>
      <w:bookmarkEnd w:id="23"/>
      <w:bookmarkEnd w:id="24"/>
    </w:p>
    <w:p w14:paraId="792BE480">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自本公告发布之日起3个工作日。</w:t>
      </w:r>
    </w:p>
    <w:p w14:paraId="39BBA5C0">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bookmarkStart w:id="25" w:name="_Toc35393795"/>
      <w:bookmarkStart w:id="26" w:name="_Toc35393626"/>
      <w:r>
        <w:rPr>
          <w:rFonts w:hint="eastAsia" w:ascii="仿宋" w:hAnsi="仿宋" w:eastAsia="仿宋" w:cs="宋体"/>
          <w:b/>
          <w:color w:val="auto"/>
          <w:spacing w:val="-4"/>
          <w:kern w:val="0"/>
          <w:sz w:val="24"/>
          <w:szCs w:val="24"/>
          <w:highlight w:val="none"/>
        </w:rPr>
        <w:t>七、其他补充事宜</w:t>
      </w:r>
      <w:bookmarkEnd w:id="25"/>
      <w:bookmarkEnd w:id="26"/>
    </w:p>
    <w:p w14:paraId="18E59457">
      <w:pPr>
        <w:autoSpaceDN w:val="0"/>
        <w:adjustRightInd w:val="0"/>
        <w:snapToGrid w:val="0"/>
        <w:spacing w:line="360" w:lineRule="auto"/>
        <w:ind w:firstLine="54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F707318">
      <w:pPr>
        <w:autoSpaceDN w:val="0"/>
        <w:adjustRightInd w:val="0"/>
        <w:snapToGrid w:val="0"/>
        <w:spacing w:line="360" w:lineRule="auto"/>
        <w:ind w:firstLine="54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781B1A">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49B9B51">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4.其他事项：（1）供应商对采购文件的质疑应以书面形式一次性提出。（2）根据《关于规范政府采购供应商资格设定及资格审查的通知（浙财采监【2013】24号）》第六条的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3）单位负责人为同一人或者存在直接控股、管理关系的不同供应商，不得同时参加同一合同项下的磋商。（4）为项目提供整体设计、规范编制或者项目管理、监理、检测等服务的供应商，不得再参加该采购项目的其他采购活动。（5）本项目不收取磋商保证金。（6）本项目执行促进中小企业发展、优先采购节能产品、优先采购环境标志产品政策。（7）招标文件公告期限与招标公告的公告期限一致。</w:t>
      </w:r>
    </w:p>
    <w:p w14:paraId="76CFF7E3">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bookmarkStart w:id="27" w:name="_Toc35393796"/>
      <w:bookmarkStart w:id="28" w:name="_Toc28359085"/>
      <w:bookmarkStart w:id="29" w:name="_Toc35393627"/>
      <w:bookmarkStart w:id="30" w:name="_Toc28359008"/>
      <w:r>
        <w:rPr>
          <w:rFonts w:hint="eastAsia" w:ascii="仿宋" w:hAnsi="仿宋" w:eastAsia="仿宋" w:cs="宋体"/>
          <w:b/>
          <w:color w:val="auto"/>
          <w:spacing w:val="-4"/>
          <w:kern w:val="0"/>
          <w:sz w:val="24"/>
          <w:szCs w:val="24"/>
          <w:highlight w:val="none"/>
        </w:rPr>
        <w:t>八、对本次采购提出询问、质疑、投诉，请按以下方式联系。</w:t>
      </w:r>
      <w:bookmarkEnd w:id="27"/>
      <w:bookmarkEnd w:id="28"/>
      <w:bookmarkEnd w:id="29"/>
      <w:bookmarkEnd w:id="30"/>
    </w:p>
    <w:p w14:paraId="3CC8E290">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1.采购人信息</w:t>
      </w:r>
    </w:p>
    <w:p w14:paraId="40D9BBA7">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名  称：浙江工业大学</w:t>
      </w:r>
    </w:p>
    <w:p w14:paraId="733AB679">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地  址：浙江省杭州市潮王路18号</w:t>
      </w:r>
    </w:p>
    <w:p w14:paraId="2E5C7DB2">
      <w:pPr>
        <w:autoSpaceDN w:val="0"/>
        <w:adjustRightInd w:val="0"/>
        <w:snapToGrid w:val="0"/>
        <w:spacing w:line="360" w:lineRule="auto"/>
        <w:ind w:firstLine="464" w:firstLineChars="200"/>
        <w:rPr>
          <w:rFonts w:hint="default" w:ascii="仿宋" w:hAnsi="仿宋" w:eastAsia="仿宋" w:cs="宋体"/>
          <w:color w:val="auto"/>
          <w:spacing w:val="-4"/>
          <w:kern w:val="0"/>
          <w:sz w:val="24"/>
          <w:szCs w:val="24"/>
          <w:highlight w:val="none"/>
          <w:lang w:val="en-US" w:eastAsia="zh-CN"/>
        </w:rPr>
      </w:pPr>
      <w:r>
        <w:rPr>
          <w:rFonts w:hint="eastAsia" w:ascii="仿宋" w:hAnsi="仿宋" w:eastAsia="仿宋" w:cs="宋体"/>
          <w:color w:val="auto"/>
          <w:spacing w:val="-4"/>
          <w:kern w:val="0"/>
          <w:sz w:val="24"/>
          <w:szCs w:val="24"/>
          <w:highlight w:val="none"/>
        </w:rPr>
        <w:t>项目联系人（询问）：</w:t>
      </w:r>
      <w:r>
        <w:rPr>
          <w:rFonts w:hint="eastAsia" w:ascii="仿宋" w:hAnsi="仿宋" w:eastAsia="仿宋" w:cs="宋体"/>
          <w:color w:val="auto"/>
          <w:spacing w:val="-4"/>
          <w:kern w:val="0"/>
          <w:sz w:val="24"/>
          <w:szCs w:val="24"/>
          <w:highlight w:val="none"/>
          <w:lang w:val="en-US" w:eastAsia="zh-CN"/>
        </w:rPr>
        <w:t>孙老师、余老师</w:t>
      </w:r>
    </w:p>
    <w:p w14:paraId="7A2103BE">
      <w:pPr>
        <w:autoSpaceDN w:val="0"/>
        <w:adjustRightInd w:val="0"/>
        <w:snapToGrid w:val="0"/>
        <w:spacing w:line="360" w:lineRule="auto"/>
        <w:ind w:firstLine="464" w:firstLineChars="200"/>
        <w:rPr>
          <w:rFonts w:hint="default" w:ascii="仿宋" w:hAnsi="仿宋" w:eastAsia="仿宋" w:cs="宋体"/>
          <w:color w:val="auto"/>
          <w:spacing w:val="-4"/>
          <w:kern w:val="0"/>
          <w:sz w:val="24"/>
          <w:szCs w:val="24"/>
          <w:highlight w:val="none"/>
          <w:lang w:val="en-US" w:eastAsia="zh-CN"/>
        </w:rPr>
      </w:pPr>
      <w:r>
        <w:rPr>
          <w:rFonts w:hint="eastAsia" w:ascii="仿宋" w:hAnsi="仿宋" w:eastAsia="仿宋" w:cs="宋体"/>
          <w:color w:val="auto"/>
          <w:spacing w:val="-4"/>
          <w:kern w:val="0"/>
          <w:sz w:val="24"/>
          <w:szCs w:val="24"/>
          <w:highlight w:val="none"/>
        </w:rPr>
        <w:t>项目联系方式（询问）：</w:t>
      </w:r>
      <w:r>
        <w:rPr>
          <w:rFonts w:hint="eastAsia" w:ascii="仿宋" w:hAnsi="仿宋" w:eastAsia="仿宋" w:cs="宋体"/>
          <w:color w:val="auto"/>
          <w:spacing w:val="-4"/>
          <w:kern w:val="0"/>
          <w:sz w:val="24"/>
          <w:szCs w:val="24"/>
          <w:highlight w:val="none"/>
          <w:lang w:val="en-US" w:eastAsia="zh-CN"/>
        </w:rPr>
        <w:t>0571-88320055</w:t>
      </w:r>
    </w:p>
    <w:p w14:paraId="43F0736C">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质疑联系人：马老师</w:t>
      </w:r>
    </w:p>
    <w:p w14:paraId="612EDB12">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质疑联系方式：0571-88320626</w:t>
      </w:r>
      <w:r>
        <w:rPr>
          <w:rFonts w:hint="eastAsia" w:ascii="仿宋" w:hAnsi="仿宋" w:eastAsia="仿宋" w:cs="宋体"/>
          <w:color w:val="auto"/>
          <w:spacing w:val="-4"/>
          <w:kern w:val="0"/>
          <w:sz w:val="24"/>
          <w:szCs w:val="24"/>
          <w:highlight w:val="none"/>
          <w:lang w:val="en-US" w:eastAsia="zh-CN"/>
        </w:rPr>
        <w:t>（请通过以下路径在线提起质疑：政采云-项目采购-询问质疑投诉-质疑列表）</w:t>
      </w:r>
    </w:p>
    <w:p w14:paraId="2C090BFB">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bookmarkStart w:id="31" w:name="_Toc28359009"/>
      <w:bookmarkStart w:id="32" w:name="_Toc28359086"/>
      <w:r>
        <w:rPr>
          <w:rFonts w:hint="eastAsia" w:ascii="仿宋" w:hAnsi="仿宋" w:eastAsia="仿宋" w:cs="宋体"/>
          <w:color w:val="auto"/>
          <w:spacing w:val="-4"/>
          <w:kern w:val="0"/>
          <w:sz w:val="24"/>
          <w:szCs w:val="24"/>
          <w:highlight w:val="none"/>
        </w:rPr>
        <w:t>2.采购代理机构信息</w:t>
      </w:r>
      <w:bookmarkEnd w:id="31"/>
      <w:bookmarkEnd w:id="32"/>
    </w:p>
    <w:p w14:paraId="69323EA9">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eastAsia="zh-CN"/>
        </w:rPr>
      </w:pPr>
      <w:r>
        <w:rPr>
          <w:rFonts w:hint="eastAsia" w:ascii="仿宋" w:hAnsi="仿宋" w:eastAsia="仿宋" w:cs="宋体"/>
          <w:color w:val="auto"/>
          <w:spacing w:val="-4"/>
          <w:kern w:val="0"/>
          <w:sz w:val="24"/>
          <w:szCs w:val="24"/>
          <w:highlight w:val="none"/>
        </w:rPr>
        <w:t>名  称：</w:t>
      </w:r>
      <w:r>
        <w:rPr>
          <w:rFonts w:hint="eastAsia" w:ascii="仿宋" w:hAnsi="仿宋" w:eastAsia="仿宋" w:cs="宋体"/>
          <w:color w:val="auto"/>
          <w:spacing w:val="-4"/>
          <w:kern w:val="0"/>
          <w:sz w:val="24"/>
          <w:szCs w:val="24"/>
          <w:highlight w:val="none"/>
          <w:lang w:eastAsia="zh-CN"/>
        </w:rPr>
        <w:t>华诚工程咨询集团有限公司</w:t>
      </w:r>
    </w:p>
    <w:p w14:paraId="5880452F">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eastAsia="zh-CN"/>
        </w:rPr>
      </w:pPr>
      <w:r>
        <w:rPr>
          <w:rFonts w:hint="eastAsia" w:ascii="仿宋" w:hAnsi="仿宋" w:eastAsia="仿宋" w:cs="宋体"/>
          <w:color w:val="auto"/>
          <w:spacing w:val="-4"/>
          <w:kern w:val="0"/>
          <w:sz w:val="24"/>
          <w:szCs w:val="24"/>
          <w:highlight w:val="none"/>
        </w:rPr>
        <w:t>地  址：</w:t>
      </w:r>
      <w:r>
        <w:rPr>
          <w:rFonts w:hint="eastAsia" w:ascii="仿宋" w:hAnsi="仿宋" w:eastAsia="仿宋" w:cs="宋体"/>
          <w:color w:val="auto"/>
          <w:spacing w:val="-4"/>
          <w:kern w:val="0"/>
          <w:sz w:val="24"/>
          <w:szCs w:val="24"/>
          <w:highlight w:val="none"/>
          <w:lang w:eastAsia="zh-CN"/>
        </w:rPr>
        <w:t>杭州市拱墅区彩云路105号锦盛大楼8楼</w:t>
      </w:r>
    </w:p>
    <w:p w14:paraId="38AB66C7">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eastAsia="zh-CN"/>
        </w:rPr>
      </w:pPr>
      <w:bookmarkStart w:id="33" w:name="_Toc28359087"/>
      <w:bookmarkStart w:id="34" w:name="_Toc28359010"/>
      <w:r>
        <w:rPr>
          <w:rFonts w:hint="eastAsia" w:ascii="仿宋" w:hAnsi="仿宋" w:eastAsia="仿宋" w:cs="宋体"/>
          <w:color w:val="auto"/>
          <w:spacing w:val="-4"/>
          <w:kern w:val="0"/>
          <w:sz w:val="24"/>
          <w:szCs w:val="24"/>
          <w:highlight w:val="none"/>
        </w:rPr>
        <w:t>项目联系人（询问）：叶秀华、楼国栋</w:t>
      </w:r>
    </w:p>
    <w:p w14:paraId="2BDBFC10">
      <w:pPr>
        <w:autoSpaceDN w:val="0"/>
        <w:adjustRightInd w:val="0"/>
        <w:snapToGrid w:val="0"/>
        <w:spacing w:line="360" w:lineRule="auto"/>
        <w:ind w:firstLine="464" w:firstLineChars="200"/>
        <w:rPr>
          <w:rFonts w:hint="default" w:ascii="仿宋" w:hAnsi="仿宋" w:eastAsia="仿宋" w:cs="宋体"/>
          <w:color w:val="auto"/>
          <w:spacing w:val="-4"/>
          <w:kern w:val="0"/>
          <w:sz w:val="24"/>
          <w:szCs w:val="24"/>
          <w:highlight w:val="none"/>
          <w:lang w:val="en-US" w:eastAsia="zh-CN"/>
        </w:rPr>
      </w:pPr>
      <w:r>
        <w:rPr>
          <w:rFonts w:hint="eastAsia" w:ascii="仿宋" w:hAnsi="仿宋" w:eastAsia="仿宋" w:cs="宋体"/>
          <w:color w:val="auto"/>
          <w:spacing w:val="-4"/>
          <w:kern w:val="0"/>
          <w:sz w:val="24"/>
          <w:szCs w:val="24"/>
          <w:highlight w:val="none"/>
        </w:rPr>
        <w:t>项目联系方式（询问）：0571-</w:t>
      </w:r>
      <w:r>
        <w:rPr>
          <w:rFonts w:hint="eastAsia" w:ascii="仿宋" w:hAnsi="仿宋" w:eastAsia="仿宋" w:cs="宋体"/>
          <w:color w:val="auto"/>
          <w:spacing w:val="-4"/>
          <w:kern w:val="0"/>
          <w:sz w:val="24"/>
          <w:szCs w:val="24"/>
          <w:highlight w:val="none"/>
          <w:lang w:val="en-US" w:eastAsia="zh-CN"/>
        </w:rPr>
        <w:t>88390503、85179364</w:t>
      </w:r>
    </w:p>
    <w:p w14:paraId="30959A84">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eastAsia="zh-CN"/>
        </w:rPr>
      </w:pPr>
      <w:r>
        <w:rPr>
          <w:rFonts w:hint="eastAsia" w:ascii="仿宋" w:hAnsi="仿宋" w:eastAsia="仿宋" w:cs="宋体"/>
          <w:color w:val="auto"/>
          <w:spacing w:val="-4"/>
          <w:kern w:val="0"/>
          <w:sz w:val="24"/>
          <w:szCs w:val="24"/>
          <w:highlight w:val="none"/>
        </w:rPr>
        <w:t>质疑联系人：</w:t>
      </w:r>
      <w:r>
        <w:rPr>
          <w:rFonts w:hint="eastAsia" w:ascii="仿宋" w:hAnsi="仿宋" w:eastAsia="仿宋" w:cs="宋体"/>
          <w:color w:val="auto"/>
          <w:spacing w:val="-4"/>
          <w:kern w:val="0"/>
          <w:sz w:val="24"/>
          <w:szCs w:val="24"/>
          <w:highlight w:val="none"/>
          <w:lang w:eastAsia="zh-CN"/>
        </w:rPr>
        <w:t>金册玲</w:t>
      </w:r>
    </w:p>
    <w:p w14:paraId="7465D14C">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eastAsia="zh-CN"/>
        </w:rPr>
      </w:pPr>
      <w:r>
        <w:rPr>
          <w:rFonts w:hint="eastAsia" w:ascii="仿宋" w:hAnsi="仿宋" w:eastAsia="仿宋" w:cs="宋体"/>
          <w:color w:val="auto"/>
          <w:spacing w:val="-4"/>
          <w:kern w:val="0"/>
          <w:sz w:val="24"/>
          <w:szCs w:val="24"/>
          <w:highlight w:val="none"/>
        </w:rPr>
        <w:t>质疑联系方式：</w:t>
      </w:r>
      <w:bookmarkEnd w:id="33"/>
      <w:bookmarkEnd w:id="34"/>
      <w:r>
        <w:rPr>
          <w:rFonts w:hint="eastAsia" w:ascii="仿宋" w:hAnsi="仿宋" w:eastAsia="仿宋" w:cs="宋体"/>
          <w:color w:val="auto"/>
          <w:spacing w:val="-4"/>
          <w:kern w:val="0"/>
          <w:sz w:val="24"/>
          <w:szCs w:val="24"/>
          <w:highlight w:val="none"/>
          <w:lang w:eastAsia="zh-CN"/>
        </w:rPr>
        <w:t>0571-88399280（请通过以下路径在线提起质疑：政采云-项目采购-询问质疑投诉-质疑列表）</w:t>
      </w:r>
    </w:p>
    <w:p w14:paraId="1B82A187">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3.同级政府采购监督管理部门</w:t>
      </w:r>
    </w:p>
    <w:p w14:paraId="384BC6B7">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名  称：浙江省政府采购行政裁决服务中心（杭州市上城区清泰街549号城建综合大楼11楼）</w:t>
      </w:r>
    </w:p>
    <w:p w14:paraId="4BD150A1">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地  址：</w:t>
      </w:r>
      <w:r>
        <w:rPr>
          <w:rFonts w:hint="eastAsia" w:ascii="仿宋" w:hAnsi="仿宋" w:eastAsia="仿宋" w:cs="宋体"/>
          <w:color w:val="auto"/>
          <w:spacing w:val="-4"/>
          <w:kern w:val="0"/>
          <w:sz w:val="24"/>
          <w:szCs w:val="24"/>
          <w:highlight w:val="none"/>
          <w:lang w:eastAsia="zh-CN"/>
        </w:rPr>
        <w:t>杭州市上城区清泰街549号城建综合大楼11楼</w:t>
      </w:r>
    </w:p>
    <w:p w14:paraId="69235C06">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val="en-US" w:eastAsia="zh-CN"/>
        </w:rPr>
      </w:pPr>
      <w:r>
        <w:rPr>
          <w:rFonts w:hint="eastAsia" w:ascii="仿宋" w:hAnsi="仿宋" w:eastAsia="仿宋" w:cs="宋体"/>
          <w:color w:val="auto"/>
          <w:spacing w:val="-4"/>
          <w:kern w:val="0"/>
          <w:sz w:val="24"/>
          <w:szCs w:val="24"/>
          <w:highlight w:val="none"/>
          <w:lang w:val="en-US" w:eastAsia="zh-CN"/>
        </w:rPr>
        <w:t>传  真：/</w:t>
      </w:r>
    </w:p>
    <w:p w14:paraId="668BCA31">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联系人：朱老师、王老师、匡老师</w:t>
      </w:r>
    </w:p>
    <w:p w14:paraId="190D8A2D">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监督投诉电话：0571-87800218，0571-87227671</w:t>
      </w:r>
    </w:p>
    <w:p w14:paraId="441DBA46">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val="en-US" w:eastAsia="zh-CN"/>
        </w:rPr>
      </w:pPr>
      <w:r>
        <w:rPr>
          <w:rFonts w:hint="eastAsia" w:ascii="仿宋" w:hAnsi="仿宋" w:eastAsia="仿宋" w:cs="宋体"/>
          <w:color w:val="auto"/>
          <w:spacing w:val="-4"/>
          <w:kern w:val="0"/>
          <w:sz w:val="24"/>
          <w:szCs w:val="24"/>
          <w:highlight w:val="none"/>
          <w:lang w:val="en-US" w:eastAsia="zh-CN"/>
        </w:rPr>
        <w:t>政策咨询：何一平、冯华，0571-87058424、87055741</w:t>
      </w:r>
    </w:p>
    <w:p w14:paraId="0BC25757">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预算金额未达100万元的采购项目，由采购人处理采购争议。</w:t>
      </w:r>
    </w:p>
    <w:p w14:paraId="02C68FD1">
      <w:pPr>
        <w:autoSpaceDN w:val="0"/>
        <w:adjustRightInd w:val="0"/>
        <w:snapToGrid w:val="0"/>
        <w:spacing w:line="360" w:lineRule="auto"/>
        <w:ind w:firstLine="420" w:firstLineChars="200"/>
        <w:rPr>
          <w:rFonts w:ascii="仿宋" w:hAnsi="仿宋" w:eastAsia="仿宋" w:cs="仿宋"/>
          <w:color w:val="auto"/>
          <w:highlight w:val="none"/>
        </w:rPr>
      </w:pPr>
      <w:r>
        <w:rPr>
          <w:rFonts w:ascii="仿宋" w:hAnsi="仿宋" w:eastAsia="仿宋" w:cs="仿宋"/>
          <w:color w:val="auto"/>
          <w:highlight w:val="none"/>
        </w:rPr>
        <w:t>若对项目采购电子交易系统操作有疑问，可登录政采云（https://www.zcygov.cn/），点击右侧咨询小采，获取采小蜜智能服务管家帮助，或拨打政采云服务热线95763获取热线服务帮助。 </w:t>
      </w:r>
    </w:p>
    <w:p w14:paraId="7778FAAB">
      <w:pPr>
        <w:autoSpaceDN w:val="0"/>
        <w:adjustRightInd w:val="0"/>
        <w:snapToGrid w:val="0"/>
        <w:spacing w:line="360" w:lineRule="auto"/>
        <w:ind w:firstLine="420" w:firstLineChars="200"/>
        <w:rPr>
          <w:color w:val="auto"/>
          <w:highlight w:val="none"/>
        </w:rPr>
      </w:pPr>
      <w:r>
        <w:rPr>
          <w:rFonts w:hint="eastAsia" w:ascii="仿宋" w:hAnsi="仿宋" w:eastAsia="仿宋" w:cs="仿宋"/>
          <w:color w:val="auto"/>
          <w:highlight w:val="none"/>
        </w:rPr>
        <w:t>CA问题联系电话（人工）：汇信CA 400-888-4636；天谷CA 400-087-8198。</w:t>
      </w:r>
    </w:p>
    <w:p w14:paraId="05628E30">
      <w:pPr>
        <w:autoSpaceDN w:val="0"/>
        <w:snapToGrid w:val="0"/>
        <w:spacing w:line="360" w:lineRule="auto"/>
        <w:jc w:val="center"/>
        <w:outlineLvl w:val="0"/>
        <w:rPr>
          <w:rFonts w:ascii="仿宋" w:hAnsi="仿宋" w:eastAsia="仿宋" w:cs="宋体"/>
          <w:b/>
          <w:color w:val="auto"/>
          <w:spacing w:val="-4"/>
          <w:kern w:val="0"/>
          <w:sz w:val="32"/>
          <w:szCs w:val="32"/>
          <w:highlight w:val="none"/>
        </w:rPr>
      </w:pPr>
      <w:r>
        <w:rPr>
          <w:rFonts w:hint="eastAsia" w:ascii="仿宋" w:hAnsi="仿宋" w:eastAsia="仿宋" w:cs="宋体"/>
          <w:color w:val="auto"/>
          <w:spacing w:val="-4"/>
          <w:kern w:val="0"/>
          <w:sz w:val="24"/>
          <w:szCs w:val="20"/>
          <w:highlight w:val="none"/>
        </w:rPr>
        <w:br w:type="page"/>
      </w:r>
      <w:bookmarkStart w:id="35" w:name="_Toc32606"/>
      <w:r>
        <w:rPr>
          <w:rFonts w:hint="eastAsia" w:ascii="仿宋" w:hAnsi="仿宋" w:eastAsia="仿宋" w:cs="宋体"/>
          <w:b/>
          <w:color w:val="auto"/>
          <w:spacing w:val="-4"/>
          <w:kern w:val="0"/>
          <w:sz w:val="32"/>
          <w:szCs w:val="32"/>
          <w:highlight w:val="none"/>
        </w:rPr>
        <w:t xml:space="preserve">第二章 </w:t>
      </w:r>
      <w:bookmarkEnd w:id="35"/>
      <w:r>
        <w:rPr>
          <w:rFonts w:hint="eastAsia" w:ascii="仿宋" w:hAnsi="仿宋" w:eastAsia="仿宋" w:cs="宋体"/>
          <w:b/>
          <w:color w:val="auto"/>
          <w:spacing w:val="-4"/>
          <w:kern w:val="0"/>
          <w:sz w:val="32"/>
          <w:szCs w:val="32"/>
          <w:highlight w:val="none"/>
        </w:rPr>
        <w:t>磋商须知</w:t>
      </w:r>
    </w:p>
    <w:p w14:paraId="78390F15">
      <w:pPr>
        <w:keepNext/>
        <w:keepLines/>
        <w:autoSpaceDN w:val="0"/>
        <w:spacing w:before="260" w:after="260" w:line="415" w:lineRule="auto"/>
        <w:jc w:val="center"/>
        <w:outlineLvl w:val="1"/>
        <w:rPr>
          <w:rFonts w:ascii="Times New Roman" w:hAnsi="仿宋" w:eastAsia="仿宋" w:cs="Times New Roman"/>
          <w:b/>
          <w:bCs/>
          <w:color w:val="auto"/>
          <w:sz w:val="28"/>
          <w:szCs w:val="28"/>
          <w:highlight w:val="none"/>
        </w:rPr>
      </w:pPr>
      <w:bookmarkStart w:id="36" w:name="_Toc3099"/>
      <w:r>
        <w:rPr>
          <w:rFonts w:hint="eastAsia" w:ascii="Times New Roman" w:hAnsi="仿宋" w:eastAsia="仿宋" w:cs="Times New Roman"/>
          <w:b/>
          <w:bCs/>
          <w:color w:val="auto"/>
          <w:sz w:val="28"/>
          <w:szCs w:val="28"/>
          <w:highlight w:val="none"/>
        </w:rPr>
        <w:t>前附表</w:t>
      </w:r>
      <w:bookmarkEnd w:id="36"/>
    </w:p>
    <w:tbl>
      <w:tblPr>
        <w:tblStyle w:val="6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6"/>
        <w:gridCol w:w="2410"/>
        <w:gridCol w:w="6062"/>
      </w:tblGrid>
      <w:tr w14:paraId="109FB3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390D3EA7">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序号</w:t>
            </w:r>
          </w:p>
        </w:tc>
        <w:tc>
          <w:tcPr>
            <w:tcW w:w="1297" w:type="pct"/>
            <w:tcBorders>
              <w:top w:val="single" w:color="auto" w:sz="4" w:space="0"/>
              <w:left w:val="single" w:color="auto" w:sz="4" w:space="0"/>
              <w:bottom w:val="single" w:color="auto" w:sz="4" w:space="0"/>
              <w:right w:val="single" w:color="auto" w:sz="4" w:space="0"/>
            </w:tcBorders>
            <w:vAlign w:val="center"/>
          </w:tcPr>
          <w:p w14:paraId="0DE00522">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名  称</w:t>
            </w:r>
          </w:p>
        </w:tc>
        <w:tc>
          <w:tcPr>
            <w:tcW w:w="3262" w:type="pct"/>
            <w:tcBorders>
              <w:top w:val="single" w:color="auto" w:sz="4" w:space="0"/>
              <w:left w:val="single" w:color="auto" w:sz="4" w:space="0"/>
              <w:bottom w:val="single" w:color="auto" w:sz="4" w:space="0"/>
              <w:right w:val="single" w:color="auto" w:sz="4" w:space="0"/>
            </w:tcBorders>
            <w:vAlign w:val="center"/>
          </w:tcPr>
          <w:p w14:paraId="13CFFEC4">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内                  容</w:t>
            </w:r>
          </w:p>
        </w:tc>
      </w:tr>
      <w:tr w14:paraId="04302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4953A2AE">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p>
        </w:tc>
        <w:tc>
          <w:tcPr>
            <w:tcW w:w="1297" w:type="pct"/>
            <w:tcBorders>
              <w:top w:val="single" w:color="auto" w:sz="4" w:space="0"/>
              <w:left w:val="single" w:color="auto" w:sz="4" w:space="0"/>
              <w:bottom w:val="single" w:color="auto" w:sz="4" w:space="0"/>
              <w:right w:val="single" w:color="auto" w:sz="4" w:space="0"/>
            </w:tcBorders>
            <w:vAlign w:val="center"/>
          </w:tcPr>
          <w:p w14:paraId="59290AAC">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项目名称</w:t>
            </w:r>
          </w:p>
        </w:tc>
        <w:tc>
          <w:tcPr>
            <w:tcW w:w="3262" w:type="pct"/>
            <w:tcBorders>
              <w:top w:val="single" w:color="auto" w:sz="4" w:space="0"/>
              <w:left w:val="single" w:color="auto" w:sz="4" w:space="0"/>
              <w:bottom w:val="single" w:color="auto" w:sz="4" w:space="0"/>
              <w:right w:val="single" w:color="auto" w:sz="4" w:space="0"/>
            </w:tcBorders>
            <w:vAlign w:val="center"/>
          </w:tcPr>
          <w:p w14:paraId="5A5AF96F">
            <w:pPr>
              <w:autoSpaceDN w:val="0"/>
              <w:snapToGrid w:val="0"/>
              <w:spacing w:line="276" w:lineRule="auto"/>
              <w:jc w:val="left"/>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浙江工业大学屏峰校区学生宿舍建设工程项目施工用电工程</w:t>
            </w:r>
          </w:p>
        </w:tc>
      </w:tr>
      <w:tr w14:paraId="1AC835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0B84306E">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w:t>
            </w:r>
          </w:p>
        </w:tc>
        <w:tc>
          <w:tcPr>
            <w:tcW w:w="1297" w:type="pct"/>
            <w:tcBorders>
              <w:top w:val="single" w:color="auto" w:sz="4" w:space="0"/>
              <w:left w:val="single" w:color="auto" w:sz="4" w:space="0"/>
              <w:bottom w:val="single" w:color="auto" w:sz="4" w:space="0"/>
              <w:right w:val="single" w:color="auto" w:sz="4" w:space="0"/>
            </w:tcBorders>
            <w:vAlign w:val="center"/>
          </w:tcPr>
          <w:p w14:paraId="1DE7DEFC">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项目编号</w:t>
            </w:r>
          </w:p>
        </w:tc>
        <w:tc>
          <w:tcPr>
            <w:tcW w:w="3262" w:type="pct"/>
            <w:tcBorders>
              <w:top w:val="single" w:color="auto" w:sz="4" w:space="0"/>
              <w:left w:val="single" w:color="auto" w:sz="4" w:space="0"/>
              <w:bottom w:val="single" w:color="auto" w:sz="4" w:space="0"/>
              <w:right w:val="single" w:color="auto" w:sz="4" w:space="0"/>
            </w:tcBorders>
            <w:vAlign w:val="center"/>
          </w:tcPr>
          <w:p w14:paraId="4AB16C0C">
            <w:pPr>
              <w:autoSpaceDN w:val="0"/>
              <w:snapToGrid w:val="0"/>
              <w:spacing w:line="276" w:lineRule="auto"/>
              <w:jc w:val="left"/>
              <w:rPr>
                <w:rFonts w:hint="eastAsia" w:ascii="仿宋" w:hAnsi="仿宋" w:eastAsia="仿宋" w:cs="宋体"/>
                <w:color w:val="auto"/>
                <w:sz w:val="24"/>
                <w:szCs w:val="24"/>
                <w:highlight w:val="none"/>
                <w:lang w:eastAsia="zh-CN"/>
              </w:rPr>
            </w:pPr>
            <w:r>
              <w:rPr>
                <w:rFonts w:hint="eastAsia" w:ascii="仿宋" w:hAnsi="仿宋" w:eastAsia="仿宋" w:cs="仿宋"/>
                <w:bCs/>
                <w:color w:val="auto"/>
                <w:sz w:val="24"/>
                <w:szCs w:val="24"/>
                <w:highlight w:val="none"/>
                <w:lang w:eastAsia="zh-CN"/>
              </w:rPr>
              <w:t>HCZX-24982</w:t>
            </w:r>
          </w:p>
        </w:tc>
      </w:tr>
      <w:tr w14:paraId="091D9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524EF34E">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w:t>
            </w:r>
          </w:p>
        </w:tc>
        <w:tc>
          <w:tcPr>
            <w:tcW w:w="1297" w:type="pct"/>
            <w:tcBorders>
              <w:top w:val="single" w:color="auto" w:sz="4" w:space="0"/>
              <w:left w:val="single" w:color="auto" w:sz="4" w:space="0"/>
              <w:bottom w:val="single" w:color="auto" w:sz="4" w:space="0"/>
              <w:right w:val="single" w:color="auto" w:sz="4" w:space="0"/>
            </w:tcBorders>
            <w:vAlign w:val="center"/>
          </w:tcPr>
          <w:p w14:paraId="239FCE08">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采购内容及需求</w:t>
            </w:r>
          </w:p>
        </w:tc>
        <w:tc>
          <w:tcPr>
            <w:tcW w:w="3262" w:type="pct"/>
            <w:tcBorders>
              <w:top w:val="single" w:color="auto" w:sz="4" w:space="0"/>
              <w:left w:val="single" w:color="auto" w:sz="4" w:space="0"/>
              <w:bottom w:val="single" w:color="auto" w:sz="4" w:space="0"/>
              <w:right w:val="single" w:color="auto" w:sz="4" w:space="0"/>
            </w:tcBorders>
            <w:vAlign w:val="center"/>
          </w:tcPr>
          <w:p w14:paraId="0CFFC0D7">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eastAsia="zh-CN"/>
              </w:rPr>
              <w:t>浙江工业大学屏峰校区学生宿舍建设工程项目施工用电工程</w:t>
            </w:r>
            <w:r>
              <w:rPr>
                <w:rFonts w:hint="eastAsia" w:ascii="仿宋" w:hAnsi="仿宋" w:eastAsia="仿宋" w:cs="宋体"/>
                <w:color w:val="auto"/>
                <w:sz w:val="24"/>
                <w:szCs w:val="24"/>
                <w:highlight w:val="none"/>
              </w:rPr>
              <w:t>，工程内容详见第四章采购内容及需求、清单及图纸。</w:t>
            </w:r>
          </w:p>
          <w:p w14:paraId="2529F0E5">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工期</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u w:val="single"/>
                <w:lang w:val="en-US" w:eastAsia="zh-CN"/>
              </w:rPr>
              <w:t>60日历天</w:t>
            </w:r>
            <w:r>
              <w:rPr>
                <w:rFonts w:hint="eastAsia" w:ascii="仿宋" w:hAnsi="仿宋" w:eastAsia="仿宋" w:cs="宋体"/>
                <w:color w:val="auto"/>
                <w:sz w:val="24"/>
                <w:szCs w:val="24"/>
                <w:highlight w:val="none"/>
              </w:rPr>
              <w:t>；</w:t>
            </w:r>
          </w:p>
          <w:p w14:paraId="5AD9201E">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供应商磋商时可填报不大于</w:t>
            </w:r>
            <w:r>
              <w:rPr>
                <w:rFonts w:hint="eastAsia" w:ascii="仿宋" w:hAnsi="仿宋" w:eastAsia="仿宋" w:cs="宋体"/>
                <w:color w:val="auto"/>
                <w:sz w:val="24"/>
                <w:szCs w:val="24"/>
                <w:highlight w:val="none"/>
                <w:u w:val="single"/>
                <w:lang w:eastAsia="zh-CN"/>
              </w:rPr>
              <w:t>60日历天</w:t>
            </w:r>
            <w:r>
              <w:rPr>
                <w:rFonts w:hint="eastAsia" w:ascii="仿宋" w:hAnsi="仿宋" w:eastAsia="仿宋" w:cs="宋体"/>
                <w:color w:val="auto"/>
                <w:sz w:val="24"/>
                <w:szCs w:val="24"/>
                <w:highlight w:val="none"/>
              </w:rPr>
              <w:t>的</w:t>
            </w:r>
            <w:r>
              <w:rPr>
                <w:rFonts w:hint="eastAsia" w:ascii="仿宋" w:hAnsi="仿宋" w:eastAsia="仿宋" w:cs="宋体"/>
                <w:color w:val="auto"/>
                <w:sz w:val="24"/>
                <w:szCs w:val="24"/>
                <w:highlight w:val="none"/>
              </w:rPr>
              <w:t>最短合理工期，成交后，该磋商工期将作为合同工期。</w:t>
            </w:r>
          </w:p>
        </w:tc>
      </w:tr>
      <w:tr w14:paraId="53DDF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2F428CDF">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w:t>
            </w:r>
          </w:p>
        </w:tc>
        <w:tc>
          <w:tcPr>
            <w:tcW w:w="1297" w:type="pct"/>
            <w:tcBorders>
              <w:top w:val="single" w:color="auto" w:sz="4" w:space="0"/>
              <w:left w:val="single" w:color="auto" w:sz="4" w:space="0"/>
              <w:bottom w:val="single" w:color="auto" w:sz="4" w:space="0"/>
              <w:right w:val="single" w:color="auto" w:sz="4" w:space="0"/>
            </w:tcBorders>
            <w:vAlign w:val="center"/>
          </w:tcPr>
          <w:p w14:paraId="2EC53A5D">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最高限价</w:t>
            </w:r>
          </w:p>
        </w:tc>
        <w:tc>
          <w:tcPr>
            <w:tcW w:w="3262" w:type="pct"/>
            <w:tcBorders>
              <w:top w:val="single" w:color="auto" w:sz="4" w:space="0"/>
              <w:left w:val="single" w:color="auto" w:sz="4" w:space="0"/>
              <w:bottom w:val="single" w:color="auto" w:sz="4" w:space="0"/>
              <w:right w:val="single" w:color="auto" w:sz="4" w:space="0"/>
            </w:tcBorders>
            <w:vAlign w:val="center"/>
          </w:tcPr>
          <w:p w14:paraId="5D12A9F4">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u w:val="single"/>
              </w:rPr>
              <w:t>▲</w:t>
            </w:r>
            <w:r>
              <w:rPr>
                <w:rFonts w:hint="eastAsia" w:ascii="仿宋" w:hAnsi="仿宋" w:eastAsia="仿宋" w:cs="宋体"/>
                <w:b/>
                <w:color w:val="auto"/>
                <w:sz w:val="24"/>
                <w:szCs w:val="24"/>
                <w:highlight w:val="none"/>
                <w:u w:val="single"/>
              </w:rPr>
              <w:t>本项目最高限价为人民币1890284元</w:t>
            </w:r>
            <w:r>
              <w:rPr>
                <w:rFonts w:hint="eastAsia" w:ascii="仿宋" w:hAnsi="仿宋" w:eastAsia="仿宋" w:cs="宋体"/>
                <w:b/>
                <w:color w:val="auto"/>
                <w:sz w:val="24"/>
                <w:szCs w:val="24"/>
                <w:highlight w:val="none"/>
                <w:u w:val="single"/>
              </w:rPr>
              <w:t>，报价如超过最高限价的，其响应文件无效</w:t>
            </w:r>
            <w:r>
              <w:rPr>
                <w:rFonts w:hint="eastAsia" w:ascii="仿宋" w:hAnsi="仿宋" w:eastAsia="仿宋" w:cs="宋体"/>
                <w:color w:val="auto"/>
                <w:sz w:val="24"/>
                <w:szCs w:val="24"/>
                <w:highlight w:val="none"/>
              </w:rPr>
              <w:t>。</w:t>
            </w:r>
          </w:p>
        </w:tc>
      </w:tr>
      <w:tr w14:paraId="7E44F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0992EF06">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5</w:t>
            </w:r>
          </w:p>
        </w:tc>
        <w:tc>
          <w:tcPr>
            <w:tcW w:w="1297" w:type="pct"/>
            <w:tcBorders>
              <w:top w:val="single" w:color="auto" w:sz="4" w:space="0"/>
              <w:left w:val="single" w:color="auto" w:sz="4" w:space="0"/>
              <w:bottom w:val="single" w:color="auto" w:sz="4" w:space="0"/>
              <w:right w:val="single" w:color="auto" w:sz="4" w:space="0"/>
            </w:tcBorders>
            <w:vAlign w:val="center"/>
          </w:tcPr>
          <w:p w14:paraId="55AE46BB">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采购资金落实情况</w:t>
            </w:r>
          </w:p>
        </w:tc>
        <w:tc>
          <w:tcPr>
            <w:tcW w:w="3262" w:type="pct"/>
            <w:tcBorders>
              <w:top w:val="single" w:color="auto" w:sz="4" w:space="0"/>
              <w:left w:val="single" w:color="auto" w:sz="4" w:space="0"/>
              <w:bottom w:val="single" w:color="auto" w:sz="4" w:space="0"/>
              <w:right w:val="single" w:color="auto" w:sz="4" w:space="0"/>
            </w:tcBorders>
            <w:vAlign w:val="center"/>
          </w:tcPr>
          <w:p w14:paraId="68A0813E">
            <w:pPr>
              <w:autoSpaceDN w:val="0"/>
              <w:snapToGrid w:val="0"/>
              <w:spacing w:line="276"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已落实（采购计划书：</w:t>
            </w:r>
            <w:r>
              <w:rPr>
                <w:rFonts w:hint="eastAsia" w:ascii="仿宋" w:hAnsi="仿宋" w:eastAsia="仿宋" w:cs="Arial"/>
                <w:color w:val="auto"/>
                <w:sz w:val="24"/>
                <w:szCs w:val="24"/>
                <w:highlight w:val="none"/>
                <w:lang w:val="en-US" w:eastAsia="zh-CN"/>
              </w:rPr>
              <w:t>[2024]98042号</w:t>
            </w:r>
            <w:r>
              <w:rPr>
                <w:rFonts w:hint="eastAsia" w:ascii="宋体" w:hAnsi="宋体" w:eastAsia="宋体" w:cs="宋体"/>
                <w:color w:val="auto"/>
                <w:sz w:val="24"/>
                <w:szCs w:val="24"/>
                <w:highlight w:val="none"/>
              </w:rPr>
              <w:t>）</w:t>
            </w:r>
          </w:p>
        </w:tc>
      </w:tr>
      <w:tr w14:paraId="57695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6244448A">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w:t>
            </w:r>
          </w:p>
        </w:tc>
        <w:tc>
          <w:tcPr>
            <w:tcW w:w="1297" w:type="pct"/>
            <w:tcBorders>
              <w:top w:val="single" w:color="auto" w:sz="4" w:space="0"/>
              <w:left w:val="single" w:color="auto" w:sz="4" w:space="0"/>
              <w:bottom w:val="single" w:color="auto" w:sz="4" w:space="0"/>
              <w:right w:val="single" w:color="auto" w:sz="4" w:space="0"/>
            </w:tcBorders>
            <w:vAlign w:val="center"/>
          </w:tcPr>
          <w:p w14:paraId="477FAA28">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采购人</w:t>
            </w:r>
          </w:p>
        </w:tc>
        <w:tc>
          <w:tcPr>
            <w:tcW w:w="3262" w:type="pct"/>
            <w:tcBorders>
              <w:top w:val="single" w:color="auto" w:sz="4" w:space="0"/>
              <w:left w:val="single" w:color="auto" w:sz="4" w:space="0"/>
              <w:bottom w:val="single" w:color="auto" w:sz="4" w:space="0"/>
              <w:right w:val="single" w:color="auto" w:sz="4" w:space="0"/>
            </w:tcBorders>
            <w:vAlign w:val="center"/>
          </w:tcPr>
          <w:p w14:paraId="752A1D34">
            <w:pPr>
              <w:autoSpaceDN w:val="0"/>
              <w:snapToGrid w:val="0"/>
              <w:spacing w:line="276"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单位名称：浙江工业大学</w:t>
            </w:r>
          </w:p>
          <w:p w14:paraId="27E9DAC2">
            <w:pPr>
              <w:autoSpaceDN w:val="0"/>
              <w:snapToGrid w:val="0"/>
              <w:spacing w:line="276"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地址：浙江省杭州市潮王路18号</w:t>
            </w:r>
          </w:p>
          <w:p w14:paraId="6645637B">
            <w:pPr>
              <w:autoSpaceDN w:val="0"/>
              <w:snapToGrid w:val="0"/>
              <w:spacing w:line="276" w:lineRule="auto"/>
              <w:rPr>
                <w:rFonts w:hint="default" w:ascii="仿宋" w:hAnsi="仿宋" w:eastAsia="仿宋" w:cs="宋体"/>
                <w:color w:val="auto"/>
                <w:sz w:val="24"/>
                <w:szCs w:val="24"/>
                <w:highlight w:val="none"/>
                <w:u w:val="single"/>
                <w:lang w:val="en-US"/>
              </w:rPr>
            </w:pPr>
            <w:r>
              <w:rPr>
                <w:rFonts w:hint="eastAsia" w:ascii="仿宋" w:hAnsi="仿宋" w:eastAsia="仿宋" w:cs="Arial"/>
                <w:color w:val="auto"/>
                <w:sz w:val="24"/>
                <w:szCs w:val="24"/>
                <w:highlight w:val="none"/>
              </w:rPr>
              <w:t>联系人：</w:t>
            </w:r>
            <w:r>
              <w:rPr>
                <w:rFonts w:hint="eastAsia" w:ascii="仿宋" w:hAnsi="仿宋" w:eastAsia="仿宋" w:cs="Arial"/>
                <w:color w:val="auto"/>
                <w:sz w:val="24"/>
                <w:szCs w:val="24"/>
                <w:highlight w:val="none"/>
                <w:lang w:val="en-US" w:eastAsia="zh-CN"/>
              </w:rPr>
              <w:t>孙老师、余老师</w:t>
            </w:r>
            <w:r>
              <w:rPr>
                <w:rFonts w:hint="eastAsia" w:ascii="仿宋" w:hAnsi="仿宋" w:eastAsia="仿宋" w:cs="Arial"/>
                <w:color w:val="auto"/>
                <w:sz w:val="24"/>
                <w:szCs w:val="24"/>
                <w:highlight w:val="none"/>
              </w:rPr>
              <w:t xml:space="preserve">   联系电话：</w:t>
            </w:r>
            <w:r>
              <w:rPr>
                <w:rFonts w:hint="eastAsia" w:ascii="仿宋" w:hAnsi="仿宋" w:eastAsia="仿宋" w:cs="Arial"/>
                <w:color w:val="auto"/>
                <w:sz w:val="24"/>
                <w:szCs w:val="24"/>
                <w:highlight w:val="none"/>
                <w:lang w:val="en-US" w:eastAsia="zh-CN"/>
              </w:rPr>
              <w:t>0571-88320055</w:t>
            </w:r>
          </w:p>
        </w:tc>
      </w:tr>
      <w:tr w14:paraId="57E15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2E4902E7">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7</w:t>
            </w:r>
          </w:p>
        </w:tc>
        <w:tc>
          <w:tcPr>
            <w:tcW w:w="1297" w:type="pct"/>
            <w:tcBorders>
              <w:top w:val="single" w:color="auto" w:sz="4" w:space="0"/>
              <w:left w:val="single" w:color="auto" w:sz="4" w:space="0"/>
              <w:bottom w:val="single" w:color="auto" w:sz="4" w:space="0"/>
              <w:right w:val="single" w:color="auto" w:sz="4" w:space="0"/>
            </w:tcBorders>
            <w:vAlign w:val="center"/>
          </w:tcPr>
          <w:p w14:paraId="1731B569">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采购代理机构</w:t>
            </w:r>
          </w:p>
        </w:tc>
        <w:tc>
          <w:tcPr>
            <w:tcW w:w="3262" w:type="pct"/>
            <w:tcBorders>
              <w:top w:val="single" w:color="auto" w:sz="4" w:space="0"/>
              <w:left w:val="single" w:color="auto" w:sz="4" w:space="0"/>
              <w:bottom w:val="single" w:color="auto" w:sz="4" w:space="0"/>
              <w:right w:val="single" w:color="auto" w:sz="4" w:space="0"/>
            </w:tcBorders>
            <w:vAlign w:val="center"/>
          </w:tcPr>
          <w:p w14:paraId="57A83BBB">
            <w:pPr>
              <w:autoSpaceDN w:val="0"/>
              <w:snapToGrid w:val="0"/>
              <w:spacing w:line="276" w:lineRule="auto"/>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华诚工程咨询集团有限公司</w:t>
            </w:r>
          </w:p>
          <w:p w14:paraId="6184947C">
            <w:pPr>
              <w:autoSpaceDN w:val="0"/>
              <w:snapToGrid w:val="0"/>
              <w:spacing w:line="276" w:lineRule="auto"/>
              <w:rPr>
                <w:rFonts w:hint="eastAsia" w:ascii="仿宋" w:hAnsi="仿宋" w:eastAsia="仿宋" w:cs="Arial"/>
                <w:color w:val="auto"/>
                <w:sz w:val="24"/>
                <w:szCs w:val="24"/>
                <w:highlight w:val="none"/>
                <w:lang w:val="en-US" w:eastAsia="zh-CN"/>
              </w:rPr>
            </w:pPr>
            <w:r>
              <w:rPr>
                <w:rFonts w:hint="eastAsia" w:ascii="仿宋" w:hAnsi="仿宋" w:eastAsia="仿宋" w:cs="Arial"/>
                <w:color w:val="auto"/>
                <w:sz w:val="24"/>
                <w:szCs w:val="24"/>
                <w:highlight w:val="none"/>
              </w:rPr>
              <w:t>联系人：</w:t>
            </w:r>
            <w:r>
              <w:rPr>
                <w:rFonts w:hint="eastAsia" w:ascii="仿宋" w:hAnsi="仿宋" w:eastAsia="仿宋" w:cs="Arial"/>
                <w:color w:val="auto"/>
                <w:sz w:val="24"/>
                <w:szCs w:val="24"/>
                <w:highlight w:val="none"/>
                <w:lang w:eastAsia="zh-CN"/>
              </w:rPr>
              <w:t>叶秀华、楼国栋</w:t>
            </w:r>
          </w:p>
          <w:p w14:paraId="361A4747">
            <w:pPr>
              <w:autoSpaceDN w:val="0"/>
              <w:snapToGrid w:val="0"/>
              <w:spacing w:line="276"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联系电话：0571-87981527</w:t>
            </w:r>
          </w:p>
          <w:p w14:paraId="5400C626">
            <w:pPr>
              <w:autoSpaceDE w:val="0"/>
              <w:autoSpaceDN w:val="0"/>
              <w:snapToGrid w:val="0"/>
              <w:spacing w:line="276" w:lineRule="auto"/>
              <w:jc w:val="left"/>
              <w:rPr>
                <w:rFonts w:hint="default" w:ascii="仿宋" w:hAnsi="仿宋" w:eastAsia="仿宋" w:cs="Arial"/>
                <w:b/>
                <w:bCs/>
                <w:color w:val="auto"/>
                <w:sz w:val="24"/>
                <w:szCs w:val="24"/>
                <w:highlight w:val="none"/>
                <w:lang w:val="en-US" w:eastAsia="zh-CN"/>
              </w:rPr>
            </w:pPr>
            <w:r>
              <w:rPr>
                <w:rFonts w:hint="eastAsia" w:ascii="仿宋" w:hAnsi="仿宋" w:eastAsia="仿宋" w:cs="Arial"/>
                <w:color w:val="auto"/>
                <w:sz w:val="24"/>
                <w:szCs w:val="24"/>
                <w:highlight w:val="none"/>
              </w:rPr>
              <w:t>电子邮箱：</w:t>
            </w:r>
            <w:r>
              <w:rPr>
                <w:rFonts w:hint="eastAsia" w:ascii="仿宋" w:hAnsi="仿宋" w:eastAsia="仿宋" w:cs="Arial"/>
                <w:color w:val="auto"/>
                <w:sz w:val="24"/>
                <w:szCs w:val="24"/>
                <w:highlight w:val="none"/>
                <w:u w:val="none"/>
                <w:lang w:val="en-US" w:eastAsia="zh-CN"/>
              </w:rPr>
              <w:fldChar w:fldCharType="begin"/>
            </w:r>
            <w:r>
              <w:rPr>
                <w:rFonts w:hint="eastAsia" w:ascii="仿宋" w:hAnsi="仿宋" w:eastAsia="仿宋" w:cs="Arial"/>
                <w:color w:val="auto"/>
                <w:sz w:val="24"/>
                <w:szCs w:val="24"/>
                <w:highlight w:val="none"/>
                <w:u w:val="none"/>
                <w:lang w:val="en-US" w:eastAsia="zh-CN"/>
              </w:rPr>
              <w:instrText xml:space="preserve"> HYPERLINK "mailto:HCZBDL@126.COM" </w:instrText>
            </w:r>
            <w:r>
              <w:rPr>
                <w:rFonts w:hint="eastAsia" w:ascii="仿宋" w:hAnsi="仿宋" w:eastAsia="仿宋" w:cs="Arial"/>
                <w:color w:val="auto"/>
                <w:sz w:val="24"/>
                <w:szCs w:val="24"/>
                <w:highlight w:val="none"/>
                <w:u w:val="none"/>
                <w:lang w:val="en-US" w:eastAsia="zh-CN"/>
              </w:rPr>
              <w:fldChar w:fldCharType="separate"/>
            </w:r>
            <w:r>
              <w:rPr>
                <w:rStyle w:val="71"/>
                <w:rFonts w:hint="eastAsia" w:ascii="仿宋" w:hAnsi="仿宋" w:eastAsia="仿宋" w:cs="Arial"/>
                <w:color w:val="auto"/>
                <w:sz w:val="24"/>
                <w:szCs w:val="24"/>
                <w:highlight w:val="none"/>
                <w:u w:val="none"/>
                <w:lang w:val="en-US" w:eastAsia="zh-CN"/>
              </w:rPr>
              <w:t>HCZBDL@126.</w:t>
            </w:r>
            <w:r>
              <w:rPr>
                <w:rFonts w:hint="eastAsia" w:ascii="仿宋" w:hAnsi="仿宋" w:eastAsia="仿宋" w:cs="Arial"/>
                <w:color w:val="auto"/>
                <w:sz w:val="24"/>
                <w:szCs w:val="24"/>
                <w:highlight w:val="none"/>
                <w:u w:val="none"/>
                <w:lang w:val="en-US" w:eastAsia="zh-CN"/>
              </w:rPr>
              <w:fldChar w:fldCharType="end"/>
            </w:r>
            <w:r>
              <w:rPr>
                <w:rFonts w:hint="eastAsia" w:ascii="仿宋" w:hAnsi="仿宋" w:eastAsia="仿宋" w:cs="Arial"/>
                <w:color w:val="auto"/>
                <w:sz w:val="24"/>
                <w:szCs w:val="24"/>
                <w:highlight w:val="none"/>
                <w:u w:val="none"/>
                <w:lang w:val="en-US" w:eastAsia="zh-CN"/>
              </w:rPr>
              <w:t xml:space="preserve">com </w:t>
            </w:r>
          </w:p>
          <w:p w14:paraId="1AEF325E">
            <w:pPr>
              <w:autoSpaceDE w:val="0"/>
              <w:autoSpaceDN w:val="0"/>
              <w:snapToGrid w:val="0"/>
              <w:spacing w:line="276" w:lineRule="auto"/>
              <w:jc w:val="left"/>
              <w:rPr>
                <w:rFonts w:hint="eastAsia" w:ascii="仿宋" w:hAnsi="仿宋" w:eastAsia="仿宋" w:cs="..ì."/>
                <w:color w:val="auto"/>
                <w:sz w:val="24"/>
                <w:szCs w:val="24"/>
                <w:highlight w:val="none"/>
                <w:lang w:eastAsia="zh-CN"/>
              </w:rPr>
            </w:pPr>
            <w:r>
              <w:rPr>
                <w:rFonts w:hint="eastAsia" w:ascii="仿宋" w:hAnsi="仿宋" w:eastAsia="仿宋" w:cs="Arial"/>
                <w:color w:val="auto"/>
                <w:sz w:val="24"/>
                <w:szCs w:val="24"/>
                <w:highlight w:val="none"/>
              </w:rPr>
              <w:t>地址：</w:t>
            </w:r>
            <w:r>
              <w:rPr>
                <w:rFonts w:hint="eastAsia" w:ascii="仿宋" w:hAnsi="仿宋" w:eastAsia="仿宋" w:cs="宋体"/>
                <w:color w:val="auto"/>
                <w:sz w:val="24"/>
                <w:szCs w:val="24"/>
                <w:highlight w:val="none"/>
                <w:lang w:eastAsia="zh-CN"/>
              </w:rPr>
              <w:t>杭州市拱墅区彩云路105号锦盛大楼8楼</w:t>
            </w:r>
          </w:p>
        </w:tc>
      </w:tr>
      <w:tr w14:paraId="0558F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136CE98F">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8</w:t>
            </w:r>
          </w:p>
        </w:tc>
        <w:tc>
          <w:tcPr>
            <w:tcW w:w="1297" w:type="pct"/>
            <w:tcBorders>
              <w:top w:val="single" w:color="auto" w:sz="4" w:space="0"/>
              <w:left w:val="single" w:color="auto" w:sz="4" w:space="0"/>
              <w:bottom w:val="single" w:color="auto" w:sz="4" w:space="0"/>
              <w:right w:val="single" w:color="auto" w:sz="4" w:space="0"/>
            </w:tcBorders>
            <w:vAlign w:val="center"/>
          </w:tcPr>
          <w:p w14:paraId="761483B0">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公告媒体</w:t>
            </w:r>
          </w:p>
        </w:tc>
        <w:tc>
          <w:tcPr>
            <w:tcW w:w="3262" w:type="pct"/>
            <w:tcBorders>
              <w:top w:val="single" w:color="auto" w:sz="4" w:space="0"/>
              <w:left w:val="single" w:color="auto" w:sz="4" w:space="0"/>
              <w:bottom w:val="single" w:color="auto" w:sz="4" w:space="0"/>
              <w:right w:val="single" w:color="auto" w:sz="4" w:space="0"/>
            </w:tcBorders>
            <w:vAlign w:val="center"/>
          </w:tcPr>
          <w:p w14:paraId="7AE8FF1E">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浙江政府采购网（https://zfcg.czt.zj.gov.cn/）</w:t>
            </w:r>
          </w:p>
        </w:tc>
      </w:tr>
      <w:tr w14:paraId="74358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313203AA">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9</w:t>
            </w:r>
          </w:p>
        </w:tc>
        <w:tc>
          <w:tcPr>
            <w:tcW w:w="1297" w:type="pct"/>
            <w:tcBorders>
              <w:top w:val="single" w:color="auto" w:sz="4" w:space="0"/>
              <w:left w:val="single" w:color="auto" w:sz="4" w:space="0"/>
              <w:bottom w:val="single" w:color="auto" w:sz="4" w:space="0"/>
              <w:right w:val="single" w:color="auto" w:sz="4" w:space="0"/>
            </w:tcBorders>
            <w:vAlign w:val="center"/>
          </w:tcPr>
          <w:p w14:paraId="443649B2">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交易方式</w:t>
            </w:r>
          </w:p>
        </w:tc>
        <w:tc>
          <w:tcPr>
            <w:tcW w:w="3262" w:type="pct"/>
            <w:tcBorders>
              <w:top w:val="single" w:color="auto" w:sz="4" w:space="0"/>
              <w:left w:val="single" w:color="auto" w:sz="4" w:space="0"/>
              <w:bottom w:val="single" w:color="auto" w:sz="4" w:space="0"/>
              <w:right w:val="single" w:color="auto" w:sz="4" w:space="0"/>
            </w:tcBorders>
            <w:vAlign w:val="center"/>
          </w:tcPr>
          <w:p w14:paraId="49DE0E7C">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Arial"/>
                <w:b/>
                <w:color w:val="auto"/>
                <w:sz w:val="24"/>
                <w:szCs w:val="24"/>
                <w:highlight w:val="none"/>
              </w:rPr>
              <w:t>电子交易</w:t>
            </w:r>
          </w:p>
        </w:tc>
      </w:tr>
      <w:tr w14:paraId="27506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51386B97">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10</w:t>
            </w:r>
          </w:p>
        </w:tc>
        <w:tc>
          <w:tcPr>
            <w:tcW w:w="1297" w:type="pct"/>
            <w:tcBorders>
              <w:top w:val="single" w:color="auto" w:sz="4" w:space="0"/>
              <w:left w:val="single" w:color="auto" w:sz="4" w:space="0"/>
              <w:bottom w:val="single" w:color="auto" w:sz="4" w:space="0"/>
              <w:right w:val="single" w:color="auto" w:sz="4" w:space="0"/>
            </w:tcBorders>
            <w:vAlign w:val="center"/>
          </w:tcPr>
          <w:p w14:paraId="3E2FC006">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电子交易平台</w:t>
            </w:r>
          </w:p>
        </w:tc>
        <w:tc>
          <w:tcPr>
            <w:tcW w:w="3262" w:type="pct"/>
            <w:tcBorders>
              <w:top w:val="single" w:color="auto" w:sz="4" w:space="0"/>
              <w:left w:val="single" w:color="auto" w:sz="4" w:space="0"/>
              <w:bottom w:val="single" w:color="auto" w:sz="4" w:space="0"/>
              <w:right w:val="single" w:color="auto" w:sz="4" w:space="0"/>
            </w:tcBorders>
            <w:vAlign w:val="center"/>
          </w:tcPr>
          <w:p w14:paraId="212EA91C">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政府采购云平台（https://www.zcygov.cn/）</w:t>
            </w:r>
          </w:p>
        </w:tc>
      </w:tr>
      <w:tr w14:paraId="051C89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02D699A3">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11</w:t>
            </w:r>
          </w:p>
        </w:tc>
        <w:tc>
          <w:tcPr>
            <w:tcW w:w="1297" w:type="pct"/>
            <w:tcBorders>
              <w:top w:val="single" w:color="auto" w:sz="4" w:space="0"/>
              <w:left w:val="single" w:color="auto" w:sz="4" w:space="0"/>
              <w:bottom w:val="single" w:color="auto" w:sz="4" w:space="0"/>
              <w:right w:val="single" w:color="auto" w:sz="4" w:space="0"/>
            </w:tcBorders>
            <w:vAlign w:val="center"/>
          </w:tcPr>
          <w:p w14:paraId="726587D8">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是否专门面向</w:t>
            </w:r>
          </w:p>
          <w:p w14:paraId="562564C5">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中小企业采购</w:t>
            </w:r>
          </w:p>
        </w:tc>
        <w:tc>
          <w:tcPr>
            <w:tcW w:w="3262" w:type="pct"/>
            <w:tcBorders>
              <w:top w:val="single" w:color="auto" w:sz="4" w:space="0"/>
              <w:left w:val="single" w:color="auto" w:sz="4" w:space="0"/>
              <w:bottom w:val="single" w:color="auto" w:sz="4" w:space="0"/>
              <w:right w:val="single" w:color="auto" w:sz="4" w:space="0"/>
            </w:tcBorders>
            <w:vAlign w:val="center"/>
          </w:tcPr>
          <w:p w14:paraId="71A96903">
            <w:pPr>
              <w:widowControl/>
              <w:autoSpaceDE w:val="0"/>
              <w:autoSpaceDN w:val="0"/>
              <w:snapToGrid w:val="0"/>
              <w:spacing w:line="276" w:lineRule="auto"/>
              <w:jc w:val="left"/>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bidi="ar"/>
              </w:rPr>
              <w:t>（1）本次采购为专门面向中小企业的采购项目；</w:t>
            </w:r>
          </w:p>
          <w:p w14:paraId="48A04452">
            <w:pPr>
              <w:widowControl/>
              <w:autoSpaceDE w:val="0"/>
              <w:autoSpaceDN w:val="0"/>
              <w:snapToGrid w:val="0"/>
              <w:spacing w:line="276" w:lineRule="auto"/>
              <w:jc w:val="left"/>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bidi="ar"/>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D844ACD">
            <w:pPr>
              <w:widowControl/>
              <w:autoSpaceDE w:val="0"/>
              <w:autoSpaceDN w:val="0"/>
              <w:snapToGrid w:val="0"/>
              <w:spacing w:line="276" w:lineRule="auto"/>
              <w:jc w:val="left"/>
              <w:textAlignment w:val="bottom"/>
              <w:rPr>
                <w:rFonts w:ascii="仿宋" w:hAnsi="仿宋" w:eastAsia="仿宋" w:cs="宋体"/>
                <w:color w:val="auto"/>
                <w:sz w:val="24"/>
                <w:szCs w:val="24"/>
                <w:highlight w:val="none"/>
                <w:u w:val="single"/>
                <w:lang w:bidi="ar"/>
              </w:rPr>
            </w:pPr>
            <w:r>
              <w:rPr>
                <w:rFonts w:hint="eastAsia" w:ascii="仿宋" w:hAnsi="仿宋" w:eastAsia="仿宋" w:cs="宋体"/>
                <w:color w:val="auto"/>
                <w:sz w:val="24"/>
                <w:szCs w:val="24"/>
                <w:highlight w:val="none"/>
                <w:lang w:bidi="ar"/>
              </w:rPr>
              <w:t>（3）本次采购标的为</w:t>
            </w:r>
            <w:r>
              <w:rPr>
                <w:rFonts w:hint="eastAsia" w:ascii="仿宋" w:hAnsi="仿宋" w:eastAsia="仿宋" w:cs="宋体"/>
                <w:color w:val="auto"/>
                <w:sz w:val="24"/>
                <w:szCs w:val="24"/>
                <w:highlight w:val="none"/>
                <w:u w:val="single"/>
                <w:lang w:eastAsia="zh-CN" w:bidi="ar"/>
              </w:rPr>
              <w:t>浙江工业大学屏峰校区学生宿舍建设工程项目施工用电工程</w:t>
            </w:r>
            <w:r>
              <w:rPr>
                <w:rFonts w:hint="eastAsia" w:ascii="仿宋" w:hAnsi="仿宋" w:eastAsia="仿宋" w:cs="宋体"/>
                <w:color w:val="auto"/>
                <w:sz w:val="24"/>
                <w:szCs w:val="24"/>
                <w:highlight w:val="none"/>
                <w:lang w:bidi="ar"/>
              </w:rPr>
              <w:t>，对应的中小企业划分标准所属行业是：</w:t>
            </w:r>
            <w:r>
              <w:rPr>
                <w:rFonts w:hint="eastAsia" w:ascii="仿宋" w:hAnsi="仿宋" w:eastAsia="仿宋" w:cs="宋体"/>
                <w:color w:val="auto"/>
                <w:sz w:val="24"/>
                <w:szCs w:val="24"/>
                <w:highlight w:val="none"/>
                <w:u w:val="single"/>
                <w:lang w:bidi="ar"/>
              </w:rPr>
              <w:t>建筑业</w:t>
            </w:r>
            <w:r>
              <w:rPr>
                <w:rFonts w:hint="eastAsia" w:ascii="仿宋" w:hAnsi="仿宋" w:eastAsia="仿宋" w:cs="宋体"/>
                <w:color w:val="auto"/>
                <w:sz w:val="24"/>
                <w:szCs w:val="24"/>
                <w:highlight w:val="none"/>
                <w:lang w:bidi="ar"/>
              </w:rPr>
              <w:t>；</w:t>
            </w:r>
          </w:p>
          <w:p w14:paraId="16A1DA0E">
            <w:pPr>
              <w:widowControl/>
              <w:autoSpaceDE w:val="0"/>
              <w:autoSpaceDN w:val="0"/>
              <w:snapToGrid w:val="0"/>
              <w:spacing w:line="276" w:lineRule="auto"/>
              <w:jc w:val="left"/>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标准：</w:t>
            </w:r>
            <w:r>
              <w:rPr>
                <w:rFonts w:hint="eastAsia" w:ascii="仿宋" w:hAnsi="仿宋" w:eastAsia="仿宋" w:cs="宋体"/>
                <w:color w:val="auto"/>
                <w:sz w:val="24"/>
                <w:szCs w:val="24"/>
                <w:highlight w:val="none"/>
                <w:u w:val="singl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宋体"/>
                <w:color w:val="auto"/>
                <w:sz w:val="24"/>
                <w:szCs w:val="24"/>
                <w:highlight w:val="none"/>
              </w:rPr>
              <w:t>。</w:t>
            </w:r>
          </w:p>
          <w:p w14:paraId="4A85961C">
            <w:pPr>
              <w:widowControl/>
              <w:autoSpaceDE w:val="0"/>
              <w:autoSpaceDN w:val="0"/>
              <w:snapToGrid w:val="0"/>
              <w:spacing w:line="276" w:lineRule="auto"/>
              <w:jc w:val="left"/>
              <w:textAlignment w:val="bottom"/>
              <w:rPr>
                <w:rFonts w:ascii="仿宋" w:hAnsi="仿宋" w:eastAsia="仿宋" w:cs="宋体"/>
                <w:color w:val="auto"/>
                <w:sz w:val="24"/>
                <w:szCs w:val="24"/>
                <w:highlight w:val="none"/>
                <w:lang w:bidi="ar"/>
              </w:rPr>
            </w:pPr>
            <w:r>
              <w:rPr>
                <w:rFonts w:hint="eastAsia" w:ascii="仿宋" w:hAnsi="仿宋" w:eastAsia="仿宋" w:cs="宋体"/>
                <w:color w:val="auto"/>
                <w:sz w:val="24"/>
                <w:szCs w:val="24"/>
                <w:highlight w:val="none"/>
                <w:lang w:bidi="ar"/>
              </w:rPr>
              <w:t>（4）</w:t>
            </w:r>
            <w:r>
              <w:rPr>
                <w:rFonts w:hint="eastAsia" w:ascii="仿宋" w:hAnsi="仿宋" w:eastAsia="仿宋" w:cs="宋体"/>
                <w:color w:val="auto"/>
                <w:kern w:val="0"/>
                <w:sz w:val="24"/>
                <w:szCs w:val="24"/>
                <w:highlight w:val="none"/>
              </w:rPr>
              <w:t>以联合体形式参加政府采购活动，联合体各方均为中小企业的，联合体视同中小企业</w:t>
            </w:r>
            <w:r>
              <w:rPr>
                <w:rFonts w:hint="eastAsia" w:ascii="仿宋" w:hAnsi="仿宋" w:eastAsia="仿宋" w:cs="宋体"/>
                <w:color w:val="auto"/>
                <w:sz w:val="24"/>
                <w:szCs w:val="24"/>
                <w:highlight w:val="none"/>
                <w:lang w:bidi="ar"/>
              </w:rPr>
              <w:t>；</w:t>
            </w:r>
          </w:p>
          <w:p w14:paraId="31B781A5">
            <w:pPr>
              <w:widowControl/>
              <w:autoSpaceDE w:val="0"/>
              <w:autoSpaceDN w:val="0"/>
              <w:snapToGrid w:val="0"/>
              <w:spacing w:line="276" w:lineRule="auto"/>
              <w:jc w:val="left"/>
              <w:textAlignment w:val="bottom"/>
              <w:rPr>
                <w:rFonts w:ascii="仿宋" w:hAnsi="仿宋" w:eastAsia="仿宋" w:cs="宋体"/>
                <w:color w:val="auto"/>
                <w:kern w:val="0"/>
                <w:sz w:val="24"/>
                <w:szCs w:val="24"/>
                <w:highlight w:val="none"/>
              </w:rPr>
            </w:pPr>
            <w:r>
              <w:rPr>
                <w:rFonts w:hint="eastAsia" w:ascii="仿宋" w:hAnsi="仿宋" w:eastAsia="仿宋" w:cs="宋体"/>
                <w:color w:val="auto"/>
                <w:sz w:val="24"/>
                <w:szCs w:val="24"/>
                <w:highlight w:val="none"/>
                <w:lang w:bidi="ar"/>
              </w:rPr>
              <w:t>（5）</w:t>
            </w:r>
            <w:r>
              <w:rPr>
                <w:rFonts w:hint="eastAsia" w:ascii="仿宋" w:hAnsi="仿宋" w:eastAsia="仿宋" w:cs="宋体"/>
                <w:color w:val="auto"/>
                <w:kern w:val="0"/>
                <w:sz w:val="24"/>
                <w:szCs w:val="24"/>
                <w:highlight w:val="none"/>
              </w:rPr>
              <w:t>符合中小企业划分标准的个体工商户，视同中小企业；</w:t>
            </w:r>
          </w:p>
          <w:p w14:paraId="71937F90">
            <w:pPr>
              <w:widowControl/>
              <w:autoSpaceDE w:val="0"/>
              <w:autoSpaceDN w:val="0"/>
              <w:snapToGrid w:val="0"/>
              <w:spacing w:line="276" w:lineRule="auto"/>
              <w:jc w:val="left"/>
              <w:textAlignment w:val="bottom"/>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（6）本次采购的工程要求全部由中小企业承建；</w:t>
            </w:r>
          </w:p>
          <w:p w14:paraId="6C7569DE">
            <w:pPr>
              <w:autoSpaceDE w:val="0"/>
              <w:autoSpaceDN w:val="0"/>
              <w:snapToGrid w:val="0"/>
              <w:spacing w:line="276" w:lineRule="auto"/>
              <w:textAlignment w:val="bottom"/>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（7）承接的工程由中小企业承建（包括联合体内的中小企业和接受分包的中小企业）的，供应商应当出具《中小企业声明函》；</w:t>
            </w:r>
          </w:p>
          <w:p w14:paraId="59E2F25E">
            <w:pPr>
              <w:autoSpaceDE w:val="0"/>
              <w:autoSpaceDN w:val="0"/>
              <w:snapToGrid w:val="0"/>
              <w:spacing w:line="276" w:lineRule="auto"/>
              <w:textAlignment w:val="bottom"/>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（8）残疾人福利性单位视同小微企业。残疾人福利性单位参加政府采购活动时，应当提供《残疾人福利性单位声明函》；</w:t>
            </w:r>
          </w:p>
          <w:p w14:paraId="1773501B">
            <w:pPr>
              <w:autoSpaceDN w:val="0"/>
              <w:snapToGrid w:val="0"/>
              <w:spacing w:line="276" w:lineRule="auto"/>
              <w:rPr>
                <w:rFonts w:ascii="仿宋" w:hAnsi="仿宋" w:eastAsia="仿宋" w:cs="Arial"/>
                <w:b/>
                <w:color w:val="auto"/>
                <w:sz w:val="24"/>
                <w:szCs w:val="24"/>
                <w:highlight w:val="none"/>
              </w:rPr>
            </w:pPr>
            <w:r>
              <w:rPr>
                <w:rFonts w:hint="eastAsia" w:ascii="仿宋" w:hAnsi="仿宋" w:eastAsia="仿宋" w:cs="宋体"/>
                <w:color w:val="auto"/>
                <w:kern w:val="0"/>
                <w:sz w:val="24"/>
                <w:szCs w:val="24"/>
                <w:highlight w:val="none"/>
              </w:rPr>
              <w:t>（9）监狱企业视同小微企业。监狱企业参加政府采购活动时，应当出具省级以上监狱管理局、戒毒管理局（含新疆生产建设兵团）提供的属于监狱企业的证明文件。</w:t>
            </w:r>
          </w:p>
        </w:tc>
      </w:tr>
      <w:tr w14:paraId="1ACF8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303806CB">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12</w:t>
            </w:r>
          </w:p>
        </w:tc>
        <w:tc>
          <w:tcPr>
            <w:tcW w:w="1297" w:type="pct"/>
            <w:tcBorders>
              <w:top w:val="single" w:color="auto" w:sz="4" w:space="0"/>
              <w:left w:val="single" w:color="auto" w:sz="4" w:space="0"/>
              <w:bottom w:val="single" w:color="auto" w:sz="4" w:space="0"/>
              <w:right w:val="single" w:color="auto" w:sz="4" w:space="0"/>
            </w:tcBorders>
            <w:vAlign w:val="center"/>
          </w:tcPr>
          <w:p w14:paraId="602476BA">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采购方式</w:t>
            </w:r>
          </w:p>
        </w:tc>
        <w:tc>
          <w:tcPr>
            <w:tcW w:w="3262" w:type="pct"/>
            <w:tcBorders>
              <w:top w:val="single" w:color="auto" w:sz="4" w:space="0"/>
              <w:left w:val="single" w:color="auto" w:sz="4" w:space="0"/>
              <w:bottom w:val="single" w:color="auto" w:sz="4" w:space="0"/>
              <w:right w:val="single" w:color="auto" w:sz="4" w:space="0"/>
            </w:tcBorders>
            <w:vAlign w:val="center"/>
          </w:tcPr>
          <w:p w14:paraId="6DE58F47">
            <w:pPr>
              <w:autoSpaceDN w:val="0"/>
              <w:snapToGrid w:val="0"/>
              <w:spacing w:line="276" w:lineRule="auto"/>
              <w:rPr>
                <w:rFonts w:ascii="仿宋" w:hAnsi="仿宋" w:eastAsia="仿宋" w:cs="Arial"/>
                <w:color w:val="auto"/>
                <w:sz w:val="24"/>
                <w:szCs w:val="24"/>
                <w:highlight w:val="none"/>
              </w:rPr>
            </w:pPr>
            <w:r>
              <w:rPr>
                <w:rFonts w:hint="eastAsia" w:ascii="仿宋" w:hAnsi="仿宋" w:eastAsia="仿宋" w:cs="Arial"/>
                <w:color w:val="auto"/>
                <w:kern w:val="0"/>
                <w:sz w:val="24"/>
                <w:szCs w:val="24"/>
                <w:highlight w:val="none"/>
              </w:rPr>
              <w:t>公告形式邀请（发布竞争性磋商公告后登记确定）</w:t>
            </w:r>
          </w:p>
        </w:tc>
      </w:tr>
      <w:tr w14:paraId="78728B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2A92A783">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13</w:t>
            </w:r>
          </w:p>
        </w:tc>
        <w:tc>
          <w:tcPr>
            <w:tcW w:w="1297" w:type="pct"/>
            <w:tcBorders>
              <w:top w:val="single" w:color="auto" w:sz="4" w:space="0"/>
              <w:left w:val="single" w:color="auto" w:sz="4" w:space="0"/>
              <w:bottom w:val="single" w:color="auto" w:sz="4" w:space="0"/>
              <w:right w:val="single" w:color="auto" w:sz="4" w:space="0"/>
            </w:tcBorders>
            <w:vAlign w:val="center"/>
          </w:tcPr>
          <w:p w14:paraId="0F7745C4">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转包</w:t>
            </w:r>
          </w:p>
        </w:tc>
        <w:tc>
          <w:tcPr>
            <w:tcW w:w="3262" w:type="pct"/>
            <w:tcBorders>
              <w:top w:val="single" w:color="auto" w:sz="4" w:space="0"/>
              <w:left w:val="single" w:color="auto" w:sz="4" w:space="0"/>
              <w:bottom w:val="single" w:color="auto" w:sz="4" w:space="0"/>
              <w:right w:val="single" w:color="auto" w:sz="4" w:space="0"/>
            </w:tcBorders>
            <w:vAlign w:val="center"/>
          </w:tcPr>
          <w:p w14:paraId="6D8AD401">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本项目不允许转包。</w:t>
            </w:r>
          </w:p>
        </w:tc>
      </w:tr>
      <w:tr w14:paraId="4AB002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77D301A6">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14</w:t>
            </w:r>
          </w:p>
        </w:tc>
        <w:tc>
          <w:tcPr>
            <w:tcW w:w="1297" w:type="pct"/>
            <w:tcBorders>
              <w:top w:val="single" w:color="auto" w:sz="4" w:space="0"/>
              <w:left w:val="single" w:color="auto" w:sz="4" w:space="0"/>
              <w:bottom w:val="single" w:color="auto" w:sz="4" w:space="0"/>
              <w:right w:val="single" w:color="auto" w:sz="4" w:space="0"/>
            </w:tcBorders>
            <w:vAlign w:val="center"/>
          </w:tcPr>
          <w:p w14:paraId="5673331E">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分包</w:t>
            </w:r>
          </w:p>
        </w:tc>
        <w:tc>
          <w:tcPr>
            <w:tcW w:w="3262" w:type="pct"/>
            <w:tcBorders>
              <w:top w:val="single" w:color="auto" w:sz="4" w:space="0"/>
              <w:left w:val="single" w:color="auto" w:sz="4" w:space="0"/>
              <w:bottom w:val="single" w:color="auto" w:sz="4" w:space="0"/>
              <w:right w:val="single" w:color="auto" w:sz="4" w:space="0"/>
            </w:tcBorders>
            <w:vAlign w:val="center"/>
          </w:tcPr>
          <w:p w14:paraId="7FE07AB3">
            <w:pPr>
              <w:autoSpaceDN w:val="0"/>
              <w:snapToGrid w:val="0"/>
              <w:spacing w:line="276" w:lineRule="auto"/>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允许分包，分包内容要求：</w:t>
            </w:r>
            <w:r>
              <w:rPr>
                <w:rFonts w:hint="eastAsia" w:ascii="仿宋" w:hAnsi="仿宋" w:eastAsia="仿宋" w:cs="Arial"/>
                <w:b/>
                <w:color w:val="auto"/>
                <w:sz w:val="24"/>
                <w:szCs w:val="24"/>
                <w:highlight w:val="none"/>
                <w:u w:val="single"/>
              </w:rPr>
              <w:t>垃圾清运</w:t>
            </w:r>
            <w:r>
              <w:rPr>
                <w:rFonts w:hint="eastAsia" w:ascii="仿宋" w:hAnsi="仿宋" w:eastAsia="仿宋" w:cs="Arial"/>
                <w:b/>
                <w:color w:val="auto"/>
                <w:sz w:val="24"/>
                <w:szCs w:val="24"/>
                <w:highlight w:val="none"/>
              </w:rPr>
              <w:t>。</w:t>
            </w:r>
            <w:r>
              <w:rPr>
                <w:rFonts w:hint="eastAsia" w:ascii="仿宋" w:hAnsi="仿宋" w:eastAsia="仿宋" w:cs="Arial"/>
                <w:b/>
                <w:color w:val="auto"/>
                <w:sz w:val="24"/>
                <w:szCs w:val="24"/>
                <w:highlight w:val="none"/>
              </w:rPr>
              <w:t>供应商根据磋商文件的规定和项目的实际情况，拟在成交后将成交项目的非主体、非关键性工作分包的，应当在响应文件中载明分包承担主体，分包承担主体应当具备相应资质条件且不得再次分包。</w:t>
            </w:r>
          </w:p>
        </w:tc>
      </w:tr>
      <w:tr w14:paraId="57E752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452E5BB8">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w:t>
            </w:r>
          </w:p>
        </w:tc>
        <w:tc>
          <w:tcPr>
            <w:tcW w:w="1297" w:type="pct"/>
            <w:tcBorders>
              <w:top w:val="single" w:color="auto" w:sz="4" w:space="0"/>
              <w:left w:val="single" w:color="auto" w:sz="4" w:space="0"/>
              <w:bottom w:val="single" w:color="auto" w:sz="4" w:space="0"/>
              <w:right w:val="single" w:color="auto" w:sz="4" w:space="0"/>
            </w:tcBorders>
            <w:vAlign w:val="center"/>
          </w:tcPr>
          <w:p w14:paraId="46746996">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样品</w:t>
            </w:r>
          </w:p>
        </w:tc>
        <w:tc>
          <w:tcPr>
            <w:tcW w:w="3262" w:type="pct"/>
            <w:tcBorders>
              <w:top w:val="single" w:color="auto" w:sz="4" w:space="0"/>
              <w:left w:val="single" w:color="auto" w:sz="4" w:space="0"/>
              <w:bottom w:val="single" w:color="auto" w:sz="4" w:space="0"/>
              <w:right w:val="single" w:color="auto" w:sz="4" w:space="0"/>
            </w:tcBorders>
            <w:vAlign w:val="center"/>
          </w:tcPr>
          <w:p w14:paraId="10B88827">
            <w:pPr>
              <w:autoSpaceDN w:val="0"/>
              <w:snapToGrid w:val="0"/>
              <w:spacing w:line="276" w:lineRule="auto"/>
              <w:rPr>
                <w:rFonts w:ascii="仿宋" w:hAnsi="仿宋" w:eastAsia="仿宋" w:cs="宋体"/>
                <w:color w:val="auto"/>
                <w:spacing w:val="-4"/>
                <w:kern w:val="0"/>
                <w:sz w:val="24"/>
                <w:szCs w:val="24"/>
                <w:highlight w:val="none"/>
              </w:rPr>
            </w:pPr>
            <w:r>
              <w:rPr>
                <w:rFonts w:hint="eastAsia" w:ascii="仿宋" w:hAnsi="仿宋" w:eastAsia="仿宋" w:cs="宋体"/>
                <w:color w:val="auto"/>
                <w:sz w:val="24"/>
                <w:szCs w:val="24"/>
                <w:highlight w:val="none"/>
              </w:rPr>
              <w:t>不要求</w:t>
            </w:r>
          </w:p>
        </w:tc>
      </w:tr>
      <w:tr w14:paraId="01E0A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439" w:type="pct"/>
            <w:tcBorders>
              <w:top w:val="single" w:color="auto" w:sz="4" w:space="0"/>
              <w:left w:val="single" w:color="auto" w:sz="4" w:space="0"/>
              <w:bottom w:val="single" w:color="auto" w:sz="4" w:space="0"/>
              <w:right w:val="single" w:color="auto" w:sz="4" w:space="0"/>
            </w:tcBorders>
            <w:vAlign w:val="bottom"/>
          </w:tcPr>
          <w:p w14:paraId="79901356">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16</w:t>
            </w:r>
          </w:p>
        </w:tc>
        <w:tc>
          <w:tcPr>
            <w:tcW w:w="1297" w:type="pct"/>
            <w:tcBorders>
              <w:top w:val="single" w:color="auto" w:sz="4" w:space="0"/>
              <w:left w:val="single" w:color="auto" w:sz="4" w:space="0"/>
              <w:bottom w:val="single" w:color="auto" w:sz="4" w:space="0"/>
              <w:right w:val="single" w:color="auto" w:sz="4" w:space="0"/>
            </w:tcBorders>
            <w:vAlign w:val="center"/>
          </w:tcPr>
          <w:p w14:paraId="19036241">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演示</w:t>
            </w:r>
          </w:p>
        </w:tc>
        <w:tc>
          <w:tcPr>
            <w:tcW w:w="3262" w:type="pct"/>
            <w:tcBorders>
              <w:top w:val="single" w:color="auto" w:sz="4" w:space="0"/>
              <w:left w:val="single" w:color="auto" w:sz="4" w:space="0"/>
              <w:bottom w:val="single" w:color="auto" w:sz="4" w:space="0"/>
              <w:right w:val="single" w:color="auto" w:sz="4" w:space="0"/>
            </w:tcBorders>
            <w:vAlign w:val="center"/>
          </w:tcPr>
          <w:p w14:paraId="4AB9A850">
            <w:pPr>
              <w:autoSpaceDN w:val="0"/>
              <w:snapToGrid w:val="0"/>
              <w:spacing w:line="276" w:lineRule="auto"/>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不要求</w:t>
            </w:r>
          </w:p>
        </w:tc>
      </w:tr>
      <w:tr w14:paraId="798247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71E432C9">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17</w:t>
            </w:r>
          </w:p>
        </w:tc>
        <w:tc>
          <w:tcPr>
            <w:tcW w:w="1297" w:type="pct"/>
            <w:tcBorders>
              <w:top w:val="single" w:color="auto" w:sz="4" w:space="0"/>
              <w:left w:val="single" w:color="auto" w:sz="4" w:space="0"/>
              <w:bottom w:val="single" w:color="auto" w:sz="4" w:space="0"/>
              <w:right w:val="single" w:color="auto" w:sz="4" w:space="0"/>
            </w:tcBorders>
            <w:vAlign w:val="center"/>
          </w:tcPr>
          <w:p w14:paraId="3B6A7ABA">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现场勘查</w:t>
            </w:r>
          </w:p>
        </w:tc>
        <w:tc>
          <w:tcPr>
            <w:tcW w:w="3262" w:type="pct"/>
            <w:tcBorders>
              <w:top w:val="single" w:color="auto" w:sz="4" w:space="0"/>
              <w:left w:val="single" w:color="auto" w:sz="4" w:space="0"/>
              <w:bottom w:val="single" w:color="auto" w:sz="4" w:space="0"/>
              <w:right w:val="single" w:color="auto" w:sz="4" w:space="0"/>
            </w:tcBorders>
            <w:vAlign w:val="center"/>
          </w:tcPr>
          <w:p w14:paraId="7CE1004E">
            <w:pPr>
              <w:autoSpaceDN w:val="0"/>
              <w:snapToGrid w:val="0"/>
              <w:spacing w:line="276" w:lineRule="auto"/>
              <w:jc w:val="left"/>
              <w:rPr>
                <w:rFonts w:ascii="仿宋" w:hAnsi="仿宋" w:eastAsia="仿宋" w:cs="Times New Roman"/>
                <w:color w:val="auto"/>
                <w:sz w:val="24"/>
                <w:szCs w:val="24"/>
                <w:highlight w:val="none"/>
              </w:rPr>
            </w:pPr>
            <w:r>
              <w:rPr>
                <w:rFonts w:ascii="仿宋" w:hAnsi="仿宋" w:eastAsia="仿宋" w:cs="Times New Roman"/>
                <w:b/>
                <w:bCs/>
                <w:color w:val="auto"/>
                <w:sz w:val="24"/>
                <w:szCs w:val="24"/>
                <w:highlight w:val="none"/>
              </w:rPr>
              <w:sym w:font="Wingdings" w:char="F0FE"/>
            </w:r>
            <w:r>
              <w:rPr>
                <w:rFonts w:hint="eastAsia" w:ascii="仿宋" w:hAnsi="仿宋" w:eastAsia="仿宋" w:cs="Times New Roman"/>
                <w:b/>
                <w:bCs/>
                <w:color w:val="auto"/>
                <w:sz w:val="24"/>
                <w:szCs w:val="24"/>
                <w:highlight w:val="none"/>
              </w:rPr>
              <w:t>自行踏勘</w:t>
            </w:r>
          </w:p>
          <w:p w14:paraId="7024F076">
            <w:pPr>
              <w:autoSpaceDN w:val="0"/>
              <w:snapToGrid w:val="0"/>
              <w:spacing w:line="276" w:lineRule="auto"/>
              <w:jc w:val="left"/>
              <w:rPr>
                <w:rFonts w:ascii="仿宋" w:hAnsi="仿宋" w:eastAsia="仿宋" w:cs="Arial"/>
                <w:color w:val="auto"/>
                <w:sz w:val="24"/>
                <w:szCs w:val="24"/>
                <w:highlight w:val="none"/>
              </w:rPr>
            </w:pPr>
            <w:r>
              <w:rPr>
                <w:rFonts w:ascii="仿宋" w:hAnsi="仿宋" w:eastAsia="仿宋" w:cs="Times New Roman"/>
                <w:color w:val="auto"/>
                <w:sz w:val="24"/>
                <w:szCs w:val="24"/>
                <w:highlight w:val="none"/>
              </w:rPr>
              <w:sym w:font="Wingdings" w:char="F06F"/>
            </w:r>
            <w:r>
              <w:rPr>
                <w:rFonts w:hint="eastAsia" w:ascii="仿宋" w:hAnsi="仿宋" w:eastAsia="仿宋" w:cs="Times New Roman"/>
                <w:color w:val="auto"/>
                <w:sz w:val="24"/>
                <w:szCs w:val="24"/>
                <w:highlight w:val="none"/>
              </w:rPr>
              <w:t>集中踏勘</w:t>
            </w:r>
          </w:p>
          <w:p w14:paraId="7831C05B">
            <w:pPr>
              <w:autoSpaceDN w:val="0"/>
              <w:snapToGrid w:val="0"/>
              <w:spacing w:line="276" w:lineRule="auto"/>
              <w:jc w:val="left"/>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供应商</w:t>
            </w:r>
            <w:r>
              <w:rPr>
                <w:rFonts w:ascii="仿宋" w:hAnsi="仿宋" w:eastAsia="仿宋" w:cs="Arial"/>
                <w:b/>
                <w:color w:val="auto"/>
                <w:sz w:val="24"/>
                <w:szCs w:val="24"/>
                <w:highlight w:val="none"/>
              </w:rPr>
              <w:t>自行现场踏勘</w:t>
            </w:r>
            <w:r>
              <w:rPr>
                <w:rFonts w:hint="eastAsia" w:ascii="仿宋" w:hAnsi="仿宋" w:eastAsia="仿宋" w:cs="Arial"/>
                <w:b/>
                <w:color w:val="auto"/>
                <w:sz w:val="24"/>
                <w:szCs w:val="24"/>
                <w:highlight w:val="none"/>
              </w:rPr>
              <w:t>。</w:t>
            </w:r>
            <w:r>
              <w:rPr>
                <w:rFonts w:ascii="仿宋" w:hAnsi="仿宋" w:eastAsia="仿宋" w:cs="Arial"/>
                <w:b/>
                <w:color w:val="auto"/>
                <w:sz w:val="24"/>
                <w:szCs w:val="24"/>
                <w:highlight w:val="none"/>
              </w:rPr>
              <w:t>踏勘期间发生的费用或意外导致伤亡等一切责任和损失均由供应商自行承担。</w:t>
            </w:r>
          </w:p>
          <w:p w14:paraId="322C9491">
            <w:pPr>
              <w:autoSpaceDN w:val="0"/>
              <w:adjustRightInd w:val="0"/>
              <w:snapToGrid w:val="0"/>
              <w:spacing w:line="360" w:lineRule="auto"/>
              <w:rPr>
                <w:rFonts w:hint="default" w:ascii="仿宋" w:hAnsi="仿宋" w:eastAsia="仿宋" w:cs="宋体"/>
                <w:color w:val="auto"/>
                <w:sz w:val="24"/>
                <w:szCs w:val="24"/>
                <w:highlight w:val="none"/>
                <w:lang w:val="en-US"/>
              </w:rPr>
            </w:pPr>
            <w:r>
              <w:rPr>
                <w:rFonts w:ascii="仿宋" w:hAnsi="仿宋" w:eastAsia="仿宋" w:cs="Arial"/>
                <w:b w:val="0"/>
                <w:bCs/>
                <w:color w:val="auto"/>
                <w:sz w:val="24"/>
                <w:szCs w:val="24"/>
                <w:highlight w:val="none"/>
              </w:rPr>
              <w:t>踏勘联系人：</w:t>
            </w:r>
            <w:r>
              <w:rPr>
                <w:rFonts w:hint="eastAsia" w:ascii="仿宋" w:hAnsi="仿宋" w:eastAsia="仿宋" w:cs="Arial"/>
                <w:b w:val="0"/>
                <w:bCs/>
                <w:color w:val="auto"/>
                <w:sz w:val="24"/>
                <w:szCs w:val="24"/>
                <w:highlight w:val="none"/>
                <w:lang w:val="en-US" w:eastAsia="zh-CN"/>
              </w:rPr>
              <w:t>曾老师</w:t>
            </w:r>
            <w:r>
              <w:rPr>
                <w:rFonts w:ascii="仿宋" w:hAnsi="仿宋" w:eastAsia="仿宋" w:cs="Arial"/>
                <w:b w:val="0"/>
                <w:bCs/>
                <w:color w:val="auto"/>
                <w:sz w:val="24"/>
                <w:szCs w:val="24"/>
                <w:highlight w:val="none"/>
              </w:rPr>
              <w:t xml:space="preserve"> </w:t>
            </w:r>
            <w:r>
              <w:rPr>
                <w:rFonts w:hint="eastAsia" w:ascii="仿宋" w:hAnsi="仿宋" w:eastAsia="仿宋" w:cs="Arial"/>
                <w:b w:val="0"/>
                <w:bCs/>
                <w:color w:val="auto"/>
                <w:sz w:val="24"/>
                <w:szCs w:val="24"/>
                <w:highlight w:val="none"/>
                <w:lang w:val="en-US" w:eastAsia="zh-CN"/>
              </w:rPr>
              <w:t xml:space="preserve"> </w:t>
            </w:r>
            <w:r>
              <w:rPr>
                <w:rFonts w:ascii="仿宋" w:hAnsi="仿宋" w:eastAsia="仿宋" w:cs="Arial"/>
                <w:b w:val="0"/>
                <w:bCs/>
                <w:color w:val="auto"/>
                <w:sz w:val="24"/>
                <w:szCs w:val="24"/>
                <w:highlight w:val="none"/>
              </w:rPr>
              <w:t>联系电话：</w:t>
            </w:r>
            <w:r>
              <w:rPr>
                <w:rFonts w:hint="eastAsia" w:ascii="仿宋" w:hAnsi="仿宋" w:eastAsia="仿宋" w:cs="Arial"/>
                <w:b w:val="0"/>
                <w:bCs/>
                <w:color w:val="auto"/>
                <w:sz w:val="24"/>
                <w:szCs w:val="24"/>
                <w:highlight w:val="none"/>
              </w:rPr>
              <w:t>15068150696</w:t>
            </w:r>
            <w:r>
              <w:rPr>
                <w:rFonts w:hint="eastAsia" w:ascii="仿宋" w:hAnsi="仿宋" w:eastAsia="仿宋" w:cs="Arial"/>
                <w:b w:val="0"/>
                <w:bCs/>
                <w:color w:val="auto"/>
                <w:sz w:val="24"/>
                <w:szCs w:val="24"/>
                <w:highlight w:val="none"/>
                <w:lang w:val="en-US" w:eastAsia="zh-CN"/>
              </w:rPr>
              <w:t xml:space="preserve"> </w:t>
            </w:r>
          </w:p>
        </w:tc>
      </w:tr>
      <w:tr w14:paraId="52ECF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7"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48B497D5">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18</w:t>
            </w:r>
          </w:p>
        </w:tc>
        <w:tc>
          <w:tcPr>
            <w:tcW w:w="1297" w:type="pct"/>
            <w:tcBorders>
              <w:top w:val="single" w:color="auto" w:sz="4" w:space="0"/>
              <w:left w:val="single" w:color="auto" w:sz="4" w:space="0"/>
              <w:bottom w:val="single" w:color="auto" w:sz="4" w:space="0"/>
              <w:right w:val="single" w:color="auto" w:sz="4" w:space="0"/>
            </w:tcBorders>
            <w:vAlign w:val="center"/>
          </w:tcPr>
          <w:p w14:paraId="5ADB16C3">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采购文件澄清</w:t>
            </w:r>
          </w:p>
        </w:tc>
        <w:tc>
          <w:tcPr>
            <w:tcW w:w="3262" w:type="pct"/>
            <w:tcBorders>
              <w:top w:val="single" w:color="auto" w:sz="4" w:space="0"/>
              <w:left w:val="single" w:color="auto" w:sz="4" w:space="0"/>
              <w:bottom w:val="single" w:color="auto" w:sz="4" w:space="0"/>
              <w:right w:val="single" w:color="auto" w:sz="4" w:space="0"/>
            </w:tcBorders>
            <w:vAlign w:val="center"/>
          </w:tcPr>
          <w:p w14:paraId="3F326A95">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供应商如认为采购文件表述不清晰、前后矛盾等内容的，应当在响应文件递交截止日</w:t>
            </w:r>
            <w:r>
              <w:rPr>
                <w:rFonts w:hint="eastAsia" w:ascii="仿宋" w:hAnsi="仿宋" w:eastAsia="仿宋" w:cs="宋体"/>
                <w:color w:val="auto"/>
                <w:sz w:val="24"/>
                <w:szCs w:val="24"/>
                <w:highlight w:val="none"/>
                <w:u w:val="single"/>
              </w:rPr>
              <w:t>5</w:t>
            </w:r>
            <w:r>
              <w:rPr>
                <w:rFonts w:hint="eastAsia" w:ascii="仿宋" w:hAnsi="仿宋" w:eastAsia="仿宋" w:cs="宋体"/>
                <w:color w:val="auto"/>
                <w:sz w:val="24"/>
                <w:szCs w:val="24"/>
                <w:highlight w:val="none"/>
              </w:rPr>
              <w:t>天前以书面（纸质）形式要求采购单位作出澄清。</w:t>
            </w:r>
          </w:p>
        </w:tc>
      </w:tr>
      <w:tr w14:paraId="3C645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623ABEC9">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19</w:t>
            </w:r>
          </w:p>
        </w:tc>
        <w:tc>
          <w:tcPr>
            <w:tcW w:w="1297" w:type="pct"/>
            <w:tcBorders>
              <w:top w:val="single" w:color="auto" w:sz="4" w:space="0"/>
              <w:left w:val="single" w:color="auto" w:sz="4" w:space="0"/>
              <w:bottom w:val="single" w:color="auto" w:sz="4" w:space="0"/>
              <w:right w:val="single" w:color="auto" w:sz="4" w:space="0"/>
            </w:tcBorders>
            <w:vAlign w:val="center"/>
          </w:tcPr>
          <w:p w14:paraId="312F78EF">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磋商响应文件的形式</w:t>
            </w:r>
          </w:p>
        </w:tc>
        <w:tc>
          <w:tcPr>
            <w:tcW w:w="3262" w:type="pct"/>
            <w:tcBorders>
              <w:top w:val="single" w:color="auto" w:sz="4" w:space="0"/>
              <w:left w:val="single" w:color="auto" w:sz="4" w:space="0"/>
              <w:bottom w:val="single" w:color="auto" w:sz="4" w:space="0"/>
              <w:right w:val="single" w:color="auto" w:sz="4" w:space="0"/>
            </w:tcBorders>
          </w:tcPr>
          <w:p w14:paraId="086EF579">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磋商响应文件的形式</w:t>
            </w:r>
            <w:r>
              <w:rPr>
                <w:rFonts w:hint="eastAsia" w:ascii="仿宋" w:hAnsi="仿宋" w:eastAsia="仿宋" w:cs="Arial"/>
                <w:bCs/>
                <w:color w:val="auto"/>
                <w:sz w:val="24"/>
                <w:szCs w:val="24"/>
                <w:highlight w:val="none"/>
              </w:rPr>
              <w:t>（是指通过“政采云电子交易客户端”完成磋商响应文件编制后生成并加密的数据电文形式的磋商响应文件，</w:t>
            </w:r>
            <w:r>
              <w:rPr>
                <w:rFonts w:hint="eastAsia" w:ascii="仿宋" w:hAnsi="仿宋" w:eastAsia="仿宋" w:cs="Arial"/>
                <w:b/>
                <w:color w:val="auto"/>
                <w:sz w:val="24"/>
                <w:szCs w:val="24"/>
                <w:highlight w:val="none"/>
              </w:rPr>
              <w:t>文件格式“.jmbs”）</w:t>
            </w:r>
          </w:p>
        </w:tc>
      </w:tr>
      <w:tr w14:paraId="519FFD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7B1A009A">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20</w:t>
            </w:r>
          </w:p>
        </w:tc>
        <w:tc>
          <w:tcPr>
            <w:tcW w:w="1297" w:type="pct"/>
            <w:tcBorders>
              <w:top w:val="single" w:color="auto" w:sz="4" w:space="0"/>
              <w:left w:val="single" w:color="auto" w:sz="4" w:space="0"/>
              <w:bottom w:val="single" w:color="auto" w:sz="4" w:space="0"/>
              <w:right w:val="single" w:color="auto" w:sz="4" w:space="0"/>
            </w:tcBorders>
            <w:vAlign w:val="center"/>
          </w:tcPr>
          <w:p w14:paraId="3CA66FA2">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磋商响应文件组成</w:t>
            </w:r>
          </w:p>
        </w:tc>
        <w:tc>
          <w:tcPr>
            <w:tcW w:w="3262" w:type="pct"/>
            <w:tcBorders>
              <w:top w:val="single" w:color="auto" w:sz="4" w:space="0"/>
              <w:left w:val="single" w:color="auto" w:sz="4" w:space="0"/>
              <w:bottom w:val="single" w:color="auto" w:sz="4" w:space="0"/>
              <w:right w:val="single" w:color="auto" w:sz="4" w:space="0"/>
            </w:tcBorders>
            <w:vAlign w:val="center"/>
          </w:tcPr>
          <w:p w14:paraId="3F3865D4">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响应文件由资格证明、商务技术、报价等内容组成。</w:t>
            </w:r>
          </w:p>
        </w:tc>
      </w:tr>
      <w:tr w14:paraId="0AE71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2CC1994C">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21</w:t>
            </w:r>
          </w:p>
        </w:tc>
        <w:tc>
          <w:tcPr>
            <w:tcW w:w="1297" w:type="pct"/>
            <w:tcBorders>
              <w:top w:val="single" w:color="auto" w:sz="4" w:space="0"/>
              <w:left w:val="single" w:color="auto" w:sz="4" w:space="0"/>
              <w:bottom w:val="single" w:color="auto" w:sz="4" w:space="0"/>
              <w:right w:val="single" w:color="auto" w:sz="4" w:space="0"/>
            </w:tcBorders>
            <w:vAlign w:val="center"/>
          </w:tcPr>
          <w:p w14:paraId="432B6A51">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磋商报价</w:t>
            </w:r>
          </w:p>
        </w:tc>
        <w:tc>
          <w:tcPr>
            <w:tcW w:w="3262" w:type="pct"/>
            <w:tcBorders>
              <w:top w:val="single" w:color="auto" w:sz="4" w:space="0"/>
              <w:left w:val="single" w:color="auto" w:sz="4" w:space="0"/>
              <w:bottom w:val="single" w:color="auto" w:sz="4" w:space="0"/>
              <w:right w:val="single" w:color="auto" w:sz="4" w:space="0"/>
            </w:tcBorders>
            <w:vAlign w:val="center"/>
          </w:tcPr>
          <w:p w14:paraId="27CA021C">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1.本项目应以人民币报价；</w:t>
            </w:r>
          </w:p>
          <w:p w14:paraId="64C6B72D">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2.供应商应按采购文件以及规定的格式及内容填写报价等相关表格。对没有填报的费用，采购人将不予支付，并认为此项费用已包含在报价中。</w:t>
            </w:r>
          </w:p>
          <w:p w14:paraId="595476A1">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本工程采用固定综合单价方式承包，工程量按实结算。按照《建设工程工程量清单计价规范》（GB50500-2013）等国家现行标准、技术规范和省、市的相关计价规定，供应商应按照采购要求和采购人所提供工程量清单以及现场踏勘了解所得等，编制工程量清单报价表并承担相应的风险责任。</w:t>
            </w:r>
          </w:p>
          <w:p w14:paraId="7CF951EF">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4.不论采购结果如何，供应商均应自行承担所有与采购有关的全部费用。</w:t>
            </w:r>
          </w:p>
        </w:tc>
      </w:tr>
      <w:tr w14:paraId="71DD6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401B7050">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22</w:t>
            </w:r>
          </w:p>
        </w:tc>
        <w:tc>
          <w:tcPr>
            <w:tcW w:w="1297" w:type="pct"/>
            <w:tcBorders>
              <w:top w:val="single" w:color="auto" w:sz="4" w:space="0"/>
              <w:left w:val="single" w:color="auto" w:sz="4" w:space="0"/>
              <w:bottom w:val="single" w:color="auto" w:sz="4" w:space="0"/>
              <w:right w:val="single" w:color="auto" w:sz="4" w:space="0"/>
            </w:tcBorders>
            <w:vAlign w:val="center"/>
          </w:tcPr>
          <w:p w14:paraId="1E2FF78C">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磋商响应文件的编制</w:t>
            </w:r>
          </w:p>
        </w:tc>
        <w:tc>
          <w:tcPr>
            <w:tcW w:w="3262" w:type="pct"/>
            <w:tcBorders>
              <w:top w:val="single" w:color="auto" w:sz="4" w:space="0"/>
              <w:left w:val="single" w:color="auto" w:sz="4" w:space="0"/>
              <w:bottom w:val="single" w:color="auto" w:sz="4" w:space="0"/>
              <w:right w:val="single" w:color="auto" w:sz="4" w:space="0"/>
            </w:tcBorders>
            <w:vAlign w:val="center"/>
          </w:tcPr>
          <w:p w14:paraId="4F982A90">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1、“电子加密响应文件”：</w:t>
            </w:r>
          </w:p>
          <w:p w14:paraId="261E1722">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（1）“电子加密响应文件”是指通过“政采云电子交易客户端”完成响应文件编制后生成并加密的数据电文形式的响应文件。</w:t>
            </w:r>
          </w:p>
          <w:p w14:paraId="39F3E533">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（2）供应商应先安装“政采云电子交易客户端”，并按照本采购文件和“政府采购云平台”的要求，通过“政采云电子交易客户端”编制并加密响应文件。</w:t>
            </w:r>
          </w:p>
          <w:p w14:paraId="704700AE">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2、“电子备份响应文件”：</w:t>
            </w:r>
          </w:p>
          <w:p w14:paraId="125AE503">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（1）“电子备份响应文件”是指与“电子加密响应文件”同时生成的数据电文形式的电子文件。</w:t>
            </w:r>
          </w:p>
          <w:p w14:paraId="1A7BB0C2">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（2）供应商可自主选择是否编制“电子备份响应文件”。</w:t>
            </w:r>
          </w:p>
          <w:p w14:paraId="32F3CE56">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（3）其他方式编制的备份响应文件视为无效备份响应文件。</w:t>
            </w:r>
          </w:p>
        </w:tc>
      </w:tr>
      <w:tr w14:paraId="26BBF9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05576A78">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22</w:t>
            </w:r>
          </w:p>
        </w:tc>
        <w:tc>
          <w:tcPr>
            <w:tcW w:w="1297" w:type="pct"/>
            <w:tcBorders>
              <w:top w:val="single" w:color="auto" w:sz="4" w:space="0"/>
              <w:left w:val="single" w:color="auto" w:sz="4" w:space="0"/>
              <w:bottom w:val="single" w:color="auto" w:sz="4" w:space="0"/>
              <w:right w:val="single" w:color="auto" w:sz="4" w:space="0"/>
            </w:tcBorders>
            <w:vAlign w:val="center"/>
          </w:tcPr>
          <w:p w14:paraId="482228AC">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磋商响应文件的签章</w:t>
            </w:r>
          </w:p>
        </w:tc>
        <w:tc>
          <w:tcPr>
            <w:tcW w:w="3262" w:type="pct"/>
            <w:tcBorders>
              <w:top w:val="single" w:color="auto" w:sz="4" w:space="0"/>
              <w:left w:val="single" w:color="auto" w:sz="4" w:space="0"/>
              <w:bottom w:val="single" w:color="auto" w:sz="4" w:space="0"/>
              <w:right w:val="single" w:color="auto" w:sz="4" w:space="0"/>
            </w:tcBorders>
            <w:vAlign w:val="center"/>
          </w:tcPr>
          <w:p w14:paraId="348C4497">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采用电子签章</w:t>
            </w:r>
          </w:p>
        </w:tc>
      </w:tr>
      <w:tr w14:paraId="134B2D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5BCCDA58">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23</w:t>
            </w:r>
          </w:p>
        </w:tc>
        <w:tc>
          <w:tcPr>
            <w:tcW w:w="1297" w:type="pct"/>
            <w:tcBorders>
              <w:top w:val="single" w:color="auto" w:sz="4" w:space="0"/>
              <w:left w:val="single" w:color="auto" w:sz="4" w:space="0"/>
              <w:bottom w:val="single" w:color="auto" w:sz="4" w:space="0"/>
              <w:right w:val="single" w:color="auto" w:sz="4" w:space="0"/>
            </w:tcBorders>
            <w:vAlign w:val="center"/>
          </w:tcPr>
          <w:p w14:paraId="43AE9592">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w:t>
            </w:r>
          </w:p>
          <w:p w14:paraId="0C58155B">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的包装、密封和递交</w:t>
            </w:r>
          </w:p>
        </w:tc>
        <w:tc>
          <w:tcPr>
            <w:tcW w:w="3262" w:type="pct"/>
            <w:tcBorders>
              <w:top w:val="single" w:color="auto" w:sz="4" w:space="0"/>
              <w:left w:val="single" w:color="auto" w:sz="4" w:space="0"/>
              <w:bottom w:val="single" w:color="auto" w:sz="4" w:space="0"/>
              <w:right w:val="single" w:color="auto" w:sz="4" w:space="0"/>
            </w:tcBorders>
            <w:vAlign w:val="center"/>
          </w:tcPr>
          <w:p w14:paraId="300577D8">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1、“电子加密响应文件”的递交：在线上传递交。</w:t>
            </w:r>
          </w:p>
          <w:p w14:paraId="34C42107">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（1）供应商应在递交响应文件截止时间前将“电子加密响应文件”成功上传递交至“政府采购云平台”，否则响应无效。</w:t>
            </w:r>
          </w:p>
          <w:p w14:paraId="42B52B07">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（2）“电子加密响应文件”成功上传递交后，供应商可自行打印响应文件接收回执。</w:t>
            </w:r>
          </w:p>
          <w:p w14:paraId="163C3B5F">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2、“电子备份响应文件”的密封、包装和递交：</w:t>
            </w:r>
          </w:p>
          <w:p w14:paraId="62D2C78B">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（1）供应商可自主选择是否递交“电子备份响应文件”。</w:t>
            </w:r>
          </w:p>
          <w:p w14:paraId="1F066373">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（2）“电子备份响应文件”存入U盘（一份）。</w:t>
            </w:r>
          </w:p>
          <w:p w14:paraId="5F5F28BB">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（3）“电子备份响应文件” 应当在响应文件递交截止时间前以邮寄或送达方式递交：</w:t>
            </w:r>
          </w:p>
          <w:p w14:paraId="0D4006A3">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（4）“电子备份响应文件”应当密封包装，并在包装上标注采购项目编号、项目名称、响应单位名称等并加盖公章（详见第六章响应文件格式）。没有密封包装或者逾期送达至</w:t>
            </w:r>
            <w:r>
              <w:rPr>
                <w:rFonts w:hint="eastAsia" w:ascii="仿宋" w:hAnsi="仿宋" w:eastAsia="仿宋" w:cs="宋体"/>
                <w:color w:val="auto"/>
                <w:sz w:val="24"/>
                <w:szCs w:val="24"/>
                <w:highlight w:val="none"/>
                <w:lang w:eastAsia="zh-CN"/>
              </w:rPr>
              <w:t>华诚工程咨询集团有限公司</w:t>
            </w:r>
            <w:r>
              <w:rPr>
                <w:rFonts w:hint="eastAsia" w:ascii="仿宋" w:hAnsi="仿宋" w:eastAsia="仿宋" w:cs="宋体"/>
                <w:color w:val="auto"/>
                <w:sz w:val="24"/>
                <w:szCs w:val="24"/>
                <w:highlight w:val="none"/>
              </w:rPr>
              <w:t>的“电子备份响应文件”将不予接收。</w:t>
            </w:r>
          </w:p>
          <w:p w14:paraId="30E55747">
            <w:pPr>
              <w:autoSpaceDN w:val="0"/>
              <w:snapToGrid w:val="0"/>
              <w:spacing w:line="276" w:lineRule="auto"/>
              <w:rPr>
                <w:rFonts w:hint="eastAsia" w:ascii="仿宋" w:hAnsi="仿宋" w:eastAsia="仿宋" w:cs="宋体"/>
                <w:color w:val="auto"/>
                <w:kern w:val="0"/>
                <w:sz w:val="24"/>
                <w:szCs w:val="24"/>
                <w:highlight w:val="none"/>
                <w:lang w:eastAsia="zh-CN"/>
              </w:rPr>
            </w:pPr>
            <w:r>
              <w:rPr>
                <w:rFonts w:hint="eastAsia" w:ascii="仿宋" w:hAnsi="仿宋" w:eastAsia="仿宋" w:cs="宋体"/>
                <w:color w:val="auto"/>
                <w:kern w:val="0"/>
                <w:sz w:val="24"/>
                <w:szCs w:val="24"/>
                <w:highlight w:val="none"/>
              </w:rPr>
              <w:t>（5）收件人：</w:t>
            </w:r>
            <w:r>
              <w:rPr>
                <w:rFonts w:hint="eastAsia" w:ascii="仿宋" w:hAnsi="仿宋" w:eastAsia="仿宋" w:cs="宋体"/>
                <w:color w:val="auto"/>
                <w:kern w:val="0"/>
                <w:sz w:val="24"/>
                <w:szCs w:val="24"/>
                <w:highlight w:val="none"/>
                <w:lang w:val="en-US" w:eastAsia="zh-CN"/>
              </w:rPr>
              <w:t>叶秀华</w:t>
            </w:r>
            <w:r>
              <w:rPr>
                <w:rFonts w:hint="eastAsia" w:ascii="仿宋" w:hAnsi="仿宋" w:eastAsia="仿宋" w:cs="宋体"/>
                <w:color w:val="auto"/>
                <w:kern w:val="0"/>
                <w:sz w:val="24"/>
                <w:szCs w:val="24"/>
                <w:highlight w:val="none"/>
              </w:rPr>
              <w:t xml:space="preserve">  电话：</w:t>
            </w:r>
            <w:r>
              <w:rPr>
                <w:rFonts w:hint="eastAsia" w:ascii="仿宋" w:hAnsi="仿宋" w:eastAsia="仿宋" w:cs="Arial"/>
                <w:color w:val="auto"/>
                <w:sz w:val="24"/>
                <w:szCs w:val="24"/>
                <w:highlight w:val="none"/>
                <w:lang w:val="en-US" w:eastAsia="zh-CN"/>
              </w:rPr>
              <w:t>13858032754</w:t>
            </w:r>
            <w:r>
              <w:rPr>
                <w:rFonts w:hint="eastAsia" w:ascii="仿宋" w:hAnsi="仿宋" w:eastAsia="仿宋" w:cs="宋体"/>
                <w:color w:val="auto"/>
                <w:kern w:val="0"/>
                <w:sz w:val="24"/>
                <w:szCs w:val="24"/>
                <w:highlight w:val="none"/>
              </w:rPr>
              <w:t>，收件地址：</w:t>
            </w:r>
            <w:r>
              <w:rPr>
                <w:rFonts w:hint="eastAsia" w:ascii="仿宋" w:hAnsi="仿宋" w:eastAsia="仿宋" w:cs="宋体"/>
                <w:color w:val="auto"/>
                <w:kern w:val="0"/>
                <w:sz w:val="24"/>
                <w:szCs w:val="24"/>
                <w:highlight w:val="none"/>
                <w:lang w:eastAsia="zh-CN"/>
              </w:rPr>
              <w:t>杭州市拱墅区彩云路105号锦盛大楼8楼</w:t>
            </w:r>
          </w:p>
        </w:tc>
      </w:tr>
      <w:tr w14:paraId="36F93A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6676C421">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24</w:t>
            </w:r>
          </w:p>
        </w:tc>
        <w:tc>
          <w:tcPr>
            <w:tcW w:w="1297" w:type="pct"/>
            <w:tcBorders>
              <w:top w:val="single" w:color="auto" w:sz="4" w:space="0"/>
              <w:left w:val="single" w:color="auto" w:sz="4" w:space="0"/>
              <w:bottom w:val="single" w:color="auto" w:sz="4" w:space="0"/>
              <w:right w:val="single" w:color="auto" w:sz="4" w:space="0"/>
            </w:tcBorders>
            <w:vAlign w:val="center"/>
          </w:tcPr>
          <w:p w14:paraId="7844C511">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磋商响应文件递交截止时间和地址</w:t>
            </w:r>
          </w:p>
        </w:tc>
        <w:tc>
          <w:tcPr>
            <w:tcW w:w="3262" w:type="pct"/>
            <w:tcBorders>
              <w:top w:val="single" w:color="auto" w:sz="4" w:space="0"/>
              <w:left w:val="single" w:color="auto" w:sz="4" w:space="0"/>
              <w:bottom w:val="single" w:color="auto" w:sz="4" w:space="0"/>
              <w:right w:val="single" w:color="auto" w:sz="4" w:space="0"/>
            </w:tcBorders>
            <w:vAlign w:val="center"/>
          </w:tcPr>
          <w:p w14:paraId="128A15C3">
            <w:pPr>
              <w:autoSpaceDN w:val="0"/>
              <w:snapToGrid w:val="0"/>
              <w:spacing w:line="276" w:lineRule="auto"/>
              <w:rPr>
                <w:rFonts w:ascii="仿宋" w:hAnsi="仿宋" w:eastAsia="仿宋" w:cs="宋体"/>
                <w:color w:val="auto"/>
                <w:sz w:val="24"/>
                <w:szCs w:val="24"/>
                <w:highlight w:val="none"/>
                <w:u w:val="single"/>
              </w:rPr>
            </w:pPr>
            <w:r>
              <w:rPr>
                <w:rFonts w:hint="eastAsia" w:ascii="仿宋" w:hAnsi="仿宋" w:eastAsia="仿宋" w:cs="宋体"/>
                <w:color w:val="auto"/>
                <w:sz w:val="24"/>
                <w:szCs w:val="24"/>
                <w:highlight w:val="none"/>
              </w:rPr>
              <w:t>响应文件递交截止时间：</w:t>
            </w:r>
            <w:r>
              <w:rPr>
                <w:rFonts w:hint="eastAsia" w:ascii="仿宋" w:hAnsi="仿宋" w:eastAsia="仿宋" w:cs="宋体"/>
                <w:b/>
                <w:color w:val="auto"/>
                <w:sz w:val="24"/>
                <w:szCs w:val="24"/>
                <w:highlight w:val="none"/>
                <w:u w:val="single"/>
                <w:lang w:eastAsia="zh-CN"/>
              </w:rPr>
              <w:t>2025</w:t>
            </w:r>
            <w:r>
              <w:rPr>
                <w:rFonts w:hint="eastAsia" w:ascii="仿宋" w:hAnsi="仿宋" w:eastAsia="仿宋" w:cs="宋体"/>
                <w:b/>
                <w:color w:val="auto"/>
                <w:sz w:val="24"/>
                <w:szCs w:val="24"/>
                <w:highlight w:val="none"/>
                <w:u w:val="single"/>
              </w:rPr>
              <w:t>年</w:t>
            </w:r>
            <w:r>
              <w:rPr>
                <w:rFonts w:hint="eastAsia" w:ascii="仿宋" w:hAnsi="仿宋" w:eastAsia="仿宋" w:cs="宋体"/>
                <w:b/>
                <w:color w:val="auto"/>
                <w:sz w:val="24"/>
                <w:szCs w:val="24"/>
                <w:highlight w:val="none"/>
                <w:u w:val="single"/>
                <w:lang w:val="en-US" w:eastAsia="zh-CN"/>
              </w:rPr>
              <w:t>02</w:t>
            </w:r>
            <w:r>
              <w:rPr>
                <w:rFonts w:hint="eastAsia" w:ascii="仿宋" w:hAnsi="仿宋" w:eastAsia="仿宋" w:cs="宋体"/>
                <w:b/>
                <w:color w:val="auto"/>
                <w:sz w:val="24"/>
                <w:szCs w:val="24"/>
                <w:highlight w:val="none"/>
                <w:u w:val="single"/>
              </w:rPr>
              <w:t>月</w:t>
            </w:r>
            <w:r>
              <w:rPr>
                <w:rFonts w:hint="eastAsia" w:ascii="仿宋" w:hAnsi="仿宋" w:eastAsia="仿宋" w:cs="宋体"/>
                <w:b/>
                <w:color w:val="auto"/>
                <w:sz w:val="24"/>
                <w:szCs w:val="24"/>
                <w:highlight w:val="none"/>
                <w:u w:val="single"/>
                <w:lang w:val="en-US" w:eastAsia="zh-CN"/>
              </w:rPr>
              <w:t>19</w:t>
            </w:r>
            <w:r>
              <w:rPr>
                <w:rFonts w:hint="eastAsia" w:ascii="仿宋" w:hAnsi="仿宋" w:eastAsia="仿宋" w:cs="宋体"/>
                <w:b/>
                <w:color w:val="auto"/>
                <w:sz w:val="24"/>
                <w:szCs w:val="24"/>
                <w:highlight w:val="none"/>
                <w:u w:val="single"/>
              </w:rPr>
              <w:t>日</w:t>
            </w:r>
            <w:r>
              <w:rPr>
                <w:rFonts w:hint="eastAsia" w:ascii="仿宋" w:hAnsi="仿宋" w:eastAsia="仿宋" w:cs="宋体"/>
                <w:b/>
                <w:color w:val="auto"/>
                <w:sz w:val="24"/>
                <w:szCs w:val="24"/>
                <w:highlight w:val="none"/>
                <w:u w:val="single"/>
                <w:lang w:val="en-US" w:eastAsia="zh-CN"/>
              </w:rPr>
              <w:t>09</w:t>
            </w:r>
            <w:r>
              <w:rPr>
                <w:rFonts w:hint="eastAsia" w:ascii="仿宋" w:hAnsi="仿宋" w:eastAsia="仿宋" w:cs="宋体"/>
                <w:b/>
                <w:color w:val="auto"/>
                <w:sz w:val="24"/>
                <w:szCs w:val="24"/>
                <w:highlight w:val="none"/>
                <w:u w:val="single"/>
              </w:rPr>
              <w:t>:</w:t>
            </w:r>
            <w:r>
              <w:rPr>
                <w:rFonts w:hint="eastAsia" w:ascii="仿宋" w:hAnsi="仿宋" w:eastAsia="仿宋" w:cs="宋体"/>
                <w:b/>
                <w:color w:val="auto"/>
                <w:sz w:val="24"/>
                <w:szCs w:val="24"/>
                <w:highlight w:val="none"/>
                <w:u w:val="single"/>
                <w:lang w:val="en-US" w:eastAsia="zh-CN"/>
              </w:rPr>
              <w:t>30</w:t>
            </w:r>
            <w:r>
              <w:rPr>
                <w:rFonts w:hint="eastAsia" w:ascii="仿宋" w:hAnsi="仿宋" w:eastAsia="仿宋" w:cs="宋体"/>
                <w:b/>
                <w:color w:val="auto"/>
                <w:spacing w:val="-4"/>
                <w:kern w:val="0"/>
                <w:sz w:val="24"/>
                <w:szCs w:val="24"/>
                <w:highlight w:val="none"/>
                <w:u w:val="single"/>
              </w:rPr>
              <w:t>:00</w:t>
            </w:r>
            <w:r>
              <w:rPr>
                <w:rFonts w:hint="eastAsia" w:ascii="仿宋" w:hAnsi="仿宋" w:eastAsia="仿宋" w:cs="宋体"/>
                <w:color w:val="auto"/>
                <w:sz w:val="24"/>
                <w:szCs w:val="24"/>
                <w:highlight w:val="none"/>
                <w:u w:val="single"/>
              </w:rPr>
              <w:t>（</w:t>
            </w:r>
            <w:r>
              <w:rPr>
                <w:rFonts w:hint="eastAsia" w:ascii="仿宋" w:hAnsi="仿宋" w:eastAsia="仿宋" w:cs="宋体"/>
                <w:color w:val="auto"/>
                <w:sz w:val="24"/>
                <w:szCs w:val="24"/>
                <w:highlight w:val="none"/>
                <w:u w:val="single"/>
              </w:rPr>
              <w:t>北京时间）</w:t>
            </w:r>
          </w:p>
          <w:p w14:paraId="51285306">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响应文件递交地点：</w:t>
            </w:r>
          </w:p>
          <w:p w14:paraId="2DC0B03B">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（1）“电子加密响应文件”：政府采购云平台在线递交。</w:t>
            </w:r>
          </w:p>
          <w:p w14:paraId="3D51F85E">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（2）“电子备份响应文件”：</w:t>
            </w:r>
            <w:r>
              <w:rPr>
                <w:rFonts w:hint="eastAsia" w:ascii="仿宋" w:hAnsi="仿宋" w:eastAsia="仿宋" w:cs="宋体"/>
                <w:color w:val="auto"/>
                <w:sz w:val="24"/>
                <w:szCs w:val="24"/>
                <w:highlight w:val="none"/>
                <w:u w:val="single"/>
                <w:lang w:eastAsia="zh-CN"/>
              </w:rPr>
              <w:t>华诚工程咨询集团有限公司</w:t>
            </w:r>
            <w:r>
              <w:rPr>
                <w:rFonts w:hint="eastAsia" w:ascii="仿宋" w:hAnsi="仿宋" w:eastAsia="仿宋" w:cs="宋体"/>
                <w:color w:val="auto"/>
                <w:sz w:val="24"/>
                <w:szCs w:val="24"/>
                <w:highlight w:val="none"/>
                <w:u w:val="single"/>
              </w:rPr>
              <w:t>（</w:t>
            </w:r>
            <w:r>
              <w:rPr>
                <w:rFonts w:hint="eastAsia" w:ascii="仿宋" w:hAnsi="仿宋" w:eastAsia="仿宋" w:cs="宋体"/>
                <w:color w:val="auto"/>
                <w:sz w:val="24"/>
                <w:szCs w:val="24"/>
                <w:highlight w:val="none"/>
                <w:u w:val="single"/>
                <w:lang w:eastAsia="zh-CN"/>
              </w:rPr>
              <w:t>杭州市拱墅区彩云路105号锦盛大楼8楼</w:t>
            </w:r>
            <w:r>
              <w:rPr>
                <w:rFonts w:hint="eastAsia" w:ascii="仿宋" w:hAnsi="仿宋" w:eastAsia="仿宋" w:cs="宋体"/>
                <w:color w:val="auto"/>
                <w:sz w:val="24"/>
                <w:szCs w:val="24"/>
                <w:highlight w:val="none"/>
                <w:u w:val="single"/>
              </w:rPr>
              <w:t>）</w:t>
            </w:r>
          </w:p>
        </w:tc>
      </w:tr>
      <w:tr w14:paraId="4E407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56F13B54">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25</w:t>
            </w:r>
          </w:p>
        </w:tc>
        <w:tc>
          <w:tcPr>
            <w:tcW w:w="1297" w:type="pct"/>
            <w:tcBorders>
              <w:top w:val="single" w:color="auto" w:sz="4" w:space="0"/>
              <w:left w:val="single" w:color="auto" w:sz="4" w:space="0"/>
              <w:bottom w:val="single" w:color="auto" w:sz="4" w:space="0"/>
              <w:right w:val="single" w:color="auto" w:sz="4" w:space="0"/>
            </w:tcBorders>
            <w:vAlign w:val="center"/>
          </w:tcPr>
          <w:p w14:paraId="4999B258">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磋商时间和地点</w:t>
            </w:r>
          </w:p>
        </w:tc>
        <w:tc>
          <w:tcPr>
            <w:tcW w:w="3262" w:type="pct"/>
            <w:tcBorders>
              <w:top w:val="single" w:color="auto" w:sz="4" w:space="0"/>
              <w:left w:val="single" w:color="auto" w:sz="4" w:space="0"/>
              <w:bottom w:val="single" w:color="auto" w:sz="4" w:space="0"/>
              <w:right w:val="single" w:color="auto" w:sz="4" w:space="0"/>
            </w:tcBorders>
            <w:vAlign w:val="center"/>
          </w:tcPr>
          <w:p w14:paraId="2BD7D325">
            <w:pPr>
              <w:autoSpaceDN w:val="0"/>
              <w:snapToGrid w:val="0"/>
              <w:spacing w:line="276" w:lineRule="auto"/>
              <w:rPr>
                <w:rFonts w:ascii="仿宋" w:hAnsi="仿宋" w:eastAsia="仿宋" w:cs="宋体"/>
                <w:color w:val="auto"/>
                <w:sz w:val="24"/>
                <w:szCs w:val="24"/>
                <w:highlight w:val="none"/>
                <w:u w:val="single"/>
              </w:rPr>
            </w:pPr>
            <w:r>
              <w:rPr>
                <w:rFonts w:hint="eastAsia" w:ascii="仿宋" w:hAnsi="仿宋" w:eastAsia="仿宋" w:cs="宋体"/>
                <w:color w:val="auto"/>
                <w:sz w:val="24"/>
                <w:szCs w:val="24"/>
                <w:highlight w:val="none"/>
              </w:rPr>
              <w:t>1、开启时间：</w:t>
            </w:r>
            <w:r>
              <w:rPr>
                <w:rFonts w:hint="eastAsia" w:ascii="仿宋" w:hAnsi="仿宋" w:eastAsia="仿宋" w:cs="宋体"/>
                <w:b/>
                <w:color w:val="auto"/>
                <w:sz w:val="24"/>
                <w:szCs w:val="24"/>
                <w:highlight w:val="none"/>
                <w:u w:val="single"/>
                <w:lang w:eastAsia="zh-CN"/>
              </w:rPr>
              <w:t>2025</w:t>
            </w:r>
            <w:r>
              <w:rPr>
                <w:rFonts w:hint="eastAsia" w:ascii="仿宋" w:hAnsi="仿宋" w:eastAsia="仿宋" w:cs="宋体"/>
                <w:b/>
                <w:color w:val="auto"/>
                <w:sz w:val="24"/>
                <w:szCs w:val="24"/>
                <w:highlight w:val="none"/>
                <w:u w:val="single"/>
              </w:rPr>
              <w:t>年</w:t>
            </w:r>
            <w:r>
              <w:rPr>
                <w:rFonts w:hint="eastAsia" w:ascii="仿宋" w:hAnsi="仿宋" w:eastAsia="仿宋" w:cs="宋体"/>
                <w:b/>
                <w:color w:val="auto"/>
                <w:sz w:val="24"/>
                <w:szCs w:val="24"/>
                <w:highlight w:val="none"/>
                <w:u w:val="single"/>
                <w:lang w:val="en-US" w:eastAsia="zh-CN"/>
              </w:rPr>
              <w:t>02</w:t>
            </w:r>
            <w:r>
              <w:rPr>
                <w:rFonts w:hint="eastAsia" w:ascii="仿宋" w:hAnsi="仿宋" w:eastAsia="仿宋" w:cs="宋体"/>
                <w:b/>
                <w:color w:val="auto"/>
                <w:sz w:val="24"/>
                <w:szCs w:val="24"/>
                <w:highlight w:val="none"/>
                <w:u w:val="single"/>
              </w:rPr>
              <w:t>月</w:t>
            </w:r>
            <w:r>
              <w:rPr>
                <w:rFonts w:hint="eastAsia" w:ascii="仿宋" w:hAnsi="仿宋" w:eastAsia="仿宋" w:cs="宋体"/>
                <w:b/>
                <w:color w:val="auto"/>
                <w:sz w:val="24"/>
                <w:szCs w:val="24"/>
                <w:highlight w:val="none"/>
                <w:u w:val="single"/>
                <w:lang w:val="en-US" w:eastAsia="zh-CN"/>
              </w:rPr>
              <w:t>19</w:t>
            </w:r>
            <w:r>
              <w:rPr>
                <w:rFonts w:hint="eastAsia" w:ascii="仿宋" w:hAnsi="仿宋" w:eastAsia="仿宋" w:cs="宋体"/>
                <w:b/>
                <w:color w:val="auto"/>
                <w:sz w:val="24"/>
                <w:szCs w:val="24"/>
                <w:highlight w:val="none"/>
                <w:u w:val="single"/>
              </w:rPr>
              <w:t>日</w:t>
            </w:r>
            <w:r>
              <w:rPr>
                <w:rFonts w:hint="eastAsia" w:ascii="仿宋" w:hAnsi="仿宋" w:eastAsia="仿宋" w:cs="宋体"/>
                <w:b/>
                <w:color w:val="auto"/>
                <w:sz w:val="24"/>
                <w:szCs w:val="24"/>
                <w:highlight w:val="none"/>
                <w:u w:val="single"/>
                <w:lang w:val="en-US" w:eastAsia="zh-CN"/>
              </w:rPr>
              <w:t>09</w:t>
            </w:r>
            <w:r>
              <w:rPr>
                <w:rFonts w:hint="eastAsia" w:ascii="仿宋" w:hAnsi="仿宋" w:eastAsia="仿宋" w:cs="宋体"/>
                <w:b/>
                <w:color w:val="auto"/>
                <w:sz w:val="24"/>
                <w:szCs w:val="24"/>
                <w:highlight w:val="none"/>
                <w:u w:val="single"/>
              </w:rPr>
              <w:t>:</w:t>
            </w:r>
            <w:r>
              <w:rPr>
                <w:rFonts w:hint="eastAsia" w:ascii="仿宋" w:hAnsi="仿宋" w:eastAsia="仿宋" w:cs="宋体"/>
                <w:b/>
                <w:color w:val="auto"/>
                <w:sz w:val="24"/>
                <w:szCs w:val="24"/>
                <w:highlight w:val="none"/>
                <w:u w:val="single"/>
                <w:lang w:val="en-US" w:eastAsia="zh-CN"/>
              </w:rPr>
              <w:t>30</w:t>
            </w:r>
            <w:r>
              <w:rPr>
                <w:rFonts w:hint="eastAsia" w:ascii="仿宋" w:hAnsi="仿宋" w:eastAsia="仿宋" w:cs="宋体"/>
                <w:b/>
                <w:color w:val="auto"/>
                <w:spacing w:val="-4"/>
                <w:kern w:val="0"/>
                <w:sz w:val="24"/>
                <w:szCs w:val="24"/>
                <w:highlight w:val="none"/>
                <w:u w:val="single"/>
              </w:rPr>
              <w:t>:00</w:t>
            </w:r>
            <w:r>
              <w:rPr>
                <w:rFonts w:hint="eastAsia" w:ascii="仿宋" w:hAnsi="仿宋" w:eastAsia="仿宋" w:cs="宋体"/>
                <w:color w:val="auto"/>
                <w:sz w:val="24"/>
                <w:szCs w:val="24"/>
                <w:highlight w:val="none"/>
                <w:u w:val="single"/>
              </w:rPr>
              <w:t>（北京时间）</w:t>
            </w:r>
          </w:p>
          <w:p w14:paraId="1123B48D">
            <w:pPr>
              <w:autoSpaceDN w:val="0"/>
              <w:snapToGrid w:val="0"/>
              <w:spacing w:line="276" w:lineRule="auto"/>
              <w:rPr>
                <w:rFonts w:ascii="仿宋" w:hAnsi="仿宋" w:eastAsia="仿宋" w:cs="宋体"/>
                <w:color w:val="auto"/>
                <w:sz w:val="24"/>
                <w:szCs w:val="24"/>
                <w:highlight w:val="none"/>
                <w:u w:val="single"/>
              </w:rPr>
            </w:pPr>
            <w:r>
              <w:rPr>
                <w:rFonts w:hint="eastAsia" w:ascii="仿宋" w:hAnsi="仿宋" w:eastAsia="仿宋" w:cs="宋体"/>
                <w:color w:val="auto"/>
                <w:sz w:val="24"/>
                <w:szCs w:val="24"/>
                <w:highlight w:val="none"/>
              </w:rPr>
              <w:t>2、地点（网址）：https://www.zcygov.cn/</w:t>
            </w:r>
          </w:p>
          <w:p w14:paraId="0F57B282">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响应文件开启后，供应商在线参加磋商。</w:t>
            </w:r>
          </w:p>
        </w:tc>
      </w:tr>
      <w:tr w14:paraId="14EDB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20B72F42">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26</w:t>
            </w:r>
          </w:p>
        </w:tc>
        <w:tc>
          <w:tcPr>
            <w:tcW w:w="1297" w:type="pct"/>
            <w:tcBorders>
              <w:top w:val="single" w:color="auto" w:sz="4" w:space="0"/>
              <w:left w:val="single" w:color="auto" w:sz="4" w:space="0"/>
              <w:bottom w:val="single" w:color="auto" w:sz="4" w:space="0"/>
              <w:right w:val="single" w:color="auto" w:sz="4" w:space="0"/>
            </w:tcBorders>
            <w:vAlign w:val="center"/>
          </w:tcPr>
          <w:p w14:paraId="339C4AAD">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开启（解密）响应文件</w:t>
            </w:r>
          </w:p>
        </w:tc>
        <w:tc>
          <w:tcPr>
            <w:tcW w:w="3262" w:type="pct"/>
            <w:tcBorders>
              <w:top w:val="single" w:color="auto" w:sz="4" w:space="0"/>
              <w:left w:val="single" w:color="auto" w:sz="4" w:space="0"/>
              <w:bottom w:val="single" w:color="auto" w:sz="4" w:space="0"/>
              <w:right w:val="single" w:color="auto" w:sz="4" w:space="0"/>
            </w:tcBorders>
            <w:vAlign w:val="center"/>
          </w:tcPr>
          <w:p w14:paraId="26898D97">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1、采购组织机构按照采购文件规定的时间通过电子交易平台组织磋商，所有供应商均应当准时在线参加磋商；</w:t>
            </w:r>
          </w:p>
          <w:p w14:paraId="37594DEB">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2、响应文件递交截止时间后，采购组织机构将向各供应商发出“电子加密响应文件”的解密通知，各供应商代表应当在接到解密通知后30分钟内自行完成“电子加密响应文件”的在线解密；</w:t>
            </w:r>
          </w:p>
          <w:p w14:paraId="13A097CA">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3、通过“政府采购云平台”上传递交的“电子加密响应文件”已按时解密的，“电子备份响应文件”自动失效；</w:t>
            </w:r>
          </w:p>
          <w:p w14:paraId="690FEFEF">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4、通过“政府采购云平台”上传递交的“电子加密响应文件”无法按时解密的，如供应商按规定递交了合格的 “电子备份响应文件”的，则由采购组织机构按“政府采购云平台”操作规范将“电子备份响应文件”上传至“政府采购云平台”。上传成功后，以“电子备份响应文件”参与评审，“电子加密响应文件”自动失效；在“政府采购云平台”正常运行情况下，“电子备份响应文件”无法上传至“政府采购云平台”的，视为响应文件撤回。如供应商未按规定递交“电子备份响应文件”的，视为响应文件撤回；</w:t>
            </w:r>
          </w:p>
          <w:p w14:paraId="75FA7EEF">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5、响应文件递交截止时间前，供应商仅递交了“电子备份响应文件”而未将“电子加密响应文件”上传至“政府采购云平台”的，响应无效。</w:t>
            </w:r>
          </w:p>
        </w:tc>
      </w:tr>
      <w:tr w14:paraId="30B06C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4B5E6225">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27</w:t>
            </w:r>
          </w:p>
        </w:tc>
        <w:tc>
          <w:tcPr>
            <w:tcW w:w="1297" w:type="pct"/>
            <w:tcBorders>
              <w:top w:val="single" w:color="auto" w:sz="4" w:space="0"/>
              <w:left w:val="single" w:color="auto" w:sz="4" w:space="0"/>
              <w:bottom w:val="single" w:color="auto" w:sz="4" w:space="0"/>
              <w:right w:val="single" w:color="auto" w:sz="4" w:space="0"/>
            </w:tcBorders>
            <w:vAlign w:val="center"/>
          </w:tcPr>
          <w:p w14:paraId="0AEDFC53">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评审办法</w:t>
            </w:r>
          </w:p>
        </w:tc>
        <w:tc>
          <w:tcPr>
            <w:tcW w:w="3262" w:type="pct"/>
            <w:tcBorders>
              <w:top w:val="single" w:color="auto" w:sz="4" w:space="0"/>
              <w:left w:val="single" w:color="auto" w:sz="4" w:space="0"/>
              <w:bottom w:val="single" w:color="auto" w:sz="4" w:space="0"/>
              <w:right w:val="single" w:color="auto" w:sz="4" w:space="0"/>
            </w:tcBorders>
            <w:vAlign w:val="center"/>
          </w:tcPr>
          <w:p w14:paraId="31FD1E06">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综合评分法</w:t>
            </w:r>
          </w:p>
        </w:tc>
      </w:tr>
      <w:tr w14:paraId="25B53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38B76C5F">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28</w:t>
            </w:r>
          </w:p>
        </w:tc>
        <w:tc>
          <w:tcPr>
            <w:tcW w:w="1297" w:type="pct"/>
            <w:tcBorders>
              <w:top w:val="single" w:color="auto" w:sz="4" w:space="0"/>
              <w:left w:val="single" w:color="auto" w:sz="4" w:space="0"/>
              <w:bottom w:val="single" w:color="auto" w:sz="4" w:space="0"/>
              <w:right w:val="single" w:color="auto" w:sz="4" w:space="0"/>
            </w:tcBorders>
            <w:vAlign w:val="center"/>
          </w:tcPr>
          <w:p w14:paraId="34FE785E">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磋商响应文件有效期</w:t>
            </w:r>
          </w:p>
        </w:tc>
        <w:tc>
          <w:tcPr>
            <w:tcW w:w="3262" w:type="pct"/>
            <w:tcBorders>
              <w:top w:val="single" w:color="auto" w:sz="4" w:space="0"/>
              <w:left w:val="single" w:color="auto" w:sz="4" w:space="0"/>
              <w:bottom w:val="single" w:color="auto" w:sz="4" w:space="0"/>
              <w:right w:val="single" w:color="auto" w:sz="4" w:space="0"/>
            </w:tcBorders>
            <w:vAlign w:val="center"/>
          </w:tcPr>
          <w:p w14:paraId="33CD9505">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自响应文件递交截止时间起</w:t>
            </w:r>
            <w:r>
              <w:rPr>
                <w:rFonts w:hint="eastAsia" w:ascii="仿宋" w:hAnsi="仿宋" w:eastAsia="仿宋" w:cs="宋体"/>
                <w:color w:val="auto"/>
                <w:sz w:val="24"/>
                <w:szCs w:val="24"/>
                <w:highlight w:val="none"/>
                <w:u w:val="single"/>
              </w:rPr>
              <w:t>90</w:t>
            </w:r>
            <w:r>
              <w:rPr>
                <w:rFonts w:hint="eastAsia" w:ascii="仿宋" w:hAnsi="仿宋" w:eastAsia="仿宋" w:cs="宋体"/>
                <w:color w:val="auto"/>
                <w:sz w:val="24"/>
                <w:szCs w:val="24"/>
                <w:highlight w:val="none"/>
              </w:rPr>
              <w:t>天</w:t>
            </w:r>
          </w:p>
        </w:tc>
      </w:tr>
      <w:tr w14:paraId="52BF4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51015D8E">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29</w:t>
            </w:r>
          </w:p>
        </w:tc>
        <w:tc>
          <w:tcPr>
            <w:tcW w:w="1297" w:type="pct"/>
            <w:tcBorders>
              <w:top w:val="single" w:color="auto" w:sz="4" w:space="0"/>
              <w:left w:val="single" w:color="auto" w:sz="4" w:space="0"/>
              <w:bottom w:val="single" w:color="auto" w:sz="4" w:space="0"/>
              <w:right w:val="single" w:color="auto" w:sz="4" w:space="0"/>
            </w:tcBorders>
            <w:vAlign w:val="center"/>
          </w:tcPr>
          <w:p w14:paraId="080BE13C">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进口</w:t>
            </w:r>
          </w:p>
        </w:tc>
        <w:tc>
          <w:tcPr>
            <w:tcW w:w="3262" w:type="pct"/>
            <w:tcBorders>
              <w:top w:val="single" w:color="auto" w:sz="4" w:space="0"/>
              <w:left w:val="single" w:color="auto" w:sz="4" w:space="0"/>
              <w:bottom w:val="single" w:color="auto" w:sz="4" w:space="0"/>
              <w:right w:val="single" w:color="auto" w:sz="4" w:space="0"/>
            </w:tcBorders>
            <w:vAlign w:val="center"/>
          </w:tcPr>
          <w:p w14:paraId="2798C42A">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不允许</w:t>
            </w:r>
          </w:p>
        </w:tc>
      </w:tr>
      <w:tr w14:paraId="3C785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1DC186E5">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30</w:t>
            </w:r>
          </w:p>
        </w:tc>
        <w:tc>
          <w:tcPr>
            <w:tcW w:w="1297" w:type="pct"/>
            <w:tcBorders>
              <w:top w:val="single" w:color="auto" w:sz="4" w:space="0"/>
              <w:left w:val="single" w:color="auto" w:sz="4" w:space="0"/>
              <w:bottom w:val="single" w:color="auto" w:sz="4" w:space="0"/>
              <w:right w:val="single" w:color="auto" w:sz="4" w:space="0"/>
            </w:tcBorders>
            <w:vAlign w:val="center"/>
          </w:tcPr>
          <w:p w14:paraId="3F480CFE">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节能产品</w:t>
            </w:r>
          </w:p>
        </w:tc>
        <w:tc>
          <w:tcPr>
            <w:tcW w:w="3262" w:type="pct"/>
            <w:tcBorders>
              <w:top w:val="single" w:color="auto" w:sz="4" w:space="0"/>
              <w:left w:val="single" w:color="auto" w:sz="4" w:space="0"/>
              <w:bottom w:val="single" w:color="auto" w:sz="4" w:space="0"/>
              <w:right w:val="single" w:color="auto" w:sz="4" w:space="0"/>
            </w:tcBorders>
            <w:vAlign w:val="center"/>
          </w:tcPr>
          <w:p w14:paraId="3F80DA67">
            <w:pPr>
              <w:autoSpaceDE w:val="0"/>
              <w:autoSpaceDN w:val="0"/>
              <w:snapToGrid w:val="0"/>
              <w:spacing w:line="276"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优先采购节能产品；</w:t>
            </w:r>
          </w:p>
          <w:p w14:paraId="389653EC">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▲根据《关于印发节能产品政府采购品目清单的通知》的要求，涉及强制采购节能产品的材料（设备），本工程必须按照通知的要求使用强制采购节能产品的材料（设备）。</w:t>
            </w:r>
          </w:p>
        </w:tc>
      </w:tr>
      <w:tr w14:paraId="373EA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74C44991">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31</w:t>
            </w:r>
          </w:p>
        </w:tc>
        <w:tc>
          <w:tcPr>
            <w:tcW w:w="1297" w:type="pct"/>
            <w:tcBorders>
              <w:top w:val="single" w:color="auto" w:sz="4" w:space="0"/>
              <w:left w:val="single" w:color="auto" w:sz="4" w:space="0"/>
              <w:bottom w:val="single" w:color="auto" w:sz="4" w:space="0"/>
              <w:right w:val="single" w:color="auto" w:sz="4" w:space="0"/>
            </w:tcBorders>
            <w:vAlign w:val="center"/>
          </w:tcPr>
          <w:p w14:paraId="05B6ECCD">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环境标志产品</w:t>
            </w:r>
          </w:p>
        </w:tc>
        <w:tc>
          <w:tcPr>
            <w:tcW w:w="3262" w:type="pct"/>
            <w:tcBorders>
              <w:top w:val="single" w:color="auto" w:sz="4" w:space="0"/>
              <w:left w:val="single" w:color="auto" w:sz="4" w:space="0"/>
              <w:bottom w:val="single" w:color="auto" w:sz="4" w:space="0"/>
              <w:right w:val="single" w:color="auto" w:sz="4" w:space="0"/>
            </w:tcBorders>
            <w:vAlign w:val="center"/>
          </w:tcPr>
          <w:p w14:paraId="7A413DD8">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优先采购环境标志产品</w:t>
            </w:r>
          </w:p>
        </w:tc>
      </w:tr>
      <w:tr w14:paraId="0A7043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4A8A09BF">
            <w:pPr>
              <w:autoSpaceDN w:val="0"/>
              <w:snapToGrid w:val="0"/>
              <w:spacing w:line="276" w:lineRule="auto"/>
              <w:jc w:val="center"/>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rPr>
              <w:t>3</w:t>
            </w:r>
            <w:r>
              <w:rPr>
                <w:rFonts w:hint="eastAsia" w:ascii="仿宋" w:hAnsi="仿宋" w:eastAsia="仿宋" w:cs="宋体"/>
                <w:color w:val="auto"/>
                <w:sz w:val="24"/>
                <w:szCs w:val="24"/>
                <w:highlight w:val="none"/>
                <w:lang w:val="en-US" w:eastAsia="zh-CN"/>
              </w:rPr>
              <w:t>2</w:t>
            </w:r>
          </w:p>
        </w:tc>
        <w:tc>
          <w:tcPr>
            <w:tcW w:w="1297" w:type="pct"/>
            <w:tcBorders>
              <w:top w:val="single" w:color="auto" w:sz="4" w:space="0"/>
              <w:left w:val="single" w:color="auto" w:sz="4" w:space="0"/>
              <w:bottom w:val="single" w:color="auto" w:sz="4" w:space="0"/>
              <w:right w:val="single" w:color="auto" w:sz="4" w:space="0"/>
            </w:tcBorders>
            <w:vAlign w:val="center"/>
          </w:tcPr>
          <w:p w14:paraId="0DC54813">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履约保证金</w:t>
            </w:r>
          </w:p>
        </w:tc>
        <w:tc>
          <w:tcPr>
            <w:tcW w:w="3262" w:type="pct"/>
            <w:tcBorders>
              <w:top w:val="single" w:color="auto" w:sz="4" w:space="0"/>
              <w:left w:val="single" w:color="auto" w:sz="4" w:space="0"/>
              <w:bottom w:val="single" w:color="auto" w:sz="4" w:space="0"/>
              <w:right w:val="single" w:color="auto" w:sz="4" w:space="0"/>
            </w:tcBorders>
            <w:vAlign w:val="center"/>
          </w:tcPr>
          <w:p w14:paraId="7BDE92E0">
            <w:pPr>
              <w:autoSpaceDE w:val="0"/>
              <w:autoSpaceDN w:val="0"/>
              <w:snapToGrid w:val="0"/>
              <w:spacing w:line="276" w:lineRule="auto"/>
              <w:textAlignment w:val="bottom"/>
              <w:rPr>
                <w:rFonts w:ascii="仿宋" w:hAnsi="仿宋" w:eastAsia="仿宋" w:cs="宋体"/>
                <w:color w:val="auto"/>
                <w:sz w:val="24"/>
                <w:szCs w:val="24"/>
                <w:highlight w:val="none"/>
              </w:rPr>
            </w:pPr>
            <w:r>
              <w:rPr>
                <w:rFonts w:ascii="仿宋" w:hAnsi="仿宋" w:eastAsia="仿宋" w:cs="宋体"/>
                <w:color w:val="auto"/>
                <w:sz w:val="24"/>
                <w:szCs w:val="24"/>
                <w:highlight w:val="none"/>
              </w:rPr>
              <w:sym w:font="Wingdings 2" w:char="00A3"/>
            </w:r>
            <w:r>
              <w:rPr>
                <w:rFonts w:ascii="仿宋" w:hAnsi="仿宋" w:eastAsia="仿宋" w:cs="宋体"/>
                <w:color w:val="auto"/>
                <w:sz w:val="24"/>
                <w:szCs w:val="24"/>
                <w:highlight w:val="none"/>
              </w:rPr>
              <w:t xml:space="preserve"> 不要求提供</w:t>
            </w:r>
          </w:p>
          <w:p w14:paraId="6AA0EF6C">
            <w:pPr>
              <w:autoSpaceDE w:val="0"/>
              <w:autoSpaceDN w:val="0"/>
              <w:snapToGrid w:val="0"/>
              <w:spacing w:line="276" w:lineRule="auto"/>
              <w:textAlignment w:val="bottom"/>
              <w:rPr>
                <w:rFonts w:ascii="仿宋" w:hAnsi="仿宋" w:eastAsia="仿宋" w:cs="宋体"/>
                <w:color w:val="auto"/>
                <w:sz w:val="24"/>
                <w:szCs w:val="24"/>
                <w:highlight w:val="none"/>
              </w:rPr>
            </w:pPr>
            <w:r>
              <w:rPr>
                <w:rFonts w:ascii="仿宋" w:hAnsi="仿宋" w:eastAsia="仿宋" w:cs="宋体"/>
                <w:color w:val="auto"/>
                <w:sz w:val="24"/>
                <w:szCs w:val="24"/>
                <w:highlight w:val="none"/>
              </w:rPr>
              <w:sym w:font="Wingdings 2" w:char="0052"/>
            </w:r>
            <w:r>
              <w:rPr>
                <w:rFonts w:ascii="仿宋" w:hAnsi="仿宋" w:eastAsia="仿宋" w:cs="宋体"/>
                <w:color w:val="auto"/>
                <w:sz w:val="24"/>
                <w:szCs w:val="24"/>
                <w:highlight w:val="none"/>
              </w:rPr>
              <w:t xml:space="preserve"> 要求提供：</w:t>
            </w:r>
          </w:p>
          <w:p w14:paraId="33CF65CE">
            <w:pPr>
              <w:autoSpaceDE w:val="0"/>
              <w:autoSpaceDN w:val="0"/>
              <w:snapToGrid w:val="0"/>
              <w:spacing w:line="276" w:lineRule="auto"/>
              <w:textAlignment w:val="bottom"/>
              <w:rPr>
                <w:rFonts w:hint="eastAsia" w:ascii="仿宋" w:hAnsi="仿宋" w:eastAsia="仿宋" w:cs="宋体"/>
                <w:color w:val="auto"/>
                <w:sz w:val="24"/>
                <w:szCs w:val="24"/>
                <w:highlight w:val="none"/>
                <w:lang w:eastAsia="zh-CN"/>
              </w:rPr>
            </w:pPr>
            <w:r>
              <w:rPr>
                <w:rFonts w:ascii="仿宋" w:hAnsi="仿宋" w:eastAsia="仿宋" w:cs="宋体"/>
                <w:color w:val="auto"/>
                <w:sz w:val="24"/>
                <w:szCs w:val="24"/>
                <w:highlight w:val="none"/>
              </w:rPr>
              <w:t>1、</w:t>
            </w:r>
            <w:r>
              <w:rPr>
                <w:rFonts w:ascii="仿宋" w:hAnsi="仿宋" w:eastAsia="仿宋" w:cs="宋体"/>
                <w:color w:val="auto"/>
                <w:sz w:val="24"/>
                <w:szCs w:val="24"/>
                <w:highlight w:val="none"/>
              </w:rPr>
              <w:t>金额为</w:t>
            </w:r>
            <w:r>
              <w:rPr>
                <w:rFonts w:hint="eastAsia" w:ascii="仿宋" w:hAnsi="仿宋" w:eastAsia="仿宋" w:cs="宋体"/>
                <w:color w:val="auto"/>
                <w:sz w:val="24"/>
                <w:szCs w:val="24"/>
                <w:highlight w:val="none"/>
                <w:lang w:eastAsia="zh-CN"/>
              </w:rPr>
              <w:t>合同金额的</w:t>
            </w:r>
            <w:r>
              <w:rPr>
                <w:rFonts w:hint="eastAsia" w:ascii="仿宋" w:hAnsi="仿宋" w:eastAsia="仿宋" w:cs="宋体"/>
                <w:color w:val="auto"/>
                <w:sz w:val="24"/>
                <w:szCs w:val="24"/>
                <w:highlight w:val="none"/>
                <w:lang w:val="en-US" w:eastAsia="zh-CN"/>
              </w:rPr>
              <w:t>2</w:t>
            </w:r>
            <w:r>
              <w:rPr>
                <w:rFonts w:hint="eastAsia" w:ascii="仿宋" w:hAnsi="仿宋" w:eastAsia="仿宋" w:cs="宋体"/>
                <w:color w:val="auto"/>
                <w:sz w:val="24"/>
                <w:szCs w:val="24"/>
                <w:highlight w:val="none"/>
                <w:lang w:eastAsia="zh-CN"/>
              </w:rPr>
              <w:t>%</w:t>
            </w:r>
          </w:p>
          <w:p w14:paraId="0F6CAF18">
            <w:pPr>
              <w:autoSpaceDE w:val="0"/>
              <w:autoSpaceDN w:val="0"/>
              <w:snapToGrid w:val="0"/>
              <w:spacing w:line="276" w:lineRule="auto"/>
              <w:textAlignment w:val="bottom"/>
              <w:rPr>
                <w:rFonts w:ascii="仿宋" w:hAnsi="仿宋" w:eastAsia="仿宋" w:cs="宋体"/>
                <w:color w:val="auto"/>
                <w:sz w:val="24"/>
                <w:szCs w:val="24"/>
                <w:highlight w:val="none"/>
              </w:rPr>
            </w:pPr>
            <w:r>
              <w:rPr>
                <w:rFonts w:ascii="仿宋" w:hAnsi="仿宋" w:eastAsia="仿宋" w:cs="宋体"/>
                <w:color w:val="auto"/>
                <w:sz w:val="24"/>
                <w:szCs w:val="24"/>
                <w:highlight w:val="none"/>
              </w:rPr>
              <w:t>2、收到</w:t>
            </w:r>
            <w:r>
              <w:rPr>
                <w:rFonts w:hint="eastAsia" w:ascii="仿宋" w:hAnsi="仿宋" w:eastAsia="仿宋" w:cs="宋体"/>
                <w:color w:val="auto"/>
                <w:sz w:val="24"/>
                <w:szCs w:val="24"/>
                <w:highlight w:val="none"/>
                <w:lang w:val="en-US" w:eastAsia="zh-CN"/>
              </w:rPr>
              <w:t>采购</w:t>
            </w:r>
            <w:r>
              <w:rPr>
                <w:rFonts w:ascii="仿宋" w:hAnsi="仿宋" w:eastAsia="仿宋" w:cs="宋体"/>
                <w:color w:val="auto"/>
                <w:sz w:val="24"/>
                <w:szCs w:val="24"/>
                <w:highlight w:val="none"/>
              </w:rPr>
              <w:t>人发出的签订合同要约后7天内向采购人缴纳履约保证金，以</w:t>
            </w:r>
            <w:r>
              <w:rPr>
                <w:rFonts w:hint="eastAsia" w:ascii="仿宋" w:hAnsi="仿宋" w:eastAsia="仿宋" w:cs="宋体"/>
                <w:color w:val="auto"/>
                <w:sz w:val="24"/>
                <w:szCs w:val="24"/>
                <w:highlight w:val="none"/>
              </w:rPr>
              <w:t>电汇、汇票、支票形式或银行、保险公司出具的保函</w:t>
            </w:r>
            <w:r>
              <w:rPr>
                <w:rFonts w:ascii="仿宋" w:hAnsi="仿宋" w:eastAsia="仿宋" w:cs="宋体"/>
                <w:color w:val="auto"/>
                <w:sz w:val="24"/>
                <w:szCs w:val="24"/>
                <w:highlight w:val="none"/>
              </w:rPr>
              <w:t>形式递交，项目验收结束后无息退还。</w:t>
            </w:r>
          </w:p>
        </w:tc>
      </w:tr>
      <w:tr w14:paraId="3E43E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291EB50A">
            <w:pPr>
              <w:autoSpaceDN w:val="0"/>
              <w:snapToGrid w:val="0"/>
              <w:spacing w:line="276" w:lineRule="auto"/>
              <w:jc w:val="center"/>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rPr>
              <w:t>3</w:t>
            </w:r>
            <w:r>
              <w:rPr>
                <w:rFonts w:hint="eastAsia" w:ascii="仿宋" w:hAnsi="仿宋" w:eastAsia="仿宋" w:cs="宋体"/>
                <w:color w:val="auto"/>
                <w:sz w:val="24"/>
                <w:szCs w:val="24"/>
                <w:highlight w:val="none"/>
                <w:lang w:val="en-US" w:eastAsia="zh-CN"/>
              </w:rPr>
              <w:t>3</w:t>
            </w:r>
          </w:p>
        </w:tc>
        <w:tc>
          <w:tcPr>
            <w:tcW w:w="1297" w:type="pct"/>
            <w:tcBorders>
              <w:top w:val="single" w:color="auto" w:sz="4" w:space="0"/>
              <w:left w:val="single" w:color="auto" w:sz="4" w:space="0"/>
              <w:bottom w:val="single" w:color="auto" w:sz="4" w:space="0"/>
              <w:right w:val="single" w:color="auto" w:sz="4" w:space="0"/>
            </w:tcBorders>
            <w:vAlign w:val="center"/>
          </w:tcPr>
          <w:p w14:paraId="3E199720">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工程款支付方式</w:t>
            </w:r>
          </w:p>
        </w:tc>
        <w:tc>
          <w:tcPr>
            <w:tcW w:w="3262" w:type="pct"/>
            <w:tcBorders>
              <w:top w:val="single" w:color="auto" w:sz="4" w:space="0"/>
              <w:left w:val="single" w:color="auto" w:sz="4" w:space="0"/>
              <w:bottom w:val="single" w:color="auto" w:sz="4" w:space="0"/>
              <w:right w:val="single" w:color="auto" w:sz="4" w:space="0"/>
            </w:tcBorders>
            <w:vAlign w:val="center"/>
          </w:tcPr>
          <w:p w14:paraId="7E16659C">
            <w:pPr>
              <w:autoSpaceDN w:val="0"/>
              <w:snapToGrid w:val="0"/>
              <w:spacing w:line="276" w:lineRule="auto"/>
              <w:rPr>
                <w:rFonts w:ascii="仿宋" w:hAnsi="仿宋" w:eastAsia="仿宋" w:cs="Times New Roman"/>
                <w:color w:val="auto"/>
                <w:szCs w:val="24"/>
                <w:highlight w:val="none"/>
              </w:rPr>
            </w:pPr>
            <w:r>
              <w:rPr>
                <w:rFonts w:hint="eastAsia" w:ascii="仿宋" w:hAnsi="仿宋" w:eastAsia="仿宋" w:cs="Arial"/>
                <w:bCs/>
                <w:color w:val="auto"/>
                <w:sz w:val="24"/>
                <w:szCs w:val="24"/>
                <w:highlight w:val="none"/>
              </w:rPr>
              <w:t>详见第四章 采购内容及需求</w:t>
            </w:r>
          </w:p>
        </w:tc>
      </w:tr>
      <w:tr w14:paraId="4A00C6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7DA0D1FC">
            <w:pPr>
              <w:autoSpaceDN w:val="0"/>
              <w:snapToGrid w:val="0"/>
              <w:spacing w:line="276" w:lineRule="auto"/>
              <w:jc w:val="center"/>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rPr>
              <w:t>3</w:t>
            </w:r>
            <w:r>
              <w:rPr>
                <w:rFonts w:hint="eastAsia" w:ascii="仿宋" w:hAnsi="仿宋" w:eastAsia="仿宋" w:cs="宋体"/>
                <w:color w:val="auto"/>
                <w:sz w:val="24"/>
                <w:szCs w:val="24"/>
                <w:highlight w:val="none"/>
                <w:lang w:val="en-US" w:eastAsia="zh-CN"/>
              </w:rPr>
              <w:t>4</w:t>
            </w:r>
          </w:p>
        </w:tc>
        <w:tc>
          <w:tcPr>
            <w:tcW w:w="1297" w:type="pct"/>
            <w:tcBorders>
              <w:top w:val="single" w:color="auto" w:sz="4" w:space="0"/>
              <w:left w:val="single" w:color="auto" w:sz="4" w:space="0"/>
              <w:bottom w:val="single" w:color="auto" w:sz="4" w:space="0"/>
              <w:right w:val="single" w:color="auto" w:sz="4" w:space="0"/>
            </w:tcBorders>
            <w:vAlign w:val="center"/>
          </w:tcPr>
          <w:p w14:paraId="13E06505">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质量保证金</w:t>
            </w:r>
          </w:p>
        </w:tc>
        <w:tc>
          <w:tcPr>
            <w:tcW w:w="3262" w:type="pct"/>
            <w:tcBorders>
              <w:top w:val="single" w:color="auto" w:sz="4" w:space="0"/>
              <w:left w:val="single" w:color="auto" w:sz="4" w:space="0"/>
              <w:bottom w:val="single" w:color="auto" w:sz="4" w:space="0"/>
              <w:right w:val="single" w:color="auto" w:sz="4" w:space="0"/>
            </w:tcBorders>
            <w:vAlign w:val="center"/>
          </w:tcPr>
          <w:p w14:paraId="67C47860">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审定价的1.5%</w:t>
            </w:r>
            <w:r>
              <w:rPr>
                <w:rFonts w:hint="eastAsia" w:ascii="仿宋" w:hAnsi="仿宋" w:eastAsia="仿宋" w:cs="宋体"/>
                <w:color w:val="auto"/>
                <w:sz w:val="24"/>
                <w:szCs w:val="24"/>
                <w:highlight w:val="none"/>
              </w:rPr>
              <w:t>，按《工程质量保修书》的有关规定退还。</w:t>
            </w:r>
          </w:p>
        </w:tc>
      </w:tr>
      <w:tr w14:paraId="1B4ED2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58CCBA56">
            <w:pPr>
              <w:autoSpaceDN w:val="0"/>
              <w:snapToGrid w:val="0"/>
              <w:spacing w:line="276" w:lineRule="auto"/>
              <w:jc w:val="center"/>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rPr>
              <w:t>3</w:t>
            </w:r>
            <w:r>
              <w:rPr>
                <w:rFonts w:hint="eastAsia" w:ascii="仿宋" w:hAnsi="仿宋" w:eastAsia="仿宋" w:cs="宋体"/>
                <w:color w:val="auto"/>
                <w:sz w:val="24"/>
                <w:szCs w:val="24"/>
                <w:highlight w:val="none"/>
                <w:lang w:val="en-US" w:eastAsia="zh-CN"/>
              </w:rPr>
              <w:t>5</w:t>
            </w:r>
          </w:p>
        </w:tc>
        <w:tc>
          <w:tcPr>
            <w:tcW w:w="1297" w:type="pct"/>
            <w:tcBorders>
              <w:top w:val="single" w:color="auto" w:sz="4" w:space="0"/>
              <w:left w:val="single" w:color="auto" w:sz="4" w:space="0"/>
              <w:bottom w:val="single" w:color="auto" w:sz="4" w:space="0"/>
              <w:right w:val="single" w:color="auto" w:sz="4" w:space="0"/>
            </w:tcBorders>
            <w:vAlign w:val="center"/>
          </w:tcPr>
          <w:p w14:paraId="2E8E20A9">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施工用水电费</w:t>
            </w:r>
          </w:p>
        </w:tc>
        <w:tc>
          <w:tcPr>
            <w:tcW w:w="3262" w:type="pct"/>
            <w:tcBorders>
              <w:top w:val="single" w:color="auto" w:sz="4" w:space="0"/>
              <w:left w:val="single" w:color="auto" w:sz="4" w:space="0"/>
              <w:bottom w:val="single" w:color="auto" w:sz="4" w:space="0"/>
              <w:right w:val="single" w:color="auto" w:sz="4" w:space="0"/>
            </w:tcBorders>
            <w:vAlign w:val="center"/>
          </w:tcPr>
          <w:p w14:paraId="0EB65E2E">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施工水电费按工程竣工结算审定价的</w:t>
            </w:r>
            <w:r>
              <w:rPr>
                <w:rFonts w:hint="eastAsia" w:ascii="仿宋" w:hAnsi="仿宋" w:eastAsia="仿宋" w:cs="宋体"/>
                <w:color w:val="auto"/>
                <w:sz w:val="24"/>
                <w:szCs w:val="24"/>
                <w:highlight w:val="none"/>
                <w:lang w:val="en-US" w:eastAsia="zh-CN"/>
              </w:rPr>
              <w:t>0.5</w:t>
            </w:r>
            <w:r>
              <w:rPr>
                <w:rFonts w:hint="eastAsia" w:ascii="仿宋" w:hAnsi="仿宋" w:eastAsia="仿宋" w:cs="宋体"/>
                <w:color w:val="auto"/>
                <w:sz w:val="24"/>
                <w:szCs w:val="24"/>
                <w:highlight w:val="none"/>
              </w:rPr>
              <w:t>％计算</w:t>
            </w:r>
            <w:r>
              <w:rPr>
                <w:rFonts w:hint="eastAsia" w:ascii="仿宋" w:hAnsi="仿宋" w:eastAsia="仿宋" w:cs="宋体"/>
                <w:color w:val="auto"/>
                <w:sz w:val="24"/>
                <w:szCs w:val="24"/>
                <w:highlight w:val="none"/>
              </w:rPr>
              <w:t>，在结算审定款中直接扣除。</w:t>
            </w:r>
          </w:p>
        </w:tc>
      </w:tr>
      <w:tr w14:paraId="7EA370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122A9F75">
            <w:pPr>
              <w:autoSpaceDN w:val="0"/>
              <w:snapToGrid w:val="0"/>
              <w:spacing w:line="276" w:lineRule="auto"/>
              <w:jc w:val="center"/>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rPr>
              <w:t>3</w:t>
            </w:r>
            <w:r>
              <w:rPr>
                <w:rFonts w:hint="eastAsia" w:ascii="仿宋" w:hAnsi="仿宋" w:eastAsia="仿宋" w:cs="宋体"/>
                <w:color w:val="auto"/>
                <w:sz w:val="24"/>
                <w:szCs w:val="24"/>
                <w:highlight w:val="none"/>
                <w:lang w:val="en-US" w:eastAsia="zh-CN"/>
              </w:rPr>
              <w:t>6</w:t>
            </w:r>
          </w:p>
        </w:tc>
        <w:tc>
          <w:tcPr>
            <w:tcW w:w="1297" w:type="pct"/>
            <w:tcBorders>
              <w:top w:val="single" w:color="auto" w:sz="4" w:space="0"/>
              <w:left w:val="single" w:color="auto" w:sz="4" w:space="0"/>
              <w:bottom w:val="single" w:color="auto" w:sz="4" w:space="0"/>
              <w:right w:val="single" w:color="auto" w:sz="4" w:space="0"/>
            </w:tcBorders>
            <w:vAlign w:val="center"/>
          </w:tcPr>
          <w:p w14:paraId="11BD2BFB">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预付款担保</w:t>
            </w:r>
          </w:p>
        </w:tc>
        <w:tc>
          <w:tcPr>
            <w:tcW w:w="3262" w:type="pct"/>
            <w:tcBorders>
              <w:top w:val="single" w:color="auto" w:sz="4" w:space="0"/>
              <w:left w:val="single" w:color="auto" w:sz="4" w:space="0"/>
              <w:bottom w:val="single" w:color="auto" w:sz="4" w:space="0"/>
              <w:right w:val="single" w:color="auto" w:sz="4" w:space="0"/>
            </w:tcBorders>
            <w:vAlign w:val="center"/>
          </w:tcPr>
          <w:p w14:paraId="0E2F55CC">
            <w:pPr>
              <w:autoSpaceDN w:val="0"/>
              <w:snapToGrid w:val="0"/>
              <w:spacing w:line="276" w:lineRule="auto"/>
              <w:rPr>
                <w:rFonts w:ascii="仿宋" w:hAnsi="仿宋" w:eastAsia="仿宋" w:cs="Times New Roman"/>
                <w:color w:val="auto"/>
                <w:szCs w:val="24"/>
                <w:highlight w:val="none"/>
              </w:rPr>
            </w:pPr>
            <w:r>
              <w:rPr>
                <w:rFonts w:hint="eastAsia" w:ascii="仿宋" w:hAnsi="仿宋" w:eastAsia="仿宋" w:cs="Arial"/>
                <w:bCs/>
                <w:color w:val="auto"/>
                <w:sz w:val="24"/>
                <w:szCs w:val="24"/>
                <w:highlight w:val="none"/>
              </w:rPr>
              <w:t>详见第四章 采购内容及需求</w:t>
            </w:r>
          </w:p>
        </w:tc>
      </w:tr>
      <w:tr w14:paraId="4AF60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0AA8F7EE">
            <w:pPr>
              <w:autoSpaceDN w:val="0"/>
              <w:snapToGrid w:val="0"/>
              <w:spacing w:line="276" w:lineRule="auto"/>
              <w:jc w:val="center"/>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rPr>
              <w:t>3</w:t>
            </w:r>
            <w:r>
              <w:rPr>
                <w:rFonts w:hint="eastAsia" w:ascii="仿宋" w:hAnsi="仿宋" w:eastAsia="仿宋" w:cs="宋体"/>
                <w:color w:val="auto"/>
                <w:sz w:val="24"/>
                <w:szCs w:val="24"/>
                <w:highlight w:val="none"/>
                <w:lang w:val="en-US" w:eastAsia="zh-CN"/>
              </w:rPr>
              <w:t>7</w:t>
            </w:r>
          </w:p>
        </w:tc>
        <w:tc>
          <w:tcPr>
            <w:tcW w:w="1297" w:type="pct"/>
            <w:tcBorders>
              <w:top w:val="single" w:color="auto" w:sz="4" w:space="0"/>
              <w:left w:val="single" w:color="auto" w:sz="4" w:space="0"/>
              <w:bottom w:val="single" w:color="auto" w:sz="4" w:space="0"/>
              <w:right w:val="single" w:color="auto" w:sz="4" w:space="0"/>
            </w:tcBorders>
            <w:vAlign w:val="center"/>
          </w:tcPr>
          <w:p w14:paraId="6E348B0D">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重要提醒</w:t>
            </w:r>
          </w:p>
        </w:tc>
        <w:tc>
          <w:tcPr>
            <w:tcW w:w="3262" w:type="pct"/>
            <w:tcBorders>
              <w:top w:val="single" w:color="auto" w:sz="4" w:space="0"/>
              <w:left w:val="single" w:color="auto" w:sz="4" w:space="0"/>
              <w:bottom w:val="single" w:color="auto" w:sz="4" w:space="0"/>
              <w:right w:val="single" w:color="auto" w:sz="4" w:space="0"/>
            </w:tcBorders>
            <w:vAlign w:val="center"/>
          </w:tcPr>
          <w:p w14:paraId="3F6290B6">
            <w:pPr>
              <w:autoSpaceDN w:val="0"/>
              <w:snapToGrid w:val="0"/>
              <w:spacing w:line="276" w:lineRule="auto"/>
              <w:rPr>
                <w:rFonts w:ascii="仿宋" w:hAnsi="仿宋" w:eastAsia="仿宋" w:cs="Arial"/>
                <w:b/>
                <w:bCs/>
                <w:color w:val="auto"/>
                <w:sz w:val="24"/>
                <w:szCs w:val="24"/>
                <w:highlight w:val="none"/>
              </w:rPr>
            </w:pPr>
            <w:r>
              <w:rPr>
                <w:rFonts w:hint="eastAsia" w:ascii="仿宋" w:hAnsi="仿宋" w:eastAsia="仿宋" w:cs="Arial"/>
                <w:b/>
                <w:bCs/>
                <w:color w:val="auto"/>
                <w:sz w:val="24"/>
                <w:szCs w:val="24"/>
                <w:highlight w:val="none"/>
              </w:rPr>
              <w:t>（1）磋商响应供应商应仔细对照磋商须知条款阅读本表，如本表与须知内容就同一事项规定不一致的，以本表为准；</w:t>
            </w:r>
          </w:p>
          <w:p w14:paraId="1F5D4023">
            <w:pPr>
              <w:autoSpaceDN w:val="0"/>
              <w:snapToGrid w:val="0"/>
              <w:spacing w:line="276" w:lineRule="auto"/>
              <w:rPr>
                <w:rFonts w:ascii="仿宋" w:hAnsi="仿宋" w:eastAsia="仿宋" w:cs="Arial"/>
                <w:b/>
                <w:bCs/>
                <w:color w:val="auto"/>
                <w:sz w:val="24"/>
                <w:szCs w:val="24"/>
                <w:highlight w:val="none"/>
              </w:rPr>
            </w:pPr>
            <w:r>
              <w:rPr>
                <w:rFonts w:hint="eastAsia" w:ascii="仿宋" w:hAnsi="仿宋" w:eastAsia="仿宋" w:cs="Arial"/>
                <w:b/>
                <w:bCs/>
                <w:color w:val="auto"/>
                <w:sz w:val="24"/>
                <w:szCs w:val="24"/>
                <w:highlight w:val="none"/>
              </w:rPr>
              <w:t>（2）磋商响应供应商在编制磋商响应文件时应作出符合客观事实的真实响应，采购人不接受任何不符客观事实的“响应”或者“应标”，情节严重的可视为“提供虚假材料”行为，并参照“提供虚假材料”进行处理；</w:t>
            </w:r>
          </w:p>
          <w:p w14:paraId="167A77BA">
            <w:pPr>
              <w:autoSpaceDN w:val="0"/>
              <w:snapToGrid w:val="0"/>
              <w:spacing w:line="276" w:lineRule="auto"/>
              <w:rPr>
                <w:rFonts w:ascii="仿宋" w:hAnsi="仿宋" w:eastAsia="仿宋" w:cs="Arial"/>
                <w:b/>
                <w:bCs/>
                <w:color w:val="auto"/>
                <w:sz w:val="24"/>
                <w:szCs w:val="24"/>
                <w:highlight w:val="none"/>
              </w:rPr>
            </w:pPr>
            <w:r>
              <w:rPr>
                <w:rFonts w:hint="eastAsia" w:ascii="仿宋" w:hAnsi="仿宋" w:eastAsia="仿宋" w:cs="Arial"/>
                <w:b/>
                <w:bCs/>
                <w:color w:val="auto"/>
                <w:sz w:val="24"/>
                <w:szCs w:val="24"/>
                <w:highlight w:val="none"/>
              </w:rPr>
              <w:t>（3）竞争性磋商文件中标注“▲”的技术或商务条款均为实质性要求条款，不满足实质性要求条款的投标响应无效；</w:t>
            </w:r>
          </w:p>
          <w:p w14:paraId="5CA7BC7D">
            <w:pPr>
              <w:autoSpaceDN w:val="0"/>
              <w:snapToGrid w:val="0"/>
              <w:spacing w:line="276" w:lineRule="auto"/>
              <w:rPr>
                <w:rFonts w:ascii="仿宋" w:hAnsi="仿宋" w:eastAsia="仿宋" w:cs="Arial"/>
                <w:b/>
                <w:bCs/>
                <w:color w:val="auto"/>
                <w:sz w:val="24"/>
                <w:szCs w:val="24"/>
                <w:highlight w:val="none"/>
              </w:rPr>
            </w:pPr>
            <w:r>
              <w:rPr>
                <w:rFonts w:hint="eastAsia" w:ascii="仿宋" w:hAnsi="仿宋" w:eastAsia="仿宋" w:cs="Arial"/>
                <w:b/>
                <w:bCs/>
                <w:color w:val="auto"/>
                <w:sz w:val="24"/>
                <w:szCs w:val="24"/>
                <w:highlight w:val="none"/>
              </w:rPr>
              <w:t>（4）竞争性磋商文件中所有加粗及加下划线的条款着重提请各供应商注意，请各供应商认真查看竞争性磋商文件中的每一个条款及要求，因误读、漏读、错读竞争性磋商文件内容而造成的一切后果，由供应商自行承担，采购组织机构概不负责；</w:t>
            </w:r>
          </w:p>
          <w:p w14:paraId="638ED673">
            <w:pPr>
              <w:autoSpaceDE w:val="0"/>
              <w:autoSpaceDN w:val="0"/>
              <w:snapToGrid w:val="0"/>
              <w:spacing w:line="276" w:lineRule="auto"/>
              <w:textAlignment w:val="bottom"/>
              <w:rPr>
                <w:rFonts w:hint="eastAsia" w:ascii="仿宋" w:hAnsi="仿宋" w:eastAsia="仿宋" w:cs="Times New Roman"/>
                <w:b/>
                <w:bCs/>
                <w:color w:val="auto"/>
                <w:sz w:val="24"/>
                <w:szCs w:val="24"/>
                <w:highlight w:val="none"/>
              </w:rPr>
            </w:pPr>
            <w:r>
              <w:rPr>
                <w:rFonts w:hint="eastAsia" w:ascii="仿宋" w:hAnsi="仿宋" w:eastAsia="仿宋" w:cs="Arial"/>
                <w:b/>
                <w:bCs/>
                <w:color w:val="auto"/>
                <w:sz w:val="24"/>
                <w:szCs w:val="24"/>
                <w:highlight w:val="none"/>
              </w:rPr>
              <w:t>（5）</w:t>
            </w:r>
            <w:r>
              <w:rPr>
                <w:rFonts w:hint="eastAsia" w:ascii="仿宋" w:hAnsi="仿宋" w:eastAsia="仿宋" w:cs="Arial"/>
                <w:b/>
                <w:bCs/>
                <w:color w:val="auto"/>
                <w:sz w:val="24"/>
                <w:szCs w:val="24"/>
                <w:highlight w:val="none"/>
                <w:u w:val="single"/>
              </w:rPr>
              <w:t>竞争性磋商报价以最终报价为准，项目竣工结算时，最终结算价根据承诺优惠率同比例调整，调整范围包括合同部分及新增联系单部分</w:t>
            </w:r>
            <w:r>
              <w:rPr>
                <w:rFonts w:hint="eastAsia" w:ascii="仿宋" w:hAnsi="仿宋" w:eastAsia="仿宋" w:cs="Times New Roman"/>
                <w:b/>
                <w:bCs/>
                <w:color w:val="auto"/>
                <w:sz w:val="24"/>
                <w:szCs w:val="24"/>
                <w:highlight w:val="none"/>
              </w:rPr>
              <w:t>。</w:t>
            </w:r>
          </w:p>
          <w:p w14:paraId="5658F70E">
            <w:pPr>
              <w:autoSpaceDE w:val="0"/>
              <w:autoSpaceDN w:val="0"/>
              <w:snapToGrid w:val="0"/>
              <w:spacing w:line="276" w:lineRule="auto"/>
              <w:textAlignment w:val="bottom"/>
              <w:rPr>
                <w:rFonts w:ascii="仿宋" w:hAnsi="仿宋" w:eastAsia="仿宋" w:cs="Arial"/>
                <w:b/>
                <w:color w:val="auto"/>
                <w:sz w:val="24"/>
                <w:szCs w:val="24"/>
                <w:highlight w:val="none"/>
              </w:rPr>
            </w:pPr>
            <w:r>
              <w:rPr>
                <w:rFonts w:hint="eastAsia" w:ascii="仿宋" w:hAnsi="仿宋" w:eastAsia="仿宋" w:cs="Times New Roman"/>
                <w:b/>
                <w:bCs/>
                <w:color w:val="auto"/>
                <w:sz w:val="24"/>
                <w:szCs w:val="24"/>
                <w:highlight w:val="none"/>
                <w:lang w:val="en-US" w:eastAsia="zh-CN"/>
              </w:rPr>
              <w:t>▲</w:t>
            </w:r>
            <w:r>
              <w:rPr>
                <w:rFonts w:hint="eastAsia" w:ascii="仿宋" w:hAnsi="仿宋" w:eastAsia="仿宋" w:cs="Times New Roman"/>
                <w:b/>
                <w:bCs/>
                <w:color w:val="auto"/>
                <w:sz w:val="24"/>
                <w:szCs w:val="24"/>
                <w:highlight w:val="none"/>
                <w:lang w:eastAsia="zh-CN"/>
              </w:rPr>
              <w:t>（</w:t>
            </w:r>
            <w:r>
              <w:rPr>
                <w:rFonts w:hint="eastAsia" w:ascii="仿宋" w:hAnsi="仿宋" w:eastAsia="仿宋" w:cs="Times New Roman"/>
                <w:b/>
                <w:bCs/>
                <w:color w:val="auto"/>
                <w:sz w:val="24"/>
                <w:szCs w:val="24"/>
                <w:highlight w:val="none"/>
                <w:lang w:val="en-US" w:eastAsia="zh-CN"/>
              </w:rPr>
              <w:t>6</w:t>
            </w:r>
            <w:r>
              <w:rPr>
                <w:rFonts w:hint="eastAsia" w:ascii="仿宋" w:hAnsi="仿宋" w:eastAsia="仿宋" w:cs="Times New Roman"/>
                <w:b/>
                <w:bCs/>
                <w:color w:val="auto"/>
                <w:sz w:val="24"/>
                <w:szCs w:val="24"/>
                <w:highlight w:val="none"/>
                <w:lang w:eastAsia="zh-CN"/>
              </w:rPr>
              <w:t>）</w:t>
            </w:r>
            <w:r>
              <w:rPr>
                <w:rFonts w:hint="eastAsia" w:ascii="仿宋" w:hAnsi="仿宋" w:eastAsia="仿宋" w:cs="Times New Roman"/>
                <w:b/>
                <w:bCs/>
                <w:color w:val="auto"/>
                <w:sz w:val="24"/>
                <w:szCs w:val="24"/>
                <w:highlight w:val="none"/>
                <w:u w:val="single"/>
                <w:lang w:val="en-US" w:eastAsia="zh-CN"/>
              </w:rPr>
              <w:t>参与同一标段（包）的投标人（供应商）存在MAC地址相同、计算机硬盘序列号相同、响应文件细节错误一致且无合理解释、供应商手机号相同等情形的，其响应文件无效。</w:t>
            </w:r>
          </w:p>
        </w:tc>
      </w:tr>
    </w:tbl>
    <w:p w14:paraId="0FCBBE7F">
      <w:pPr>
        <w:autoSpaceDN w:val="0"/>
        <w:snapToGrid w:val="0"/>
        <w:spacing w:line="360" w:lineRule="auto"/>
        <w:rPr>
          <w:rFonts w:ascii="仿宋" w:hAnsi="仿宋" w:eastAsia="仿宋" w:cs="宋体"/>
          <w:color w:val="auto"/>
          <w:sz w:val="24"/>
          <w:szCs w:val="24"/>
          <w:highlight w:val="none"/>
        </w:rPr>
      </w:pPr>
    </w:p>
    <w:p w14:paraId="43B0D8EF">
      <w:pPr>
        <w:rPr>
          <w:rFonts w:ascii="Times New Roman" w:hAnsi="仿宋" w:eastAsia="仿宋" w:cs="Times New Roman"/>
          <w:b/>
          <w:bCs/>
          <w:color w:val="auto"/>
          <w:sz w:val="28"/>
          <w:szCs w:val="28"/>
          <w:highlight w:val="none"/>
        </w:rPr>
      </w:pPr>
      <w:bookmarkStart w:id="37" w:name="_Toc82873322"/>
      <w:bookmarkStart w:id="38" w:name="_Toc82338239"/>
      <w:bookmarkStart w:id="39" w:name="_Toc96947060"/>
      <w:r>
        <w:rPr>
          <w:rFonts w:hint="eastAsia" w:ascii="Times New Roman" w:hAnsi="仿宋" w:eastAsia="仿宋" w:cs="Times New Roman"/>
          <w:b/>
          <w:bCs/>
          <w:color w:val="auto"/>
          <w:sz w:val="28"/>
          <w:szCs w:val="28"/>
          <w:highlight w:val="none"/>
        </w:rPr>
        <w:br w:type="page"/>
      </w:r>
    </w:p>
    <w:p w14:paraId="443F24D6">
      <w:pPr>
        <w:keepNext/>
        <w:keepLines/>
        <w:autoSpaceDN w:val="0"/>
        <w:spacing w:before="260" w:after="260" w:line="415" w:lineRule="auto"/>
        <w:outlineLvl w:val="1"/>
        <w:rPr>
          <w:rFonts w:ascii="仿宋" w:hAnsi="仿宋" w:eastAsia="仿宋" w:cs="Times New Roman"/>
          <w:b/>
          <w:bCs/>
          <w:color w:val="auto"/>
          <w:sz w:val="28"/>
          <w:szCs w:val="28"/>
          <w:highlight w:val="none"/>
        </w:rPr>
      </w:pPr>
      <w:bookmarkStart w:id="40" w:name="_Toc19240"/>
      <w:r>
        <w:rPr>
          <w:rFonts w:hint="eastAsia" w:ascii="Times New Roman" w:hAnsi="仿宋" w:eastAsia="仿宋" w:cs="Times New Roman"/>
          <w:b/>
          <w:bCs/>
          <w:color w:val="auto"/>
          <w:sz w:val="28"/>
          <w:szCs w:val="28"/>
          <w:highlight w:val="none"/>
        </w:rPr>
        <w:t>一、</w:t>
      </w:r>
      <w:bookmarkEnd w:id="37"/>
      <w:bookmarkEnd w:id="38"/>
      <w:r>
        <w:rPr>
          <w:rFonts w:hint="eastAsia" w:ascii="Times New Roman" w:hAnsi="仿宋" w:eastAsia="仿宋" w:cs="Times New Roman"/>
          <w:b/>
          <w:bCs/>
          <w:color w:val="auto"/>
          <w:sz w:val="28"/>
          <w:szCs w:val="28"/>
          <w:highlight w:val="none"/>
        </w:rPr>
        <w:t>总则</w:t>
      </w:r>
      <w:bookmarkEnd w:id="39"/>
      <w:bookmarkEnd w:id="40"/>
    </w:p>
    <w:p w14:paraId="7445740F">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bookmarkStart w:id="41" w:name="_Toc82873323"/>
      <w:bookmarkStart w:id="42" w:name="_Toc82338240"/>
      <w:r>
        <w:rPr>
          <w:rFonts w:hint="eastAsia" w:ascii="仿宋" w:hAnsi="仿宋" w:eastAsia="仿宋" w:cs="Times New Roman"/>
          <w:b/>
          <w:bCs/>
          <w:color w:val="auto"/>
          <w:sz w:val="24"/>
          <w:szCs w:val="32"/>
          <w:highlight w:val="none"/>
        </w:rPr>
        <w:t>1.1、实施依据及适用范围</w:t>
      </w:r>
    </w:p>
    <w:p w14:paraId="7E03046B">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kern w:val="0"/>
          <w:sz w:val="24"/>
          <w:szCs w:val="20"/>
          <w:highlight w:val="none"/>
        </w:rPr>
        <w:t>1.1.1实施依据：本次采购工作按照《中华人民共和国政府采购法》、《中华人民共和国政府采购法实施条例》、《浙江省政府采购项目电子交易管理暂行办法》、浙财采监[2022]3号等政府采购有关法律、法规、规章、文件的规定组织和实施；</w:t>
      </w:r>
    </w:p>
    <w:p w14:paraId="24E763E2">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1.1.2本竞争性磋商文件适用于</w:t>
      </w:r>
      <w:r>
        <w:rPr>
          <w:rFonts w:hint="eastAsia" w:ascii="仿宋" w:hAnsi="仿宋" w:eastAsia="仿宋" w:cs="Times New Roman"/>
          <w:color w:val="auto"/>
          <w:kern w:val="0"/>
          <w:sz w:val="24"/>
          <w:szCs w:val="20"/>
          <w:highlight w:val="none"/>
          <w:u w:val="single"/>
          <w:lang w:eastAsia="zh-CN"/>
        </w:rPr>
        <w:t>浙江工业大学屏峰校区学生宿舍建设工程项目施工用电工程</w:t>
      </w:r>
      <w:r>
        <w:rPr>
          <w:rFonts w:hint="eastAsia" w:ascii="仿宋" w:hAnsi="仿宋" w:eastAsia="仿宋" w:cs="Times New Roman"/>
          <w:color w:val="auto"/>
          <w:kern w:val="0"/>
          <w:sz w:val="24"/>
          <w:szCs w:val="20"/>
          <w:highlight w:val="none"/>
          <w:u w:val="single"/>
        </w:rPr>
        <w:t>（项目编号：</w:t>
      </w:r>
      <w:r>
        <w:rPr>
          <w:rFonts w:hint="eastAsia" w:ascii="仿宋" w:hAnsi="仿宋" w:eastAsia="仿宋" w:cs="Times New Roman"/>
          <w:color w:val="auto"/>
          <w:kern w:val="0"/>
          <w:sz w:val="24"/>
          <w:szCs w:val="20"/>
          <w:highlight w:val="none"/>
          <w:u w:val="single"/>
          <w:lang w:eastAsia="zh-CN"/>
        </w:rPr>
        <w:t>HCZX-24982</w:t>
      </w:r>
      <w:r>
        <w:rPr>
          <w:rFonts w:hint="eastAsia" w:ascii="仿宋" w:hAnsi="仿宋" w:eastAsia="仿宋" w:cs="Times New Roman"/>
          <w:color w:val="auto"/>
          <w:kern w:val="0"/>
          <w:sz w:val="24"/>
          <w:szCs w:val="20"/>
          <w:highlight w:val="none"/>
          <w:u w:val="single"/>
        </w:rPr>
        <w:t>）</w:t>
      </w:r>
      <w:r>
        <w:rPr>
          <w:rFonts w:hint="eastAsia" w:ascii="仿宋" w:hAnsi="仿宋" w:eastAsia="仿宋" w:cs="Times New Roman"/>
          <w:color w:val="auto"/>
          <w:kern w:val="0"/>
          <w:sz w:val="24"/>
          <w:szCs w:val="20"/>
          <w:highlight w:val="none"/>
        </w:rPr>
        <w:t>的采购、响应、磋商、评标、定标、验收、合同履约、付款等（法律、法规另有规定的，从其规定）。</w:t>
      </w:r>
    </w:p>
    <w:p w14:paraId="4A9D5C2A">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1.2 项目基本信息</w:t>
      </w:r>
    </w:p>
    <w:p w14:paraId="071543FE">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1.2.1项目名称：</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14:paraId="57081EC3">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1.2.2项目编号：</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14:paraId="33673659">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1.2.3采购内容：</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14:paraId="4F21DEAD">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1.2.4最高限价：</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14:paraId="0E9F9140">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1.2.5资金落实情况：</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14:paraId="1C0D4E02">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1.2.6采购人：</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14:paraId="29239642">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1.2.7采购代理机构：</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14:paraId="0EF20221">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1.2.8交易方式：</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14:paraId="69103962">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1.2.9电子交易平台：</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14:paraId="7C0D5764">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1.2.10工期：</w:t>
      </w:r>
      <w:r>
        <w:rPr>
          <w:rFonts w:hint="eastAsia" w:ascii="仿宋" w:hAnsi="仿宋" w:eastAsia="仿宋" w:cs="Times New Roman"/>
          <w:b/>
          <w:color w:val="auto"/>
          <w:sz w:val="24"/>
          <w:szCs w:val="20"/>
          <w:highlight w:val="none"/>
          <w:u w:val="single"/>
        </w:rPr>
        <w:t>见《磋商须知前附表》。</w:t>
      </w:r>
    </w:p>
    <w:p w14:paraId="51EA30A7">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1.3 采购方式和采购组织类型</w:t>
      </w:r>
    </w:p>
    <w:p w14:paraId="3B5281C1">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1.3.1采购方式：</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color w:val="auto"/>
          <w:sz w:val="24"/>
          <w:szCs w:val="20"/>
          <w:highlight w:val="none"/>
        </w:rPr>
        <w:t>；</w:t>
      </w:r>
    </w:p>
    <w:p w14:paraId="76AF772B">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1.3.2采购组织类型：</w:t>
      </w:r>
      <w:r>
        <w:rPr>
          <w:rFonts w:hint="eastAsia" w:ascii="仿宋" w:hAnsi="仿宋" w:eastAsia="仿宋" w:cs="Arial"/>
          <w:b/>
          <w:color w:val="auto"/>
          <w:sz w:val="24"/>
          <w:szCs w:val="20"/>
          <w:highlight w:val="none"/>
          <w:u w:val="single"/>
        </w:rPr>
        <w:t>分散采购-分散委托中介</w:t>
      </w:r>
      <w:r>
        <w:rPr>
          <w:rFonts w:hint="eastAsia" w:ascii="仿宋" w:hAnsi="仿宋" w:eastAsia="仿宋" w:cs="Times New Roman"/>
          <w:b/>
          <w:color w:val="auto"/>
          <w:kern w:val="0"/>
          <w:sz w:val="24"/>
          <w:szCs w:val="20"/>
          <w:highlight w:val="none"/>
        </w:rPr>
        <w:t>。</w:t>
      </w:r>
    </w:p>
    <w:p w14:paraId="0AE9497A">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1.4 合格供应商资格要求</w:t>
      </w:r>
    </w:p>
    <w:p w14:paraId="3131E153">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1.4.1合格供应商“基本资格”要求：</w:t>
      </w:r>
      <w:r>
        <w:rPr>
          <w:rFonts w:hint="eastAsia" w:ascii="仿宋" w:hAnsi="仿宋" w:eastAsia="仿宋" w:cs="Times New Roman"/>
          <w:b/>
          <w:color w:val="auto"/>
          <w:kern w:val="0"/>
          <w:sz w:val="24"/>
          <w:szCs w:val="20"/>
          <w:highlight w:val="none"/>
          <w:u w:val="single"/>
        </w:rPr>
        <w:t>见《第一章 竞争性磋商公告》</w:t>
      </w:r>
      <w:r>
        <w:rPr>
          <w:rFonts w:hint="eastAsia" w:ascii="仿宋" w:hAnsi="仿宋" w:eastAsia="仿宋" w:cs="Times New Roman"/>
          <w:color w:val="auto"/>
          <w:kern w:val="0"/>
          <w:sz w:val="24"/>
          <w:szCs w:val="20"/>
          <w:highlight w:val="none"/>
        </w:rPr>
        <w:t>；</w:t>
      </w:r>
    </w:p>
    <w:p w14:paraId="67C2CF81">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1.4.2合格供应商“特定资格”要求：</w:t>
      </w:r>
      <w:r>
        <w:rPr>
          <w:rFonts w:hint="eastAsia" w:ascii="仿宋" w:hAnsi="仿宋" w:eastAsia="仿宋" w:cs="Times New Roman"/>
          <w:b/>
          <w:color w:val="auto"/>
          <w:kern w:val="0"/>
          <w:sz w:val="24"/>
          <w:szCs w:val="20"/>
          <w:highlight w:val="none"/>
          <w:u w:val="single"/>
        </w:rPr>
        <w:t>见《第一章 竞争性磋商公告》</w:t>
      </w:r>
      <w:r>
        <w:rPr>
          <w:rFonts w:hint="eastAsia" w:ascii="仿宋" w:hAnsi="仿宋" w:eastAsia="仿宋" w:cs="Times New Roman"/>
          <w:color w:val="auto"/>
          <w:kern w:val="0"/>
          <w:sz w:val="24"/>
          <w:szCs w:val="20"/>
          <w:highlight w:val="none"/>
        </w:rPr>
        <w:t>。</w:t>
      </w:r>
    </w:p>
    <w:p w14:paraId="60CB3935">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1.5 定义</w:t>
      </w:r>
    </w:p>
    <w:p w14:paraId="3C11A906">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1.5.1“采购人”：</w:t>
      </w:r>
      <w:r>
        <w:rPr>
          <w:rFonts w:hint="eastAsia" w:ascii="仿宋" w:hAnsi="仿宋" w:eastAsia="仿宋" w:cs="Times New Roman"/>
          <w:color w:val="auto"/>
          <w:sz w:val="24"/>
          <w:szCs w:val="20"/>
          <w:highlight w:val="none"/>
        </w:rPr>
        <w:t>是</w:t>
      </w:r>
      <w:r>
        <w:rPr>
          <w:rFonts w:hint="eastAsia" w:ascii="仿宋" w:hAnsi="仿宋" w:eastAsia="仿宋" w:cs="Times New Roman"/>
          <w:color w:val="auto"/>
          <w:kern w:val="0"/>
          <w:sz w:val="24"/>
          <w:szCs w:val="20"/>
          <w:highlight w:val="none"/>
        </w:rPr>
        <w:t>指依法进行政府采购的国家机关、事业单位、团体组织，即政府采购合同中的“甲方”</w:t>
      </w:r>
      <w:r>
        <w:rPr>
          <w:rFonts w:hint="eastAsia" w:ascii="仿宋" w:hAnsi="仿宋" w:eastAsia="仿宋" w:cs="Times New Roman"/>
          <w:b/>
          <w:color w:val="auto"/>
          <w:kern w:val="0"/>
          <w:sz w:val="24"/>
          <w:szCs w:val="20"/>
          <w:highlight w:val="none"/>
        </w:rPr>
        <w:t>（本项目的采购人是指“</w:t>
      </w:r>
      <w:r>
        <w:rPr>
          <w:rFonts w:hint="eastAsia" w:ascii="仿宋" w:hAnsi="仿宋" w:eastAsia="仿宋" w:cs="Times New Roman"/>
          <w:b/>
          <w:color w:val="auto"/>
          <w:sz w:val="24"/>
          <w:szCs w:val="20"/>
          <w:highlight w:val="none"/>
          <w:u w:val="single"/>
        </w:rPr>
        <w:t>浙江工业大学</w:t>
      </w:r>
      <w:r>
        <w:rPr>
          <w:rFonts w:hint="eastAsia" w:ascii="仿宋" w:hAnsi="仿宋" w:eastAsia="仿宋" w:cs="Times New Roman"/>
          <w:b/>
          <w:color w:val="auto"/>
          <w:kern w:val="0"/>
          <w:sz w:val="24"/>
          <w:szCs w:val="20"/>
          <w:highlight w:val="none"/>
        </w:rPr>
        <w:t>”）</w:t>
      </w:r>
      <w:r>
        <w:rPr>
          <w:rFonts w:hint="eastAsia" w:ascii="仿宋" w:hAnsi="仿宋" w:eastAsia="仿宋" w:cs="Times New Roman"/>
          <w:color w:val="auto"/>
          <w:kern w:val="0"/>
          <w:sz w:val="24"/>
          <w:szCs w:val="20"/>
          <w:highlight w:val="none"/>
        </w:rPr>
        <w:t>；</w:t>
      </w:r>
    </w:p>
    <w:p w14:paraId="6035E2CE">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1.5.2“采购代理机构”：</w:t>
      </w:r>
      <w:r>
        <w:rPr>
          <w:rFonts w:hint="eastAsia" w:ascii="仿宋" w:hAnsi="仿宋" w:eastAsia="仿宋" w:cs="Arial"/>
          <w:color w:val="auto"/>
          <w:sz w:val="24"/>
          <w:szCs w:val="20"/>
          <w:highlight w:val="none"/>
        </w:rPr>
        <w:t>是</w:t>
      </w:r>
      <w:r>
        <w:rPr>
          <w:rFonts w:hint="eastAsia" w:ascii="仿宋" w:hAnsi="仿宋" w:eastAsia="仿宋" w:cs="Arial"/>
          <w:color w:val="auto"/>
          <w:kern w:val="0"/>
          <w:sz w:val="24"/>
          <w:szCs w:val="20"/>
          <w:highlight w:val="none"/>
        </w:rPr>
        <w:t>指受采购人委托，在委托的范围内办理采购事宜的机构</w:t>
      </w:r>
      <w:r>
        <w:rPr>
          <w:rFonts w:hint="eastAsia" w:ascii="仿宋" w:hAnsi="仿宋" w:eastAsia="仿宋" w:cs="Arial"/>
          <w:b/>
          <w:color w:val="auto"/>
          <w:kern w:val="0"/>
          <w:sz w:val="24"/>
          <w:szCs w:val="20"/>
          <w:highlight w:val="none"/>
        </w:rPr>
        <w:t>（本项目的采购代理机构是指“</w:t>
      </w:r>
      <w:r>
        <w:rPr>
          <w:rFonts w:hint="eastAsia" w:ascii="仿宋" w:hAnsi="仿宋" w:eastAsia="仿宋" w:cs="Arial"/>
          <w:b/>
          <w:color w:val="auto"/>
          <w:kern w:val="0"/>
          <w:sz w:val="24"/>
          <w:szCs w:val="20"/>
          <w:highlight w:val="none"/>
          <w:u w:val="single"/>
        </w:rPr>
        <w:t xml:space="preserve"> </w:t>
      </w:r>
      <w:r>
        <w:rPr>
          <w:rFonts w:hint="eastAsia" w:ascii="仿宋" w:hAnsi="仿宋" w:eastAsia="仿宋" w:cs="Arial"/>
          <w:b/>
          <w:color w:val="auto"/>
          <w:kern w:val="0"/>
          <w:sz w:val="24"/>
          <w:szCs w:val="20"/>
          <w:highlight w:val="none"/>
          <w:u w:val="single"/>
          <w:lang w:eastAsia="zh-CN"/>
        </w:rPr>
        <w:t>华诚工程咨询集团有限公司</w:t>
      </w:r>
      <w:r>
        <w:rPr>
          <w:rFonts w:hint="eastAsia" w:ascii="仿宋" w:hAnsi="仿宋" w:eastAsia="仿宋" w:cs="Arial"/>
          <w:b/>
          <w:color w:val="auto"/>
          <w:kern w:val="0"/>
          <w:sz w:val="24"/>
          <w:szCs w:val="20"/>
          <w:highlight w:val="none"/>
          <w:u w:val="single"/>
        </w:rPr>
        <w:t xml:space="preserve"> </w:t>
      </w:r>
      <w:r>
        <w:rPr>
          <w:rFonts w:hint="eastAsia" w:ascii="仿宋" w:hAnsi="仿宋" w:eastAsia="仿宋" w:cs="Arial"/>
          <w:b/>
          <w:color w:val="auto"/>
          <w:kern w:val="0"/>
          <w:sz w:val="24"/>
          <w:szCs w:val="20"/>
          <w:highlight w:val="none"/>
        </w:rPr>
        <w:t>”）</w:t>
      </w:r>
      <w:r>
        <w:rPr>
          <w:rFonts w:hint="eastAsia" w:ascii="仿宋" w:hAnsi="仿宋" w:eastAsia="仿宋" w:cs="Arial"/>
          <w:color w:val="auto"/>
          <w:kern w:val="0"/>
          <w:sz w:val="24"/>
          <w:szCs w:val="20"/>
          <w:highlight w:val="none"/>
        </w:rPr>
        <w:t>；</w:t>
      </w:r>
    </w:p>
    <w:p w14:paraId="41E5BAEE">
      <w:pPr>
        <w:autoSpaceDN w:val="0"/>
        <w:spacing w:line="360" w:lineRule="auto"/>
        <w:ind w:firstLine="426" w:firstLineChars="177"/>
        <w:rPr>
          <w:rFonts w:ascii="仿宋" w:hAnsi="仿宋" w:eastAsia="仿宋" w:cs="Arial"/>
          <w:b/>
          <w:color w:val="auto"/>
          <w:kern w:val="0"/>
          <w:sz w:val="24"/>
          <w:szCs w:val="20"/>
          <w:highlight w:val="none"/>
        </w:rPr>
      </w:pPr>
      <w:r>
        <w:rPr>
          <w:rFonts w:hint="eastAsia" w:ascii="仿宋" w:hAnsi="仿宋" w:eastAsia="仿宋" w:cs="Arial"/>
          <w:b/>
          <w:color w:val="auto"/>
          <w:kern w:val="0"/>
          <w:sz w:val="24"/>
          <w:szCs w:val="20"/>
          <w:highlight w:val="none"/>
        </w:rPr>
        <w:t>1.5.3“采购组织机构”：</w:t>
      </w:r>
      <w:r>
        <w:rPr>
          <w:rFonts w:hint="eastAsia" w:ascii="仿宋" w:hAnsi="仿宋" w:eastAsia="仿宋" w:cs="Arial"/>
          <w:color w:val="auto"/>
          <w:sz w:val="24"/>
          <w:szCs w:val="20"/>
          <w:highlight w:val="none"/>
        </w:rPr>
        <w:t>是</w:t>
      </w:r>
      <w:r>
        <w:rPr>
          <w:rFonts w:hint="eastAsia" w:ascii="仿宋" w:hAnsi="仿宋" w:eastAsia="仿宋" w:cs="Arial"/>
          <w:color w:val="auto"/>
          <w:kern w:val="0"/>
          <w:sz w:val="24"/>
          <w:szCs w:val="20"/>
          <w:highlight w:val="none"/>
        </w:rPr>
        <w:t>指采购人和受采购人委托的采购代理机构；</w:t>
      </w:r>
    </w:p>
    <w:p w14:paraId="446C5EBF">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1.5.4“磋商响应供应商”（或磋商供应商或供应商）：</w:t>
      </w:r>
      <w:r>
        <w:rPr>
          <w:rFonts w:hint="eastAsia" w:ascii="仿宋" w:hAnsi="仿宋" w:eastAsia="仿宋" w:cs="Arial"/>
          <w:color w:val="auto"/>
          <w:sz w:val="24"/>
          <w:szCs w:val="20"/>
          <w:highlight w:val="none"/>
        </w:rPr>
        <w:t>是</w:t>
      </w:r>
      <w:r>
        <w:rPr>
          <w:rFonts w:hint="eastAsia" w:ascii="仿宋" w:hAnsi="仿宋" w:eastAsia="仿宋" w:cs="Arial"/>
          <w:color w:val="auto"/>
          <w:kern w:val="0"/>
          <w:sz w:val="24"/>
          <w:szCs w:val="20"/>
          <w:highlight w:val="none"/>
        </w:rPr>
        <w:t>指响应采购、参加投标竞争的法人、其他组织或者自然人；</w:t>
      </w:r>
    </w:p>
    <w:p w14:paraId="00319AA9">
      <w:pPr>
        <w:autoSpaceDN w:val="0"/>
        <w:spacing w:line="360" w:lineRule="auto"/>
        <w:ind w:firstLine="426" w:firstLineChars="177"/>
        <w:rPr>
          <w:rFonts w:ascii="仿宋" w:hAnsi="仿宋" w:eastAsia="仿宋" w:cs="Arial"/>
          <w:color w:val="auto"/>
          <w:sz w:val="24"/>
          <w:szCs w:val="20"/>
          <w:highlight w:val="none"/>
        </w:rPr>
      </w:pPr>
      <w:r>
        <w:rPr>
          <w:rFonts w:hint="eastAsia" w:ascii="仿宋" w:hAnsi="仿宋" w:eastAsia="仿宋" w:cs="Arial"/>
          <w:b/>
          <w:color w:val="auto"/>
          <w:kern w:val="0"/>
          <w:sz w:val="24"/>
          <w:szCs w:val="20"/>
          <w:highlight w:val="none"/>
        </w:rPr>
        <w:t>1.5.5“磋商响应供应商代表”：</w:t>
      </w:r>
      <w:r>
        <w:rPr>
          <w:rFonts w:hint="eastAsia" w:ascii="仿宋" w:hAnsi="仿宋" w:eastAsia="仿宋" w:cs="Arial"/>
          <w:color w:val="auto"/>
          <w:sz w:val="24"/>
          <w:szCs w:val="20"/>
          <w:highlight w:val="none"/>
        </w:rPr>
        <w:t>是指参加本项目磋商活动的磋商响应供应商的法定代表人或法定代表人授权代表；</w:t>
      </w:r>
    </w:p>
    <w:p w14:paraId="2949F6E9">
      <w:pPr>
        <w:autoSpaceDN w:val="0"/>
        <w:spacing w:line="360" w:lineRule="auto"/>
        <w:ind w:firstLine="426" w:firstLineChars="177"/>
        <w:rPr>
          <w:rFonts w:ascii="仿宋" w:hAnsi="仿宋" w:eastAsia="仿宋" w:cs="Arial"/>
          <w:color w:val="auto"/>
          <w:sz w:val="24"/>
          <w:szCs w:val="20"/>
          <w:highlight w:val="none"/>
        </w:rPr>
      </w:pPr>
      <w:r>
        <w:rPr>
          <w:rFonts w:hint="eastAsia" w:ascii="仿宋" w:hAnsi="仿宋" w:eastAsia="仿宋" w:cs="Arial"/>
          <w:b/>
          <w:color w:val="auto"/>
          <w:kern w:val="0"/>
          <w:sz w:val="24"/>
          <w:szCs w:val="20"/>
          <w:highlight w:val="none"/>
        </w:rPr>
        <w:t>1.5.6“</w:t>
      </w:r>
      <w:r>
        <w:rPr>
          <w:rFonts w:hint="eastAsia" w:ascii="仿宋" w:hAnsi="仿宋" w:eastAsia="仿宋" w:cs="Arial"/>
          <w:b/>
          <w:color w:val="auto"/>
          <w:sz w:val="24"/>
          <w:szCs w:val="20"/>
          <w:highlight w:val="none"/>
        </w:rPr>
        <w:t>磋商联合体</w:t>
      </w:r>
      <w:r>
        <w:rPr>
          <w:rFonts w:hint="eastAsia" w:ascii="仿宋" w:hAnsi="仿宋" w:eastAsia="仿宋" w:cs="Arial"/>
          <w:b/>
          <w:color w:val="auto"/>
          <w:kern w:val="0"/>
          <w:sz w:val="24"/>
          <w:szCs w:val="20"/>
          <w:highlight w:val="none"/>
        </w:rPr>
        <w:t>”</w:t>
      </w:r>
      <w:r>
        <w:rPr>
          <w:rFonts w:hint="eastAsia" w:ascii="仿宋" w:hAnsi="仿宋" w:eastAsia="仿宋" w:cs="Arial"/>
          <w:b/>
          <w:color w:val="auto"/>
          <w:sz w:val="24"/>
          <w:szCs w:val="20"/>
          <w:highlight w:val="none"/>
        </w:rPr>
        <w:t>：</w:t>
      </w:r>
      <w:r>
        <w:rPr>
          <w:rFonts w:hint="eastAsia" w:ascii="仿宋" w:hAnsi="仿宋" w:eastAsia="仿宋" w:cs="Arial"/>
          <w:color w:val="auto"/>
          <w:sz w:val="24"/>
          <w:szCs w:val="20"/>
          <w:highlight w:val="none"/>
        </w:rPr>
        <w:t>是指两个或以上供应商组成联合体，以一个磋商响应供应商的身份参加磋商响应；</w:t>
      </w:r>
    </w:p>
    <w:p w14:paraId="75F9363F">
      <w:pPr>
        <w:autoSpaceDN w:val="0"/>
        <w:spacing w:line="360" w:lineRule="auto"/>
        <w:ind w:firstLine="426" w:firstLineChars="177"/>
        <w:rPr>
          <w:rFonts w:ascii="仿宋" w:hAnsi="仿宋" w:eastAsia="仿宋" w:cs="Arial"/>
          <w:color w:val="auto"/>
          <w:sz w:val="24"/>
          <w:szCs w:val="20"/>
          <w:highlight w:val="none"/>
        </w:rPr>
      </w:pPr>
      <w:r>
        <w:rPr>
          <w:rFonts w:hint="eastAsia" w:ascii="仿宋" w:hAnsi="仿宋" w:eastAsia="仿宋" w:cs="Arial"/>
          <w:b/>
          <w:color w:val="auto"/>
          <w:kern w:val="0"/>
          <w:sz w:val="24"/>
          <w:szCs w:val="20"/>
          <w:highlight w:val="none"/>
        </w:rPr>
        <w:t>1.5.7“成交供应商”（或中标供应商）：</w:t>
      </w:r>
      <w:r>
        <w:rPr>
          <w:rFonts w:hint="eastAsia" w:ascii="仿宋" w:hAnsi="仿宋" w:eastAsia="仿宋" w:cs="Arial"/>
          <w:color w:val="auto"/>
          <w:kern w:val="0"/>
          <w:sz w:val="24"/>
          <w:szCs w:val="20"/>
          <w:highlight w:val="none"/>
        </w:rPr>
        <w:t>是指经磋商小组推荐并经采购人确认的成交单位，</w:t>
      </w:r>
      <w:r>
        <w:rPr>
          <w:rFonts w:hint="eastAsia" w:ascii="仿宋" w:hAnsi="仿宋" w:eastAsia="仿宋" w:cs="Arial"/>
          <w:b/>
          <w:color w:val="auto"/>
          <w:kern w:val="0"/>
          <w:sz w:val="24"/>
          <w:szCs w:val="20"/>
          <w:highlight w:val="none"/>
        </w:rPr>
        <w:t>即政府采购合同中的“乙方”</w:t>
      </w:r>
      <w:r>
        <w:rPr>
          <w:rFonts w:hint="eastAsia" w:ascii="仿宋" w:hAnsi="仿宋" w:eastAsia="仿宋" w:cs="Arial"/>
          <w:color w:val="auto"/>
          <w:kern w:val="0"/>
          <w:sz w:val="24"/>
          <w:szCs w:val="20"/>
          <w:highlight w:val="none"/>
        </w:rPr>
        <w:t>；</w:t>
      </w:r>
    </w:p>
    <w:p w14:paraId="7FDC9352">
      <w:pPr>
        <w:autoSpaceDN w:val="0"/>
        <w:spacing w:line="360" w:lineRule="auto"/>
        <w:ind w:firstLine="426" w:firstLineChars="177"/>
        <w:rPr>
          <w:rFonts w:ascii="仿宋" w:hAnsi="仿宋" w:eastAsia="仿宋" w:cs="Arial"/>
          <w:b/>
          <w:color w:val="auto"/>
          <w:kern w:val="0"/>
          <w:sz w:val="24"/>
          <w:szCs w:val="20"/>
          <w:highlight w:val="none"/>
        </w:rPr>
      </w:pPr>
      <w:r>
        <w:rPr>
          <w:rFonts w:hint="eastAsia" w:ascii="仿宋" w:hAnsi="仿宋" w:eastAsia="仿宋" w:cs="Arial"/>
          <w:b/>
          <w:color w:val="auto"/>
          <w:kern w:val="0"/>
          <w:sz w:val="24"/>
          <w:szCs w:val="20"/>
          <w:highlight w:val="none"/>
        </w:rPr>
        <w:t>1.5.8“同级政府采购监督管理部门”：是指“</w:t>
      </w:r>
      <w:r>
        <w:rPr>
          <w:rFonts w:hint="eastAsia" w:ascii="仿宋" w:hAnsi="仿宋" w:eastAsia="仿宋" w:cs="Arial"/>
          <w:b/>
          <w:color w:val="auto"/>
          <w:kern w:val="0"/>
          <w:sz w:val="24"/>
          <w:szCs w:val="20"/>
          <w:highlight w:val="none"/>
          <w:u w:val="single"/>
        </w:rPr>
        <w:t>浙江省财政厅政府采购监管处</w:t>
      </w:r>
      <w:r>
        <w:rPr>
          <w:rFonts w:hint="eastAsia" w:ascii="仿宋" w:hAnsi="仿宋" w:eastAsia="仿宋" w:cs="Arial"/>
          <w:b/>
          <w:color w:val="auto"/>
          <w:kern w:val="0"/>
          <w:sz w:val="24"/>
          <w:szCs w:val="20"/>
          <w:highlight w:val="none"/>
        </w:rPr>
        <w:t>”；</w:t>
      </w:r>
    </w:p>
    <w:p w14:paraId="2E61228F">
      <w:pPr>
        <w:autoSpaceDN w:val="0"/>
        <w:spacing w:line="360" w:lineRule="auto"/>
        <w:ind w:firstLine="426" w:firstLineChars="177"/>
        <w:rPr>
          <w:rFonts w:ascii="仿宋" w:hAnsi="仿宋" w:eastAsia="仿宋" w:cs="Arial"/>
          <w:color w:val="auto"/>
          <w:sz w:val="24"/>
          <w:szCs w:val="20"/>
          <w:highlight w:val="none"/>
        </w:rPr>
      </w:pPr>
      <w:r>
        <w:rPr>
          <w:rFonts w:hint="eastAsia" w:ascii="仿宋" w:hAnsi="仿宋" w:eastAsia="仿宋" w:cs="Arial"/>
          <w:b/>
          <w:bCs/>
          <w:color w:val="auto"/>
          <w:sz w:val="24"/>
          <w:szCs w:val="20"/>
          <w:highlight w:val="none"/>
        </w:rPr>
        <w:t>1.5.9“中小企业（含中型、小型、微型）”：</w:t>
      </w:r>
      <w:r>
        <w:rPr>
          <w:rFonts w:hint="eastAsia" w:ascii="仿宋" w:hAnsi="仿宋" w:eastAsia="仿宋" w:cs="Arial"/>
          <w:color w:val="auto"/>
          <w:sz w:val="24"/>
          <w:szCs w:val="20"/>
          <w:highlight w:val="none"/>
        </w:rPr>
        <w:t>是指在中华人民共和国境内依法设立，依据国务院批准的中小企业划分标准（工信部联企业[2011]300号）确定的中型企业、小型企业和微型企业，但与大企业的负责人为同一人，或者与大企业存在直接控股、管理关系的除外。</w:t>
      </w:r>
    </w:p>
    <w:p w14:paraId="52D5C2DF">
      <w:pPr>
        <w:autoSpaceDN w:val="0"/>
        <w:spacing w:line="360" w:lineRule="auto"/>
        <w:ind w:firstLine="424" w:firstLineChars="177"/>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符合中小企业划分标准的个体工商户，在政府采购活动中视同中小企业。</w:t>
      </w:r>
    </w:p>
    <w:p w14:paraId="5A47A5E1">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1.5.10“监狱企业”：</w:t>
      </w:r>
      <w:r>
        <w:rPr>
          <w:rFonts w:hint="eastAsia" w:ascii="仿宋" w:hAnsi="仿宋" w:eastAsia="仿宋" w:cs="Arial"/>
          <w:color w:val="auto"/>
          <w:kern w:val="0"/>
          <w:sz w:val="24"/>
          <w:szCs w:val="20"/>
          <w:highlight w:val="none"/>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A3D7942">
      <w:pPr>
        <w:autoSpaceDN w:val="0"/>
        <w:spacing w:line="360" w:lineRule="auto"/>
        <w:ind w:firstLine="426" w:firstLineChars="177"/>
        <w:rPr>
          <w:rFonts w:ascii="仿宋" w:hAnsi="仿宋" w:eastAsia="仿宋" w:cs="Arial"/>
          <w:color w:val="auto"/>
          <w:sz w:val="24"/>
          <w:szCs w:val="20"/>
          <w:highlight w:val="none"/>
        </w:rPr>
      </w:pPr>
      <w:r>
        <w:rPr>
          <w:rFonts w:hint="eastAsia" w:ascii="仿宋" w:hAnsi="仿宋" w:eastAsia="仿宋" w:cs="Arial"/>
          <w:b/>
          <w:color w:val="auto"/>
          <w:kern w:val="0"/>
          <w:sz w:val="24"/>
          <w:szCs w:val="20"/>
          <w:highlight w:val="none"/>
        </w:rPr>
        <w:t>1.5.11“残疾人福利性单位”：</w:t>
      </w:r>
      <w:r>
        <w:rPr>
          <w:rFonts w:hint="eastAsia" w:ascii="仿宋" w:hAnsi="仿宋" w:eastAsia="仿宋" w:cs="Arial"/>
          <w:color w:val="auto"/>
          <w:kern w:val="0"/>
          <w:sz w:val="24"/>
          <w:szCs w:val="20"/>
          <w:highlight w:val="none"/>
        </w:rPr>
        <w:t>是指符合《财政部 民政部 中国残疾人联合会关于促进残疾人就业政府采购政策的通知》（财库〔2017〕141号）的规定单位；</w:t>
      </w:r>
    </w:p>
    <w:p w14:paraId="2B2C82BD">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1.5.12“项目”：</w:t>
      </w:r>
      <w:r>
        <w:rPr>
          <w:rFonts w:hint="eastAsia" w:ascii="仿宋" w:hAnsi="仿宋" w:eastAsia="仿宋" w:cs="Arial"/>
          <w:color w:val="auto"/>
          <w:kern w:val="0"/>
          <w:sz w:val="24"/>
          <w:szCs w:val="20"/>
          <w:highlight w:val="none"/>
        </w:rPr>
        <w:t>是指磋商响应供应商按竞争性磋商文件规定向采购人提供的货物或服务或工程；</w:t>
      </w:r>
    </w:p>
    <w:p w14:paraId="32E4612B">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1.5.13“书面形式”：</w:t>
      </w:r>
      <w:r>
        <w:rPr>
          <w:rFonts w:hint="eastAsia" w:ascii="仿宋" w:hAnsi="仿宋" w:eastAsia="仿宋" w:cs="Arial"/>
          <w:color w:val="auto"/>
          <w:kern w:val="0"/>
          <w:sz w:val="24"/>
          <w:szCs w:val="20"/>
          <w:highlight w:val="none"/>
        </w:rPr>
        <w:t>是指加盖有单位公章的信函、传真、电子扫描件等；</w:t>
      </w:r>
    </w:p>
    <w:p w14:paraId="670F0D92">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1.5.14“个人有效身份证明”：</w:t>
      </w:r>
      <w:r>
        <w:rPr>
          <w:rFonts w:hint="eastAsia" w:ascii="仿宋" w:hAnsi="仿宋" w:eastAsia="仿宋" w:cs="Arial"/>
          <w:color w:val="auto"/>
          <w:kern w:val="0"/>
          <w:sz w:val="24"/>
          <w:szCs w:val="20"/>
          <w:highlight w:val="none"/>
        </w:rPr>
        <w:t>是指有效的居民身份证、临时居民身份证、护照、驾驶证等，有期限规定的证件在有效期内方为有效；</w:t>
      </w:r>
    </w:p>
    <w:p w14:paraId="787A4EB9">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1.5.15“制造商”：</w:t>
      </w:r>
      <w:r>
        <w:rPr>
          <w:rFonts w:hint="eastAsia" w:ascii="仿宋" w:hAnsi="仿宋" w:eastAsia="仿宋" w:cs="Arial"/>
          <w:color w:val="auto"/>
          <w:kern w:val="0"/>
          <w:sz w:val="24"/>
          <w:szCs w:val="20"/>
          <w:highlight w:val="none"/>
        </w:rPr>
        <w:t>是指拥有投标产品自主知识产权的单位；</w:t>
      </w:r>
    </w:p>
    <w:p w14:paraId="70A95B86">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1.5.16“竞争性磋商文件（或磋商文件或采购文件）”：</w:t>
      </w:r>
      <w:r>
        <w:rPr>
          <w:rFonts w:hint="eastAsia" w:ascii="仿宋" w:hAnsi="仿宋" w:eastAsia="仿宋" w:cs="Arial"/>
          <w:color w:val="auto"/>
          <w:kern w:val="0"/>
          <w:sz w:val="24"/>
          <w:szCs w:val="20"/>
          <w:highlight w:val="none"/>
        </w:rPr>
        <w:t>是指本文件；</w:t>
      </w:r>
    </w:p>
    <w:p w14:paraId="3844D0B5">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1.5.17“进口产品”：</w:t>
      </w:r>
      <w:r>
        <w:rPr>
          <w:rFonts w:hint="eastAsia" w:ascii="仿宋" w:hAnsi="仿宋" w:eastAsia="仿宋" w:cs="Arial"/>
          <w:color w:val="auto"/>
          <w:kern w:val="0"/>
          <w:sz w:val="24"/>
          <w:szCs w:val="20"/>
          <w:highlight w:val="none"/>
        </w:rPr>
        <w:t>是指通过中国海关报关验放进入中国境内且产自关境外的产品；</w:t>
      </w:r>
    </w:p>
    <w:p w14:paraId="64D5ACF7">
      <w:pPr>
        <w:autoSpaceDN w:val="0"/>
        <w:spacing w:line="360" w:lineRule="auto"/>
        <w:ind w:firstLine="426" w:firstLineChars="177"/>
        <w:rPr>
          <w:rFonts w:ascii="仿宋" w:hAnsi="仿宋" w:eastAsia="仿宋" w:cs="Arial"/>
          <w:b/>
          <w:color w:val="auto"/>
          <w:kern w:val="0"/>
          <w:sz w:val="24"/>
          <w:szCs w:val="20"/>
          <w:highlight w:val="none"/>
        </w:rPr>
      </w:pPr>
      <w:r>
        <w:rPr>
          <w:rFonts w:hint="eastAsia" w:ascii="仿宋" w:hAnsi="仿宋" w:eastAsia="仿宋" w:cs="Arial"/>
          <w:b/>
          <w:color w:val="auto"/>
          <w:kern w:val="0"/>
          <w:sz w:val="24"/>
          <w:szCs w:val="20"/>
          <w:highlight w:val="none"/>
        </w:rPr>
        <w:t>1.5.18“实质性条款（或要求）”：</w:t>
      </w:r>
      <w:r>
        <w:rPr>
          <w:rFonts w:hint="eastAsia" w:ascii="仿宋" w:hAnsi="仿宋" w:eastAsia="仿宋" w:cs="Arial"/>
          <w:b/>
          <w:color w:val="auto"/>
          <w:kern w:val="0"/>
          <w:sz w:val="24"/>
          <w:szCs w:val="20"/>
          <w:highlight w:val="none"/>
          <w:u w:val="single"/>
        </w:rPr>
        <w:t>是指本文件《第四章 采购内容及</w:t>
      </w:r>
      <w:r>
        <w:rPr>
          <w:rFonts w:hint="eastAsia" w:ascii="仿宋" w:hAnsi="仿宋" w:eastAsia="仿宋" w:cs="Arial"/>
          <w:b/>
          <w:color w:val="auto"/>
          <w:kern w:val="0"/>
          <w:sz w:val="24"/>
          <w:szCs w:val="20"/>
          <w:highlight w:val="none"/>
          <w:u w:val="single"/>
          <w:lang w:val="en-US" w:eastAsia="zh-CN"/>
        </w:rPr>
        <w:t>需求</w:t>
      </w:r>
      <w:r>
        <w:rPr>
          <w:rFonts w:hint="eastAsia" w:ascii="仿宋" w:hAnsi="仿宋" w:eastAsia="仿宋" w:cs="Arial"/>
          <w:b/>
          <w:color w:val="auto"/>
          <w:kern w:val="0"/>
          <w:sz w:val="24"/>
          <w:szCs w:val="20"/>
          <w:highlight w:val="none"/>
          <w:u w:val="single"/>
        </w:rPr>
        <w:t>》中标注“▲”号的技术或商务条款（或要求），供应商磋商响应时应对所有“实质性条款（或要求）”作出实质性响应，且不得出现负偏离，否则磋商响应无效</w:t>
      </w:r>
      <w:r>
        <w:rPr>
          <w:rFonts w:hint="eastAsia" w:ascii="仿宋" w:hAnsi="仿宋" w:eastAsia="仿宋" w:cs="Arial"/>
          <w:b/>
          <w:color w:val="auto"/>
          <w:kern w:val="0"/>
          <w:sz w:val="24"/>
          <w:szCs w:val="20"/>
          <w:highlight w:val="none"/>
        </w:rPr>
        <w:t>；</w:t>
      </w:r>
    </w:p>
    <w:p w14:paraId="0EAED890">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1.5.19“活页装订”：</w:t>
      </w:r>
      <w:r>
        <w:rPr>
          <w:rFonts w:hint="eastAsia" w:ascii="仿宋" w:hAnsi="仿宋" w:eastAsia="仿宋" w:cs="Arial"/>
          <w:color w:val="auto"/>
          <w:kern w:val="0"/>
          <w:sz w:val="24"/>
          <w:szCs w:val="20"/>
          <w:highlight w:val="none"/>
        </w:rPr>
        <w:t>是指不借助工具的情况下就随时可以拆卸替换复原或翻阅时容易自行脱落的装订方式。</w:t>
      </w:r>
    </w:p>
    <w:p w14:paraId="3CFCBC3F">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1.5.20“重大偏离”或“保留”：</w:t>
      </w:r>
      <w:r>
        <w:rPr>
          <w:rFonts w:hint="eastAsia" w:ascii="仿宋" w:hAnsi="仿宋" w:eastAsia="仿宋" w:cs="Times New Roman"/>
          <w:color w:val="auto"/>
          <w:sz w:val="24"/>
          <w:szCs w:val="20"/>
          <w:highlight w:val="none"/>
        </w:rPr>
        <w:t>是指将会影响到磋商文件规定的服务范围、质量标准，或会给合同中规定的采购人的权利和磋商响应供应商的责任造成实质性限制，而纠正这些偏离或保留将对其他递交了实质性响应的磋商响应文件的磋商响应供应商产生不公平影响的。</w:t>
      </w:r>
    </w:p>
    <w:p w14:paraId="64ADAEF9">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Times New Roman"/>
          <w:b/>
          <w:color w:val="auto"/>
          <w:sz w:val="24"/>
          <w:szCs w:val="20"/>
          <w:highlight w:val="none"/>
        </w:rPr>
        <w:t>1.5.21“细微偏离”</w:t>
      </w:r>
      <w:r>
        <w:rPr>
          <w:rFonts w:hint="eastAsia" w:ascii="仿宋" w:hAnsi="仿宋" w:eastAsia="仿宋" w:cs="Times New Roman"/>
          <w:color w:val="auto"/>
          <w:sz w:val="24"/>
          <w:szCs w:val="20"/>
          <w:highlight w:val="none"/>
        </w:rPr>
        <w:t>：是指磋商响应文件对磋商文件的非实质性内容存在不完全响应或不响应。</w:t>
      </w:r>
    </w:p>
    <w:p w14:paraId="5440BC9E">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1.6 投标委托</w:t>
      </w:r>
    </w:p>
    <w:p w14:paraId="685F0D01">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kern w:val="0"/>
          <w:sz w:val="24"/>
          <w:szCs w:val="20"/>
          <w:highlight w:val="none"/>
        </w:rPr>
        <w:t>磋商响应供应商的法定代表人可以授权其单位的其他在职员工全权代表其处理与本次磋商有关的事项，但其授权代表必须持有法定代表人出具的《法定代表人授权委托书》（格式见第六章响应文件格式），《法定代表人授权委托书》</w:t>
      </w:r>
      <w:r>
        <w:rPr>
          <w:rFonts w:hint="eastAsia" w:ascii="仿宋" w:hAnsi="仿宋" w:eastAsia="仿宋" w:cs="Times New Roman"/>
          <w:b/>
          <w:color w:val="auto"/>
          <w:sz w:val="24"/>
          <w:szCs w:val="20"/>
          <w:highlight w:val="none"/>
        </w:rPr>
        <w:t>必须经法定代表人签字（或盖章），否则视为无效授权（等同未提供）。</w:t>
      </w:r>
    </w:p>
    <w:p w14:paraId="7F21BA41">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1.7.1是否接受联合体磋商响应：</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33A83167">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1.7.2《磋商须知前附表》规定接受联合体磋商的，参加磋商的联合体应遵守以下规定：</w:t>
      </w:r>
    </w:p>
    <w:p w14:paraId="255E236F">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（1）两个或以上供应商可以组成一个联合体，以一个磋商响应供应商的身份共同参加磋商；</w:t>
      </w:r>
    </w:p>
    <w:p w14:paraId="0F8383B3">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（2）两个或以上供应商组成联合体参加本项目磋商响应的，在登记获取竞争性磋商文件时应予以说明备注，并在资格文件中递交《联合投标协议书》，未递交《联合投标协议书》的联合体无效；</w:t>
      </w:r>
    </w:p>
    <w:p w14:paraId="50FD3B34">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以联合体形式参加本项目磋商的，联合体的各成员均应当具备《中华人民共和国政府采购法》第二十二条规定的条件，联合体各方中至少应当有一方符合采购人规定的特定条件，联合体中有同类资质（以及荣誉、等级证书等资信内容）的供应商按照联合体分工承担相同工作的，按照资质等级较低的供应商确定资质（以及荣誉、等级证书等资信内容）等级；</w:t>
      </w:r>
    </w:p>
    <w:p w14:paraId="3A415CE5">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4）联合体各方之间须签订《联合投标协议书》，明确约定联合体各方承担的工作和相应的责任，在《联合投标协议书》中指定本项目主办人，并将《联合投标协议书》作为磋商响应文件组成的一部分；本项目的主体、关键性工作须由主办人完成，并在《联合投标协议书》中进行说明；</w:t>
      </w:r>
    </w:p>
    <w:p w14:paraId="45DCCC24">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（5）联合体各方签订《联合投标协议书》后，不得再以自己名义单独在本项目中参加磋商，也不得组成新的联合体参加本项目磋商；</w:t>
      </w:r>
    </w:p>
    <w:p w14:paraId="3ED057BE">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（6）联合体各方共同与采购人签订采购合同，就采购合同约定的事项对采购人承担连带责任；</w:t>
      </w:r>
    </w:p>
    <w:p w14:paraId="4FC611AA">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（7）联合体磋商响应文件应由主办人按规定进行签章；</w:t>
      </w:r>
    </w:p>
    <w:p w14:paraId="65D02C9E">
      <w:pPr>
        <w:autoSpaceDN w:val="0"/>
        <w:spacing w:line="360" w:lineRule="auto"/>
        <w:ind w:firstLine="424" w:firstLineChars="177"/>
        <w:rPr>
          <w:rFonts w:hint="eastAsia"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（8）采购代理服务费可由主办人一方缴纳，也可以由联合体各方共同缴纳（具体缴纳金额须在《联合投标协议书》中明确）。</w:t>
      </w:r>
    </w:p>
    <w:p w14:paraId="7F74D027">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lang w:eastAsia="zh-CN"/>
        </w:rPr>
        <w:t>（</w:t>
      </w:r>
      <w:r>
        <w:rPr>
          <w:rFonts w:hint="eastAsia" w:ascii="仿宋" w:hAnsi="仿宋" w:eastAsia="仿宋" w:cs="Times New Roman"/>
          <w:color w:val="auto"/>
          <w:kern w:val="0"/>
          <w:sz w:val="24"/>
          <w:szCs w:val="20"/>
          <w:highlight w:val="none"/>
          <w:lang w:val="en-US" w:eastAsia="zh-CN"/>
        </w:rPr>
        <w:t>9</w:t>
      </w:r>
      <w:r>
        <w:rPr>
          <w:rFonts w:hint="eastAsia" w:ascii="仿宋" w:hAnsi="仿宋" w:eastAsia="仿宋" w:cs="Times New Roman"/>
          <w:color w:val="auto"/>
          <w:kern w:val="0"/>
          <w:sz w:val="24"/>
          <w:szCs w:val="20"/>
          <w:highlight w:val="none"/>
          <w:lang w:eastAsia="zh-CN"/>
        </w:rPr>
        <w:t>）</w:t>
      </w:r>
      <w:r>
        <w:rPr>
          <w:rFonts w:hint="eastAsia" w:ascii="仿宋" w:hAnsi="仿宋" w:eastAsia="仿宋" w:cs="Times New Roman"/>
          <w:color w:val="auto"/>
          <w:kern w:val="0"/>
          <w:sz w:val="24"/>
          <w:szCs w:val="20"/>
          <w:highlight w:val="none"/>
        </w:rPr>
        <w:t>以联合体形式参加本项目磋商并成交的，合同款项支付给主办人，然后由主办人根据联合体内部的协议和分工，将款项分配给其他成员单位。</w:t>
      </w:r>
    </w:p>
    <w:p w14:paraId="147894C4">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1.8 进口产品磋商响应</w:t>
      </w:r>
    </w:p>
    <w:p w14:paraId="460D43BA">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1.8.1是否允许进口产品磋商响应：</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097097BD">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1.8.2</w:t>
      </w:r>
      <w:r>
        <w:rPr>
          <w:rFonts w:hint="eastAsia" w:ascii="仿宋" w:hAnsi="仿宋" w:eastAsia="仿宋" w:cs="Times New Roman"/>
          <w:b/>
          <w:color w:val="auto"/>
          <w:kern w:val="0"/>
          <w:sz w:val="24"/>
          <w:szCs w:val="20"/>
          <w:highlight w:val="none"/>
          <w:u w:val="single"/>
        </w:rPr>
        <w:t>《磋商须知前附表》未标明允许进口产品磋商的合同项（标项）一律拒绝“进口产品”参加磋商响应。“进口产品”系指通过中国海关报关验放进入中国境内且产自关境外的产品，“国外品牌产品”不等于“进口产品”</w:t>
      </w:r>
      <w:r>
        <w:rPr>
          <w:rFonts w:hint="eastAsia" w:ascii="仿宋" w:hAnsi="仿宋" w:eastAsia="仿宋" w:cs="Times New Roman"/>
          <w:b/>
          <w:color w:val="auto"/>
          <w:kern w:val="0"/>
          <w:sz w:val="24"/>
          <w:szCs w:val="20"/>
          <w:highlight w:val="none"/>
        </w:rPr>
        <w:t>。</w:t>
      </w:r>
    </w:p>
    <w:p w14:paraId="193CB5E9">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1.9 磋商费用</w:t>
      </w:r>
    </w:p>
    <w:p w14:paraId="08DA0FB9">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1.9.1不论磋商结果如何，磋商响应供应商均应自行承担所有与投标有关的全部费用，采购组织机构概不负责；</w:t>
      </w:r>
    </w:p>
    <w:p w14:paraId="612CD491">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1.9.2合同实施过程中，成交供应商须与采购人积极配合。成交供应商自行承担本次采购活动中所发生的全部费用。</w:t>
      </w:r>
    </w:p>
    <w:p w14:paraId="2147045C">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1.10 语言文字及计量单位</w:t>
      </w:r>
    </w:p>
    <w:p w14:paraId="11F9A6CB">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1.10.1语言文字：</w:t>
      </w:r>
      <w:r>
        <w:rPr>
          <w:rFonts w:hint="eastAsia" w:ascii="仿宋" w:hAnsi="仿宋" w:eastAsia="仿宋" w:cs="Times New Roman"/>
          <w:color w:val="auto"/>
          <w:kern w:val="0"/>
          <w:sz w:val="24"/>
          <w:szCs w:val="20"/>
          <w:highlight w:val="none"/>
        </w:rPr>
        <w:t>除专业术语、签名、盖章、名称等特殊情形外，与本次采购工作有关的所有材料、来往函电语言均应使用中文，专业术语、名称应附有中文注释。</w:t>
      </w:r>
      <w:r>
        <w:rPr>
          <w:rFonts w:hint="eastAsia" w:ascii="仿宋" w:hAnsi="仿宋" w:eastAsia="仿宋" w:cs="Times New Roman"/>
          <w:b/>
          <w:color w:val="auto"/>
          <w:kern w:val="0"/>
          <w:sz w:val="24"/>
          <w:szCs w:val="20"/>
          <w:highlight w:val="none"/>
        </w:rPr>
        <w:t>仅以中文以外的文字表述的材料视同未提供。</w:t>
      </w:r>
    </w:p>
    <w:p w14:paraId="5CFD017E">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1.10.2计量单位：</w:t>
      </w:r>
      <w:r>
        <w:rPr>
          <w:rFonts w:hint="eastAsia" w:ascii="仿宋" w:hAnsi="仿宋" w:eastAsia="仿宋" w:cs="Times New Roman"/>
          <w:color w:val="auto"/>
          <w:kern w:val="0"/>
          <w:sz w:val="24"/>
          <w:szCs w:val="20"/>
          <w:highlight w:val="none"/>
        </w:rPr>
        <w:t>竞争性磋商文件已有明确规定的，使用竞争性磋商文件规定的计量单位；</w:t>
      </w:r>
      <w:r>
        <w:rPr>
          <w:rFonts w:hint="eastAsia" w:ascii="仿宋" w:hAnsi="仿宋" w:eastAsia="仿宋" w:cs="Times New Roman"/>
          <w:b/>
          <w:color w:val="auto"/>
          <w:kern w:val="0"/>
          <w:sz w:val="24"/>
          <w:szCs w:val="20"/>
          <w:highlight w:val="none"/>
        </w:rPr>
        <w:t>竞争性磋商文件没有规定的，应采用中华人民共和国法定计量单位，否则视同未响应。</w:t>
      </w:r>
    </w:p>
    <w:p w14:paraId="219153D6">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1.11 现场勘查</w:t>
      </w:r>
    </w:p>
    <w:p w14:paraId="1B450A88">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1.11.1现场勘查时间、地点、联系人：</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7EEF7BF8">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1.11.2《磋商须知前附表》规定组织统一现场勘查的，采购人将按《磋商须知前附表》规定的时间统一开放现场场地以便供应商进行现场勘查，此外其他任何时间采购人不再统一安排供应商进行现场勘查工作（特殊情形除外）；</w:t>
      </w:r>
    </w:p>
    <w:p w14:paraId="28462E72">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1.11.3供应商应自行前往规定的地点参加现场勘查，因参加现场勘查而发生的所有费用由供应商自行承担；</w:t>
      </w:r>
    </w:p>
    <w:p w14:paraId="4068644E">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1.11.4现场勘查过程中，供应商应注意勘查安全，除采购人的原因外，供应商在踏勘现场中所发生的人员伤亡和财产损失由供应商自行承担；</w:t>
      </w:r>
    </w:p>
    <w:p w14:paraId="357F70BB">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1.11.5采购人在现场勘查中介绍的场地和相关的周边环境情况，仅供供应商在编制磋商响应文件时参考，采购人不对供应商据此作出的判断和决策负责。</w:t>
      </w:r>
    </w:p>
    <w:p w14:paraId="008EF411">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1.12 标前答疑会</w:t>
      </w:r>
    </w:p>
    <w:p w14:paraId="45DDA26E">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1.12.1标前答疑会时间、地点：</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14:paraId="7A384200">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1.12.2前附表规定召开标前答疑会的，采购组织机构按《磋商须知前附表》规定的时间和地点召开标前答疑会，澄清供应商提出的问题；</w:t>
      </w:r>
    </w:p>
    <w:p w14:paraId="387E356D">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1.12.3供应商应在答疑会时间的2日前，以书面形式将需要提出的问题送达采购组织机构，以便采购组织机构在会议期间澄清；</w:t>
      </w:r>
    </w:p>
    <w:p w14:paraId="7279C994">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1.12.4不召开标前答疑会或标前答疑会完成后的其他时间，采购组织机构将按本章第3.2款“竞争性磋商文件的提疑”、第3.3款“竞争性磋商文件的澄清、修改（更正）”相关规定对供应商所提问题进行澄清答复。</w:t>
      </w:r>
    </w:p>
    <w:p w14:paraId="2247E325">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1.13 关联供应商投标限制</w:t>
      </w:r>
    </w:p>
    <w:p w14:paraId="3A7897F6">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本竞争性磋商文件所称“关联企业”，是指存在关联关系的企业；“关联关系”的界定适用《中华人民共和国公司法》217条之规定。</w:t>
      </w:r>
    </w:p>
    <w:p w14:paraId="695EA03F">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1.13.1单位负责人为同一人或者存在直接控股、管理关系的不同供应商参加同一合同项下的政府采购活动的，相关磋商响应供应商均作资格无效处理。</w:t>
      </w:r>
    </w:p>
    <w:p w14:paraId="6357AA33">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1.13.2不同供应商之间存在以下利害关系并且存在影响政府采购公平竞争行为的，不得参加同一合同项下的政府采购活动，相关磋商响应供应商的磋商响应均作无效处理：</w:t>
      </w:r>
    </w:p>
    <w:p w14:paraId="286AEC69">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（1）法定代表人或负责人或实际控制人是夫妻关系；</w:t>
      </w:r>
    </w:p>
    <w:p w14:paraId="35BAA3EC">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（2）法定代表人或负责人或实际控制人是直系血亲关系；</w:t>
      </w:r>
    </w:p>
    <w:p w14:paraId="2EBE7299">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（3）法定代表人或负责人或实际控制人存在三代以内旁系血亲关系；</w:t>
      </w:r>
    </w:p>
    <w:p w14:paraId="61BBED93">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（4）法定代表人或负责人或实际控制人存在近姻亲关系；</w:t>
      </w:r>
    </w:p>
    <w:p w14:paraId="0AA39F49">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（5）法定代表人或负责人或实际控制人存在股份控制或实际控制关系；</w:t>
      </w:r>
    </w:p>
    <w:p w14:paraId="3AE1A0EC">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（6）存在共同直接或间接投资设立子公司、联营企业和合营企业情况；</w:t>
      </w:r>
    </w:p>
    <w:p w14:paraId="068F7E2E">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（7）存在分级代理或代销关系、同一生产制造商关系、管理关系、重要业务（占主营业务收入50%以上）或重要财务往来关系（如融资）等其他实质性控制关系。</w:t>
      </w:r>
    </w:p>
    <w:p w14:paraId="5A96842F">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1.13.3除单一来源采购项目外，为采购项目提供整体设计、规范编制或者项目管理、监理、检测等服务的供应商，不得再参加该采购项目的其他采购活动，相关磋商响应供应商的磋商响应作无效处理。</w:t>
      </w:r>
    </w:p>
    <w:p w14:paraId="324FA1D2">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1.13.4（综合评分法、单一产品采购项目适用）提供相同品牌产品且通过资格审查、符合性审查的不同磋商响应供应商参加同一合同项下磋商的，按一家磋商响应供应商计算，评审后综合得分最高的同品牌磋商响应供应商获得成交供应商推荐资格；综合得分相同时，最后报价最低的磋商响应供应商获得成交供应商推荐资格；综合得分和最后报价均相同时，商务技术分最高的磋商响应供应商获得成交供应商推荐资格；综合得分、最后报价、商务技术分均相同时，由磋商小组按少数服从多数的原则，集体决定；其他同品牌磋商响应供应商不作为成交候选供应商。</w:t>
      </w:r>
    </w:p>
    <w:p w14:paraId="15009259">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1.13.5（综合评分法、非单一产品采购项目适用）通过资格审查、符合性审查的不同磋商响应供应商参加同一合同项下磋商响应时，提供的核心产品品牌均相同的，按照第1.13.4款处理；本项目核心产品内容见《磋商须知前附表》。</w:t>
      </w:r>
    </w:p>
    <w:p w14:paraId="76C30BC6">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1.14 特殊供应商投标规定</w:t>
      </w:r>
    </w:p>
    <w:p w14:paraId="0A9C290E">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Arial"/>
          <w:b/>
          <w:color w:val="auto"/>
          <w:sz w:val="24"/>
          <w:szCs w:val="20"/>
          <w:highlight w:val="none"/>
        </w:rPr>
        <w:t>根据《关于规范政府采购供应商资格设定及资格审查的通知（浙财采监【2013】24号）》第六条规定，</w:t>
      </w:r>
      <w:r>
        <w:rPr>
          <w:rFonts w:hint="eastAsia" w:ascii="仿宋" w:hAnsi="仿宋" w:eastAsia="仿宋" w:cs="Times New Roman"/>
          <w:b/>
          <w:color w:val="auto"/>
          <w:kern w:val="0"/>
          <w:sz w:val="24"/>
          <w:szCs w:val="20"/>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0C52EAB4">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1.15 转包、分包</w:t>
      </w:r>
    </w:p>
    <w:p w14:paraId="73B6AF9A">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1.15.1转包：</w:t>
      </w:r>
      <w:r>
        <w:rPr>
          <w:rFonts w:hint="eastAsia" w:ascii="仿宋" w:hAnsi="仿宋" w:eastAsia="仿宋" w:cs="Times New Roman"/>
          <w:b/>
          <w:color w:val="auto"/>
          <w:kern w:val="0"/>
          <w:sz w:val="24"/>
          <w:szCs w:val="20"/>
          <w:highlight w:val="none"/>
          <w:u w:val="single"/>
        </w:rPr>
        <w:t>不允许</w:t>
      </w:r>
      <w:r>
        <w:rPr>
          <w:rFonts w:hint="eastAsia" w:ascii="仿宋" w:hAnsi="仿宋" w:eastAsia="仿宋" w:cs="Times New Roman"/>
          <w:b/>
          <w:color w:val="auto"/>
          <w:kern w:val="0"/>
          <w:sz w:val="24"/>
          <w:szCs w:val="20"/>
          <w:highlight w:val="none"/>
        </w:rPr>
        <w:t>；</w:t>
      </w:r>
    </w:p>
    <w:p w14:paraId="44C097DB">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1.15.2分包：</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6505BFF3">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1.15.3《磋商须知前附表》中声明允许分包的，磋商响应供应商可以根据竞争性磋商文件的规定和采购项目的实际情况进行分包。</w:t>
      </w:r>
      <w:r>
        <w:rPr>
          <w:rFonts w:hint="eastAsia" w:ascii="仿宋" w:hAnsi="仿宋" w:eastAsia="仿宋" w:cs="Times New Roman"/>
          <w:b/>
          <w:color w:val="auto"/>
          <w:kern w:val="0"/>
          <w:sz w:val="24"/>
          <w:szCs w:val="20"/>
          <w:highlight w:val="none"/>
          <w:u w:val="single"/>
        </w:rPr>
        <w:t>磋商响应供应商根据竞争性磋商文件的规定和采购项目的实际情况，拟在成交后将成交项目的非主体、非关键性工作分包的，应当在磋商响应文件中载明分包承担主体，分包承担主体应当具备相应资质条件且不得再次分包。</w:t>
      </w:r>
      <w:r>
        <w:rPr>
          <w:rFonts w:hint="eastAsia" w:ascii="仿宋" w:hAnsi="仿宋" w:eastAsia="仿宋" w:cs="Times New Roman"/>
          <w:color w:val="auto"/>
          <w:kern w:val="0"/>
          <w:sz w:val="24"/>
          <w:szCs w:val="20"/>
          <w:highlight w:val="none"/>
        </w:rPr>
        <w:t>政府采购合同分包履行的，中标/成交供应商就采购项目和分包项目向采购人负责，分包供应商就分包项目承担责任。</w:t>
      </w:r>
    </w:p>
    <w:p w14:paraId="05922681">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1.16 供应商询问、质疑和投诉</w:t>
      </w:r>
    </w:p>
    <w:p w14:paraId="6241E04F">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1.16.1询问：</w:t>
      </w:r>
      <w:r>
        <w:rPr>
          <w:rFonts w:hint="eastAsia" w:ascii="仿宋" w:hAnsi="仿宋" w:eastAsia="仿宋" w:cs="Times New Roman"/>
          <w:color w:val="auto"/>
          <w:kern w:val="0"/>
          <w:sz w:val="24"/>
          <w:szCs w:val="20"/>
          <w:highlight w:val="none"/>
        </w:rPr>
        <w:t>在采购活动中供应商可以就某一事项向采购组织机构发出“询问”，采购组织机构将在收到供应商“询问”后三个工作日内予以答复，但规定不予答复的内容除外。</w:t>
      </w:r>
    </w:p>
    <w:p w14:paraId="1E409718">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1.16.2质疑：供应商认为竞争性磋商文件、采购过程和采购结果使自己的合法权益受到损害的，应当在知道或者应知其权益受到损害之日起七个工作日内，以书面形式一次性向采购人、采购代理机构提出质疑。</w:t>
      </w:r>
    </w:p>
    <w:p w14:paraId="202117EB">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1.16.2.1上述所指“供应商应知其权益受到损害之日”，是指：</w:t>
      </w:r>
    </w:p>
    <w:p w14:paraId="2B0FB4C1">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w:t>
      </w:r>
      <w:r>
        <w:rPr>
          <w:rFonts w:hint="eastAsia" w:ascii="仿宋" w:hAnsi="仿宋" w:eastAsia="仿宋" w:cs="Times New Roman"/>
          <w:color w:val="auto"/>
          <w:kern w:val="0"/>
          <w:sz w:val="24"/>
          <w:szCs w:val="20"/>
          <w:highlight w:val="none"/>
          <w:u w:val="single"/>
        </w:rPr>
        <w:t>对</w:t>
      </w:r>
      <w:r>
        <w:rPr>
          <w:rFonts w:hint="eastAsia" w:ascii="仿宋" w:hAnsi="仿宋" w:eastAsia="仿宋" w:cs="Times New Roman"/>
          <w:color w:val="auto"/>
          <w:sz w:val="24"/>
          <w:szCs w:val="20"/>
          <w:highlight w:val="none"/>
          <w:u w:val="single"/>
        </w:rPr>
        <w:t>竞争性磋商文件</w:t>
      </w:r>
      <w:r>
        <w:rPr>
          <w:rFonts w:hint="eastAsia" w:ascii="仿宋" w:hAnsi="仿宋" w:eastAsia="仿宋" w:cs="Times New Roman"/>
          <w:color w:val="auto"/>
          <w:kern w:val="0"/>
          <w:sz w:val="24"/>
          <w:szCs w:val="20"/>
          <w:highlight w:val="none"/>
          <w:u w:val="single"/>
        </w:rPr>
        <w:t>提出质疑的，</w:t>
      </w:r>
      <w:r>
        <w:rPr>
          <w:rFonts w:hint="eastAsia" w:ascii="仿宋" w:hAnsi="仿宋" w:eastAsia="仿宋" w:cs="Times New Roman"/>
          <w:color w:val="auto"/>
          <w:sz w:val="24"/>
          <w:szCs w:val="20"/>
          <w:highlight w:val="none"/>
          <w:u w:val="single"/>
        </w:rPr>
        <w:t>为获取竞争性磋商文件之日或者竞争性磋商文件公告期限届满之日（竞争性磋商文件公告期限届满后获取竞争性磋商文件的，以竞争性磋商文件公告期限届满之日为准），</w:t>
      </w:r>
      <w:r>
        <w:rPr>
          <w:rFonts w:hint="eastAsia" w:ascii="仿宋" w:hAnsi="仿宋" w:eastAsia="仿宋" w:cs="Times New Roman"/>
          <w:b/>
          <w:bCs/>
          <w:color w:val="auto"/>
          <w:sz w:val="24"/>
          <w:szCs w:val="20"/>
          <w:highlight w:val="none"/>
          <w:u w:val="single"/>
        </w:rPr>
        <w:t>但</w:t>
      </w:r>
      <w:r>
        <w:rPr>
          <w:rFonts w:hint="eastAsia" w:ascii="仿宋" w:hAnsi="仿宋" w:eastAsia="仿宋" w:cs="Times New Roman"/>
          <w:b/>
          <w:color w:val="auto"/>
          <w:kern w:val="0"/>
          <w:sz w:val="24"/>
          <w:szCs w:val="20"/>
          <w:highlight w:val="none"/>
          <w:u w:val="single"/>
        </w:rPr>
        <w:t>须在磋商响应文件提交截止时间前提出</w:t>
      </w:r>
      <w:r>
        <w:rPr>
          <w:rFonts w:hint="eastAsia" w:ascii="仿宋" w:hAnsi="仿宋" w:eastAsia="仿宋" w:cs="Times New Roman"/>
          <w:color w:val="auto"/>
          <w:kern w:val="0"/>
          <w:sz w:val="24"/>
          <w:szCs w:val="20"/>
          <w:highlight w:val="none"/>
          <w:u w:val="single"/>
        </w:rPr>
        <w:t>；</w:t>
      </w:r>
    </w:p>
    <w:p w14:paraId="56F8A1EE">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（2）</w:t>
      </w:r>
      <w:r>
        <w:rPr>
          <w:rFonts w:hint="eastAsia" w:ascii="仿宋" w:hAnsi="仿宋" w:eastAsia="仿宋" w:cs="Times New Roman"/>
          <w:color w:val="auto"/>
          <w:kern w:val="0"/>
          <w:sz w:val="24"/>
          <w:szCs w:val="20"/>
          <w:highlight w:val="none"/>
          <w:u w:val="single"/>
        </w:rPr>
        <w:t>对采购过程提出质疑的，为各采购程序环节结束之日</w:t>
      </w:r>
      <w:r>
        <w:rPr>
          <w:rFonts w:hint="eastAsia" w:ascii="仿宋" w:hAnsi="仿宋" w:eastAsia="仿宋" w:cs="Times New Roman"/>
          <w:color w:val="auto"/>
          <w:kern w:val="0"/>
          <w:sz w:val="24"/>
          <w:szCs w:val="20"/>
          <w:highlight w:val="none"/>
        </w:rPr>
        <w:t>；</w:t>
      </w:r>
    </w:p>
    <w:p w14:paraId="4A71F642">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w:t>
      </w:r>
      <w:r>
        <w:rPr>
          <w:rFonts w:hint="eastAsia" w:ascii="仿宋" w:hAnsi="仿宋" w:eastAsia="仿宋" w:cs="Times New Roman"/>
          <w:color w:val="auto"/>
          <w:kern w:val="0"/>
          <w:sz w:val="24"/>
          <w:szCs w:val="20"/>
          <w:highlight w:val="none"/>
          <w:u w:val="single"/>
        </w:rPr>
        <w:t>对成交结果提出质疑的，为成交结果公告期限届满之日</w:t>
      </w:r>
      <w:r>
        <w:rPr>
          <w:rFonts w:hint="eastAsia" w:ascii="仿宋" w:hAnsi="仿宋" w:eastAsia="仿宋" w:cs="Times New Roman"/>
          <w:color w:val="auto"/>
          <w:kern w:val="0"/>
          <w:sz w:val="24"/>
          <w:szCs w:val="20"/>
          <w:highlight w:val="none"/>
        </w:rPr>
        <w:t>。</w:t>
      </w:r>
    </w:p>
    <w:p w14:paraId="71D4465A">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1.16.2.2</w:t>
      </w:r>
      <w:r>
        <w:rPr>
          <w:rFonts w:hint="eastAsia" w:ascii="仿宋" w:hAnsi="仿宋" w:eastAsia="仿宋" w:cs="Times New Roman"/>
          <w:b/>
          <w:color w:val="auto"/>
          <w:sz w:val="24"/>
          <w:szCs w:val="28"/>
          <w:highlight w:val="none"/>
        </w:rPr>
        <w:t>供应商提出质疑应当递交质疑函和必要的证明材料。</w:t>
      </w:r>
      <w:r>
        <w:rPr>
          <w:rFonts w:hint="eastAsia" w:ascii="仿宋" w:hAnsi="仿宋" w:eastAsia="仿宋" w:cs="Times New Roman"/>
          <w:color w:val="auto"/>
          <w:sz w:val="24"/>
          <w:szCs w:val="28"/>
          <w:highlight w:val="none"/>
        </w:rPr>
        <w:t>质疑函应当包括下列内容：</w:t>
      </w:r>
    </w:p>
    <w:p w14:paraId="374FF002">
      <w:pPr>
        <w:autoSpaceDN w:val="0"/>
        <w:spacing w:line="360" w:lineRule="auto"/>
        <w:ind w:firstLine="424" w:firstLineChars="177"/>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（1）供应商的姓名或者名称、地址、邮编、联系人及联系电话；</w:t>
      </w:r>
    </w:p>
    <w:p w14:paraId="17B216D1">
      <w:pPr>
        <w:autoSpaceDN w:val="0"/>
        <w:spacing w:line="360" w:lineRule="auto"/>
        <w:ind w:firstLine="424" w:firstLineChars="177"/>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（2）质疑项目的名称、编号；</w:t>
      </w:r>
    </w:p>
    <w:p w14:paraId="74159922">
      <w:pPr>
        <w:autoSpaceDN w:val="0"/>
        <w:spacing w:line="360" w:lineRule="auto"/>
        <w:ind w:firstLine="424" w:firstLineChars="177"/>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（3）具体、明确的质疑事项和与质疑事项相关的请求；</w:t>
      </w:r>
    </w:p>
    <w:p w14:paraId="49DD0EC2">
      <w:pPr>
        <w:autoSpaceDN w:val="0"/>
        <w:spacing w:line="360" w:lineRule="auto"/>
        <w:ind w:firstLine="424" w:firstLineChars="177"/>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（4）事实依据；</w:t>
      </w:r>
    </w:p>
    <w:p w14:paraId="3E283D0A">
      <w:pPr>
        <w:autoSpaceDN w:val="0"/>
        <w:spacing w:line="360" w:lineRule="auto"/>
        <w:ind w:firstLine="424" w:firstLineChars="177"/>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（5）必要的法律依据；</w:t>
      </w:r>
    </w:p>
    <w:p w14:paraId="5A5044E2">
      <w:pPr>
        <w:autoSpaceDN w:val="0"/>
        <w:spacing w:line="360" w:lineRule="auto"/>
        <w:ind w:firstLine="424" w:firstLineChars="177"/>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（6）提出质疑的日期。</w:t>
      </w:r>
    </w:p>
    <w:p w14:paraId="3AC4F9AC">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sz w:val="24"/>
          <w:szCs w:val="28"/>
          <w:highlight w:val="none"/>
        </w:rPr>
        <w:t>供应商为自然人的，应当由本人签字并附上身份证明；供应商为法人或者其他组织的，应当由法定代表人或者其授权代表签字或者盖章，并加盖公章。</w:t>
      </w:r>
    </w:p>
    <w:p w14:paraId="7B1BCFD6">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1.16.2.3供应商认可采购组织机构在质疑答复程序中启用的调查和重新评审等程序，在该程序操作过程未明显违反法律禁止性规定时，不得再提出异议；</w:t>
      </w:r>
    </w:p>
    <w:p w14:paraId="64D77F26">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1.16.2.4质疑、投诉应当采用书面形式（原件一式三份），经法定代表人或其授权代表签署后加盖单位公章，质疑书、投诉书均应明确阐述竞争性磋商文件、磋商过程和成交结果中使自己合法权益受到损害的实质性内容，供应商提出的质疑、投诉应当有明确的诉求（即通过质疑所要达到的具体目标）和必要的证明材料（</w:t>
      </w:r>
      <w:r>
        <w:rPr>
          <w:rFonts w:hint="eastAsia" w:ascii="仿宋" w:hAnsi="仿宋" w:eastAsia="仿宋" w:cs="Times New Roman"/>
          <w:b/>
          <w:color w:val="auto"/>
          <w:kern w:val="0"/>
          <w:sz w:val="24"/>
          <w:szCs w:val="20"/>
          <w:highlight w:val="none"/>
          <w:u w:val="single"/>
        </w:rPr>
        <w:t>即通过合法手段获得的能够证明供应商的诉求成立的必要材料</w:t>
      </w:r>
      <w:r>
        <w:rPr>
          <w:rFonts w:hint="eastAsia" w:ascii="仿宋" w:hAnsi="仿宋" w:eastAsia="仿宋" w:cs="Times New Roman"/>
          <w:b/>
          <w:color w:val="auto"/>
          <w:kern w:val="0"/>
          <w:sz w:val="24"/>
          <w:szCs w:val="20"/>
          <w:highlight w:val="none"/>
        </w:rPr>
        <w:t>）；</w:t>
      </w:r>
    </w:p>
    <w:p w14:paraId="7328D4C4">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1.16.3投诉：</w:t>
      </w:r>
      <w:r>
        <w:rPr>
          <w:rFonts w:hint="eastAsia" w:ascii="仿宋" w:hAnsi="仿宋" w:eastAsia="仿宋" w:cs="Times New Roman"/>
          <w:color w:val="auto"/>
          <w:kern w:val="0"/>
          <w:sz w:val="24"/>
          <w:szCs w:val="20"/>
          <w:highlight w:val="none"/>
        </w:rPr>
        <w:t>供应商对采购组织机构的质疑答复不满意或者采购组织机构未在规定时间内作出答复的，可以在答复期满后十五个工作日内向同级采购监管部门投诉。</w:t>
      </w:r>
    </w:p>
    <w:p w14:paraId="730D3088">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1.17 其他说明</w:t>
      </w:r>
    </w:p>
    <w:p w14:paraId="7B097C19">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1.17.1磋商响应供应商磋商所使用的资格、信誉、荣誉、磋商响应供应商业绩与企业认证必须为本法人所拥有。</w:t>
      </w:r>
      <w:r>
        <w:rPr>
          <w:rFonts w:hint="eastAsia" w:ascii="仿宋" w:hAnsi="仿宋" w:eastAsia="仿宋" w:cs="Times New Roman"/>
          <w:color w:val="auto"/>
          <w:kern w:val="0"/>
          <w:sz w:val="24"/>
          <w:szCs w:val="20"/>
          <w:highlight w:val="none"/>
        </w:rPr>
        <w:t>在组织资格审查、商务技术评审时，属于磋商响应供应商母公司（总机构）或者同一母公司下属的其他子公司（同一总机构下属的其他分支机构）的人员、业绩、荣誉、知识产权、项目案例等，不得作为该磋商响应供应商的资信文件予以确认或审查通过。</w:t>
      </w:r>
    </w:p>
    <w:p w14:paraId="06FCB008">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1.17.2磋商响应供应商在磋商活动中提供任何虚假材料或从事其他违法活动的，其磋商响应无效，并报监管部门查处；成交后发现的，成交结果无效，并须依照相关规定双倍赔偿给采购人。且民事赔偿并不免除违法磋商响应供应商的行政与刑事责任。</w:t>
      </w:r>
    </w:p>
    <w:p w14:paraId="0C26ACD8">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1.17.3磋商响应供应商应仔细阅读竞争性磋商文件的所有内容，按照竞争性磋商文件的要求递交《磋商响应文件》。</w:t>
      </w:r>
      <w:r>
        <w:rPr>
          <w:rFonts w:hint="eastAsia" w:ascii="仿宋" w:hAnsi="仿宋" w:eastAsia="仿宋" w:cs="Times New Roman"/>
          <w:bCs/>
          <w:color w:val="auto"/>
          <w:kern w:val="0"/>
          <w:sz w:val="24"/>
          <w:szCs w:val="20"/>
          <w:highlight w:val="none"/>
        </w:rPr>
        <w:t>《磋商响应文件》应对竞争性磋商文件的要求作出实质性响应，并对所提供的全部资料的真实性承担法律责任。</w:t>
      </w:r>
    </w:p>
    <w:p w14:paraId="74B8B9E6">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1.17.4竞争性磋商文件所涉及的产品品牌或型号为建议性要求或档次选择要求或为代替部分技术指标描述，磋商响应供应商可以自行选择其他品牌型号的产品参加磋商，但所投产品应当具有相等或更优于磋商文件要求的指标、性能、档次，否则，磋商小组将对其作出不利的评审。</w:t>
      </w:r>
    </w:p>
    <w:p w14:paraId="59DE143E">
      <w:pPr>
        <w:autoSpaceDN w:val="0"/>
        <w:spacing w:before="120" w:after="120" w:line="360" w:lineRule="auto"/>
        <w:ind w:firstLine="482"/>
        <w:rPr>
          <w:rFonts w:ascii="仿宋" w:hAnsi="仿宋" w:eastAsia="仿宋"/>
          <w:b/>
          <w:bCs/>
          <w:color w:val="auto"/>
          <w:sz w:val="24"/>
          <w:szCs w:val="20"/>
          <w:highlight w:val="none"/>
        </w:rPr>
      </w:pPr>
      <w:r>
        <w:rPr>
          <w:rFonts w:hint="eastAsia" w:ascii="仿宋" w:hAnsi="仿宋" w:eastAsia="仿宋"/>
          <w:b/>
          <w:bCs/>
          <w:color w:val="auto"/>
          <w:kern w:val="0"/>
          <w:sz w:val="24"/>
          <w:highlight w:val="none"/>
        </w:rPr>
        <w:t>1.17.5</w:t>
      </w:r>
      <w:r>
        <w:rPr>
          <w:rFonts w:hint="eastAsia" w:ascii="仿宋" w:hAnsi="仿宋" w:eastAsia="仿宋"/>
          <w:b/>
          <w:bCs/>
          <w:color w:val="auto"/>
          <w:sz w:val="24"/>
          <w:highlight w:val="none"/>
          <w:u w:val="single"/>
        </w:rPr>
        <w:t>磋商响应供应商对所响应项内的采购内容必须全部进行响应</w:t>
      </w:r>
      <w:r>
        <w:rPr>
          <w:rFonts w:hint="eastAsia" w:ascii="仿宋" w:hAnsi="仿宋" w:eastAsia="仿宋"/>
          <w:b/>
          <w:bCs/>
          <w:color w:val="auto"/>
          <w:sz w:val="24"/>
          <w:highlight w:val="none"/>
        </w:rPr>
        <w:t>。</w:t>
      </w:r>
    </w:p>
    <w:p w14:paraId="40470680">
      <w:pPr>
        <w:autoSpaceDN w:val="0"/>
        <w:spacing w:before="120" w:after="120" w:line="360" w:lineRule="auto"/>
        <w:ind w:firstLine="480"/>
        <w:rPr>
          <w:rFonts w:ascii="仿宋" w:hAnsi="仿宋" w:eastAsia="仿宋"/>
          <w:b/>
          <w:bCs/>
          <w:color w:val="auto"/>
          <w:sz w:val="24"/>
          <w:highlight w:val="none"/>
        </w:rPr>
      </w:pPr>
      <w:r>
        <w:rPr>
          <w:rFonts w:hint="eastAsia" w:ascii="仿宋" w:hAnsi="仿宋" w:eastAsia="仿宋"/>
          <w:b/>
          <w:color w:val="auto"/>
          <w:kern w:val="0"/>
          <w:sz w:val="24"/>
          <w:highlight w:val="none"/>
        </w:rPr>
        <w:t>1.17.6</w:t>
      </w:r>
      <w:r>
        <w:rPr>
          <w:rFonts w:hint="eastAsia" w:ascii="仿宋" w:hAnsi="仿宋" w:eastAsia="仿宋"/>
          <w:b/>
          <w:bCs/>
          <w:color w:val="auto"/>
          <w:sz w:val="24"/>
          <w:highlight w:val="none"/>
        </w:rPr>
        <w:t>竞争性磋商文件中如有描述歧义或前后不一致的地方，磋商小组有权按公平、合理的原则进行评判，但对同一条款的评判适用于每个供应商。</w:t>
      </w:r>
    </w:p>
    <w:p w14:paraId="6969B708">
      <w:pPr>
        <w:autoSpaceDN w:val="0"/>
        <w:spacing w:before="120" w:after="120" w:line="360" w:lineRule="auto"/>
        <w:ind w:firstLine="480"/>
        <w:rPr>
          <w:rFonts w:ascii="仿宋" w:hAnsi="仿宋" w:eastAsia="仿宋"/>
          <w:b/>
          <w:color w:val="auto"/>
          <w:sz w:val="24"/>
          <w:highlight w:val="none"/>
        </w:rPr>
      </w:pPr>
      <w:r>
        <w:rPr>
          <w:rFonts w:hint="eastAsia" w:ascii="仿宋" w:hAnsi="仿宋" w:eastAsia="仿宋"/>
          <w:b/>
          <w:color w:val="auto"/>
          <w:kern w:val="0"/>
          <w:sz w:val="24"/>
          <w:highlight w:val="none"/>
        </w:rPr>
        <w:t>1.17.7</w:t>
      </w:r>
      <w:r>
        <w:rPr>
          <w:rFonts w:hint="eastAsia" w:ascii="仿宋" w:hAnsi="仿宋" w:eastAsia="仿宋"/>
          <w:b/>
          <w:bCs/>
          <w:color w:val="auto"/>
          <w:sz w:val="24"/>
          <w:highlight w:val="none"/>
        </w:rPr>
        <w:t>响应文件的响应内容必须真实、明确、准确。否则，磋商小组将对其作出不利的评审。</w:t>
      </w:r>
    </w:p>
    <w:p w14:paraId="23707D1A">
      <w:pPr>
        <w:autoSpaceDN w:val="0"/>
        <w:adjustRightInd w:val="0"/>
        <w:snapToGrid w:val="0"/>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kern w:val="0"/>
          <w:sz w:val="24"/>
          <w:szCs w:val="20"/>
          <w:highlight w:val="none"/>
        </w:rPr>
        <w:t>1.17.8</w:t>
      </w:r>
      <w:r>
        <w:rPr>
          <w:rFonts w:hint="eastAsia" w:ascii="仿宋" w:hAnsi="仿宋" w:eastAsia="仿宋" w:cs="Times New Roman"/>
          <w:color w:val="auto"/>
          <w:sz w:val="24"/>
          <w:szCs w:val="24"/>
          <w:highlight w:val="none"/>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bookmarkEnd w:id="41"/>
    <w:bookmarkEnd w:id="42"/>
    <w:p w14:paraId="74685568">
      <w:pPr>
        <w:keepNext/>
        <w:keepLines/>
        <w:autoSpaceDN w:val="0"/>
        <w:spacing w:before="260" w:after="260" w:line="415" w:lineRule="auto"/>
        <w:outlineLvl w:val="1"/>
        <w:rPr>
          <w:rFonts w:ascii="Times New Roman" w:hAnsi="仿宋" w:eastAsia="仿宋" w:cs="Times New Roman"/>
          <w:b/>
          <w:bCs/>
          <w:color w:val="auto"/>
          <w:sz w:val="28"/>
          <w:szCs w:val="28"/>
          <w:highlight w:val="none"/>
        </w:rPr>
      </w:pPr>
      <w:bookmarkStart w:id="43" w:name="_Toc96947061"/>
      <w:bookmarkStart w:id="44" w:name="_Toc19497"/>
      <w:bookmarkStart w:id="45" w:name="_Toc29661"/>
      <w:bookmarkStart w:id="46" w:name="_Toc10168"/>
      <w:r>
        <w:rPr>
          <w:rFonts w:hint="eastAsia" w:ascii="Times New Roman" w:hAnsi="仿宋" w:eastAsia="仿宋" w:cs="Times New Roman"/>
          <w:b/>
          <w:bCs/>
          <w:color w:val="auto"/>
          <w:sz w:val="28"/>
          <w:szCs w:val="28"/>
          <w:highlight w:val="none"/>
        </w:rPr>
        <w:t>二、落实的政府采购政策</w:t>
      </w:r>
      <w:bookmarkEnd w:id="43"/>
      <w:bookmarkEnd w:id="44"/>
    </w:p>
    <w:p w14:paraId="447782DC">
      <w:pPr>
        <w:keepNext/>
        <w:keepLines/>
        <w:autoSpaceDN w:val="0"/>
        <w:spacing w:before="97" w:beforeLines="30" w:after="97" w:afterLines="30" w:line="360" w:lineRule="auto"/>
        <w:ind w:firstLine="284" w:firstLineChars="118"/>
        <w:outlineLvl w:val="2"/>
        <w:rPr>
          <w:rFonts w:hint="eastAsia" w:ascii="仿宋" w:hAnsi="仿宋" w:eastAsia="仿宋" w:cs="仿宋"/>
          <w:b/>
          <w:bCs/>
          <w:color w:val="auto"/>
          <w:sz w:val="24"/>
          <w:szCs w:val="32"/>
          <w:highlight w:val="none"/>
        </w:rPr>
      </w:pPr>
      <w:bookmarkStart w:id="47" w:name="_Toc82873324"/>
      <w:bookmarkStart w:id="48" w:name="_Toc82338241"/>
      <w:r>
        <w:rPr>
          <w:rFonts w:hint="eastAsia" w:ascii="仿宋" w:hAnsi="仿宋" w:eastAsia="仿宋" w:cs="仿宋"/>
          <w:b/>
          <w:bCs/>
          <w:color w:val="auto"/>
          <w:sz w:val="24"/>
          <w:szCs w:val="32"/>
          <w:highlight w:val="none"/>
        </w:rPr>
        <w:t>2.1 支持中小企业发展</w:t>
      </w:r>
    </w:p>
    <w:p w14:paraId="4C7DB18B">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2.1.1是否专门面向中小企业采购：</w:t>
      </w:r>
      <w:r>
        <w:rPr>
          <w:rFonts w:hint="eastAsia" w:ascii="仿宋" w:hAnsi="仿宋" w:eastAsia="仿宋" w:cs="Times New Roman"/>
          <w:b/>
          <w:color w:val="auto"/>
          <w:sz w:val="24"/>
          <w:szCs w:val="20"/>
          <w:highlight w:val="none"/>
          <w:u w:val="single"/>
        </w:rPr>
        <w:t>见《磋商须知前附表》</w:t>
      </w:r>
      <w:r>
        <w:rPr>
          <w:rFonts w:hint="eastAsia" w:ascii="仿宋" w:hAnsi="仿宋" w:eastAsia="仿宋" w:cs="Times New Roman"/>
          <w:b/>
          <w:color w:val="auto"/>
          <w:sz w:val="24"/>
          <w:szCs w:val="20"/>
          <w:highlight w:val="none"/>
        </w:rPr>
        <w:t>；</w:t>
      </w:r>
    </w:p>
    <w:p w14:paraId="1F562CC9">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2.1.2 本项目中小企业划分标准所属行业：</w:t>
      </w:r>
      <w:r>
        <w:rPr>
          <w:rFonts w:hint="eastAsia" w:ascii="仿宋" w:hAnsi="仿宋" w:eastAsia="仿宋" w:cs="Times New Roman"/>
          <w:b/>
          <w:color w:val="auto"/>
          <w:sz w:val="24"/>
          <w:szCs w:val="20"/>
          <w:highlight w:val="none"/>
          <w:u w:val="single"/>
        </w:rPr>
        <w:t>见《磋商须知前附表》</w:t>
      </w:r>
      <w:r>
        <w:rPr>
          <w:rFonts w:hint="eastAsia" w:ascii="仿宋" w:hAnsi="仿宋" w:eastAsia="仿宋" w:cs="Times New Roman"/>
          <w:b/>
          <w:color w:val="auto"/>
          <w:sz w:val="24"/>
          <w:szCs w:val="20"/>
          <w:highlight w:val="none"/>
        </w:rPr>
        <w:t>。</w:t>
      </w:r>
    </w:p>
    <w:p w14:paraId="66A3E677">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2.1.3在政府采购活动中，供应商提供的货物、工程或者服务符合下列情形的，享受中小企业扶持政策：</w:t>
      </w:r>
    </w:p>
    <w:p w14:paraId="00560CD9">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（1）在货物采购项目中，货物由中小企业制造，即货物由中小企业生产且使用该中小企业商号或者注册商标；如供应商提供的货物既有中小企业制造货物，也有大型企业制造货物的，不享受中小企业扶持政策。</w:t>
      </w:r>
    </w:p>
    <w:p w14:paraId="362B50AA">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bCs/>
          <w:color w:val="auto"/>
          <w:sz w:val="24"/>
          <w:szCs w:val="20"/>
          <w:highlight w:val="none"/>
        </w:rPr>
        <w:t>（2）在工程采购项目中，工程由中小企业承建，即工程施工单位为中小企业；</w:t>
      </w:r>
    </w:p>
    <w:p w14:paraId="5D995EC9">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（3）在服务采购项目中，服务由中小企业承接，即提供服务的人员为中小企业依照《中华人民共和国劳动合同法》订立劳动合同的从业人员。</w:t>
      </w:r>
    </w:p>
    <w:p w14:paraId="5C2F3F40">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以联合体形式参加政府采购活动，联合体各方均为中小企业的，联合体视同中小企业。其中，联合体各方均为小微企业的，联合体视同小微企业。</w:t>
      </w:r>
    </w:p>
    <w:p w14:paraId="093D8E59">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2.1.4对于未预留份额专门面向中小企业采购的采购项目，以及预留份额项目中的非预留部分采购包，对小微企业报</w:t>
      </w:r>
      <w:r>
        <w:rPr>
          <w:rFonts w:hint="eastAsia" w:ascii="仿宋" w:hAnsi="仿宋" w:eastAsia="仿宋" w:cs="Times New Roman"/>
          <w:color w:val="auto"/>
          <w:sz w:val="24"/>
          <w:szCs w:val="20"/>
          <w:highlight w:val="none"/>
        </w:rPr>
        <w:t>价给予</w:t>
      </w:r>
      <w:r>
        <w:rPr>
          <w:rFonts w:hint="eastAsia" w:ascii="仿宋" w:hAnsi="仿宋" w:eastAsia="仿宋" w:cs="Times New Roman"/>
          <w:color w:val="auto"/>
          <w:sz w:val="24"/>
          <w:szCs w:val="20"/>
          <w:highlight w:val="none"/>
          <w:lang w:val="en-US" w:eastAsia="zh-CN"/>
        </w:rPr>
        <w:t>5</w:t>
      </w:r>
      <w:r>
        <w:rPr>
          <w:rFonts w:hint="eastAsia" w:ascii="仿宋" w:hAnsi="仿宋" w:eastAsia="仿宋" w:cs="Times New Roman"/>
          <w:color w:val="auto"/>
          <w:sz w:val="24"/>
          <w:szCs w:val="20"/>
          <w:highlight w:val="none"/>
        </w:rPr>
        <w:t>%的扣除</w:t>
      </w:r>
      <w:r>
        <w:rPr>
          <w:rFonts w:hint="eastAsia" w:ascii="仿宋" w:hAnsi="仿宋" w:eastAsia="仿宋" w:cs="Times New Roman"/>
          <w:color w:val="auto"/>
          <w:sz w:val="24"/>
          <w:szCs w:val="20"/>
          <w:highlight w:val="none"/>
        </w:rPr>
        <w:t>，用扣除后的价格参加评审。</w:t>
      </w:r>
    </w:p>
    <w:p w14:paraId="5F182E1D">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2.1.5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w:t>
      </w:r>
      <w:r>
        <w:rPr>
          <w:rFonts w:hint="eastAsia" w:ascii="仿宋" w:hAnsi="仿宋" w:eastAsia="仿宋" w:cs="Times New Roman"/>
          <w:color w:val="auto"/>
          <w:sz w:val="24"/>
          <w:szCs w:val="20"/>
          <w:highlight w:val="none"/>
        </w:rPr>
        <w:t>予</w:t>
      </w:r>
      <w:r>
        <w:rPr>
          <w:rFonts w:hint="eastAsia" w:ascii="仿宋" w:hAnsi="仿宋" w:eastAsia="仿宋" w:cs="Times New Roman"/>
          <w:color w:val="auto"/>
          <w:sz w:val="24"/>
          <w:szCs w:val="20"/>
          <w:highlight w:val="none"/>
          <w:lang w:val="en-US" w:eastAsia="zh-CN"/>
        </w:rPr>
        <w:t>2</w:t>
      </w:r>
      <w:r>
        <w:rPr>
          <w:rFonts w:hint="eastAsia" w:ascii="仿宋" w:hAnsi="仿宋" w:eastAsia="仿宋" w:cs="Times New Roman"/>
          <w:color w:val="auto"/>
          <w:sz w:val="24"/>
          <w:szCs w:val="20"/>
          <w:highlight w:val="none"/>
        </w:rPr>
        <w:t>%的扣除</w:t>
      </w:r>
      <w:r>
        <w:rPr>
          <w:rFonts w:hint="eastAsia" w:ascii="仿宋" w:hAnsi="仿宋" w:eastAsia="仿宋" w:cs="Times New Roman"/>
          <w:color w:val="auto"/>
          <w:sz w:val="24"/>
          <w:szCs w:val="20"/>
          <w:highlight w:val="none"/>
        </w:rPr>
        <w:t>，用扣除后的价格参加评审。组成联合体或者接受分包的小微企业与联合体内其他企业、分包企业之间存在直接控股、管理关系的，不享受价格扣除优惠政策。</w:t>
      </w:r>
    </w:p>
    <w:p w14:paraId="4393A268">
      <w:pPr>
        <w:autoSpaceDN w:val="0"/>
        <w:spacing w:line="360" w:lineRule="auto"/>
        <w:ind w:firstLine="482" w:firstLineChars="200"/>
        <w:rPr>
          <w:rFonts w:ascii="仿宋_GB2312" w:hAnsi="仿宋" w:eastAsia="仿宋_GB2312" w:cs="Times New Roman"/>
          <w:b/>
          <w:bCs/>
          <w:color w:val="auto"/>
          <w:sz w:val="24"/>
          <w:szCs w:val="24"/>
          <w:highlight w:val="none"/>
        </w:rPr>
      </w:pPr>
      <w:r>
        <w:rPr>
          <w:rFonts w:hint="eastAsia" w:ascii="仿宋" w:hAnsi="仿宋" w:eastAsia="仿宋" w:cs="Times New Roman"/>
          <w:b/>
          <w:bCs/>
          <w:color w:val="auto"/>
          <w:sz w:val="24"/>
          <w:szCs w:val="20"/>
          <w:highlight w:val="none"/>
        </w:rPr>
        <w:t>2.1.6</w:t>
      </w:r>
      <w:r>
        <w:rPr>
          <w:rFonts w:hint="eastAsia" w:ascii="仿宋_GB2312" w:hAnsi="仿宋" w:eastAsia="仿宋_GB2312" w:cs="Times New Roman"/>
          <w:b/>
          <w:bCs/>
          <w:color w:val="auto"/>
          <w:sz w:val="24"/>
          <w:szCs w:val="24"/>
          <w:highlight w:val="none"/>
        </w:rPr>
        <w:t>可享受</w:t>
      </w:r>
      <w:r>
        <w:rPr>
          <w:rFonts w:hint="eastAsia" w:ascii="仿宋_GB2312" w:hAnsi="宋体" w:eastAsia="仿宋_GB2312" w:cs="宋体"/>
          <w:b/>
          <w:bCs/>
          <w:color w:val="auto"/>
          <w:kern w:val="0"/>
          <w:sz w:val="24"/>
          <w:szCs w:val="24"/>
          <w:highlight w:val="none"/>
        </w:rPr>
        <w:t>中小企业扶持政策</w:t>
      </w:r>
      <w:r>
        <w:rPr>
          <w:rFonts w:hint="eastAsia" w:ascii="仿宋_GB2312" w:hAnsi="仿宋" w:eastAsia="仿宋_GB2312" w:cs="Times New Roman"/>
          <w:b/>
          <w:bCs/>
          <w:color w:val="auto"/>
          <w:sz w:val="24"/>
          <w:szCs w:val="24"/>
          <w:highlight w:val="none"/>
        </w:rPr>
        <w:t>的供应商应按照响应文件格式要求提供《中小企业声明函》。</w:t>
      </w:r>
    </w:p>
    <w:p w14:paraId="00B2C02A">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2.1.7符合《财政部、司法部关于政府采购支持监狱企业发展有关问题的通知》（财库[2014]68号）规定的监狱企业在全部提供本单位制造的货物（由本单位承担工程/提供服务）或者提供其他监狱企业制造的货物（不包括使用非监狱企业注册商标的货物）参加本政府采购活动时，视同小型、微型企业。</w:t>
      </w:r>
    </w:p>
    <w:p w14:paraId="2702A45A">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备注：（1）监狱企业证明文件：省级或以上监狱管理局、戒毒管理局（含新疆生产建设兵团）出具的属于监狱企业的证明文件。（2）如果提供其他监狱企业制造的货物，还须同时提供该企业为监狱企业的证明文件。</w:t>
      </w:r>
    </w:p>
    <w:p w14:paraId="29AF8B3C">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2.1.8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14:paraId="384F853C">
      <w:pPr>
        <w:autoSpaceDN w:val="0"/>
        <w:spacing w:line="360" w:lineRule="auto"/>
        <w:ind w:firstLine="480" w:firstLineChars="200"/>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备注：（1）残疾人福利性单位证明材料：残疾人福利性单位声明函（见第六章 响应文件格式）；（2）如提供其他残疾人福利性单位制造的货物，还须同时提供该企业的残疾人福利性单位声明函。</w:t>
      </w:r>
    </w:p>
    <w:p w14:paraId="79CE64FC">
      <w:pPr>
        <w:autoSpaceDN w:val="0"/>
        <w:spacing w:line="360" w:lineRule="auto"/>
        <w:ind w:firstLine="480" w:firstLineChars="200"/>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2.1.9中小企业享受扶持政策获得政府采购合同的，小微企业不得将合同分包给大中型企业，中型企业不得将合同分包给大型企业。</w:t>
      </w:r>
    </w:p>
    <w:p w14:paraId="029B6902">
      <w:pPr>
        <w:keepNext/>
        <w:keepLines/>
        <w:autoSpaceDN w:val="0"/>
        <w:spacing w:before="97" w:beforeLines="30" w:after="97" w:afterLines="30" w:line="360" w:lineRule="auto"/>
        <w:ind w:firstLine="284" w:firstLineChars="118"/>
        <w:outlineLvl w:val="2"/>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2.2 节能、环保产品政府采购实施相关规定</w:t>
      </w:r>
    </w:p>
    <w:p w14:paraId="47DA264E">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2.2.1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14:paraId="2005DEF2">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2.2.2《节能产品政府采购品目清单》详见《关于印发节能产品政府采购品目清单的通知（财库[2019]19号）》（如遇调整，按最新清单执行）。</w:t>
      </w:r>
    </w:p>
    <w:tbl>
      <w:tblPr>
        <w:tblStyle w:val="61"/>
        <w:tblW w:w="9705" w:type="dxa"/>
        <w:jc w:val="center"/>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026"/>
        <w:gridCol w:w="2439"/>
        <w:gridCol w:w="6240"/>
      </w:tblGrid>
      <w:tr w14:paraId="221B2CD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blHeader/>
          <w:jc w:val="center"/>
        </w:trPr>
        <w:tc>
          <w:tcPr>
            <w:tcW w:w="1026" w:type="dxa"/>
            <w:tcBorders>
              <w:top w:val="thinThickSmallGap" w:color="0070C0" w:sz="12" w:space="0"/>
              <w:left w:val="thinThickSmallGap" w:color="0070C0" w:sz="12" w:space="0"/>
              <w:bottom w:val="single" w:color="0070C0" w:sz="6" w:space="0"/>
              <w:right w:val="single" w:color="0070C0" w:sz="6" w:space="0"/>
            </w:tcBorders>
            <w:shd w:val="clear" w:color="auto" w:fill="DAEEF3"/>
            <w:noWrap/>
            <w:vAlign w:val="center"/>
          </w:tcPr>
          <w:p w14:paraId="22AC440E">
            <w:pPr>
              <w:autoSpaceDN w:val="0"/>
              <w:adjustRightInd w:val="0"/>
              <w:snapToGrid w:val="0"/>
              <w:spacing w:line="276" w:lineRule="auto"/>
              <w:jc w:val="center"/>
              <w:rPr>
                <w:rFonts w:ascii="仿宋" w:hAnsi="仿宋" w:eastAsia="仿宋" w:cs="Times New Roman"/>
                <w:b/>
                <w:color w:val="auto"/>
                <w:w w:val="80"/>
                <w:sz w:val="24"/>
                <w:szCs w:val="24"/>
                <w:highlight w:val="none"/>
              </w:rPr>
            </w:pPr>
            <w:r>
              <w:rPr>
                <w:rFonts w:hint="eastAsia" w:ascii="仿宋" w:hAnsi="仿宋" w:eastAsia="仿宋" w:cs="Times New Roman"/>
                <w:b/>
                <w:color w:val="auto"/>
                <w:w w:val="80"/>
                <w:sz w:val="24"/>
                <w:szCs w:val="24"/>
                <w:highlight w:val="none"/>
              </w:rPr>
              <w:t>品目清单序号</w:t>
            </w:r>
          </w:p>
        </w:tc>
        <w:tc>
          <w:tcPr>
            <w:tcW w:w="8680" w:type="dxa"/>
            <w:gridSpan w:val="2"/>
            <w:tcBorders>
              <w:top w:val="thinThickSmallGap" w:color="0070C0" w:sz="12" w:space="0"/>
              <w:left w:val="single" w:color="0070C0" w:sz="6" w:space="0"/>
              <w:bottom w:val="single" w:color="0070C0" w:sz="6" w:space="0"/>
              <w:right w:val="thickThinSmallGap" w:color="0070C0" w:sz="12" w:space="0"/>
            </w:tcBorders>
            <w:shd w:val="clear" w:color="auto" w:fill="DAEEF3"/>
            <w:noWrap/>
            <w:vAlign w:val="center"/>
          </w:tcPr>
          <w:p w14:paraId="7F91AE8C">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产品名称（以“★”标注的为政府强制采购产品）</w:t>
            </w:r>
          </w:p>
        </w:tc>
      </w:tr>
      <w:tr w14:paraId="464DB45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721932C3">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526014C6">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A020101计算机设备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78971C5B">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A02010104台式计算机</w:t>
            </w:r>
            <w:r>
              <w:rPr>
                <w:rFonts w:hint="eastAsia" w:ascii="仿宋" w:hAnsi="仿宋" w:eastAsia="仿宋" w:cs="Times New Roman"/>
                <w:color w:val="auto"/>
                <w:sz w:val="24"/>
                <w:szCs w:val="24"/>
                <w:highlight w:val="none"/>
              </w:rPr>
              <w:t>；</w:t>
            </w:r>
          </w:p>
          <w:p w14:paraId="590289F7">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A02010105便携式计算机</w:t>
            </w:r>
            <w:r>
              <w:rPr>
                <w:rFonts w:hint="eastAsia" w:ascii="仿宋" w:hAnsi="仿宋" w:eastAsia="仿宋" w:cs="Times New Roman"/>
                <w:color w:val="auto"/>
                <w:sz w:val="24"/>
                <w:szCs w:val="24"/>
                <w:highlight w:val="none"/>
              </w:rPr>
              <w:t>；</w:t>
            </w:r>
          </w:p>
          <w:p w14:paraId="7CB4CA81">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A02010107平板式微型计算机</w:t>
            </w:r>
            <w:r>
              <w:rPr>
                <w:rFonts w:hint="eastAsia" w:ascii="仿宋" w:hAnsi="仿宋" w:eastAsia="仿宋" w:cs="Times New Roman"/>
                <w:color w:val="auto"/>
                <w:sz w:val="24"/>
                <w:szCs w:val="24"/>
                <w:highlight w:val="none"/>
              </w:rPr>
              <w:t>。</w:t>
            </w:r>
          </w:p>
        </w:tc>
      </w:tr>
      <w:tr w14:paraId="3A73F0E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465F100B">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2</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0659E1DC">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A020106输入输出设备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794C0057">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A0201060102激光打印机</w:t>
            </w:r>
            <w:r>
              <w:rPr>
                <w:rFonts w:hint="eastAsia" w:ascii="仿宋" w:hAnsi="仿宋" w:eastAsia="仿宋" w:cs="Times New Roman"/>
                <w:color w:val="auto"/>
                <w:sz w:val="24"/>
                <w:szCs w:val="24"/>
                <w:highlight w:val="none"/>
              </w:rPr>
              <w:t>；</w:t>
            </w:r>
          </w:p>
          <w:p w14:paraId="07E39E1E">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A0201060104针式打印机</w:t>
            </w:r>
            <w:r>
              <w:rPr>
                <w:rFonts w:hint="eastAsia" w:ascii="仿宋" w:hAnsi="仿宋" w:eastAsia="仿宋" w:cs="Times New Roman"/>
                <w:color w:val="auto"/>
                <w:sz w:val="24"/>
                <w:szCs w:val="24"/>
                <w:highlight w:val="none"/>
              </w:rPr>
              <w:t>；</w:t>
            </w:r>
          </w:p>
          <w:p w14:paraId="4962E162">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A0201060401液晶显示器</w:t>
            </w:r>
            <w:r>
              <w:rPr>
                <w:rFonts w:hint="eastAsia" w:ascii="仿宋" w:hAnsi="仿宋" w:eastAsia="仿宋" w:cs="Times New Roman"/>
                <w:color w:val="auto"/>
                <w:sz w:val="24"/>
                <w:szCs w:val="24"/>
                <w:highlight w:val="none"/>
              </w:rPr>
              <w:t>。</w:t>
            </w:r>
          </w:p>
        </w:tc>
      </w:tr>
      <w:tr w14:paraId="7CE5A03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088093B6">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6</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2C2C32D9">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A020523制冷空调设备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0F6B794A">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A02052301制冷压缩机：</w:t>
            </w:r>
            <w:r>
              <w:rPr>
                <w:rFonts w:hint="eastAsia" w:ascii="仿宋" w:hAnsi="仿宋" w:eastAsia="仿宋" w:cs="Times New Roman"/>
                <w:color w:val="auto"/>
                <w:sz w:val="24"/>
                <w:szCs w:val="24"/>
                <w:highlight w:val="none"/>
              </w:rPr>
              <w:t>冷水机组、水源热泵机组、溴化锂吸收式冷水机组；</w:t>
            </w:r>
          </w:p>
          <w:p w14:paraId="53EDBB10">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A02052305空调机组:</w:t>
            </w:r>
            <w:r>
              <w:rPr>
                <w:rFonts w:hint="eastAsia" w:ascii="仿宋" w:hAnsi="仿宋" w:eastAsia="仿宋" w:cs="Times New Roman"/>
                <w:color w:val="auto"/>
                <w:sz w:val="24"/>
                <w:szCs w:val="24"/>
                <w:highlight w:val="none"/>
              </w:rPr>
              <w:t>多联式空调（热泵）机组(制冷量&gt;14000W)）、单元式空气调节机(制冷量&gt;14000W)；</w:t>
            </w:r>
          </w:p>
          <w:p w14:paraId="289ED9E4">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A02052309专用制冷、空调设备：</w:t>
            </w:r>
            <w:r>
              <w:rPr>
                <w:rFonts w:hint="eastAsia" w:ascii="仿宋" w:hAnsi="仿宋" w:eastAsia="仿宋" w:cs="Times New Roman"/>
                <w:color w:val="auto"/>
                <w:sz w:val="24"/>
                <w:szCs w:val="24"/>
                <w:highlight w:val="none"/>
              </w:rPr>
              <w:t>机房空调。</w:t>
            </w:r>
          </w:p>
        </w:tc>
      </w:tr>
      <w:tr w14:paraId="43F7788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23B1EF30">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9</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62B5C9CB">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★A020609镇流器</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6C445BCA">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管型荧光灯镇流器</w:t>
            </w:r>
            <w:r>
              <w:rPr>
                <w:rFonts w:hint="eastAsia" w:ascii="仿宋" w:hAnsi="仿宋" w:eastAsia="仿宋" w:cs="Times New Roman"/>
                <w:color w:val="auto"/>
                <w:sz w:val="24"/>
                <w:szCs w:val="24"/>
                <w:highlight w:val="none"/>
              </w:rPr>
              <w:t>。</w:t>
            </w:r>
          </w:p>
        </w:tc>
      </w:tr>
      <w:tr w14:paraId="7BBAE10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587202B1">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10</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2B691DF2">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A020618生活用电器</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43934A22">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A0206180203空调机：</w:t>
            </w:r>
            <w:r>
              <w:rPr>
                <w:rFonts w:hint="eastAsia" w:ascii="仿宋" w:hAnsi="仿宋" w:eastAsia="仿宋" w:cs="Times New Roman"/>
                <w:color w:val="auto"/>
                <w:sz w:val="24"/>
                <w:szCs w:val="24"/>
                <w:highlight w:val="none"/>
              </w:rPr>
              <w:t>房间空气调节器、多联式空调（热泵）机组（制冷量≤14000W）、单元式空气调节机(制冷量≤14000W)）；</w:t>
            </w:r>
          </w:p>
          <w:p w14:paraId="0C6282DF">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A02061808热水器：★</w:t>
            </w:r>
            <w:r>
              <w:rPr>
                <w:rFonts w:hint="eastAsia" w:ascii="仿宋" w:hAnsi="仿宋" w:eastAsia="仿宋" w:cs="Times New Roman"/>
                <w:b/>
                <w:color w:val="auto"/>
                <w:sz w:val="24"/>
                <w:szCs w:val="24"/>
                <w:highlight w:val="none"/>
              </w:rPr>
              <w:t>电热水器</w:t>
            </w:r>
            <w:r>
              <w:rPr>
                <w:rFonts w:hint="eastAsia" w:ascii="仿宋" w:hAnsi="仿宋" w:eastAsia="仿宋" w:cs="Times New Roman"/>
                <w:color w:val="auto"/>
                <w:sz w:val="24"/>
                <w:szCs w:val="24"/>
                <w:highlight w:val="none"/>
              </w:rPr>
              <w:t>。</w:t>
            </w:r>
          </w:p>
        </w:tc>
      </w:tr>
      <w:tr w14:paraId="46F9C6B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3C1DCECB">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11</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372BFC11">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A020619照明设备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3F029E1A">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普通照明用双端荧光灯</w:t>
            </w:r>
            <w:r>
              <w:rPr>
                <w:rFonts w:hint="eastAsia" w:ascii="仿宋" w:hAnsi="仿宋" w:eastAsia="仿宋" w:cs="Times New Roman"/>
                <w:color w:val="auto"/>
                <w:sz w:val="24"/>
                <w:szCs w:val="24"/>
                <w:highlight w:val="none"/>
              </w:rPr>
              <w:t>。</w:t>
            </w:r>
          </w:p>
        </w:tc>
      </w:tr>
      <w:tr w14:paraId="52B66FF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744755E6">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12</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41D1E3A9">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★A020910电视设备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094712F0">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A02091001普通电视设备（电视机）。</w:t>
            </w:r>
          </w:p>
        </w:tc>
      </w:tr>
      <w:tr w14:paraId="7004391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239AEE88">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13</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760F86E8">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★A020911视频设备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3A57703D">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监视器。</w:t>
            </w:r>
          </w:p>
        </w:tc>
      </w:tr>
      <w:tr w14:paraId="75A6127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25949374">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15</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16DB7ACC">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★A060805便器</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5CFD0918">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坐便器、蹲便器、小便器。</w:t>
            </w:r>
          </w:p>
        </w:tc>
      </w:tr>
      <w:tr w14:paraId="0F370AB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thickThinSmallGap" w:color="0070C0" w:sz="12" w:space="0"/>
              <w:right w:val="single" w:color="0070C0" w:sz="6" w:space="0"/>
            </w:tcBorders>
            <w:noWrap/>
            <w:vAlign w:val="center"/>
          </w:tcPr>
          <w:p w14:paraId="169962B4">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16</w:t>
            </w:r>
          </w:p>
        </w:tc>
        <w:tc>
          <w:tcPr>
            <w:tcW w:w="2439" w:type="dxa"/>
            <w:tcBorders>
              <w:top w:val="single" w:color="0070C0" w:sz="6" w:space="0"/>
              <w:left w:val="single" w:color="0070C0" w:sz="6" w:space="0"/>
              <w:bottom w:val="thickThinSmallGap" w:color="0070C0" w:sz="12" w:space="0"/>
              <w:right w:val="single" w:color="0070C0" w:sz="6" w:space="0"/>
            </w:tcBorders>
            <w:noWrap/>
            <w:vAlign w:val="center"/>
          </w:tcPr>
          <w:p w14:paraId="115CC204">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★A060806 水嘴</w:t>
            </w:r>
          </w:p>
        </w:tc>
        <w:tc>
          <w:tcPr>
            <w:tcW w:w="6241" w:type="dxa"/>
            <w:tcBorders>
              <w:top w:val="single" w:color="0070C0" w:sz="6" w:space="0"/>
              <w:left w:val="single" w:color="0070C0" w:sz="6" w:space="0"/>
              <w:bottom w:val="thickThinSmallGap" w:color="0070C0" w:sz="12" w:space="0"/>
              <w:right w:val="thickThinSmallGap" w:color="0070C0" w:sz="12" w:space="0"/>
            </w:tcBorders>
            <w:noWrap/>
            <w:vAlign w:val="center"/>
          </w:tcPr>
          <w:p w14:paraId="24EEA397">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水嘴。</w:t>
            </w:r>
          </w:p>
        </w:tc>
      </w:tr>
    </w:tbl>
    <w:p w14:paraId="493FCBCC">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2.2.3本次采购对属于节能产品政府采购品目清单规定的政府强制采购产品范围内的产品实施强制采购。供应商应当在磋商响应文件中提供国家确定的认证机构出具的、处于有效期之内的节能产品认证证书（扫描件、加盖公章）。不能提供上述证书的，磋商响应文件无效。</w:t>
      </w:r>
    </w:p>
    <w:p w14:paraId="5E9254CF">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2.2.4《环境标志产品政府采购品目清单》详见《关于印发环境标志产品政府采购品目清单的通知（财库[2019]18号）》（如遇调整，按最新清单执行）。</w:t>
      </w:r>
    </w:p>
    <w:p w14:paraId="5D6AF3A7">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2.2.5本次采购对属于品目清单范围但不属于政府强制采购产品的，实施优先采购，详见第</w:t>
      </w:r>
      <w:r>
        <w:rPr>
          <w:rFonts w:hint="eastAsia" w:ascii="仿宋" w:hAnsi="仿宋" w:eastAsia="仿宋" w:cs="Times New Roman"/>
          <w:b/>
          <w:color w:val="auto"/>
          <w:sz w:val="24"/>
          <w:szCs w:val="20"/>
          <w:highlight w:val="none"/>
          <w:lang w:val="en-US" w:eastAsia="zh-CN"/>
        </w:rPr>
        <w:t>三</w:t>
      </w:r>
      <w:r>
        <w:rPr>
          <w:rFonts w:hint="eastAsia" w:ascii="仿宋" w:hAnsi="仿宋" w:eastAsia="仿宋" w:cs="Times New Roman"/>
          <w:b/>
          <w:color w:val="auto"/>
          <w:sz w:val="24"/>
          <w:szCs w:val="20"/>
          <w:highlight w:val="none"/>
        </w:rPr>
        <w:t>章评分标准中有关节能、环保评分内容。</w:t>
      </w:r>
      <w:r>
        <w:rPr>
          <w:rFonts w:hint="eastAsia" w:ascii="仿宋" w:hAnsi="仿宋" w:eastAsia="仿宋" w:cs="Times New Roman"/>
          <w:color w:val="auto"/>
          <w:sz w:val="24"/>
          <w:szCs w:val="20"/>
          <w:highlight w:val="none"/>
        </w:rPr>
        <w:t>供应商在响应文件中提供国家确定的认证机构出具的、处于有效期之内的节能产品或环境标志产品认证证书（扫描件）。</w:t>
      </w:r>
    </w:p>
    <w:p w14:paraId="70AAAFEA">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2.2.6节能产品政府采购品目清单，以财政部、国家发展改革委发布的最新一期节能产品政府采购品目清单为准。环境标志产品政府采购品目清单，以财政部、生态环境部发布的最新一期环境标志产品政府采购品目清单为准。</w:t>
      </w:r>
    </w:p>
    <w:p w14:paraId="40CEFEF4">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sz w:val="24"/>
          <w:szCs w:val="20"/>
          <w:highlight w:val="none"/>
        </w:rPr>
        <w:t>2.2.7国家确定的认证机构以国家市场监管总局发布的参与实施政府采购节能产品、环境标志产品认证机构名录为准，详见第</w:t>
      </w:r>
      <w:r>
        <w:rPr>
          <w:rFonts w:hint="eastAsia" w:ascii="仿宋" w:hAnsi="仿宋" w:eastAsia="仿宋" w:cs="Times New Roman"/>
          <w:b/>
          <w:color w:val="auto"/>
          <w:sz w:val="24"/>
          <w:szCs w:val="20"/>
          <w:highlight w:val="none"/>
          <w:lang w:val="en-US" w:eastAsia="zh-CN"/>
        </w:rPr>
        <w:t>七</w:t>
      </w:r>
      <w:r>
        <w:rPr>
          <w:rFonts w:hint="eastAsia" w:ascii="仿宋" w:hAnsi="仿宋" w:eastAsia="仿宋" w:cs="Times New Roman"/>
          <w:b/>
          <w:color w:val="auto"/>
          <w:sz w:val="24"/>
          <w:szCs w:val="20"/>
          <w:highlight w:val="none"/>
        </w:rPr>
        <w:t>章附件（如遇调整，请以最新公布的为准）。</w:t>
      </w:r>
      <w:bookmarkEnd w:id="47"/>
      <w:bookmarkEnd w:id="48"/>
    </w:p>
    <w:bookmarkEnd w:id="45"/>
    <w:p w14:paraId="5CABFFFC">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49" w:name="_Toc1246"/>
      <w:bookmarkStart w:id="50" w:name="_Toc96947062"/>
      <w:r>
        <w:rPr>
          <w:rFonts w:hint="eastAsia" w:ascii="仿宋" w:hAnsi="仿宋" w:eastAsia="仿宋" w:cs="Times New Roman"/>
          <w:b/>
          <w:bCs/>
          <w:color w:val="auto"/>
          <w:sz w:val="28"/>
          <w:szCs w:val="28"/>
          <w:highlight w:val="none"/>
        </w:rPr>
        <w:t>三、竞争性磋商文件</w:t>
      </w:r>
      <w:bookmarkEnd w:id="46"/>
      <w:bookmarkEnd w:id="49"/>
      <w:bookmarkEnd w:id="50"/>
    </w:p>
    <w:p w14:paraId="164B2F64">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3.1 竞争性磋商文件的组成</w:t>
      </w:r>
    </w:p>
    <w:p w14:paraId="2D30FC4A">
      <w:pPr>
        <w:numPr>
          <w:ilvl w:val="0"/>
          <w:numId w:val="6"/>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第一章 竞争性磋商公告；</w:t>
      </w:r>
    </w:p>
    <w:p w14:paraId="256CFB40">
      <w:pPr>
        <w:numPr>
          <w:ilvl w:val="0"/>
          <w:numId w:val="6"/>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第二章 磋商须知；</w:t>
      </w:r>
    </w:p>
    <w:p w14:paraId="0EEEEB35">
      <w:pPr>
        <w:numPr>
          <w:ilvl w:val="0"/>
          <w:numId w:val="6"/>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第三章 评审办法</w:t>
      </w:r>
    </w:p>
    <w:p w14:paraId="6EC09A0D">
      <w:pPr>
        <w:numPr>
          <w:ilvl w:val="0"/>
          <w:numId w:val="6"/>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第四章 采购内容及需求；</w:t>
      </w:r>
    </w:p>
    <w:p w14:paraId="07F85AFA">
      <w:pPr>
        <w:numPr>
          <w:ilvl w:val="0"/>
          <w:numId w:val="6"/>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第五章 合同；</w:t>
      </w:r>
    </w:p>
    <w:p w14:paraId="16E3D9FC">
      <w:pPr>
        <w:numPr>
          <w:ilvl w:val="0"/>
          <w:numId w:val="6"/>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第六章 响应文件格式</w:t>
      </w:r>
    </w:p>
    <w:p w14:paraId="578B1C3B">
      <w:pPr>
        <w:numPr>
          <w:ilvl w:val="0"/>
          <w:numId w:val="6"/>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第七章 附件（如有）；</w:t>
      </w:r>
    </w:p>
    <w:p w14:paraId="49CC0752">
      <w:pPr>
        <w:numPr>
          <w:ilvl w:val="0"/>
          <w:numId w:val="6"/>
        </w:numPr>
        <w:autoSpaceDN w:val="0"/>
        <w:adjustRightInd w:val="0"/>
        <w:spacing w:line="360" w:lineRule="auto"/>
        <w:ind w:left="425"/>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竞争性磋商文件的澄清、修改文件以及磋商过程中对磋商文件作出的实质性变动（如有，另册）。</w:t>
      </w:r>
    </w:p>
    <w:p w14:paraId="4F245B01">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3.2 竞争性磋商文件的提疑</w:t>
      </w:r>
    </w:p>
    <w:p w14:paraId="7A72BF14">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3.2.1竞争性磋商文件提疑截止时间：</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7AC5132A">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3.2.2供应商应认真阅读通过“政府采购云平台”获取的竞争性磋商文件，如发现竞争性磋商文件或清单、图纸中有前后不一致或不清楚或有误的内容，应在“竞争性磋商文件提疑截止时间”前以书面形式向采购组织机构提出，否则造成的一切后果由供应商自行承担，采购组织机构概不负责；</w:t>
      </w:r>
    </w:p>
    <w:p w14:paraId="46691A80">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3.2.3采购组织机构将在收到供应商递交的《疑问函》后三个工作日内以书面形式答复供应商提出的问题，并将不包含问题来源的答复通知所有已登记获取竞争性磋商文件的供应商。</w:t>
      </w:r>
    </w:p>
    <w:p w14:paraId="711BBB88">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3.3 竞争性磋商文件的澄清、修改（更正）</w:t>
      </w:r>
    </w:p>
    <w:p w14:paraId="392C4835">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3.3.1采购人或者采购代理机构可以对已发出的竞争性磋商文件进行必要的澄清或者修改，澄清或修改将在原公告发布媒体上发布澄清或更正公告，并以传真或邮件（原文扫描件）或网上公告等形式告知所有已登记获取竞争性磋商文件的供应商；</w:t>
      </w:r>
    </w:p>
    <w:p w14:paraId="775275BB">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3.3.2竞争性磋商文件的澄清或者修改内容为竞争性磋商文件的组成部分，对所有参加本次采购活动的供应商均有约束力；</w:t>
      </w:r>
      <w:r>
        <w:rPr>
          <w:rFonts w:hint="eastAsia" w:ascii="仿宋" w:hAnsi="仿宋" w:eastAsia="仿宋" w:cs="Times New Roman"/>
          <w:color w:val="auto"/>
          <w:kern w:val="0"/>
          <w:sz w:val="24"/>
          <w:szCs w:val="20"/>
          <w:highlight w:val="none"/>
        </w:rPr>
        <w:t>当原竞争性磋商文件与澄清、修改的内容就同一事项的表述不一致时，以最后发出的文件为准；</w:t>
      </w:r>
    </w:p>
    <w:p w14:paraId="245F41E7">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3.3.3竞争性磋商文件的澄清、修改的内容影响到供应商磋商响应文件编制的，采购人或采购代理机构将按相关规定顺延磋商响应文件截止时间及开启时间，使之满足政府采购相关规定；</w:t>
      </w:r>
    </w:p>
    <w:p w14:paraId="195CB4F4">
      <w:pPr>
        <w:autoSpaceDN w:val="0"/>
        <w:spacing w:line="360" w:lineRule="auto"/>
        <w:ind w:left="1"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3.3.4供应商收到采购组织机构发出的澄清、修改（更正）文件后，应在24小时内向采购组织机构递交书面回执；</w:t>
      </w:r>
    </w:p>
    <w:p w14:paraId="14A287A1">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3.3.5供应商对收到的澄清、修改（更正）文件内容有疑问的，应当同时在书面回执中加注说明并与采购人或采购代理机构确认，疑问内容应加盖单位公章、写明日期；</w:t>
      </w:r>
    </w:p>
    <w:p w14:paraId="1A9CB4CC">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3.3.6任何口头形式的答复、说明均不属于竞争性磋商文件的组成部分。</w:t>
      </w:r>
    </w:p>
    <w:p w14:paraId="115AD0DE">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3.4 竞争性磋商文件的质疑</w:t>
      </w:r>
    </w:p>
    <w:p w14:paraId="57FA544A">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供应商认为竞争性磋商文件使自己的合法权益受到损害的，应当按照本章节第1.16.2款规定，以书面形式一次性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0A67418F">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51" w:name="_Toc96947063"/>
      <w:bookmarkStart w:id="52" w:name="_Toc1284"/>
      <w:r>
        <w:rPr>
          <w:rFonts w:hint="eastAsia" w:ascii="仿宋" w:hAnsi="仿宋" w:eastAsia="仿宋" w:cs="Times New Roman"/>
          <w:b/>
          <w:bCs/>
          <w:color w:val="auto"/>
          <w:sz w:val="28"/>
          <w:szCs w:val="28"/>
          <w:highlight w:val="none"/>
        </w:rPr>
        <w:t>四、磋商响应文件</w:t>
      </w:r>
      <w:bookmarkEnd w:id="51"/>
      <w:bookmarkEnd w:id="52"/>
    </w:p>
    <w:p w14:paraId="294FD8A7">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4.1 磋商响应文件的形式</w:t>
      </w:r>
    </w:p>
    <w:p w14:paraId="061FE5F1">
      <w:pPr>
        <w:autoSpaceDN w:val="0"/>
        <w:spacing w:line="360" w:lineRule="auto"/>
        <w:ind w:firstLine="426" w:firstLineChars="177"/>
        <w:rPr>
          <w:rFonts w:ascii="仿宋" w:hAnsi="仿宋" w:eastAsia="仿宋" w:cs="仿宋"/>
          <w:color w:val="auto"/>
          <w:sz w:val="24"/>
          <w:szCs w:val="20"/>
          <w:highlight w:val="none"/>
        </w:rPr>
      </w:pPr>
      <w:r>
        <w:rPr>
          <w:rFonts w:hint="eastAsia" w:ascii="仿宋" w:hAnsi="仿宋" w:eastAsia="仿宋" w:cs="仿宋"/>
          <w:b/>
          <w:color w:val="auto"/>
          <w:sz w:val="24"/>
          <w:szCs w:val="20"/>
          <w:highlight w:val="none"/>
        </w:rPr>
        <w:t>4.1.1磋商响应文件的形式：</w:t>
      </w:r>
      <w:r>
        <w:rPr>
          <w:rFonts w:hint="eastAsia" w:ascii="仿宋" w:hAnsi="仿宋" w:eastAsia="仿宋" w:cs="仿宋"/>
          <w:b/>
          <w:color w:val="auto"/>
          <w:sz w:val="24"/>
          <w:szCs w:val="20"/>
          <w:highlight w:val="none"/>
          <w:u w:val="single"/>
        </w:rPr>
        <w:t>电子加密磋商响应文件</w:t>
      </w:r>
      <w:r>
        <w:rPr>
          <w:rFonts w:hint="eastAsia" w:ascii="仿宋" w:hAnsi="仿宋" w:eastAsia="仿宋" w:cs="仿宋"/>
          <w:b/>
          <w:color w:val="auto"/>
          <w:sz w:val="24"/>
          <w:szCs w:val="20"/>
          <w:highlight w:val="none"/>
        </w:rPr>
        <w:t>（是指通过“政采云电子交易客户端”完成磋商响应文件编制后生成并加密的数据电文形式的磋商响应文件，文件格式“.jmbs”）。</w:t>
      </w:r>
    </w:p>
    <w:p w14:paraId="14F9EA2A">
      <w:pPr>
        <w:keepNext/>
        <w:keepLines/>
        <w:autoSpaceDN w:val="0"/>
        <w:spacing w:before="97" w:beforeLines="30" w:after="97" w:afterLines="30" w:line="360" w:lineRule="auto"/>
        <w:ind w:firstLine="284" w:firstLineChars="118"/>
        <w:outlineLvl w:val="2"/>
        <w:rPr>
          <w:rFonts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4.2 磋商响应文件的组成</w:t>
      </w:r>
    </w:p>
    <w:p w14:paraId="7D53369E">
      <w:pPr>
        <w:autoSpaceDN w:val="0"/>
        <w:spacing w:line="360" w:lineRule="auto"/>
        <w:ind w:firstLine="426" w:firstLineChars="177"/>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4.2.1</w:t>
      </w:r>
      <w:r>
        <w:rPr>
          <w:rFonts w:hint="eastAsia" w:ascii="仿宋" w:hAnsi="仿宋" w:eastAsia="仿宋" w:cs="仿宋"/>
          <w:b/>
          <w:color w:val="auto"/>
          <w:sz w:val="24"/>
          <w:szCs w:val="20"/>
          <w:highlight w:val="none"/>
        </w:rPr>
        <w:t>完整的磋商响应文件由《资格文件》、《商务技术文件》和《报价文件》三个部分组成</w:t>
      </w:r>
      <w:r>
        <w:rPr>
          <w:rFonts w:hint="eastAsia" w:ascii="仿宋" w:hAnsi="仿宋" w:eastAsia="仿宋" w:cs="仿宋"/>
          <w:b/>
          <w:color w:val="auto"/>
          <w:kern w:val="0"/>
          <w:sz w:val="24"/>
          <w:highlight w:val="none"/>
        </w:rPr>
        <w:t>（以下统称“磋商响应文件”）。</w:t>
      </w:r>
    </w:p>
    <w:p w14:paraId="015697BE">
      <w:pPr>
        <w:autoSpaceDN w:val="0"/>
        <w:spacing w:line="360" w:lineRule="auto"/>
        <w:ind w:firstLine="426" w:firstLineChars="177"/>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4.2.2磋商响应文件内容组成</w:t>
      </w:r>
    </w:p>
    <w:p w14:paraId="04B2AC15">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第一部分：《资格文件》组成内容（资格证明文件未提供或提供的资格证明材料不齐全的，资格审查作不通过处理，不得进入评审程序。）</w:t>
      </w:r>
    </w:p>
    <w:p w14:paraId="4D3D79ED">
      <w:pPr>
        <w:autoSpaceDN w:val="0"/>
        <w:spacing w:line="360" w:lineRule="auto"/>
        <w:ind w:firstLine="434" w:firstLineChars="200"/>
        <w:rPr>
          <w:rFonts w:ascii="仿宋" w:hAnsi="仿宋" w:eastAsia="仿宋" w:cs="Arial"/>
          <w:b/>
          <w:color w:val="auto"/>
          <w:w w:val="90"/>
          <w:kern w:val="0"/>
          <w:sz w:val="24"/>
          <w:szCs w:val="24"/>
          <w:highlight w:val="none"/>
        </w:rPr>
      </w:pPr>
      <w:r>
        <w:rPr>
          <w:rFonts w:hint="eastAsia" w:ascii="仿宋" w:hAnsi="仿宋" w:eastAsia="仿宋" w:cs="Arial"/>
          <w:b/>
          <w:color w:val="auto"/>
          <w:w w:val="90"/>
          <w:kern w:val="0"/>
          <w:sz w:val="24"/>
          <w:szCs w:val="24"/>
          <w:highlight w:val="none"/>
        </w:rPr>
        <w:t>▲ 1-1 符合“申请人的资格要求”第1条规定</w:t>
      </w:r>
      <w:r>
        <w:rPr>
          <w:rFonts w:hint="eastAsia" w:ascii="仿宋" w:hAnsi="仿宋" w:eastAsia="仿宋" w:cs="Times New Roman"/>
          <w:b/>
          <w:color w:val="auto"/>
          <w:kern w:val="0"/>
          <w:sz w:val="24"/>
          <w:szCs w:val="20"/>
          <w:highlight w:val="none"/>
        </w:rPr>
        <w:t>的证明文件的证明文件：</w:t>
      </w:r>
    </w:p>
    <w:p w14:paraId="1B498A34">
      <w:pPr>
        <w:autoSpaceDN w:val="0"/>
        <w:spacing w:line="360" w:lineRule="auto"/>
        <w:ind w:firstLine="432" w:firstLineChars="200"/>
        <w:rPr>
          <w:rFonts w:ascii="仿宋" w:hAnsi="仿宋" w:eastAsia="仿宋" w:cs="Arial"/>
          <w:b/>
          <w:color w:val="auto"/>
          <w:w w:val="90"/>
          <w:kern w:val="0"/>
          <w:sz w:val="24"/>
          <w:szCs w:val="24"/>
          <w:highlight w:val="none"/>
        </w:rPr>
      </w:pPr>
      <w:bookmarkStart w:id="53" w:name="_Hlk96938544"/>
      <w:r>
        <w:rPr>
          <w:rFonts w:hint="eastAsia" w:ascii="仿宋" w:hAnsi="仿宋" w:eastAsia="仿宋" w:cs="Arial"/>
          <w:color w:val="auto"/>
          <w:w w:val="90"/>
          <w:kern w:val="0"/>
          <w:sz w:val="24"/>
          <w:szCs w:val="24"/>
          <w:highlight w:val="none"/>
        </w:rPr>
        <w:t>▲</w:t>
      </w:r>
      <w:bookmarkEnd w:id="53"/>
      <w:r>
        <w:rPr>
          <w:rFonts w:hint="eastAsia" w:ascii="仿宋" w:hAnsi="仿宋" w:eastAsia="仿宋" w:cs="Arial"/>
          <w:b/>
          <w:color w:val="auto"/>
          <w:w w:val="90"/>
          <w:kern w:val="0"/>
          <w:sz w:val="24"/>
          <w:szCs w:val="24"/>
          <w:highlight w:val="none"/>
        </w:rPr>
        <w:t>（1）</w:t>
      </w:r>
      <w:r>
        <w:rPr>
          <w:rFonts w:hint="eastAsia" w:ascii="仿宋" w:hAnsi="仿宋" w:eastAsia="仿宋" w:cs="Arial"/>
          <w:b/>
          <w:color w:val="auto"/>
          <w:w w:val="90"/>
          <w:kern w:val="0"/>
          <w:sz w:val="24"/>
          <w:szCs w:val="24"/>
          <w:highlight w:val="none"/>
          <w:u w:val="single"/>
        </w:rPr>
        <w:t>资格承诺函（联合体各方均须提供）：承诺函（格式见第六章）</w:t>
      </w:r>
    </w:p>
    <w:p w14:paraId="650B2C66">
      <w:pPr>
        <w:autoSpaceDN w:val="0"/>
        <w:spacing w:line="360" w:lineRule="auto"/>
        <w:ind w:firstLine="651" w:firstLineChars="300"/>
        <w:rPr>
          <w:rFonts w:ascii="仿宋" w:hAnsi="仿宋" w:eastAsia="仿宋" w:cs="Arial"/>
          <w:b/>
          <w:color w:val="auto"/>
          <w:w w:val="90"/>
          <w:kern w:val="0"/>
          <w:sz w:val="24"/>
          <w:szCs w:val="24"/>
          <w:highlight w:val="none"/>
        </w:rPr>
      </w:pPr>
      <w:r>
        <w:rPr>
          <w:rFonts w:hint="eastAsia" w:ascii="仿宋" w:hAnsi="仿宋" w:eastAsia="仿宋" w:cs="Arial"/>
          <w:b/>
          <w:color w:val="auto"/>
          <w:w w:val="90"/>
          <w:kern w:val="0"/>
          <w:sz w:val="24"/>
          <w:szCs w:val="24"/>
          <w:highlight w:val="none"/>
        </w:rPr>
        <w:t>（2）</w:t>
      </w:r>
      <w:r>
        <w:rPr>
          <w:rFonts w:hint="eastAsia" w:ascii="仿宋" w:hAnsi="仿宋" w:eastAsia="仿宋" w:cs="Arial"/>
          <w:b/>
          <w:color w:val="auto"/>
          <w:w w:val="90"/>
          <w:kern w:val="0"/>
          <w:sz w:val="24"/>
          <w:szCs w:val="24"/>
          <w:highlight w:val="none"/>
          <w:u w:val="single"/>
        </w:rPr>
        <w:t>营业执照（或其他同类证明文件）：提供营业执照等证明文件（复制件加盖磋商响应供应商公章）</w:t>
      </w:r>
      <w:r>
        <w:rPr>
          <w:rFonts w:hint="eastAsia" w:ascii="仿宋" w:hAnsi="仿宋" w:eastAsia="仿宋" w:cs="Arial"/>
          <w:b/>
          <w:color w:val="auto"/>
          <w:w w:val="90"/>
          <w:kern w:val="0"/>
          <w:sz w:val="24"/>
          <w:szCs w:val="24"/>
          <w:highlight w:val="none"/>
        </w:rPr>
        <w:t>；</w:t>
      </w:r>
    </w:p>
    <w:p w14:paraId="233008DA">
      <w:pPr>
        <w:autoSpaceDN w:val="0"/>
        <w:spacing w:line="360" w:lineRule="auto"/>
        <w:ind w:firstLine="432" w:firstLineChars="200"/>
        <w:rPr>
          <w:rFonts w:ascii="仿宋" w:hAnsi="仿宋" w:eastAsia="仿宋" w:cs="Arial"/>
          <w:color w:val="auto"/>
          <w:w w:val="90"/>
          <w:kern w:val="0"/>
          <w:sz w:val="24"/>
          <w:szCs w:val="24"/>
          <w:highlight w:val="none"/>
        </w:rPr>
      </w:pPr>
      <w:bookmarkStart w:id="54" w:name="_Hlk96939541"/>
      <w:r>
        <w:rPr>
          <w:rFonts w:hint="eastAsia" w:ascii="仿宋" w:hAnsi="仿宋" w:eastAsia="仿宋" w:cs="Arial"/>
          <w:color w:val="auto"/>
          <w:w w:val="90"/>
          <w:kern w:val="0"/>
          <w:sz w:val="24"/>
          <w:szCs w:val="24"/>
          <w:highlight w:val="none"/>
        </w:rPr>
        <w:t xml:space="preserve">▲ </w:t>
      </w:r>
      <w:r>
        <w:rPr>
          <w:rFonts w:hint="eastAsia" w:ascii="仿宋" w:hAnsi="仿宋" w:eastAsia="仿宋" w:cs="Arial"/>
          <w:b/>
          <w:color w:val="auto"/>
          <w:w w:val="90"/>
          <w:kern w:val="0"/>
          <w:sz w:val="24"/>
          <w:szCs w:val="24"/>
          <w:highlight w:val="none"/>
          <w:u w:val="single"/>
        </w:rPr>
        <w:t>1-2 符合“申请人的资格要求”第2条“落实政府采购政策需满足的资格要求”规定的证明文件</w:t>
      </w:r>
    </w:p>
    <w:p w14:paraId="0848C96A">
      <w:pPr>
        <w:widowControl/>
        <w:autoSpaceDE w:val="0"/>
        <w:autoSpaceDN w:val="0"/>
        <w:spacing w:line="360" w:lineRule="auto"/>
        <w:ind w:firstLine="432" w:firstLineChars="200"/>
        <w:outlineLvl w:val="2"/>
        <w:rPr>
          <w:rFonts w:ascii="仿宋" w:hAnsi="仿宋" w:eastAsia="仿宋" w:cs="Arial"/>
          <w:b/>
          <w:color w:val="auto"/>
          <w:w w:val="90"/>
          <w:kern w:val="0"/>
          <w:sz w:val="24"/>
          <w:szCs w:val="24"/>
          <w:highlight w:val="none"/>
        </w:rPr>
      </w:pPr>
      <w:r>
        <w:rPr>
          <w:rFonts w:hint="eastAsia" w:ascii="仿宋" w:hAnsi="仿宋" w:eastAsia="仿宋" w:cs="Arial"/>
          <w:color w:val="auto"/>
          <w:w w:val="90"/>
          <w:kern w:val="0"/>
          <w:sz w:val="24"/>
          <w:szCs w:val="24"/>
          <w:highlight w:val="none"/>
        </w:rPr>
        <w:t>▲</w:t>
      </w:r>
      <w:r>
        <w:rPr>
          <w:rFonts w:hint="eastAsia" w:ascii="仿宋" w:hAnsi="仿宋" w:eastAsia="仿宋" w:cs="Arial"/>
          <w:b/>
          <w:color w:val="auto"/>
          <w:w w:val="90"/>
          <w:kern w:val="0"/>
          <w:sz w:val="24"/>
          <w:szCs w:val="24"/>
          <w:highlight w:val="none"/>
        </w:rPr>
        <w:t xml:space="preserve"> 中小企业声明函（格式见第六章）</w:t>
      </w:r>
    </w:p>
    <w:p w14:paraId="377CFCFF">
      <w:pPr>
        <w:autoSpaceDN w:val="0"/>
        <w:spacing w:line="360" w:lineRule="auto"/>
        <w:ind w:firstLine="480" w:firstLineChars="200"/>
        <w:rPr>
          <w:rFonts w:ascii="仿宋" w:hAnsi="仿宋" w:eastAsia="仿宋" w:cs="仿宋_GB2312"/>
          <w:color w:val="auto"/>
          <w:sz w:val="24"/>
          <w:szCs w:val="24"/>
          <w:highlight w:val="none"/>
        </w:rPr>
      </w:pPr>
      <w:r>
        <w:rPr>
          <w:rFonts w:hint="eastAsia" w:ascii="仿宋" w:hAnsi="仿宋" w:eastAsia="仿宋" w:cs="Times New Roman"/>
          <w:color w:val="auto"/>
          <w:sz w:val="24"/>
          <w:szCs w:val="24"/>
          <w:highlight w:val="none"/>
        </w:rPr>
        <w:t>提示和说明：</w:t>
      </w:r>
      <w:r>
        <w:rPr>
          <w:rFonts w:hint="eastAsia" w:ascii="仿宋" w:hAnsi="仿宋" w:eastAsia="仿宋" w:cs="仿宋_GB2312"/>
          <w:color w:val="auto"/>
          <w:sz w:val="24"/>
          <w:szCs w:val="24"/>
          <w:highlight w:val="none"/>
        </w:rPr>
        <w:t>符合《关于促进残疾人就业政府采购政策的通知》（财库〔2017〕141号）规定的条件并提供《残疾人福利性单位声明函》的残疾人福利性单位（如提供其他残疾人福利性单位</w:t>
      </w:r>
      <w:r>
        <w:rPr>
          <w:rFonts w:hint="eastAsia" w:ascii="仿宋" w:hAnsi="仿宋" w:eastAsia="仿宋" w:cs="仿宋_GB2312"/>
          <w:color w:val="auto"/>
          <w:sz w:val="24"/>
          <w:szCs w:val="24"/>
          <w:highlight w:val="none"/>
          <w:lang w:val="en-US" w:eastAsia="zh-CN"/>
        </w:rPr>
        <w:t>承接</w:t>
      </w:r>
      <w:r>
        <w:rPr>
          <w:rFonts w:hint="eastAsia" w:ascii="仿宋" w:hAnsi="仿宋" w:eastAsia="仿宋" w:cs="仿宋_GB2312"/>
          <w:color w:val="auto"/>
          <w:sz w:val="24"/>
          <w:szCs w:val="24"/>
          <w:highlight w:val="none"/>
        </w:rPr>
        <w:t>的</w:t>
      </w:r>
      <w:r>
        <w:rPr>
          <w:rFonts w:hint="eastAsia" w:ascii="仿宋" w:hAnsi="仿宋" w:eastAsia="仿宋" w:cs="仿宋_GB2312"/>
          <w:color w:val="auto"/>
          <w:sz w:val="24"/>
          <w:szCs w:val="24"/>
          <w:highlight w:val="none"/>
          <w:lang w:val="en-US" w:eastAsia="zh-CN"/>
        </w:rPr>
        <w:t>工程</w:t>
      </w:r>
      <w:r>
        <w:rPr>
          <w:rFonts w:hint="eastAsia" w:ascii="仿宋" w:hAnsi="仿宋" w:eastAsia="仿宋" w:cs="仿宋_GB2312"/>
          <w:color w:val="auto"/>
          <w:sz w:val="24"/>
          <w:szCs w:val="24"/>
          <w:highlight w:val="none"/>
        </w:rPr>
        <w:t>，还须同时提供该企业的残疾人福利性单位声明函）视同小型、微型企业；根据《关于政府采购支持监狱企业发展有关问题的通知》（财库[2014]68号）的规定，供应商提供由省级以上监狱管理局、戒毒管理局（含新疆生产建设兵团）出具的属于监狱企业证明文件的（如提供其他监狱企业</w:t>
      </w:r>
      <w:r>
        <w:rPr>
          <w:rFonts w:hint="eastAsia" w:ascii="仿宋" w:hAnsi="仿宋" w:eastAsia="仿宋" w:cs="仿宋_GB2312"/>
          <w:color w:val="auto"/>
          <w:sz w:val="24"/>
          <w:szCs w:val="24"/>
          <w:highlight w:val="none"/>
          <w:lang w:val="en-US" w:eastAsia="zh-CN"/>
        </w:rPr>
        <w:t>承接</w:t>
      </w:r>
      <w:r>
        <w:rPr>
          <w:rFonts w:hint="eastAsia" w:ascii="仿宋" w:hAnsi="仿宋" w:eastAsia="仿宋" w:cs="仿宋_GB2312"/>
          <w:color w:val="auto"/>
          <w:sz w:val="24"/>
          <w:szCs w:val="24"/>
          <w:highlight w:val="none"/>
        </w:rPr>
        <w:t>的</w:t>
      </w:r>
      <w:r>
        <w:rPr>
          <w:rFonts w:hint="eastAsia" w:ascii="仿宋" w:hAnsi="仿宋" w:eastAsia="仿宋" w:cs="仿宋_GB2312"/>
          <w:color w:val="auto"/>
          <w:sz w:val="24"/>
          <w:szCs w:val="24"/>
          <w:highlight w:val="none"/>
          <w:lang w:val="en-US" w:eastAsia="zh-CN"/>
        </w:rPr>
        <w:t>工程</w:t>
      </w:r>
      <w:r>
        <w:rPr>
          <w:rFonts w:hint="eastAsia" w:ascii="仿宋" w:hAnsi="仿宋" w:eastAsia="仿宋" w:cs="仿宋_GB2312"/>
          <w:color w:val="auto"/>
          <w:sz w:val="24"/>
          <w:szCs w:val="24"/>
          <w:highlight w:val="none"/>
        </w:rPr>
        <w:t>，还须同时提供该企业为监狱企业的证明文件），视同为小型和微型企业。</w:t>
      </w:r>
    </w:p>
    <w:p w14:paraId="71AE43EE">
      <w:pPr>
        <w:autoSpaceDN w:val="0"/>
        <w:spacing w:line="360" w:lineRule="auto"/>
        <w:ind w:firstLine="432" w:firstLineChars="200"/>
        <w:rPr>
          <w:rFonts w:ascii="仿宋" w:hAnsi="仿宋" w:eastAsia="仿宋" w:cs="Arial"/>
          <w:b/>
          <w:color w:val="auto"/>
          <w:w w:val="90"/>
          <w:kern w:val="0"/>
          <w:sz w:val="24"/>
          <w:szCs w:val="24"/>
          <w:highlight w:val="none"/>
        </w:rPr>
      </w:pPr>
      <w:r>
        <w:rPr>
          <w:rFonts w:hint="eastAsia" w:ascii="仿宋" w:hAnsi="仿宋" w:eastAsia="仿宋" w:cs="Arial"/>
          <w:color w:val="auto"/>
          <w:w w:val="90"/>
          <w:kern w:val="0"/>
          <w:sz w:val="24"/>
          <w:szCs w:val="24"/>
          <w:highlight w:val="none"/>
        </w:rPr>
        <w:t>▲</w:t>
      </w:r>
      <w:r>
        <w:rPr>
          <w:rFonts w:hint="eastAsia" w:ascii="仿宋" w:hAnsi="仿宋" w:eastAsia="仿宋" w:cs="Arial"/>
          <w:b/>
          <w:color w:val="auto"/>
          <w:w w:val="90"/>
          <w:kern w:val="0"/>
          <w:sz w:val="24"/>
          <w:szCs w:val="24"/>
          <w:highlight w:val="none"/>
        </w:rPr>
        <w:t>1-3</w:t>
      </w:r>
      <w:r>
        <w:rPr>
          <w:rFonts w:hint="eastAsia" w:ascii="仿宋" w:hAnsi="仿宋" w:eastAsia="仿宋" w:cs="Arial"/>
          <w:b/>
          <w:color w:val="auto"/>
          <w:w w:val="90"/>
          <w:kern w:val="0"/>
          <w:sz w:val="24"/>
          <w:szCs w:val="24"/>
          <w:highlight w:val="none"/>
          <w:u w:val="single"/>
        </w:rPr>
        <w:t>符合“申请人的资格要求”第3条“本项目的特定资格要求”的</w:t>
      </w:r>
      <w:r>
        <w:rPr>
          <w:rFonts w:hint="eastAsia" w:ascii="仿宋" w:hAnsi="仿宋" w:eastAsia="仿宋" w:cs="Arial"/>
          <w:b/>
          <w:i w:val="0"/>
          <w:iCs w:val="0"/>
          <w:color w:val="auto"/>
          <w:w w:val="90"/>
          <w:kern w:val="0"/>
          <w:sz w:val="24"/>
          <w:szCs w:val="24"/>
          <w:highlight w:val="none"/>
          <w:u w:val="single"/>
        </w:rPr>
        <w:t>证明文件</w:t>
      </w:r>
      <w:r>
        <w:rPr>
          <w:rFonts w:hint="eastAsia" w:ascii="仿宋" w:hAnsi="仿宋" w:eastAsia="仿宋" w:cs="Arial"/>
          <w:b/>
          <w:color w:val="auto"/>
          <w:w w:val="90"/>
          <w:kern w:val="0"/>
          <w:sz w:val="24"/>
          <w:szCs w:val="24"/>
          <w:highlight w:val="none"/>
        </w:rPr>
        <w:t>的证明材料：（格式见第六章）</w:t>
      </w:r>
    </w:p>
    <w:bookmarkEnd w:id="54"/>
    <w:p w14:paraId="6818B7AD">
      <w:pPr>
        <w:autoSpaceDN w:val="0"/>
        <w:spacing w:line="360" w:lineRule="auto"/>
        <w:ind w:firstLine="432" w:firstLineChars="200"/>
        <w:rPr>
          <w:rFonts w:ascii="仿宋" w:hAnsi="仿宋" w:eastAsia="仿宋" w:cs="Arial"/>
          <w:b/>
          <w:color w:val="auto"/>
          <w:w w:val="90"/>
          <w:kern w:val="0"/>
          <w:sz w:val="24"/>
          <w:szCs w:val="24"/>
          <w:highlight w:val="none"/>
        </w:rPr>
      </w:pPr>
      <w:r>
        <w:rPr>
          <w:rFonts w:hint="eastAsia" w:ascii="仿宋" w:hAnsi="仿宋" w:eastAsia="仿宋" w:cs="Arial"/>
          <w:color w:val="auto"/>
          <w:w w:val="90"/>
          <w:kern w:val="0"/>
          <w:sz w:val="24"/>
          <w:szCs w:val="24"/>
          <w:highlight w:val="none"/>
        </w:rPr>
        <w:t>▲</w:t>
      </w:r>
      <w:r>
        <w:rPr>
          <w:rFonts w:hint="eastAsia" w:ascii="仿宋" w:hAnsi="仿宋" w:eastAsia="仿宋" w:cs="Arial"/>
          <w:b/>
          <w:color w:val="auto"/>
          <w:w w:val="90"/>
          <w:kern w:val="0"/>
          <w:sz w:val="24"/>
          <w:szCs w:val="24"/>
          <w:highlight w:val="none"/>
        </w:rPr>
        <w:t>1-4联合投标协议书（仅联合体适用）（格式见第六章）</w:t>
      </w:r>
    </w:p>
    <w:p w14:paraId="7628E52A">
      <w:pPr>
        <w:autoSpaceDN w:val="0"/>
        <w:spacing w:line="360" w:lineRule="auto"/>
        <w:ind w:firstLine="432" w:firstLineChars="200"/>
        <w:rPr>
          <w:rFonts w:ascii="仿宋" w:hAnsi="仿宋" w:eastAsia="仿宋" w:cs="Arial"/>
          <w:b/>
          <w:color w:val="auto"/>
          <w:w w:val="90"/>
          <w:kern w:val="0"/>
          <w:sz w:val="24"/>
          <w:szCs w:val="24"/>
          <w:highlight w:val="none"/>
        </w:rPr>
      </w:pPr>
      <w:r>
        <w:rPr>
          <w:rFonts w:hint="eastAsia" w:ascii="仿宋" w:hAnsi="仿宋" w:eastAsia="仿宋" w:cs="Arial"/>
          <w:color w:val="auto"/>
          <w:w w:val="90"/>
          <w:kern w:val="0"/>
          <w:sz w:val="24"/>
          <w:szCs w:val="24"/>
          <w:highlight w:val="none"/>
        </w:rPr>
        <w:t>▲</w:t>
      </w:r>
      <w:r>
        <w:rPr>
          <w:rFonts w:hint="eastAsia" w:ascii="仿宋" w:hAnsi="仿宋" w:eastAsia="仿宋" w:cs="Arial"/>
          <w:b/>
          <w:color w:val="auto"/>
          <w:w w:val="90"/>
          <w:kern w:val="0"/>
          <w:sz w:val="24"/>
          <w:szCs w:val="24"/>
          <w:highlight w:val="none"/>
        </w:rPr>
        <w:t>1-5有效的《分包意向协议》（仅分包适用）</w:t>
      </w:r>
      <w:bookmarkStart w:id="55" w:name="_Hlk106785833"/>
      <w:r>
        <w:rPr>
          <w:rFonts w:hint="eastAsia" w:ascii="仿宋" w:hAnsi="仿宋" w:eastAsia="仿宋" w:cs="Arial"/>
          <w:b/>
          <w:color w:val="auto"/>
          <w:w w:val="90"/>
          <w:kern w:val="0"/>
          <w:sz w:val="24"/>
          <w:szCs w:val="24"/>
          <w:highlight w:val="none"/>
        </w:rPr>
        <w:t>（格式见第六章）</w:t>
      </w:r>
      <w:bookmarkEnd w:id="55"/>
    </w:p>
    <w:p w14:paraId="497FCCB9">
      <w:pPr>
        <w:autoSpaceDN w:val="0"/>
        <w:spacing w:line="360" w:lineRule="auto"/>
        <w:ind w:firstLine="482" w:firstLineChars="200"/>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第二部分：《商务技术文件》组成内容</w:t>
      </w:r>
    </w:p>
    <w:p w14:paraId="2EA4FEC4">
      <w:pPr>
        <w:autoSpaceDN w:val="0"/>
        <w:spacing w:line="360" w:lineRule="auto"/>
        <w:ind w:firstLine="434" w:firstLineChars="200"/>
        <w:jc w:val="left"/>
        <w:rPr>
          <w:rFonts w:ascii="仿宋" w:hAnsi="仿宋" w:eastAsia="仿宋" w:cs="Times New Roman"/>
          <w:b/>
          <w:bCs/>
          <w:color w:val="auto"/>
          <w:sz w:val="24"/>
          <w:szCs w:val="24"/>
          <w:highlight w:val="none"/>
        </w:rPr>
      </w:pPr>
      <w:bookmarkStart w:id="56" w:name="_Hlk96939561"/>
      <w:r>
        <w:rPr>
          <w:rFonts w:hint="eastAsia" w:ascii="仿宋" w:hAnsi="仿宋" w:eastAsia="仿宋" w:cs="Arial"/>
          <w:b/>
          <w:bCs/>
          <w:color w:val="auto"/>
          <w:w w:val="90"/>
          <w:kern w:val="0"/>
          <w:sz w:val="24"/>
          <w:szCs w:val="24"/>
          <w:highlight w:val="none"/>
        </w:rPr>
        <w:t>▲</w:t>
      </w:r>
      <w:bookmarkEnd w:id="56"/>
      <w:r>
        <w:rPr>
          <w:rFonts w:hint="eastAsia" w:ascii="仿宋" w:hAnsi="仿宋" w:eastAsia="仿宋" w:cs="Arial"/>
          <w:b/>
          <w:bCs/>
          <w:color w:val="auto"/>
          <w:w w:val="90"/>
          <w:kern w:val="0"/>
          <w:sz w:val="24"/>
          <w:szCs w:val="24"/>
          <w:highlight w:val="none"/>
        </w:rPr>
        <w:t xml:space="preserve"> </w:t>
      </w:r>
      <w:r>
        <w:rPr>
          <w:rFonts w:hint="eastAsia" w:ascii="仿宋" w:hAnsi="仿宋" w:eastAsia="仿宋" w:cs="Times New Roman"/>
          <w:b/>
          <w:bCs/>
          <w:color w:val="auto"/>
          <w:sz w:val="24"/>
          <w:szCs w:val="24"/>
          <w:highlight w:val="none"/>
        </w:rPr>
        <w:t xml:space="preserve">2-1 </w:t>
      </w:r>
      <w:r>
        <w:rPr>
          <w:rFonts w:hint="eastAsia" w:ascii="仿宋" w:hAnsi="仿宋" w:eastAsia="仿宋" w:cs="Times New Roman"/>
          <w:b/>
          <w:bCs/>
          <w:color w:val="auto"/>
          <w:sz w:val="24"/>
          <w:szCs w:val="24"/>
          <w:highlight w:val="none"/>
          <w:u w:val="single"/>
        </w:rPr>
        <w:t>关于投标文件所有内容真实有效的承诺函：（格式见第六章）</w:t>
      </w:r>
    </w:p>
    <w:p w14:paraId="7D8DED54">
      <w:pPr>
        <w:autoSpaceDN w:val="0"/>
        <w:spacing w:line="360" w:lineRule="auto"/>
        <w:ind w:firstLine="434" w:firstLineChars="200"/>
        <w:jc w:val="left"/>
        <w:rPr>
          <w:rFonts w:ascii="仿宋" w:hAnsi="仿宋" w:eastAsia="仿宋" w:cs="Times New Roman"/>
          <w:b/>
          <w:bCs/>
          <w:color w:val="auto"/>
          <w:sz w:val="24"/>
          <w:szCs w:val="24"/>
          <w:highlight w:val="none"/>
        </w:rPr>
      </w:pPr>
      <w:r>
        <w:rPr>
          <w:rFonts w:hint="eastAsia" w:ascii="仿宋" w:hAnsi="仿宋" w:eastAsia="仿宋" w:cs="Arial"/>
          <w:b/>
          <w:bCs/>
          <w:color w:val="auto"/>
          <w:w w:val="90"/>
          <w:kern w:val="0"/>
          <w:sz w:val="24"/>
          <w:szCs w:val="24"/>
          <w:highlight w:val="none"/>
        </w:rPr>
        <w:t xml:space="preserve">▲ </w:t>
      </w:r>
      <w:r>
        <w:rPr>
          <w:rFonts w:hint="eastAsia" w:ascii="仿宋" w:hAnsi="仿宋" w:eastAsia="仿宋" w:cs="Times New Roman"/>
          <w:b/>
          <w:bCs/>
          <w:color w:val="auto"/>
          <w:sz w:val="24"/>
          <w:szCs w:val="24"/>
          <w:highlight w:val="none"/>
        </w:rPr>
        <w:t>2-2</w:t>
      </w:r>
      <w:r>
        <w:rPr>
          <w:rFonts w:hint="eastAsia" w:ascii="仿宋" w:hAnsi="仿宋" w:eastAsia="仿宋" w:cs="Times New Roman"/>
          <w:b/>
          <w:bCs/>
          <w:color w:val="auto"/>
          <w:sz w:val="24"/>
          <w:szCs w:val="24"/>
          <w:highlight w:val="none"/>
          <w:u w:val="single"/>
        </w:rPr>
        <w:t>法定代表人资格证明书</w:t>
      </w:r>
      <w:r>
        <w:rPr>
          <w:rFonts w:hint="eastAsia" w:ascii="仿宋" w:hAnsi="仿宋" w:eastAsia="仿宋" w:cs="Times New Roman"/>
          <w:b/>
          <w:bCs/>
          <w:color w:val="auto"/>
          <w:sz w:val="24"/>
          <w:szCs w:val="24"/>
          <w:highlight w:val="none"/>
        </w:rPr>
        <w:t>；</w:t>
      </w:r>
    </w:p>
    <w:p w14:paraId="448DBBB5">
      <w:pPr>
        <w:autoSpaceDN w:val="0"/>
        <w:spacing w:line="360" w:lineRule="auto"/>
        <w:ind w:firstLine="434" w:firstLineChars="200"/>
        <w:jc w:val="left"/>
        <w:rPr>
          <w:rFonts w:ascii="仿宋" w:hAnsi="仿宋" w:eastAsia="仿宋" w:cs="Times New Roman"/>
          <w:bCs/>
          <w:color w:val="auto"/>
          <w:sz w:val="24"/>
          <w:szCs w:val="24"/>
          <w:highlight w:val="none"/>
        </w:rPr>
      </w:pPr>
      <w:r>
        <w:rPr>
          <w:rFonts w:hint="eastAsia" w:ascii="仿宋" w:hAnsi="仿宋" w:eastAsia="仿宋" w:cs="Arial"/>
          <w:b/>
          <w:bCs/>
          <w:color w:val="auto"/>
          <w:w w:val="90"/>
          <w:kern w:val="0"/>
          <w:sz w:val="24"/>
          <w:szCs w:val="24"/>
          <w:highlight w:val="none"/>
        </w:rPr>
        <w:t xml:space="preserve">▲ </w:t>
      </w:r>
      <w:r>
        <w:rPr>
          <w:rFonts w:hint="eastAsia" w:ascii="仿宋" w:hAnsi="仿宋" w:eastAsia="仿宋" w:cs="Times New Roman"/>
          <w:b/>
          <w:bCs/>
          <w:color w:val="auto"/>
          <w:sz w:val="24"/>
          <w:szCs w:val="24"/>
          <w:highlight w:val="none"/>
        </w:rPr>
        <w:t>2-3</w:t>
      </w:r>
      <w:r>
        <w:rPr>
          <w:rFonts w:hint="eastAsia" w:ascii="仿宋" w:hAnsi="仿宋" w:eastAsia="仿宋" w:cs="Times New Roman"/>
          <w:b/>
          <w:bCs/>
          <w:color w:val="auto"/>
          <w:sz w:val="24"/>
          <w:szCs w:val="24"/>
          <w:highlight w:val="none"/>
          <w:u w:val="single"/>
        </w:rPr>
        <w:t>法定代表人授权委托书</w:t>
      </w:r>
      <w:r>
        <w:rPr>
          <w:rFonts w:hint="eastAsia" w:ascii="仿宋" w:hAnsi="仿宋" w:eastAsia="仿宋" w:cs="Times New Roman"/>
          <w:b/>
          <w:bCs/>
          <w:color w:val="auto"/>
          <w:sz w:val="24"/>
          <w:szCs w:val="24"/>
          <w:highlight w:val="none"/>
        </w:rPr>
        <w:t>（</w:t>
      </w:r>
      <w:r>
        <w:rPr>
          <w:rFonts w:hint="eastAsia" w:ascii="仿宋" w:hAnsi="仿宋" w:eastAsia="仿宋" w:cs="Times New Roman"/>
          <w:bCs/>
          <w:color w:val="auto"/>
          <w:sz w:val="24"/>
          <w:szCs w:val="24"/>
          <w:highlight w:val="none"/>
        </w:rPr>
        <w:t>法定代表人授权其公司员工签署及参加磋商响应的，在磋商响应文件中同时出具法定代表人资格证明书及此授权书）；</w:t>
      </w:r>
    </w:p>
    <w:p w14:paraId="01F43F6F">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2-4</w:t>
      </w:r>
      <w:r>
        <w:rPr>
          <w:rFonts w:hint="eastAsia" w:ascii="仿宋" w:hAnsi="仿宋" w:eastAsia="仿宋" w:cs="Times New Roman"/>
          <w:b/>
          <w:bCs/>
          <w:color w:val="auto"/>
          <w:sz w:val="24"/>
          <w:szCs w:val="24"/>
          <w:highlight w:val="none"/>
          <w:u w:val="single"/>
        </w:rPr>
        <w:t>磋商响应供应商履约能力评价证明材料</w:t>
      </w:r>
      <w:r>
        <w:rPr>
          <w:rFonts w:hint="eastAsia" w:ascii="仿宋" w:hAnsi="仿宋" w:eastAsia="仿宋" w:cs="Times New Roman"/>
          <w:b/>
          <w:bCs/>
          <w:color w:val="auto"/>
          <w:sz w:val="24"/>
          <w:szCs w:val="24"/>
          <w:highlight w:val="none"/>
        </w:rPr>
        <w:t>；</w:t>
      </w:r>
    </w:p>
    <w:p w14:paraId="665F8575">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2-5</w:t>
      </w:r>
      <w:r>
        <w:rPr>
          <w:rFonts w:hint="eastAsia" w:ascii="仿宋" w:hAnsi="仿宋" w:eastAsia="仿宋" w:cs="Times New Roman"/>
          <w:b/>
          <w:bCs/>
          <w:color w:val="auto"/>
          <w:sz w:val="24"/>
          <w:szCs w:val="24"/>
          <w:highlight w:val="none"/>
          <w:u w:val="single"/>
        </w:rPr>
        <w:t>磋商响应供应商类似项目业绩情况</w:t>
      </w:r>
      <w:r>
        <w:rPr>
          <w:rFonts w:hint="eastAsia" w:ascii="仿宋" w:hAnsi="仿宋" w:eastAsia="仿宋" w:cs="Times New Roman"/>
          <w:b/>
          <w:bCs/>
          <w:color w:val="auto"/>
          <w:sz w:val="24"/>
          <w:szCs w:val="24"/>
          <w:highlight w:val="none"/>
        </w:rPr>
        <w:t>；</w:t>
      </w:r>
    </w:p>
    <w:p w14:paraId="4EFA61F5">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2-6</w:t>
      </w:r>
      <w:r>
        <w:rPr>
          <w:rFonts w:hint="eastAsia" w:ascii="仿宋" w:hAnsi="仿宋" w:eastAsia="仿宋" w:cs="Times New Roman"/>
          <w:b/>
          <w:bCs/>
          <w:color w:val="auto"/>
          <w:sz w:val="24"/>
          <w:szCs w:val="24"/>
          <w:highlight w:val="none"/>
          <w:u w:val="single"/>
        </w:rPr>
        <w:t>拟派项目经理类似项目业绩情况</w:t>
      </w:r>
      <w:r>
        <w:rPr>
          <w:rFonts w:hint="eastAsia" w:ascii="仿宋" w:hAnsi="仿宋" w:eastAsia="仿宋" w:cs="Times New Roman"/>
          <w:b/>
          <w:bCs/>
          <w:color w:val="auto"/>
          <w:sz w:val="24"/>
          <w:szCs w:val="24"/>
          <w:highlight w:val="none"/>
        </w:rPr>
        <w:t>；</w:t>
      </w:r>
    </w:p>
    <w:p w14:paraId="2D22E37A">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2-7</w:t>
      </w:r>
      <w:r>
        <w:rPr>
          <w:rFonts w:hint="eastAsia" w:ascii="仿宋" w:hAnsi="仿宋" w:eastAsia="仿宋" w:cs="Times New Roman"/>
          <w:b/>
          <w:bCs/>
          <w:color w:val="auto"/>
          <w:sz w:val="24"/>
          <w:szCs w:val="24"/>
          <w:highlight w:val="none"/>
          <w:u w:val="single"/>
        </w:rPr>
        <w:t>商务技术偏离表</w:t>
      </w:r>
      <w:r>
        <w:rPr>
          <w:rFonts w:hint="eastAsia" w:ascii="仿宋" w:hAnsi="仿宋" w:eastAsia="仿宋" w:cs="Times New Roman"/>
          <w:b/>
          <w:bCs/>
          <w:color w:val="auto"/>
          <w:sz w:val="24"/>
          <w:szCs w:val="24"/>
          <w:highlight w:val="none"/>
        </w:rPr>
        <w:t>；</w:t>
      </w:r>
    </w:p>
    <w:p w14:paraId="60131A99">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2-8</w:t>
      </w:r>
      <w:r>
        <w:rPr>
          <w:rFonts w:hint="eastAsia" w:ascii="仿宋" w:hAnsi="仿宋" w:eastAsia="仿宋" w:cs="Times New Roman"/>
          <w:b/>
          <w:bCs/>
          <w:color w:val="auto"/>
          <w:sz w:val="24"/>
          <w:szCs w:val="24"/>
          <w:highlight w:val="none"/>
          <w:u w:val="single"/>
        </w:rPr>
        <w:t>施工组织设计</w:t>
      </w:r>
      <w:r>
        <w:rPr>
          <w:rFonts w:hint="eastAsia" w:ascii="仿宋" w:hAnsi="仿宋" w:eastAsia="仿宋" w:cs="Times New Roman"/>
          <w:b/>
          <w:bCs/>
          <w:color w:val="auto"/>
          <w:sz w:val="24"/>
          <w:szCs w:val="24"/>
          <w:highlight w:val="none"/>
        </w:rPr>
        <w:t>；</w:t>
      </w:r>
    </w:p>
    <w:p w14:paraId="3F4CAA81">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2-9</w:t>
      </w:r>
      <w:r>
        <w:rPr>
          <w:rFonts w:hint="eastAsia" w:ascii="仿宋" w:hAnsi="仿宋" w:eastAsia="仿宋" w:cs="Times New Roman"/>
          <w:b/>
          <w:bCs/>
          <w:color w:val="auto"/>
          <w:sz w:val="24"/>
          <w:szCs w:val="24"/>
          <w:highlight w:val="none"/>
          <w:u w:val="single"/>
        </w:rPr>
        <w:t>技术（服务）方案</w:t>
      </w:r>
      <w:r>
        <w:rPr>
          <w:rFonts w:hint="eastAsia" w:ascii="仿宋" w:hAnsi="仿宋" w:eastAsia="仿宋" w:cs="Times New Roman"/>
          <w:b/>
          <w:bCs/>
          <w:color w:val="auto"/>
          <w:sz w:val="24"/>
          <w:szCs w:val="24"/>
          <w:highlight w:val="none"/>
        </w:rPr>
        <w:t>；</w:t>
      </w:r>
    </w:p>
    <w:p w14:paraId="1E1DE89C">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2-10</w:t>
      </w:r>
      <w:r>
        <w:rPr>
          <w:rFonts w:hint="eastAsia" w:ascii="仿宋" w:hAnsi="仿宋" w:eastAsia="仿宋" w:cs="Times New Roman"/>
          <w:b/>
          <w:bCs/>
          <w:color w:val="auto"/>
          <w:sz w:val="24"/>
          <w:szCs w:val="24"/>
          <w:highlight w:val="none"/>
          <w:u w:val="single"/>
        </w:rPr>
        <w:t>节能、环保产品证明材料</w:t>
      </w:r>
      <w:r>
        <w:rPr>
          <w:rFonts w:hint="eastAsia" w:ascii="仿宋" w:hAnsi="仿宋" w:eastAsia="仿宋" w:cs="Times New Roman"/>
          <w:b/>
          <w:bCs/>
          <w:color w:val="auto"/>
          <w:sz w:val="24"/>
          <w:szCs w:val="24"/>
          <w:highlight w:val="none"/>
        </w:rPr>
        <w:t>；</w:t>
      </w:r>
    </w:p>
    <w:p w14:paraId="44A88A5A">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2-11</w:t>
      </w:r>
      <w:r>
        <w:rPr>
          <w:rFonts w:hint="eastAsia" w:ascii="仿宋" w:hAnsi="仿宋" w:eastAsia="仿宋" w:cs="Times New Roman"/>
          <w:b/>
          <w:bCs/>
          <w:color w:val="auto"/>
          <w:sz w:val="24"/>
          <w:szCs w:val="24"/>
          <w:highlight w:val="none"/>
          <w:u w:val="single"/>
        </w:rPr>
        <w:t>主要材料推荐品牌</w:t>
      </w:r>
      <w:r>
        <w:rPr>
          <w:rFonts w:hint="eastAsia" w:ascii="仿宋" w:hAnsi="仿宋" w:eastAsia="仿宋" w:cs="Times New Roman"/>
          <w:b/>
          <w:bCs/>
          <w:color w:val="auto"/>
          <w:sz w:val="24"/>
          <w:szCs w:val="24"/>
          <w:highlight w:val="none"/>
        </w:rPr>
        <w:t>；</w:t>
      </w:r>
    </w:p>
    <w:p w14:paraId="1B587946">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2-12</w:t>
      </w:r>
      <w:r>
        <w:rPr>
          <w:rFonts w:hint="eastAsia" w:ascii="仿宋" w:hAnsi="仿宋" w:eastAsia="仿宋" w:cs="Times New Roman"/>
          <w:b/>
          <w:bCs/>
          <w:color w:val="auto"/>
          <w:sz w:val="24"/>
          <w:szCs w:val="24"/>
          <w:highlight w:val="none"/>
          <w:u w:val="single"/>
        </w:rPr>
        <w:t>其他资料（格式自拟）</w:t>
      </w:r>
      <w:r>
        <w:rPr>
          <w:rFonts w:hint="eastAsia" w:ascii="仿宋" w:hAnsi="仿宋" w:eastAsia="仿宋" w:cs="Times New Roman"/>
          <w:b/>
          <w:bCs/>
          <w:color w:val="auto"/>
          <w:sz w:val="24"/>
          <w:szCs w:val="24"/>
          <w:highlight w:val="none"/>
        </w:rPr>
        <w:t>。</w:t>
      </w:r>
    </w:p>
    <w:p w14:paraId="0FD88482">
      <w:pPr>
        <w:autoSpaceDN w:val="0"/>
        <w:spacing w:line="360" w:lineRule="auto"/>
        <w:ind w:firstLine="482" w:firstLineChars="200"/>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第三部分：《报价文件》组成内容</w:t>
      </w:r>
    </w:p>
    <w:p w14:paraId="2730785F">
      <w:pPr>
        <w:autoSpaceDN w:val="0"/>
        <w:spacing w:line="360" w:lineRule="auto"/>
        <w:ind w:firstLine="723" w:firstLineChars="3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u w:val="single"/>
        </w:rPr>
        <w:t>投标函</w:t>
      </w:r>
      <w:r>
        <w:rPr>
          <w:rFonts w:hint="eastAsia" w:ascii="仿宋" w:hAnsi="仿宋" w:eastAsia="仿宋" w:cs="仿宋"/>
          <w:b/>
          <w:bCs/>
          <w:color w:val="auto"/>
          <w:sz w:val="24"/>
          <w:szCs w:val="24"/>
          <w:highlight w:val="none"/>
        </w:rPr>
        <w:t>；</w:t>
      </w:r>
    </w:p>
    <w:p w14:paraId="18FB515B">
      <w:pPr>
        <w:autoSpaceDN w:val="0"/>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u w:val="single"/>
        </w:rPr>
        <w:t>工程量清单及计价表</w:t>
      </w:r>
      <w:r>
        <w:rPr>
          <w:rFonts w:hint="eastAsia" w:ascii="仿宋" w:hAnsi="仿宋" w:eastAsia="仿宋" w:cs="仿宋"/>
          <w:b/>
          <w:bCs/>
          <w:color w:val="auto"/>
          <w:sz w:val="24"/>
          <w:szCs w:val="24"/>
          <w:highlight w:val="none"/>
        </w:rPr>
        <w:t>；</w:t>
      </w:r>
    </w:p>
    <w:p w14:paraId="3240FC82">
      <w:pPr>
        <w:autoSpaceDE w:val="0"/>
        <w:autoSpaceDN w:val="0"/>
        <w:adjustRightInd w:val="0"/>
        <w:spacing w:line="360" w:lineRule="auto"/>
        <w:ind w:firstLine="482" w:firstLineChars="200"/>
        <w:jc w:val="left"/>
        <w:rPr>
          <w:rFonts w:ascii="仿宋" w:hAnsi="仿宋" w:eastAsia="仿宋" w:cs="仿宋"/>
          <w:bCs/>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u w:val="single"/>
        </w:rPr>
        <w:t>供应商认为其他需要提供的资料（格式自拟）</w:t>
      </w:r>
      <w:r>
        <w:rPr>
          <w:rFonts w:hint="eastAsia" w:ascii="仿宋" w:hAnsi="仿宋" w:eastAsia="仿宋" w:cs="仿宋"/>
          <w:b/>
          <w:bCs/>
          <w:color w:val="auto"/>
          <w:sz w:val="24"/>
          <w:szCs w:val="24"/>
          <w:highlight w:val="none"/>
        </w:rPr>
        <w:t>。</w:t>
      </w:r>
    </w:p>
    <w:p w14:paraId="53B4088E">
      <w:pPr>
        <w:autoSpaceDN w:val="0"/>
        <w:spacing w:line="360" w:lineRule="auto"/>
        <w:ind w:firstLine="542" w:firstLineChars="225"/>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注：以上目录是编制响应文件的基本格式要求，各供应商可根据自身情况进一步细化。</w:t>
      </w:r>
    </w:p>
    <w:p w14:paraId="46E7457A">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4.3 磋商响应文件的编制</w:t>
      </w:r>
    </w:p>
    <w:p w14:paraId="7AE825E1">
      <w:pPr>
        <w:autoSpaceDN w:val="0"/>
        <w:spacing w:line="360" w:lineRule="auto"/>
        <w:ind w:firstLine="422" w:firstLineChars="175"/>
        <w:rPr>
          <w:rFonts w:ascii="仿宋" w:hAnsi="仿宋" w:eastAsia="仿宋" w:cs="Arial"/>
          <w:b/>
          <w:color w:val="auto"/>
          <w:sz w:val="24"/>
          <w:szCs w:val="24"/>
          <w:highlight w:val="none"/>
        </w:rPr>
      </w:pPr>
      <w:r>
        <w:rPr>
          <w:rFonts w:hint="eastAsia" w:ascii="仿宋" w:hAnsi="仿宋" w:eastAsia="仿宋" w:cs="Arial"/>
          <w:b/>
          <w:color w:val="auto"/>
          <w:kern w:val="0"/>
          <w:sz w:val="24"/>
          <w:szCs w:val="24"/>
          <w:highlight w:val="none"/>
        </w:rPr>
        <w:t>4.3.1</w:t>
      </w:r>
      <w:r>
        <w:rPr>
          <w:rFonts w:hint="eastAsia" w:ascii="仿宋" w:hAnsi="仿宋" w:eastAsia="仿宋" w:cs="Arial"/>
          <w:b/>
          <w:color w:val="auto"/>
          <w:sz w:val="24"/>
          <w:szCs w:val="24"/>
          <w:highlight w:val="none"/>
        </w:rPr>
        <w:t>依据《浙江省政府采购项目电子交易管理暂行办法》，本项目通过“政府采购云平台”（网址：</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Fonts w:hint="eastAsia" w:ascii="仿宋" w:hAnsi="仿宋" w:eastAsia="仿宋" w:cs="Arial"/>
          <w:b/>
          <w:color w:val="auto"/>
          <w:sz w:val="24"/>
          <w:szCs w:val="24"/>
          <w:highlight w:val="none"/>
          <w:u w:val="single"/>
        </w:rPr>
        <w:t>www.zcygov.cn</w:t>
      </w:r>
      <w:r>
        <w:rPr>
          <w:rFonts w:hint="eastAsia" w:ascii="仿宋" w:hAnsi="仿宋" w:eastAsia="仿宋" w:cs="Arial"/>
          <w:b/>
          <w:color w:val="auto"/>
          <w:sz w:val="24"/>
          <w:szCs w:val="24"/>
          <w:highlight w:val="none"/>
          <w:u w:val="single"/>
        </w:rPr>
        <w:fldChar w:fldCharType="end"/>
      </w:r>
      <w:r>
        <w:rPr>
          <w:rFonts w:hint="eastAsia" w:ascii="仿宋" w:hAnsi="仿宋" w:eastAsia="仿宋" w:cs="Arial"/>
          <w:b/>
          <w:color w:val="auto"/>
          <w:sz w:val="24"/>
          <w:szCs w:val="24"/>
          <w:highlight w:val="none"/>
        </w:rPr>
        <w:t>）实行电子交易（在线磋商响应）。供应商参加本项目电子交易应当安装“政采云电子交易客户端”，并按照本竞争性磋商文件和“政府采购云平台”的要求编制并加密磋商响应文件。</w:t>
      </w:r>
      <w:r>
        <w:rPr>
          <w:rFonts w:hint="eastAsia" w:ascii="仿宋" w:hAnsi="仿宋" w:eastAsia="仿宋" w:cs="Arial"/>
          <w:b/>
          <w:color w:val="auto"/>
          <w:sz w:val="24"/>
          <w:szCs w:val="24"/>
          <w:highlight w:val="none"/>
          <w:u w:val="single"/>
        </w:rPr>
        <w:t>供应商未按规定加密的磋商响应文件，“政府采购云平台”将予以拒收</w:t>
      </w:r>
      <w:r>
        <w:rPr>
          <w:rFonts w:hint="eastAsia" w:ascii="仿宋" w:hAnsi="仿宋" w:eastAsia="仿宋" w:cs="Arial"/>
          <w:b/>
          <w:color w:val="auto"/>
          <w:sz w:val="24"/>
          <w:szCs w:val="24"/>
          <w:highlight w:val="none"/>
        </w:rPr>
        <w:t>。</w:t>
      </w:r>
    </w:p>
    <w:p w14:paraId="5E979A61">
      <w:pPr>
        <w:autoSpaceDN w:val="0"/>
        <w:spacing w:line="360" w:lineRule="auto"/>
        <w:ind w:firstLine="422" w:firstLineChars="175"/>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4.3.2供应商应当按照本章节第4.2.2款规定的内容在“政采云电子交易客户端”编制磋商响应文件。</w:t>
      </w:r>
    </w:p>
    <w:p w14:paraId="618D68C5">
      <w:pPr>
        <w:autoSpaceDN w:val="0"/>
        <w:spacing w:line="360" w:lineRule="auto"/>
        <w:ind w:firstLine="422" w:firstLineChars="175"/>
        <w:rPr>
          <w:rFonts w:ascii="仿宋" w:hAnsi="仿宋" w:eastAsia="仿宋" w:cs="Times New Roman"/>
          <w:b/>
          <w:color w:val="auto"/>
          <w:sz w:val="24"/>
          <w:szCs w:val="24"/>
          <w:highlight w:val="none"/>
        </w:rPr>
      </w:pPr>
      <w:r>
        <w:rPr>
          <w:rFonts w:hint="eastAsia" w:ascii="仿宋" w:hAnsi="仿宋" w:eastAsia="仿宋" w:cs="Arial"/>
          <w:b/>
          <w:color w:val="auto"/>
          <w:kern w:val="0"/>
          <w:sz w:val="24"/>
          <w:szCs w:val="24"/>
          <w:highlight w:val="none"/>
        </w:rPr>
        <w:t>4.3.3</w:t>
      </w:r>
      <w:r>
        <w:rPr>
          <w:rFonts w:hint="eastAsia" w:ascii="仿宋" w:hAnsi="仿宋" w:eastAsia="仿宋" w:cs="Times New Roman"/>
          <w:b/>
          <w:color w:val="auto"/>
          <w:sz w:val="24"/>
          <w:szCs w:val="24"/>
          <w:highlight w:val="none"/>
        </w:rPr>
        <w:t>本文件《第六章 响应文件格式》中有提供格式的，供应商应按照格式进行编制（格式中要求提供相关证明材料的还需后附相关证明材料），并按格式要求在指定位置根据要求进行签章，否则视为未提供；本文件《第六章响应文件格式》未提供格式的，请供应商自行拟定格式，并加盖单位公章，否则视为未提供。</w:t>
      </w:r>
    </w:p>
    <w:p w14:paraId="270A6982">
      <w:pPr>
        <w:autoSpaceDN w:val="0"/>
        <w:spacing w:line="360" w:lineRule="auto"/>
        <w:ind w:firstLine="422" w:firstLineChars="175"/>
        <w:rPr>
          <w:rFonts w:ascii="仿宋" w:hAnsi="仿宋" w:eastAsia="仿宋" w:cs="Times New Roman"/>
          <w:color w:val="auto"/>
          <w:sz w:val="24"/>
          <w:szCs w:val="24"/>
          <w:highlight w:val="none"/>
        </w:rPr>
      </w:pPr>
      <w:r>
        <w:rPr>
          <w:rFonts w:hint="eastAsia" w:ascii="仿宋" w:hAnsi="仿宋" w:eastAsia="仿宋" w:cs="Times New Roman"/>
          <w:b/>
          <w:color w:val="auto"/>
          <w:sz w:val="24"/>
          <w:szCs w:val="24"/>
          <w:highlight w:val="none"/>
        </w:rPr>
        <w:t>4.3.4</w:t>
      </w:r>
      <w:r>
        <w:rPr>
          <w:rFonts w:hint="eastAsia" w:ascii="仿宋" w:hAnsi="仿宋" w:eastAsia="仿宋" w:cs="Arial"/>
          <w:b/>
          <w:color w:val="auto"/>
          <w:kern w:val="0"/>
          <w:sz w:val="24"/>
          <w:szCs w:val="24"/>
          <w:highlight w:val="none"/>
        </w:rPr>
        <w:t>本章节第4.2.2款内容中约定</w:t>
      </w:r>
      <w:r>
        <w:rPr>
          <w:rFonts w:hint="eastAsia" w:ascii="仿宋" w:hAnsi="仿宋" w:eastAsia="仿宋" w:cs="Times New Roman"/>
          <w:b/>
          <w:color w:val="auto"/>
          <w:sz w:val="24"/>
          <w:szCs w:val="24"/>
          <w:highlight w:val="none"/>
        </w:rPr>
        <w:t>可以提供扫描件（或复制件）的相关证明材料必须加盖供应商公章，否则视为未提供</w:t>
      </w:r>
      <w:r>
        <w:rPr>
          <w:rFonts w:hint="eastAsia" w:ascii="仿宋" w:hAnsi="仿宋" w:eastAsia="仿宋" w:cs="Times New Roman"/>
          <w:color w:val="auto"/>
          <w:sz w:val="24"/>
          <w:szCs w:val="24"/>
          <w:highlight w:val="none"/>
        </w:rPr>
        <w:t>（例如：各类资格资质证书、业绩材料、许可材料、荣誉证书、产品注册登记材料、产品检测材料、验收材料等）。</w:t>
      </w:r>
    </w:p>
    <w:p w14:paraId="6FF7FD41">
      <w:pPr>
        <w:autoSpaceDN w:val="0"/>
        <w:spacing w:line="360" w:lineRule="auto"/>
        <w:ind w:firstLine="422" w:firstLineChars="175"/>
        <w:rPr>
          <w:rFonts w:ascii="仿宋" w:hAnsi="仿宋" w:eastAsia="仿宋" w:cs="Arial"/>
          <w:b/>
          <w:color w:val="auto"/>
          <w:kern w:val="0"/>
          <w:sz w:val="24"/>
          <w:szCs w:val="24"/>
          <w:highlight w:val="none"/>
        </w:rPr>
      </w:pPr>
      <w:r>
        <w:rPr>
          <w:rFonts w:hint="eastAsia" w:ascii="仿宋" w:hAnsi="仿宋" w:eastAsia="仿宋" w:cs="Times New Roman"/>
          <w:b/>
          <w:color w:val="auto"/>
          <w:sz w:val="24"/>
          <w:szCs w:val="24"/>
          <w:highlight w:val="none"/>
        </w:rPr>
        <w:t>4.3.5</w:t>
      </w:r>
      <w:r>
        <w:rPr>
          <w:rFonts w:hint="eastAsia" w:ascii="仿宋" w:hAnsi="仿宋" w:eastAsia="仿宋" w:cs="Arial"/>
          <w:b/>
          <w:color w:val="auto"/>
          <w:kern w:val="0"/>
          <w:sz w:val="24"/>
          <w:szCs w:val="24"/>
          <w:highlight w:val="none"/>
        </w:rPr>
        <w:t>本章节第4.2.2款内容中标注“▲”的内容为必须提供的内容，未提供的磋商响应文件无效。</w:t>
      </w:r>
    </w:p>
    <w:p w14:paraId="22EE179E">
      <w:pPr>
        <w:autoSpaceDN w:val="0"/>
        <w:spacing w:line="360" w:lineRule="auto"/>
        <w:ind w:firstLine="420" w:firstLineChars="175"/>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4.3.6《磋商响应文件》内容不完整、编排混乱导致《磋商响应文件》被误读、漏读或者查找不到相关内容的，是磋商响应供应商的责任。</w:t>
      </w:r>
    </w:p>
    <w:p w14:paraId="18661BBD">
      <w:pPr>
        <w:autoSpaceDN w:val="0"/>
        <w:spacing w:line="360" w:lineRule="auto"/>
        <w:ind w:firstLine="420" w:firstLineChars="175"/>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4.3.7《磋商响应文件》因字迹潦草或表达不清所引起的后果由磋商响应供应商负责。</w:t>
      </w:r>
    </w:p>
    <w:p w14:paraId="66A3595C">
      <w:pPr>
        <w:autoSpaceDN w:val="0"/>
        <w:spacing w:line="360" w:lineRule="auto"/>
        <w:ind w:firstLine="420" w:firstLineChars="175"/>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4.3.8</w:t>
      </w:r>
      <w:r>
        <w:rPr>
          <w:rFonts w:hint="eastAsia" w:ascii="仿宋" w:hAnsi="仿宋" w:eastAsia="仿宋" w:cs="Arial"/>
          <w:color w:val="auto"/>
          <w:kern w:val="0"/>
          <w:sz w:val="24"/>
          <w:highlight w:val="none"/>
        </w:rPr>
        <w:t>磋商响应供应商没有按照</w:t>
      </w:r>
      <w:r>
        <w:rPr>
          <w:rFonts w:hint="eastAsia" w:ascii="仿宋" w:hAnsi="仿宋" w:eastAsia="仿宋" w:cs="Arial"/>
          <w:color w:val="auto"/>
          <w:kern w:val="0"/>
          <w:sz w:val="24"/>
          <w:szCs w:val="24"/>
          <w:highlight w:val="none"/>
        </w:rPr>
        <w:t>本章节第4.2.2款“</w:t>
      </w:r>
      <w:r>
        <w:rPr>
          <w:rFonts w:hint="eastAsia" w:ascii="仿宋" w:hAnsi="仿宋" w:eastAsia="仿宋" w:cs="Arial"/>
          <w:color w:val="auto"/>
          <w:kern w:val="0"/>
          <w:sz w:val="24"/>
          <w:highlight w:val="none"/>
        </w:rPr>
        <w:t>磋商响应文件内容组成</w:t>
      </w:r>
      <w:r>
        <w:rPr>
          <w:rFonts w:hint="eastAsia" w:ascii="仿宋" w:hAnsi="仿宋" w:eastAsia="仿宋" w:cs="Arial"/>
          <w:color w:val="auto"/>
          <w:kern w:val="0"/>
          <w:sz w:val="24"/>
          <w:szCs w:val="24"/>
          <w:highlight w:val="none"/>
        </w:rPr>
        <w:t>”</w:t>
      </w:r>
      <w:r>
        <w:rPr>
          <w:rFonts w:hint="eastAsia" w:ascii="仿宋" w:hAnsi="仿宋" w:eastAsia="仿宋" w:cs="Arial"/>
          <w:color w:val="auto"/>
          <w:kern w:val="0"/>
          <w:sz w:val="24"/>
          <w:highlight w:val="none"/>
        </w:rPr>
        <w:t>要求提供全部资料，或者没有仔细阅读竞争性磋商文件，或者没有对竞争性磋商文件在各方面的要求作出实质性响应是磋商响应供应商的风险，由此造成的一切后果由磋商响应供应商自行承担。</w:t>
      </w:r>
    </w:p>
    <w:p w14:paraId="6D920775">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4.4 磋商响应文件的签章</w:t>
      </w:r>
    </w:p>
    <w:p w14:paraId="65EB394B">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4.4.1磋商响应文件的签章形式：</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sz w:val="24"/>
          <w:szCs w:val="24"/>
          <w:highlight w:val="none"/>
        </w:rPr>
        <w:t>；</w:t>
      </w:r>
    </w:p>
    <w:p w14:paraId="2237E0B9">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szCs w:val="24"/>
          <w:highlight w:val="none"/>
        </w:rPr>
        <w:t>4.4.2《磋商响应文件》内容应按</w:t>
      </w:r>
      <w:r>
        <w:rPr>
          <w:rFonts w:hint="eastAsia" w:ascii="仿宋" w:hAnsi="仿宋" w:eastAsia="仿宋" w:cs="Arial"/>
          <w:b/>
          <w:color w:val="auto"/>
          <w:sz w:val="24"/>
          <w:szCs w:val="24"/>
          <w:highlight w:val="none"/>
        </w:rPr>
        <w:t>《第</w:t>
      </w:r>
      <w:r>
        <w:rPr>
          <w:rFonts w:hint="eastAsia" w:ascii="仿宋" w:hAnsi="仿宋" w:eastAsia="仿宋" w:cs="Arial"/>
          <w:b/>
          <w:color w:val="auto"/>
          <w:sz w:val="24"/>
          <w:szCs w:val="24"/>
          <w:highlight w:val="none"/>
          <w:lang w:val="en-US" w:eastAsia="zh-CN"/>
        </w:rPr>
        <w:t>二</w:t>
      </w:r>
      <w:r>
        <w:rPr>
          <w:rFonts w:hint="eastAsia" w:ascii="仿宋" w:hAnsi="仿宋" w:eastAsia="仿宋" w:cs="Arial"/>
          <w:b/>
          <w:color w:val="auto"/>
          <w:sz w:val="24"/>
          <w:szCs w:val="24"/>
          <w:highlight w:val="none"/>
        </w:rPr>
        <w:t>章 磋商须知》规定和</w:t>
      </w:r>
      <w:r>
        <w:rPr>
          <w:rFonts w:hint="eastAsia" w:ascii="仿宋" w:hAnsi="仿宋" w:eastAsia="仿宋" w:cs="Arial"/>
          <w:b/>
          <w:color w:val="auto"/>
          <w:kern w:val="0"/>
          <w:sz w:val="24"/>
          <w:szCs w:val="24"/>
          <w:highlight w:val="none"/>
        </w:rPr>
        <w:t>《第六章 响应文件格式》</w:t>
      </w:r>
      <w:r>
        <w:rPr>
          <w:rFonts w:hint="eastAsia" w:ascii="仿宋" w:hAnsi="仿宋" w:eastAsia="仿宋" w:cs="Arial"/>
          <w:b/>
          <w:color w:val="auto"/>
          <w:sz w:val="24"/>
          <w:szCs w:val="24"/>
          <w:highlight w:val="none"/>
        </w:rPr>
        <w:t>标注的要求进行盖章、签署</w:t>
      </w:r>
      <w:r>
        <w:rPr>
          <w:rFonts w:hint="eastAsia" w:ascii="仿宋" w:hAnsi="仿宋" w:eastAsia="仿宋" w:cs="Arial"/>
          <w:b/>
          <w:color w:val="auto"/>
          <w:kern w:val="0"/>
          <w:sz w:val="24"/>
          <w:szCs w:val="24"/>
          <w:highlight w:val="none"/>
        </w:rPr>
        <w:t>，应签章而未签章的材料视为未提供。请各供应商详细查阅本章节第4.3款“磋商响应文件的编制”规定（磋商响应供应商为自然人的，须由自然人本人签字（或盖章），同时提供自然人本人有效身份证明材料，否则视为未提供）。</w:t>
      </w:r>
    </w:p>
    <w:p w14:paraId="2C85F2C9">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4.5 磋商报价</w:t>
      </w:r>
    </w:p>
    <w:p w14:paraId="1D4C03D1">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4.5.1磋商报价应按《第六章 响应文件格式》中提供的相关报价格式填写；</w:t>
      </w:r>
    </w:p>
    <w:p w14:paraId="0F71C59E">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sz w:val="24"/>
          <w:szCs w:val="24"/>
          <w:highlight w:val="none"/>
        </w:rPr>
        <w:t>4.5.2本项目最高限价：</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b/>
          <w:color w:val="auto"/>
          <w:kern w:val="0"/>
          <w:sz w:val="24"/>
          <w:szCs w:val="24"/>
          <w:highlight w:val="none"/>
        </w:rPr>
        <w:t>；</w:t>
      </w:r>
    </w:p>
    <w:p w14:paraId="1309B180">
      <w:pPr>
        <w:autoSpaceDN w:val="0"/>
        <w:spacing w:line="360" w:lineRule="auto"/>
        <w:ind w:firstLine="424" w:firstLineChars="176"/>
        <w:rPr>
          <w:rFonts w:ascii="仿宋" w:hAnsi="仿宋" w:eastAsia="仿宋" w:cs="Arial"/>
          <w:b/>
          <w:color w:val="auto"/>
          <w:kern w:val="0"/>
          <w:sz w:val="24"/>
          <w:szCs w:val="24"/>
          <w:highlight w:val="none"/>
          <w:u w:val="single"/>
        </w:rPr>
      </w:pPr>
      <w:r>
        <w:rPr>
          <w:rFonts w:hint="eastAsia" w:ascii="仿宋" w:hAnsi="仿宋" w:eastAsia="仿宋" w:cs="Arial"/>
          <w:b/>
          <w:color w:val="auto"/>
          <w:kern w:val="0"/>
          <w:sz w:val="24"/>
          <w:szCs w:val="24"/>
          <w:highlight w:val="none"/>
          <w:u w:val="single"/>
        </w:rPr>
        <w:t>4.5.3《磋商响应文件》针对每个标项每一轮只允许有一个报价，不接受有选择报价的磋商响应（作无效标处理）；</w:t>
      </w:r>
    </w:p>
    <w:p w14:paraId="17EB44C1">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4.5.5最低报价不是成交的保证，采购人及采购代理机构不作任何落标解释。</w:t>
      </w:r>
    </w:p>
    <w:p w14:paraId="6384037D">
      <w:pPr>
        <w:autoSpaceDN w:val="0"/>
        <w:spacing w:before="120" w:after="120" w:line="360" w:lineRule="auto"/>
        <w:ind w:firstLine="480"/>
        <w:rPr>
          <w:rFonts w:ascii="仿宋" w:hAnsi="仿宋" w:eastAsia="仿宋" w:cs="Times New Roman"/>
          <w:b/>
          <w:color w:val="auto"/>
          <w:sz w:val="24"/>
          <w:highlight w:val="none"/>
        </w:rPr>
      </w:pPr>
      <w:r>
        <w:rPr>
          <w:rFonts w:hint="eastAsia" w:ascii="仿宋" w:hAnsi="仿宋" w:eastAsia="仿宋"/>
          <w:b/>
          <w:color w:val="auto"/>
          <w:sz w:val="24"/>
          <w:highlight w:val="none"/>
        </w:rPr>
        <w:t>4.5.6 ▲</w:t>
      </w:r>
      <w:r>
        <w:rPr>
          <w:rFonts w:hint="eastAsia" w:ascii="仿宋" w:hAnsi="仿宋" w:eastAsia="仿宋" w:cs="Arial"/>
          <w:b/>
          <w:color w:val="auto"/>
          <w:kern w:val="0"/>
          <w:sz w:val="24"/>
          <w:highlight w:val="none"/>
          <w:u w:val="single"/>
        </w:rPr>
        <w:t>本次磋商报价为含税人民币价</w:t>
      </w:r>
      <w:r>
        <w:rPr>
          <w:rFonts w:hint="eastAsia" w:ascii="仿宋" w:hAnsi="仿宋" w:eastAsia="仿宋" w:cs="Arial"/>
          <w:b/>
          <w:color w:val="auto"/>
          <w:kern w:val="0"/>
          <w:sz w:val="24"/>
          <w:highlight w:val="none"/>
        </w:rPr>
        <w:t>。</w:t>
      </w:r>
    </w:p>
    <w:p w14:paraId="026EF15C">
      <w:pPr>
        <w:autoSpaceDN w:val="0"/>
        <w:adjustRightInd w:val="0"/>
        <w:snapToGrid w:val="0"/>
        <w:spacing w:line="360" w:lineRule="auto"/>
        <w:ind w:firstLine="480" w:firstLineChars="200"/>
        <w:rPr>
          <w:rFonts w:ascii="仿宋" w:hAnsi="仿宋" w:eastAsia="仿宋" w:cs="宋体"/>
          <w:bCs/>
          <w:color w:val="auto"/>
          <w:sz w:val="24"/>
          <w:highlight w:val="none"/>
        </w:rPr>
      </w:pPr>
      <w:r>
        <w:rPr>
          <w:rFonts w:hint="eastAsia" w:ascii="仿宋" w:hAnsi="仿宋" w:eastAsia="仿宋" w:cs="宋体"/>
          <w:color w:val="auto"/>
          <w:sz w:val="24"/>
          <w:highlight w:val="none"/>
        </w:rPr>
        <w:t>4.5.7磋商报价为磋商响应供应商的磋商响应文件中提出的各项支付金额的总和。</w:t>
      </w:r>
    </w:p>
    <w:p w14:paraId="7DD569E9">
      <w:pPr>
        <w:autoSpaceDN w:val="0"/>
        <w:spacing w:before="120" w:after="120" w:line="360" w:lineRule="auto"/>
        <w:ind w:firstLine="480"/>
        <w:rPr>
          <w:rFonts w:ascii="仿宋" w:hAnsi="仿宋" w:eastAsia="仿宋"/>
          <w:b/>
          <w:bCs/>
          <w:color w:val="auto"/>
          <w:sz w:val="24"/>
          <w:highlight w:val="none"/>
        </w:rPr>
      </w:pPr>
      <w:r>
        <w:rPr>
          <w:rFonts w:hint="eastAsia" w:ascii="仿宋" w:hAnsi="仿宋" w:eastAsia="仿宋"/>
          <w:b/>
          <w:color w:val="auto"/>
          <w:sz w:val="24"/>
          <w:highlight w:val="none"/>
        </w:rPr>
        <w:t>4.5.8采用工程量清单报价的，磋商响应供应商应按清单中列出的工程项目填报单价和合价。每一项目只允许有一个报价。任何有选择的报价将不予接受，磋商响应供应商未填单价或合价的工程项目，在实施后，采购人将不予以支付，并视作该项费用已包括在其它有价款的单价或合价内</w:t>
      </w:r>
      <w:r>
        <w:rPr>
          <w:rFonts w:hint="eastAsia" w:ascii="仿宋" w:hAnsi="仿宋" w:eastAsia="仿宋"/>
          <w:b/>
          <w:bCs/>
          <w:color w:val="auto"/>
          <w:sz w:val="24"/>
          <w:highlight w:val="none"/>
        </w:rPr>
        <w:t>。</w:t>
      </w:r>
    </w:p>
    <w:p w14:paraId="263B923D">
      <w:pPr>
        <w:autoSpaceDN w:val="0"/>
        <w:spacing w:before="162" w:beforeLines="50" w:after="162" w:afterLines="50" w:line="360" w:lineRule="auto"/>
        <w:ind w:firstLine="420"/>
        <w:rPr>
          <w:rFonts w:ascii="仿宋" w:hAnsi="仿宋" w:eastAsia="仿宋" w:cs="Times New Roman"/>
          <w:bCs/>
          <w:color w:val="auto"/>
          <w:kern w:val="0"/>
          <w:sz w:val="24"/>
          <w:szCs w:val="24"/>
          <w:highlight w:val="none"/>
        </w:rPr>
      </w:pPr>
      <w:r>
        <w:rPr>
          <w:rFonts w:hint="eastAsia" w:ascii="仿宋" w:hAnsi="仿宋" w:eastAsia="仿宋" w:cs="Times New Roman"/>
          <w:color w:val="auto"/>
          <w:kern w:val="0"/>
          <w:sz w:val="24"/>
          <w:szCs w:val="24"/>
          <w:highlight w:val="none"/>
        </w:rPr>
        <w:t>4.5.9</w:t>
      </w:r>
      <w:r>
        <w:rPr>
          <w:rFonts w:hint="eastAsia" w:ascii="仿宋" w:hAnsi="仿宋" w:eastAsia="仿宋" w:cs="Times New Roman"/>
          <w:bCs/>
          <w:color w:val="auto"/>
          <w:kern w:val="0"/>
          <w:sz w:val="24"/>
          <w:szCs w:val="24"/>
          <w:highlight w:val="none"/>
        </w:rPr>
        <w:t>技术规范要求和设计施工图中所列的施工技术要求所产生的费用均应包括在磋商报价中。上述要求凡采购人提供的工程量清单中未列入的，由磋商响应供应商在相应的分部分项工程量清单项目的综合单价中考虑，采购人不单独列项支付；</w:t>
      </w:r>
    </w:p>
    <w:p w14:paraId="34DBFA30">
      <w:pPr>
        <w:autoSpaceDN w:val="0"/>
        <w:spacing w:line="360" w:lineRule="auto"/>
        <w:ind w:firstLine="420"/>
        <w:rPr>
          <w:rFonts w:ascii="仿宋" w:hAnsi="仿宋" w:eastAsia="仿宋" w:cs="Times New Roman"/>
          <w:bCs/>
          <w:color w:val="auto"/>
          <w:sz w:val="24"/>
          <w:szCs w:val="24"/>
          <w:highlight w:val="none"/>
        </w:rPr>
      </w:pPr>
      <w:r>
        <w:rPr>
          <w:rFonts w:hint="eastAsia" w:ascii="仿宋" w:hAnsi="仿宋" w:eastAsia="仿宋" w:cs="Times New Roman"/>
          <w:color w:val="auto"/>
          <w:sz w:val="24"/>
          <w:szCs w:val="24"/>
          <w:highlight w:val="none"/>
        </w:rPr>
        <w:t>4.5.10</w:t>
      </w:r>
      <w:r>
        <w:rPr>
          <w:rFonts w:hint="eastAsia" w:ascii="仿宋" w:hAnsi="仿宋" w:eastAsia="仿宋" w:cs="Times New Roman"/>
          <w:b/>
          <w:color w:val="auto"/>
          <w:sz w:val="24"/>
          <w:szCs w:val="24"/>
          <w:highlight w:val="none"/>
          <w:u w:val="single"/>
        </w:rPr>
        <w:t>凡在磋商报价中涉及到规费、税金、企业管理费、措施费等国家、省、市强制性要求的费用，若磋商响应供应商报价不足或未报价，则视作</w:t>
      </w:r>
      <w:r>
        <w:rPr>
          <w:rFonts w:hint="eastAsia" w:ascii="仿宋" w:hAnsi="仿宋" w:eastAsia="仿宋" w:cs="Times New Roman"/>
          <w:b/>
          <w:color w:val="auto"/>
          <w:sz w:val="24"/>
          <w:szCs w:val="24"/>
          <w:highlight w:val="none"/>
          <w:u w:val="single"/>
          <w:lang w:val="en-US" w:eastAsia="zh-CN"/>
        </w:rPr>
        <w:t>无效标</w:t>
      </w:r>
      <w:r>
        <w:rPr>
          <w:rFonts w:hint="eastAsia" w:ascii="仿宋" w:hAnsi="仿宋" w:eastAsia="仿宋" w:cs="Times New Roman"/>
          <w:b/>
          <w:color w:val="auto"/>
          <w:sz w:val="24"/>
          <w:szCs w:val="24"/>
          <w:highlight w:val="none"/>
          <w:u w:val="single"/>
        </w:rPr>
        <w:t>。竞争性磋商报价以最后报价为准，单价同比例调整（暂列金不调整）</w:t>
      </w:r>
      <w:r>
        <w:rPr>
          <w:rFonts w:hint="eastAsia" w:ascii="仿宋" w:hAnsi="仿宋" w:eastAsia="仿宋" w:cs="Times New Roman"/>
          <w:b/>
          <w:color w:val="auto"/>
          <w:sz w:val="24"/>
          <w:szCs w:val="24"/>
          <w:highlight w:val="none"/>
        </w:rPr>
        <w:t>。</w:t>
      </w:r>
    </w:p>
    <w:p w14:paraId="3FB91992">
      <w:pPr>
        <w:autoSpaceDN w:val="0"/>
        <w:spacing w:before="162" w:beforeLines="50" w:after="162" w:afterLines="50" w:line="360" w:lineRule="auto"/>
        <w:ind w:firstLine="480"/>
        <w:rPr>
          <w:rFonts w:ascii="仿宋" w:hAnsi="仿宋" w:eastAsia="仿宋" w:cs="Times New Roman"/>
          <w:color w:val="auto"/>
          <w:kern w:val="0"/>
          <w:sz w:val="24"/>
          <w:szCs w:val="24"/>
          <w:highlight w:val="none"/>
          <w:u w:val="single"/>
        </w:rPr>
      </w:pPr>
      <w:r>
        <w:rPr>
          <w:rFonts w:hint="eastAsia" w:ascii="仿宋" w:hAnsi="仿宋" w:eastAsia="仿宋" w:cs="Times New Roman"/>
          <w:color w:val="auto"/>
          <w:kern w:val="0"/>
          <w:sz w:val="24"/>
          <w:szCs w:val="24"/>
          <w:highlight w:val="none"/>
        </w:rPr>
        <w:t>4.5.11除非合同中另有规定，磋商响应供应商在磋商总价中的价格均包括完成该工程项目的直接费、间接费、利润、税金、风险费等所有费用；</w:t>
      </w:r>
    </w:p>
    <w:p w14:paraId="514EDE1C">
      <w:pPr>
        <w:autoSpaceDN w:val="0"/>
        <w:spacing w:before="162" w:beforeLines="50" w:after="162" w:afterLines="50" w:line="360" w:lineRule="auto"/>
        <w:ind w:firstLine="48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4.5.12磋商响应供应商应先到工地踏勘以充分了解工地位置、情况、道路、储存空间、装卸限制及任何其它足以影响承包价的情况，任何因忽视或误解工地情况而导致的索赔或工期延长申请将不获批准；</w:t>
      </w:r>
    </w:p>
    <w:p w14:paraId="6D6A8D96">
      <w:pPr>
        <w:autoSpaceDN w:val="0"/>
        <w:adjustRightInd w:val="0"/>
        <w:snapToGrid w:val="0"/>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4.5.13除非本磋商文件对工程量清单编制和报价另有说明的，否则，磋商响应供应商应按工程量清单中的项目和数量进行报价。</w:t>
      </w:r>
    </w:p>
    <w:p w14:paraId="202A72F2">
      <w:pPr>
        <w:autoSpaceDN w:val="0"/>
        <w:adjustRightInd w:val="0"/>
        <w:snapToGrid w:val="0"/>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4.5.14本项目磋商文件提供的工程量清单是根据采购人提供的图纸（如有）及工作联系函的要求按工程量计算规则的要求计量并提供的，供应商在提疑截止时间前同样应根据采购人提供的图纸（如有）及工作联系函按计算规则计算工程量，并对工程量及列项的完整性进行复核。供应商对工程量清单中的工程量及项目中不合理或缺漏项部分可以书面形式提出疑问，采购人将以磋商文件补充文件或答疑文件的形式书面给以解答和修订。采购人最终确认的工程量清单及提供的图纸（如有）、联系函即作为本工程报价的依据，各供应商须严格按照最终确认的工程量清单进行报价，任何偏离工程量清单的响应报价所引起的一切后果由供应商自行承担。</w:t>
      </w:r>
    </w:p>
    <w:p w14:paraId="1A3AD8C0">
      <w:pPr>
        <w:autoSpaceDN w:val="0"/>
        <w:adjustRightInd w:val="0"/>
        <w:snapToGrid w:val="0"/>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4.5.15供应商采购过程中对采购人提供的最终工程量清单未提出异议的，须在磋商单价及磋商总价中充分考虑固定总价合同可能存在的工程量与图纸（如有）不一致的风险。</w:t>
      </w:r>
    </w:p>
    <w:p w14:paraId="55AE1F1D">
      <w:pPr>
        <w:autoSpaceDN w:val="0"/>
        <w:adjustRightInd w:val="0"/>
        <w:snapToGrid w:val="0"/>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4.5.16供应商须在磋商总价中考虑人、材、机可能的价格变化。</w:t>
      </w:r>
    </w:p>
    <w:p w14:paraId="10B00F6F">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4.6 磋商响应文件的有效期</w:t>
      </w:r>
    </w:p>
    <w:p w14:paraId="45F98A1D">
      <w:pPr>
        <w:autoSpaceDN w:val="0"/>
        <w:spacing w:line="360" w:lineRule="auto"/>
        <w:ind w:firstLine="422" w:firstLineChars="175"/>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4.6.1《磋商响应文件》有效期：</w:t>
      </w:r>
      <w:r>
        <w:rPr>
          <w:rFonts w:hint="eastAsia" w:ascii="仿宋" w:hAnsi="仿宋" w:eastAsia="仿宋" w:cs="Arial"/>
          <w:b/>
          <w:color w:val="auto"/>
          <w:kern w:val="0"/>
          <w:sz w:val="24"/>
          <w:szCs w:val="24"/>
          <w:highlight w:val="none"/>
          <w:u w:val="single"/>
        </w:rPr>
        <w:t>见《磋商须知前附表》</w:t>
      </w:r>
      <w:r>
        <w:rPr>
          <w:rFonts w:hint="eastAsia" w:ascii="仿宋" w:hAnsi="仿宋" w:eastAsia="仿宋" w:cs="Arial"/>
          <w:b/>
          <w:color w:val="auto"/>
          <w:kern w:val="0"/>
          <w:sz w:val="24"/>
          <w:szCs w:val="24"/>
          <w:highlight w:val="none"/>
        </w:rPr>
        <w:t>，《磋商响应文件》有效期少于这个规定期限的投标将作无效标处理；</w:t>
      </w:r>
    </w:p>
    <w:p w14:paraId="205F0CDD">
      <w:pPr>
        <w:autoSpaceDN w:val="0"/>
        <w:spacing w:line="360" w:lineRule="auto"/>
        <w:ind w:firstLine="420" w:firstLineChars="175"/>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4.6.2在特殊情况下，采购人可与磋商响应供应商协商延长《磋商响应文件》的有效期，协商过程以书面形式进行；</w:t>
      </w:r>
    </w:p>
    <w:p w14:paraId="3009F99B">
      <w:pPr>
        <w:autoSpaceDN w:val="0"/>
        <w:spacing w:line="360" w:lineRule="auto"/>
        <w:ind w:firstLine="420" w:firstLineChars="175"/>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4.6.3磋商响应供应商可拒绝接受延期要求，同意延长有效期的磋商响应供应商不能修改《磋商响应文件》；</w:t>
      </w:r>
    </w:p>
    <w:p w14:paraId="2E90D907">
      <w:pPr>
        <w:autoSpaceDN w:val="0"/>
        <w:spacing w:line="360" w:lineRule="auto"/>
        <w:ind w:firstLine="420" w:firstLineChars="175"/>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4.6.4成交供应商的《磋商响应文件》作为合同组成部分，其有效期自动延长至合同履行完毕止；</w:t>
      </w:r>
    </w:p>
    <w:p w14:paraId="3E03F610">
      <w:pPr>
        <w:autoSpaceDN w:val="0"/>
        <w:spacing w:line="360" w:lineRule="auto"/>
        <w:ind w:firstLine="422" w:firstLineChars="175"/>
        <w:rPr>
          <w:rFonts w:ascii="仿宋" w:hAnsi="仿宋" w:eastAsia="仿宋" w:cs="Arial"/>
          <w:color w:val="auto"/>
          <w:kern w:val="0"/>
          <w:sz w:val="24"/>
          <w:szCs w:val="24"/>
          <w:highlight w:val="none"/>
        </w:rPr>
      </w:pPr>
      <w:r>
        <w:rPr>
          <w:rFonts w:hint="eastAsia" w:ascii="仿宋" w:hAnsi="仿宋" w:eastAsia="仿宋" w:cs="Arial"/>
          <w:b/>
          <w:color w:val="auto"/>
          <w:kern w:val="0"/>
          <w:sz w:val="24"/>
          <w:szCs w:val="24"/>
          <w:highlight w:val="none"/>
        </w:rPr>
        <w:t>4.6.5磋商响应供应商在《磋商响应文件》有效期内强行撤回（撤销）其磋商响应文件的，</w:t>
      </w:r>
      <w:r>
        <w:rPr>
          <w:rFonts w:hint="eastAsia" w:ascii="仿宋" w:hAnsi="仿宋" w:eastAsia="仿宋" w:cs="Times New Roman"/>
          <w:b/>
          <w:color w:val="auto"/>
          <w:sz w:val="24"/>
          <w:szCs w:val="24"/>
          <w:highlight w:val="none"/>
        </w:rPr>
        <w:t>采购人将按采购预算金额的5%对其进行追偿（追偿金额不足伍万的按伍万计），以弥补采购人、采购代理机构损失，同时将对其失信行为上报至同级政府采购监督管理部门依法处理。</w:t>
      </w:r>
    </w:p>
    <w:p w14:paraId="1A983788">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4.7 备份磋商响应文件</w:t>
      </w:r>
    </w:p>
    <w:p w14:paraId="1899B8E6">
      <w:pPr>
        <w:autoSpaceDN w:val="0"/>
        <w:spacing w:line="360" w:lineRule="auto"/>
        <w:ind w:firstLine="424" w:firstLineChars="176"/>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4.7.1备份磋商响应文件的约定：</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p>
    <w:p w14:paraId="577DD21E">
      <w:pPr>
        <w:autoSpaceDN w:val="0"/>
        <w:spacing w:line="360" w:lineRule="auto"/>
        <w:ind w:firstLine="424" w:firstLineChars="176"/>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4.7.2备份磋商响应文件的编制：</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p>
    <w:p w14:paraId="52FE4068">
      <w:pPr>
        <w:autoSpaceDN w:val="0"/>
        <w:spacing w:line="360" w:lineRule="auto"/>
        <w:ind w:firstLine="424" w:firstLineChars="176"/>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4.7.3备份磋商响应文件的存储、份数、密封包装、标识、递交与接收</w:t>
      </w:r>
    </w:p>
    <w:p w14:paraId="7D4B2B56">
      <w:pPr>
        <w:autoSpaceDN w:val="0"/>
        <w:spacing w:line="360" w:lineRule="auto"/>
        <w:ind w:firstLine="424" w:firstLineChars="176"/>
        <w:rPr>
          <w:rFonts w:ascii="仿宋" w:hAnsi="仿宋" w:eastAsia="仿宋" w:cs="Arial"/>
          <w:color w:val="auto"/>
          <w:sz w:val="24"/>
          <w:szCs w:val="24"/>
          <w:highlight w:val="none"/>
        </w:rPr>
      </w:pPr>
      <w:r>
        <w:rPr>
          <w:rFonts w:hint="eastAsia" w:ascii="仿宋" w:hAnsi="仿宋" w:eastAsia="仿宋" w:cs="Arial"/>
          <w:b/>
          <w:color w:val="auto"/>
          <w:sz w:val="24"/>
          <w:szCs w:val="24"/>
          <w:highlight w:val="none"/>
        </w:rPr>
        <w:t>（1）存储：</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color w:val="auto"/>
          <w:sz w:val="24"/>
          <w:szCs w:val="24"/>
          <w:highlight w:val="none"/>
        </w:rPr>
        <w:t>；</w:t>
      </w:r>
    </w:p>
    <w:p w14:paraId="5471C4DC">
      <w:pPr>
        <w:autoSpaceDN w:val="0"/>
        <w:spacing w:line="360" w:lineRule="auto"/>
        <w:ind w:firstLine="424" w:firstLineChars="176"/>
        <w:rPr>
          <w:rFonts w:ascii="仿宋" w:hAnsi="仿宋" w:eastAsia="仿宋" w:cs="Arial"/>
          <w:color w:val="auto"/>
          <w:sz w:val="24"/>
          <w:szCs w:val="24"/>
          <w:highlight w:val="none"/>
        </w:rPr>
      </w:pPr>
      <w:r>
        <w:rPr>
          <w:rFonts w:hint="eastAsia" w:ascii="仿宋" w:hAnsi="仿宋" w:eastAsia="仿宋" w:cs="Arial"/>
          <w:b/>
          <w:color w:val="auto"/>
          <w:sz w:val="24"/>
          <w:szCs w:val="24"/>
          <w:highlight w:val="none"/>
        </w:rPr>
        <w:t>（2）份数：</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color w:val="auto"/>
          <w:sz w:val="24"/>
          <w:szCs w:val="24"/>
          <w:highlight w:val="none"/>
        </w:rPr>
        <w:t>；</w:t>
      </w:r>
    </w:p>
    <w:p w14:paraId="76BBAB00">
      <w:pPr>
        <w:autoSpaceDN w:val="0"/>
        <w:spacing w:line="360" w:lineRule="auto"/>
        <w:ind w:firstLine="424" w:firstLineChars="176"/>
        <w:rPr>
          <w:rFonts w:ascii="仿宋" w:hAnsi="仿宋" w:eastAsia="仿宋" w:cs="Times New Roman"/>
          <w:b/>
          <w:color w:val="auto"/>
          <w:sz w:val="24"/>
          <w:szCs w:val="24"/>
          <w:highlight w:val="none"/>
        </w:rPr>
      </w:pPr>
      <w:r>
        <w:rPr>
          <w:rFonts w:hint="eastAsia" w:ascii="仿宋" w:hAnsi="仿宋" w:eastAsia="仿宋" w:cs="Arial"/>
          <w:b/>
          <w:color w:val="auto"/>
          <w:sz w:val="24"/>
          <w:szCs w:val="24"/>
          <w:highlight w:val="none"/>
        </w:rPr>
        <w:t>（3）密封包装、标识：</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r>
        <w:rPr>
          <w:rFonts w:hint="eastAsia" w:ascii="仿宋" w:hAnsi="仿宋" w:eastAsia="仿宋" w:cs="Times New Roman"/>
          <w:b/>
          <w:color w:val="auto"/>
          <w:sz w:val="24"/>
          <w:szCs w:val="24"/>
          <w:highlight w:val="none"/>
        </w:rPr>
        <w:t>备份磋商响应文件没有密封包装或</w:t>
      </w:r>
      <w:r>
        <w:rPr>
          <w:rFonts w:hint="eastAsia" w:ascii="仿宋" w:hAnsi="仿宋" w:eastAsia="仿宋" w:cs="Arial"/>
          <w:b/>
          <w:color w:val="auto"/>
          <w:sz w:val="24"/>
          <w:szCs w:val="24"/>
          <w:highlight w:val="none"/>
        </w:rPr>
        <w:t>标识或盖章</w:t>
      </w:r>
      <w:r>
        <w:rPr>
          <w:rFonts w:hint="eastAsia" w:ascii="仿宋" w:hAnsi="仿宋" w:eastAsia="仿宋" w:cs="Times New Roman"/>
          <w:b/>
          <w:color w:val="auto"/>
          <w:sz w:val="24"/>
          <w:szCs w:val="24"/>
          <w:highlight w:val="none"/>
        </w:rPr>
        <w:t>的</w:t>
      </w:r>
      <w:r>
        <w:rPr>
          <w:rFonts w:hint="eastAsia" w:ascii="仿宋" w:hAnsi="仿宋" w:eastAsia="仿宋" w:cs="Arial"/>
          <w:b/>
          <w:color w:val="auto"/>
          <w:sz w:val="24"/>
          <w:szCs w:val="24"/>
          <w:highlight w:val="none"/>
        </w:rPr>
        <w:t>视为未递交</w:t>
      </w:r>
      <w:r>
        <w:rPr>
          <w:rFonts w:hint="eastAsia" w:ascii="仿宋" w:hAnsi="仿宋" w:eastAsia="仿宋" w:cs="Times New Roman"/>
          <w:b/>
          <w:color w:val="auto"/>
          <w:sz w:val="24"/>
          <w:szCs w:val="24"/>
          <w:highlight w:val="none"/>
        </w:rPr>
        <w:t>。</w:t>
      </w:r>
    </w:p>
    <w:p w14:paraId="004EA786">
      <w:pPr>
        <w:autoSpaceDN w:val="0"/>
        <w:spacing w:line="360" w:lineRule="auto"/>
        <w:ind w:firstLine="424" w:firstLineChars="176"/>
        <w:rPr>
          <w:rFonts w:ascii="仿宋" w:hAnsi="仿宋" w:eastAsia="仿宋" w:cs="Times New Roman"/>
          <w:color w:val="auto"/>
          <w:sz w:val="24"/>
          <w:szCs w:val="24"/>
          <w:highlight w:val="none"/>
        </w:rPr>
      </w:pPr>
      <w:r>
        <w:rPr>
          <w:rFonts w:hint="eastAsia" w:ascii="仿宋" w:hAnsi="仿宋" w:eastAsia="仿宋" w:cs="Times New Roman"/>
          <w:b/>
          <w:color w:val="auto"/>
          <w:sz w:val="24"/>
          <w:szCs w:val="24"/>
          <w:highlight w:val="none"/>
        </w:rPr>
        <w:t>（4）</w:t>
      </w:r>
      <w:r>
        <w:rPr>
          <w:rFonts w:hint="eastAsia" w:ascii="仿宋" w:hAnsi="仿宋" w:eastAsia="仿宋" w:cs="Arial"/>
          <w:b/>
          <w:color w:val="auto"/>
          <w:sz w:val="24"/>
          <w:szCs w:val="24"/>
          <w:highlight w:val="none"/>
        </w:rPr>
        <w:t>递交与接收：</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r>
        <w:rPr>
          <w:rFonts w:hint="eastAsia" w:ascii="仿宋" w:hAnsi="仿宋" w:eastAsia="仿宋" w:cs="Arial"/>
          <w:b/>
          <w:color w:val="auto"/>
          <w:sz w:val="24"/>
          <w:szCs w:val="24"/>
          <w:highlight w:val="none"/>
        </w:rPr>
        <w:t>备份磋商响应文件逾期送达的视为未递交。</w:t>
      </w:r>
    </w:p>
    <w:p w14:paraId="3D99AE80">
      <w:pPr>
        <w:autoSpaceDN w:val="0"/>
        <w:spacing w:line="360" w:lineRule="auto"/>
        <w:ind w:firstLine="422" w:firstLineChars="175"/>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4.7.4备份磋商响应文件的使用与失效</w:t>
      </w:r>
    </w:p>
    <w:p w14:paraId="2178F346">
      <w:pPr>
        <w:autoSpaceDN w:val="0"/>
        <w:spacing w:line="360" w:lineRule="auto"/>
        <w:ind w:firstLine="420" w:firstLineChars="175"/>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合格的备份磋商响应文件在电子加密“磋商响应文件”解密异常时拆封、使用，电子加密“磋商响应文件”正常解密的备份磋商响应文件自动失效，不再拆封、使用。</w:t>
      </w:r>
      <w:r>
        <w:rPr>
          <w:rFonts w:hint="eastAsia" w:ascii="仿宋" w:hAnsi="仿宋" w:eastAsia="仿宋" w:cs="Times New Roman"/>
          <w:b/>
          <w:color w:val="auto"/>
          <w:sz w:val="24"/>
          <w:szCs w:val="24"/>
          <w:highlight w:val="none"/>
        </w:rPr>
        <w:t>“磋商响应文件解密异常情况处理”办法见《磋商须知前附表》。</w:t>
      </w:r>
    </w:p>
    <w:p w14:paraId="6D3EA286">
      <w:pPr>
        <w:autoSpaceDN w:val="0"/>
        <w:spacing w:line="360" w:lineRule="auto"/>
        <w:ind w:firstLine="424" w:firstLineChars="176"/>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4.7.5“备份磋商响应文件”与电子加密的“磋商响应文件”同时生成，不属于磋商响应备选（替代）方案。</w:t>
      </w:r>
    </w:p>
    <w:p w14:paraId="7CC4D4F9">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57" w:name="_Toc82873325"/>
      <w:bookmarkStart w:id="58" w:name="_Toc82338242"/>
      <w:bookmarkStart w:id="59" w:name="_Toc11633"/>
      <w:bookmarkStart w:id="60" w:name="_Toc96947064"/>
      <w:r>
        <w:rPr>
          <w:rFonts w:hint="eastAsia" w:ascii="仿宋" w:hAnsi="仿宋" w:eastAsia="仿宋" w:cs="Times New Roman"/>
          <w:b/>
          <w:bCs/>
          <w:color w:val="auto"/>
          <w:sz w:val="28"/>
          <w:szCs w:val="28"/>
          <w:highlight w:val="none"/>
        </w:rPr>
        <w:t>五、</w:t>
      </w:r>
      <w:bookmarkEnd w:id="57"/>
      <w:bookmarkEnd w:id="58"/>
      <w:r>
        <w:rPr>
          <w:rFonts w:hint="eastAsia" w:ascii="仿宋" w:hAnsi="仿宋" w:eastAsia="仿宋" w:cs="Times New Roman"/>
          <w:b/>
          <w:bCs/>
          <w:color w:val="auto"/>
          <w:sz w:val="28"/>
          <w:szCs w:val="28"/>
          <w:highlight w:val="none"/>
        </w:rPr>
        <w:t>磋商响应</w:t>
      </w:r>
      <w:bookmarkEnd w:id="59"/>
      <w:bookmarkEnd w:id="60"/>
    </w:p>
    <w:p w14:paraId="29813F4C">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bookmarkStart w:id="61" w:name="_Toc82873326"/>
      <w:bookmarkStart w:id="62" w:name="_Toc82338243"/>
      <w:r>
        <w:rPr>
          <w:rFonts w:hint="eastAsia" w:ascii="仿宋" w:hAnsi="仿宋" w:eastAsia="仿宋" w:cs="Times New Roman"/>
          <w:b/>
          <w:bCs/>
          <w:color w:val="auto"/>
          <w:sz w:val="24"/>
          <w:szCs w:val="32"/>
          <w:highlight w:val="none"/>
        </w:rPr>
        <w:t>5.1 磋商响应文件提交截止时间</w:t>
      </w:r>
    </w:p>
    <w:p w14:paraId="5326FB54">
      <w:pPr>
        <w:autoSpaceDN w:val="0"/>
        <w:spacing w:line="360" w:lineRule="auto"/>
        <w:ind w:firstLine="426" w:firstLineChars="177"/>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5.1.1磋商响应文件提交截止时间：</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sz w:val="24"/>
          <w:szCs w:val="24"/>
          <w:highlight w:val="none"/>
        </w:rPr>
        <w:t>。</w:t>
      </w:r>
    </w:p>
    <w:p w14:paraId="4174FAFE">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5.2 投标地点</w:t>
      </w:r>
    </w:p>
    <w:p w14:paraId="769579BC">
      <w:pPr>
        <w:autoSpaceDN w:val="0"/>
        <w:spacing w:line="360" w:lineRule="auto"/>
        <w:ind w:firstLine="426" w:firstLineChars="177"/>
        <w:rPr>
          <w:rFonts w:ascii="仿宋" w:hAnsi="仿宋" w:eastAsia="仿宋" w:cs="Times New Roman"/>
          <w:color w:val="auto"/>
          <w:szCs w:val="24"/>
          <w:highlight w:val="none"/>
        </w:rPr>
      </w:pPr>
      <w:r>
        <w:rPr>
          <w:rFonts w:hint="eastAsia" w:ascii="仿宋" w:hAnsi="仿宋" w:eastAsia="仿宋" w:cs="Times New Roman"/>
          <w:b/>
          <w:color w:val="auto"/>
          <w:sz w:val="24"/>
          <w:szCs w:val="24"/>
          <w:highlight w:val="none"/>
        </w:rPr>
        <w:t>5.2.1磋商响应文件提交地点：</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sz w:val="24"/>
          <w:szCs w:val="24"/>
          <w:highlight w:val="none"/>
        </w:rPr>
        <w:t>。</w:t>
      </w:r>
    </w:p>
    <w:p w14:paraId="03CD21D7">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5.3 磋商响应文件的传输递交</w:t>
      </w:r>
    </w:p>
    <w:p w14:paraId="4EAA6FB3">
      <w:pPr>
        <w:autoSpaceDN w:val="0"/>
        <w:spacing w:line="360" w:lineRule="auto"/>
        <w:ind w:firstLine="424" w:firstLineChars="176"/>
        <w:rPr>
          <w:rFonts w:ascii="仿宋" w:hAnsi="仿宋" w:eastAsia="仿宋" w:cs="Arial"/>
          <w:b/>
          <w:color w:val="auto"/>
          <w:sz w:val="24"/>
          <w:szCs w:val="24"/>
          <w:highlight w:val="none"/>
        </w:rPr>
      </w:pPr>
      <w:r>
        <w:rPr>
          <w:rFonts w:hint="eastAsia" w:ascii="仿宋" w:hAnsi="仿宋" w:eastAsia="仿宋" w:cs="Arial"/>
          <w:b/>
          <w:color w:val="auto"/>
          <w:kern w:val="0"/>
          <w:sz w:val="24"/>
          <w:szCs w:val="24"/>
          <w:highlight w:val="none"/>
        </w:rPr>
        <w:t>5.3.1电子加密“磋商响应文件”的传输递交：</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sz w:val="24"/>
          <w:szCs w:val="24"/>
          <w:highlight w:val="none"/>
        </w:rPr>
        <w:t>。</w:t>
      </w:r>
    </w:p>
    <w:p w14:paraId="13C60029">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5.4 磋商响应文件的补充、修改或撤回</w:t>
      </w:r>
    </w:p>
    <w:p w14:paraId="57E1B76D">
      <w:pPr>
        <w:autoSpaceDN w:val="0"/>
        <w:spacing w:line="360" w:lineRule="auto"/>
        <w:ind w:firstLine="426" w:firstLineChars="177"/>
        <w:rPr>
          <w:rFonts w:ascii="仿宋" w:hAnsi="仿宋" w:eastAsia="仿宋" w:cs="Arial"/>
          <w:color w:val="auto"/>
          <w:kern w:val="0"/>
          <w:sz w:val="24"/>
          <w:szCs w:val="24"/>
          <w:highlight w:val="none"/>
        </w:rPr>
      </w:pPr>
      <w:r>
        <w:rPr>
          <w:rFonts w:hint="eastAsia" w:ascii="仿宋" w:hAnsi="仿宋" w:eastAsia="仿宋" w:cs="Arial"/>
          <w:b/>
          <w:color w:val="auto"/>
          <w:kern w:val="0"/>
          <w:sz w:val="24"/>
          <w:szCs w:val="24"/>
          <w:highlight w:val="none"/>
        </w:rPr>
        <w:t>5.4.1磋商响应文件提交截止时间前，供应商可以补充、修改或者撤回磋商响应文件。供应商补充或者修改磋商响应文件的，应当先行撤回已传输递交的原文件，补充、修改后重新传输递交。磋商响应文件提交截止时间前未重新完成传输的，视为撤回磋商响应文件。磋商响应文件提交截止时间后传输递交的磋商响应文件，“政府采购云平台”将予以拒收。</w:t>
      </w:r>
    </w:p>
    <w:p w14:paraId="6FCE1425">
      <w:pPr>
        <w:autoSpaceDN w:val="0"/>
        <w:spacing w:line="360" w:lineRule="auto"/>
        <w:ind w:firstLine="426" w:firstLineChars="177"/>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5.4.2磋商响应文件提交截止时间后，供应商不得对磋商响应文件进行补充、修改或撤回。</w:t>
      </w:r>
    </w:p>
    <w:p w14:paraId="3E87A031">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5.5 磋商响应文件的备选方案</w:t>
      </w:r>
    </w:p>
    <w:p w14:paraId="41C94D51">
      <w:pPr>
        <w:autoSpaceDN w:val="0"/>
        <w:spacing w:line="360" w:lineRule="auto"/>
        <w:ind w:firstLine="424" w:firstLineChars="176"/>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5.5.1磋商响应供应商不得递交任何的</w:t>
      </w:r>
      <w:r>
        <w:rPr>
          <w:rFonts w:hint="eastAsia" w:ascii="仿宋" w:hAnsi="仿宋" w:eastAsia="仿宋" w:cs="Arial"/>
          <w:b/>
          <w:color w:val="auto"/>
          <w:kern w:val="0"/>
          <w:sz w:val="24"/>
          <w:szCs w:val="24"/>
          <w:highlight w:val="none"/>
        </w:rPr>
        <w:t>磋商响应备选（替代）方案</w:t>
      </w:r>
      <w:r>
        <w:rPr>
          <w:rFonts w:hint="eastAsia" w:ascii="仿宋" w:hAnsi="仿宋" w:eastAsia="仿宋" w:cs="Times New Roman"/>
          <w:b/>
          <w:color w:val="auto"/>
          <w:sz w:val="24"/>
          <w:szCs w:val="24"/>
          <w:highlight w:val="none"/>
        </w:rPr>
        <w:t>，否则作无效标处理。</w:t>
      </w:r>
    </w:p>
    <w:p w14:paraId="5A91A9C6">
      <w:pPr>
        <w:autoSpaceDN w:val="0"/>
        <w:spacing w:line="360" w:lineRule="auto"/>
        <w:ind w:firstLine="424" w:firstLineChars="176"/>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5.5.2与“电子加密磋商响应文件”同时生成的“备份磋商响应文件”不是磋商响应备选（替代）方案。</w:t>
      </w:r>
    </w:p>
    <w:p w14:paraId="5DDCB0CB">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5.6 磋商响应供应商不足法定数量的处理</w:t>
      </w:r>
    </w:p>
    <w:p w14:paraId="35837CE1">
      <w:pPr>
        <w:autoSpaceDN w:val="0"/>
        <w:spacing w:line="360" w:lineRule="auto"/>
        <w:ind w:firstLine="424" w:firstLineChars="176"/>
        <w:rPr>
          <w:rFonts w:ascii="仿宋" w:hAnsi="仿宋" w:eastAsia="仿宋" w:cs="Arial"/>
          <w:color w:val="auto"/>
          <w:szCs w:val="24"/>
          <w:highlight w:val="none"/>
        </w:rPr>
      </w:pPr>
      <w:r>
        <w:rPr>
          <w:rFonts w:hint="eastAsia" w:ascii="仿宋" w:hAnsi="仿宋" w:eastAsia="仿宋" w:cs="Arial"/>
          <w:b/>
          <w:color w:val="auto"/>
          <w:kern w:val="0"/>
          <w:sz w:val="24"/>
          <w:highlight w:val="none"/>
        </w:rPr>
        <w:t>5.6.1到磋商响应文件提交截止时间止，若某个标项成功解密（备份磋商响应文件成功上传的视为成功解密）《磋商响应文件》的供应商少于三家的，除采购任务取消情形外，采购人可选择以下方式之一处理：</w:t>
      </w:r>
    </w:p>
    <w:p w14:paraId="3F597081">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（1）不再进行开标，将本标项作废标处理，重新组织采购；</w:t>
      </w:r>
    </w:p>
    <w:p w14:paraId="03C01564">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（2）按同级政府采购监督管理部门的审批意见采用其他采购方式组织采购。</w:t>
      </w:r>
    </w:p>
    <w:p w14:paraId="7C906FA2">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63" w:name="_Toc96947065"/>
      <w:bookmarkStart w:id="64" w:name="_Toc640"/>
      <w:r>
        <w:rPr>
          <w:rFonts w:hint="eastAsia" w:ascii="仿宋" w:hAnsi="仿宋" w:eastAsia="仿宋" w:cs="Times New Roman"/>
          <w:b/>
          <w:bCs/>
          <w:color w:val="auto"/>
          <w:sz w:val="28"/>
          <w:szCs w:val="28"/>
          <w:highlight w:val="none"/>
        </w:rPr>
        <w:t>六、</w:t>
      </w:r>
      <w:bookmarkEnd w:id="61"/>
      <w:bookmarkEnd w:id="62"/>
      <w:r>
        <w:rPr>
          <w:rFonts w:hint="eastAsia" w:ascii="仿宋" w:hAnsi="仿宋" w:eastAsia="仿宋" w:cs="Times New Roman"/>
          <w:b/>
          <w:bCs/>
          <w:color w:val="auto"/>
          <w:sz w:val="28"/>
          <w:szCs w:val="28"/>
          <w:highlight w:val="none"/>
        </w:rPr>
        <w:t>开标</w:t>
      </w:r>
      <w:bookmarkEnd w:id="63"/>
      <w:bookmarkEnd w:id="64"/>
    </w:p>
    <w:p w14:paraId="73BEA32D">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6.1 磋商时间、地点</w:t>
      </w:r>
    </w:p>
    <w:p w14:paraId="7236307B">
      <w:pPr>
        <w:autoSpaceDN w:val="0"/>
        <w:spacing w:line="360" w:lineRule="auto"/>
        <w:ind w:firstLine="426" w:firstLineChars="177"/>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6.1.1</w:t>
      </w:r>
      <w:r>
        <w:rPr>
          <w:rFonts w:hint="eastAsia" w:ascii="仿宋" w:hAnsi="仿宋" w:eastAsia="仿宋" w:cs="仿宋"/>
          <w:b/>
          <w:color w:val="auto"/>
          <w:sz w:val="24"/>
          <w:szCs w:val="24"/>
          <w:highlight w:val="none"/>
        </w:rPr>
        <w:t>磋商时间：</w:t>
      </w:r>
      <w:r>
        <w:rPr>
          <w:rFonts w:hint="eastAsia" w:ascii="仿宋" w:hAnsi="仿宋" w:eastAsia="仿宋" w:cs="仿宋"/>
          <w:b/>
          <w:color w:val="auto"/>
          <w:kern w:val="0"/>
          <w:sz w:val="24"/>
          <w:szCs w:val="24"/>
          <w:highlight w:val="none"/>
          <w:u w:val="single"/>
        </w:rPr>
        <w:t>见《磋商须知前附表》</w:t>
      </w:r>
      <w:r>
        <w:rPr>
          <w:rFonts w:hint="eastAsia" w:ascii="仿宋" w:hAnsi="仿宋" w:eastAsia="仿宋" w:cs="仿宋"/>
          <w:b/>
          <w:color w:val="auto"/>
          <w:sz w:val="24"/>
          <w:szCs w:val="24"/>
          <w:highlight w:val="none"/>
        </w:rPr>
        <w:t>；</w:t>
      </w:r>
    </w:p>
    <w:p w14:paraId="40113E03">
      <w:pPr>
        <w:autoSpaceDN w:val="0"/>
        <w:spacing w:line="360" w:lineRule="auto"/>
        <w:ind w:firstLine="426" w:firstLineChars="177"/>
        <w:rPr>
          <w:rFonts w:ascii="仿宋" w:hAnsi="仿宋" w:eastAsia="仿宋" w:cs="Times New Roman"/>
          <w:color w:val="auto"/>
          <w:sz w:val="24"/>
          <w:szCs w:val="24"/>
          <w:highlight w:val="none"/>
        </w:rPr>
      </w:pPr>
      <w:r>
        <w:rPr>
          <w:rFonts w:hint="eastAsia" w:ascii="仿宋" w:hAnsi="仿宋" w:eastAsia="仿宋" w:cs="Times New Roman"/>
          <w:b/>
          <w:color w:val="auto"/>
          <w:sz w:val="24"/>
          <w:szCs w:val="24"/>
          <w:highlight w:val="none"/>
        </w:rPr>
        <w:t>6.1.2</w:t>
      </w:r>
      <w:r>
        <w:rPr>
          <w:rFonts w:hint="eastAsia" w:ascii="仿宋" w:hAnsi="仿宋" w:eastAsia="仿宋" w:cs="仿宋"/>
          <w:b/>
          <w:color w:val="auto"/>
          <w:sz w:val="24"/>
          <w:szCs w:val="24"/>
          <w:highlight w:val="none"/>
        </w:rPr>
        <w:t>磋商地点：</w:t>
      </w:r>
      <w:r>
        <w:rPr>
          <w:rFonts w:hint="eastAsia" w:ascii="仿宋" w:hAnsi="仿宋" w:eastAsia="仿宋" w:cs="仿宋"/>
          <w:b/>
          <w:color w:val="auto"/>
          <w:kern w:val="0"/>
          <w:sz w:val="24"/>
          <w:szCs w:val="24"/>
          <w:highlight w:val="none"/>
          <w:u w:val="single"/>
        </w:rPr>
        <w:t>见《磋商须知前附表》</w:t>
      </w:r>
      <w:r>
        <w:rPr>
          <w:rFonts w:hint="eastAsia" w:ascii="仿宋" w:hAnsi="仿宋" w:eastAsia="仿宋" w:cs="仿宋"/>
          <w:b/>
          <w:color w:val="auto"/>
          <w:sz w:val="24"/>
          <w:szCs w:val="24"/>
          <w:highlight w:val="none"/>
        </w:rPr>
        <w:t>。</w:t>
      </w:r>
    </w:p>
    <w:p w14:paraId="66FB3BDC">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6.2 磋商组织与邀请</w:t>
      </w:r>
    </w:p>
    <w:p w14:paraId="093BB75E">
      <w:pPr>
        <w:autoSpaceDN w:val="0"/>
        <w:spacing w:line="360" w:lineRule="auto"/>
        <w:ind w:firstLine="424" w:firstLineChars="176"/>
        <w:rPr>
          <w:rFonts w:ascii="仿宋" w:hAnsi="仿宋" w:eastAsia="仿宋" w:cs="Arial"/>
          <w:color w:val="auto"/>
          <w:kern w:val="0"/>
          <w:sz w:val="24"/>
          <w:szCs w:val="24"/>
          <w:highlight w:val="none"/>
        </w:rPr>
      </w:pPr>
      <w:r>
        <w:rPr>
          <w:rFonts w:hint="eastAsia" w:ascii="仿宋" w:hAnsi="仿宋" w:eastAsia="仿宋" w:cs="Arial"/>
          <w:b/>
          <w:color w:val="auto"/>
          <w:kern w:val="0"/>
          <w:sz w:val="24"/>
          <w:szCs w:val="24"/>
          <w:highlight w:val="none"/>
        </w:rPr>
        <w:t>6.2.1磋商准备：</w:t>
      </w:r>
      <w:r>
        <w:rPr>
          <w:rFonts w:hint="eastAsia" w:ascii="仿宋" w:hAnsi="仿宋" w:eastAsia="仿宋" w:cs="仿宋"/>
          <w:color w:val="auto"/>
          <w:kern w:val="0"/>
          <w:sz w:val="24"/>
          <w:szCs w:val="24"/>
          <w:highlight w:val="none"/>
        </w:rPr>
        <w:t>本项目磋商</w:t>
      </w:r>
      <w:r>
        <w:rPr>
          <w:rFonts w:hint="eastAsia" w:ascii="仿宋" w:hAnsi="仿宋" w:eastAsia="仿宋" w:cs="Arial"/>
          <w:color w:val="auto"/>
          <w:kern w:val="0"/>
          <w:sz w:val="24"/>
          <w:highlight w:val="none"/>
        </w:rPr>
        <w:t>现场活动由采购人或采购代理机构（以下简称“采购组织机构”）组织实施，准备工作由采购组织机构负责落实，磋商过程由采购组织机构负责记录，磋商现场由采购组织机构人员主持。</w:t>
      </w:r>
    </w:p>
    <w:p w14:paraId="4C646359">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6.2.2磋商邀请：本项目采用电子交易，采购组织机构将按照</w:t>
      </w:r>
      <w:r>
        <w:rPr>
          <w:rFonts w:hint="eastAsia" w:ascii="仿宋" w:hAnsi="仿宋" w:eastAsia="仿宋" w:cs="仿宋"/>
          <w:b/>
          <w:color w:val="auto"/>
          <w:kern w:val="0"/>
          <w:sz w:val="24"/>
          <w:szCs w:val="24"/>
          <w:highlight w:val="none"/>
        </w:rPr>
        <w:t>竞争性磋商文件规定的时间通过</w:t>
      </w:r>
      <w:r>
        <w:rPr>
          <w:rFonts w:hint="eastAsia" w:ascii="仿宋" w:hAnsi="仿宋" w:eastAsia="仿宋" w:cs="Arial"/>
          <w:b/>
          <w:color w:val="auto"/>
          <w:kern w:val="0"/>
          <w:sz w:val="24"/>
          <w:szCs w:val="24"/>
          <w:highlight w:val="none"/>
        </w:rPr>
        <w:t>“政府采购云平台，网址：</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Fonts w:hint="eastAsia" w:ascii="仿宋" w:hAnsi="仿宋" w:eastAsia="仿宋" w:cs="Times New Roman"/>
          <w:b/>
          <w:color w:val="auto"/>
          <w:kern w:val="0"/>
          <w:szCs w:val="21"/>
          <w:highlight w:val="none"/>
          <w:u w:val="single"/>
        </w:rPr>
        <w:t>www.zcygov.cn</w:t>
      </w:r>
      <w:r>
        <w:rPr>
          <w:rFonts w:hint="eastAsia" w:ascii="仿宋" w:hAnsi="仿宋" w:eastAsia="仿宋" w:cs="Times New Roman"/>
          <w:b/>
          <w:color w:val="auto"/>
          <w:kern w:val="0"/>
          <w:szCs w:val="21"/>
          <w:highlight w:val="none"/>
          <w:u w:val="single"/>
        </w:rPr>
        <w:fldChar w:fldCharType="end"/>
      </w:r>
      <w:r>
        <w:rPr>
          <w:rFonts w:hint="eastAsia" w:ascii="仿宋" w:hAnsi="仿宋" w:eastAsia="仿宋" w:cs="Arial"/>
          <w:b/>
          <w:color w:val="auto"/>
          <w:kern w:val="0"/>
          <w:sz w:val="24"/>
          <w:szCs w:val="24"/>
          <w:highlight w:val="none"/>
        </w:rPr>
        <w:t>”组织开标、开启磋商响应文件，所有供应商均应当准时在线参加。</w:t>
      </w:r>
    </w:p>
    <w:p w14:paraId="185B79F5">
      <w:pPr>
        <w:autoSpaceDN w:val="0"/>
        <w:spacing w:line="360" w:lineRule="auto"/>
        <w:ind w:firstLine="424" w:firstLineChars="176"/>
        <w:rPr>
          <w:rFonts w:ascii="仿宋" w:hAnsi="仿宋" w:eastAsia="仿宋" w:cs="Times New Roman"/>
          <w:color w:val="auto"/>
          <w:szCs w:val="24"/>
          <w:highlight w:val="none"/>
        </w:rPr>
      </w:pPr>
      <w:r>
        <w:rPr>
          <w:rFonts w:hint="eastAsia" w:ascii="仿宋" w:hAnsi="仿宋" w:eastAsia="仿宋" w:cs="Arial"/>
          <w:b/>
          <w:color w:val="auto"/>
          <w:kern w:val="0"/>
          <w:sz w:val="24"/>
          <w:highlight w:val="none"/>
        </w:rPr>
        <w:t>6.2.3磋商响应文件开启顺序：</w:t>
      </w:r>
      <w:r>
        <w:rPr>
          <w:rFonts w:hint="eastAsia" w:ascii="仿宋" w:hAnsi="仿宋" w:eastAsia="仿宋" w:cs="Times New Roman"/>
          <w:b/>
          <w:color w:val="auto"/>
          <w:kern w:val="0"/>
          <w:sz w:val="24"/>
          <w:szCs w:val="24"/>
          <w:highlight w:val="none"/>
          <w:u w:val="single"/>
        </w:rPr>
        <w:t>资格文件、商务技术文件、报价文件</w:t>
      </w:r>
      <w:r>
        <w:rPr>
          <w:rFonts w:hint="eastAsia" w:ascii="仿宋" w:hAnsi="仿宋" w:eastAsia="仿宋" w:cs="Arial"/>
          <w:color w:val="auto"/>
          <w:kern w:val="0"/>
          <w:sz w:val="24"/>
          <w:highlight w:val="none"/>
        </w:rPr>
        <w:t>。</w:t>
      </w:r>
    </w:p>
    <w:p w14:paraId="02D25D3B">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6.2.4供应商对磋商过程和磋商记录有疑义，以及认为采购人、采购代理机构相关工作人员有需要回避的情形的，应当场提出询问或回避申请。供应商未参加磋商的视同认可磋商结果</w:t>
      </w:r>
      <w:r>
        <w:rPr>
          <w:rFonts w:hint="eastAsia" w:ascii="仿宋" w:hAnsi="仿宋" w:eastAsia="仿宋" w:cs="仿宋"/>
          <w:b/>
          <w:color w:val="auto"/>
          <w:kern w:val="0"/>
          <w:sz w:val="24"/>
          <w:szCs w:val="24"/>
          <w:highlight w:val="none"/>
        </w:rPr>
        <w:t>。</w:t>
      </w:r>
    </w:p>
    <w:p w14:paraId="77F72B08">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6.3 开标流程（两阶段）</w:t>
      </w:r>
    </w:p>
    <w:p w14:paraId="1FC9E093">
      <w:pPr>
        <w:autoSpaceDN w:val="0"/>
        <w:spacing w:line="360" w:lineRule="auto"/>
        <w:ind w:firstLine="426" w:firstLineChars="177"/>
        <w:jc w:val="left"/>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6.3.1开标流程：</w:t>
      </w:r>
    </w:p>
    <w:p w14:paraId="25F8F43D">
      <w:pPr>
        <w:numPr>
          <w:ilvl w:val="0"/>
          <w:numId w:val="7"/>
        </w:numPr>
        <w:autoSpaceDN w:val="0"/>
        <w:spacing w:line="360" w:lineRule="auto"/>
        <w:ind w:firstLine="480" w:firstLineChars="200"/>
        <w:jc w:val="left"/>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磋商响应文件提交截止时间止，由采购代理机构向各磋商响应供应商发出电子加密响应文件的【开始解密】通知，由供应商按磋商文件规定的时间内自行进行磋商响应文件的解密</w:t>
      </w:r>
      <w:r>
        <w:rPr>
          <w:rFonts w:hint="eastAsia" w:ascii="仿宋" w:hAnsi="仿宋" w:eastAsia="仿宋" w:cs="仿宋"/>
          <w:color w:val="auto"/>
          <w:kern w:val="0"/>
          <w:sz w:val="24"/>
          <w:szCs w:val="24"/>
          <w:highlight w:val="none"/>
        </w:rPr>
        <w:t>（</w:t>
      </w:r>
      <w:r>
        <w:rPr>
          <w:rFonts w:hint="eastAsia" w:ascii="仿宋" w:hAnsi="仿宋" w:eastAsia="仿宋" w:cs="仿宋"/>
          <w:b/>
          <w:color w:val="auto"/>
          <w:kern w:val="0"/>
          <w:sz w:val="24"/>
          <w:szCs w:val="24"/>
          <w:highlight w:val="none"/>
        </w:rPr>
        <w:t>解密规定见《磋商须知前附表》</w:t>
      </w: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w:t>
      </w:r>
    </w:p>
    <w:p w14:paraId="3589A7B8">
      <w:pPr>
        <w:autoSpaceDN w:val="0"/>
        <w:spacing w:line="360" w:lineRule="auto"/>
        <w:ind w:firstLine="480" w:firstLineChars="200"/>
        <w:jc w:val="left"/>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（2）磋商响应供应商在规定的时间内无法完成已递交的“电子加密响应文件”解密的，按磋商响应文件解密异常情况处理（</w:t>
      </w:r>
      <w:r>
        <w:rPr>
          <w:rFonts w:hint="eastAsia" w:ascii="仿宋" w:hAnsi="仿宋" w:eastAsia="仿宋" w:cs="仿宋"/>
          <w:b/>
          <w:color w:val="auto"/>
          <w:kern w:val="0"/>
          <w:sz w:val="24"/>
          <w:szCs w:val="24"/>
          <w:highlight w:val="none"/>
        </w:rPr>
        <w:t>处理办法见《磋商须知前附表》</w:t>
      </w:r>
      <w:r>
        <w:rPr>
          <w:rFonts w:hint="eastAsia" w:ascii="仿宋" w:hAnsi="仿宋" w:eastAsia="仿宋" w:cs="Arial"/>
          <w:color w:val="auto"/>
          <w:kern w:val="0"/>
          <w:sz w:val="24"/>
          <w:szCs w:val="24"/>
          <w:highlight w:val="none"/>
        </w:rPr>
        <w:t>）；</w:t>
      </w:r>
    </w:p>
    <w:p w14:paraId="0F3CCE46">
      <w:pPr>
        <w:autoSpaceDN w:val="0"/>
        <w:spacing w:line="360" w:lineRule="auto"/>
        <w:ind w:firstLine="424" w:firstLineChars="177"/>
        <w:jc w:val="left"/>
        <w:rPr>
          <w:rFonts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3）公布</w:t>
      </w:r>
      <w:r>
        <w:rPr>
          <w:rFonts w:hint="eastAsia" w:ascii="仿宋" w:hAnsi="仿宋" w:eastAsia="仿宋" w:cs="仿宋"/>
          <w:color w:val="auto"/>
          <w:kern w:val="0"/>
          <w:sz w:val="24"/>
          <w:szCs w:val="24"/>
          <w:highlight w:val="none"/>
        </w:rPr>
        <w:t>磋商响应文件解密情况（磋商响应文件成功解密的供应商名单等信息）；</w:t>
      </w:r>
    </w:p>
    <w:p w14:paraId="2F7BE403">
      <w:pPr>
        <w:autoSpaceDN w:val="0"/>
        <w:spacing w:line="360" w:lineRule="auto"/>
        <w:ind w:firstLine="424" w:firstLineChars="177"/>
        <w:jc w:val="left"/>
        <w:rPr>
          <w:rFonts w:ascii="仿宋" w:hAnsi="仿宋" w:eastAsia="仿宋" w:cs="Arial"/>
          <w:b/>
          <w:bCs/>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4）开启标书信息（资格文件、商务技术文件）。标书信息开启后，首先由</w:t>
      </w:r>
      <w:r>
        <w:rPr>
          <w:rFonts w:hint="eastAsia" w:ascii="仿宋" w:hAnsi="仿宋" w:eastAsia="仿宋" w:cs="仿宋"/>
          <w:color w:val="auto"/>
          <w:kern w:val="0"/>
          <w:sz w:val="24"/>
          <w:szCs w:val="24"/>
          <w:highlight w:val="none"/>
        </w:rPr>
        <w:t>磋商小组依法对磋商响应供应商的资格文件进行审查，审查磋商响应供应商的资格符合情况</w:t>
      </w:r>
      <w:r>
        <w:rPr>
          <w:rFonts w:hint="eastAsia" w:ascii="仿宋" w:hAnsi="仿宋" w:eastAsia="仿宋" w:cs="Arial"/>
          <w:color w:val="auto"/>
          <w:kern w:val="0"/>
          <w:sz w:val="24"/>
          <w:szCs w:val="24"/>
          <w:highlight w:val="none"/>
        </w:rPr>
        <w:t>。资格审查结束后进入商务技术评审。</w:t>
      </w:r>
      <w:r>
        <w:rPr>
          <w:rFonts w:hint="eastAsia" w:ascii="仿宋" w:hAnsi="仿宋" w:eastAsia="仿宋" w:cs="仿宋"/>
          <w:b/>
          <w:bCs/>
          <w:color w:val="auto"/>
          <w:kern w:val="0"/>
          <w:sz w:val="24"/>
          <w:szCs w:val="24"/>
          <w:highlight w:val="none"/>
        </w:rPr>
        <w:t>资格审查合格的磋商响应供应商数量不足三家的，项目不再进行评审。</w:t>
      </w:r>
    </w:p>
    <w:p w14:paraId="0882FF59">
      <w:pPr>
        <w:autoSpaceDN w:val="0"/>
        <w:spacing w:line="360" w:lineRule="auto"/>
        <w:ind w:firstLine="424" w:firstLineChars="177"/>
        <w:jc w:val="left"/>
        <w:rPr>
          <w:rFonts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5）</w:t>
      </w:r>
      <w:r>
        <w:rPr>
          <w:rFonts w:hint="eastAsia" w:ascii="仿宋" w:hAnsi="仿宋" w:eastAsia="仿宋" w:cs="仿宋"/>
          <w:color w:val="auto"/>
          <w:kern w:val="0"/>
          <w:sz w:val="24"/>
          <w:szCs w:val="24"/>
          <w:highlight w:val="none"/>
        </w:rPr>
        <w:t>商务技术磋商、评审结束后，公布商务技术评审无效供应商名称及理由及经商务技术评审的有效磋商响应供应商名单。</w:t>
      </w:r>
    </w:p>
    <w:p w14:paraId="21CADC61">
      <w:pPr>
        <w:autoSpaceDN w:val="0"/>
        <w:spacing w:line="360" w:lineRule="auto"/>
        <w:ind w:firstLine="424" w:firstLineChars="177"/>
        <w:jc w:val="left"/>
        <w:rPr>
          <w:rFonts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6）开启有效</w:t>
      </w:r>
      <w:r>
        <w:rPr>
          <w:rFonts w:hint="eastAsia" w:ascii="仿宋" w:hAnsi="仿宋" w:eastAsia="仿宋" w:cs="仿宋"/>
          <w:color w:val="auto"/>
          <w:kern w:val="0"/>
          <w:sz w:val="24"/>
          <w:szCs w:val="24"/>
          <w:highlight w:val="none"/>
        </w:rPr>
        <w:t>磋商响应供应商的《报价文件》，由磋商小组对报价的合理性、准确性等进行审查核实。</w:t>
      </w:r>
    </w:p>
    <w:p w14:paraId="73F215BD">
      <w:pPr>
        <w:autoSpaceDN w:val="0"/>
        <w:spacing w:line="360" w:lineRule="auto"/>
        <w:ind w:firstLine="480" w:firstLineChars="200"/>
        <w:rPr>
          <w:rFonts w:ascii="仿宋" w:hAnsi="仿宋" w:eastAsia="仿宋" w:cs="仿宋"/>
          <w:color w:val="auto"/>
          <w:szCs w:val="21"/>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7）经</w:t>
      </w:r>
      <w:r>
        <w:rPr>
          <w:rFonts w:hint="eastAsia" w:ascii="仿宋" w:hAnsi="仿宋" w:eastAsia="仿宋" w:cs="仿宋"/>
          <w:color w:val="auto"/>
          <w:kern w:val="0"/>
          <w:sz w:val="24"/>
          <w:szCs w:val="24"/>
          <w:highlight w:val="none"/>
        </w:rPr>
        <w:t>磋商小组对报价文件的评审及磋商后，要求供应商在规定的时间内提交最后报价，采购代理机构向各磋商响应供应商发出最后报价通知，由供应商在规定的时间内自行填写最终报价加盖签章并上传。</w:t>
      </w:r>
    </w:p>
    <w:p w14:paraId="1A5C567E">
      <w:pPr>
        <w:autoSpaceDN w:val="0"/>
        <w:spacing w:line="360" w:lineRule="auto"/>
        <w:ind w:firstLine="424" w:firstLineChars="177"/>
        <w:jc w:val="left"/>
        <w:rPr>
          <w:rFonts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8）</w:t>
      </w:r>
      <w:r>
        <w:rPr>
          <w:rFonts w:hint="eastAsia" w:ascii="仿宋" w:hAnsi="仿宋" w:eastAsia="仿宋" w:cs="仿宋"/>
          <w:color w:val="auto"/>
          <w:kern w:val="0"/>
          <w:sz w:val="24"/>
          <w:szCs w:val="24"/>
          <w:highlight w:val="none"/>
        </w:rPr>
        <w:t>已提交磋商响应文件的供应商，在提交最后报价之前，若因磋商文件实质性变动导致供应商无法满足采购需求的，允许供应商退出磋商。</w:t>
      </w:r>
    </w:p>
    <w:p w14:paraId="5B5A2698">
      <w:pPr>
        <w:autoSpaceDN w:val="0"/>
        <w:spacing w:line="360" w:lineRule="auto"/>
        <w:ind w:firstLine="424" w:firstLineChars="177"/>
        <w:jc w:val="left"/>
        <w:rPr>
          <w:rFonts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9</w:t>
      </w:r>
      <w:r>
        <w:rPr>
          <w:rFonts w:hint="eastAsia" w:ascii="仿宋" w:hAnsi="仿宋" w:eastAsia="仿宋" w:cs="仿宋"/>
          <w:color w:val="auto"/>
          <w:kern w:val="0"/>
          <w:sz w:val="24"/>
          <w:szCs w:val="24"/>
          <w:highlight w:val="none"/>
        </w:rPr>
        <w:t>）采购代理机构公布各有效供应商的商务技术得分情况及最后报价情况，制作开标记录表，供应商予以确认，</w:t>
      </w:r>
      <w:r>
        <w:rPr>
          <w:rFonts w:hint="eastAsia" w:ascii="仿宋" w:hAnsi="仿宋" w:eastAsia="仿宋" w:cs="仿宋"/>
          <w:b/>
          <w:bCs/>
          <w:color w:val="auto"/>
          <w:kern w:val="0"/>
          <w:sz w:val="24"/>
          <w:szCs w:val="24"/>
          <w:highlight w:val="none"/>
        </w:rPr>
        <w:t>不予确认的应说明理由，否则视为无异议</w:t>
      </w:r>
      <w:r>
        <w:rPr>
          <w:rFonts w:hint="eastAsia" w:ascii="仿宋" w:hAnsi="仿宋" w:eastAsia="仿宋" w:cs="仿宋"/>
          <w:color w:val="auto"/>
          <w:kern w:val="0"/>
          <w:sz w:val="24"/>
          <w:szCs w:val="24"/>
          <w:highlight w:val="none"/>
        </w:rPr>
        <w:t>。</w:t>
      </w:r>
    </w:p>
    <w:p w14:paraId="14969651">
      <w:pPr>
        <w:autoSpaceDN w:val="0"/>
        <w:spacing w:line="360" w:lineRule="auto"/>
        <w:ind w:firstLine="424" w:firstLineChars="177"/>
        <w:jc w:val="left"/>
        <w:rPr>
          <w:rFonts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10）</w:t>
      </w:r>
      <w:r>
        <w:rPr>
          <w:rFonts w:hint="eastAsia" w:ascii="仿宋" w:hAnsi="仿宋" w:eastAsia="仿宋" w:cs="仿宋"/>
          <w:color w:val="auto"/>
          <w:kern w:val="0"/>
          <w:sz w:val="24"/>
          <w:szCs w:val="24"/>
          <w:highlight w:val="none"/>
        </w:rPr>
        <w:t>评审结束后，公布成交候选供应商名单及采购人最终确定成交供应商名单的时间和公告方式等。</w:t>
      </w:r>
    </w:p>
    <w:p w14:paraId="7CDEB335">
      <w:pPr>
        <w:autoSpaceDN w:val="0"/>
        <w:spacing w:line="360" w:lineRule="auto"/>
        <w:ind w:firstLine="426" w:firstLineChars="177"/>
        <w:jc w:val="left"/>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6.3.2特殊情况说明</w:t>
      </w:r>
    </w:p>
    <w:p w14:paraId="318B322F">
      <w:pPr>
        <w:autoSpaceDN w:val="0"/>
        <w:spacing w:line="360" w:lineRule="auto"/>
        <w:ind w:firstLine="426" w:firstLineChars="177"/>
        <w:jc w:val="left"/>
        <w:rPr>
          <w:rFonts w:ascii="仿宋" w:hAnsi="仿宋" w:eastAsia="仿宋" w:cs="Arial"/>
          <w:b/>
          <w:color w:val="auto"/>
          <w:kern w:val="0"/>
          <w:sz w:val="24"/>
          <w:szCs w:val="24"/>
          <w:highlight w:val="none"/>
        </w:rPr>
      </w:pPr>
      <w:r>
        <w:rPr>
          <w:rFonts w:hint="eastAsia" w:ascii="仿宋" w:hAnsi="仿宋" w:eastAsia="仿宋" w:cs="仿宋"/>
          <w:b/>
          <w:color w:val="auto"/>
          <w:kern w:val="0"/>
          <w:sz w:val="24"/>
          <w:szCs w:val="24"/>
          <w:highlight w:val="none"/>
        </w:rPr>
        <w:t>（</w:t>
      </w:r>
      <w:r>
        <w:rPr>
          <w:rFonts w:hint="eastAsia" w:ascii="仿宋" w:hAnsi="仿宋" w:eastAsia="仿宋" w:cs="Arial"/>
          <w:b/>
          <w:color w:val="auto"/>
          <w:kern w:val="0"/>
          <w:sz w:val="24"/>
          <w:szCs w:val="24"/>
          <w:highlight w:val="none"/>
        </w:rPr>
        <w:t>1）本项目采用电子交易，如遇“政府采购云平台”电子化开标或评审程序调整的，按调整后程序执行。</w:t>
      </w:r>
    </w:p>
    <w:p w14:paraId="057596B4">
      <w:pPr>
        <w:autoSpaceDN w:val="0"/>
        <w:spacing w:line="360" w:lineRule="auto"/>
        <w:ind w:firstLine="426" w:firstLineChars="177"/>
        <w:jc w:val="left"/>
        <w:rPr>
          <w:rFonts w:ascii="仿宋" w:hAnsi="仿宋" w:eastAsia="仿宋" w:cs="Arial"/>
          <w:b/>
          <w:color w:val="auto"/>
          <w:kern w:val="0"/>
          <w:sz w:val="22"/>
          <w:highlight w:val="none"/>
        </w:rPr>
      </w:pPr>
      <w:r>
        <w:rPr>
          <w:rFonts w:hint="eastAsia" w:ascii="仿宋" w:hAnsi="仿宋" w:eastAsia="仿宋" w:cs="仿宋"/>
          <w:b/>
          <w:color w:val="auto"/>
          <w:kern w:val="0"/>
          <w:sz w:val="24"/>
          <w:szCs w:val="24"/>
          <w:highlight w:val="none"/>
        </w:rPr>
        <w:t>（</w:t>
      </w:r>
      <w:r>
        <w:rPr>
          <w:rFonts w:hint="eastAsia" w:ascii="仿宋" w:hAnsi="仿宋" w:eastAsia="仿宋" w:cs="Arial"/>
          <w:b/>
          <w:color w:val="auto"/>
          <w:kern w:val="0"/>
          <w:sz w:val="24"/>
          <w:szCs w:val="24"/>
          <w:highlight w:val="none"/>
        </w:rPr>
        <w:t>2）磋商过程中需要相关当事人进行签字或盖章确认的材料将通过“政府采购云平台”进行，若因“政府采购云平台”技术问题无法进行签字或盖章确认的，采购组织机构将通过邮件、传真等形式予以确认。</w:t>
      </w:r>
    </w:p>
    <w:p w14:paraId="674C5A64">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65" w:name="_Toc32126"/>
      <w:bookmarkStart w:id="66" w:name="_Toc96947066"/>
      <w:r>
        <w:rPr>
          <w:rFonts w:hint="eastAsia" w:ascii="仿宋" w:hAnsi="仿宋" w:eastAsia="仿宋" w:cs="Times New Roman"/>
          <w:b/>
          <w:bCs/>
          <w:color w:val="auto"/>
          <w:sz w:val="28"/>
          <w:szCs w:val="28"/>
          <w:highlight w:val="none"/>
        </w:rPr>
        <w:t>七、评审</w:t>
      </w:r>
      <w:bookmarkEnd w:id="65"/>
      <w:bookmarkEnd w:id="66"/>
    </w:p>
    <w:p w14:paraId="7B1F5746">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7.1 评审工作的组织</w:t>
      </w:r>
    </w:p>
    <w:p w14:paraId="45B5B987">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采购人或采购代理机构负责组织本项目的评审工作，并依据相关规定履行职责。</w:t>
      </w:r>
    </w:p>
    <w:p w14:paraId="76A28A75">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7.2 磋商小组的组建</w:t>
      </w:r>
    </w:p>
    <w:p w14:paraId="34DDBC34">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7.2.1磋商小组由采购人或采购代理机构依法组建，成员由采购人代表和评审专家组成，成员人数为三人或以上单数，其中评审专家不少于成员总数的三分之二。</w:t>
      </w:r>
    </w:p>
    <w:p w14:paraId="7ACCFB75">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7.2.2评审专家从省级或以上财政部门设立的政府采购评审专家库中通过随机方式抽取产生。磋商小组成员名单在采购结果公告前保密。</w:t>
      </w:r>
    </w:p>
    <w:p w14:paraId="549B61E8">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7.3 磋商小组的职责</w:t>
      </w:r>
    </w:p>
    <w:p w14:paraId="0D9A418F">
      <w:pPr>
        <w:autoSpaceDN w:val="0"/>
        <w:spacing w:line="360" w:lineRule="auto"/>
        <w:ind w:firstLine="424" w:firstLineChars="176"/>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7.3.1磋商小组负责具体评审事务，并独立履行下列职责：</w:t>
      </w:r>
    </w:p>
    <w:p w14:paraId="1B1042EA">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（1）审查、评价磋商响应文件是否符合竞争性磋商文件的资格、商务、技术等实质性要求；</w:t>
      </w:r>
    </w:p>
    <w:p w14:paraId="135DB5A9">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（2）要求磋商响应供应商对磋商响应文件有关事项作出澄清或者说明；</w:t>
      </w:r>
    </w:p>
    <w:p w14:paraId="6EF2BBFB">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（3）对磋商响应文件进行比较和评价；</w:t>
      </w:r>
    </w:p>
    <w:p w14:paraId="5C1279A6">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（4）确定成交候选供应商名单，以及根据采购人委托直接确定成交供应商；</w:t>
      </w:r>
    </w:p>
    <w:p w14:paraId="6EB01FFD">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（5）向采购人、采购代理机构或者有关部门报告评审中发现的违法行为。</w:t>
      </w:r>
    </w:p>
    <w:p w14:paraId="260606CC">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7.4 评审原则</w:t>
      </w:r>
    </w:p>
    <w:p w14:paraId="6B07301A">
      <w:pPr>
        <w:autoSpaceDN w:val="0"/>
        <w:spacing w:line="360" w:lineRule="auto"/>
        <w:ind w:firstLine="424" w:firstLineChars="177"/>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7.4.1评审原则：</w:t>
      </w:r>
      <w:r>
        <w:rPr>
          <w:rFonts w:hint="eastAsia" w:ascii="仿宋" w:hAnsi="仿宋" w:eastAsia="仿宋" w:cs="Arial"/>
          <w:color w:val="auto"/>
          <w:kern w:val="0"/>
          <w:sz w:val="24"/>
          <w:highlight w:val="none"/>
        </w:rPr>
        <w:t>磋商小组</w:t>
      </w:r>
      <w:r>
        <w:rPr>
          <w:rFonts w:hint="eastAsia" w:ascii="仿宋" w:hAnsi="仿宋" w:eastAsia="仿宋" w:cs="Arial"/>
          <w:color w:val="auto"/>
          <w:sz w:val="24"/>
          <w:szCs w:val="24"/>
          <w:highlight w:val="none"/>
        </w:rPr>
        <w:t>按照客观、公正、审慎、择优的原则，根据竞争性磋商文件规定的评审程序、评审方法和评审标准进行独立评审。</w:t>
      </w:r>
    </w:p>
    <w:p w14:paraId="5C9EA57C">
      <w:pPr>
        <w:autoSpaceDN w:val="0"/>
        <w:spacing w:line="360" w:lineRule="auto"/>
        <w:ind w:firstLine="424" w:firstLineChars="177"/>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7.4.2评审工作将依据</w:t>
      </w:r>
      <w:r>
        <w:rPr>
          <w:rFonts w:hint="eastAsia" w:ascii="仿宋" w:hAnsi="仿宋" w:eastAsia="仿宋" w:cs="Arial"/>
          <w:color w:val="auto"/>
          <w:kern w:val="0"/>
          <w:sz w:val="24"/>
          <w:highlight w:val="none"/>
        </w:rPr>
        <w:t>竞争性磋商文件、磋商响应文件及竞争性磋商文件中事先已列明的内容进行（如现场方案讲解、演示、样品等）。</w:t>
      </w:r>
    </w:p>
    <w:p w14:paraId="60837FF4">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7.5 评审意见的争议处理</w:t>
      </w:r>
    </w:p>
    <w:p w14:paraId="3660223E">
      <w:pPr>
        <w:autoSpaceDN w:val="0"/>
        <w:spacing w:line="360" w:lineRule="auto"/>
        <w:ind w:firstLine="426" w:firstLineChars="177"/>
        <w:rPr>
          <w:rFonts w:ascii="仿宋" w:hAnsi="仿宋" w:eastAsia="仿宋" w:cs="Arial"/>
          <w:color w:val="auto"/>
          <w:sz w:val="24"/>
          <w:szCs w:val="24"/>
          <w:highlight w:val="none"/>
        </w:rPr>
      </w:pPr>
      <w:r>
        <w:rPr>
          <w:rFonts w:hint="eastAsia" w:ascii="仿宋" w:hAnsi="仿宋" w:eastAsia="仿宋" w:cs="Arial"/>
          <w:b/>
          <w:color w:val="auto"/>
          <w:sz w:val="24"/>
          <w:szCs w:val="24"/>
          <w:highlight w:val="none"/>
        </w:rPr>
        <w:t>磋商小组成员对需要共同认定的事项存在争议的，按照少数服从多数的原则作出结论。</w:t>
      </w:r>
      <w:r>
        <w:rPr>
          <w:rFonts w:hint="eastAsia" w:ascii="仿宋" w:hAnsi="仿宋" w:eastAsia="仿宋" w:cs="Arial"/>
          <w:color w:val="auto"/>
          <w:sz w:val="24"/>
          <w:szCs w:val="24"/>
          <w:highlight w:val="none"/>
        </w:rPr>
        <w:t>持不同意见的磋商小组成员应当在评审报告上签署不同意见及理由，否则视为同意评审报告。</w:t>
      </w:r>
    </w:p>
    <w:p w14:paraId="291B0CD8">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7.6 评委纪律</w:t>
      </w:r>
    </w:p>
    <w:p w14:paraId="4694D3FB">
      <w:pPr>
        <w:autoSpaceDN w:val="0"/>
        <w:spacing w:line="360" w:lineRule="auto"/>
        <w:ind w:firstLine="424" w:firstLineChars="177"/>
        <w:rPr>
          <w:rFonts w:ascii="仿宋" w:hAnsi="仿宋" w:eastAsia="仿宋" w:cs="Times New Roman"/>
          <w:color w:val="auto"/>
          <w:szCs w:val="24"/>
          <w:highlight w:val="none"/>
        </w:rPr>
      </w:pPr>
      <w:r>
        <w:rPr>
          <w:rFonts w:hint="eastAsia" w:ascii="仿宋" w:hAnsi="仿宋" w:eastAsia="仿宋" w:cs="Arial"/>
          <w:color w:val="auto"/>
          <w:sz w:val="24"/>
          <w:szCs w:val="24"/>
          <w:highlight w:val="none"/>
        </w:rPr>
        <w:t>磋商小组成员必须严格遵守保密规定，不得泄露评审的有关情况</w:t>
      </w:r>
      <w:r>
        <w:rPr>
          <w:rFonts w:hint="eastAsia" w:ascii="仿宋" w:hAnsi="仿宋" w:eastAsia="仿宋" w:cs="Arial"/>
          <w:color w:val="auto"/>
          <w:kern w:val="0"/>
          <w:sz w:val="24"/>
          <w:highlight w:val="none"/>
        </w:rPr>
        <w:t>，任何单位和个人不得干扰、影响评标的正常进行，磋商小组成员不得私下与磋商响应供应商接触，不得出现浙江省政府采购活动现场组织管理办法中规定的其他禁止行为。</w:t>
      </w:r>
    </w:p>
    <w:p w14:paraId="7570A54B">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7.7 评审方法和标准</w:t>
      </w:r>
    </w:p>
    <w:p w14:paraId="0C178CF7">
      <w:pPr>
        <w:autoSpaceDN w:val="0"/>
        <w:spacing w:line="360" w:lineRule="auto"/>
        <w:ind w:firstLine="426" w:firstLineChars="177"/>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7.7.1评审方法和标准：</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p>
    <w:p w14:paraId="087C5EB2">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Times New Roman"/>
          <w:b/>
          <w:color w:val="auto"/>
          <w:kern w:val="0"/>
          <w:sz w:val="24"/>
          <w:szCs w:val="24"/>
          <w:highlight w:val="none"/>
        </w:rPr>
        <w:t>7.7.2</w:t>
      </w:r>
      <w:r>
        <w:rPr>
          <w:rFonts w:hint="eastAsia" w:ascii="仿宋" w:hAnsi="仿宋" w:eastAsia="仿宋" w:cs="Arial"/>
          <w:b/>
          <w:color w:val="auto"/>
          <w:kern w:val="0"/>
          <w:sz w:val="24"/>
          <w:highlight w:val="none"/>
        </w:rPr>
        <w:t>标书信息开启后，磋商小组首先依法对磋商响应供应商的资格文件进行审查，审查各磋商响应供应商的资格符合情况。</w:t>
      </w:r>
      <w:r>
        <w:rPr>
          <w:rFonts w:hint="eastAsia" w:ascii="仿宋" w:hAnsi="仿宋" w:eastAsia="仿宋" w:cs="Arial"/>
          <w:b/>
          <w:color w:val="auto"/>
          <w:kern w:val="0"/>
          <w:sz w:val="24"/>
          <w:szCs w:val="24"/>
          <w:highlight w:val="none"/>
        </w:rPr>
        <w:t>供应商</w:t>
      </w:r>
      <w:r>
        <w:rPr>
          <w:rFonts w:hint="eastAsia" w:ascii="仿宋" w:hAnsi="仿宋" w:eastAsia="仿宋" w:cs="Arial"/>
          <w:b/>
          <w:color w:val="auto"/>
          <w:sz w:val="24"/>
          <w:szCs w:val="24"/>
          <w:highlight w:val="none"/>
        </w:rPr>
        <w:t>信用记录查询与使用：</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b/>
          <w:color w:val="auto"/>
          <w:sz w:val="24"/>
          <w:szCs w:val="24"/>
          <w:highlight w:val="none"/>
        </w:rPr>
        <w:t>；</w:t>
      </w:r>
    </w:p>
    <w:p w14:paraId="0F4F47CE">
      <w:pPr>
        <w:autoSpaceDN w:val="0"/>
        <w:spacing w:line="360" w:lineRule="auto"/>
        <w:ind w:firstLine="426" w:firstLineChars="177"/>
        <w:rPr>
          <w:rFonts w:ascii="仿宋" w:hAnsi="仿宋" w:eastAsia="仿宋" w:cs="Times New Roman"/>
          <w:color w:val="auto"/>
          <w:kern w:val="0"/>
          <w:szCs w:val="24"/>
          <w:highlight w:val="none"/>
        </w:rPr>
      </w:pPr>
      <w:r>
        <w:rPr>
          <w:rFonts w:hint="eastAsia" w:ascii="仿宋" w:hAnsi="仿宋" w:eastAsia="仿宋" w:cs="Times New Roman"/>
          <w:b/>
          <w:color w:val="auto"/>
          <w:kern w:val="0"/>
          <w:sz w:val="24"/>
          <w:szCs w:val="24"/>
          <w:highlight w:val="none"/>
        </w:rPr>
        <w:t>7.7.3资格审查结束后，磋商小组将按照竞争性磋商文件中规定的评审方法和标准，对符合性审查合格的磋商响应文件进行商务和技术评估，综合比较与评价。</w:t>
      </w:r>
      <w:r>
        <w:rPr>
          <w:rFonts w:hint="eastAsia" w:ascii="仿宋" w:hAnsi="仿宋" w:eastAsia="仿宋" w:cs="Times New Roman"/>
          <w:color w:val="auto"/>
          <w:kern w:val="0"/>
          <w:sz w:val="24"/>
          <w:szCs w:val="24"/>
          <w:highlight w:val="none"/>
        </w:rPr>
        <w:t>详细评审方法和标准见本竞争性磋商文件第</w:t>
      </w:r>
      <w:r>
        <w:rPr>
          <w:rFonts w:hint="eastAsia" w:ascii="仿宋" w:hAnsi="仿宋" w:eastAsia="仿宋" w:cs="Times New Roman"/>
          <w:color w:val="auto"/>
          <w:kern w:val="0"/>
          <w:sz w:val="24"/>
          <w:szCs w:val="24"/>
          <w:highlight w:val="none"/>
          <w:lang w:val="en-US" w:eastAsia="zh-CN"/>
        </w:rPr>
        <w:t>三</w:t>
      </w:r>
      <w:r>
        <w:rPr>
          <w:rFonts w:hint="eastAsia" w:ascii="仿宋" w:hAnsi="仿宋" w:eastAsia="仿宋" w:cs="Times New Roman"/>
          <w:color w:val="auto"/>
          <w:kern w:val="0"/>
          <w:sz w:val="24"/>
          <w:szCs w:val="24"/>
          <w:highlight w:val="none"/>
        </w:rPr>
        <w:t>章《评审办法》</w:t>
      </w:r>
      <w:r>
        <w:rPr>
          <w:rFonts w:hint="eastAsia" w:ascii="仿宋" w:hAnsi="仿宋" w:eastAsia="仿宋" w:cs="Times New Roman"/>
          <w:color w:val="auto"/>
          <w:kern w:val="0"/>
          <w:szCs w:val="24"/>
          <w:highlight w:val="none"/>
        </w:rPr>
        <w:t>。</w:t>
      </w:r>
    </w:p>
    <w:p w14:paraId="0899E280">
      <w:pPr>
        <w:autoSpaceDN w:val="0"/>
        <w:rPr>
          <w:rFonts w:ascii="仿宋" w:hAnsi="仿宋" w:eastAsia="仿宋" w:cs="Times New Roman"/>
          <w:color w:val="auto"/>
          <w:szCs w:val="24"/>
          <w:highlight w:val="none"/>
        </w:rPr>
      </w:pPr>
    </w:p>
    <w:p w14:paraId="4E057E76">
      <w:pPr>
        <w:keepNext/>
        <w:keepLines/>
        <w:autoSpaceDN w:val="0"/>
        <w:spacing w:before="260" w:after="260" w:line="415" w:lineRule="auto"/>
        <w:ind w:firstLine="281" w:firstLineChars="100"/>
        <w:outlineLvl w:val="1"/>
        <w:rPr>
          <w:rFonts w:ascii="仿宋" w:hAnsi="仿宋" w:eastAsia="仿宋" w:cs="Times New Roman"/>
          <w:b/>
          <w:bCs/>
          <w:color w:val="auto"/>
          <w:sz w:val="32"/>
          <w:szCs w:val="32"/>
          <w:highlight w:val="none"/>
        </w:rPr>
      </w:pPr>
      <w:bookmarkStart w:id="67" w:name="_Toc11895"/>
      <w:bookmarkStart w:id="68" w:name="_Toc96947067"/>
      <w:r>
        <w:rPr>
          <w:rFonts w:hint="eastAsia" w:ascii="仿宋" w:hAnsi="仿宋" w:eastAsia="仿宋" w:cs="Times New Roman"/>
          <w:b/>
          <w:bCs/>
          <w:color w:val="auto"/>
          <w:sz w:val="28"/>
          <w:szCs w:val="28"/>
          <w:highlight w:val="none"/>
        </w:rPr>
        <w:t>八、采购结果确认与公告</w:t>
      </w:r>
      <w:bookmarkEnd w:id="67"/>
      <w:bookmarkEnd w:id="68"/>
    </w:p>
    <w:p w14:paraId="284DE11B">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8.1 采购结果确认（确定成交供应商）</w:t>
      </w:r>
    </w:p>
    <w:p w14:paraId="777D53EA">
      <w:pPr>
        <w:autoSpaceDN w:val="0"/>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8.1.1采购结果确认（确定成交供应商）：本项目由采购人根据磋商小组递交的《评审报告》，通过“政府采购云平台”依法确认采购结果、确定成交供应商。具体流程如下：</w:t>
      </w:r>
    </w:p>
    <w:p w14:paraId="162C3D38">
      <w:pPr>
        <w:autoSpaceDN w:val="0"/>
        <w:spacing w:line="360" w:lineRule="auto"/>
        <w:ind w:firstLine="420" w:firstLineChars="175"/>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（1）采购代理机构将在评审结束后2个工作日内将评审报告送采购人。</w:t>
      </w:r>
    </w:p>
    <w:p w14:paraId="3661C466">
      <w:pPr>
        <w:autoSpaceDN w:val="0"/>
        <w:spacing w:line="360" w:lineRule="auto"/>
        <w:ind w:firstLine="420" w:firstLineChars="175"/>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（2）采购人将在收到评审报告之日起5个工作日内，在评审报告推荐的成交候选供应商名单中按顺序确定1名成交供应商，并将确认意见以书面形式回复采购代理机构。</w:t>
      </w:r>
    </w:p>
    <w:p w14:paraId="661DF9C9">
      <w:pPr>
        <w:autoSpaceDN w:val="0"/>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8.1.2采购人及采购组织机构不对评审结果做任何解释。</w:t>
      </w:r>
    </w:p>
    <w:p w14:paraId="034A698D">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8.2 采购结果公告和成交通知书签发</w:t>
      </w:r>
    </w:p>
    <w:p w14:paraId="41C01706">
      <w:pPr>
        <w:autoSpaceDN w:val="0"/>
        <w:spacing w:line="360" w:lineRule="auto"/>
        <w:ind w:firstLine="422" w:firstLineChars="175"/>
        <w:rPr>
          <w:rFonts w:ascii="仿宋" w:hAnsi="仿宋" w:eastAsia="仿宋" w:cs="Times New Roman"/>
          <w:b/>
          <w:color w:val="auto"/>
          <w:kern w:val="0"/>
          <w:sz w:val="24"/>
          <w:szCs w:val="24"/>
          <w:highlight w:val="none"/>
        </w:rPr>
      </w:pPr>
      <w:r>
        <w:rPr>
          <w:rFonts w:hint="eastAsia" w:ascii="仿宋" w:hAnsi="仿宋" w:eastAsia="仿宋" w:cs="Arial"/>
          <w:b/>
          <w:color w:val="auto"/>
          <w:kern w:val="0"/>
          <w:sz w:val="24"/>
          <w:highlight w:val="none"/>
        </w:rPr>
        <w:t>8.2.1采购结果公告及《成交通知书》签发：</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p>
    <w:p w14:paraId="419DAB54">
      <w:pPr>
        <w:autoSpaceDN w:val="0"/>
        <w:spacing w:line="360" w:lineRule="auto"/>
        <w:ind w:firstLine="422" w:firstLineChars="175"/>
        <w:rPr>
          <w:rFonts w:ascii="仿宋" w:hAnsi="仿宋" w:eastAsia="仿宋" w:cs="Arial"/>
          <w:color w:val="auto"/>
          <w:kern w:val="0"/>
          <w:sz w:val="24"/>
          <w:highlight w:val="none"/>
        </w:rPr>
      </w:pPr>
      <w:r>
        <w:rPr>
          <w:rFonts w:hint="eastAsia" w:ascii="仿宋" w:hAnsi="仿宋" w:eastAsia="仿宋" w:cs="Times New Roman"/>
          <w:b/>
          <w:color w:val="auto"/>
          <w:kern w:val="0"/>
          <w:sz w:val="24"/>
          <w:szCs w:val="24"/>
          <w:highlight w:val="none"/>
        </w:rPr>
        <w:t>8.2.2成交公告期限为1个工作日；</w:t>
      </w:r>
    </w:p>
    <w:p w14:paraId="4123110D">
      <w:pPr>
        <w:autoSpaceDN w:val="0"/>
        <w:spacing w:line="360" w:lineRule="auto"/>
        <w:ind w:firstLine="420" w:firstLineChars="175"/>
        <w:rPr>
          <w:rFonts w:ascii="仿宋" w:hAnsi="仿宋" w:eastAsia="仿宋" w:cs="Arial"/>
          <w:color w:val="auto"/>
          <w:kern w:val="0"/>
          <w:sz w:val="24"/>
          <w:highlight w:val="none"/>
        </w:rPr>
      </w:pPr>
      <w:r>
        <w:rPr>
          <w:rFonts w:hint="eastAsia" w:ascii="仿宋" w:hAnsi="仿宋" w:eastAsia="仿宋" w:cs="Arial"/>
          <w:color w:val="auto"/>
          <w:kern w:val="0"/>
          <w:sz w:val="24"/>
          <w:highlight w:val="none"/>
          <w:lang w:val="en-US" w:eastAsia="zh-CN"/>
        </w:rPr>
        <w:t>8</w:t>
      </w:r>
      <w:r>
        <w:rPr>
          <w:rFonts w:hint="eastAsia" w:ascii="仿宋" w:hAnsi="仿宋" w:eastAsia="仿宋" w:cs="Arial"/>
          <w:color w:val="auto"/>
          <w:kern w:val="0"/>
          <w:sz w:val="24"/>
          <w:highlight w:val="none"/>
        </w:rPr>
        <w:t>.2.3成交通知书发出后，成交供应商无正当理由不得放弃成交。</w:t>
      </w:r>
    </w:p>
    <w:p w14:paraId="4A785824">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bookmarkStart w:id="69" w:name="_Toc35391900"/>
      <w:r>
        <w:rPr>
          <w:rFonts w:hint="eastAsia" w:ascii="仿宋" w:hAnsi="仿宋" w:eastAsia="仿宋" w:cs="Times New Roman"/>
          <w:b/>
          <w:bCs/>
          <w:color w:val="auto"/>
          <w:sz w:val="24"/>
          <w:szCs w:val="32"/>
          <w:highlight w:val="none"/>
        </w:rPr>
        <w:t>8.3 采购过程、采购结果的质疑</w:t>
      </w:r>
    </w:p>
    <w:p w14:paraId="499B0D53">
      <w:pPr>
        <w:autoSpaceDN w:val="0"/>
        <w:spacing w:line="360" w:lineRule="auto"/>
        <w:ind w:firstLine="426" w:firstLineChars="177"/>
        <w:rPr>
          <w:rFonts w:ascii="仿宋" w:hAnsi="仿宋" w:eastAsia="仿宋" w:cs="Arial"/>
          <w:color w:val="auto"/>
          <w:sz w:val="24"/>
          <w:szCs w:val="24"/>
          <w:highlight w:val="none"/>
        </w:rPr>
      </w:pPr>
      <w:r>
        <w:rPr>
          <w:rFonts w:hint="eastAsia" w:ascii="仿宋" w:hAnsi="仿宋" w:eastAsia="仿宋" w:cs="Arial"/>
          <w:b/>
          <w:color w:val="auto"/>
          <w:kern w:val="0"/>
          <w:sz w:val="24"/>
          <w:szCs w:val="24"/>
          <w:highlight w:val="none"/>
        </w:rPr>
        <w:t>磋商响应供应商认为采购过程、采购结果使自己的合法权益受到损害的，应当按照本章节第1.16.2款规定，以书面形式一次性向采购人、采购代理机构提出质疑。</w:t>
      </w:r>
      <w:r>
        <w:rPr>
          <w:rFonts w:hint="eastAsia" w:ascii="仿宋" w:hAnsi="仿宋" w:eastAsia="仿宋" w:cs="Arial"/>
          <w:color w:val="auto"/>
          <w:sz w:val="24"/>
          <w:szCs w:val="24"/>
          <w:highlight w:val="none"/>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556B3406">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70" w:name="_Toc17503"/>
      <w:bookmarkStart w:id="71" w:name="_Toc96947068"/>
      <w:r>
        <w:rPr>
          <w:rFonts w:hint="eastAsia" w:ascii="仿宋" w:hAnsi="仿宋" w:eastAsia="仿宋" w:cs="Times New Roman"/>
          <w:b/>
          <w:bCs/>
          <w:color w:val="auto"/>
          <w:sz w:val="28"/>
          <w:szCs w:val="28"/>
          <w:highlight w:val="none"/>
        </w:rPr>
        <w:t>九、采购代理服务费</w:t>
      </w:r>
      <w:bookmarkEnd w:id="69"/>
      <w:bookmarkEnd w:id="70"/>
      <w:bookmarkEnd w:id="71"/>
    </w:p>
    <w:p w14:paraId="2952FD38">
      <w:pPr>
        <w:autoSpaceDN w:val="0"/>
        <w:spacing w:line="360" w:lineRule="auto"/>
        <w:ind w:right="42" w:rightChars="20" w:firstLine="426" w:firstLineChars="177"/>
        <w:rPr>
          <w:rFonts w:ascii="仿宋" w:hAnsi="仿宋" w:eastAsia="仿宋" w:cs="Arial"/>
          <w:b/>
          <w:color w:val="auto"/>
          <w:kern w:val="0"/>
          <w:sz w:val="24"/>
          <w:highlight w:val="none"/>
        </w:rPr>
      </w:pPr>
      <w:r>
        <w:rPr>
          <w:rFonts w:hint="eastAsia" w:ascii="仿宋" w:hAnsi="仿宋" w:eastAsia="仿宋" w:cs="Arial"/>
          <w:b/>
          <w:color w:val="auto"/>
          <w:sz w:val="24"/>
          <w:highlight w:val="none"/>
        </w:rPr>
        <w:t>9.1.1采购代理服务费的</w:t>
      </w:r>
      <w:r>
        <w:rPr>
          <w:rFonts w:hint="eastAsia" w:ascii="仿宋" w:hAnsi="仿宋" w:eastAsia="仿宋" w:cs="Arial"/>
          <w:b/>
          <w:color w:val="auto"/>
          <w:kern w:val="0"/>
          <w:sz w:val="24"/>
          <w:highlight w:val="none"/>
        </w:rPr>
        <w:t>支付方：</w:t>
      </w:r>
      <w:r>
        <w:rPr>
          <w:rFonts w:hint="eastAsia" w:ascii="仿宋" w:hAnsi="仿宋" w:eastAsia="仿宋" w:cs="Arial"/>
          <w:b/>
          <w:color w:val="auto"/>
          <w:kern w:val="0"/>
          <w:sz w:val="24"/>
          <w:highlight w:val="none"/>
          <w:u w:val="single"/>
          <w:lang w:val="en-US" w:eastAsia="zh-CN"/>
        </w:rPr>
        <w:t>采购人</w:t>
      </w:r>
      <w:r>
        <w:rPr>
          <w:rFonts w:hint="eastAsia" w:ascii="仿宋" w:hAnsi="仿宋" w:eastAsia="仿宋" w:cs="Arial"/>
          <w:b/>
          <w:color w:val="auto"/>
          <w:kern w:val="0"/>
          <w:sz w:val="24"/>
          <w:highlight w:val="none"/>
        </w:rPr>
        <w:t>；</w:t>
      </w:r>
    </w:p>
    <w:p w14:paraId="21B4BB2C">
      <w:pPr>
        <w:autoSpaceDN w:val="0"/>
        <w:spacing w:line="360" w:lineRule="auto"/>
        <w:ind w:right="42" w:rightChars="20" w:firstLine="426" w:firstLineChars="177"/>
        <w:rPr>
          <w:rFonts w:ascii="仿宋" w:hAnsi="仿宋" w:eastAsia="仿宋" w:cs="Arial"/>
          <w:b/>
          <w:color w:val="auto"/>
          <w:sz w:val="24"/>
          <w:highlight w:val="none"/>
        </w:rPr>
      </w:pPr>
      <w:r>
        <w:rPr>
          <w:rFonts w:hint="eastAsia" w:ascii="仿宋" w:hAnsi="仿宋" w:eastAsia="仿宋" w:cs="Arial"/>
          <w:b/>
          <w:color w:val="auto"/>
          <w:kern w:val="0"/>
          <w:sz w:val="24"/>
          <w:highlight w:val="none"/>
        </w:rPr>
        <w:t>9.1.2</w:t>
      </w:r>
      <w:r>
        <w:rPr>
          <w:rFonts w:hint="eastAsia" w:ascii="仿宋" w:hAnsi="仿宋" w:eastAsia="仿宋" w:cs="Arial"/>
          <w:b/>
          <w:color w:val="auto"/>
          <w:sz w:val="24"/>
          <w:highlight w:val="none"/>
        </w:rPr>
        <w:t>收取标准或金额：</w:t>
      </w:r>
      <w:r>
        <w:rPr>
          <w:rFonts w:hint="eastAsia" w:ascii="仿宋" w:hAnsi="仿宋" w:eastAsia="仿宋" w:cs="Times New Roman"/>
          <w:b/>
          <w:color w:val="auto"/>
          <w:kern w:val="0"/>
          <w:sz w:val="24"/>
          <w:szCs w:val="24"/>
          <w:highlight w:val="none"/>
          <w:u w:val="single"/>
        </w:rPr>
        <w:t>见</w:t>
      </w:r>
      <w:r>
        <w:rPr>
          <w:rFonts w:hint="eastAsia" w:ascii="仿宋" w:hAnsi="仿宋" w:eastAsia="仿宋" w:cs="Times New Roman"/>
          <w:b/>
          <w:color w:val="auto"/>
          <w:kern w:val="0"/>
          <w:sz w:val="24"/>
          <w:szCs w:val="24"/>
          <w:highlight w:val="none"/>
          <w:u w:val="single"/>
          <w:lang w:val="en-US" w:eastAsia="zh-CN"/>
        </w:rPr>
        <w:t>另册《建设工程招标代理合同》</w:t>
      </w:r>
      <w:r>
        <w:rPr>
          <w:rFonts w:hint="eastAsia" w:ascii="仿宋" w:hAnsi="仿宋" w:eastAsia="仿宋" w:cs="Arial"/>
          <w:b/>
          <w:color w:val="auto"/>
          <w:sz w:val="24"/>
          <w:highlight w:val="none"/>
        </w:rPr>
        <w:t>；</w:t>
      </w:r>
    </w:p>
    <w:p w14:paraId="0124A0FC">
      <w:pPr>
        <w:autoSpaceDN w:val="0"/>
        <w:spacing w:line="360" w:lineRule="auto"/>
        <w:ind w:right="42" w:rightChars="20"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9.1.3缴纳时间：</w:t>
      </w:r>
      <w:r>
        <w:rPr>
          <w:rFonts w:hint="eastAsia" w:ascii="仿宋" w:hAnsi="仿宋" w:eastAsia="仿宋" w:cs="Times New Roman"/>
          <w:b/>
          <w:color w:val="auto"/>
          <w:kern w:val="0"/>
          <w:sz w:val="24"/>
          <w:szCs w:val="24"/>
          <w:highlight w:val="none"/>
          <w:u w:val="single"/>
        </w:rPr>
        <w:t>见</w:t>
      </w:r>
      <w:r>
        <w:rPr>
          <w:rFonts w:hint="eastAsia" w:ascii="仿宋" w:hAnsi="仿宋" w:eastAsia="仿宋" w:cs="Times New Roman"/>
          <w:b/>
          <w:color w:val="auto"/>
          <w:kern w:val="0"/>
          <w:sz w:val="24"/>
          <w:szCs w:val="24"/>
          <w:highlight w:val="none"/>
          <w:u w:val="single"/>
          <w:lang w:val="en-US" w:eastAsia="zh-CN"/>
        </w:rPr>
        <w:t>另册《建设工程招标代理合同》</w:t>
      </w:r>
      <w:r>
        <w:rPr>
          <w:rFonts w:hint="eastAsia" w:ascii="仿宋" w:hAnsi="仿宋" w:eastAsia="仿宋" w:cs="Arial"/>
          <w:color w:val="auto"/>
          <w:kern w:val="0"/>
          <w:sz w:val="24"/>
          <w:highlight w:val="none"/>
        </w:rPr>
        <w:t>；</w:t>
      </w:r>
    </w:p>
    <w:p w14:paraId="6B0E6CF5">
      <w:pPr>
        <w:autoSpaceDN w:val="0"/>
        <w:spacing w:line="360" w:lineRule="auto"/>
        <w:ind w:right="42" w:rightChars="20" w:firstLine="424" w:firstLineChars="177"/>
        <w:rPr>
          <w:rFonts w:hint="eastAsia" w:ascii="仿宋" w:hAnsi="仿宋" w:eastAsia="仿宋" w:cs="Arial"/>
          <w:color w:val="auto"/>
          <w:kern w:val="0"/>
          <w:sz w:val="22"/>
          <w:highlight w:val="none"/>
          <w:lang w:eastAsia="zh-CN"/>
        </w:rPr>
      </w:pPr>
      <w:r>
        <w:rPr>
          <w:rFonts w:hint="eastAsia" w:ascii="仿宋" w:hAnsi="仿宋" w:eastAsia="仿宋" w:cs="Arial"/>
          <w:color w:val="auto"/>
          <w:kern w:val="0"/>
          <w:sz w:val="24"/>
          <w:highlight w:val="none"/>
        </w:rPr>
        <w:t>9.1.4缴纳形式：</w:t>
      </w:r>
      <w:r>
        <w:rPr>
          <w:rFonts w:hint="eastAsia" w:ascii="仿宋" w:hAnsi="仿宋" w:eastAsia="仿宋" w:cs="Times New Roman"/>
          <w:b/>
          <w:color w:val="auto"/>
          <w:kern w:val="0"/>
          <w:sz w:val="24"/>
          <w:szCs w:val="24"/>
          <w:highlight w:val="none"/>
          <w:u w:val="single"/>
        </w:rPr>
        <w:t>见</w:t>
      </w:r>
      <w:r>
        <w:rPr>
          <w:rFonts w:hint="eastAsia" w:ascii="仿宋" w:hAnsi="仿宋" w:eastAsia="仿宋" w:cs="Times New Roman"/>
          <w:b/>
          <w:color w:val="auto"/>
          <w:kern w:val="0"/>
          <w:sz w:val="24"/>
          <w:szCs w:val="24"/>
          <w:highlight w:val="none"/>
          <w:u w:val="single"/>
          <w:lang w:val="en-US" w:eastAsia="zh-CN"/>
        </w:rPr>
        <w:t>另册《建设工程招标代理合同》</w:t>
      </w:r>
      <w:r>
        <w:rPr>
          <w:rFonts w:hint="eastAsia" w:ascii="仿宋" w:hAnsi="仿宋" w:eastAsia="仿宋" w:cs="Arial"/>
          <w:color w:val="auto"/>
          <w:kern w:val="0"/>
          <w:sz w:val="24"/>
          <w:highlight w:val="none"/>
          <w:lang w:eastAsia="zh-CN"/>
        </w:rPr>
        <w:t>。</w:t>
      </w:r>
    </w:p>
    <w:p w14:paraId="43681F32">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72" w:name="_Toc440162792"/>
      <w:bookmarkStart w:id="73" w:name="_Toc424164160"/>
      <w:bookmarkStart w:id="74" w:name="_Toc7194"/>
      <w:bookmarkStart w:id="75" w:name="_Toc96947069"/>
      <w:bookmarkStart w:id="76" w:name="_Toc35391901"/>
      <w:r>
        <w:rPr>
          <w:rFonts w:hint="eastAsia" w:ascii="仿宋" w:hAnsi="仿宋" w:eastAsia="仿宋" w:cs="Times New Roman"/>
          <w:b/>
          <w:bCs/>
          <w:color w:val="auto"/>
          <w:sz w:val="28"/>
          <w:szCs w:val="28"/>
          <w:highlight w:val="none"/>
        </w:rPr>
        <w:t>十、</w:t>
      </w:r>
      <w:bookmarkEnd w:id="72"/>
      <w:bookmarkEnd w:id="73"/>
      <w:r>
        <w:rPr>
          <w:rFonts w:hint="eastAsia" w:ascii="仿宋" w:hAnsi="仿宋" w:eastAsia="仿宋" w:cs="Times New Roman"/>
          <w:b/>
          <w:bCs/>
          <w:color w:val="auto"/>
          <w:sz w:val="28"/>
          <w:szCs w:val="28"/>
          <w:highlight w:val="none"/>
        </w:rPr>
        <w:t>合同签订和履约担保</w:t>
      </w:r>
      <w:bookmarkEnd w:id="74"/>
      <w:bookmarkEnd w:id="75"/>
      <w:bookmarkEnd w:id="76"/>
    </w:p>
    <w:p w14:paraId="1B809CC6">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10.1 签订合同</w:t>
      </w:r>
    </w:p>
    <w:p w14:paraId="70A07C2A">
      <w:pPr>
        <w:autoSpaceDN w:val="0"/>
        <w:spacing w:line="360" w:lineRule="auto"/>
        <w:ind w:firstLine="424" w:firstLineChars="176"/>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10.1.1合同签订时间期限：</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b/>
          <w:color w:val="auto"/>
          <w:kern w:val="0"/>
          <w:sz w:val="24"/>
          <w:highlight w:val="none"/>
        </w:rPr>
        <w:t>；</w:t>
      </w:r>
    </w:p>
    <w:p w14:paraId="6E01288C">
      <w:pPr>
        <w:autoSpaceDN w:val="0"/>
        <w:spacing w:line="360" w:lineRule="auto"/>
        <w:ind w:firstLine="424" w:firstLineChars="176"/>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10.1.2成交供应商应在《磋商须知前附表》中规定的时间内，与采购人通过“政府采购云平台”签订政府采购合同。</w:t>
      </w:r>
      <w:r>
        <w:rPr>
          <w:rFonts w:hint="eastAsia" w:ascii="仿宋" w:hAnsi="仿宋" w:eastAsia="仿宋" w:cs="Arial"/>
          <w:color w:val="auto"/>
          <w:kern w:val="0"/>
          <w:sz w:val="24"/>
          <w:highlight w:val="none"/>
        </w:rPr>
        <w:t>所签订的合同不得对竞争性磋商文件确定的事项和成交供应商磋商响应文件作实质性修改。</w:t>
      </w:r>
    </w:p>
    <w:p w14:paraId="283C975D">
      <w:pPr>
        <w:autoSpaceDN w:val="0"/>
        <w:spacing w:line="360" w:lineRule="auto"/>
        <w:ind w:firstLine="424" w:firstLineChars="176"/>
        <w:rPr>
          <w:rFonts w:ascii="仿宋" w:hAnsi="仿宋" w:eastAsia="仿宋" w:cs="Arial"/>
          <w:color w:val="auto"/>
          <w:kern w:val="0"/>
          <w:sz w:val="24"/>
          <w:highlight w:val="none"/>
        </w:rPr>
      </w:pPr>
      <w:r>
        <w:rPr>
          <w:rFonts w:hint="eastAsia" w:ascii="仿宋" w:hAnsi="仿宋" w:eastAsia="仿宋" w:cs="Arial"/>
          <w:b/>
          <w:color w:val="auto"/>
          <w:sz w:val="24"/>
          <w:highlight w:val="none"/>
        </w:rPr>
        <w:t>10.1.3</w:t>
      </w:r>
      <w:r>
        <w:rPr>
          <w:rFonts w:hint="eastAsia" w:ascii="仿宋" w:hAnsi="仿宋" w:eastAsia="仿宋" w:cs="Arial"/>
          <w:b/>
          <w:color w:val="auto"/>
          <w:kern w:val="0"/>
          <w:sz w:val="24"/>
          <w:highlight w:val="none"/>
        </w:rPr>
        <w:t>成交供应商</w:t>
      </w:r>
      <w:r>
        <w:rPr>
          <w:rFonts w:hint="eastAsia" w:ascii="仿宋" w:hAnsi="仿宋" w:eastAsia="仿宋" w:cs="Arial"/>
          <w:b/>
          <w:color w:val="auto"/>
          <w:sz w:val="24"/>
          <w:highlight w:val="none"/>
        </w:rPr>
        <w:t>拒绝与采购人签订合同的</w:t>
      </w:r>
      <w:r>
        <w:rPr>
          <w:rFonts w:hint="eastAsia" w:ascii="仿宋" w:hAnsi="仿宋" w:eastAsia="仿宋" w:cs="Arial"/>
          <w:b/>
          <w:color w:val="auto"/>
          <w:kern w:val="0"/>
          <w:sz w:val="24"/>
          <w:highlight w:val="none"/>
        </w:rPr>
        <w:t>，</w:t>
      </w:r>
      <w:r>
        <w:rPr>
          <w:rFonts w:hint="eastAsia" w:ascii="仿宋" w:hAnsi="仿宋" w:eastAsia="仿宋" w:cs="Times New Roman"/>
          <w:b/>
          <w:color w:val="auto"/>
          <w:sz w:val="24"/>
          <w:szCs w:val="24"/>
          <w:highlight w:val="none"/>
        </w:rPr>
        <w:t>采购人、采购代理机构将对其失信行为上报至同级政府采购监督管理部门对其依法处理。</w:t>
      </w:r>
    </w:p>
    <w:p w14:paraId="15BC69D7">
      <w:pPr>
        <w:autoSpaceDN w:val="0"/>
        <w:spacing w:line="360" w:lineRule="auto"/>
        <w:ind w:firstLine="424" w:firstLineChars="176"/>
        <w:rPr>
          <w:rFonts w:ascii="仿宋" w:hAnsi="仿宋" w:eastAsia="仿宋" w:cs="Arial"/>
          <w:b/>
          <w:color w:val="auto"/>
          <w:sz w:val="24"/>
          <w:highlight w:val="none"/>
        </w:rPr>
      </w:pPr>
      <w:r>
        <w:rPr>
          <w:rFonts w:hint="eastAsia" w:ascii="仿宋" w:hAnsi="仿宋" w:eastAsia="仿宋" w:cs="Arial"/>
          <w:b/>
          <w:color w:val="auto"/>
          <w:kern w:val="0"/>
          <w:sz w:val="24"/>
          <w:highlight w:val="none"/>
        </w:rPr>
        <w:t>10.1.4原</w:t>
      </w:r>
      <w:r>
        <w:rPr>
          <w:rFonts w:hint="eastAsia" w:ascii="仿宋" w:hAnsi="仿宋" w:eastAsia="仿宋" w:cs="Arial"/>
          <w:b/>
          <w:color w:val="auto"/>
          <w:sz w:val="24"/>
          <w:highlight w:val="none"/>
        </w:rPr>
        <w:t>成交供应商拒绝与采购人签订合同后，采购人可以按照评审报告推荐的成交候选人名单排序，确定下一候选人为成交供应商，也可以重新开展政府采购活动。</w:t>
      </w:r>
    </w:p>
    <w:p w14:paraId="28D61A4D">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10.2 履约担保（履约保证金）</w:t>
      </w:r>
    </w:p>
    <w:p w14:paraId="0871763A">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10.2.1履约担保递交要求：</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b/>
          <w:color w:val="auto"/>
          <w:kern w:val="0"/>
          <w:sz w:val="24"/>
          <w:highlight w:val="none"/>
        </w:rPr>
        <w:t>；成交供应商应递交而未递交履约担保的，合同款不予支付、合同验收不予通过。</w:t>
      </w:r>
    </w:p>
    <w:p w14:paraId="0566AFA0">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10.2.2采购合同签订后，成交供应商不按合同约定履约的，采购人可以解除采购合同，并对成交供应商已缴纳的履约保证金作“不予退还”处理。同时，成交供应商还须按以下约定向采购人支付违约金、承担违约责任：</w:t>
      </w:r>
    </w:p>
    <w:p w14:paraId="4DE56263">
      <w:pPr>
        <w:autoSpaceDN w:val="0"/>
        <w:spacing w:line="360" w:lineRule="auto"/>
        <w:ind w:firstLine="422" w:firstLineChars="176"/>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（1）采购人已向</w:t>
      </w:r>
      <w:r>
        <w:rPr>
          <w:rFonts w:hint="eastAsia" w:ascii="仿宋" w:hAnsi="仿宋" w:eastAsia="仿宋" w:cs="Arial"/>
          <w:color w:val="auto"/>
          <w:kern w:val="0"/>
          <w:sz w:val="24"/>
          <w:highlight w:val="none"/>
        </w:rPr>
        <w:t>成交供应商</w:t>
      </w:r>
      <w:r>
        <w:rPr>
          <w:rFonts w:hint="eastAsia" w:ascii="仿宋" w:hAnsi="仿宋" w:eastAsia="仿宋" w:cs="Arial"/>
          <w:color w:val="auto"/>
          <w:kern w:val="0"/>
          <w:sz w:val="24"/>
          <w:szCs w:val="24"/>
          <w:highlight w:val="none"/>
        </w:rPr>
        <w:t>支付了合同款的，</w:t>
      </w:r>
      <w:r>
        <w:rPr>
          <w:rFonts w:hint="eastAsia" w:ascii="仿宋" w:hAnsi="仿宋" w:eastAsia="仿宋" w:cs="Arial"/>
          <w:color w:val="auto"/>
          <w:kern w:val="0"/>
          <w:sz w:val="24"/>
          <w:highlight w:val="none"/>
        </w:rPr>
        <w:t>成交供应商</w:t>
      </w:r>
      <w:r>
        <w:rPr>
          <w:rFonts w:hint="eastAsia" w:ascii="仿宋" w:hAnsi="仿宋" w:eastAsia="仿宋" w:cs="Arial"/>
          <w:color w:val="auto"/>
          <w:kern w:val="0"/>
          <w:sz w:val="24"/>
          <w:szCs w:val="24"/>
          <w:highlight w:val="none"/>
        </w:rPr>
        <w:t>须一次性退还采购人已支付的合同款，并向采购人支付等额违约金；</w:t>
      </w:r>
    </w:p>
    <w:p w14:paraId="2B3E1BC2">
      <w:pPr>
        <w:autoSpaceDN w:val="0"/>
        <w:spacing w:line="360" w:lineRule="auto"/>
        <w:ind w:firstLine="424" w:firstLineChars="177"/>
        <w:rPr>
          <w:rFonts w:ascii="仿宋" w:hAnsi="仿宋" w:eastAsia="仿宋" w:cs="Arial"/>
          <w:b/>
          <w:color w:val="auto"/>
          <w:kern w:val="0"/>
          <w:sz w:val="24"/>
          <w:highlight w:val="none"/>
        </w:rPr>
      </w:pPr>
      <w:r>
        <w:rPr>
          <w:rFonts w:hint="eastAsia" w:ascii="仿宋" w:hAnsi="仿宋" w:eastAsia="仿宋" w:cs="Arial"/>
          <w:color w:val="auto"/>
          <w:kern w:val="0"/>
          <w:sz w:val="24"/>
          <w:szCs w:val="24"/>
          <w:highlight w:val="none"/>
        </w:rPr>
        <w:t>（2）采购人还未向</w:t>
      </w:r>
      <w:r>
        <w:rPr>
          <w:rFonts w:hint="eastAsia" w:ascii="仿宋" w:hAnsi="仿宋" w:eastAsia="仿宋" w:cs="Arial"/>
          <w:color w:val="auto"/>
          <w:kern w:val="0"/>
          <w:sz w:val="24"/>
          <w:highlight w:val="none"/>
        </w:rPr>
        <w:t>成交供应商</w:t>
      </w:r>
      <w:r>
        <w:rPr>
          <w:rFonts w:hint="eastAsia" w:ascii="仿宋" w:hAnsi="仿宋" w:eastAsia="仿宋" w:cs="Arial"/>
          <w:color w:val="auto"/>
          <w:kern w:val="0"/>
          <w:sz w:val="24"/>
          <w:szCs w:val="24"/>
          <w:highlight w:val="none"/>
        </w:rPr>
        <w:t>支付合同款的，</w:t>
      </w:r>
      <w:r>
        <w:rPr>
          <w:rFonts w:hint="eastAsia" w:ascii="仿宋" w:hAnsi="仿宋" w:eastAsia="仿宋" w:cs="Arial"/>
          <w:color w:val="auto"/>
          <w:kern w:val="0"/>
          <w:sz w:val="24"/>
          <w:highlight w:val="none"/>
        </w:rPr>
        <w:t>成交供应商</w:t>
      </w:r>
      <w:r>
        <w:rPr>
          <w:rFonts w:hint="eastAsia" w:ascii="仿宋" w:hAnsi="仿宋" w:eastAsia="仿宋" w:cs="Arial"/>
          <w:color w:val="auto"/>
          <w:kern w:val="0"/>
          <w:sz w:val="24"/>
          <w:szCs w:val="24"/>
          <w:highlight w:val="none"/>
        </w:rPr>
        <w:t>须一次性向采购人支付合同总额</w:t>
      </w:r>
      <w:r>
        <w:rPr>
          <w:rFonts w:hint="eastAsia" w:ascii="仿宋" w:hAnsi="仿宋" w:eastAsia="仿宋" w:cs="Arial"/>
          <w:color w:val="auto"/>
          <w:kern w:val="0"/>
          <w:sz w:val="24"/>
          <w:szCs w:val="24"/>
          <w:highlight w:val="none"/>
        </w:rPr>
        <w:t>30%的违约金。</w:t>
      </w:r>
    </w:p>
    <w:p w14:paraId="066A92F7">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10.2.3履约保证金在成交供应商按约定履约完毕后退还（具体退还方式以合同签订时约定为准）。</w:t>
      </w:r>
    </w:p>
    <w:p w14:paraId="7FE969FD">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10.3合同款支付方式等</w:t>
      </w:r>
    </w:p>
    <w:p w14:paraId="232E137F">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10.3.1合同款支付方式：</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7DF5A009">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10.3.2</w:t>
      </w:r>
      <w:r>
        <w:rPr>
          <w:rFonts w:hint="eastAsia" w:ascii="仿宋" w:hAnsi="仿宋" w:eastAsia="仿宋" w:cs="Arial"/>
          <w:b/>
          <w:color w:val="auto"/>
          <w:kern w:val="0"/>
          <w:sz w:val="24"/>
          <w:highlight w:val="none"/>
        </w:rPr>
        <w:t>质量保证金</w:t>
      </w:r>
      <w:r>
        <w:rPr>
          <w:rFonts w:hint="eastAsia" w:ascii="仿宋" w:hAnsi="仿宋" w:eastAsia="仿宋" w:cs="Arial"/>
          <w:b/>
          <w:color w:val="auto"/>
          <w:kern w:val="0"/>
          <w:sz w:val="24"/>
          <w:highlight w:val="none"/>
        </w:rPr>
        <w:t>：</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689A4491">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10.3.3施工用水电费：</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72A69DAF">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10.4预付款担保</w:t>
      </w:r>
    </w:p>
    <w:p w14:paraId="36F20677">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预付款担保：见《磋商须知前附表》。</w:t>
      </w:r>
    </w:p>
    <w:p w14:paraId="652BE758">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77" w:name="_Toc96947070"/>
      <w:bookmarkStart w:id="78" w:name="_Toc35391902"/>
      <w:bookmarkStart w:id="79" w:name="_Toc19649"/>
      <w:r>
        <w:rPr>
          <w:rFonts w:hint="eastAsia" w:ascii="仿宋" w:hAnsi="仿宋" w:eastAsia="仿宋" w:cs="Times New Roman"/>
          <w:b/>
          <w:bCs/>
          <w:color w:val="auto"/>
          <w:sz w:val="28"/>
          <w:szCs w:val="28"/>
          <w:highlight w:val="none"/>
        </w:rPr>
        <w:t>十一、其他事项说明</w:t>
      </w:r>
      <w:bookmarkEnd w:id="77"/>
      <w:bookmarkEnd w:id="78"/>
      <w:bookmarkEnd w:id="79"/>
    </w:p>
    <w:p w14:paraId="5B2D782F">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11.1 中小企业信用融资</w:t>
      </w:r>
    </w:p>
    <w:p w14:paraId="18E836B6">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sz w:val="24"/>
          <w:szCs w:val="20"/>
          <w:highlight w:val="none"/>
        </w:rPr>
        <w:t>11.1.1中小企业融资相关规定：</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7F600C6B">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11.2 重要提醒</w:t>
      </w:r>
    </w:p>
    <w:p w14:paraId="16BEAE54">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sz w:val="24"/>
          <w:szCs w:val="20"/>
          <w:highlight w:val="none"/>
        </w:rPr>
        <w:t>11.2.1磋商重要提醒：</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09A59D07">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11.3 竞争性磋商文件解释权</w:t>
      </w:r>
    </w:p>
    <w:p w14:paraId="47717707">
      <w:pPr>
        <w:autoSpaceDN w:val="0"/>
        <w:spacing w:line="360" w:lineRule="auto"/>
        <w:ind w:firstLine="426" w:firstLineChars="177"/>
        <w:rPr>
          <w:rFonts w:ascii="宋体" w:hAnsi="Courier New" w:eastAsia="宋体" w:cs="Times New Roman"/>
          <w:color w:val="auto"/>
          <w:spacing w:val="-4"/>
          <w:kern w:val="0"/>
          <w:sz w:val="18"/>
          <w:szCs w:val="20"/>
          <w:highlight w:val="none"/>
        </w:rPr>
      </w:pPr>
      <w:r>
        <w:rPr>
          <w:rFonts w:hint="eastAsia" w:ascii="仿宋" w:hAnsi="仿宋" w:eastAsia="仿宋" w:cs="Times New Roman"/>
          <w:b/>
          <w:color w:val="auto"/>
          <w:kern w:val="0"/>
          <w:sz w:val="24"/>
          <w:szCs w:val="20"/>
          <w:highlight w:val="none"/>
        </w:rPr>
        <w:t>11.3.1竞争性磋商文件解释权：</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71A46530">
      <w:pPr>
        <w:autoSpaceDN w:val="0"/>
        <w:spacing w:line="200" w:lineRule="exact"/>
        <w:ind w:firstLine="301"/>
        <w:rPr>
          <w:rFonts w:ascii="宋体" w:hAnsi="Courier New" w:eastAsia="宋体" w:cs="Times New Roman"/>
          <w:color w:val="auto"/>
          <w:spacing w:val="-4"/>
          <w:kern w:val="0"/>
          <w:sz w:val="18"/>
          <w:szCs w:val="20"/>
          <w:highlight w:val="none"/>
        </w:rPr>
      </w:pPr>
    </w:p>
    <w:p w14:paraId="198997EE">
      <w:pPr>
        <w:autoSpaceDN w:val="0"/>
        <w:spacing w:line="200" w:lineRule="exact"/>
        <w:ind w:firstLine="301"/>
        <w:rPr>
          <w:rFonts w:ascii="宋体" w:hAnsi="Courier New" w:eastAsia="宋体" w:cs="Times New Roman"/>
          <w:color w:val="auto"/>
          <w:spacing w:val="-4"/>
          <w:kern w:val="0"/>
          <w:sz w:val="18"/>
          <w:szCs w:val="20"/>
          <w:highlight w:val="none"/>
        </w:rPr>
      </w:pPr>
    </w:p>
    <w:p w14:paraId="7054B0E1">
      <w:pPr>
        <w:autoSpaceDN w:val="0"/>
        <w:spacing w:line="200" w:lineRule="exact"/>
        <w:ind w:firstLine="301"/>
        <w:rPr>
          <w:rFonts w:ascii="宋体" w:hAnsi="Courier New" w:eastAsia="宋体" w:cs="Times New Roman"/>
          <w:color w:val="auto"/>
          <w:spacing w:val="-4"/>
          <w:kern w:val="0"/>
          <w:sz w:val="18"/>
          <w:szCs w:val="20"/>
          <w:highlight w:val="none"/>
        </w:rPr>
      </w:pPr>
    </w:p>
    <w:p w14:paraId="7ADD1431">
      <w:pPr>
        <w:autoSpaceDN w:val="0"/>
        <w:spacing w:line="200" w:lineRule="exact"/>
        <w:ind w:firstLine="301"/>
        <w:rPr>
          <w:rFonts w:ascii="宋体" w:hAnsi="Courier New" w:eastAsia="宋体" w:cs="Times New Roman"/>
          <w:color w:val="auto"/>
          <w:spacing w:val="-4"/>
          <w:kern w:val="0"/>
          <w:sz w:val="18"/>
          <w:szCs w:val="20"/>
          <w:highlight w:val="none"/>
        </w:rPr>
      </w:pPr>
    </w:p>
    <w:p w14:paraId="474BA185">
      <w:pPr>
        <w:autoSpaceDN w:val="0"/>
        <w:spacing w:line="200" w:lineRule="exact"/>
        <w:ind w:firstLine="301"/>
        <w:rPr>
          <w:rFonts w:ascii="宋体" w:hAnsi="Courier New" w:eastAsia="宋体" w:cs="Times New Roman"/>
          <w:color w:val="auto"/>
          <w:spacing w:val="-4"/>
          <w:kern w:val="0"/>
          <w:sz w:val="18"/>
          <w:szCs w:val="20"/>
          <w:highlight w:val="none"/>
        </w:rPr>
      </w:pPr>
    </w:p>
    <w:p w14:paraId="5EB069AC">
      <w:pPr>
        <w:autoSpaceDN w:val="0"/>
        <w:spacing w:line="200" w:lineRule="exact"/>
        <w:ind w:firstLine="301"/>
        <w:rPr>
          <w:rFonts w:ascii="宋体" w:hAnsi="Courier New" w:eastAsia="宋体" w:cs="Times New Roman"/>
          <w:color w:val="auto"/>
          <w:spacing w:val="-4"/>
          <w:kern w:val="0"/>
          <w:sz w:val="18"/>
          <w:szCs w:val="20"/>
          <w:highlight w:val="none"/>
        </w:rPr>
      </w:pPr>
    </w:p>
    <w:p w14:paraId="4E07A55A">
      <w:pPr>
        <w:autoSpaceDN w:val="0"/>
        <w:spacing w:line="200" w:lineRule="exact"/>
        <w:ind w:firstLine="301"/>
        <w:rPr>
          <w:rFonts w:ascii="宋体" w:hAnsi="Courier New" w:eastAsia="宋体" w:cs="Times New Roman"/>
          <w:color w:val="auto"/>
          <w:spacing w:val="-4"/>
          <w:kern w:val="0"/>
          <w:sz w:val="18"/>
          <w:szCs w:val="20"/>
          <w:highlight w:val="none"/>
        </w:rPr>
      </w:pPr>
    </w:p>
    <w:p w14:paraId="6AAE8BF9">
      <w:pPr>
        <w:autoSpaceDN w:val="0"/>
        <w:spacing w:line="200" w:lineRule="exact"/>
        <w:ind w:firstLine="301"/>
        <w:rPr>
          <w:rFonts w:ascii="宋体" w:hAnsi="Courier New" w:eastAsia="宋体" w:cs="Times New Roman"/>
          <w:color w:val="auto"/>
          <w:spacing w:val="-4"/>
          <w:kern w:val="0"/>
          <w:sz w:val="18"/>
          <w:szCs w:val="20"/>
          <w:highlight w:val="none"/>
        </w:rPr>
      </w:pPr>
    </w:p>
    <w:p w14:paraId="4743C260">
      <w:pPr>
        <w:autoSpaceDN w:val="0"/>
        <w:spacing w:line="200" w:lineRule="exact"/>
        <w:ind w:firstLine="301"/>
        <w:rPr>
          <w:rFonts w:ascii="宋体" w:hAnsi="Courier New" w:eastAsia="宋体" w:cs="Times New Roman"/>
          <w:color w:val="auto"/>
          <w:spacing w:val="-4"/>
          <w:kern w:val="0"/>
          <w:sz w:val="18"/>
          <w:szCs w:val="20"/>
          <w:highlight w:val="none"/>
        </w:rPr>
      </w:pPr>
    </w:p>
    <w:p w14:paraId="191AD62C">
      <w:pPr>
        <w:autoSpaceDN w:val="0"/>
        <w:spacing w:line="200" w:lineRule="exact"/>
        <w:ind w:firstLine="301"/>
        <w:rPr>
          <w:rFonts w:ascii="宋体" w:hAnsi="Courier New" w:eastAsia="宋体" w:cs="Times New Roman"/>
          <w:color w:val="auto"/>
          <w:spacing w:val="-4"/>
          <w:kern w:val="0"/>
          <w:sz w:val="18"/>
          <w:szCs w:val="20"/>
          <w:highlight w:val="none"/>
        </w:rPr>
      </w:pPr>
    </w:p>
    <w:p w14:paraId="33C0BCEC">
      <w:pPr>
        <w:autoSpaceDN w:val="0"/>
        <w:spacing w:line="200" w:lineRule="exact"/>
        <w:ind w:firstLine="301"/>
        <w:rPr>
          <w:rFonts w:ascii="宋体" w:hAnsi="Courier New" w:eastAsia="宋体" w:cs="Times New Roman"/>
          <w:color w:val="auto"/>
          <w:spacing w:val="-4"/>
          <w:kern w:val="0"/>
          <w:sz w:val="18"/>
          <w:szCs w:val="20"/>
          <w:highlight w:val="none"/>
        </w:rPr>
      </w:pPr>
    </w:p>
    <w:p w14:paraId="5F9E064B">
      <w:pPr>
        <w:autoSpaceDN w:val="0"/>
        <w:spacing w:line="200" w:lineRule="exact"/>
        <w:ind w:firstLine="301"/>
        <w:rPr>
          <w:rFonts w:ascii="宋体" w:hAnsi="Courier New" w:eastAsia="宋体" w:cs="Times New Roman"/>
          <w:color w:val="auto"/>
          <w:spacing w:val="-4"/>
          <w:kern w:val="0"/>
          <w:sz w:val="18"/>
          <w:szCs w:val="20"/>
          <w:highlight w:val="none"/>
        </w:rPr>
      </w:pPr>
    </w:p>
    <w:p w14:paraId="69DE00A8">
      <w:pP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br w:type="page"/>
      </w:r>
    </w:p>
    <w:p w14:paraId="6D9D9545">
      <w:pPr>
        <w:autoSpaceDN w:val="0"/>
        <w:snapToGrid w:val="0"/>
        <w:spacing w:before="162" w:beforeLines="50" w:after="162" w:afterLines="50" w:line="360" w:lineRule="auto"/>
        <w:jc w:val="center"/>
        <w:outlineLvl w:val="0"/>
        <w:rPr>
          <w:rFonts w:ascii="仿宋" w:hAnsi="仿宋" w:eastAsia="仿宋" w:cs="宋体"/>
          <w:color w:val="auto"/>
          <w:kern w:val="0"/>
          <w:sz w:val="32"/>
          <w:szCs w:val="32"/>
          <w:highlight w:val="none"/>
        </w:rPr>
      </w:pPr>
      <w:bookmarkStart w:id="80" w:name="_Toc18106"/>
      <w:r>
        <w:rPr>
          <w:rFonts w:hint="eastAsia" w:ascii="仿宋" w:hAnsi="仿宋" w:eastAsia="仿宋" w:cs="宋体"/>
          <w:b/>
          <w:color w:val="auto"/>
          <w:kern w:val="0"/>
          <w:sz w:val="32"/>
          <w:szCs w:val="32"/>
          <w:highlight w:val="none"/>
        </w:rPr>
        <w:t>第三章 评审办法</w:t>
      </w:r>
      <w:bookmarkEnd w:id="80"/>
    </w:p>
    <w:p w14:paraId="78F54ECC">
      <w:pPr>
        <w:autoSpaceDN w:val="0"/>
        <w:snapToGrid w:val="0"/>
        <w:spacing w:line="360" w:lineRule="auto"/>
        <w:ind w:firstLine="42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为公正、公平、科学地选择中标（成交）供应商，根据《中华人民共和国政府采购法》、《政府采购竞争性磋商采购方式管理暂行办法》等有关法律法规的规定，并结合本项目的实际，制定本办法。</w:t>
      </w:r>
    </w:p>
    <w:p w14:paraId="43DE80A8">
      <w:pPr>
        <w:autoSpaceDN w:val="0"/>
        <w:snapToGrid w:val="0"/>
        <w:spacing w:line="360" w:lineRule="auto"/>
        <w:ind w:firstLine="420"/>
        <w:rPr>
          <w:rFonts w:ascii="仿宋" w:hAnsi="仿宋" w:eastAsia="仿宋" w:cs="宋体"/>
          <w:bCs/>
          <w:color w:val="auto"/>
          <w:sz w:val="24"/>
          <w:szCs w:val="24"/>
          <w:highlight w:val="none"/>
        </w:rPr>
      </w:pPr>
      <w:r>
        <w:rPr>
          <w:rFonts w:hint="eastAsia" w:ascii="仿宋" w:hAnsi="仿宋" w:eastAsia="仿宋" w:cs="宋体"/>
          <w:color w:val="auto"/>
          <w:sz w:val="24"/>
          <w:szCs w:val="24"/>
          <w:highlight w:val="none"/>
        </w:rPr>
        <w:t>本办法适用于</w:t>
      </w:r>
      <w:r>
        <w:rPr>
          <w:rFonts w:hint="eastAsia" w:ascii="仿宋" w:hAnsi="仿宋" w:eastAsia="仿宋" w:cs="宋体"/>
          <w:color w:val="auto"/>
          <w:sz w:val="24"/>
          <w:szCs w:val="24"/>
          <w:highlight w:val="none"/>
          <w:lang w:eastAsia="zh-CN"/>
        </w:rPr>
        <w:t>浙江工业大学屏峰校区学生宿舍建设工程项目施工用电工程</w:t>
      </w:r>
      <w:r>
        <w:rPr>
          <w:rFonts w:hint="eastAsia" w:ascii="仿宋" w:hAnsi="仿宋" w:eastAsia="仿宋" w:cs="宋体"/>
          <w:color w:val="auto"/>
          <w:sz w:val="24"/>
          <w:szCs w:val="24"/>
          <w:highlight w:val="none"/>
        </w:rPr>
        <w:t>的评审。</w:t>
      </w:r>
    </w:p>
    <w:p w14:paraId="073AA870">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81" w:name="_Toc23222"/>
      <w:r>
        <w:rPr>
          <w:rFonts w:hint="eastAsia" w:ascii="仿宋" w:hAnsi="仿宋" w:eastAsia="仿宋" w:cs="Times New Roman"/>
          <w:b/>
          <w:bCs/>
          <w:color w:val="auto"/>
          <w:sz w:val="28"/>
          <w:szCs w:val="28"/>
          <w:highlight w:val="none"/>
        </w:rPr>
        <w:t>一、总则</w:t>
      </w:r>
      <w:bookmarkEnd w:id="81"/>
    </w:p>
    <w:p w14:paraId="64946C4D">
      <w:pPr>
        <w:autoSpaceDN w:val="0"/>
        <w:snapToGrid w:val="0"/>
        <w:spacing w:line="360" w:lineRule="auto"/>
        <w:ind w:firstLine="480"/>
        <w:rPr>
          <w:rFonts w:ascii="仿宋" w:hAnsi="仿宋" w:eastAsia="仿宋" w:cs="宋体"/>
          <w:b/>
          <w:color w:val="auto"/>
          <w:sz w:val="24"/>
          <w:szCs w:val="24"/>
          <w:highlight w:val="none"/>
        </w:rPr>
      </w:pPr>
      <w:r>
        <w:rPr>
          <w:rFonts w:hint="eastAsia" w:ascii="仿宋" w:hAnsi="仿宋" w:eastAsia="仿宋" w:cs="Times New Roman"/>
          <w:b/>
          <w:color w:val="auto"/>
          <w:sz w:val="24"/>
          <w:highlight w:val="none"/>
        </w:rPr>
        <w:t>本项目为工程类项目，</w:t>
      </w:r>
      <w:r>
        <w:rPr>
          <w:rFonts w:hint="eastAsia" w:ascii="仿宋" w:hAnsi="仿宋" w:eastAsia="仿宋" w:cs="宋体"/>
          <w:b/>
          <w:color w:val="auto"/>
          <w:sz w:val="24"/>
          <w:szCs w:val="24"/>
          <w:highlight w:val="none"/>
        </w:rPr>
        <w:t>采用综合评分法，总分为100分，其中“商务技术”</w:t>
      </w:r>
      <w:r>
        <w:rPr>
          <w:rFonts w:hint="eastAsia" w:ascii="仿宋" w:hAnsi="仿宋" w:eastAsia="仿宋" w:cs="宋体"/>
          <w:b/>
          <w:color w:val="auto"/>
          <w:sz w:val="24"/>
          <w:szCs w:val="24"/>
          <w:highlight w:val="none"/>
          <w:u w:val="single"/>
          <w:lang w:val="en-US" w:eastAsia="zh-CN"/>
        </w:rPr>
        <w:t>70</w:t>
      </w:r>
      <w:r>
        <w:rPr>
          <w:rFonts w:hint="eastAsia" w:ascii="仿宋" w:hAnsi="仿宋" w:eastAsia="仿宋" w:cs="宋体"/>
          <w:b/>
          <w:color w:val="auto"/>
          <w:sz w:val="24"/>
          <w:szCs w:val="24"/>
          <w:highlight w:val="none"/>
        </w:rPr>
        <w:t>分，“最终报价”</w:t>
      </w:r>
      <w:r>
        <w:rPr>
          <w:rFonts w:hint="eastAsia" w:ascii="仿宋" w:hAnsi="仿宋" w:eastAsia="仿宋" w:cs="宋体"/>
          <w:b/>
          <w:color w:val="auto"/>
          <w:sz w:val="24"/>
          <w:szCs w:val="24"/>
          <w:highlight w:val="none"/>
          <w:u w:val="single"/>
        </w:rPr>
        <w:t>3</w:t>
      </w:r>
      <w:r>
        <w:rPr>
          <w:rFonts w:hint="eastAsia" w:ascii="仿宋" w:hAnsi="仿宋" w:eastAsia="仿宋" w:cs="宋体"/>
          <w:b/>
          <w:color w:val="auto"/>
          <w:sz w:val="24"/>
          <w:szCs w:val="24"/>
          <w:highlight w:val="none"/>
          <w:u w:val="single"/>
          <w:lang w:val="en-US" w:eastAsia="zh-CN"/>
        </w:rPr>
        <w:t>0</w:t>
      </w:r>
      <w:r>
        <w:rPr>
          <w:rFonts w:hint="eastAsia" w:ascii="仿宋" w:hAnsi="仿宋" w:eastAsia="仿宋" w:cs="宋体"/>
          <w:b/>
          <w:color w:val="auto"/>
          <w:sz w:val="24"/>
          <w:szCs w:val="24"/>
          <w:highlight w:val="none"/>
        </w:rPr>
        <w:t>分。</w:t>
      </w:r>
      <w:r>
        <w:rPr>
          <w:rFonts w:hint="eastAsia" w:ascii="仿宋" w:hAnsi="仿宋" w:eastAsia="仿宋" w:cs="Times New Roman"/>
          <w:color w:val="auto"/>
          <w:sz w:val="24"/>
          <w:szCs w:val="24"/>
          <w:highlight w:val="none"/>
        </w:rPr>
        <w:t>磋商小组将对经磋商确定最终采购需求和提交最后报价的磋商响应供应商，根据商务技术、最终报价情况由各成员独立记名打分。评分过程中采用四舍五入法，并保留小数2位。</w:t>
      </w:r>
    </w:p>
    <w:p w14:paraId="6CB7B36A">
      <w:pPr>
        <w:autoSpaceDN w:val="0"/>
        <w:spacing w:line="360" w:lineRule="auto"/>
        <w:ind w:firstLine="422" w:firstLineChars="176"/>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递交了有效响应文件的供应商的评审得分为各项目汇总得分，成交候选资格按评审得分由高到低顺序排列，得分相同的，按最终报价由低到高顺序排列；得分且最终报价相同的，按</w:t>
      </w:r>
      <w:r>
        <w:rPr>
          <w:rFonts w:hint="eastAsia" w:ascii="仿宋" w:hAnsi="仿宋" w:eastAsia="仿宋" w:cs="Arial"/>
          <w:color w:val="auto"/>
          <w:sz w:val="24"/>
          <w:highlight w:val="none"/>
        </w:rPr>
        <w:t>商务</w:t>
      </w:r>
      <w:r>
        <w:rPr>
          <w:rFonts w:hint="eastAsia" w:ascii="仿宋" w:hAnsi="仿宋" w:eastAsia="仿宋" w:cs="宋体"/>
          <w:color w:val="auto"/>
          <w:sz w:val="24"/>
          <w:szCs w:val="24"/>
          <w:highlight w:val="none"/>
        </w:rPr>
        <w:t>技术得分由高到低顺序排列。汇总得分</w:t>
      </w:r>
      <w:r>
        <w:rPr>
          <w:rFonts w:hint="eastAsia" w:ascii="仿宋" w:hAnsi="仿宋" w:eastAsia="仿宋" w:cs="Arial"/>
          <w:color w:val="auto"/>
          <w:sz w:val="24"/>
          <w:highlight w:val="none"/>
        </w:rPr>
        <w:t>、最</w:t>
      </w:r>
      <w:r>
        <w:rPr>
          <w:rFonts w:hint="eastAsia" w:ascii="仿宋" w:hAnsi="仿宋" w:eastAsia="仿宋" w:cs="宋体"/>
          <w:color w:val="auto"/>
          <w:sz w:val="24"/>
          <w:szCs w:val="24"/>
          <w:highlight w:val="none"/>
        </w:rPr>
        <w:t>终</w:t>
      </w:r>
      <w:r>
        <w:rPr>
          <w:rFonts w:hint="eastAsia" w:ascii="仿宋" w:hAnsi="仿宋" w:eastAsia="仿宋" w:cs="Arial"/>
          <w:color w:val="auto"/>
          <w:sz w:val="24"/>
          <w:highlight w:val="none"/>
        </w:rPr>
        <w:t>报价和商务技术得分均相同的由磋商小组全体成员记名投票按少数服从多数的原则确定排名。</w:t>
      </w:r>
      <w:r>
        <w:rPr>
          <w:rFonts w:hint="eastAsia" w:ascii="仿宋" w:hAnsi="仿宋" w:eastAsia="仿宋" w:cs="宋体"/>
          <w:color w:val="auto"/>
          <w:sz w:val="24"/>
          <w:szCs w:val="24"/>
          <w:highlight w:val="none"/>
        </w:rPr>
        <w:t>评分过程中采用四舍五入法，并保留小数2位。除财政部门另有规定外，</w:t>
      </w:r>
      <w:r>
        <w:rPr>
          <w:rFonts w:hint="eastAsia" w:ascii="仿宋" w:hAnsi="仿宋" w:eastAsia="仿宋" w:cs="宋体"/>
          <w:color w:val="auto"/>
          <w:sz w:val="24"/>
          <w:szCs w:val="24"/>
          <w:highlight w:val="none"/>
          <w:lang w:eastAsia="zh-CN"/>
        </w:rPr>
        <w:t>磋商小组</w:t>
      </w:r>
      <w:r>
        <w:rPr>
          <w:rFonts w:hint="eastAsia" w:ascii="仿宋" w:hAnsi="仿宋" w:eastAsia="仿宋" w:cs="宋体"/>
          <w:color w:val="auto"/>
          <w:sz w:val="24"/>
          <w:szCs w:val="24"/>
          <w:highlight w:val="none"/>
        </w:rPr>
        <w:t>推荐得分排列前</w:t>
      </w:r>
      <w:r>
        <w:rPr>
          <w:rFonts w:hint="eastAsia" w:ascii="仿宋" w:hAnsi="仿宋" w:eastAsia="仿宋" w:cs="宋体"/>
          <w:color w:val="auto"/>
          <w:sz w:val="24"/>
          <w:szCs w:val="24"/>
          <w:highlight w:val="none"/>
          <w:u w:val="single"/>
        </w:rPr>
        <w:t xml:space="preserve"> 3 </w:t>
      </w:r>
      <w:r>
        <w:rPr>
          <w:rFonts w:hint="eastAsia" w:ascii="仿宋" w:hAnsi="仿宋" w:eastAsia="仿宋" w:cs="宋体"/>
          <w:color w:val="auto"/>
          <w:sz w:val="24"/>
          <w:szCs w:val="24"/>
          <w:highlight w:val="none"/>
        </w:rPr>
        <w:t>名的供应商为成交候选人。</w:t>
      </w:r>
    </w:p>
    <w:p w14:paraId="177B3A12">
      <w:pPr>
        <w:autoSpaceDN w:val="0"/>
        <w:snapToGrid w:val="0"/>
        <w:spacing w:line="360" w:lineRule="auto"/>
        <w:ind w:firstLine="48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eastAsia="zh-CN"/>
        </w:rPr>
        <w:t>商务技术</w:t>
      </w:r>
      <w:r>
        <w:rPr>
          <w:rFonts w:hint="eastAsia" w:ascii="仿宋" w:hAnsi="仿宋" w:eastAsia="仿宋" w:cs="宋体"/>
          <w:color w:val="auto"/>
          <w:sz w:val="24"/>
          <w:szCs w:val="24"/>
          <w:highlight w:val="none"/>
        </w:rPr>
        <w:t>分=</w:t>
      </w:r>
      <w:r>
        <w:rPr>
          <w:rFonts w:hint="eastAsia" w:ascii="仿宋" w:hAnsi="仿宋" w:eastAsia="仿宋" w:cs="宋体"/>
          <w:color w:val="auto"/>
          <w:sz w:val="24"/>
          <w:szCs w:val="24"/>
          <w:highlight w:val="none"/>
          <w:lang w:eastAsia="zh-CN"/>
        </w:rPr>
        <w:t>磋商小组</w:t>
      </w:r>
      <w:r>
        <w:rPr>
          <w:rFonts w:hint="eastAsia" w:ascii="仿宋" w:hAnsi="仿宋" w:eastAsia="仿宋" w:cs="宋体"/>
          <w:color w:val="auto"/>
          <w:sz w:val="24"/>
          <w:szCs w:val="24"/>
          <w:highlight w:val="none"/>
        </w:rPr>
        <w:t>所有成员评分的算术平均数</w:t>
      </w:r>
    </w:p>
    <w:p w14:paraId="6A17B4E0">
      <w:pPr>
        <w:autoSpaceDN w:val="0"/>
        <w:snapToGrid w:val="0"/>
        <w:spacing w:line="360" w:lineRule="auto"/>
        <w:ind w:firstLine="480" w:firstLineChars="200"/>
        <w:rPr>
          <w:rFonts w:ascii="仿宋" w:hAnsi="仿宋" w:eastAsia="仿宋" w:cs="宋体"/>
          <w:bCs/>
          <w:color w:val="auto"/>
          <w:sz w:val="24"/>
          <w:szCs w:val="24"/>
          <w:highlight w:val="none"/>
        </w:rPr>
      </w:pPr>
      <w:r>
        <w:rPr>
          <w:rFonts w:hint="eastAsia" w:ascii="仿宋" w:hAnsi="仿宋" w:eastAsia="仿宋" w:cs="宋体"/>
          <w:color w:val="auto"/>
          <w:sz w:val="24"/>
          <w:szCs w:val="24"/>
          <w:highlight w:val="none"/>
        </w:rPr>
        <w:t>供应商评审综合得分=价格分+</w:t>
      </w:r>
      <w:r>
        <w:rPr>
          <w:rFonts w:hint="eastAsia" w:ascii="仿宋" w:hAnsi="仿宋" w:eastAsia="仿宋" w:cs="宋体"/>
          <w:color w:val="auto"/>
          <w:sz w:val="24"/>
          <w:szCs w:val="24"/>
          <w:highlight w:val="none"/>
          <w:lang w:eastAsia="zh-CN"/>
        </w:rPr>
        <w:t>商务技术</w:t>
      </w:r>
      <w:r>
        <w:rPr>
          <w:rFonts w:hint="eastAsia" w:ascii="仿宋" w:hAnsi="仿宋" w:eastAsia="仿宋" w:cs="宋体"/>
          <w:color w:val="auto"/>
          <w:sz w:val="24"/>
          <w:szCs w:val="24"/>
          <w:highlight w:val="none"/>
        </w:rPr>
        <w:t>分</w:t>
      </w:r>
    </w:p>
    <w:p w14:paraId="6A59A610">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82" w:name="_Toc482590098"/>
      <w:bookmarkStart w:id="83" w:name="_Toc520824346"/>
      <w:bookmarkStart w:id="84" w:name="_Toc26621"/>
      <w:bookmarkStart w:id="85" w:name="_Toc96947084"/>
      <w:r>
        <w:rPr>
          <w:rFonts w:hint="eastAsia" w:ascii="仿宋" w:hAnsi="仿宋" w:eastAsia="仿宋" w:cs="Times New Roman"/>
          <w:b/>
          <w:bCs/>
          <w:color w:val="auto"/>
          <w:sz w:val="28"/>
          <w:szCs w:val="28"/>
          <w:highlight w:val="none"/>
        </w:rPr>
        <w:t>二、评审程序</w:t>
      </w:r>
      <w:bookmarkEnd w:id="82"/>
      <w:bookmarkEnd w:id="83"/>
      <w:bookmarkEnd w:id="84"/>
      <w:bookmarkEnd w:id="85"/>
    </w:p>
    <w:p w14:paraId="5568E88B">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2.1评审前</w:t>
      </w:r>
    </w:p>
    <w:p w14:paraId="6F33E0B3">
      <w:pPr>
        <w:autoSpaceDN w:val="0"/>
        <w:spacing w:line="360" w:lineRule="auto"/>
        <w:ind w:firstLine="458" w:firstLineChars="191"/>
        <w:jc w:val="left"/>
        <w:rPr>
          <w:rFonts w:ascii="仿宋" w:hAnsi="仿宋" w:eastAsia="仿宋" w:cs="Times New Roman"/>
          <w:color w:val="auto"/>
          <w:kern w:val="0"/>
          <w:sz w:val="24"/>
          <w:highlight w:val="none"/>
        </w:rPr>
      </w:pPr>
      <w:r>
        <w:rPr>
          <w:rFonts w:hint="eastAsia" w:ascii="仿宋" w:hAnsi="仿宋" w:eastAsia="仿宋" w:cs="Times New Roman"/>
          <w:color w:val="auto"/>
          <w:kern w:val="0"/>
          <w:sz w:val="24"/>
          <w:szCs w:val="24"/>
          <w:highlight w:val="none"/>
        </w:rPr>
        <w:t>组织磋商小组签到、核对评委身份，</w:t>
      </w:r>
      <w:r>
        <w:rPr>
          <w:rFonts w:hint="eastAsia" w:ascii="仿宋" w:hAnsi="仿宋" w:eastAsia="仿宋" w:cs="Times New Roman"/>
          <w:color w:val="auto"/>
          <w:kern w:val="0"/>
          <w:sz w:val="24"/>
          <w:highlight w:val="none"/>
        </w:rPr>
        <w:t>推选磋商小组组长，由组长召集成员阅读磋商文件及相关补充、质疑、答复文件、项目书面说明等材料，了解采购项目基本情况、磋商有关事项等。</w:t>
      </w:r>
    </w:p>
    <w:p w14:paraId="29FA64A2">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2.2磋商响应文件的资格、符合性审查</w:t>
      </w:r>
    </w:p>
    <w:p w14:paraId="4BB69E1D">
      <w:pPr>
        <w:autoSpaceDN w:val="0"/>
        <w:spacing w:line="360" w:lineRule="auto"/>
        <w:ind w:firstLine="424" w:firstLineChars="177"/>
        <w:rPr>
          <w:rFonts w:ascii="仿宋" w:hAnsi="仿宋" w:eastAsia="仿宋" w:cs="Times New Roman"/>
          <w:color w:val="auto"/>
          <w:sz w:val="24"/>
          <w:szCs w:val="24"/>
          <w:highlight w:val="none"/>
        </w:rPr>
      </w:pPr>
      <w:r>
        <w:rPr>
          <w:rFonts w:hint="eastAsia" w:ascii="仿宋" w:hAnsi="仿宋" w:eastAsia="仿宋" w:cs="Times New Roman"/>
          <w:bCs/>
          <w:color w:val="auto"/>
          <w:sz w:val="24"/>
          <w:szCs w:val="24"/>
          <w:highlight w:val="none"/>
        </w:rPr>
        <w:t>2.2.1</w:t>
      </w:r>
      <w:r>
        <w:rPr>
          <w:rFonts w:hint="eastAsia" w:ascii="仿宋" w:hAnsi="仿宋" w:eastAsia="仿宋" w:cs="Arial"/>
          <w:bCs/>
          <w:color w:val="auto"/>
          <w:kern w:val="0"/>
          <w:sz w:val="24"/>
          <w:highlight w:val="none"/>
        </w:rPr>
        <w:t>开标（标书信息开启）后，磋商小组首先依法对磋商响应供应商的资格文件进行审查，审查各磋商响应供应商的资格符合情况。</w:t>
      </w:r>
      <w:r>
        <w:rPr>
          <w:rFonts w:hint="eastAsia" w:ascii="仿宋" w:hAnsi="仿宋" w:eastAsia="仿宋" w:cs="Times New Roman"/>
          <w:color w:val="auto"/>
          <w:sz w:val="24"/>
          <w:szCs w:val="24"/>
          <w:highlight w:val="none"/>
        </w:rPr>
        <w:t>磋商小组对磋商响应供应商所递交的资格证明材料仅负审核的责任。如发现磋商响应供应商所递交的资格证明材料不合法或与事实不符，采购人可取消其成交资格并追究磋商响应供应商的法律责任。</w:t>
      </w:r>
    </w:p>
    <w:p w14:paraId="5BBCB154">
      <w:pPr>
        <w:autoSpaceDN w:val="0"/>
        <w:spacing w:line="360" w:lineRule="auto"/>
        <w:ind w:firstLine="426" w:firstLineChars="177"/>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w:t>
      </w:r>
      <w:r>
        <w:rPr>
          <w:rFonts w:hint="eastAsia" w:ascii="仿宋" w:hAnsi="仿宋" w:eastAsia="仿宋" w:cs="Arial"/>
          <w:b/>
          <w:color w:val="auto"/>
          <w:kern w:val="0"/>
          <w:sz w:val="24"/>
          <w:szCs w:val="24"/>
          <w:highlight w:val="none"/>
          <w:u w:val="single"/>
        </w:rPr>
        <w:t>磋商响应供应商递交的资格证明材料无法证明其符合竞争性磋商文件规定的“磋商响应供应商资格要求”的，磋商小组将对其作“资格审查不合格”处理（无效投标），并不再进行后续评审。</w:t>
      </w:r>
    </w:p>
    <w:p w14:paraId="47C3BF1E">
      <w:pPr>
        <w:autoSpaceDN w:val="0"/>
        <w:spacing w:line="360" w:lineRule="auto"/>
        <w:ind w:firstLine="426" w:firstLineChars="177"/>
        <w:rPr>
          <w:rFonts w:ascii="仿宋" w:hAnsi="仿宋" w:eastAsia="仿宋" w:cs="Arial"/>
          <w:b/>
          <w:color w:val="auto"/>
          <w:kern w:val="0"/>
          <w:sz w:val="24"/>
          <w:szCs w:val="24"/>
          <w:highlight w:val="none"/>
          <w:u w:val="single"/>
        </w:rPr>
      </w:pPr>
      <w:r>
        <w:rPr>
          <w:rFonts w:hint="eastAsia" w:ascii="仿宋" w:hAnsi="仿宋" w:eastAsia="仿宋" w:cs="Arial"/>
          <w:b/>
          <w:color w:val="auto"/>
          <w:kern w:val="0"/>
          <w:sz w:val="24"/>
          <w:szCs w:val="24"/>
          <w:highlight w:val="none"/>
        </w:rPr>
        <w:t>（2）</w:t>
      </w:r>
      <w:r>
        <w:rPr>
          <w:rFonts w:hint="eastAsia" w:ascii="仿宋" w:hAnsi="仿宋" w:eastAsia="仿宋" w:cs="Arial"/>
          <w:b/>
          <w:color w:val="auto"/>
          <w:kern w:val="0"/>
          <w:sz w:val="24"/>
          <w:szCs w:val="24"/>
          <w:highlight w:val="none"/>
          <w:u w:val="single"/>
        </w:rPr>
        <w:t>单位负责人为同一人或者存在直接控股、管理关系的不同供应商参加同一合同项下的政府采购活动的，相关磋商响应供应商均作资格无效处理。</w:t>
      </w:r>
    </w:p>
    <w:p w14:paraId="7F4C2E61">
      <w:pPr>
        <w:autoSpaceDN w:val="0"/>
        <w:spacing w:line="360" w:lineRule="auto"/>
        <w:ind w:firstLine="426" w:firstLineChars="177"/>
        <w:rPr>
          <w:rFonts w:ascii="仿宋" w:hAnsi="仿宋" w:eastAsia="仿宋" w:cs="Arial"/>
          <w:b/>
          <w:color w:val="auto"/>
          <w:sz w:val="24"/>
          <w:szCs w:val="24"/>
          <w:highlight w:val="none"/>
        </w:rPr>
      </w:pPr>
      <w:r>
        <w:rPr>
          <w:rFonts w:hint="eastAsia" w:ascii="仿宋" w:hAnsi="仿宋" w:eastAsia="仿宋" w:cs="Arial"/>
          <w:b/>
          <w:color w:val="auto"/>
          <w:kern w:val="0"/>
          <w:sz w:val="24"/>
          <w:szCs w:val="24"/>
          <w:highlight w:val="none"/>
        </w:rPr>
        <w:t>（3）供应商</w:t>
      </w:r>
      <w:r>
        <w:rPr>
          <w:rFonts w:hint="eastAsia" w:ascii="仿宋" w:hAnsi="仿宋" w:eastAsia="仿宋" w:cs="Arial"/>
          <w:b/>
          <w:color w:val="auto"/>
          <w:sz w:val="24"/>
          <w:szCs w:val="24"/>
          <w:highlight w:val="none"/>
        </w:rPr>
        <w:t>信用记录查询与使用：</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b/>
          <w:color w:val="auto"/>
          <w:sz w:val="24"/>
          <w:szCs w:val="24"/>
          <w:highlight w:val="none"/>
        </w:rPr>
        <w:t>；</w:t>
      </w:r>
    </w:p>
    <w:p w14:paraId="52ECE491">
      <w:pPr>
        <w:autoSpaceDN w:val="0"/>
        <w:spacing w:line="360" w:lineRule="auto"/>
        <w:ind w:firstLine="424" w:firstLineChars="176"/>
        <w:rPr>
          <w:rFonts w:ascii="仿宋" w:hAnsi="仿宋" w:eastAsia="仿宋" w:cs="Arial"/>
          <w:color w:val="auto"/>
          <w:szCs w:val="24"/>
          <w:highlight w:val="none"/>
        </w:rPr>
      </w:pPr>
      <w:r>
        <w:rPr>
          <w:rFonts w:hint="eastAsia" w:ascii="仿宋" w:hAnsi="仿宋" w:eastAsia="仿宋" w:cs="Arial"/>
          <w:b/>
          <w:color w:val="auto"/>
          <w:kern w:val="0"/>
          <w:sz w:val="24"/>
          <w:szCs w:val="24"/>
          <w:highlight w:val="none"/>
        </w:rPr>
        <w:t>（4）资格审查合格的磋商响应供应商不足三家的，项目不再进行评审。</w:t>
      </w:r>
      <w:r>
        <w:rPr>
          <w:rFonts w:hint="eastAsia" w:ascii="仿宋" w:hAnsi="仿宋" w:eastAsia="仿宋" w:cs="Arial"/>
          <w:b/>
          <w:color w:val="auto"/>
          <w:kern w:val="0"/>
          <w:sz w:val="24"/>
          <w:highlight w:val="none"/>
        </w:rPr>
        <w:t>除采购任务取消情形外，采购人可选择以下方式之一处理：</w:t>
      </w:r>
    </w:p>
    <w:p w14:paraId="563AD680">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1）将本标项作废标处理，重新组织采购；</w:t>
      </w:r>
    </w:p>
    <w:p w14:paraId="31B82153">
      <w:pPr>
        <w:autoSpaceDN w:val="0"/>
        <w:spacing w:line="360" w:lineRule="auto"/>
        <w:ind w:firstLine="424" w:firstLineChars="177"/>
        <w:rPr>
          <w:rFonts w:ascii="仿宋" w:hAnsi="仿宋" w:eastAsia="仿宋" w:cs="Times New Roman"/>
          <w:color w:val="auto"/>
          <w:szCs w:val="24"/>
          <w:highlight w:val="none"/>
        </w:rPr>
      </w:pPr>
      <w:r>
        <w:rPr>
          <w:rFonts w:hint="eastAsia" w:ascii="仿宋" w:hAnsi="仿宋" w:eastAsia="仿宋" w:cs="Arial"/>
          <w:color w:val="auto"/>
          <w:kern w:val="0"/>
          <w:sz w:val="24"/>
          <w:highlight w:val="none"/>
        </w:rPr>
        <w:t>2）按同级政府采购监督管理部门的审批意见采用其他采购方式组织采购。</w:t>
      </w:r>
    </w:p>
    <w:p w14:paraId="13E201A2">
      <w:pPr>
        <w:autoSpaceDN w:val="0"/>
        <w:spacing w:line="360" w:lineRule="auto"/>
        <w:ind w:firstLine="426" w:firstLineChars="177"/>
        <w:rPr>
          <w:rFonts w:ascii="仿宋" w:hAnsi="仿宋" w:eastAsia="仿宋" w:cs="Times New Roman"/>
          <w:color w:val="auto"/>
          <w:sz w:val="24"/>
          <w:szCs w:val="24"/>
          <w:highlight w:val="none"/>
        </w:rPr>
      </w:pPr>
      <w:r>
        <w:rPr>
          <w:rFonts w:hint="eastAsia" w:ascii="仿宋" w:hAnsi="仿宋" w:eastAsia="仿宋" w:cs="Times New Roman"/>
          <w:b/>
          <w:color w:val="auto"/>
          <w:sz w:val="24"/>
          <w:szCs w:val="24"/>
          <w:highlight w:val="none"/>
        </w:rPr>
        <w:t>2.2.2对符合资格的磋商响应供应商的磋商响应文件进行符合性审查，以确定其是否满足采购文件的实质性要求。</w:t>
      </w:r>
    </w:p>
    <w:p w14:paraId="21D95CB8">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2.2.3《商务技术文件》存在下列情形之一的，经磋商小组认定后作无效标处理：</w:t>
      </w:r>
    </w:p>
    <w:p w14:paraId="5F3CAEA6">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w:t>
      </w:r>
      <w:r>
        <w:rPr>
          <w:rFonts w:hint="eastAsia" w:ascii="仿宋" w:hAnsi="仿宋" w:eastAsia="仿宋" w:cs="Arial"/>
          <w:b/>
          <w:color w:val="auto"/>
          <w:kern w:val="0"/>
          <w:sz w:val="24"/>
          <w:szCs w:val="24"/>
          <w:highlight w:val="none"/>
          <w:u w:val="single"/>
        </w:rPr>
        <w:t>磋商响应文件没有对本采购文件作出实质性响应的，或不满足（不响应）本磋商文件中标注“▲”的实质性要求条款的</w:t>
      </w:r>
      <w:r>
        <w:rPr>
          <w:rFonts w:hint="eastAsia" w:ascii="仿宋" w:hAnsi="仿宋" w:eastAsia="仿宋" w:cs="Arial"/>
          <w:b/>
          <w:color w:val="auto"/>
          <w:w w:val="90"/>
          <w:kern w:val="0"/>
          <w:sz w:val="24"/>
          <w:szCs w:val="24"/>
          <w:highlight w:val="none"/>
        </w:rPr>
        <w:t>；</w:t>
      </w:r>
    </w:p>
    <w:p w14:paraId="628916D8">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（2）</w:t>
      </w:r>
      <w:r>
        <w:rPr>
          <w:rFonts w:hint="eastAsia" w:ascii="仿宋" w:hAnsi="仿宋" w:eastAsia="仿宋" w:cs="Arial"/>
          <w:b/>
          <w:color w:val="auto"/>
          <w:kern w:val="0"/>
          <w:sz w:val="24"/>
          <w:szCs w:val="24"/>
          <w:highlight w:val="none"/>
          <w:u w:val="single"/>
        </w:rPr>
        <w:t>磋商响应文件存在一个或一个以上备选（替代）方案的</w:t>
      </w:r>
      <w:r>
        <w:rPr>
          <w:rFonts w:hint="eastAsia" w:ascii="仿宋" w:hAnsi="仿宋" w:eastAsia="仿宋" w:cs="Arial"/>
          <w:b/>
          <w:color w:val="auto"/>
          <w:kern w:val="0"/>
          <w:sz w:val="24"/>
          <w:szCs w:val="24"/>
          <w:highlight w:val="none"/>
        </w:rPr>
        <w:t>；</w:t>
      </w:r>
    </w:p>
    <w:p w14:paraId="172446D5">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（3）</w:t>
      </w:r>
      <w:r>
        <w:rPr>
          <w:rFonts w:hint="eastAsia" w:ascii="仿宋" w:hAnsi="仿宋" w:eastAsia="仿宋" w:cs="Times New Roman"/>
          <w:b/>
          <w:color w:val="auto"/>
          <w:sz w:val="24"/>
          <w:szCs w:val="24"/>
          <w:highlight w:val="none"/>
          <w:u w:val="single"/>
        </w:rPr>
        <w:t>仅提交“备份磋商响应文件”的</w:t>
      </w:r>
      <w:r>
        <w:rPr>
          <w:rFonts w:hint="eastAsia" w:ascii="仿宋" w:hAnsi="仿宋" w:eastAsia="仿宋" w:cs="Arial"/>
          <w:b/>
          <w:color w:val="auto"/>
          <w:kern w:val="0"/>
          <w:sz w:val="24"/>
          <w:szCs w:val="24"/>
          <w:highlight w:val="none"/>
        </w:rPr>
        <w:t>；</w:t>
      </w:r>
    </w:p>
    <w:p w14:paraId="1E41D067">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w:t>
      </w:r>
      <w:r>
        <w:rPr>
          <w:rFonts w:hint="eastAsia" w:ascii="仿宋" w:hAnsi="仿宋" w:eastAsia="仿宋" w:cs="Arial"/>
          <w:b/>
          <w:color w:val="auto"/>
          <w:kern w:val="0"/>
          <w:sz w:val="24"/>
          <w:szCs w:val="24"/>
          <w:highlight w:val="none"/>
          <w:u w:val="single"/>
        </w:rPr>
        <w:t>磋商响应文件未按本磋商文件《第</w:t>
      </w:r>
      <w:r>
        <w:rPr>
          <w:rFonts w:hint="eastAsia" w:ascii="仿宋" w:hAnsi="仿宋" w:eastAsia="仿宋" w:cs="Arial"/>
          <w:b/>
          <w:color w:val="auto"/>
          <w:kern w:val="0"/>
          <w:sz w:val="24"/>
          <w:szCs w:val="24"/>
          <w:highlight w:val="none"/>
          <w:u w:val="single"/>
          <w:lang w:val="en-US" w:eastAsia="zh-CN"/>
        </w:rPr>
        <w:t>二</w:t>
      </w:r>
      <w:r>
        <w:rPr>
          <w:rFonts w:hint="eastAsia" w:ascii="仿宋" w:hAnsi="仿宋" w:eastAsia="仿宋" w:cs="Arial"/>
          <w:b/>
          <w:color w:val="auto"/>
          <w:kern w:val="0"/>
          <w:sz w:val="24"/>
          <w:szCs w:val="24"/>
          <w:highlight w:val="none"/>
          <w:u w:val="single"/>
        </w:rPr>
        <w:t>章磋商须知》或《第六章响应文件格式》标注的要求进行盖章或签署的</w:t>
      </w:r>
      <w:r>
        <w:rPr>
          <w:rFonts w:hint="eastAsia" w:ascii="仿宋" w:hAnsi="仿宋" w:eastAsia="仿宋" w:cs="Arial"/>
          <w:b/>
          <w:color w:val="auto"/>
          <w:kern w:val="0"/>
          <w:sz w:val="24"/>
          <w:szCs w:val="24"/>
          <w:highlight w:val="none"/>
        </w:rPr>
        <w:t>；</w:t>
      </w:r>
    </w:p>
    <w:p w14:paraId="6323B12F">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（5）</w:t>
      </w:r>
      <w:r>
        <w:rPr>
          <w:rFonts w:hint="eastAsia" w:ascii="仿宋" w:hAnsi="仿宋" w:eastAsia="仿宋" w:cs="Arial"/>
          <w:b/>
          <w:color w:val="auto"/>
          <w:kern w:val="0"/>
          <w:sz w:val="24"/>
          <w:szCs w:val="24"/>
          <w:highlight w:val="none"/>
          <w:u w:val="single"/>
        </w:rPr>
        <w:t>磋商响应文件组成内容不齐全，本磋商文件规定必须提供而未提供的（属于资格审查范围的除外）</w:t>
      </w:r>
      <w:r>
        <w:rPr>
          <w:rFonts w:hint="eastAsia" w:ascii="仿宋" w:hAnsi="仿宋" w:eastAsia="仿宋" w:cs="Arial"/>
          <w:b/>
          <w:color w:val="auto"/>
          <w:kern w:val="0"/>
          <w:sz w:val="24"/>
          <w:szCs w:val="24"/>
          <w:highlight w:val="none"/>
        </w:rPr>
        <w:t>；</w:t>
      </w:r>
    </w:p>
    <w:p w14:paraId="43CE1564">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w:t>
      </w:r>
      <w:r>
        <w:rPr>
          <w:rFonts w:hint="eastAsia" w:ascii="仿宋" w:hAnsi="仿宋" w:eastAsia="仿宋" w:cs="Arial"/>
          <w:b/>
          <w:color w:val="auto"/>
          <w:kern w:val="0"/>
          <w:sz w:val="24"/>
          <w:szCs w:val="24"/>
          <w:highlight w:val="none"/>
          <w:u w:val="single"/>
        </w:rPr>
        <w:t>磋商响应文件标注的响应或偏离情况与事实不符，或提供了虚假材料的</w:t>
      </w:r>
      <w:r>
        <w:rPr>
          <w:rFonts w:hint="eastAsia" w:ascii="仿宋" w:hAnsi="仿宋" w:eastAsia="仿宋" w:cs="Arial"/>
          <w:b/>
          <w:color w:val="auto"/>
          <w:kern w:val="0"/>
          <w:sz w:val="24"/>
          <w:szCs w:val="24"/>
          <w:highlight w:val="none"/>
        </w:rPr>
        <w:t>；</w:t>
      </w:r>
    </w:p>
    <w:p w14:paraId="21325378">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（7）</w:t>
      </w:r>
      <w:r>
        <w:rPr>
          <w:rFonts w:hint="eastAsia" w:ascii="仿宋" w:hAnsi="仿宋" w:eastAsia="仿宋" w:cs="Arial"/>
          <w:b/>
          <w:color w:val="auto"/>
          <w:kern w:val="0"/>
          <w:sz w:val="24"/>
          <w:szCs w:val="24"/>
          <w:highlight w:val="none"/>
          <w:u w:val="single"/>
        </w:rPr>
        <w:t>磋商响应文件有效期不符合本磋商文件要求的</w:t>
      </w:r>
      <w:r>
        <w:rPr>
          <w:rFonts w:hint="eastAsia" w:ascii="仿宋" w:hAnsi="仿宋" w:eastAsia="仿宋" w:cs="Arial"/>
          <w:b/>
          <w:color w:val="auto"/>
          <w:kern w:val="0"/>
          <w:sz w:val="24"/>
          <w:szCs w:val="24"/>
          <w:highlight w:val="none"/>
        </w:rPr>
        <w:t>；</w:t>
      </w:r>
    </w:p>
    <w:p w14:paraId="4584978F">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（8）</w:t>
      </w:r>
      <w:r>
        <w:rPr>
          <w:rFonts w:hint="eastAsia" w:ascii="仿宋" w:hAnsi="仿宋" w:eastAsia="仿宋" w:cs="Arial"/>
          <w:b/>
          <w:color w:val="auto"/>
          <w:kern w:val="0"/>
          <w:sz w:val="24"/>
          <w:szCs w:val="24"/>
          <w:highlight w:val="none"/>
          <w:u w:val="single"/>
        </w:rPr>
        <w:t>磋商响应文件含有采购人不能接受的附加条件的</w:t>
      </w:r>
      <w:r>
        <w:rPr>
          <w:rFonts w:hint="eastAsia" w:ascii="仿宋" w:hAnsi="仿宋" w:eastAsia="仿宋" w:cs="Arial"/>
          <w:b/>
          <w:color w:val="auto"/>
          <w:kern w:val="0"/>
          <w:sz w:val="24"/>
          <w:szCs w:val="24"/>
          <w:highlight w:val="none"/>
        </w:rPr>
        <w:t>；</w:t>
      </w:r>
    </w:p>
    <w:p w14:paraId="241F3A23">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（9）</w:t>
      </w:r>
      <w:r>
        <w:rPr>
          <w:rFonts w:hint="eastAsia" w:ascii="仿宋" w:hAnsi="仿宋" w:eastAsia="仿宋" w:cs="Arial"/>
          <w:b/>
          <w:color w:val="auto"/>
          <w:kern w:val="0"/>
          <w:sz w:val="24"/>
          <w:szCs w:val="24"/>
          <w:highlight w:val="none"/>
          <w:u w:val="single"/>
        </w:rPr>
        <w:t>参加同一合同项下政府采购活动的不同供应商之间存在利害关系并且存在影响政府采购公平竞争行为的</w:t>
      </w:r>
      <w:r>
        <w:rPr>
          <w:rFonts w:hint="eastAsia" w:ascii="仿宋" w:hAnsi="仿宋" w:eastAsia="仿宋" w:cs="Arial"/>
          <w:b/>
          <w:color w:val="auto"/>
          <w:kern w:val="0"/>
          <w:sz w:val="24"/>
          <w:szCs w:val="24"/>
          <w:highlight w:val="none"/>
        </w:rPr>
        <w:t>；</w:t>
      </w:r>
    </w:p>
    <w:p w14:paraId="7B1791FD">
      <w:pPr>
        <w:autoSpaceDN w:val="0"/>
        <w:spacing w:line="360" w:lineRule="auto"/>
        <w:ind w:firstLine="426" w:firstLineChars="177"/>
        <w:rPr>
          <w:rFonts w:ascii="仿宋" w:hAnsi="仿宋" w:eastAsia="仿宋" w:cs="Arial"/>
          <w:b/>
          <w:color w:val="auto"/>
          <w:kern w:val="0"/>
          <w:sz w:val="24"/>
          <w:szCs w:val="24"/>
          <w:highlight w:val="none"/>
          <w:u w:val="single"/>
        </w:rPr>
      </w:pPr>
      <w:r>
        <w:rPr>
          <w:rFonts w:hint="eastAsia" w:ascii="仿宋" w:hAnsi="仿宋" w:eastAsia="仿宋" w:cs="Arial"/>
          <w:b/>
          <w:color w:val="auto"/>
          <w:kern w:val="0"/>
          <w:sz w:val="24"/>
          <w:szCs w:val="24"/>
          <w:highlight w:val="none"/>
        </w:rPr>
        <w:t>（10）</w:t>
      </w:r>
      <w:r>
        <w:rPr>
          <w:rFonts w:hint="eastAsia" w:ascii="仿宋" w:hAnsi="仿宋" w:eastAsia="仿宋" w:cs="Arial"/>
          <w:b/>
          <w:color w:val="auto"/>
          <w:kern w:val="0"/>
          <w:sz w:val="24"/>
          <w:szCs w:val="24"/>
          <w:highlight w:val="none"/>
          <w:u w:val="single"/>
        </w:rPr>
        <w:t>存在法律、法规和采购文件规定的其他无效情形的。</w:t>
      </w:r>
    </w:p>
    <w:p w14:paraId="75D89D60">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2.2.4《报价文件》存在下列情形之一的，经磋商小组认定后作无效标处理：</w:t>
      </w:r>
    </w:p>
    <w:p w14:paraId="1EC8DAFF">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w:t>
      </w:r>
      <w:r>
        <w:rPr>
          <w:rFonts w:hint="eastAsia" w:ascii="仿宋" w:hAnsi="仿宋" w:eastAsia="仿宋" w:cs="Arial"/>
          <w:b/>
          <w:color w:val="auto"/>
          <w:kern w:val="0"/>
          <w:sz w:val="24"/>
          <w:szCs w:val="24"/>
          <w:highlight w:val="none"/>
          <w:u w:val="single"/>
        </w:rPr>
        <w:t>磋商响应文件没有对本采购文件作出实质性响应的，或不满足（不响应）本采购文件中标注“▲”的实质性要求条款的</w:t>
      </w:r>
      <w:r>
        <w:rPr>
          <w:rFonts w:hint="eastAsia" w:ascii="仿宋" w:hAnsi="仿宋" w:eastAsia="仿宋" w:cs="Arial"/>
          <w:b/>
          <w:color w:val="auto"/>
          <w:w w:val="90"/>
          <w:kern w:val="0"/>
          <w:sz w:val="24"/>
          <w:szCs w:val="24"/>
          <w:highlight w:val="none"/>
        </w:rPr>
        <w:t>；</w:t>
      </w:r>
    </w:p>
    <w:p w14:paraId="1EB0465E">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（2）</w:t>
      </w:r>
      <w:r>
        <w:rPr>
          <w:rFonts w:hint="eastAsia" w:ascii="仿宋" w:hAnsi="仿宋" w:eastAsia="仿宋" w:cs="Arial"/>
          <w:b/>
          <w:color w:val="auto"/>
          <w:kern w:val="0"/>
          <w:sz w:val="24"/>
          <w:szCs w:val="24"/>
          <w:highlight w:val="none"/>
          <w:u w:val="single"/>
        </w:rPr>
        <w:t>未在政采云系统规定时间内提交最终报价的</w:t>
      </w:r>
      <w:r>
        <w:rPr>
          <w:rFonts w:hint="eastAsia" w:ascii="仿宋" w:hAnsi="仿宋" w:eastAsia="仿宋" w:cs="Arial"/>
          <w:b/>
          <w:color w:val="auto"/>
          <w:kern w:val="0"/>
          <w:sz w:val="24"/>
          <w:szCs w:val="24"/>
          <w:highlight w:val="none"/>
        </w:rPr>
        <w:t>；</w:t>
      </w:r>
    </w:p>
    <w:p w14:paraId="08A05A66">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（3）</w:t>
      </w:r>
      <w:r>
        <w:rPr>
          <w:rFonts w:hint="eastAsia" w:ascii="仿宋" w:hAnsi="仿宋" w:eastAsia="仿宋" w:cs="Arial"/>
          <w:b/>
          <w:color w:val="auto"/>
          <w:kern w:val="0"/>
          <w:sz w:val="24"/>
          <w:szCs w:val="24"/>
          <w:highlight w:val="none"/>
          <w:u w:val="single"/>
        </w:rPr>
        <w:t>磋商响应文件存在一个或一个以上备选（替代）投标方案的</w:t>
      </w:r>
      <w:r>
        <w:rPr>
          <w:rFonts w:hint="eastAsia" w:ascii="仿宋" w:hAnsi="仿宋" w:eastAsia="仿宋" w:cs="Arial"/>
          <w:b/>
          <w:color w:val="auto"/>
          <w:kern w:val="0"/>
          <w:sz w:val="24"/>
          <w:szCs w:val="24"/>
          <w:highlight w:val="none"/>
        </w:rPr>
        <w:t>；</w:t>
      </w:r>
    </w:p>
    <w:p w14:paraId="360028DB">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w:t>
      </w:r>
      <w:r>
        <w:rPr>
          <w:rFonts w:hint="eastAsia" w:ascii="仿宋" w:hAnsi="仿宋" w:eastAsia="仿宋" w:cs="Arial"/>
          <w:b/>
          <w:color w:val="auto"/>
          <w:kern w:val="0"/>
          <w:sz w:val="24"/>
          <w:szCs w:val="24"/>
          <w:highlight w:val="none"/>
          <w:u w:val="single"/>
        </w:rPr>
        <w:t>未按照磋商文件标明的币种报价的，或者磋商报价涵盖的内容不符合磋商文件要求的</w:t>
      </w:r>
      <w:r>
        <w:rPr>
          <w:rFonts w:hint="eastAsia" w:ascii="仿宋" w:hAnsi="仿宋" w:eastAsia="仿宋" w:cs="Arial"/>
          <w:b/>
          <w:color w:val="auto"/>
          <w:kern w:val="0"/>
          <w:sz w:val="24"/>
          <w:szCs w:val="24"/>
          <w:highlight w:val="none"/>
        </w:rPr>
        <w:t>；</w:t>
      </w:r>
    </w:p>
    <w:p w14:paraId="0E5A0BC2">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（5）</w:t>
      </w:r>
      <w:r>
        <w:rPr>
          <w:rFonts w:hint="eastAsia" w:ascii="仿宋" w:hAnsi="仿宋" w:eastAsia="仿宋" w:cs="Arial"/>
          <w:b/>
          <w:color w:val="auto"/>
          <w:kern w:val="0"/>
          <w:sz w:val="24"/>
          <w:szCs w:val="24"/>
          <w:highlight w:val="none"/>
          <w:u w:val="single"/>
        </w:rPr>
        <w:t>报价出现前后不一致时拒绝按照磋商文件规定的错误修正原则进行修正的</w:t>
      </w:r>
      <w:r>
        <w:rPr>
          <w:rFonts w:hint="eastAsia" w:ascii="仿宋" w:hAnsi="仿宋" w:eastAsia="仿宋" w:cs="Arial"/>
          <w:b/>
          <w:color w:val="auto"/>
          <w:kern w:val="0"/>
          <w:sz w:val="24"/>
          <w:szCs w:val="24"/>
          <w:highlight w:val="none"/>
        </w:rPr>
        <w:t>；</w:t>
      </w:r>
    </w:p>
    <w:p w14:paraId="0AB158FF">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w:t>
      </w:r>
      <w:r>
        <w:rPr>
          <w:rFonts w:hint="eastAsia" w:ascii="仿宋" w:hAnsi="仿宋" w:eastAsia="仿宋" w:cs="Arial"/>
          <w:b/>
          <w:color w:val="auto"/>
          <w:kern w:val="0"/>
          <w:sz w:val="24"/>
          <w:szCs w:val="24"/>
          <w:highlight w:val="none"/>
          <w:u w:val="single"/>
        </w:rPr>
        <w:t>磋商报价具有选择性的</w:t>
      </w:r>
      <w:r>
        <w:rPr>
          <w:rFonts w:hint="eastAsia" w:ascii="仿宋" w:hAnsi="仿宋" w:eastAsia="仿宋" w:cs="Arial"/>
          <w:b/>
          <w:color w:val="auto"/>
          <w:kern w:val="0"/>
          <w:sz w:val="24"/>
          <w:szCs w:val="24"/>
          <w:highlight w:val="none"/>
        </w:rPr>
        <w:t>；</w:t>
      </w:r>
    </w:p>
    <w:p w14:paraId="0D29C9EB">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（7）</w:t>
      </w:r>
      <w:r>
        <w:rPr>
          <w:rFonts w:hint="eastAsia" w:ascii="仿宋" w:hAnsi="仿宋" w:eastAsia="仿宋" w:cs="Arial"/>
          <w:b/>
          <w:color w:val="auto"/>
          <w:kern w:val="0"/>
          <w:sz w:val="24"/>
          <w:szCs w:val="24"/>
          <w:highlight w:val="none"/>
          <w:u w:val="single"/>
        </w:rPr>
        <w:t>报价超过磋商文件中规定的预算金额或者最高限价的</w:t>
      </w:r>
      <w:r>
        <w:rPr>
          <w:rFonts w:hint="eastAsia" w:ascii="仿宋" w:hAnsi="仿宋" w:eastAsia="仿宋" w:cs="Arial"/>
          <w:b/>
          <w:color w:val="auto"/>
          <w:kern w:val="0"/>
          <w:sz w:val="24"/>
          <w:szCs w:val="24"/>
          <w:highlight w:val="none"/>
        </w:rPr>
        <w:t>；</w:t>
      </w:r>
    </w:p>
    <w:p w14:paraId="0AF20BF0">
      <w:pPr>
        <w:autoSpaceDN w:val="0"/>
        <w:spacing w:line="357"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（8）</w:t>
      </w:r>
      <w:r>
        <w:rPr>
          <w:rFonts w:hint="eastAsia" w:ascii="仿宋" w:hAnsi="仿宋" w:eastAsia="仿宋" w:cs="Arial"/>
          <w:b/>
          <w:color w:val="auto"/>
          <w:kern w:val="0"/>
          <w:sz w:val="24"/>
          <w:szCs w:val="24"/>
          <w:highlight w:val="none"/>
          <w:u w:val="single"/>
        </w:rPr>
        <w:t>磋商响应文件工程量清单报价中的项目编码、项目名称、项目特征、计量单位和工程量与磋商文件提供的清单不一致的</w:t>
      </w:r>
      <w:r>
        <w:rPr>
          <w:rFonts w:hint="eastAsia" w:ascii="仿宋" w:hAnsi="仿宋" w:eastAsia="仿宋" w:cs="Arial"/>
          <w:b/>
          <w:color w:val="auto"/>
          <w:kern w:val="0"/>
          <w:sz w:val="24"/>
          <w:szCs w:val="24"/>
          <w:highlight w:val="none"/>
        </w:rPr>
        <w:t>；</w:t>
      </w:r>
    </w:p>
    <w:p w14:paraId="51ABBA2C">
      <w:pPr>
        <w:autoSpaceDN w:val="0"/>
        <w:spacing w:line="357"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（9）</w:t>
      </w:r>
      <w:r>
        <w:rPr>
          <w:rFonts w:hint="eastAsia" w:ascii="仿宋" w:hAnsi="仿宋" w:eastAsia="仿宋" w:cs="Arial"/>
          <w:b/>
          <w:color w:val="auto"/>
          <w:kern w:val="0"/>
          <w:sz w:val="24"/>
          <w:szCs w:val="24"/>
          <w:highlight w:val="none"/>
          <w:u w:val="single"/>
        </w:rPr>
        <w:t>磋商响应文件未按清单要求列明暂列金额的（如有）</w:t>
      </w:r>
      <w:r>
        <w:rPr>
          <w:rFonts w:hint="eastAsia" w:ascii="仿宋" w:hAnsi="仿宋" w:eastAsia="仿宋" w:cs="Arial"/>
          <w:b/>
          <w:color w:val="auto"/>
          <w:kern w:val="0"/>
          <w:sz w:val="24"/>
          <w:szCs w:val="24"/>
          <w:highlight w:val="none"/>
        </w:rPr>
        <w:t>；</w:t>
      </w:r>
    </w:p>
    <w:p w14:paraId="3DEB7C20">
      <w:pPr>
        <w:autoSpaceDN w:val="0"/>
        <w:spacing w:line="357"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（10）</w:t>
      </w:r>
      <w:r>
        <w:rPr>
          <w:rFonts w:hint="eastAsia" w:ascii="仿宋" w:hAnsi="仿宋" w:eastAsia="仿宋" w:cs="Arial"/>
          <w:b/>
          <w:color w:val="auto"/>
          <w:kern w:val="0"/>
          <w:sz w:val="24"/>
          <w:szCs w:val="24"/>
          <w:highlight w:val="none"/>
          <w:u w:val="single"/>
        </w:rPr>
        <w:t>磋商响应文件中的取费低于清单编制说明中的最低取费标准的</w:t>
      </w:r>
      <w:r>
        <w:rPr>
          <w:rFonts w:hint="eastAsia" w:ascii="仿宋" w:hAnsi="仿宋" w:eastAsia="仿宋" w:cs="Arial"/>
          <w:b/>
          <w:color w:val="auto"/>
          <w:kern w:val="0"/>
          <w:sz w:val="24"/>
          <w:szCs w:val="24"/>
          <w:highlight w:val="none"/>
        </w:rPr>
        <w:t>；</w:t>
      </w:r>
    </w:p>
    <w:p w14:paraId="62E9ED77">
      <w:pPr>
        <w:autoSpaceDN w:val="0"/>
        <w:spacing w:line="357"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sz w:val="24"/>
          <w:szCs w:val="24"/>
          <w:highlight w:val="none"/>
        </w:rPr>
        <w:t>（</w:t>
      </w:r>
      <w:r>
        <w:rPr>
          <w:rFonts w:ascii="仿宋" w:hAnsi="仿宋" w:eastAsia="仿宋" w:cs="Arial"/>
          <w:b/>
          <w:color w:val="auto"/>
          <w:sz w:val="24"/>
          <w:szCs w:val="24"/>
          <w:highlight w:val="none"/>
        </w:rPr>
        <w:t>1</w:t>
      </w:r>
      <w:r>
        <w:rPr>
          <w:rFonts w:hint="eastAsia" w:ascii="仿宋" w:hAnsi="仿宋" w:eastAsia="仿宋" w:cs="Arial"/>
          <w:b/>
          <w:color w:val="auto"/>
          <w:sz w:val="24"/>
          <w:szCs w:val="24"/>
          <w:highlight w:val="none"/>
        </w:rPr>
        <w:t>1</w:t>
      </w:r>
      <w:r>
        <w:rPr>
          <w:rFonts w:ascii="仿宋" w:hAnsi="仿宋" w:eastAsia="仿宋" w:cs="Arial"/>
          <w:b/>
          <w:color w:val="auto"/>
          <w:sz w:val="24"/>
          <w:szCs w:val="24"/>
          <w:highlight w:val="none"/>
        </w:rPr>
        <w:t>）</w:t>
      </w:r>
      <w:r>
        <w:rPr>
          <w:rFonts w:ascii="仿宋" w:hAnsi="仿宋" w:eastAsia="仿宋" w:cs="Arial"/>
          <w:b/>
          <w:color w:val="auto"/>
          <w:sz w:val="24"/>
          <w:szCs w:val="24"/>
          <w:highlight w:val="none"/>
          <w:u w:val="single"/>
        </w:rPr>
        <w:t>磋商报价中的规费、税金、措施费等国家、省、市强制性要求的费用报价不足或未报价的</w:t>
      </w:r>
      <w:r>
        <w:rPr>
          <w:rFonts w:ascii="仿宋" w:hAnsi="仿宋" w:eastAsia="仿宋" w:cs="Arial"/>
          <w:b/>
          <w:color w:val="auto"/>
          <w:sz w:val="24"/>
          <w:szCs w:val="24"/>
          <w:highlight w:val="none"/>
        </w:rPr>
        <w:t>；</w:t>
      </w:r>
    </w:p>
    <w:p w14:paraId="3762A15F">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（12）</w:t>
      </w:r>
      <w:r>
        <w:rPr>
          <w:rFonts w:hint="eastAsia" w:ascii="仿宋" w:hAnsi="仿宋" w:eastAsia="仿宋" w:cs="Arial"/>
          <w:b/>
          <w:color w:val="auto"/>
          <w:kern w:val="0"/>
          <w:sz w:val="24"/>
          <w:szCs w:val="24"/>
          <w:highlight w:val="none"/>
          <w:u w:val="single"/>
        </w:rPr>
        <w:t>磋商响应文件未按本磋商文件《第</w:t>
      </w:r>
      <w:r>
        <w:rPr>
          <w:rFonts w:hint="eastAsia" w:ascii="仿宋" w:hAnsi="仿宋" w:eastAsia="仿宋" w:cs="Arial"/>
          <w:b/>
          <w:color w:val="auto"/>
          <w:kern w:val="0"/>
          <w:sz w:val="24"/>
          <w:szCs w:val="24"/>
          <w:highlight w:val="none"/>
          <w:u w:val="single"/>
          <w:lang w:val="en-US" w:eastAsia="zh-CN"/>
        </w:rPr>
        <w:t>二</w:t>
      </w:r>
      <w:r>
        <w:rPr>
          <w:rFonts w:hint="eastAsia" w:ascii="仿宋" w:hAnsi="仿宋" w:eastAsia="仿宋" w:cs="Arial"/>
          <w:b/>
          <w:color w:val="auto"/>
          <w:kern w:val="0"/>
          <w:sz w:val="24"/>
          <w:szCs w:val="24"/>
          <w:highlight w:val="none"/>
          <w:u w:val="single"/>
        </w:rPr>
        <w:t>章磋商须知》或《第六章响应文件格式》标注的要求进行盖章或签署的</w:t>
      </w:r>
      <w:r>
        <w:rPr>
          <w:rFonts w:hint="eastAsia" w:ascii="仿宋" w:hAnsi="仿宋" w:eastAsia="仿宋" w:cs="Arial"/>
          <w:b/>
          <w:color w:val="auto"/>
          <w:kern w:val="0"/>
          <w:sz w:val="24"/>
          <w:szCs w:val="24"/>
          <w:highlight w:val="none"/>
        </w:rPr>
        <w:t>；</w:t>
      </w:r>
    </w:p>
    <w:p w14:paraId="29E5019E">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（13）</w:t>
      </w:r>
      <w:r>
        <w:rPr>
          <w:rFonts w:hint="eastAsia" w:ascii="仿宋" w:hAnsi="仿宋" w:eastAsia="仿宋" w:cs="Arial"/>
          <w:b/>
          <w:color w:val="auto"/>
          <w:kern w:val="0"/>
          <w:sz w:val="24"/>
          <w:szCs w:val="24"/>
          <w:highlight w:val="none"/>
          <w:u w:val="single"/>
        </w:rPr>
        <w:t>磋商响应文件组成内容不齐全，本磋商文件规定必须提供而未提供的（属于资格审查范围的除外）</w:t>
      </w:r>
      <w:r>
        <w:rPr>
          <w:rFonts w:hint="eastAsia" w:ascii="仿宋" w:hAnsi="仿宋" w:eastAsia="仿宋" w:cs="Arial"/>
          <w:b/>
          <w:color w:val="auto"/>
          <w:kern w:val="0"/>
          <w:sz w:val="24"/>
          <w:szCs w:val="24"/>
          <w:highlight w:val="none"/>
        </w:rPr>
        <w:t>；</w:t>
      </w:r>
    </w:p>
    <w:p w14:paraId="50B6B321">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sz w:val="24"/>
          <w:highlight w:val="none"/>
        </w:rPr>
        <w:t>（14）</w:t>
      </w:r>
      <w:r>
        <w:rPr>
          <w:rFonts w:hint="eastAsia" w:ascii="仿宋" w:hAnsi="仿宋" w:eastAsia="仿宋" w:cs="Arial"/>
          <w:b/>
          <w:color w:val="auto"/>
          <w:sz w:val="24"/>
          <w:highlight w:val="none"/>
          <w:u w:val="single"/>
        </w:rPr>
        <w:t>磋商小组认为磋商响应供应商的报价明显低于其他通过符合性审查的磋商响应供应商的报价</w:t>
      </w:r>
      <w:r>
        <w:rPr>
          <w:rFonts w:ascii="仿宋" w:hAnsi="仿宋" w:eastAsia="仿宋" w:cs="Arial"/>
          <w:b/>
          <w:color w:val="auto"/>
          <w:sz w:val="24"/>
          <w:highlight w:val="none"/>
          <w:u w:val="single"/>
        </w:rPr>
        <w:t>，</w:t>
      </w:r>
      <w:r>
        <w:rPr>
          <w:rFonts w:hint="eastAsia" w:ascii="仿宋" w:hAnsi="仿宋" w:eastAsia="仿宋" w:cs="Arial"/>
          <w:b/>
          <w:color w:val="auto"/>
          <w:sz w:val="24"/>
          <w:highlight w:val="none"/>
          <w:u w:val="single"/>
        </w:rPr>
        <w:t>有可能影响产品质量或者不能诚信履约时，磋商响应供应商不能在规定的时间证明其报价合理性的；或</w:t>
      </w:r>
      <w:r>
        <w:rPr>
          <w:rFonts w:hint="eastAsia" w:ascii="仿宋" w:hAnsi="仿宋" w:eastAsia="仿宋" w:cs="Arial"/>
          <w:b/>
          <w:color w:val="auto"/>
          <w:sz w:val="24"/>
          <w:highlight w:val="none"/>
          <w:u w:val="single"/>
          <w:lang w:val="en-US" w:eastAsia="zh-CN"/>
        </w:rPr>
        <w:t>供应商</w:t>
      </w:r>
      <w:r>
        <w:rPr>
          <w:rFonts w:hint="eastAsia" w:ascii="仿宋" w:hAnsi="仿宋" w:eastAsia="仿宋" w:cs="Arial"/>
          <w:b/>
          <w:color w:val="auto"/>
          <w:sz w:val="24"/>
          <w:highlight w:val="none"/>
          <w:u w:val="single"/>
        </w:rPr>
        <w:t>报价低于项目标项预算50%的，且未在报价文件中详细阐述不影响产品质量或者诚信履约的具体原因，供应商不能证明其报价合理性的；</w:t>
      </w:r>
    </w:p>
    <w:p w14:paraId="322B2BD2">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（15）</w:t>
      </w:r>
      <w:r>
        <w:rPr>
          <w:rFonts w:hint="eastAsia" w:ascii="仿宋" w:hAnsi="仿宋" w:eastAsia="仿宋" w:cs="Arial"/>
          <w:b/>
          <w:color w:val="auto"/>
          <w:kern w:val="0"/>
          <w:sz w:val="24"/>
          <w:szCs w:val="24"/>
          <w:highlight w:val="none"/>
          <w:u w:val="single"/>
        </w:rPr>
        <w:t>磋商响应文件含有采购人不能接受的附加条件的</w:t>
      </w:r>
      <w:r>
        <w:rPr>
          <w:rFonts w:hint="eastAsia" w:ascii="仿宋" w:hAnsi="仿宋" w:eastAsia="仿宋" w:cs="Arial"/>
          <w:b/>
          <w:color w:val="auto"/>
          <w:kern w:val="0"/>
          <w:sz w:val="24"/>
          <w:szCs w:val="24"/>
          <w:highlight w:val="none"/>
        </w:rPr>
        <w:t>；</w:t>
      </w:r>
    </w:p>
    <w:p w14:paraId="0FCEDC44">
      <w:pPr>
        <w:autoSpaceDN w:val="0"/>
        <w:spacing w:line="360" w:lineRule="auto"/>
        <w:ind w:firstLine="426" w:firstLineChars="177"/>
        <w:rPr>
          <w:rFonts w:ascii="仿宋" w:hAnsi="仿宋" w:eastAsia="仿宋" w:cs="Times New Roman"/>
          <w:color w:val="auto"/>
          <w:w w:val="90"/>
          <w:kern w:val="0"/>
          <w:sz w:val="22"/>
          <w:highlight w:val="none"/>
        </w:rPr>
      </w:pPr>
      <w:r>
        <w:rPr>
          <w:rFonts w:hint="eastAsia" w:ascii="仿宋" w:hAnsi="仿宋" w:eastAsia="仿宋" w:cs="Arial"/>
          <w:b/>
          <w:color w:val="auto"/>
          <w:kern w:val="0"/>
          <w:sz w:val="24"/>
          <w:szCs w:val="24"/>
          <w:highlight w:val="none"/>
        </w:rPr>
        <w:t>（16）</w:t>
      </w:r>
      <w:r>
        <w:rPr>
          <w:rFonts w:hint="eastAsia" w:ascii="仿宋" w:hAnsi="仿宋" w:eastAsia="仿宋" w:cs="Arial"/>
          <w:b/>
          <w:color w:val="auto"/>
          <w:kern w:val="0"/>
          <w:sz w:val="24"/>
          <w:szCs w:val="24"/>
          <w:highlight w:val="none"/>
          <w:u w:val="single"/>
        </w:rPr>
        <w:t>存在法律、法规和磋商文件规定的其他无效情形的</w:t>
      </w:r>
      <w:r>
        <w:rPr>
          <w:rFonts w:hint="eastAsia" w:ascii="仿宋" w:hAnsi="仿宋" w:eastAsia="仿宋" w:cs="Arial"/>
          <w:b/>
          <w:color w:val="auto"/>
          <w:kern w:val="0"/>
          <w:sz w:val="24"/>
          <w:szCs w:val="24"/>
          <w:highlight w:val="none"/>
        </w:rPr>
        <w:t>。</w:t>
      </w:r>
    </w:p>
    <w:p w14:paraId="4F5A7190">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2.3 磋商响应文件的磋商、澄清、说明或补正</w:t>
      </w:r>
    </w:p>
    <w:p w14:paraId="0298022D">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2.3.1对于磋商响应文件中含义不明确、同类问题表述不一致或者有明显文字和计算错误的内容，</w:t>
      </w:r>
      <w:r>
        <w:rPr>
          <w:rFonts w:hint="eastAsia" w:ascii="仿宋" w:hAnsi="仿宋" w:eastAsia="仿宋" w:cs="Arial"/>
          <w:b/>
          <w:color w:val="auto"/>
          <w:kern w:val="0"/>
          <w:sz w:val="24"/>
          <w:highlight w:val="none"/>
        </w:rPr>
        <w:t>磋商小组将通过“政府采购云平台”在线询标的方式</w:t>
      </w:r>
      <w:r>
        <w:rPr>
          <w:rFonts w:hint="eastAsia" w:ascii="仿宋" w:hAnsi="仿宋" w:eastAsia="仿宋" w:cs="Arial"/>
          <w:color w:val="auto"/>
          <w:kern w:val="0"/>
          <w:sz w:val="24"/>
          <w:highlight w:val="none"/>
        </w:rPr>
        <w:t>要求磋商响应供应商在规定的时间内作出必要的澄清、说明或者补正，磋商响应供应商澄清、说明或补正时间为30分钟。</w:t>
      </w:r>
    </w:p>
    <w:p w14:paraId="2ED95691">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2.3.2磋商响应供应商的澄清、说明或者补正应当通过“政府采购云平台”在线答复的方式提交，并加盖公章，或者由法定代表人或其授权的代表签字。磋商响应供应商的澄清、说明或者补正不得超出磋商响应文件的范围或者改变磋商响应文件的实质性内容。</w:t>
      </w:r>
    </w:p>
    <w:p w14:paraId="2C2AAA96">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2.3.3评审过程中如有商务技术、报价磋商的，磋商小组所有成员汇总所有变动情况及要求通过“政府采购云平台”在线询标的方式与每个供应商分别进行磋商（给予所有参加磋商的供应商平等的磋商机会），要求磋商响应供应商在规定的时间内重新提交响应文件（须加盖公章，或者由法定代表人或其授权的代表签字），磋商响应供应商响应回复时间为30分钟。</w:t>
      </w:r>
    </w:p>
    <w:p w14:paraId="134B9E60">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2.3.4在磋商过程中，</w:t>
      </w:r>
      <w:r>
        <w:rPr>
          <w:rFonts w:hint="eastAsia" w:ascii="仿宋" w:hAnsi="仿宋" w:eastAsia="仿宋" w:cs="Arial"/>
          <w:b/>
          <w:bCs/>
          <w:color w:val="auto"/>
          <w:kern w:val="0"/>
          <w:sz w:val="24"/>
          <w:highlight w:val="none"/>
        </w:rPr>
        <w:t>磋商小组可以根据磋商文件和磋商情况实质性变动采购需求中的技术、服务要求以及合同草案条款</w:t>
      </w:r>
      <w:r>
        <w:rPr>
          <w:rFonts w:hint="eastAsia" w:ascii="仿宋" w:hAnsi="仿宋" w:eastAsia="仿宋" w:cs="Arial"/>
          <w:color w:val="auto"/>
          <w:kern w:val="0"/>
          <w:sz w:val="24"/>
          <w:highlight w:val="none"/>
        </w:rPr>
        <w:t>，但不得变动磋商文件中的其他内容。实质性变动的内容，须经采购人代表确认。</w:t>
      </w:r>
    </w:p>
    <w:p w14:paraId="6A8FFCA1">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2.3.5对磋商文件作出的实质性变动是磋商文件的有效组成部分，磋商小组通过“政府采购云平台”在线询标的方式同时通知所有参加磋商的供应商。</w:t>
      </w:r>
    </w:p>
    <w:p w14:paraId="2A8DE0A8">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2.3.6按磋商程序规定开始并完成磋商。</w:t>
      </w:r>
    </w:p>
    <w:p w14:paraId="301854A6">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2.3.7所有磋商结束后，确定提交最后报价的供应商名单，确定提交最后报价的时间，并告知相关供应商，要求在规定时间内（30分钟内）通过“政府采购云平台”在线上传最后报价（须加盖公章，或者由法定代表人或其授权的代表签字）。</w:t>
      </w:r>
    </w:p>
    <w:p w14:paraId="373B76E6">
      <w:pPr>
        <w:autoSpaceDN w:val="0"/>
        <w:spacing w:line="360" w:lineRule="auto"/>
        <w:ind w:firstLine="426" w:firstLineChars="177"/>
        <w:rPr>
          <w:rFonts w:ascii="仿宋" w:hAnsi="仿宋" w:eastAsia="仿宋" w:cs="Times New Roman"/>
          <w:color w:val="auto"/>
          <w:szCs w:val="24"/>
          <w:highlight w:val="none"/>
        </w:rPr>
      </w:pPr>
      <w:r>
        <w:rPr>
          <w:rFonts w:hint="eastAsia" w:ascii="仿宋" w:hAnsi="仿宋" w:eastAsia="仿宋" w:cs="Arial"/>
          <w:b/>
          <w:color w:val="auto"/>
          <w:kern w:val="0"/>
          <w:sz w:val="24"/>
          <w:highlight w:val="none"/>
        </w:rPr>
        <w:t>2.3.7上述询标、澄清、说明和补正工作如因客观原因无法通过“政府采购云平台”在线进行的，将采用书面（含邮件）形式进行。</w:t>
      </w:r>
    </w:p>
    <w:p w14:paraId="1CF67BF1">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2.4 磋商响应文件的错误修正</w:t>
      </w:r>
    </w:p>
    <w:p w14:paraId="19644AA2">
      <w:pPr>
        <w:autoSpaceDN w:val="0"/>
        <w:spacing w:line="360" w:lineRule="auto"/>
        <w:ind w:firstLine="422" w:firstLineChars="175"/>
        <w:rPr>
          <w:rFonts w:ascii="仿宋" w:hAnsi="仿宋" w:eastAsia="仿宋" w:cs="Arial"/>
          <w:b/>
          <w:color w:val="auto"/>
          <w:kern w:val="0"/>
          <w:sz w:val="24"/>
          <w:highlight w:val="none"/>
          <w:u w:val="single"/>
        </w:rPr>
      </w:pPr>
      <w:r>
        <w:rPr>
          <w:rFonts w:hint="eastAsia" w:ascii="仿宋" w:hAnsi="仿宋" w:eastAsia="仿宋" w:cs="Arial"/>
          <w:b/>
          <w:color w:val="auto"/>
          <w:kern w:val="0"/>
          <w:sz w:val="24"/>
          <w:szCs w:val="24"/>
          <w:highlight w:val="none"/>
        </w:rPr>
        <w:t>2.4.1</w:t>
      </w:r>
      <w:r>
        <w:rPr>
          <w:rFonts w:hint="eastAsia" w:ascii="仿宋" w:hAnsi="仿宋" w:eastAsia="仿宋" w:cs="Arial"/>
          <w:b/>
          <w:color w:val="auto"/>
          <w:kern w:val="0"/>
          <w:sz w:val="24"/>
          <w:szCs w:val="24"/>
          <w:highlight w:val="none"/>
          <w:u w:val="single"/>
        </w:rPr>
        <w:t>《磋商响应文件》报价出现前后不一致的，按照下列规定修正：</w:t>
      </w:r>
    </w:p>
    <w:p w14:paraId="0C321525">
      <w:pPr>
        <w:autoSpaceDN w:val="0"/>
        <w:spacing w:line="360" w:lineRule="auto"/>
        <w:ind w:firstLine="422" w:firstLineChars="175"/>
        <w:rPr>
          <w:rFonts w:hint="eastAsia" w:ascii="仿宋" w:hAnsi="仿宋" w:eastAsia="仿宋" w:cs="Arial"/>
          <w:color w:val="auto"/>
          <w:kern w:val="0"/>
          <w:sz w:val="24"/>
          <w:highlight w:val="none"/>
          <w:lang w:eastAsia="zh-CN"/>
        </w:rPr>
      </w:pPr>
      <w:r>
        <w:rPr>
          <w:rFonts w:hint="eastAsia" w:ascii="仿宋" w:hAnsi="仿宋" w:eastAsia="仿宋" w:cs="Arial"/>
          <w:b/>
          <w:color w:val="auto"/>
          <w:kern w:val="0"/>
          <w:sz w:val="24"/>
          <w:highlight w:val="none"/>
        </w:rPr>
        <w:t>（1）《磋商响应文件》中投标函与磋商响应文件中相应内容不一致的，以投标函为准</w:t>
      </w:r>
      <w:r>
        <w:rPr>
          <w:rFonts w:hint="eastAsia" w:ascii="仿宋" w:hAnsi="仿宋" w:eastAsia="仿宋" w:cs="Arial"/>
          <w:color w:val="auto"/>
          <w:kern w:val="0"/>
          <w:sz w:val="24"/>
          <w:highlight w:val="none"/>
          <w:lang w:eastAsia="zh-CN"/>
        </w:rPr>
        <w:t>；</w:t>
      </w:r>
    </w:p>
    <w:p w14:paraId="1AE21E06">
      <w:pPr>
        <w:autoSpaceDN w:val="0"/>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（2）大写金额和小写金额不一致的，以大写金额为准；</w:t>
      </w:r>
    </w:p>
    <w:p w14:paraId="4EC54155">
      <w:pPr>
        <w:autoSpaceDN w:val="0"/>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（3）单价金额小数点或者百分比有明显错位的，应以开标一览表（报价表）的总价为准，并修改单价；</w:t>
      </w:r>
    </w:p>
    <w:p w14:paraId="7C51866F">
      <w:pPr>
        <w:autoSpaceDN w:val="0"/>
        <w:spacing w:line="360" w:lineRule="auto"/>
        <w:ind w:firstLine="422" w:firstLineChars="175"/>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（4）总价金额与按单价汇总金额不一致的，以单价金额计算结果为准。</w:t>
      </w:r>
    </w:p>
    <w:p w14:paraId="53A8CCD8">
      <w:pPr>
        <w:autoSpaceDN w:val="0"/>
        <w:spacing w:line="360" w:lineRule="auto"/>
        <w:ind w:firstLine="422" w:firstLineChars="175"/>
        <w:rPr>
          <w:rFonts w:ascii="仿宋" w:hAnsi="仿宋" w:eastAsia="仿宋" w:cs="Arial"/>
          <w:b/>
          <w:color w:val="auto"/>
          <w:kern w:val="0"/>
          <w:sz w:val="24"/>
          <w:highlight w:val="none"/>
          <w:u w:val="single"/>
        </w:rPr>
      </w:pPr>
      <w:r>
        <w:rPr>
          <w:rFonts w:hint="eastAsia" w:ascii="仿宋" w:hAnsi="仿宋" w:eastAsia="仿宋" w:cs="Arial"/>
          <w:b/>
          <w:color w:val="auto"/>
          <w:kern w:val="0"/>
          <w:sz w:val="24"/>
          <w:szCs w:val="24"/>
          <w:highlight w:val="none"/>
          <w:u w:val="single"/>
        </w:rPr>
        <w:t>备注：同时出现两种以上不一致的，按照前款规定的顺序修正。修正后的报价按本章节第2.3.2款的规定经磋商响应供应商确认后产生约束力，磋商响应供应商不确认的，其投标无效</w:t>
      </w:r>
      <w:r>
        <w:rPr>
          <w:rFonts w:hint="eastAsia" w:ascii="仿宋" w:hAnsi="仿宋" w:eastAsia="仿宋" w:cs="Arial"/>
          <w:b/>
          <w:color w:val="auto"/>
          <w:kern w:val="0"/>
          <w:sz w:val="24"/>
          <w:szCs w:val="24"/>
          <w:highlight w:val="none"/>
        </w:rPr>
        <w:t>。</w:t>
      </w:r>
    </w:p>
    <w:p w14:paraId="4625853C">
      <w:pPr>
        <w:autoSpaceDN w:val="0"/>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2.4.2对不同文字文本《磋商响应文件》的解释发生异议的，以中文文本为准。</w:t>
      </w:r>
    </w:p>
    <w:p w14:paraId="7561EE46">
      <w:pPr>
        <w:autoSpaceDN w:val="0"/>
        <w:spacing w:line="360" w:lineRule="auto"/>
        <w:ind w:firstLine="422" w:firstLineChars="175"/>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2.4.3《磋商响应文件》要求提供正、副本时，正、副本内容不一致的，以正本为准。</w:t>
      </w:r>
    </w:p>
    <w:p w14:paraId="7848E1FA">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2.5 磋商响应文件的评价、评分</w:t>
      </w:r>
    </w:p>
    <w:p w14:paraId="3D36E08F">
      <w:pPr>
        <w:autoSpaceDN w:val="0"/>
        <w:spacing w:line="360" w:lineRule="auto"/>
        <w:ind w:firstLine="424" w:firstLineChars="177"/>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2.5.1磋商小组应当按照招标文件中规定的评审方法和标准，对资格、符合性审查合格的磋商响应文件进行商务和技术评价与评分。评标时，磋商小组各成员将独立对每个磋商响应供应商的磋商响应文件进行评价，并汇总每个磋商响应供应商的得分。</w:t>
      </w:r>
    </w:p>
    <w:p w14:paraId="679645B4">
      <w:pPr>
        <w:autoSpaceDN w:val="0"/>
        <w:spacing w:line="360" w:lineRule="auto"/>
        <w:ind w:firstLine="424" w:firstLineChars="177"/>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2.5.2对采购组织机构工作人员汇总的评审结果进行确认。如发现分值汇总计算错误、分项评分超出评分标准范围、客观评分不一致以及存在畸高、畸低（其总评分偏离平均分30%以上的）情形的，磋商小组组长应提醒相关评审人员当场改正或书面说明理由，拒不改正又不作书面说明的，由现场监督员如实记载后存入项目档案资料。</w:t>
      </w:r>
    </w:p>
    <w:p w14:paraId="5BE8A6F4">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2.6 修改评审结果</w:t>
      </w:r>
    </w:p>
    <w:p w14:paraId="7287B3DE">
      <w:pPr>
        <w:autoSpaceDN w:val="0"/>
        <w:spacing w:line="360" w:lineRule="auto"/>
        <w:ind w:firstLine="424" w:firstLineChars="176"/>
        <w:rPr>
          <w:rFonts w:ascii="仿宋" w:hAnsi="仿宋" w:eastAsia="仿宋" w:cs="Times New Roman"/>
          <w:b/>
          <w:color w:val="auto"/>
          <w:sz w:val="24"/>
          <w:szCs w:val="28"/>
          <w:highlight w:val="none"/>
        </w:rPr>
      </w:pPr>
      <w:r>
        <w:rPr>
          <w:rFonts w:hint="eastAsia" w:ascii="仿宋" w:hAnsi="仿宋" w:eastAsia="仿宋" w:cs="Times New Roman"/>
          <w:b/>
          <w:color w:val="auto"/>
          <w:sz w:val="24"/>
          <w:szCs w:val="28"/>
          <w:highlight w:val="none"/>
        </w:rPr>
        <w:t>2.6.1评标结果汇总完成后，除下列情形外，任何人不得修改评标结果：</w:t>
      </w:r>
    </w:p>
    <w:p w14:paraId="23F52996">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（1）分值汇总计算错误的；</w:t>
      </w:r>
    </w:p>
    <w:p w14:paraId="3FAD3176">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（2）分项评分超出评分标准范围的；</w:t>
      </w:r>
    </w:p>
    <w:p w14:paraId="5590896A">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（3）磋商小组成员对客观评审因素评分不一致的；</w:t>
      </w:r>
    </w:p>
    <w:p w14:paraId="12613512">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（4）经磋商小组认定评分畸高、畸低的。</w:t>
      </w:r>
    </w:p>
    <w:p w14:paraId="1F7F99EE">
      <w:pPr>
        <w:autoSpaceDN w:val="0"/>
        <w:spacing w:line="360" w:lineRule="auto"/>
        <w:ind w:firstLine="424" w:firstLineChars="176"/>
        <w:rPr>
          <w:rFonts w:ascii="仿宋" w:hAnsi="仿宋" w:eastAsia="仿宋" w:cs="Times New Roman"/>
          <w:b/>
          <w:color w:val="auto"/>
          <w:sz w:val="28"/>
          <w:szCs w:val="28"/>
          <w:highlight w:val="none"/>
        </w:rPr>
      </w:pPr>
      <w:r>
        <w:rPr>
          <w:rFonts w:hint="eastAsia" w:ascii="仿宋" w:hAnsi="仿宋" w:eastAsia="仿宋" w:cs="Times New Roman"/>
          <w:b/>
          <w:color w:val="auto"/>
          <w:sz w:val="24"/>
          <w:szCs w:val="28"/>
          <w:highlight w:val="none"/>
        </w:rPr>
        <w:t>2.6.2评标报告签署前，经复核发现存在以上情形之一的，磋商小组将当场修改评标结果，并在评标报告中记载。</w:t>
      </w:r>
    </w:p>
    <w:p w14:paraId="46A6FFF9">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2.7 供应商排序及推荐中标（成交）候选供应商</w:t>
      </w:r>
    </w:p>
    <w:p w14:paraId="47D31304">
      <w:pPr>
        <w:autoSpaceDN w:val="0"/>
        <w:spacing w:line="360" w:lineRule="auto"/>
        <w:ind w:firstLine="424" w:firstLineChars="176"/>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磋商小组根据以下规定确定供应商排名并推荐中标（成交）候选供应商。</w:t>
      </w:r>
    </w:p>
    <w:p w14:paraId="1BE7FC05">
      <w:pPr>
        <w:autoSpaceDN w:val="0"/>
        <w:spacing w:line="360" w:lineRule="auto"/>
        <w:ind w:firstLine="424" w:firstLineChars="176"/>
        <w:rPr>
          <w:rFonts w:ascii="仿宋" w:hAnsi="仿宋" w:eastAsia="仿宋" w:cs="Arial"/>
          <w:color w:val="auto"/>
          <w:kern w:val="0"/>
          <w:sz w:val="24"/>
          <w:highlight w:val="none"/>
        </w:rPr>
      </w:pPr>
      <w:r>
        <w:rPr>
          <w:rFonts w:hint="eastAsia" w:ascii="仿宋" w:hAnsi="仿宋" w:eastAsia="仿宋" w:cs="Arial"/>
          <w:b/>
          <w:color w:val="auto"/>
          <w:sz w:val="24"/>
          <w:highlight w:val="none"/>
        </w:rPr>
        <w:t>2.7.1磋商小组根据各磋商响应供应商的综合得分（商务技术分与最后报价得分之和）从高到低依次进行排名排序。特殊情形按以下原则处理：</w:t>
      </w:r>
    </w:p>
    <w:p w14:paraId="4259D949">
      <w:pPr>
        <w:autoSpaceDN w:val="0"/>
        <w:spacing w:line="360" w:lineRule="auto"/>
        <w:ind w:firstLine="422" w:firstLineChars="176"/>
        <w:rPr>
          <w:rFonts w:ascii="仿宋" w:hAnsi="仿宋" w:eastAsia="仿宋" w:cs="Arial"/>
          <w:color w:val="auto"/>
          <w:sz w:val="24"/>
          <w:highlight w:val="none"/>
        </w:rPr>
      </w:pPr>
      <w:r>
        <w:rPr>
          <w:rFonts w:hint="eastAsia" w:ascii="仿宋" w:hAnsi="仿宋" w:eastAsia="仿宋" w:cs="Arial"/>
          <w:color w:val="auto"/>
          <w:sz w:val="24"/>
          <w:highlight w:val="none"/>
        </w:rPr>
        <w:t>（1）综合得分相同的，按最后报价低的优先原则确定排名；</w:t>
      </w:r>
    </w:p>
    <w:p w14:paraId="2D3CBA1E">
      <w:pPr>
        <w:autoSpaceDN w:val="0"/>
        <w:spacing w:line="360" w:lineRule="auto"/>
        <w:ind w:firstLine="422" w:firstLineChars="176"/>
        <w:rPr>
          <w:rFonts w:ascii="仿宋" w:hAnsi="仿宋" w:eastAsia="仿宋" w:cs="Arial"/>
          <w:color w:val="auto"/>
          <w:sz w:val="24"/>
          <w:highlight w:val="none"/>
        </w:rPr>
      </w:pPr>
      <w:r>
        <w:rPr>
          <w:rFonts w:hint="eastAsia" w:ascii="仿宋" w:hAnsi="仿宋" w:eastAsia="仿宋" w:cs="Arial"/>
          <w:color w:val="auto"/>
          <w:sz w:val="24"/>
          <w:highlight w:val="none"/>
        </w:rPr>
        <w:t>（2）综合得分和最后报价均相同的，按商务技术得分从高到低确定排名；</w:t>
      </w:r>
    </w:p>
    <w:p w14:paraId="023DC08D">
      <w:pPr>
        <w:autoSpaceDN w:val="0"/>
        <w:spacing w:line="360" w:lineRule="auto"/>
        <w:ind w:firstLine="422" w:firstLineChars="176"/>
        <w:rPr>
          <w:rFonts w:ascii="仿宋" w:hAnsi="仿宋" w:eastAsia="仿宋" w:cs="Arial"/>
          <w:color w:val="auto"/>
          <w:sz w:val="24"/>
          <w:highlight w:val="none"/>
        </w:rPr>
      </w:pPr>
      <w:r>
        <w:rPr>
          <w:rFonts w:hint="eastAsia" w:ascii="仿宋" w:hAnsi="仿宋" w:eastAsia="仿宋" w:cs="Arial"/>
          <w:color w:val="auto"/>
          <w:sz w:val="24"/>
          <w:highlight w:val="none"/>
        </w:rPr>
        <w:t>（3）综合得分、最后报价和商务技术得分均相同的由磋商小组全体成员记名投票按少数服从多数的原则确定排名。</w:t>
      </w:r>
    </w:p>
    <w:p w14:paraId="718D1D1B">
      <w:pPr>
        <w:autoSpaceDN w:val="0"/>
        <w:spacing w:line="360" w:lineRule="auto"/>
        <w:ind w:firstLine="424" w:firstLineChars="176"/>
        <w:rPr>
          <w:rFonts w:ascii="仿宋" w:hAnsi="仿宋" w:eastAsia="仿宋" w:cs="Times New Roman"/>
          <w:color w:val="auto"/>
          <w:szCs w:val="24"/>
          <w:highlight w:val="none"/>
        </w:rPr>
      </w:pPr>
      <w:r>
        <w:rPr>
          <w:rFonts w:hint="eastAsia" w:ascii="仿宋" w:hAnsi="仿宋" w:eastAsia="仿宋" w:cs="Arial"/>
          <w:b/>
          <w:color w:val="auto"/>
          <w:sz w:val="24"/>
          <w:highlight w:val="none"/>
        </w:rPr>
        <w:t>2.7.2根据最终得分排序，通过书面评审报告的形式，向采购人推荐综合得分</w:t>
      </w:r>
      <w:r>
        <w:rPr>
          <w:rFonts w:hint="eastAsia" w:ascii="仿宋" w:hAnsi="仿宋" w:eastAsia="仿宋" w:cs="Times New Roman"/>
          <w:b/>
          <w:color w:val="auto"/>
          <w:sz w:val="24"/>
          <w:highlight w:val="none"/>
        </w:rPr>
        <w:t>由高到低顺序推荐3名以上</w:t>
      </w:r>
      <w:r>
        <w:rPr>
          <w:rFonts w:hint="eastAsia" w:ascii="仿宋" w:hAnsi="仿宋" w:eastAsia="仿宋" w:cs="Arial"/>
          <w:b/>
          <w:color w:val="auto"/>
          <w:kern w:val="0"/>
          <w:sz w:val="24"/>
          <w:highlight w:val="none"/>
        </w:rPr>
        <w:t>中标（成交）候选供应商</w:t>
      </w:r>
      <w:r>
        <w:rPr>
          <w:rFonts w:hint="eastAsia" w:ascii="仿宋" w:hAnsi="仿宋" w:eastAsia="仿宋" w:cs="Arial"/>
          <w:b/>
          <w:color w:val="auto"/>
          <w:sz w:val="24"/>
          <w:highlight w:val="none"/>
        </w:rPr>
        <w:t>。</w:t>
      </w:r>
    </w:p>
    <w:p w14:paraId="0213A01B">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2.8 起草、签署评审报告</w:t>
      </w:r>
    </w:p>
    <w:p w14:paraId="044516BC">
      <w:pPr>
        <w:autoSpaceDN w:val="0"/>
        <w:spacing w:line="360" w:lineRule="auto"/>
        <w:ind w:firstLine="424" w:firstLineChars="177"/>
        <w:rPr>
          <w:rFonts w:ascii="仿宋" w:hAnsi="仿宋" w:eastAsia="仿宋" w:cs="Times New Roman"/>
          <w:color w:val="auto"/>
          <w:sz w:val="24"/>
          <w:szCs w:val="24"/>
          <w:highlight w:val="none"/>
        </w:rPr>
      </w:pPr>
      <w:r>
        <w:rPr>
          <w:rFonts w:hint="eastAsia" w:ascii="仿宋" w:hAnsi="仿宋" w:eastAsia="仿宋" w:cs="Arial"/>
          <w:color w:val="auto"/>
          <w:sz w:val="24"/>
          <w:highlight w:val="none"/>
        </w:rPr>
        <w:t>评审结束后，磋商小组将通过“政府采购云平台”起草评审报告，</w:t>
      </w:r>
      <w:r>
        <w:rPr>
          <w:rFonts w:hint="eastAsia" w:ascii="仿宋" w:hAnsi="仿宋" w:eastAsia="仿宋" w:cs="Times New Roman"/>
          <w:color w:val="auto"/>
          <w:sz w:val="24"/>
          <w:szCs w:val="24"/>
          <w:highlight w:val="none"/>
        </w:rPr>
        <w:t>磋商小组成员应当在评审报告上签字（或加注电子签章），对自己的评审意见承担法律责任。对评审报告有异议的，应当在评审报告上签署不同意见，并说明理由，否则视为同意评审报告。</w:t>
      </w:r>
    </w:p>
    <w:p w14:paraId="531BE08B">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2.9 重新评审</w:t>
      </w:r>
    </w:p>
    <w:p w14:paraId="369B29AA">
      <w:pPr>
        <w:autoSpaceDN w:val="0"/>
        <w:spacing w:line="360" w:lineRule="auto"/>
        <w:ind w:firstLine="426" w:firstLineChars="177"/>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评审报告签署后，采购人或者采购代理机构发现存在下列情形之一的，将组织原磋商小组进行重新评审，重新评审改变评标结果的，将书面报告同级财政部门：</w:t>
      </w:r>
    </w:p>
    <w:p w14:paraId="2140E9F8">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（1）分值汇总计算错误的；</w:t>
      </w:r>
    </w:p>
    <w:p w14:paraId="535FEBDF">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（2）分项评分超出评分标准范围的；</w:t>
      </w:r>
    </w:p>
    <w:p w14:paraId="5589E4E5">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（3）磋商小组成员对客观评审因素评分不一致的；</w:t>
      </w:r>
    </w:p>
    <w:p w14:paraId="0B51FB46">
      <w:pPr>
        <w:autoSpaceDN w:val="0"/>
        <w:spacing w:line="360" w:lineRule="auto"/>
        <w:ind w:firstLine="424" w:firstLineChars="177"/>
        <w:rPr>
          <w:rFonts w:ascii="仿宋" w:hAnsi="仿宋" w:eastAsia="仿宋" w:cs="Times New Roman"/>
          <w:color w:val="auto"/>
          <w:w w:val="90"/>
          <w:sz w:val="22"/>
          <w:highlight w:val="none"/>
        </w:rPr>
      </w:pPr>
      <w:r>
        <w:rPr>
          <w:rFonts w:hint="eastAsia" w:ascii="仿宋" w:hAnsi="仿宋" w:eastAsia="仿宋" w:cs="Times New Roman"/>
          <w:color w:val="auto"/>
          <w:sz w:val="24"/>
          <w:szCs w:val="28"/>
          <w:highlight w:val="none"/>
        </w:rPr>
        <w:t>（4）经磋商小组认定评分畸高、畸低的。</w:t>
      </w:r>
    </w:p>
    <w:p w14:paraId="04ED171A">
      <w:pPr>
        <w:keepNext/>
        <w:keepLines/>
        <w:kinsoku w:val="0"/>
        <w:autoSpaceDE w:val="0"/>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86" w:name="_Toc14247"/>
      <w:r>
        <w:rPr>
          <w:rFonts w:hint="eastAsia" w:ascii="仿宋" w:hAnsi="仿宋" w:eastAsia="仿宋" w:cs="Times New Roman"/>
          <w:b/>
          <w:bCs/>
          <w:color w:val="auto"/>
          <w:sz w:val="28"/>
          <w:szCs w:val="28"/>
          <w:highlight w:val="none"/>
        </w:rPr>
        <w:t>三、评审内容及标准</w:t>
      </w:r>
      <w:bookmarkEnd w:id="86"/>
    </w:p>
    <w:p w14:paraId="372882B2">
      <w:pPr>
        <w:keepNext/>
        <w:keepLines/>
        <w:autoSpaceDN w:val="0"/>
        <w:spacing w:before="97" w:beforeLines="30" w:after="97" w:afterLines="30" w:line="360" w:lineRule="auto"/>
        <w:outlineLvl w:val="2"/>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（一）商务技术部分（</w:t>
      </w:r>
      <w:r>
        <w:rPr>
          <w:rFonts w:hint="eastAsia" w:ascii="仿宋" w:hAnsi="仿宋" w:eastAsia="仿宋" w:cs="宋体"/>
          <w:b/>
          <w:bCs/>
          <w:color w:val="auto"/>
          <w:sz w:val="24"/>
          <w:szCs w:val="24"/>
          <w:highlight w:val="none"/>
          <w:lang w:val="en-US" w:eastAsia="zh-CN"/>
        </w:rPr>
        <w:t>70</w:t>
      </w:r>
      <w:r>
        <w:rPr>
          <w:rFonts w:hint="eastAsia" w:ascii="仿宋" w:hAnsi="仿宋" w:eastAsia="仿宋" w:cs="宋体"/>
          <w:b/>
          <w:bCs/>
          <w:color w:val="auto"/>
          <w:sz w:val="24"/>
          <w:szCs w:val="24"/>
          <w:highlight w:val="none"/>
        </w:rPr>
        <w:t>分）</w:t>
      </w:r>
    </w:p>
    <w:tbl>
      <w:tblPr>
        <w:tblStyle w:val="61"/>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098"/>
        <w:gridCol w:w="6817"/>
        <w:gridCol w:w="683"/>
      </w:tblGrid>
      <w:tr w14:paraId="5A4AB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39" w:type="dxa"/>
            <w:tcBorders>
              <w:tl2br w:val="nil"/>
              <w:tr2bl w:val="nil"/>
            </w:tcBorders>
            <w:shd w:val="clear" w:color="auto" w:fill="FFFFFF"/>
            <w:noWrap/>
            <w:vAlign w:val="center"/>
          </w:tcPr>
          <w:p w14:paraId="7CE113AB">
            <w:pPr>
              <w:snapToGrid w:val="0"/>
              <w:jc w:val="center"/>
              <w:rPr>
                <w:rFonts w:ascii="仿宋" w:hAnsi="仿宋" w:eastAsia="仿宋" w:cs="Arial"/>
                <w:b/>
                <w:bCs/>
                <w:color w:val="auto"/>
                <w:szCs w:val="21"/>
                <w:highlight w:val="none"/>
              </w:rPr>
            </w:pPr>
            <w:r>
              <w:rPr>
                <w:rFonts w:hint="eastAsia" w:ascii="仿宋" w:hAnsi="仿宋" w:eastAsia="仿宋" w:cs="Arial"/>
                <w:b/>
                <w:bCs/>
                <w:color w:val="auto"/>
                <w:szCs w:val="21"/>
                <w:highlight w:val="none"/>
              </w:rPr>
              <w:t>序号</w:t>
            </w:r>
          </w:p>
        </w:tc>
        <w:tc>
          <w:tcPr>
            <w:tcW w:w="1098" w:type="dxa"/>
            <w:tcBorders>
              <w:tl2br w:val="nil"/>
              <w:tr2bl w:val="nil"/>
            </w:tcBorders>
            <w:shd w:val="clear" w:color="auto" w:fill="FFFFFF"/>
            <w:noWrap/>
            <w:vAlign w:val="center"/>
          </w:tcPr>
          <w:p w14:paraId="430BAD0D">
            <w:pPr>
              <w:snapToGrid w:val="0"/>
              <w:jc w:val="center"/>
              <w:rPr>
                <w:rFonts w:ascii="仿宋" w:hAnsi="仿宋" w:eastAsia="仿宋" w:cs="Arial"/>
                <w:b/>
                <w:bCs/>
                <w:color w:val="auto"/>
                <w:szCs w:val="21"/>
                <w:highlight w:val="none"/>
              </w:rPr>
            </w:pPr>
            <w:r>
              <w:rPr>
                <w:rFonts w:hint="eastAsia" w:ascii="仿宋" w:hAnsi="仿宋" w:eastAsia="仿宋" w:cs="Arial"/>
                <w:b/>
                <w:bCs/>
                <w:color w:val="auto"/>
                <w:szCs w:val="21"/>
                <w:highlight w:val="none"/>
              </w:rPr>
              <w:t>评审因素</w:t>
            </w:r>
          </w:p>
        </w:tc>
        <w:tc>
          <w:tcPr>
            <w:tcW w:w="6817" w:type="dxa"/>
            <w:tcBorders>
              <w:tl2br w:val="nil"/>
              <w:tr2bl w:val="nil"/>
            </w:tcBorders>
            <w:shd w:val="clear" w:color="auto" w:fill="FFFFFF"/>
            <w:noWrap/>
            <w:vAlign w:val="center"/>
          </w:tcPr>
          <w:p w14:paraId="274113D1">
            <w:pPr>
              <w:snapToGrid w:val="0"/>
              <w:jc w:val="center"/>
              <w:rPr>
                <w:rFonts w:ascii="仿宋" w:hAnsi="仿宋" w:eastAsia="仿宋" w:cs="Arial"/>
                <w:b/>
                <w:bCs/>
                <w:color w:val="auto"/>
                <w:szCs w:val="21"/>
                <w:highlight w:val="none"/>
              </w:rPr>
            </w:pPr>
            <w:r>
              <w:rPr>
                <w:rFonts w:hint="eastAsia" w:ascii="仿宋" w:hAnsi="仿宋" w:eastAsia="仿宋" w:cs="Arial"/>
                <w:b/>
                <w:bCs/>
                <w:color w:val="auto"/>
                <w:szCs w:val="21"/>
                <w:highlight w:val="none"/>
              </w:rPr>
              <w:t>评审细则</w:t>
            </w:r>
          </w:p>
        </w:tc>
        <w:tc>
          <w:tcPr>
            <w:tcW w:w="683" w:type="dxa"/>
            <w:tcBorders>
              <w:tl2br w:val="nil"/>
              <w:tr2bl w:val="nil"/>
            </w:tcBorders>
            <w:shd w:val="clear" w:color="auto" w:fill="FFFFFF"/>
            <w:vAlign w:val="center"/>
          </w:tcPr>
          <w:p w14:paraId="13B88E54">
            <w:pPr>
              <w:snapToGrid w:val="0"/>
              <w:spacing w:line="360" w:lineRule="auto"/>
              <w:jc w:val="center"/>
              <w:rPr>
                <w:rFonts w:ascii="仿宋" w:hAnsi="仿宋" w:eastAsia="仿宋" w:cs="Arial"/>
                <w:b/>
                <w:bCs/>
                <w:color w:val="auto"/>
                <w:szCs w:val="21"/>
                <w:highlight w:val="none"/>
              </w:rPr>
            </w:pPr>
            <w:r>
              <w:rPr>
                <w:rFonts w:hint="eastAsia" w:ascii="仿宋" w:hAnsi="仿宋" w:eastAsia="仿宋" w:cs="Arial"/>
                <w:b/>
                <w:bCs/>
                <w:color w:val="auto"/>
                <w:szCs w:val="21"/>
                <w:highlight w:val="none"/>
              </w:rPr>
              <w:t>分值</w:t>
            </w:r>
          </w:p>
        </w:tc>
      </w:tr>
      <w:tr w14:paraId="54449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blHeader/>
          <w:jc w:val="center"/>
        </w:trPr>
        <w:tc>
          <w:tcPr>
            <w:tcW w:w="539" w:type="dxa"/>
            <w:tcBorders>
              <w:tl2br w:val="nil"/>
              <w:tr2bl w:val="nil"/>
            </w:tcBorders>
            <w:noWrap/>
            <w:vAlign w:val="center"/>
          </w:tcPr>
          <w:p w14:paraId="0D3DA56F">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1</w:t>
            </w:r>
          </w:p>
        </w:tc>
        <w:tc>
          <w:tcPr>
            <w:tcW w:w="1098" w:type="dxa"/>
            <w:vMerge w:val="restart"/>
            <w:tcBorders>
              <w:tl2br w:val="nil"/>
              <w:tr2bl w:val="nil"/>
            </w:tcBorders>
            <w:noWrap/>
            <w:vAlign w:val="center"/>
          </w:tcPr>
          <w:p w14:paraId="11825391">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业绩</w:t>
            </w:r>
          </w:p>
        </w:tc>
        <w:tc>
          <w:tcPr>
            <w:tcW w:w="6817" w:type="dxa"/>
            <w:tcBorders>
              <w:tl2br w:val="nil"/>
              <w:tr2bl w:val="nil"/>
            </w:tcBorders>
            <w:noWrap/>
            <w:vAlign w:val="center"/>
          </w:tcPr>
          <w:p w14:paraId="35975ABD">
            <w:pPr>
              <w:rPr>
                <w:rFonts w:ascii="仿宋" w:hAnsi="仿宋" w:eastAsia="仿宋" w:cs="仿宋"/>
                <w:color w:val="auto"/>
                <w:szCs w:val="21"/>
                <w:highlight w:val="none"/>
              </w:rPr>
            </w:pPr>
            <w:r>
              <w:rPr>
                <w:rFonts w:hint="eastAsia" w:ascii="仿宋" w:hAnsi="仿宋" w:eastAsia="仿宋" w:cs="仿宋"/>
                <w:color w:val="auto"/>
                <w:szCs w:val="21"/>
                <w:highlight w:val="none"/>
              </w:rPr>
              <w:t>供应商自202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年1月1日以来（以合同签订时间为准）类似合同业绩（以提供的合同及对应分部分项竣工验收报告/竣工验收报告扫描件为准）：每提供1份业绩证明得0.25分（最高得1分）</w:t>
            </w:r>
          </w:p>
        </w:tc>
        <w:tc>
          <w:tcPr>
            <w:tcW w:w="683" w:type="dxa"/>
            <w:tcBorders>
              <w:tl2br w:val="nil"/>
              <w:tr2bl w:val="nil"/>
            </w:tcBorders>
            <w:vAlign w:val="center"/>
          </w:tcPr>
          <w:p w14:paraId="74417043">
            <w:pPr>
              <w:jc w:val="center"/>
              <w:rPr>
                <w:rFonts w:ascii="仿宋" w:hAnsi="仿宋" w:eastAsia="仿宋" w:cs="Arial"/>
                <w:color w:val="auto"/>
                <w:szCs w:val="21"/>
                <w:highlight w:val="none"/>
              </w:rPr>
            </w:pPr>
            <w:r>
              <w:rPr>
                <w:rFonts w:hint="eastAsia" w:ascii="仿宋" w:hAnsi="仿宋" w:eastAsia="仿宋" w:cs="仿宋"/>
                <w:color w:val="auto"/>
                <w:szCs w:val="21"/>
                <w:highlight w:val="none"/>
              </w:rPr>
              <w:t>1</w:t>
            </w:r>
          </w:p>
        </w:tc>
      </w:tr>
      <w:tr w14:paraId="40E9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6" w:hRule="atLeast"/>
          <w:tblHeader/>
          <w:jc w:val="center"/>
        </w:trPr>
        <w:tc>
          <w:tcPr>
            <w:tcW w:w="539" w:type="dxa"/>
            <w:tcBorders>
              <w:tl2br w:val="nil"/>
              <w:tr2bl w:val="nil"/>
            </w:tcBorders>
            <w:noWrap/>
            <w:vAlign w:val="center"/>
          </w:tcPr>
          <w:p w14:paraId="1B0EC063">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2</w:t>
            </w:r>
          </w:p>
        </w:tc>
        <w:tc>
          <w:tcPr>
            <w:tcW w:w="1098" w:type="dxa"/>
            <w:vMerge w:val="continue"/>
            <w:tcBorders>
              <w:tl2br w:val="nil"/>
              <w:tr2bl w:val="nil"/>
            </w:tcBorders>
            <w:noWrap/>
            <w:vAlign w:val="center"/>
          </w:tcPr>
          <w:p w14:paraId="7A759A26">
            <w:pPr>
              <w:snapToGrid w:val="0"/>
              <w:jc w:val="center"/>
              <w:rPr>
                <w:rFonts w:ascii="仿宋" w:hAnsi="仿宋" w:eastAsia="仿宋" w:cs="Arial"/>
                <w:color w:val="auto"/>
                <w:szCs w:val="21"/>
                <w:highlight w:val="none"/>
              </w:rPr>
            </w:pPr>
          </w:p>
        </w:tc>
        <w:tc>
          <w:tcPr>
            <w:tcW w:w="6817" w:type="dxa"/>
            <w:tcBorders>
              <w:tl2br w:val="nil"/>
              <w:tr2bl w:val="nil"/>
            </w:tcBorders>
            <w:noWrap/>
            <w:vAlign w:val="center"/>
          </w:tcPr>
          <w:p w14:paraId="2611CA76">
            <w:pPr>
              <w:rPr>
                <w:rFonts w:ascii="仿宋" w:hAnsi="仿宋" w:eastAsia="仿宋" w:cs="仿宋"/>
                <w:color w:val="auto"/>
                <w:szCs w:val="21"/>
                <w:highlight w:val="none"/>
              </w:rPr>
            </w:pPr>
            <w:r>
              <w:rPr>
                <w:rFonts w:hint="eastAsia" w:ascii="仿宋" w:hAnsi="仿宋" w:eastAsia="仿宋" w:cs="仿宋"/>
                <w:color w:val="auto"/>
                <w:szCs w:val="21"/>
                <w:highlight w:val="none"/>
              </w:rPr>
              <w:t>拟派项目经理自202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年1月1日以来（以合同签订时间为准）以项目经理身份参与同类项目业绩[以提供的合同及对应分部分项竣工验收报告（或竣工验收报告）扫描件为准</w:t>
            </w:r>
            <w:r>
              <w:rPr>
                <w:rFonts w:hint="eastAsia" w:ascii="仿宋" w:hAnsi="仿宋" w:eastAsia="仿宋" w:cs="仿宋"/>
                <w:color w:val="auto"/>
                <w:szCs w:val="21"/>
                <w:highlight w:val="none"/>
                <w:lang w:eastAsia="zh-CN"/>
              </w:rPr>
              <w:t>，合同中无法体现项目经理姓名的可提供业主证明材料作为补充</w:t>
            </w:r>
            <w:r>
              <w:rPr>
                <w:rFonts w:hint="eastAsia" w:ascii="仿宋" w:hAnsi="仿宋" w:eastAsia="仿宋" w:cs="仿宋"/>
                <w:color w:val="auto"/>
                <w:szCs w:val="21"/>
                <w:highlight w:val="none"/>
              </w:rPr>
              <w:t>]：每提供1份业绩证明材料得0.25分，最高得0.5分。</w:t>
            </w:r>
          </w:p>
          <w:p w14:paraId="45496782">
            <w:pPr>
              <w:rPr>
                <w:rFonts w:ascii="仿宋" w:hAnsi="仿宋" w:eastAsia="仿宋" w:cs="仿宋"/>
                <w:color w:val="auto"/>
                <w:szCs w:val="21"/>
                <w:highlight w:val="none"/>
              </w:rPr>
            </w:pPr>
            <w:r>
              <w:rPr>
                <w:rFonts w:hint="eastAsia" w:ascii="仿宋" w:hAnsi="仿宋" w:eastAsia="仿宋" w:cs="仿宋"/>
                <w:b/>
                <w:bCs/>
                <w:color w:val="auto"/>
                <w:szCs w:val="21"/>
                <w:highlight w:val="none"/>
              </w:rPr>
              <w:t>注：同一业绩如已在第1项评分项（供应商业绩）中计分，则不可在本项中重复计分。</w:t>
            </w:r>
          </w:p>
        </w:tc>
        <w:tc>
          <w:tcPr>
            <w:tcW w:w="683" w:type="dxa"/>
            <w:tcBorders>
              <w:tl2br w:val="nil"/>
              <w:tr2bl w:val="nil"/>
            </w:tcBorders>
            <w:vAlign w:val="center"/>
          </w:tcPr>
          <w:p w14:paraId="28C86A7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0.5</w:t>
            </w:r>
          </w:p>
        </w:tc>
      </w:tr>
      <w:tr w14:paraId="15972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blHeader/>
          <w:jc w:val="center"/>
        </w:trPr>
        <w:tc>
          <w:tcPr>
            <w:tcW w:w="539" w:type="dxa"/>
            <w:tcBorders>
              <w:tl2br w:val="nil"/>
              <w:tr2bl w:val="nil"/>
            </w:tcBorders>
            <w:noWrap/>
            <w:vAlign w:val="center"/>
          </w:tcPr>
          <w:p w14:paraId="1549BB5A">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3</w:t>
            </w:r>
          </w:p>
        </w:tc>
        <w:tc>
          <w:tcPr>
            <w:tcW w:w="1098" w:type="dxa"/>
            <w:tcBorders>
              <w:tl2br w:val="nil"/>
              <w:tr2bl w:val="nil"/>
            </w:tcBorders>
            <w:noWrap/>
            <w:vAlign w:val="center"/>
          </w:tcPr>
          <w:p w14:paraId="24E80A30">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体系认证</w:t>
            </w:r>
          </w:p>
        </w:tc>
        <w:tc>
          <w:tcPr>
            <w:tcW w:w="6817" w:type="dxa"/>
            <w:tcBorders>
              <w:tl2br w:val="nil"/>
              <w:tr2bl w:val="nil"/>
            </w:tcBorders>
            <w:noWrap/>
            <w:vAlign w:val="center"/>
          </w:tcPr>
          <w:p w14:paraId="44D5AA08">
            <w:pPr>
              <w:rPr>
                <w:rFonts w:ascii="仿宋" w:hAnsi="仿宋" w:eastAsia="仿宋" w:cs="仿宋"/>
                <w:b/>
                <w:bCs/>
                <w:color w:val="auto"/>
                <w:szCs w:val="21"/>
                <w:highlight w:val="none"/>
              </w:rPr>
            </w:pPr>
            <w:r>
              <w:rPr>
                <w:rFonts w:hint="eastAsia" w:ascii="仿宋" w:hAnsi="仿宋" w:eastAsia="仿宋" w:cs="仿宋"/>
                <w:color w:val="auto"/>
                <w:szCs w:val="21"/>
                <w:highlight w:val="none"/>
              </w:rPr>
              <w:t>供应商具有有效的质量管理体系、环境管理体系、职业健康安全管理体系认证证书的，提供一个得1分，最高得3分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（响应文件中提供证书扫描件和全国认证认可信息公共服务平台http://cx.cnca.cn/的查询网页截图，不提供不得分）。</w:t>
            </w:r>
          </w:p>
        </w:tc>
        <w:tc>
          <w:tcPr>
            <w:tcW w:w="683" w:type="dxa"/>
            <w:tcBorders>
              <w:tl2br w:val="nil"/>
              <w:tr2bl w:val="nil"/>
            </w:tcBorders>
            <w:vAlign w:val="center"/>
          </w:tcPr>
          <w:p w14:paraId="6124369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r w14:paraId="37C8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blHeader/>
          <w:jc w:val="center"/>
        </w:trPr>
        <w:tc>
          <w:tcPr>
            <w:tcW w:w="539" w:type="dxa"/>
            <w:tcBorders>
              <w:tl2br w:val="nil"/>
              <w:tr2bl w:val="nil"/>
            </w:tcBorders>
            <w:noWrap/>
            <w:vAlign w:val="center"/>
          </w:tcPr>
          <w:p w14:paraId="018E3A2D">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4</w:t>
            </w:r>
          </w:p>
        </w:tc>
        <w:tc>
          <w:tcPr>
            <w:tcW w:w="1098" w:type="dxa"/>
            <w:tcBorders>
              <w:tl2br w:val="nil"/>
              <w:tr2bl w:val="nil"/>
            </w:tcBorders>
            <w:noWrap/>
            <w:vAlign w:val="center"/>
          </w:tcPr>
          <w:p w14:paraId="7D05F8BB">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节能、环保</w:t>
            </w:r>
          </w:p>
        </w:tc>
        <w:tc>
          <w:tcPr>
            <w:tcW w:w="6817" w:type="dxa"/>
            <w:tcBorders>
              <w:tl2br w:val="nil"/>
              <w:tr2bl w:val="nil"/>
            </w:tcBorders>
            <w:noWrap/>
            <w:vAlign w:val="center"/>
          </w:tcPr>
          <w:p w14:paraId="00B45BE9">
            <w:pPr>
              <w:rPr>
                <w:rFonts w:ascii="仿宋" w:hAnsi="仿宋" w:eastAsia="仿宋" w:cs="仿宋"/>
                <w:color w:val="auto"/>
                <w:szCs w:val="21"/>
                <w:highlight w:val="none"/>
              </w:rPr>
            </w:pPr>
            <w:r>
              <w:rPr>
                <w:rFonts w:hint="eastAsia" w:ascii="仿宋" w:hAnsi="仿宋" w:eastAsia="仿宋" w:cs="仿宋"/>
                <w:color w:val="auto"/>
                <w:highlight w:val="none"/>
              </w:rPr>
              <w:t>用于本项目的材料列入政府采购节能产品（已列入强制要求的除外）、环境标志产品品目清单范围的，节能产品0.5分，环境标志</w:t>
            </w:r>
            <w:r>
              <w:rPr>
                <w:rFonts w:hint="eastAsia" w:ascii="仿宋" w:hAnsi="仿宋" w:eastAsia="仿宋" w:cs="仿宋"/>
                <w:color w:val="auto"/>
                <w:highlight w:val="none"/>
                <w:lang w:val="en-US" w:eastAsia="zh-CN"/>
              </w:rPr>
              <w:t>产品</w:t>
            </w:r>
            <w:r>
              <w:rPr>
                <w:rFonts w:hint="eastAsia" w:ascii="仿宋" w:hAnsi="仿宋" w:eastAsia="仿宋" w:cs="仿宋"/>
                <w:color w:val="auto"/>
                <w:highlight w:val="none"/>
              </w:rPr>
              <w:t>0.5分，本项累计最高得1.5分。（根据最新政府采购节能产品、环境标志产品品目清单进行评分，供应商应在投标文件中提供相关依据国家确定的认证机构出具的、处于有效期之内的节能产品、环境标志产品认证证书证明材料，否则不得分）。</w:t>
            </w:r>
          </w:p>
        </w:tc>
        <w:tc>
          <w:tcPr>
            <w:tcW w:w="683" w:type="dxa"/>
            <w:tcBorders>
              <w:tl2br w:val="nil"/>
              <w:tr2bl w:val="nil"/>
            </w:tcBorders>
            <w:vAlign w:val="center"/>
          </w:tcPr>
          <w:p w14:paraId="6E4485D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r>
      <w:tr w14:paraId="0624A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058A9EE3">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5</w:t>
            </w:r>
          </w:p>
        </w:tc>
        <w:tc>
          <w:tcPr>
            <w:tcW w:w="1098" w:type="dxa"/>
            <w:vMerge w:val="restart"/>
            <w:tcBorders>
              <w:tl2br w:val="nil"/>
              <w:tr2bl w:val="nil"/>
            </w:tcBorders>
            <w:noWrap/>
            <w:vAlign w:val="center"/>
          </w:tcPr>
          <w:p w14:paraId="457733F1">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项目实施</w:t>
            </w:r>
          </w:p>
        </w:tc>
        <w:tc>
          <w:tcPr>
            <w:tcW w:w="6817" w:type="dxa"/>
            <w:tcBorders>
              <w:tl2br w:val="nil"/>
              <w:tr2bl w:val="nil"/>
            </w:tcBorders>
            <w:noWrap/>
            <w:vAlign w:val="center"/>
          </w:tcPr>
          <w:p w14:paraId="77A32937">
            <w:pPr>
              <w:rPr>
                <w:rFonts w:ascii="仿宋" w:hAnsi="仿宋" w:eastAsia="仿宋" w:cs="仿宋"/>
                <w:color w:val="auto"/>
                <w:highlight w:val="none"/>
              </w:rPr>
            </w:pPr>
            <w:r>
              <w:rPr>
                <w:rFonts w:hint="eastAsia" w:ascii="仿宋" w:hAnsi="仿宋" w:eastAsia="仿宋" w:cs="仿宋"/>
                <w:color w:val="auto"/>
                <w:highlight w:val="none"/>
              </w:rPr>
              <w:t>总体概述-工程概况、施工组织总体设想和方案</w:t>
            </w:r>
            <w:r>
              <w:rPr>
                <w:rFonts w:hint="eastAsia" w:ascii="仿宋" w:hAnsi="仿宋" w:eastAsia="仿宋" w:cs="仿宋"/>
                <w:color w:val="auto"/>
                <w:szCs w:val="21"/>
                <w:highlight w:val="none"/>
              </w:rPr>
              <w:t>：</w:t>
            </w:r>
            <w:r>
              <w:rPr>
                <w:rFonts w:hint="eastAsia" w:ascii="仿宋" w:hAnsi="仿宋" w:eastAsia="仿宋" w:cs="仿宋"/>
                <w:color w:val="auto"/>
                <w:highlight w:val="none"/>
              </w:rPr>
              <w:t>根据方案的全面性、合理性以及对本项目的针对性进行评审。</w:t>
            </w:r>
            <w:r>
              <w:rPr>
                <w:rFonts w:hint="eastAsia" w:ascii="仿宋" w:hAnsi="仿宋" w:eastAsia="仿宋" w:cs="仿宋"/>
                <w:color w:val="auto"/>
                <w:szCs w:val="21"/>
                <w:highlight w:val="none"/>
              </w:rPr>
              <w:t>（评审分值为</w:t>
            </w:r>
            <w:r>
              <w:rPr>
                <w:rFonts w:hint="eastAsia" w:ascii="仿宋" w:hAnsi="仿宋" w:eastAsia="仿宋" w:cs="仿宋"/>
                <w:color w:val="auto"/>
                <w:szCs w:val="21"/>
                <w:highlight w:val="none"/>
                <w:lang w:val="en-US" w:eastAsia="zh-CN"/>
              </w:rPr>
              <w:t>3分或2分或1分或0分</w:t>
            </w:r>
            <w:r>
              <w:rPr>
                <w:rFonts w:hint="eastAsia" w:ascii="仿宋" w:hAnsi="仿宋" w:eastAsia="仿宋" w:cs="仿宋"/>
                <w:color w:val="auto"/>
                <w:szCs w:val="21"/>
                <w:highlight w:val="none"/>
              </w:rPr>
              <w:t>）</w:t>
            </w:r>
          </w:p>
        </w:tc>
        <w:tc>
          <w:tcPr>
            <w:tcW w:w="683" w:type="dxa"/>
            <w:tcBorders>
              <w:tl2br w:val="nil"/>
              <w:tr2bl w:val="nil"/>
            </w:tcBorders>
            <w:vAlign w:val="center"/>
          </w:tcPr>
          <w:p w14:paraId="7E2FE1B3">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r>
      <w:tr w14:paraId="69FF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70BE54FF">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6</w:t>
            </w:r>
          </w:p>
        </w:tc>
        <w:tc>
          <w:tcPr>
            <w:tcW w:w="1098" w:type="dxa"/>
            <w:vMerge w:val="continue"/>
            <w:tcBorders>
              <w:tl2br w:val="nil"/>
              <w:tr2bl w:val="nil"/>
            </w:tcBorders>
            <w:noWrap/>
            <w:vAlign w:val="center"/>
          </w:tcPr>
          <w:p w14:paraId="05E88C1B">
            <w:pPr>
              <w:snapToGrid w:val="0"/>
              <w:jc w:val="center"/>
              <w:rPr>
                <w:rFonts w:ascii="仿宋" w:hAnsi="仿宋" w:eastAsia="仿宋" w:cs="Arial"/>
                <w:color w:val="auto"/>
                <w:szCs w:val="21"/>
                <w:highlight w:val="none"/>
              </w:rPr>
            </w:pPr>
          </w:p>
        </w:tc>
        <w:tc>
          <w:tcPr>
            <w:tcW w:w="6817" w:type="dxa"/>
            <w:tcBorders>
              <w:tl2br w:val="nil"/>
              <w:tr2bl w:val="nil"/>
            </w:tcBorders>
            <w:noWrap/>
            <w:vAlign w:val="center"/>
          </w:tcPr>
          <w:p w14:paraId="2A852195">
            <w:pPr>
              <w:rPr>
                <w:rFonts w:ascii="仿宋" w:hAnsi="仿宋" w:eastAsia="仿宋" w:cs="仿宋"/>
                <w:color w:val="auto"/>
                <w:highlight w:val="none"/>
              </w:rPr>
            </w:pPr>
            <w:r>
              <w:rPr>
                <w:rFonts w:hint="eastAsia" w:ascii="仿宋" w:hAnsi="仿宋" w:eastAsia="仿宋" w:cs="仿宋"/>
                <w:color w:val="auto"/>
                <w:highlight w:val="none"/>
              </w:rPr>
              <w:t>总体概述-</w:t>
            </w:r>
            <w:r>
              <w:rPr>
                <w:rFonts w:hint="eastAsia" w:ascii="仿宋" w:hAnsi="仿宋" w:eastAsia="仿宋" w:cs="仿宋"/>
                <w:color w:val="auto"/>
                <w:szCs w:val="21"/>
                <w:highlight w:val="none"/>
              </w:rPr>
              <w:t>施工阶段划分：根据施工划分的合理性，与采购需求及实际特点的符合程度进行评审。（评审分值为2分或1.5分或1分或0.5分或0分）</w:t>
            </w:r>
          </w:p>
        </w:tc>
        <w:tc>
          <w:tcPr>
            <w:tcW w:w="683" w:type="dxa"/>
            <w:tcBorders>
              <w:tl2br w:val="nil"/>
              <w:tr2bl w:val="nil"/>
            </w:tcBorders>
            <w:vAlign w:val="center"/>
          </w:tcPr>
          <w:p w14:paraId="50A3612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r>
      <w:tr w14:paraId="0DC2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78A850F5">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7</w:t>
            </w:r>
          </w:p>
        </w:tc>
        <w:tc>
          <w:tcPr>
            <w:tcW w:w="1098" w:type="dxa"/>
            <w:vMerge w:val="continue"/>
            <w:tcBorders>
              <w:tl2br w:val="nil"/>
              <w:tr2bl w:val="nil"/>
            </w:tcBorders>
            <w:noWrap/>
            <w:vAlign w:val="center"/>
          </w:tcPr>
          <w:p w14:paraId="659BAC18">
            <w:pPr>
              <w:snapToGrid w:val="0"/>
              <w:jc w:val="center"/>
              <w:rPr>
                <w:rFonts w:ascii="仿宋" w:hAnsi="仿宋" w:eastAsia="仿宋" w:cs="Arial"/>
                <w:color w:val="auto"/>
                <w:szCs w:val="21"/>
                <w:highlight w:val="none"/>
              </w:rPr>
            </w:pPr>
          </w:p>
        </w:tc>
        <w:tc>
          <w:tcPr>
            <w:tcW w:w="6817" w:type="dxa"/>
            <w:tcBorders>
              <w:tl2br w:val="nil"/>
              <w:tr2bl w:val="nil"/>
            </w:tcBorders>
            <w:noWrap/>
            <w:vAlign w:val="center"/>
          </w:tcPr>
          <w:p w14:paraId="4F7D784D">
            <w:pPr>
              <w:rPr>
                <w:rFonts w:ascii="仿宋" w:hAnsi="仿宋" w:eastAsia="仿宋" w:cs="仿宋"/>
                <w:color w:val="auto"/>
                <w:highlight w:val="none"/>
              </w:rPr>
            </w:pPr>
            <w:r>
              <w:rPr>
                <w:rFonts w:hint="eastAsia" w:ascii="仿宋" w:hAnsi="仿宋" w:eastAsia="仿宋" w:cs="仿宋"/>
                <w:color w:val="auto"/>
                <w:szCs w:val="21"/>
                <w:highlight w:val="none"/>
              </w:rPr>
              <w:t>施工方案重难点分析：根据分析方案完善、合理、针对性进行评审。</w:t>
            </w:r>
            <w:r>
              <w:rPr>
                <w:rFonts w:hint="eastAsia" w:ascii="仿宋" w:hAnsi="仿宋" w:eastAsia="仿宋" w:cs="仿宋"/>
                <w:color w:val="auto"/>
                <w:highlight w:val="none"/>
              </w:rPr>
              <w:t>（评审分值为3分或2分或1分或0分）</w:t>
            </w:r>
          </w:p>
        </w:tc>
        <w:tc>
          <w:tcPr>
            <w:tcW w:w="683" w:type="dxa"/>
            <w:tcBorders>
              <w:tl2br w:val="nil"/>
              <w:tr2bl w:val="nil"/>
            </w:tcBorders>
            <w:vAlign w:val="center"/>
          </w:tcPr>
          <w:p w14:paraId="611C5CB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r w14:paraId="09FCA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35C71AEF">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8</w:t>
            </w:r>
          </w:p>
        </w:tc>
        <w:tc>
          <w:tcPr>
            <w:tcW w:w="1098" w:type="dxa"/>
            <w:vMerge w:val="continue"/>
            <w:tcBorders>
              <w:tl2br w:val="nil"/>
              <w:tr2bl w:val="nil"/>
            </w:tcBorders>
            <w:noWrap/>
            <w:vAlign w:val="center"/>
          </w:tcPr>
          <w:p w14:paraId="1EE2EBB0">
            <w:pPr>
              <w:snapToGrid w:val="0"/>
              <w:jc w:val="center"/>
              <w:rPr>
                <w:rFonts w:ascii="仿宋" w:hAnsi="仿宋" w:eastAsia="仿宋" w:cs="Arial"/>
                <w:color w:val="auto"/>
                <w:szCs w:val="21"/>
                <w:highlight w:val="none"/>
              </w:rPr>
            </w:pPr>
          </w:p>
        </w:tc>
        <w:tc>
          <w:tcPr>
            <w:tcW w:w="6817" w:type="dxa"/>
            <w:tcBorders>
              <w:tl2br w:val="nil"/>
              <w:tr2bl w:val="nil"/>
            </w:tcBorders>
            <w:noWrap/>
            <w:vAlign w:val="center"/>
          </w:tcPr>
          <w:p w14:paraId="2332B6BE">
            <w:pPr>
              <w:rPr>
                <w:rFonts w:ascii="仿宋" w:hAnsi="仿宋" w:eastAsia="仿宋" w:cs="仿宋"/>
                <w:color w:val="auto"/>
                <w:szCs w:val="21"/>
                <w:highlight w:val="none"/>
              </w:rPr>
            </w:pPr>
            <w:r>
              <w:rPr>
                <w:rFonts w:hint="eastAsia" w:ascii="仿宋" w:hAnsi="仿宋" w:eastAsia="仿宋" w:cs="仿宋"/>
                <w:color w:val="auto"/>
                <w:szCs w:val="21"/>
                <w:highlight w:val="none"/>
              </w:rPr>
              <w:t>施工重难点对应控制措施：根据措施的科学性、合理性、可行性进行评审。（评审分值为2分或1.5分或1分或0.5分或0分）</w:t>
            </w:r>
          </w:p>
        </w:tc>
        <w:tc>
          <w:tcPr>
            <w:tcW w:w="683" w:type="dxa"/>
            <w:tcBorders>
              <w:tl2br w:val="nil"/>
              <w:tr2bl w:val="nil"/>
            </w:tcBorders>
            <w:vAlign w:val="center"/>
          </w:tcPr>
          <w:p w14:paraId="53B3708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r>
      <w:tr w14:paraId="28B2B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062B04F2">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9</w:t>
            </w:r>
          </w:p>
        </w:tc>
        <w:tc>
          <w:tcPr>
            <w:tcW w:w="1098" w:type="dxa"/>
            <w:vMerge w:val="continue"/>
            <w:tcBorders>
              <w:tl2br w:val="nil"/>
              <w:tr2bl w:val="nil"/>
            </w:tcBorders>
            <w:noWrap/>
            <w:vAlign w:val="center"/>
          </w:tcPr>
          <w:p w14:paraId="73BC8389">
            <w:pPr>
              <w:snapToGrid w:val="0"/>
              <w:jc w:val="center"/>
              <w:rPr>
                <w:rFonts w:ascii="仿宋" w:hAnsi="仿宋" w:eastAsia="仿宋" w:cs="Arial"/>
                <w:color w:val="auto"/>
                <w:szCs w:val="21"/>
                <w:highlight w:val="none"/>
              </w:rPr>
            </w:pPr>
          </w:p>
        </w:tc>
        <w:tc>
          <w:tcPr>
            <w:tcW w:w="6817" w:type="dxa"/>
            <w:tcBorders>
              <w:tl2br w:val="nil"/>
              <w:tr2bl w:val="nil"/>
            </w:tcBorders>
            <w:noWrap/>
            <w:vAlign w:val="center"/>
          </w:tcPr>
          <w:p w14:paraId="332B08C3">
            <w:pPr>
              <w:rPr>
                <w:rFonts w:ascii="仿宋" w:hAnsi="仿宋" w:eastAsia="仿宋" w:cs="仿宋"/>
                <w:color w:val="auto"/>
                <w:szCs w:val="21"/>
                <w:highlight w:val="none"/>
              </w:rPr>
            </w:pPr>
            <w:r>
              <w:rPr>
                <w:rFonts w:hint="eastAsia" w:ascii="仿宋" w:hAnsi="仿宋" w:eastAsia="仿宋" w:cs="仿宋"/>
                <w:color w:val="auto"/>
                <w:szCs w:val="21"/>
                <w:highlight w:val="none"/>
              </w:rPr>
              <w:t>针对本项目特点需采取的专门施工技术：根据方案完善程度、合理性、针对性进行评审。（评审分值为</w:t>
            </w:r>
            <w:r>
              <w:rPr>
                <w:rFonts w:hint="eastAsia" w:ascii="仿宋" w:hAnsi="仿宋" w:eastAsia="仿宋" w:cs="仿宋"/>
                <w:color w:val="auto"/>
                <w:highlight w:val="none"/>
              </w:rPr>
              <w:t>3分或2分或1分或0分</w:t>
            </w:r>
            <w:r>
              <w:rPr>
                <w:rFonts w:hint="eastAsia" w:ascii="仿宋" w:hAnsi="仿宋" w:eastAsia="仿宋" w:cs="仿宋"/>
                <w:color w:val="auto"/>
                <w:szCs w:val="21"/>
                <w:highlight w:val="none"/>
              </w:rPr>
              <w:t>）</w:t>
            </w:r>
          </w:p>
        </w:tc>
        <w:tc>
          <w:tcPr>
            <w:tcW w:w="683" w:type="dxa"/>
            <w:tcBorders>
              <w:tl2br w:val="nil"/>
              <w:tr2bl w:val="nil"/>
            </w:tcBorders>
            <w:vAlign w:val="center"/>
          </w:tcPr>
          <w:p w14:paraId="57FF353E">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r>
      <w:tr w14:paraId="73D92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483C0F5C">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10</w:t>
            </w:r>
          </w:p>
        </w:tc>
        <w:tc>
          <w:tcPr>
            <w:tcW w:w="1098" w:type="dxa"/>
            <w:vMerge w:val="continue"/>
            <w:tcBorders>
              <w:tl2br w:val="nil"/>
              <w:tr2bl w:val="nil"/>
            </w:tcBorders>
            <w:noWrap/>
            <w:vAlign w:val="center"/>
          </w:tcPr>
          <w:p w14:paraId="077D4BE8">
            <w:pPr>
              <w:snapToGrid w:val="0"/>
              <w:jc w:val="center"/>
              <w:rPr>
                <w:rFonts w:ascii="仿宋" w:hAnsi="仿宋" w:eastAsia="仿宋" w:cs="Arial"/>
                <w:color w:val="auto"/>
                <w:szCs w:val="21"/>
                <w:highlight w:val="none"/>
              </w:rPr>
            </w:pPr>
          </w:p>
        </w:tc>
        <w:tc>
          <w:tcPr>
            <w:tcW w:w="6817" w:type="dxa"/>
            <w:tcBorders>
              <w:tl2br w:val="nil"/>
              <w:tr2bl w:val="nil"/>
            </w:tcBorders>
            <w:noWrap/>
            <w:vAlign w:val="center"/>
          </w:tcPr>
          <w:p w14:paraId="2EBFA27C">
            <w:pPr>
              <w:rPr>
                <w:rFonts w:ascii="仿宋" w:hAnsi="仿宋" w:eastAsia="仿宋" w:cs="仿宋"/>
                <w:color w:val="auto"/>
                <w:szCs w:val="21"/>
                <w:highlight w:val="none"/>
              </w:rPr>
            </w:pPr>
            <w:r>
              <w:rPr>
                <w:rFonts w:hint="eastAsia" w:ascii="仿宋" w:hAnsi="仿宋" w:eastAsia="仿宋" w:cs="仿宋"/>
                <w:color w:val="auto"/>
                <w:szCs w:val="21"/>
                <w:highlight w:val="none"/>
              </w:rPr>
              <w:t>项目需采取的专门施工组织措施：根据方案完善程度、合理性、针对性、可行性进行评审。</w:t>
            </w:r>
            <w:r>
              <w:rPr>
                <w:rFonts w:hint="eastAsia" w:ascii="仿宋" w:hAnsi="仿宋" w:eastAsia="仿宋" w:cs="仿宋"/>
                <w:color w:val="auto"/>
                <w:highlight w:val="none"/>
              </w:rPr>
              <w:t>（评审分值为</w:t>
            </w:r>
            <w:r>
              <w:rPr>
                <w:rFonts w:hint="eastAsia" w:ascii="仿宋" w:hAnsi="仿宋" w:eastAsia="仿宋" w:cs="仿宋"/>
                <w:color w:val="auto"/>
                <w:szCs w:val="21"/>
                <w:highlight w:val="none"/>
              </w:rPr>
              <w:t>2分或1.5分或1分或0.5分或0分</w:t>
            </w:r>
            <w:r>
              <w:rPr>
                <w:rFonts w:hint="eastAsia" w:ascii="仿宋" w:hAnsi="仿宋" w:eastAsia="仿宋" w:cs="仿宋"/>
                <w:color w:val="auto"/>
                <w:highlight w:val="none"/>
              </w:rPr>
              <w:t>）</w:t>
            </w:r>
          </w:p>
        </w:tc>
        <w:tc>
          <w:tcPr>
            <w:tcW w:w="683" w:type="dxa"/>
            <w:tcBorders>
              <w:tl2br w:val="nil"/>
              <w:tr2bl w:val="nil"/>
            </w:tcBorders>
            <w:vAlign w:val="center"/>
          </w:tcPr>
          <w:p w14:paraId="201B8C20">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r>
      <w:tr w14:paraId="1243D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084A300B">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11</w:t>
            </w:r>
          </w:p>
        </w:tc>
        <w:tc>
          <w:tcPr>
            <w:tcW w:w="1098" w:type="dxa"/>
            <w:vMerge w:val="continue"/>
            <w:tcBorders>
              <w:tl2br w:val="nil"/>
              <w:tr2bl w:val="nil"/>
            </w:tcBorders>
            <w:noWrap/>
            <w:vAlign w:val="center"/>
          </w:tcPr>
          <w:p w14:paraId="2289D86F">
            <w:pPr>
              <w:snapToGrid w:val="0"/>
              <w:jc w:val="center"/>
              <w:rPr>
                <w:rFonts w:ascii="仿宋" w:hAnsi="仿宋" w:eastAsia="仿宋" w:cs="Arial"/>
                <w:color w:val="auto"/>
                <w:szCs w:val="21"/>
                <w:highlight w:val="none"/>
              </w:rPr>
            </w:pPr>
          </w:p>
        </w:tc>
        <w:tc>
          <w:tcPr>
            <w:tcW w:w="6817" w:type="dxa"/>
            <w:tcBorders>
              <w:tl2br w:val="nil"/>
              <w:tr2bl w:val="nil"/>
            </w:tcBorders>
            <w:noWrap/>
            <w:vAlign w:val="center"/>
          </w:tcPr>
          <w:p w14:paraId="1F29CC43">
            <w:pPr>
              <w:rPr>
                <w:rFonts w:ascii="仿宋" w:hAnsi="仿宋" w:eastAsia="仿宋" w:cs="仿宋"/>
                <w:color w:val="auto"/>
                <w:szCs w:val="21"/>
                <w:highlight w:val="none"/>
              </w:rPr>
            </w:pPr>
            <w:r>
              <w:rPr>
                <w:rFonts w:hint="eastAsia" w:ascii="仿宋" w:hAnsi="仿宋" w:eastAsia="仿宋" w:cs="仿宋"/>
                <w:color w:val="auto"/>
                <w:szCs w:val="21"/>
                <w:highlight w:val="none"/>
              </w:rPr>
              <w:t>施工各阶段进度计划：根据施工进度计划的合理性、可行性及对本项目的针对性进行评审。</w:t>
            </w:r>
            <w:r>
              <w:rPr>
                <w:rFonts w:hint="eastAsia" w:ascii="仿宋" w:hAnsi="仿宋" w:eastAsia="仿宋" w:cs="仿宋"/>
                <w:color w:val="auto"/>
                <w:highlight w:val="none"/>
              </w:rPr>
              <w:t>（评审分值为3分或2分或1分或0分）</w:t>
            </w:r>
          </w:p>
        </w:tc>
        <w:tc>
          <w:tcPr>
            <w:tcW w:w="683" w:type="dxa"/>
            <w:tcBorders>
              <w:tl2br w:val="nil"/>
              <w:tr2bl w:val="nil"/>
            </w:tcBorders>
            <w:vAlign w:val="center"/>
          </w:tcPr>
          <w:p w14:paraId="7A33BEA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r w14:paraId="18F52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0BB3CAB1">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12</w:t>
            </w:r>
          </w:p>
        </w:tc>
        <w:tc>
          <w:tcPr>
            <w:tcW w:w="1098" w:type="dxa"/>
            <w:vMerge w:val="continue"/>
            <w:tcBorders>
              <w:tl2br w:val="nil"/>
              <w:tr2bl w:val="nil"/>
            </w:tcBorders>
            <w:noWrap/>
            <w:vAlign w:val="center"/>
          </w:tcPr>
          <w:p w14:paraId="6461D5E2">
            <w:pPr>
              <w:snapToGrid w:val="0"/>
              <w:jc w:val="center"/>
              <w:rPr>
                <w:rFonts w:ascii="仿宋" w:hAnsi="仿宋" w:eastAsia="仿宋" w:cs="Arial"/>
                <w:color w:val="auto"/>
                <w:szCs w:val="21"/>
                <w:highlight w:val="none"/>
              </w:rPr>
            </w:pPr>
          </w:p>
        </w:tc>
        <w:tc>
          <w:tcPr>
            <w:tcW w:w="6817" w:type="dxa"/>
            <w:tcBorders>
              <w:tl2br w:val="nil"/>
              <w:tr2bl w:val="nil"/>
            </w:tcBorders>
            <w:noWrap/>
            <w:vAlign w:val="center"/>
          </w:tcPr>
          <w:p w14:paraId="6BEC9C07">
            <w:pPr>
              <w:rPr>
                <w:rFonts w:ascii="仿宋" w:hAnsi="仿宋" w:eastAsia="仿宋" w:cs="仿宋"/>
                <w:color w:val="auto"/>
                <w:szCs w:val="21"/>
                <w:highlight w:val="none"/>
              </w:rPr>
            </w:pPr>
            <w:r>
              <w:rPr>
                <w:rFonts w:hint="eastAsia" w:ascii="仿宋" w:hAnsi="仿宋" w:eastAsia="仿宋" w:cs="仿宋"/>
                <w:color w:val="auto"/>
                <w:szCs w:val="21"/>
                <w:highlight w:val="none"/>
              </w:rPr>
              <w:t>施工进度计划网络图：根据网络图表达的清晰程度、内容完善度以及内容的合理性、可行性进行评审。（评审分值为2分或1.5分或1分或0.5分或0分）</w:t>
            </w:r>
          </w:p>
        </w:tc>
        <w:tc>
          <w:tcPr>
            <w:tcW w:w="683" w:type="dxa"/>
            <w:tcBorders>
              <w:tl2br w:val="nil"/>
              <w:tr2bl w:val="nil"/>
            </w:tcBorders>
            <w:vAlign w:val="center"/>
          </w:tcPr>
          <w:p w14:paraId="2AACF34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r>
      <w:tr w14:paraId="05C30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blHeader/>
          <w:jc w:val="center"/>
        </w:trPr>
        <w:tc>
          <w:tcPr>
            <w:tcW w:w="539" w:type="dxa"/>
            <w:tcBorders>
              <w:tl2br w:val="nil"/>
              <w:tr2bl w:val="nil"/>
            </w:tcBorders>
            <w:noWrap/>
            <w:vAlign w:val="center"/>
          </w:tcPr>
          <w:p w14:paraId="05D7DEC4">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13</w:t>
            </w:r>
          </w:p>
        </w:tc>
        <w:tc>
          <w:tcPr>
            <w:tcW w:w="1098" w:type="dxa"/>
            <w:vMerge w:val="continue"/>
            <w:tcBorders>
              <w:tl2br w:val="nil"/>
              <w:tr2bl w:val="nil"/>
            </w:tcBorders>
            <w:noWrap/>
            <w:vAlign w:val="center"/>
          </w:tcPr>
          <w:p w14:paraId="2C4AAC8C">
            <w:pPr>
              <w:snapToGrid w:val="0"/>
              <w:jc w:val="center"/>
              <w:rPr>
                <w:rFonts w:ascii="仿宋" w:hAnsi="仿宋" w:eastAsia="仿宋" w:cs="Arial"/>
                <w:color w:val="auto"/>
                <w:szCs w:val="21"/>
                <w:highlight w:val="none"/>
              </w:rPr>
            </w:pPr>
          </w:p>
        </w:tc>
        <w:tc>
          <w:tcPr>
            <w:tcW w:w="6817" w:type="dxa"/>
            <w:tcBorders>
              <w:tl2br w:val="nil"/>
              <w:tr2bl w:val="nil"/>
            </w:tcBorders>
            <w:noWrap/>
            <w:vAlign w:val="center"/>
          </w:tcPr>
          <w:p w14:paraId="149B0D81">
            <w:pPr>
              <w:rPr>
                <w:rFonts w:ascii="仿宋" w:hAnsi="仿宋" w:eastAsia="仿宋" w:cs="仿宋"/>
                <w:color w:val="auto"/>
                <w:szCs w:val="21"/>
                <w:highlight w:val="none"/>
              </w:rPr>
            </w:pPr>
            <w:r>
              <w:rPr>
                <w:rFonts w:hint="eastAsia" w:ascii="仿宋" w:hAnsi="仿宋" w:eastAsia="仿宋" w:cs="仿宋"/>
                <w:color w:val="auto"/>
                <w:szCs w:val="21"/>
                <w:highlight w:val="none"/>
              </w:rPr>
              <w:t>劳动力、施工机械设备及材料各阶段的投入安排：根据安排的科学性、合理性，以及整体考虑的全面性，对采购项目实施的有利程度进行评审。</w:t>
            </w:r>
            <w:r>
              <w:rPr>
                <w:rFonts w:hint="eastAsia" w:ascii="仿宋" w:hAnsi="仿宋" w:eastAsia="仿宋" w:cs="仿宋"/>
                <w:color w:val="auto"/>
                <w:highlight w:val="none"/>
              </w:rPr>
              <w:t>（评审分值为3分或2分或1分或0分）</w:t>
            </w:r>
          </w:p>
        </w:tc>
        <w:tc>
          <w:tcPr>
            <w:tcW w:w="683" w:type="dxa"/>
            <w:tcBorders>
              <w:tl2br w:val="nil"/>
              <w:tr2bl w:val="nil"/>
            </w:tcBorders>
            <w:vAlign w:val="center"/>
          </w:tcPr>
          <w:p w14:paraId="499E780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r w14:paraId="68190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006573A4">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14</w:t>
            </w:r>
          </w:p>
        </w:tc>
        <w:tc>
          <w:tcPr>
            <w:tcW w:w="1098" w:type="dxa"/>
            <w:vMerge w:val="continue"/>
            <w:tcBorders>
              <w:tl2br w:val="nil"/>
              <w:tr2bl w:val="nil"/>
            </w:tcBorders>
            <w:noWrap/>
            <w:vAlign w:val="center"/>
          </w:tcPr>
          <w:p w14:paraId="2F906EEB">
            <w:pPr>
              <w:snapToGrid w:val="0"/>
              <w:jc w:val="center"/>
              <w:rPr>
                <w:rFonts w:ascii="仿宋" w:hAnsi="仿宋" w:eastAsia="仿宋" w:cs="Arial"/>
                <w:color w:val="auto"/>
                <w:szCs w:val="21"/>
                <w:highlight w:val="none"/>
              </w:rPr>
            </w:pPr>
          </w:p>
        </w:tc>
        <w:tc>
          <w:tcPr>
            <w:tcW w:w="6817" w:type="dxa"/>
            <w:tcBorders>
              <w:tl2br w:val="nil"/>
              <w:tr2bl w:val="nil"/>
            </w:tcBorders>
            <w:noWrap/>
            <w:vAlign w:val="center"/>
          </w:tcPr>
          <w:p w14:paraId="41AD52BA">
            <w:pPr>
              <w:rPr>
                <w:rFonts w:ascii="仿宋" w:hAnsi="仿宋" w:eastAsia="仿宋" w:cs="仿宋"/>
                <w:color w:val="auto"/>
                <w:szCs w:val="21"/>
                <w:highlight w:val="none"/>
              </w:rPr>
            </w:pPr>
            <w:r>
              <w:rPr>
                <w:rFonts w:hint="eastAsia" w:ascii="仿宋" w:hAnsi="仿宋" w:eastAsia="仿宋" w:cs="仿宋"/>
                <w:color w:val="auto"/>
                <w:szCs w:val="21"/>
                <w:highlight w:val="none"/>
              </w:rPr>
              <w:t>施工材料设备选型</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品牌</w:t>
            </w:r>
            <w:r>
              <w:rPr>
                <w:rFonts w:hint="eastAsia" w:ascii="仿宋" w:hAnsi="仿宋" w:eastAsia="仿宋" w:cs="仿宋"/>
                <w:color w:val="auto"/>
                <w:szCs w:val="21"/>
                <w:highlight w:val="none"/>
              </w:rPr>
              <w:t>情况；根据选用的施工材料对项目需求的满足程度，拟投入设备配置的科学性、合理性，对项目实施的有利程度进行评审。</w:t>
            </w:r>
            <w:r>
              <w:rPr>
                <w:rFonts w:hint="eastAsia" w:ascii="仿宋" w:hAnsi="仿宋" w:eastAsia="仿宋" w:cs="仿宋"/>
                <w:color w:val="auto"/>
                <w:highlight w:val="none"/>
              </w:rPr>
              <w:t>（评审分值为</w:t>
            </w:r>
            <w:r>
              <w:rPr>
                <w:rFonts w:hint="eastAsia" w:ascii="仿宋" w:hAnsi="仿宋" w:eastAsia="仿宋" w:cs="仿宋"/>
                <w:color w:val="auto"/>
                <w:highlight w:val="none"/>
                <w:lang w:val="en-US" w:eastAsia="zh-CN"/>
              </w:rPr>
              <w:t>4分或</w:t>
            </w:r>
            <w:r>
              <w:rPr>
                <w:rFonts w:hint="eastAsia" w:ascii="仿宋" w:hAnsi="仿宋" w:eastAsia="仿宋" w:cs="仿宋"/>
                <w:color w:val="auto"/>
                <w:highlight w:val="none"/>
              </w:rPr>
              <w:t>3分或2分或1分或0分）</w:t>
            </w:r>
          </w:p>
        </w:tc>
        <w:tc>
          <w:tcPr>
            <w:tcW w:w="683" w:type="dxa"/>
            <w:tcBorders>
              <w:tl2br w:val="nil"/>
              <w:tr2bl w:val="nil"/>
            </w:tcBorders>
            <w:vAlign w:val="center"/>
          </w:tcPr>
          <w:p w14:paraId="0CE8ADD7">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p>
        </w:tc>
      </w:tr>
      <w:tr w14:paraId="328C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6265B3AE">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15</w:t>
            </w:r>
          </w:p>
        </w:tc>
        <w:tc>
          <w:tcPr>
            <w:tcW w:w="1098" w:type="dxa"/>
            <w:vMerge w:val="continue"/>
            <w:tcBorders>
              <w:tl2br w:val="nil"/>
              <w:tr2bl w:val="nil"/>
            </w:tcBorders>
            <w:noWrap/>
            <w:vAlign w:val="center"/>
          </w:tcPr>
          <w:p w14:paraId="277BEAF7">
            <w:pPr>
              <w:snapToGrid w:val="0"/>
              <w:jc w:val="center"/>
              <w:rPr>
                <w:rFonts w:ascii="仿宋" w:hAnsi="仿宋" w:eastAsia="仿宋" w:cs="Arial"/>
                <w:color w:val="auto"/>
                <w:szCs w:val="21"/>
                <w:highlight w:val="none"/>
              </w:rPr>
            </w:pPr>
          </w:p>
        </w:tc>
        <w:tc>
          <w:tcPr>
            <w:tcW w:w="6817" w:type="dxa"/>
            <w:tcBorders>
              <w:tl2br w:val="nil"/>
              <w:tr2bl w:val="nil"/>
            </w:tcBorders>
            <w:noWrap/>
            <w:vAlign w:val="center"/>
          </w:tcPr>
          <w:p w14:paraId="3D8C85DC">
            <w:pPr>
              <w:rPr>
                <w:rFonts w:ascii="仿宋" w:hAnsi="仿宋" w:eastAsia="仿宋" w:cs="仿宋"/>
                <w:color w:val="auto"/>
                <w:szCs w:val="21"/>
                <w:highlight w:val="none"/>
              </w:rPr>
            </w:pPr>
            <w:r>
              <w:rPr>
                <w:rFonts w:hint="eastAsia" w:ascii="仿宋" w:hAnsi="仿宋" w:eastAsia="仿宋" w:cs="仿宋"/>
                <w:color w:val="auto"/>
                <w:szCs w:val="21"/>
                <w:highlight w:val="none"/>
              </w:rPr>
              <w:t>突发事件应急措施及处理方案：根据方案的全面性、科学性、可行性以及对本项目的针对性进行评审。</w:t>
            </w:r>
            <w:r>
              <w:rPr>
                <w:rFonts w:hint="eastAsia" w:ascii="仿宋" w:hAnsi="仿宋" w:eastAsia="仿宋" w:cs="仿宋"/>
                <w:color w:val="auto"/>
                <w:highlight w:val="none"/>
              </w:rPr>
              <w:t>（评审分值为3分或2分或1分或0分）</w:t>
            </w:r>
          </w:p>
        </w:tc>
        <w:tc>
          <w:tcPr>
            <w:tcW w:w="683" w:type="dxa"/>
            <w:tcBorders>
              <w:tl2br w:val="nil"/>
              <w:tr2bl w:val="nil"/>
            </w:tcBorders>
            <w:vAlign w:val="center"/>
          </w:tcPr>
          <w:p w14:paraId="2797B2C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r w14:paraId="2FF44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4A9042FB">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16</w:t>
            </w:r>
          </w:p>
        </w:tc>
        <w:tc>
          <w:tcPr>
            <w:tcW w:w="1098" w:type="dxa"/>
            <w:vMerge w:val="restart"/>
            <w:tcBorders>
              <w:tl2br w:val="nil"/>
              <w:tr2bl w:val="nil"/>
            </w:tcBorders>
            <w:noWrap/>
            <w:vAlign w:val="center"/>
          </w:tcPr>
          <w:p w14:paraId="398E9AB3">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保障措施</w:t>
            </w:r>
          </w:p>
        </w:tc>
        <w:tc>
          <w:tcPr>
            <w:tcW w:w="6817" w:type="dxa"/>
            <w:tcBorders>
              <w:tl2br w:val="nil"/>
              <w:tr2bl w:val="nil"/>
            </w:tcBorders>
            <w:noWrap/>
            <w:vAlign w:val="center"/>
          </w:tcPr>
          <w:p w14:paraId="301526E3">
            <w:pPr>
              <w:rPr>
                <w:rFonts w:ascii="仿宋" w:hAnsi="仿宋" w:eastAsia="仿宋" w:cs="仿宋"/>
                <w:color w:val="auto"/>
                <w:szCs w:val="21"/>
                <w:highlight w:val="none"/>
              </w:rPr>
            </w:pPr>
            <w:r>
              <w:rPr>
                <w:rFonts w:hint="eastAsia" w:ascii="仿宋" w:hAnsi="仿宋" w:eastAsia="仿宋" w:cs="仿宋"/>
                <w:color w:val="auto"/>
                <w:szCs w:val="21"/>
                <w:highlight w:val="none"/>
              </w:rPr>
              <w:t>施工各阶段进度及质量保证措施：根据方案的全面性、科学性、合理性及</w:t>
            </w:r>
            <w:r>
              <w:rPr>
                <w:rFonts w:hint="eastAsia" w:ascii="仿宋" w:hAnsi="仿宋" w:eastAsia="仿宋" w:cs="仿宋"/>
                <w:color w:val="auto"/>
                <w:highlight w:val="none"/>
              </w:rPr>
              <w:t>针对性、可操作性进行评审。（评审分值为4分或3分或2分或1分或0分）</w:t>
            </w:r>
          </w:p>
        </w:tc>
        <w:tc>
          <w:tcPr>
            <w:tcW w:w="683" w:type="dxa"/>
            <w:tcBorders>
              <w:tl2br w:val="nil"/>
              <w:tr2bl w:val="nil"/>
            </w:tcBorders>
            <w:vAlign w:val="center"/>
          </w:tcPr>
          <w:p w14:paraId="3089950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r>
      <w:tr w14:paraId="34B02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79EA18AA">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17</w:t>
            </w:r>
          </w:p>
        </w:tc>
        <w:tc>
          <w:tcPr>
            <w:tcW w:w="1098" w:type="dxa"/>
            <w:vMerge w:val="continue"/>
            <w:tcBorders>
              <w:tl2br w:val="nil"/>
              <w:tr2bl w:val="nil"/>
            </w:tcBorders>
            <w:noWrap/>
            <w:vAlign w:val="center"/>
          </w:tcPr>
          <w:p w14:paraId="5C98DC3E">
            <w:pPr>
              <w:snapToGrid w:val="0"/>
              <w:jc w:val="center"/>
              <w:rPr>
                <w:rFonts w:ascii="仿宋" w:hAnsi="仿宋" w:eastAsia="仿宋" w:cs="Arial"/>
                <w:color w:val="auto"/>
                <w:szCs w:val="21"/>
                <w:highlight w:val="none"/>
              </w:rPr>
            </w:pPr>
          </w:p>
        </w:tc>
        <w:tc>
          <w:tcPr>
            <w:tcW w:w="6817" w:type="dxa"/>
            <w:tcBorders>
              <w:tl2br w:val="nil"/>
              <w:tr2bl w:val="nil"/>
            </w:tcBorders>
            <w:noWrap/>
            <w:vAlign w:val="center"/>
          </w:tcPr>
          <w:p w14:paraId="519284D9">
            <w:pPr>
              <w:rPr>
                <w:rFonts w:ascii="仿宋" w:hAnsi="仿宋" w:eastAsia="仿宋" w:cs="仿宋"/>
                <w:color w:val="auto"/>
                <w:szCs w:val="21"/>
                <w:highlight w:val="none"/>
              </w:rPr>
            </w:pPr>
            <w:r>
              <w:rPr>
                <w:rFonts w:hint="eastAsia" w:ascii="仿宋" w:hAnsi="仿宋" w:eastAsia="仿宋" w:cs="仿宋"/>
                <w:color w:val="auto"/>
                <w:szCs w:val="21"/>
                <w:highlight w:val="none"/>
              </w:rPr>
              <w:t>施工用材料、半成品、外购件等质量保证措施：根据措施的全面性、科学性、合理性及</w:t>
            </w:r>
            <w:r>
              <w:rPr>
                <w:rFonts w:hint="eastAsia" w:ascii="仿宋" w:hAnsi="仿宋" w:eastAsia="仿宋" w:cs="仿宋"/>
                <w:color w:val="auto"/>
                <w:highlight w:val="none"/>
              </w:rPr>
              <w:t>针对性、可操作性进行评审。（评审分值为3分或2分或1分或0分）</w:t>
            </w:r>
          </w:p>
        </w:tc>
        <w:tc>
          <w:tcPr>
            <w:tcW w:w="683" w:type="dxa"/>
            <w:tcBorders>
              <w:tl2br w:val="nil"/>
              <w:tr2bl w:val="nil"/>
            </w:tcBorders>
            <w:vAlign w:val="center"/>
          </w:tcPr>
          <w:p w14:paraId="25C0A64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r w14:paraId="449F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3ACDB2B2">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18</w:t>
            </w:r>
          </w:p>
        </w:tc>
        <w:tc>
          <w:tcPr>
            <w:tcW w:w="1098" w:type="dxa"/>
            <w:vMerge w:val="continue"/>
            <w:tcBorders>
              <w:tl2br w:val="nil"/>
              <w:tr2bl w:val="nil"/>
            </w:tcBorders>
            <w:noWrap/>
            <w:vAlign w:val="center"/>
          </w:tcPr>
          <w:p w14:paraId="6B118F0B">
            <w:pPr>
              <w:snapToGrid w:val="0"/>
              <w:jc w:val="center"/>
              <w:rPr>
                <w:rFonts w:ascii="仿宋" w:hAnsi="仿宋" w:eastAsia="仿宋" w:cs="Arial"/>
                <w:color w:val="auto"/>
                <w:szCs w:val="21"/>
                <w:highlight w:val="none"/>
              </w:rPr>
            </w:pPr>
          </w:p>
        </w:tc>
        <w:tc>
          <w:tcPr>
            <w:tcW w:w="6817" w:type="dxa"/>
            <w:tcBorders>
              <w:tl2br w:val="nil"/>
              <w:tr2bl w:val="nil"/>
            </w:tcBorders>
            <w:noWrap/>
            <w:vAlign w:val="center"/>
          </w:tcPr>
          <w:p w14:paraId="175A2DF0">
            <w:pPr>
              <w:rPr>
                <w:rFonts w:ascii="仿宋" w:hAnsi="仿宋" w:eastAsia="仿宋" w:cs="仿宋"/>
                <w:color w:val="auto"/>
                <w:szCs w:val="21"/>
                <w:highlight w:val="none"/>
              </w:rPr>
            </w:pPr>
            <w:r>
              <w:rPr>
                <w:rFonts w:hint="eastAsia" w:ascii="仿宋" w:hAnsi="仿宋" w:eastAsia="仿宋" w:cs="仿宋"/>
                <w:color w:val="auto"/>
                <w:szCs w:val="21"/>
                <w:highlight w:val="none"/>
              </w:rPr>
              <w:t>安全文明施工及市政、市容、环保、消防等措施：根据措施的全面性、科学性、合理性及</w:t>
            </w:r>
            <w:r>
              <w:rPr>
                <w:rFonts w:hint="eastAsia" w:ascii="仿宋" w:hAnsi="仿宋" w:eastAsia="仿宋" w:cs="仿宋"/>
                <w:color w:val="auto"/>
                <w:highlight w:val="none"/>
              </w:rPr>
              <w:t>针对性、可操作性进行评审。（评审分值为3分或2分或1分或0分）</w:t>
            </w:r>
          </w:p>
        </w:tc>
        <w:tc>
          <w:tcPr>
            <w:tcW w:w="683" w:type="dxa"/>
            <w:tcBorders>
              <w:tl2br w:val="nil"/>
              <w:tr2bl w:val="nil"/>
            </w:tcBorders>
            <w:vAlign w:val="center"/>
          </w:tcPr>
          <w:p w14:paraId="7FBF0C3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r w14:paraId="78CC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26D01768">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19</w:t>
            </w:r>
          </w:p>
        </w:tc>
        <w:tc>
          <w:tcPr>
            <w:tcW w:w="1098" w:type="dxa"/>
            <w:vMerge w:val="continue"/>
            <w:tcBorders>
              <w:tl2br w:val="nil"/>
              <w:tr2bl w:val="nil"/>
            </w:tcBorders>
            <w:noWrap/>
            <w:vAlign w:val="center"/>
          </w:tcPr>
          <w:p w14:paraId="7246823A">
            <w:pPr>
              <w:snapToGrid w:val="0"/>
              <w:jc w:val="center"/>
              <w:rPr>
                <w:rFonts w:ascii="仿宋" w:hAnsi="仿宋" w:eastAsia="仿宋" w:cs="Arial"/>
                <w:color w:val="auto"/>
                <w:szCs w:val="21"/>
                <w:highlight w:val="none"/>
              </w:rPr>
            </w:pPr>
          </w:p>
        </w:tc>
        <w:tc>
          <w:tcPr>
            <w:tcW w:w="6817" w:type="dxa"/>
            <w:tcBorders>
              <w:tl2br w:val="nil"/>
              <w:tr2bl w:val="nil"/>
            </w:tcBorders>
            <w:noWrap/>
            <w:vAlign w:val="center"/>
          </w:tcPr>
          <w:p w14:paraId="5F70EF51">
            <w:pPr>
              <w:rPr>
                <w:rFonts w:ascii="仿宋" w:hAnsi="仿宋" w:eastAsia="仿宋" w:cs="仿宋"/>
                <w:color w:val="auto"/>
                <w:szCs w:val="21"/>
                <w:highlight w:val="none"/>
              </w:rPr>
            </w:pPr>
            <w:r>
              <w:rPr>
                <w:rFonts w:hint="eastAsia" w:ascii="仿宋" w:hAnsi="仿宋" w:eastAsia="仿宋" w:cs="仿宋"/>
                <w:color w:val="auto"/>
                <w:szCs w:val="21"/>
                <w:highlight w:val="none"/>
              </w:rPr>
              <w:t>实施过程中保障学校正常教学生活秩序措施：根据措施的全面性、科学性、合理性及</w:t>
            </w:r>
            <w:r>
              <w:rPr>
                <w:rFonts w:hint="eastAsia" w:ascii="仿宋" w:hAnsi="仿宋" w:eastAsia="仿宋" w:cs="仿宋"/>
                <w:color w:val="auto"/>
                <w:highlight w:val="none"/>
              </w:rPr>
              <w:t>针对性、可操作性进行评审。（评审分值为</w:t>
            </w:r>
            <w:r>
              <w:rPr>
                <w:rFonts w:hint="eastAsia" w:ascii="仿宋" w:hAnsi="仿宋" w:eastAsia="仿宋" w:cs="仿宋"/>
                <w:color w:val="auto"/>
                <w:highlight w:val="none"/>
                <w:lang w:val="en-US" w:eastAsia="zh-CN"/>
              </w:rPr>
              <w:t>4分或</w:t>
            </w:r>
            <w:r>
              <w:rPr>
                <w:rFonts w:hint="eastAsia" w:ascii="仿宋" w:hAnsi="仿宋" w:eastAsia="仿宋" w:cs="仿宋"/>
                <w:color w:val="auto"/>
                <w:highlight w:val="none"/>
              </w:rPr>
              <w:t>3分或2分或1分或0分）</w:t>
            </w:r>
          </w:p>
        </w:tc>
        <w:tc>
          <w:tcPr>
            <w:tcW w:w="683" w:type="dxa"/>
            <w:tcBorders>
              <w:tl2br w:val="nil"/>
              <w:tr2bl w:val="nil"/>
            </w:tcBorders>
            <w:vAlign w:val="center"/>
          </w:tcPr>
          <w:p w14:paraId="1E0BC66B">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p>
        </w:tc>
      </w:tr>
      <w:tr w14:paraId="4EF2A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12EE0E9E">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20</w:t>
            </w:r>
          </w:p>
        </w:tc>
        <w:tc>
          <w:tcPr>
            <w:tcW w:w="1098" w:type="dxa"/>
            <w:vMerge w:val="continue"/>
            <w:tcBorders>
              <w:tl2br w:val="nil"/>
              <w:tr2bl w:val="nil"/>
            </w:tcBorders>
            <w:noWrap/>
            <w:vAlign w:val="center"/>
          </w:tcPr>
          <w:p w14:paraId="35CC0A0D">
            <w:pPr>
              <w:snapToGrid w:val="0"/>
              <w:jc w:val="center"/>
              <w:rPr>
                <w:rFonts w:ascii="仿宋" w:hAnsi="仿宋" w:eastAsia="仿宋" w:cs="Arial"/>
                <w:color w:val="auto"/>
                <w:szCs w:val="21"/>
                <w:highlight w:val="none"/>
              </w:rPr>
            </w:pPr>
          </w:p>
        </w:tc>
        <w:tc>
          <w:tcPr>
            <w:tcW w:w="6817" w:type="dxa"/>
            <w:tcBorders>
              <w:tl2br w:val="nil"/>
              <w:tr2bl w:val="nil"/>
            </w:tcBorders>
            <w:noWrap/>
            <w:vAlign w:val="center"/>
          </w:tcPr>
          <w:p w14:paraId="3F85C791">
            <w:pPr>
              <w:rPr>
                <w:rFonts w:ascii="仿宋" w:hAnsi="仿宋" w:eastAsia="仿宋" w:cs="仿宋"/>
                <w:color w:val="auto"/>
                <w:szCs w:val="21"/>
                <w:highlight w:val="none"/>
              </w:rPr>
            </w:pPr>
            <w:r>
              <w:rPr>
                <w:rFonts w:hint="eastAsia" w:ascii="仿宋" w:hAnsi="仿宋" w:eastAsia="仿宋" w:cs="仿宋"/>
                <w:color w:val="auto"/>
                <w:szCs w:val="21"/>
                <w:highlight w:val="none"/>
              </w:rPr>
              <w:t>服从采购人协调和统一管理及配合措施</w:t>
            </w:r>
            <w:r>
              <w:rPr>
                <w:rFonts w:hint="eastAsia" w:ascii="仿宋" w:hAnsi="仿宋" w:eastAsia="仿宋" w:cs="仿宋"/>
                <w:color w:val="auto"/>
                <w:szCs w:val="21"/>
                <w:highlight w:val="none"/>
                <w:lang w:eastAsia="zh-CN"/>
              </w:rPr>
              <w:t>、特殊服务承诺</w:t>
            </w:r>
            <w:r>
              <w:rPr>
                <w:rFonts w:hint="eastAsia" w:ascii="仿宋" w:hAnsi="仿宋" w:eastAsia="仿宋" w:cs="仿宋"/>
                <w:color w:val="auto"/>
                <w:szCs w:val="21"/>
                <w:highlight w:val="none"/>
                <w:lang w:val="en-US" w:eastAsia="zh-CN"/>
              </w:rPr>
              <w:t>情况</w:t>
            </w:r>
            <w:r>
              <w:rPr>
                <w:rFonts w:hint="eastAsia" w:ascii="仿宋" w:hAnsi="仿宋" w:eastAsia="仿宋" w:cs="仿宋"/>
                <w:color w:val="auto"/>
                <w:szCs w:val="21"/>
                <w:highlight w:val="none"/>
              </w:rPr>
              <w:t>：根据措施的全面性、科学性、合理性及</w:t>
            </w:r>
            <w:r>
              <w:rPr>
                <w:rFonts w:hint="eastAsia" w:ascii="仿宋" w:hAnsi="仿宋" w:eastAsia="仿宋" w:cs="仿宋"/>
                <w:color w:val="auto"/>
                <w:highlight w:val="none"/>
              </w:rPr>
              <w:t>针对性、可操作性</w:t>
            </w:r>
            <w:r>
              <w:rPr>
                <w:rFonts w:hint="eastAsia" w:ascii="仿宋" w:hAnsi="仿宋" w:eastAsia="仿宋" w:cs="仿宋"/>
                <w:color w:val="auto"/>
                <w:highlight w:val="none"/>
                <w:lang w:val="en-US" w:eastAsia="zh-CN"/>
              </w:rPr>
              <w:t>以及服务承诺对采购项目的有利程度</w:t>
            </w:r>
            <w:r>
              <w:rPr>
                <w:rFonts w:hint="eastAsia" w:ascii="仿宋" w:hAnsi="仿宋" w:eastAsia="仿宋" w:cs="仿宋"/>
                <w:color w:val="auto"/>
                <w:highlight w:val="none"/>
              </w:rPr>
              <w:t>进行评审。（评审分值为3分或2分或1分或0分）</w:t>
            </w:r>
          </w:p>
        </w:tc>
        <w:tc>
          <w:tcPr>
            <w:tcW w:w="683" w:type="dxa"/>
            <w:tcBorders>
              <w:tl2br w:val="nil"/>
              <w:tr2bl w:val="nil"/>
            </w:tcBorders>
            <w:vAlign w:val="center"/>
          </w:tcPr>
          <w:p w14:paraId="1871B42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r w14:paraId="1CC07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blHeader/>
          <w:jc w:val="center"/>
        </w:trPr>
        <w:tc>
          <w:tcPr>
            <w:tcW w:w="539" w:type="dxa"/>
            <w:tcBorders>
              <w:tl2br w:val="nil"/>
              <w:tr2bl w:val="nil"/>
            </w:tcBorders>
            <w:noWrap/>
            <w:vAlign w:val="center"/>
          </w:tcPr>
          <w:p w14:paraId="7DBEB295">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21</w:t>
            </w:r>
          </w:p>
        </w:tc>
        <w:tc>
          <w:tcPr>
            <w:tcW w:w="1098" w:type="dxa"/>
            <w:vMerge w:val="continue"/>
            <w:tcBorders>
              <w:tl2br w:val="nil"/>
              <w:tr2bl w:val="nil"/>
            </w:tcBorders>
            <w:noWrap/>
            <w:vAlign w:val="center"/>
          </w:tcPr>
          <w:p w14:paraId="4F7BC3E6">
            <w:pPr>
              <w:snapToGrid w:val="0"/>
              <w:jc w:val="center"/>
              <w:rPr>
                <w:rFonts w:ascii="仿宋" w:hAnsi="仿宋" w:eastAsia="仿宋" w:cs="Arial"/>
                <w:color w:val="auto"/>
                <w:szCs w:val="21"/>
                <w:highlight w:val="none"/>
              </w:rPr>
            </w:pPr>
          </w:p>
        </w:tc>
        <w:tc>
          <w:tcPr>
            <w:tcW w:w="6817" w:type="dxa"/>
            <w:tcBorders>
              <w:tl2br w:val="nil"/>
              <w:tr2bl w:val="nil"/>
            </w:tcBorders>
            <w:noWrap/>
            <w:vAlign w:val="center"/>
          </w:tcPr>
          <w:p w14:paraId="3C0E500D">
            <w:pPr>
              <w:rPr>
                <w:rFonts w:ascii="仿宋" w:hAnsi="仿宋" w:eastAsia="仿宋" w:cs="仿宋"/>
                <w:color w:val="auto"/>
                <w:szCs w:val="21"/>
                <w:highlight w:val="none"/>
              </w:rPr>
            </w:pPr>
            <w:r>
              <w:rPr>
                <w:rFonts w:hint="eastAsia" w:ascii="仿宋" w:hAnsi="仿宋" w:eastAsia="仿宋" w:cs="仿宋"/>
                <w:color w:val="auto"/>
                <w:szCs w:val="21"/>
                <w:highlight w:val="none"/>
              </w:rPr>
              <w:t>对成品保护、</w:t>
            </w:r>
            <w:r>
              <w:rPr>
                <w:rFonts w:hint="eastAsia" w:ascii="仿宋" w:hAnsi="仿宋" w:eastAsia="仿宋" w:cs="仿宋"/>
                <w:color w:val="auto"/>
                <w:szCs w:val="21"/>
                <w:highlight w:val="none"/>
                <w:lang w:val="en-US" w:eastAsia="zh-CN"/>
              </w:rPr>
              <w:t>工程移交</w:t>
            </w:r>
            <w:r>
              <w:rPr>
                <w:rFonts w:hint="eastAsia" w:ascii="仿宋" w:hAnsi="仿宋" w:eastAsia="仿宋" w:cs="仿宋"/>
                <w:color w:val="auto"/>
                <w:szCs w:val="21"/>
                <w:highlight w:val="none"/>
              </w:rPr>
              <w:t>方案及保证措施：根据措施的全面性、科学性、合理性及</w:t>
            </w:r>
            <w:r>
              <w:rPr>
                <w:rFonts w:hint="eastAsia" w:ascii="仿宋" w:hAnsi="仿宋" w:eastAsia="仿宋" w:cs="仿宋"/>
                <w:color w:val="auto"/>
                <w:highlight w:val="none"/>
              </w:rPr>
              <w:t>针对性、可操作性进行评审。（评审分值为3分或2分或1分或0分）</w:t>
            </w:r>
          </w:p>
        </w:tc>
        <w:tc>
          <w:tcPr>
            <w:tcW w:w="683" w:type="dxa"/>
            <w:tcBorders>
              <w:tl2br w:val="nil"/>
              <w:tr2bl w:val="nil"/>
            </w:tcBorders>
            <w:vAlign w:val="center"/>
          </w:tcPr>
          <w:p w14:paraId="6A1516A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r w14:paraId="162F4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blHeader/>
          <w:jc w:val="center"/>
        </w:trPr>
        <w:tc>
          <w:tcPr>
            <w:tcW w:w="539" w:type="dxa"/>
            <w:tcBorders>
              <w:tl2br w:val="nil"/>
              <w:tr2bl w:val="nil"/>
            </w:tcBorders>
            <w:noWrap/>
            <w:vAlign w:val="center"/>
          </w:tcPr>
          <w:p w14:paraId="373A0858">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22</w:t>
            </w:r>
          </w:p>
        </w:tc>
        <w:tc>
          <w:tcPr>
            <w:tcW w:w="1098" w:type="dxa"/>
            <w:vMerge w:val="restart"/>
            <w:tcBorders>
              <w:tl2br w:val="nil"/>
              <w:tr2bl w:val="nil"/>
            </w:tcBorders>
            <w:noWrap/>
            <w:vAlign w:val="center"/>
          </w:tcPr>
          <w:p w14:paraId="2516614B">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项目班组</w:t>
            </w:r>
          </w:p>
        </w:tc>
        <w:tc>
          <w:tcPr>
            <w:tcW w:w="6817" w:type="dxa"/>
            <w:tcBorders>
              <w:tl2br w:val="nil"/>
              <w:tr2bl w:val="nil"/>
            </w:tcBorders>
            <w:noWrap/>
            <w:vAlign w:val="center"/>
          </w:tcPr>
          <w:p w14:paraId="2C5BFADB">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项目经理职称。项目经理具有工程师职称的得1分，具有高级工程师及以上职称的得2分（提供职称证书复印件）；需提供职称证书复印件及在本单位缴纳社保的证明材料（开标前三月任意一月社保缴纳证明），不提供不得分。</w:t>
            </w:r>
          </w:p>
        </w:tc>
        <w:tc>
          <w:tcPr>
            <w:tcW w:w="683" w:type="dxa"/>
            <w:tcBorders>
              <w:tl2br w:val="nil"/>
              <w:tr2bl w:val="nil"/>
            </w:tcBorders>
            <w:vAlign w:val="center"/>
          </w:tcPr>
          <w:p w14:paraId="56121B7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r>
      <w:tr w14:paraId="7CFFA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1851A32C">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23</w:t>
            </w:r>
          </w:p>
        </w:tc>
        <w:tc>
          <w:tcPr>
            <w:tcW w:w="1098" w:type="dxa"/>
            <w:vMerge w:val="continue"/>
            <w:tcBorders>
              <w:tl2br w:val="nil"/>
              <w:tr2bl w:val="nil"/>
            </w:tcBorders>
            <w:noWrap/>
            <w:vAlign w:val="center"/>
          </w:tcPr>
          <w:p w14:paraId="42FBECAF">
            <w:pPr>
              <w:snapToGrid w:val="0"/>
              <w:jc w:val="center"/>
              <w:rPr>
                <w:rFonts w:ascii="仿宋" w:hAnsi="仿宋" w:eastAsia="仿宋" w:cs="Arial"/>
                <w:color w:val="auto"/>
                <w:szCs w:val="21"/>
                <w:highlight w:val="none"/>
              </w:rPr>
            </w:pPr>
          </w:p>
        </w:tc>
        <w:tc>
          <w:tcPr>
            <w:tcW w:w="6817" w:type="dxa"/>
            <w:tcBorders>
              <w:tl2br w:val="nil"/>
              <w:tr2bl w:val="nil"/>
            </w:tcBorders>
            <w:noWrap/>
            <w:vAlign w:val="center"/>
          </w:tcPr>
          <w:p w14:paraId="70FBD1C0">
            <w:pPr>
              <w:rPr>
                <w:rFonts w:ascii="仿宋" w:hAnsi="仿宋" w:eastAsia="仿宋" w:cs="仿宋"/>
                <w:color w:val="auto"/>
                <w:szCs w:val="21"/>
                <w:highlight w:val="none"/>
              </w:rPr>
            </w:pPr>
            <w:r>
              <w:rPr>
                <w:rFonts w:hint="eastAsia" w:ascii="仿宋" w:hAnsi="仿宋" w:eastAsia="仿宋" w:cs="仿宋"/>
                <w:color w:val="auto"/>
                <w:szCs w:val="21"/>
                <w:highlight w:val="none"/>
              </w:rPr>
              <w:t>项目经理承诺到位率。承诺到位率达到85%的</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得1分；达到90%的，得2分；达到95%及以上的，得3分。</w:t>
            </w:r>
          </w:p>
        </w:tc>
        <w:tc>
          <w:tcPr>
            <w:tcW w:w="683" w:type="dxa"/>
            <w:tcBorders>
              <w:tl2br w:val="nil"/>
              <w:tr2bl w:val="nil"/>
            </w:tcBorders>
            <w:vAlign w:val="center"/>
          </w:tcPr>
          <w:p w14:paraId="48CC91E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r w14:paraId="164C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blHeader/>
          <w:jc w:val="center"/>
        </w:trPr>
        <w:tc>
          <w:tcPr>
            <w:tcW w:w="539" w:type="dxa"/>
            <w:tcBorders>
              <w:tl2br w:val="nil"/>
              <w:tr2bl w:val="nil"/>
            </w:tcBorders>
            <w:noWrap/>
            <w:vAlign w:val="center"/>
          </w:tcPr>
          <w:p w14:paraId="4E7BEB02">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24</w:t>
            </w:r>
          </w:p>
        </w:tc>
        <w:tc>
          <w:tcPr>
            <w:tcW w:w="1098" w:type="dxa"/>
            <w:vMerge w:val="continue"/>
            <w:tcBorders>
              <w:tl2br w:val="nil"/>
              <w:tr2bl w:val="nil"/>
            </w:tcBorders>
            <w:noWrap/>
            <w:vAlign w:val="center"/>
          </w:tcPr>
          <w:p w14:paraId="2AD8C470">
            <w:pPr>
              <w:snapToGrid w:val="0"/>
              <w:jc w:val="center"/>
              <w:rPr>
                <w:rFonts w:ascii="仿宋" w:hAnsi="仿宋" w:eastAsia="仿宋" w:cs="Arial"/>
                <w:color w:val="auto"/>
                <w:szCs w:val="21"/>
                <w:highlight w:val="none"/>
              </w:rPr>
            </w:pPr>
          </w:p>
        </w:tc>
        <w:tc>
          <w:tcPr>
            <w:tcW w:w="6817" w:type="dxa"/>
            <w:tcBorders>
              <w:tl2br w:val="nil"/>
              <w:tr2bl w:val="nil"/>
            </w:tcBorders>
            <w:noWrap/>
            <w:vAlign w:val="center"/>
          </w:tcPr>
          <w:p w14:paraId="4A20BC66">
            <w:pPr>
              <w:rPr>
                <w:rFonts w:ascii="仿宋" w:hAnsi="仿宋" w:eastAsia="仿宋" w:cs="仿宋"/>
                <w:color w:val="auto"/>
                <w:szCs w:val="21"/>
                <w:highlight w:val="none"/>
              </w:rPr>
            </w:pPr>
            <w:r>
              <w:rPr>
                <w:rFonts w:hint="eastAsia" w:ascii="仿宋" w:hAnsi="仿宋" w:eastAsia="仿宋" w:cs="仿宋"/>
                <w:color w:val="auto"/>
                <w:szCs w:val="21"/>
                <w:highlight w:val="none"/>
              </w:rPr>
              <w:t>项目管理班子其他人员配置：技术负责人、安全员、施工员、质量员、材料员、资料员，配置齐全的，得3分，每缺一项扣1分，本项分值扣完为止。需提供上述人员相应证书</w:t>
            </w:r>
            <w:r>
              <w:rPr>
                <w:rFonts w:hint="eastAsia" w:ascii="仿宋" w:hAnsi="仿宋" w:eastAsia="仿宋" w:cs="仿宋"/>
                <w:color w:val="auto"/>
                <w:szCs w:val="21"/>
                <w:highlight w:val="none"/>
                <w:lang w:val="en-US" w:eastAsia="zh-CN"/>
              </w:rPr>
              <w:t>及</w:t>
            </w:r>
            <w:r>
              <w:rPr>
                <w:rFonts w:hint="eastAsia" w:ascii="仿宋" w:hAnsi="仿宋" w:eastAsia="仿宋" w:cs="仿宋"/>
                <w:color w:val="auto"/>
                <w:szCs w:val="21"/>
                <w:highlight w:val="none"/>
              </w:rPr>
              <w:t>在本单位缴纳社保的证明材料（开标前三月任意一月社保缴纳证明）</w:t>
            </w:r>
          </w:p>
        </w:tc>
        <w:tc>
          <w:tcPr>
            <w:tcW w:w="683" w:type="dxa"/>
            <w:tcBorders>
              <w:tl2br w:val="nil"/>
              <w:tr2bl w:val="nil"/>
            </w:tcBorders>
            <w:vAlign w:val="center"/>
          </w:tcPr>
          <w:p w14:paraId="3479972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r w14:paraId="36E3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blHeader/>
          <w:jc w:val="center"/>
        </w:trPr>
        <w:tc>
          <w:tcPr>
            <w:tcW w:w="539" w:type="dxa"/>
            <w:tcBorders>
              <w:tl2br w:val="nil"/>
              <w:tr2bl w:val="nil"/>
            </w:tcBorders>
            <w:noWrap/>
            <w:vAlign w:val="center"/>
          </w:tcPr>
          <w:p w14:paraId="64E17B04">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25</w:t>
            </w:r>
          </w:p>
        </w:tc>
        <w:tc>
          <w:tcPr>
            <w:tcW w:w="1098" w:type="dxa"/>
            <w:vMerge w:val="restart"/>
            <w:tcBorders>
              <w:tl2br w:val="nil"/>
              <w:tr2bl w:val="nil"/>
            </w:tcBorders>
            <w:noWrap/>
            <w:vAlign w:val="center"/>
          </w:tcPr>
          <w:p w14:paraId="075EF6A0">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售后服务</w:t>
            </w:r>
          </w:p>
        </w:tc>
        <w:tc>
          <w:tcPr>
            <w:tcW w:w="6817" w:type="dxa"/>
            <w:tcBorders>
              <w:tl2br w:val="nil"/>
              <w:tr2bl w:val="nil"/>
            </w:tcBorders>
            <w:noWrap/>
            <w:vAlign w:val="center"/>
          </w:tcPr>
          <w:p w14:paraId="7A86F404">
            <w:pPr>
              <w:rPr>
                <w:rFonts w:ascii="仿宋" w:hAnsi="仿宋" w:eastAsia="仿宋" w:cs="仿宋"/>
                <w:color w:val="auto"/>
                <w:szCs w:val="21"/>
                <w:highlight w:val="none"/>
              </w:rPr>
            </w:pPr>
            <w:r>
              <w:rPr>
                <w:rFonts w:hint="eastAsia" w:ascii="仿宋" w:hAnsi="仿宋" w:eastAsia="仿宋" w:cs="仿宋"/>
                <w:color w:val="auto"/>
                <w:szCs w:val="21"/>
                <w:highlight w:val="none"/>
              </w:rPr>
              <w:t>工程保修期、维护响应时间：根据工程保修期承诺情况以及保修期内维护响应时间的及时性、合理性进行评审。（评审分值为</w:t>
            </w:r>
            <w:r>
              <w:rPr>
                <w:rFonts w:hint="eastAsia" w:ascii="仿宋" w:hAnsi="仿宋" w:eastAsia="仿宋" w:cs="仿宋"/>
                <w:color w:val="auto"/>
                <w:szCs w:val="21"/>
                <w:highlight w:val="none"/>
                <w:lang w:val="en-US" w:eastAsia="zh-CN"/>
              </w:rPr>
              <w:t>3分或2分或1分或0分</w:t>
            </w:r>
            <w:r>
              <w:rPr>
                <w:rFonts w:hint="eastAsia" w:ascii="仿宋" w:hAnsi="仿宋" w:eastAsia="仿宋" w:cs="仿宋"/>
                <w:color w:val="auto"/>
                <w:szCs w:val="21"/>
                <w:highlight w:val="none"/>
              </w:rPr>
              <w:t>）</w:t>
            </w:r>
          </w:p>
        </w:tc>
        <w:tc>
          <w:tcPr>
            <w:tcW w:w="683" w:type="dxa"/>
            <w:tcBorders>
              <w:tl2br w:val="nil"/>
              <w:tr2bl w:val="nil"/>
            </w:tcBorders>
            <w:vAlign w:val="center"/>
          </w:tcPr>
          <w:p w14:paraId="2FEA9B67">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r>
      <w:tr w14:paraId="5BBDA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0E5A93EC">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26</w:t>
            </w:r>
          </w:p>
        </w:tc>
        <w:tc>
          <w:tcPr>
            <w:tcW w:w="1098" w:type="dxa"/>
            <w:vMerge w:val="continue"/>
            <w:tcBorders>
              <w:tl2br w:val="nil"/>
              <w:tr2bl w:val="nil"/>
            </w:tcBorders>
            <w:noWrap/>
            <w:vAlign w:val="center"/>
          </w:tcPr>
          <w:p w14:paraId="0AACBC57">
            <w:pPr>
              <w:snapToGrid w:val="0"/>
              <w:jc w:val="center"/>
              <w:rPr>
                <w:rFonts w:ascii="仿宋" w:hAnsi="仿宋" w:eastAsia="仿宋" w:cs="Arial"/>
                <w:color w:val="auto"/>
                <w:szCs w:val="21"/>
                <w:highlight w:val="none"/>
              </w:rPr>
            </w:pPr>
          </w:p>
        </w:tc>
        <w:tc>
          <w:tcPr>
            <w:tcW w:w="6817" w:type="dxa"/>
            <w:tcBorders>
              <w:tl2br w:val="nil"/>
              <w:tr2bl w:val="nil"/>
            </w:tcBorders>
            <w:noWrap/>
            <w:vAlign w:val="center"/>
          </w:tcPr>
          <w:p w14:paraId="5C7AA111">
            <w:pPr>
              <w:rPr>
                <w:rFonts w:ascii="仿宋" w:hAnsi="仿宋" w:eastAsia="仿宋" w:cs="仿宋"/>
                <w:color w:val="auto"/>
                <w:szCs w:val="21"/>
                <w:highlight w:val="none"/>
              </w:rPr>
            </w:pPr>
            <w:r>
              <w:rPr>
                <w:rFonts w:hint="eastAsia" w:ascii="仿宋" w:hAnsi="仿宋" w:eastAsia="仿宋" w:cs="仿宋"/>
                <w:color w:val="auto"/>
                <w:szCs w:val="21"/>
                <w:highlight w:val="none"/>
              </w:rPr>
              <w:t>服务方式、特别承诺：根据供应商对本项目提出的售后服务相关承诺对项目实施的有利程度、可行度进行评审。（评审分值为</w:t>
            </w:r>
            <w:r>
              <w:rPr>
                <w:rFonts w:hint="eastAsia" w:ascii="仿宋" w:hAnsi="仿宋" w:eastAsia="仿宋" w:cs="仿宋"/>
                <w:color w:val="auto"/>
                <w:szCs w:val="21"/>
                <w:highlight w:val="none"/>
                <w:lang w:val="en-US" w:eastAsia="zh-CN"/>
              </w:rPr>
              <w:t>3分或2分或1分或0分</w:t>
            </w:r>
            <w:r>
              <w:rPr>
                <w:rFonts w:hint="eastAsia" w:ascii="仿宋" w:hAnsi="仿宋" w:eastAsia="仿宋" w:cs="仿宋"/>
                <w:color w:val="auto"/>
                <w:szCs w:val="21"/>
                <w:highlight w:val="none"/>
              </w:rPr>
              <w:t>）</w:t>
            </w:r>
          </w:p>
        </w:tc>
        <w:tc>
          <w:tcPr>
            <w:tcW w:w="683" w:type="dxa"/>
            <w:tcBorders>
              <w:tl2br w:val="nil"/>
              <w:tr2bl w:val="nil"/>
            </w:tcBorders>
            <w:vAlign w:val="center"/>
          </w:tcPr>
          <w:p w14:paraId="49080A62">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r>
    </w:tbl>
    <w:p w14:paraId="13D0A3DA">
      <w:pPr>
        <w:autoSpaceDN w:val="0"/>
        <w:rPr>
          <w:rFonts w:ascii="Times New Roman" w:hAnsi="Times New Roman" w:eastAsia="仿宋" w:cs="Times New Roman"/>
          <w:b/>
          <w:color w:val="auto"/>
          <w:sz w:val="24"/>
          <w:szCs w:val="24"/>
          <w:highlight w:val="none"/>
        </w:rPr>
      </w:pPr>
    </w:p>
    <w:p w14:paraId="66505A7B">
      <w:pPr>
        <w:autoSpaceDN w:val="0"/>
        <w:rPr>
          <w:rFonts w:ascii="Times New Roman" w:hAnsi="Times New Roman" w:eastAsia="宋体" w:cs="Times New Roman"/>
          <w:color w:val="auto"/>
          <w:szCs w:val="24"/>
          <w:highlight w:val="none"/>
        </w:rPr>
      </w:pPr>
      <w:r>
        <w:rPr>
          <w:rFonts w:hint="eastAsia" w:ascii="Times New Roman" w:hAnsi="Times New Roman" w:eastAsia="仿宋" w:cs="Times New Roman"/>
          <w:b/>
          <w:color w:val="auto"/>
          <w:sz w:val="24"/>
          <w:szCs w:val="24"/>
          <w:highlight w:val="none"/>
        </w:rPr>
        <w:t>备注：商务技术分</w:t>
      </w:r>
      <w:r>
        <w:rPr>
          <w:rFonts w:ascii="Times New Roman" w:hAnsi="Times New Roman" w:eastAsia="仿宋" w:cs="Times New Roman"/>
          <w:b/>
          <w:color w:val="auto"/>
          <w:sz w:val="24"/>
          <w:szCs w:val="24"/>
          <w:highlight w:val="none"/>
        </w:rPr>
        <w:t>=</w:t>
      </w:r>
      <w:r>
        <w:rPr>
          <w:rFonts w:hint="eastAsia" w:ascii="Times New Roman" w:hAnsi="Times New Roman" w:eastAsia="仿宋" w:cs="Times New Roman"/>
          <w:b/>
          <w:color w:val="auto"/>
          <w:sz w:val="24"/>
          <w:szCs w:val="24"/>
          <w:highlight w:val="none"/>
        </w:rPr>
        <w:t>（磋商小组所有成员评分合计数）</w:t>
      </w:r>
      <w:r>
        <w:rPr>
          <w:rFonts w:ascii="Times New Roman" w:hAnsi="Times New Roman" w:eastAsia="仿宋" w:cs="Times New Roman"/>
          <w:b/>
          <w:color w:val="auto"/>
          <w:sz w:val="24"/>
          <w:szCs w:val="24"/>
          <w:highlight w:val="none"/>
        </w:rPr>
        <w:t>/</w:t>
      </w:r>
      <w:r>
        <w:rPr>
          <w:rFonts w:hint="eastAsia" w:ascii="Times New Roman" w:hAnsi="Times New Roman" w:eastAsia="仿宋" w:cs="Times New Roman"/>
          <w:b/>
          <w:color w:val="auto"/>
          <w:sz w:val="24"/>
          <w:szCs w:val="24"/>
          <w:highlight w:val="none"/>
        </w:rPr>
        <w:t>（磋商小组人数）</w:t>
      </w:r>
    </w:p>
    <w:p w14:paraId="7B79730B">
      <w:pPr>
        <w:keepNext/>
        <w:keepLines/>
        <w:autoSpaceDN w:val="0"/>
        <w:spacing w:before="97" w:beforeLines="30" w:after="97" w:afterLines="30" w:line="360" w:lineRule="auto"/>
        <w:outlineLvl w:val="2"/>
        <w:rPr>
          <w:rFonts w:ascii="宋体" w:hAnsi="宋体" w:eastAsia="宋体" w:cs="宋体"/>
          <w:b/>
          <w:bCs/>
          <w:color w:val="auto"/>
          <w:sz w:val="24"/>
          <w:szCs w:val="32"/>
          <w:highlight w:val="none"/>
        </w:rPr>
      </w:pPr>
      <w:r>
        <w:rPr>
          <w:rFonts w:hint="eastAsia" w:ascii="仿宋" w:hAnsi="仿宋" w:eastAsia="仿宋" w:cs="宋体"/>
          <w:b/>
          <w:bCs/>
          <w:color w:val="auto"/>
          <w:sz w:val="24"/>
          <w:szCs w:val="24"/>
          <w:highlight w:val="none"/>
        </w:rPr>
        <w:t>（二）</w:t>
      </w:r>
      <w:r>
        <w:rPr>
          <w:rFonts w:hint="eastAsia" w:ascii="宋体" w:hAnsi="宋体" w:eastAsia="宋体" w:cs="宋体"/>
          <w:b/>
          <w:bCs/>
          <w:color w:val="auto"/>
          <w:sz w:val="24"/>
          <w:szCs w:val="32"/>
          <w:highlight w:val="none"/>
        </w:rPr>
        <w:t>报价分（3</w:t>
      </w:r>
      <w:r>
        <w:rPr>
          <w:rFonts w:hint="eastAsia" w:ascii="宋体" w:hAnsi="宋体" w:eastAsia="宋体" w:cs="宋体"/>
          <w:b/>
          <w:bCs/>
          <w:color w:val="auto"/>
          <w:sz w:val="24"/>
          <w:szCs w:val="32"/>
          <w:highlight w:val="none"/>
          <w:lang w:val="en-US" w:eastAsia="zh-CN"/>
        </w:rPr>
        <w:t>0</w:t>
      </w:r>
      <w:r>
        <w:rPr>
          <w:rFonts w:hint="eastAsia" w:ascii="宋体" w:hAnsi="宋体" w:eastAsia="宋体" w:cs="宋体"/>
          <w:b/>
          <w:bCs/>
          <w:color w:val="auto"/>
          <w:sz w:val="24"/>
          <w:szCs w:val="32"/>
          <w:highlight w:val="none"/>
        </w:rPr>
        <w:t>分）</w:t>
      </w:r>
    </w:p>
    <w:p w14:paraId="141A2A1C">
      <w:pPr>
        <w:autoSpaceDN w:val="0"/>
        <w:spacing w:line="360" w:lineRule="auto"/>
        <w:ind w:firstLine="460" w:firstLineChars="192"/>
        <w:rPr>
          <w:rFonts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rPr>
        <w:t>最后报价的合理性：分析最后报价是否合理，最后报价范围是否完整，有否重大错漏项。磋商报价分计算方法：</w:t>
      </w:r>
      <w:r>
        <w:rPr>
          <w:rFonts w:hint="eastAsia" w:ascii="Times New Roman" w:hAnsi="Times New Roman" w:eastAsia="仿宋" w:cs="Times New Roman"/>
          <w:b/>
          <w:color w:val="auto"/>
          <w:sz w:val="24"/>
          <w:szCs w:val="24"/>
          <w:highlight w:val="none"/>
        </w:rPr>
        <w:t>满足《磋商文件》要求且最后报价最低的有效供应商的最后报价为磋商基准价，其价格分为</w:t>
      </w:r>
      <w:r>
        <w:rPr>
          <w:rFonts w:hint="eastAsia" w:ascii="宋体" w:hAnsi="宋体" w:eastAsia="宋体" w:cs="宋体"/>
          <w:b/>
          <w:bCs/>
          <w:color w:val="auto"/>
          <w:sz w:val="24"/>
          <w:szCs w:val="32"/>
          <w:highlight w:val="none"/>
        </w:rPr>
        <w:t>3</w:t>
      </w:r>
      <w:r>
        <w:rPr>
          <w:rFonts w:hint="eastAsia" w:ascii="宋体" w:hAnsi="宋体" w:eastAsia="宋体" w:cs="宋体"/>
          <w:b/>
          <w:bCs/>
          <w:color w:val="auto"/>
          <w:sz w:val="24"/>
          <w:szCs w:val="32"/>
          <w:highlight w:val="none"/>
          <w:lang w:val="en-US" w:eastAsia="zh-CN"/>
        </w:rPr>
        <w:t>0</w:t>
      </w:r>
      <w:r>
        <w:rPr>
          <w:rFonts w:hint="eastAsia" w:ascii="Times New Roman" w:hAnsi="Times New Roman" w:eastAsia="仿宋" w:cs="Times New Roman"/>
          <w:b/>
          <w:color w:val="auto"/>
          <w:sz w:val="24"/>
          <w:szCs w:val="24"/>
          <w:highlight w:val="none"/>
        </w:rPr>
        <w:t>分（即价格权值为</w:t>
      </w:r>
      <w:r>
        <w:rPr>
          <w:rFonts w:hint="eastAsia" w:ascii="宋体" w:hAnsi="宋体" w:eastAsia="宋体" w:cs="宋体"/>
          <w:b/>
          <w:bCs/>
          <w:color w:val="auto"/>
          <w:sz w:val="24"/>
          <w:szCs w:val="32"/>
          <w:highlight w:val="none"/>
        </w:rPr>
        <w:t>3</w:t>
      </w:r>
      <w:r>
        <w:rPr>
          <w:rFonts w:hint="eastAsia" w:ascii="宋体" w:hAnsi="宋体" w:eastAsia="宋体" w:cs="宋体"/>
          <w:b/>
          <w:bCs/>
          <w:color w:val="auto"/>
          <w:sz w:val="24"/>
          <w:szCs w:val="32"/>
          <w:highlight w:val="none"/>
          <w:lang w:val="en-US" w:eastAsia="zh-CN"/>
        </w:rPr>
        <w:t>0</w:t>
      </w:r>
      <w:r>
        <w:rPr>
          <w:rFonts w:ascii="Times New Roman" w:hAnsi="Times New Roman" w:eastAsia="仿宋" w:cs="Times New Roman"/>
          <w:b/>
          <w:color w:val="auto"/>
          <w:sz w:val="24"/>
          <w:szCs w:val="24"/>
          <w:highlight w:val="none"/>
        </w:rPr>
        <w:t>%</w:t>
      </w:r>
      <w:r>
        <w:rPr>
          <w:rFonts w:hint="eastAsia" w:ascii="Times New Roman" w:hAnsi="Times New Roman" w:eastAsia="仿宋" w:cs="Times New Roman"/>
          <w:b/>
          <w:color w:val="auto"/>
          <w:sz w:val="24"/>
          <w:szCs w:val="24"/>
          <w:highlight w:val="none"/>
        </w:rPr>
        <w:t>）。</w:t>
      </w:r>
      <w:r>
        <w:rPr>
          <w:rFonts w:hint="eastAsia" w:ascii="Times New Roman" w:hAnsi="Times New Roman" w:eastAsia="仿宋" w:cs="Times New Roman"/>
          <w:color w:val="auto"/>
          <w:sz w:val="24"/>
          <w:szCs w:val="24"/>
          <w:highlight w:val="none"/>
        </w:rPr>
        <w:t>其他磋商响应供应商的价格分统一按照下列公式计算（精确到小数点后二位）：</w:t>
      </w:r>
    </w:p>
    <w:p w14:paraId="393F368C">
      <w:pPr>
        <w:autoSpaceDN w:val="0"/>
        <w:spacing w:line="360" w:lineRule="auto"/>
        <w:ind w:firstLine="463" w:firstLineChars="192"/>
        <w:rPr>
          <w:rFonts w:ascii="Times New Roman" w:hAnsi="Times New Roman" w:eastAsia="仿宋" w:cs="Times New Roman"/>
          <w:color w:val="auto"/>
          <w:sz w:val="24"/>
          <w:szCs w:val="24"/>
          <w:highlight w:val="none"/>
        </w:rPr>
      </w:pPr>
      <w:r>
        <w:rPr>
          <w:rFonts w:hint="eastAsia" w:ascii="Times New Roman" w:hAnsi="Times New Roman" w:eastAsia="仿宋" w:cs="Times New Roman"/>
          <w:b/>
          <w:color w:val="auto"/>
          <w:kern w:val="0"/>
          <w:sz w:val="24"/>
          <w:szCs w:val="24"/>
          <w:highlight w:val="none"/>
        </w:rPr>
        <w:t>报价分</w:t>
      </w:r>
      <w:r>
        <w:rPr>
          <w:rFonts w:ascii="Times New Roman" w:hAnsi="Times New Roman" w:eastAsia="仿宋" w:cs="Times New Roman"/>
          <w:b/>
          <w:color w:val="auto"/>
          <w:kern w:val="0"/>
          <w:sz w:val="24"/>
          <w:szCs w:val="24"/>
          <w:highlight w:val="none"/>
        </w:rPr>
        <w:t>=</w:t>
      </w:r>
      <w:r>
        <w:rPr>
          <w:rFonts w:hint="eastAsia" w:ascii="Times New Roman" w:hAnsi="Times New Roman" w:eastAsia="仿宋" w:cs="Times New Roman"/>
          <w:b/>
          <w:color w:val="auto"/>
          <w:kern w:val="0"/>
          <w:sz w:val="24"/>
          <w:szCs w:val="24"/>
          <w:highlight w:val="none"/>
        </w:rPr>
        <w:t>（磋商基准价／最后报价）</w:t>
      </w:r>
      <w:r>
        <w:rPr>
          <w:rFonts w:ascii="Times New Roman" w:hAnsi="Times New Roman" w:eastAsia="仿宋" w:cs="Times New Roman"/>
          <w:b/>
          <w:color w:val="auto"/>
          <w:kern w:val="0"/>
          <w:sz w:val="24"/>
          <w:szCs w:val="24"/>
          <w:highlight w:val="none"/>
        </w:rPr>
        <w:t>×</w:t>
      </w:r>
      <w:r>
        <w:rPr>
          <w:rFonts w:hint="eastAsia" w:ascii="宋体" w:hAnsi="宋体" w:eastAsia="宋体" w:cs="宋体"/>
          <w:b/>
          <w:bCs/>
          <w:color w:val="auto"/>
          <w:sz w:val="24"/>
          <w:szCs w:val="32"/>
          <w:highlight w:val="none"/>
        </w:rPr>
        <w:t>3</w:t>
      </w:r>
      <w:r>
        <w:rPr>
          <w:rFonts w:hint="eastAsia" w:ascii="宋体" w:hAnsi="宋体" w:eastAsia="宋体" w:cs="宋体"/>
          <w:b/>
          <w:bCs/>
          <w:color w:val="auto"/>
          <w:sz w:val="24"/>
          <w:szCs w:val="32"/>
          <w:highlight w:val="none"/>
          <w:lang w:val="en-US" w:eastAsia="zh-CN"/>
        </w:rPr>
        <w:t>0</w:t>
      </w:r>
      <w:r>
        <w:rPr>
          <w:rFonts w:ascii="Times New Roman" w:hAnsi="Times New Roman" w:eastAsia="仿宋" w:cs="Times New Roman"/>
          <w:b/>
          <w:color w:val="auto"/>
          <w:kern w:val="0"/>
          <w:sz w:val="24"/>
          <w:szCs w:val="24"/>
          <w:highlight w:val="none"/>
        </w:rPr>
        <w:t>%×100</w:t>
      </w:r>
    </w:p>
    <w:p w14:paraId="7CC37606">
      <w:pPr>
        <w:autoSpaceDN w:val="0"/>
        <w:adjustRightInd w:val="0"/>
        <w:snapToGrid w:val="0"/>
        <w:spacing w:line="360" w:lineRule="auto"/>
        <w:ind w:firstLine="463" w:firstLineChars="192"/>
        <w:rPr>
          <w:rFonts w:ascii="Times New Roman" w:hAnsi="Times New Roman" w:eastAsia="仿宋" w:cs="Times New Roman"/>
          <w:b/>
          <w:color w:val="auto"/>
          <w:kern w:val="0"/>
          <w:sz w:val="24"/>
          <w:szCs w:val="24"/>
          <w:highlight w:val="none"/>
        </w:rPr>
      </w:pPr>
      <w:r>
        <w:rPr>
          <w:rFonts w:hint="eastAsia" w:ascii="Times New Roman" w:hAnsi="Times New Roman" w:eastAsia="仿宋" w:cs="Times New Roman"/>
          <w:b/>
          <w:color w:val="auto"/>
          <w:kern w:val="0"/>
          <w:sz w:val="24"/>
          <w:szCs w:val="24"/>
          <w:highlight w:val="none"/>
        </w:rPr>
        <w:t>重要提示：</w:t>
      </w:r>
    </w:p>
    <w:p w14:paraId="4B7CEBF4">
      <w:pPr>
        <w:autoSpaceDN w:val="0"/>
        <w:adjustRightInd w:val="0"/>
        <w:snapToGrid w:val="0"/>
        <w:spacing w:line="360" w:lineRule="auto"/>
        <w:ind w:firstLine="463" w:firstLineChars="192"/>
        <w:rPr>
          <w:rFonts w:ascii="Times New Roman" w:hAnsi="Times New Roman" w:eastAsia="仿宋" w:cs="Times New Roman"/>
          <w:b/>
          <w:color w:val="auto"/>
          <w:sz w:val="24"/>
          <w:szCs w:val="24"/>
          <w:highlight w:val="none"/>
          <w:u w:val="single"/>
        </w:rPr>
      </w:pPr>
      <w:r>
        <w:rPr>
          <w:rFonts w:hint="eastAsia" w:ascii="Times New Roman" w:hAnsi="Times New Roman" w:eastAsia="仿宋" w:cs="Times New Roman"/>
          <w:b/>
          <w:color w:val="auto"/>
          <w:kern w:val="0"/>
          <w:sz w:val="24"/>
          <w:szCs w:val="24"/>
          <w:highlight w:val="none"/>
        </w:rPr>
        <w:t>（</w:t>
      </w:r>
      <w:r>
        <w:rPr>
          <w:rFonts w:ascii="Times New Roman" w:hAnsi="Times New Roman" w:eastAsia="仿宋" w:cs="Times New Roman"/>
          <w:b/>
          <w:color w:val="auto"/>
          <w:kern w:val="0"/>
          <w:sz w:val="24"/>
          <w:szCs w:val="24"/>
          <w:highlight w:val="none"/>
        </w:rPr>
        <w:t>1</w:t>
      </w:r>
      <w:r>
        <w:rPr>
          <w:rFonts w:hint="eastAsia" w:ascii="Times New Roman" w:hAnsi="Times New Roman" w:eastAsia="仿宋" w:cs="Times New Roman"/>
          <w:b/>
          <w:color w:val="auto"/>
          <w:kern w:val="0"/>
          <w:sz w:val="24"/>
          <w:szCs w:val="24"/>
          <w:highlight w:val="none"/>
        </w:rPr>
        <w:t>）</w:t>
      </w:r>
      <w:r>
        <w:rPr>
          <w:rFonts w:hint="eastAsia" w:ascii="Times New Roman" w:hAnsi="Times New Roman" w:eastAsia="仿宋" w:cs="Times New Roman"/>
          <w:b/>
          <w:color w:val="auto"/>
          <w:sz w:val="24"/>
          <w:szCs w:val="24"/>
          <w:highlight w:val="none"/>
          <w:u w:val="single"/>
        </w:rPr>
        <w:t>本项目专门面向中小企业采购，小型、微型、监狱及残疾人福利性企业评审价格不予扣除</w:t>
      </w:r>
      <w:r>
        <w:rPr>
          <w:rFonts w:hint="eastAsia" w:ascii="Times New Roman" w:hAnsi="Times New Roman" w:eastAsia="仿宋" w:cs="Times New Roman"/>
          <w:b/>
          <w:color w:val="auto"/>
          <w:sz w:val="24"/>
          <w:szCs w:val="24"/>
          <w:highlight w:val="none"/>
        </w:rPr>
        <w:t>；</w:t>
      </w:r>
    </w:p>
    <w:p w14:paraId="52D1133A">
      <w:pPr>
        <w:autoSpaceDN w:val="0"/>
        <w:adjustRightInd w:val="0"/>
        <w:snapToGrid w:val="0"/>
        <w:spacing w:line="360" w:lineRule="auto"/>
        <w:ind w:firstLine="482" w:firstLineChars="200"/>
        <w:rPr>
          <w:rFonts w:ascii="宋体" w:hAnsi="Courier New" w:eastAsia="宋体" w:cs="Times New Roman"/>
          <w:color w:val="auto"/>
          <w:spacing w:val="-4"/>
          <w:kern w:val="0"/>
          <w:sz w:val="18"/>
          <w:szCs w:val="20"/>
          <w:highlight w:val="none"/>
        </w:rPr>
      </w:pPr>
      <w:r>
        <w:rPr>
          <w:rFonts w:hint="eastAsia" w:ascii="Times New Roman" w:hAnsi="Times New Roman" w:eastAsia="仿宋" w:cs="Times New Roman"/>
          <w:b/>
          <w:color w:val="auto"/>
          <w:sz w:val="24"/>
          <w:szCs w:val="24"/>
          <w:highlight w:val="none"/>
        </w:rPr>
        <w:t>（</w:t>
      </w:r>
      <w:r>
        <w:rPr>
          <w:rFonts w:ascii="Times New Roman" w:hAnsi="Times New Roman" w:eastAsia="仿宋" w:cs="Times New Roman"/>
          <w:b/>
          <w:color w:val="auto"/>
          <w:sz w:val="24"/>
          <w:szCs w:val="24"/>
          <w:highlight w:val="none"/>
        </w:rPr>
        <w:t>2</w:t>
      </w:r>
      <w:r>
        <w:rPr>
          <w:rFonts w:hint="eastAsia" w:ascii="Times New Roman" w:hAnsi="Times New Roman" w:eastAsia="仿宋" w:cs="Times New Roman"/>
          <w:b/>
          <w:color w:val="auto"/>
          <w:sz w:val="24"/>
          <w:szCs w:val="24"/>
          <w:highlight w:val="none"/>
        </w:rPr>
        <w:t>）</w:t>
      </w:r>
      <w:r>
        <w:rPr>
          <w:rFonts w:hint="eastAsia" w:ascii="Times New Roman" w:hAnsi="Times New Roman" w:eastAsia="仿宋" w:cs="Times New Roman"/>
          <w:b/>
          <w:color w:val="auto"/>
          <w:sz w:val="24"/>
          <w:szCs w:val="24"/>
          <w:highlight w:val="none"/>
          <w:u w:val="single"/>
        </w:rPr>
        <w:t>投标人不得进行影响产品质量或者诚信履约的恶意报价。投标人在项目评审前准备好报价核算、报价明细、报价说明等材料，以备评审专家核查。投标人报价低于项目标项预算50%的，应当在报价文件中详细阐述不影响产品质量或者诚信履约的具体原因，供应商不能证明其报价合理性的，评审委员会应将该响应文件作无效处理。</w:t>
      </w:r>
    </w:p>
    <w:p w14:paraId="41CD4BA9">
      <w:pPr>
        <w:keepNext/>
        <w:keepLines/>
        <w:autoSpaceDN w:val="0"/>
        <w:spacing w:before="260" w:after="260" w:line="415" w:lineRule="auto"/>
        <w:outlineLvl w:val="1"/>
        <w:rPr>
          <w:rFonts w:ascii="仿宋" w:hAnsi="仿宋" w:eastAsia="仿宋" w:cs="Times New Roman"/>
          <w:b/>
          <w:bCs/>
          <w:color w:val="auto"/>
          <w:sz w:val="28"/>
          <w:szCs w:val="28"/>
          <w:highlight w:val="none"/>
        </w:rPr>
      </w:pPr>
      <w:bookmarkStart w:id="87" w:name="_Toc474729562"/>
      <w:bookmarkStart w:id="88" w:name="_Toc440162797"/>
      <w:bookmarkStart w:id="89" w:name="_Toc520824348"/>
      <w:bookmarkStart w:id="90" w:name="_Toc96947086"/>
      <w:bookmarkStart w:id="91" w:name="_Toc10395"/>
      <w:r>
        <w:rPr>
          <w:rFonts w:hint="eastAsia" w:ascii="仿宋" w:hAnsi="仿宋" w:eastAsia="仿宋" w:cs="Times New Roman"/>
          <w:b/>
          <w:bCs/>
          <w:color w:val="auto"/>
          <w:sz w:val="28"/>
          <w:szCs w:val="28"/>
          <w:highlight w:val="none"/>
        </w:rPr>
        <w:t>四、</w:t>
      </w:r>
      <w:bookmarkEnd w:id="87"/>
      <w:bookmarkEnd w:id="88"/>
      <w:bookmarkEnd w:id="89"/>
      <w:r>
        <w:rPr>
          <w:rFonts w:hint="eastAsia" w:ascii="仿宋" w:hAnsi="仿宋" w:eastAsia="仿宋" w:cs="Times New Roman"/>
          <w:b/>
          <w:bCs/>
          <w:color w:val="auto"/>
          <w:sz w:val="28"/>
          <w:szCs w:val="28"/>
          <w:highlight w:val="none"/>
        </w:rPr>
        <w:t>其他评审事项规定</w:t>
      </w:r>
      <w:bookmarkEnd w:id="90"/>
      <w:bookmarkEnd w:id="91"/>
    </w:p>
    <w:p w14:paraId="212C66E0">
      <w:pPr>
        <w:keepNext/>
        <w:keepLines/>
        <w:autoSpaceDN w:val="0"/>
        <w:spacing w:before="260" w:after="260" w:line="415" w:lineRule="auto"/>
        <w:ind w:firstLine="241"/>
        <w:jc w:val="left"/>
        <w:outlineLvl w:val="2"/>
        <w:rPr>
          <w:rFonts w:ascii="仿宋" w:hAnsi="仿宋" w:eastAsia="仿宋" w:cs="Times New Roman"/>
          <w:color w:val="auto"/>
          <w:kern w:val="0"/>
          <w:sz w:val="24"/>
          <w:szCs w:val="32"/>
          <w:highlight w:val="none"/>
        </w:rPr>
      </w:pPr>
      <w:r>
        <w:rPr>
          <w:rFonts w:hint="eastAsia" w:ascii="仿宋" w:hAnsi="仿宋" w:eastAsia="仿宋" w:cs="Times New Roman"/>
          <w:color w:val="auto"/>
          <w:kern w:val="0"/>
          <w:sz w:val="24"/>
          <w:szCs w:val="32"/>
          <w:highlight w:val="none"/>
        </w:rPr>
        <w:t>4.1 串通投标的认定</w:t>
      </w:r>
    </w:p>
    <w:p w14:paraId="510BDC9A">
      <w:pPr>
        <w:autoSpaceDN w:val="0"/>
        <w:spacing w:line="360" w:lineRule="auto"/>
        <w:ind w:firstLine="463"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4.1.1在评审过程中发现以下情形，被视为串通投标的：</w:t>
      </w:r>
    </w:p>
    <w:p w14:paraId="60C0FBB4">
      <w:pPr>
        <w:autoSpaceDN w:val="0"/>
        <w:spacing w:line="360" w:lineRule="auto"/>
        <w:ind w:firstLine="463"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w:t>
      </w:r>
      <w:r>
        <w:rPr>
          <w:rFonts w:hint="eastAsia" w:ascii="仿宋" w:hAnsi="仿宋" w:eastAsia="仿宋" w:cs="Arial"/>
          <w:b/>
          <w:color w:val="auto"/>
          <w:kern w:val="0"/>
          <w:sz w:val="24"/>
          <w:szCs w:val="24"/>
          <w:highlight w:val="none"/>
          <w:u w:val="single"/>
        </w:rPr>
        <w:t>不同磋商响应供应商的磋商响应文件由同一单位或个人编制</w:t>
      </w:r>
      <w:r>
        <w:rPr>
          <w:rFonts w:hint="eastAsia" w:ascii="仿宋" w:hAnsi="仿宋" w:eastAsia="仿宋" w:cs="Arial"/>
          <w:b/>
          <w:color w:val="auto"/>
          <w:kern w:val="0"/>
          <w:sz w:val="24"/>
          <w:szCs w:val="24"/>
          <w:highlight w:val="none"/>
        </w:rPr>
        <w:t>；</w:t>
      </w:r>
    </w:p>
    <w:p w14:paraId="0D3B9F49">
      <w:pPr>
        <w:autoSpaceDN w:val="0"/>
        <w:spacing w:line="360" w:lineRule="auto"/>
        <w:ind w:firstLine="463"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（2）</w:t>
      </w:r>
      <w:r>
        <w:rPr>
          <w:rFonts w:hint="eastAsia" w:ascii="仿宋" w:hAnsi="仿宋" w:eastAsia="仿宋" w:cs="Arial"/>
          <w:b/>
          <w:color w:val="auto"/>
          <w:kern w:val="0"/>
          <w:sz w:val="24"/>
          <w:szCs w:val="24"/>
          <w:highlight w:val="none"/>
          <w:u w:val="single"/>
        </w:rPr>
        <w:t>不同磋商响应供应商委托同一单位或个人办理投标事宜</w:t>
      </w:r>
      <w:r>
        <w:rPr>
          <w:rFonts w:hint="eastAsia" w:ascii="仿宋" w:hAnsi="仿宋" w:eastAsia="仿宋" w:cs="Arial"/>
          <w:b/>
          <w:color w:val="auto"/>
          <w:kern w:val="0"/>
          <w:sz w:val="24"/>
          <w:szCs w:val="24"/>
          <w:highlight w:val="none"/>
        </w:rPr>
        <w:t>；</w:t>
      </w:r>
    </w:p>
    <w:p w14:paraId="62A1FC7A">
      <w:pPr>
        <w:autoSpaceDN w:val="0"/>
        <w:spacing w:line="360" w:lineRule="auto"/>
        <w:ind w:firstLine="463"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（3）</w:t>
      </w:r>
      <w:r>
        <w:rPr>
          <w:rFonts w:hint="eastAsia" w:ascii="仿宋" w:hAnsi="仿宋" w:eastAsia="仿宋" w:cs="Arial"/>
          <w:b/>
          <w:color w:val="auto"/>
          <w:kern w:val="0"/>
          <w:sz w:val="24"/>
          <w:szCs w:val="24"/>
          <w:highlight w:val="none"/>
          <w:u w:val="single"/>
        </w:rPr>
        <w:t>不同磋商响应供应商的磋商响应文件载明的项目管理成员或联系人员为同一人</w:t>
      </w:r>
      <w:r>
        <w:rPr>
          <w:rFonts w:hint="eastAsia" w:ascii="仿宋" w:hAnsi="仿宋" w:eastAsia="仿宋" w:cs="Arial"/>
          <w:b/>
          <w:color w:val="auto"/>
          <w:kern w:val="0"/>
          <w:sz w:val="24"/>
          <w:szCs w:val="24"/>
          <w:highlight w:val="none"/>
        </w:rPr>
        <w:t>；</w:t>
      </w:r>
    </w:p>
    <w:p w14:paraId="63D6C7AF">
      <w:pPr>
        <w:autoSpaceDN w:val="0"/>
        <w:spacing w:line="360" w:lineRule="auto"/>
        <w:ind w:firstLine="463"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w:t>
      </w:r>
      <w:r>
        <w:rPr>
          <w:rFonts w:hint="eastAsia" w:ascii="仿宋" w:hAnsi="仿宋" w:eastAsia="仿宋" w:cs="Arial"/>
          <w:b/>
          <w:color w:val="auto"/>
          <w:kern w:val="0"/>
          <w:sz w:val="24"/>
          <w:szCs w:val="24"/>
          <w:highlight w:val="none"/>
          <w:u w:val="single"/>
        </w:rPr>
        <w:t>不同磋商响应供应商的磋商响应文件异常一致或者投标报价呈规律性差异</w:t>
      </w:r>
      <w:r>
        <w:rPr>
          <w:rFonts w:hint="eastAsia" w:ascii="仿宋" w:hAnsi="仿宋" w:eastAsia="仿宋" w:cs="Arial"/>
          <w:b/>
          <w:color w:val="auto"/>
          <w:kern w:val="0"/>
          <w:sz w:val="24"/>
          <w:szCs w:val="24"/>
          <w:highlight w:val="none"/>
        </w:rPr>
        <w:t>；</w:t>
      </w:r>
    </w:p>
    <w:p w14:paraId="69F952A5">
      <w:pPr>
        <w:autoSpaceDN w:val="0"/>
        <w:spacing w:line="360" w:lineRule="auto"/>
        <w:ind w:firstLine="463"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（5）</w:t>
      </w:r>
      <w:r>
        <w:rPr>
          <w:rFonts w:hint="eastAsia" w:ascii="仿宋" w:hAnsi="仿宋" w:eastAsia="仿宋" w:cs="Arial"/>
          <w:b/>
          <w:color w:val="auto"/>
          <w:kern w:val="0"/>
          <w:sz w:val="24"/>
          <w:szCs w:val="24"/>
          <w:highlight w:val="none"/>
          <w:u w:val="single"/>
        </w:rPr>
        <w:t>不同磋商响应供应商的磋商响应文件互相混装</w:t>
      </w:r>
      <w:r>
        <w:rPr>
          <w:rFonts w:hint="eastAsia" w:ascii="仿宋" w:hAnsi="仿宋" w:eastAsia="仿宋" w:cs="Arial"/>
          <w:b/>
          <w:color w:val="auto"/>
          <w:kern w:val="0"/>
          <w:sz w:val="24"/>
          <w:szCs w:val="24"/>
          <w:highlight w:val="none"/>
        </w:rPr>
        <w:t>。</w:t>
      </w:r>
    </w:p>
    <w:p w14:paraId="7173E2C0">
      <w:pPr>
        <w:autoSpaceDN w:val="0"/>
        <w:spacing w:line="360" w:lineRule="auto"/>
        <w:ind w:firstLine="463"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4.1.2磋商响应供应商应当遵循公平竞争的原则，不得恶意串通，不得妨碍其他磋商响应供应商的竞争行为，不得损害采购人或者其他磋商响应供应商的合法权益。在评审过程中，发现磋商响应供应商有上述串通投标情形的，投标无效，并书面报告本级财政部门。</w:t>
      </w:r>
    </w:p>
    <w:p w14:paraId="73770D6B">
      <w:pPr>
        <w:keepNext/>
        <w:keepLines/>
        <w:autoSpaceDN w:val="0"/>
        <w:spacing w:before="260" w:after="260" w:line="415" w:lineRule="auto"/>
        <w:ind w:firstLine="241"/>
        <w:jc w:val="left"/>
        <w:outlineLvl w:val="2"/>
        <w:rPr>
          <w:rFonts w:ascii="仿宋" w:hAnsi="仿宋" w:eastAsia="仿宋" w:cs="Times New Roman"/>
          <w:color w:val="auto"/>
          <w:kern w:val="0"/>
          <w:sz w:val="24"/>
          <w:szCs w:val="32"/>
          <w:highlight w:val="none"/>
        </w:rPr>
      </w:pPr>
      <w:r>
        <w:rPr>
          <w:rFonts w:hint="eastAsia" w:ascii="仿宋" w:hAnsi="仿宋" w:eastAsia="仿宋" w:cs="Times New Roman"/>
          <w:color w:val="auto"/>
          <w:kern w:val="0"/>
          <w:sz w:val="24"/>
          <w:szCs w:val="32"/>
          <w:highlight w:val="none"/>
        </w:rPr>
        <w:t>4.2 磋商响应供应商违法等重大事项的处理</w:t>
      </w:r>
    </w:p>
    <w:p w14:paraId="421B1530">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磋商响应供应商有下列情形之一的，投标无效且将《磋商响应文件》、《询标记录》等报同级政府采购监管部门或有关职能部门查处：</w:t>
      </w:r>
    </w:p>
    <w:p w14:paraId="25017734">
      <w:pPr>
        <w:autoSpaceDN w:val="0"/>
        <w:spacing w:line="360" w:lineRule="auto"/>
        <w:ind w:firstLine="422" w:firstLineChars="176"/>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（1）未如实提供债权债务、重大违法记录、利害关系等信息，影响或者可能影响成交结果的；</w:t>
      </w:r>
    </w:p>
    <w:p w14:paraId="6082851D">
      <w:pPr>
        <w:autoSpaceDN w:val="0"/>
        <w:spacing w:line="360" w:lineRule="auto"/>
        <w:ind w:firstLine="422" w:firstLineChars="176"/>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（2）不遵循公平竞争原则、恶意串通、妨碍其他磋商响应供应商的竞争、损害采购人或其他磋商响应供应商合法权益的；</w:t>
      </w:r>
    </w:p>
    <w:p w14:paraId="31564401">
      <w:pPr>
        <w:autoSpaceDN w:val="0"/>
        <w:spacing w:line="360" w:lineRule="auto"/>
        <w:ind w:firstLine="422" w:firstLineChars="176"/>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（3）政府采购活动中存在违法行为的；</w:t>
      </w:r>
    </w:p>
    <w:p w14:paraId="21CDE900">
      <w:pPr>
        <w:autoSpaceDN w:val="0"/>
        <w:spacing w:line="360" w:lineRule="auto"/>
        <w:ind w:firstLine="422" w:firstLineChars="176"/>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（3）其他严重干扰招投标秩序的行为的。</w:t>
      </w:r>
    </w:p>
    <w:p w14:paraId="0F761E79">
      <w:pPr>
        <w:keepNext/>
        <w:keepLines/>
        <w:autoSpaceDN w:val="0"/>
        <w:spacing w:before="260" w:after="260" w:line="415" w:lineRule="auto"/>
        <w:ind w:firstLine="241"/>
        <w:jc w:val="left"/>
        <w:outlineLvl w:val="2"/>
        <w:rPr>
          <w:rFonts w:ascii="仿宋" w:hAnsi="仿宋" w:eastAsia="仿宋" w:cs="Times New Roman"/>
          <w:color w:val="auto"/>
          <w:kern w:val="0"/>
          <w:sz w:val="24"/>
          <w:szCs w:val="32"/>
          <w:highlight w:val="none"/>
        </w:rPr>
      </w:pPr>
      <w:r>
        <w:rPr>
          <w:rFonts w:hint="eastAsia" w:ascii="仿宋" w:hAnsi="仿宋" w:eastAsia="仿宋" w:cs="Times New Roman"/>
          <w:color w:val="auto"/>
          <w:kern w:val="0"/>
          <w:sz w:val="24"/>
          <w:szCs w:val="32"/>
          <w:highlight w:val="none"/>
        </w:rPr>
        <w:t>4.3 评审中合格磋商响应供应商不足法定数量的处理</w:t>
      </w:r>
    </w:p>
    <w:p w14:paraId="7421F515">
      <w:pPr>
        <w:autoSpaceDN w:val="0"/>
        <w:spacing w:line="360" w:lineRule="auto"/>
        <w:ind w:firstLine="422" w:firstLineChars="175"/>
        <w:rPr>
          <w:rFonts w:ascii="仿宋" w:hAnsi="仿宋" w:eastAsia="仿宋" w:cs="Arial"/>
          <w:color w:val="auto"/>
          <w:szCs w:val="24"/>
          <w:highlight w:val="none"/>
        </w:rPr>
      </w:pPr>
      <w:r>
        <w:rPr>
          <w:rFonts w:hint="eastAsia" w:ascii="仿宋" w:hAnsi="仿宋" w:eastAsia="仿宋" w:cs="Arial"/>
          <w:b/>
          <w:color w:val="auto"/>
          <w:kern w:val="0"/>
          <w:sz w:val="24"/>
          <w:highlight w:val="none"/>
        </w:rPr>
        <w:t>公开招标的采购项目，在评审过程中，若某个标项的有效磋商响应供应商不足三家的，除采购任务取消情形外，采购人可选择以下方式之一处理：</w:t>
      </w:r>
    </w:p>
    <w:p w14:paraId="5CD82D2F">
      <w:pPr>
        <w:autoSpaceDN w:val="0"/>
        <w:spacing w:line="360" w:lineRule="auto"/>
        <w:ind w:firstLine="420" w:firstLineChars="175"/>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（1）将本标项作废标处理，重新组织采购；</w:t>
      </w:r>
    </w:p>
    <w:p w14:paraId="2F3E9F84">
      <w:pPr>
        <w:autoSpaceDN w:val="0"/>
        <w:spacing w:line="360" w:lineRule="auto"/>
        <w:ind w:firstLine="420" w:firstLineChars="175"/>
        <w:rPr>
          <w:rFonts w:ascii="仿宋" w:hAnsi="仿宋" w:eastAsia="仿宋" w:cs="Times New Roman"/>
          <w:b/>
          <w:color w:val="auto"/>
          <w:sz w:val="24"/>
          <w:szCs w:val="24"/>
          <w:highlight w:val="none"/>
        </w:rPr>
      </w:pPr>
      <w:r>
        <w:rPr>
          <w:rFonts w:hint="eastAsia" w:ascii="仿宋" w:hAnsi="仿宋" w:eastAsia="仿宋" w:cs="Arial"/>
          <w:color w:val="auto"/>
          <w:kern w:val="0"/>
          <w:sz w:val="24"/>
          <w:highlight w:val="none"/>
        </w:rPr>
        <w:t>（2）按同级政府采购监督管理部门的审批意见采用其他采购方式组织采购。</w:t>
      </w:r>
    </w:p>
    <w:p w14:paraId="2AFECAB5">
      <w:pPr>
        <w:keepNext/>
        <w:keepLines/>
        <w:autoSpaceDN w:val="0"/>
        <w:spacing w:before="260" w:after="260" w:line="415" w:lineRule="auto"/>
        <w:ind w:firstLine="241"/>
        <w:jc w:val="left"/>
        <w:outlineLvl w:val="2"/>
        <w:rPr>
          <w:rFonts w:ascii="仿宋" w:hAnsi="仿宋" w:eastAsia="仿宋" w:cs="Times New Roman"/>
          <w:color w:val="auto"/>
          <w:kern w:val="0"/>
          <w:sz w:val="24"/>
          <w:szCs w:val="32"/>
          <w:highlight w:val="none"/>
        </w:rPr>
      </w:pPr>
      <w:r>
        <w:rPr>
          <w:rFonts w:hint="eastAsia" w:ascii="仿宋" w:hAnsi="仿宋" w:eastAsia="仿宋" w:cs="Times New Roman"/>
          <w:color w:val="auto"/>
          <w:kern w:val="0"/>
          <w:sz w:val="24"/>
          <w:szCs w:val="32"/>
          <w:highlight w:val="none"/>
        </w:rPr>
        <w:t>4.4 废标适用情形</w:t>
      </w:r>
    </w:p>
    <w:p w14:paraId="338206FC">
      <w:pPr>
        <w:autoSpaceDN w:val="0"/>
        <w:spacing w:line="360" w:lineRule="auto"/>
        <w:ind w:firstLine="424" w:firstLineChars="176"/>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在招标采购中，出现下列情形之一的，项目将予以废标：</w:t>
      </w:r>
    </w:p>
    <w:p w14:paraId="2BB4319B">
      <w:pPr>
        <w:widowControl/>
        <w:autoSpaceDN w:val="0"/>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（1）符合专业条件的供应商或者对竞争性磋商文件作实质响应的供应商不足三家的；</w:t>
      </w:r>
    </w:p>
    <w:p w14:paraId="7B05C8BD">
      <w:pPr>
        <w:widowControl/>
        <w:autoSpaceDN w:val="0"/>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（2）出现影响采购公正的违法、违规行为的；</w:t>
      </w:r>
    </w:p>
    <w:p w14:paraId="6A768D9A">
      <w:pPr>
        <w:widowControl/>
        <w:autoSpaceDN w:val="0"/>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（3）磋商响应供应商的报价均超过了采购预算，采购人不能支付的；</w:t>
      </w:r>
    </w:p>
    <w:p w14:paraId="27E63C73">
      <w:pPr>
        <w:widowControl/>
        <w:autoSpaceDN w:val="0"/>
        <w:spacing w:line="360" w:lineRule="auto"/>
        <w:ind w:firstLine="480" w:firstLineChars="200"/>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4"/>
          <w:szCs w:val="24"/>
          <w:highlight w:val="none"/>
        </w:rPr>
        <w:t>（4）因重大变故，采购任务取消的。</w:t>
      </w:r>
    </w:p>
    <w:p w14:paraId="65DB2E02">
      <w:pPr>
        <w:keepNext/>
        <w:keepLines/>
        <w:autoSpaceDN w:val="0"/>
        <w:spacing w:before="260" w:after="260" w:line="415" w:lineRule="auto"/>
        <w:ind w:firstLine="241"/>
        <w:jc w:val="left"/>
        <w:outlineLvl w:val="2"/>
        <w:rPr>
          <w:rFonts w:ascii="仿宋" w:hAnsi="仿宋" w:eastAsia="仿宋" w:cs="Times New Roman"/>
          <w:color w:val="auto"/>
          <w:kern w:val="0"/>
          <w:sz w:val="24"/>
          <w:szCs w:val="32"/>
          <w:highlight w:val="none"/>
        </w:rPr>
      </w:pPr>
      <w:r>
        <w:rPr>
          <w:rFonts w:hint="eastAsia" w:ascii="仿宋" w:hAnsi="仿宋" w:eastAsia="仿宋" w:cs="Times New Roman"/>
          <w:color w:val="auto"/>
          <w:kern w:val="0"/>
          <w:sz w:val="24"/>
          <w:szCs w:val="32"/>
          <w:highlight w:val="none"/>
        </w:rPr>
        <w:t>4.5 可中止电子交易活动的情形</w:t>
      </w:r>
    </w:p>
    <w:p w14:paraId="69748B5B">
      <w:pPr>
        <w:autoSpaceDN w:val="0"/>
        <w:spacing w:line="360" w:lineRule="auto"/>
        <w:ind w:firstLine="424" w:firstLineChars="176"/>
        <w:rPr>
          <w:rFonts w:ascii="仿宋" w:hAnsi="仿宋" w:eastAsia="仿宋" w:cs="Times New Roman"/>
          <w:color w:val="auto"/>
          <w:sz w:val="24"/>
          <w:szCs w:val="28"/>
          <w:highlight w:val="none"/>
        </w:rPr>
      </w:pPr>
      <w:r>
        <w:rPr>
          <w:rFonts w:hint="eastAsia" w:ascii="仿宋" w:hAnsi="仿宋" w:eastAsia="仿宋" w:cs="Times New Roman"/>
          <w:b/>
          <w:color w:val="auto"/>
          <w:sz w:val="24"/>
          <w:szCs w:val="28"/>
          <w:highlight w:val="none"/>
        </w:rPr>
        <w:t>采购过程中出现以下情形，导致电子交易平台无法正常运行，或者无法保证电子交易的公平、公正和安全时，采购组织机构可中止电子交易活动：</w:t>
      </w:r>
    </w:p>
    <w:p w14:paraId="3E18BFC5">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（一）电子交易平台发生故障而无法登录访问的；</w:t>
      </w:r>
    </w:p>
    <w:p w14:paraId="2DC5B88B">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（二）电子交易平台应用或数据库出现错误，不能进行正常操作的；</w:t>
      </w:r>
    </w:p>
    <w:p w14:paraId="46E04849">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（三）电子交易平台发现严重安全漏洞，有潜在泄密危险的；</w:t>
      </w:r>
    </w:p>
    <w:p w14:paraId="66D718D9">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（四）病毒发作导致不能进行正常操作的；</w:t>
      </w:r>
    </w:p>
    <w:p w14:paraId="6448AF48">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（五）其他无法保证电子交易的公平、公正和安全的情况。</w:t>
      </w:r>
    </w:p>
    <w:p w14:paraId="65EF36C6">
      <w:pPr>
        <w:autoSpaceDN w:val="0"/>
        <w:spacing w:line="360" w:lineRule="auto"/>
        <w:ind w:firstLine="465" w:firstLineChars="193"/>
        <w:rPr>
          <w:rFonts w:ascii="仿宋" w:hAnsi="仿宋" w:eastAsia="仿宋" w:cs="Arial"/>
          <w:b/>
          <w:color w:val="auto"/>
          <w:sz w:val="24"/>
          <w:highlight w:val="none"/>
        </w:rPr>
      </w:pPr>
      <w:r>
        <w:rPr>
          <w:rFonts w:hint="eastAsia" w:ascii="仿宋" w:hAnsi="仿宋" w:eastAsia="仿宋" w:cs="Times New Roman"/>
          <w:b/>
          <w:color w:val="auto"/>
          <w:sz w:val="24"/>
          <w:szCs w:val="28"/>
          <w:highlight w:val="none"/>
        </w:rPr>
        <w:t>出现前款规定情形，不影响采购公平、公正性的，采购组织机构可以待上述情形消除后继续组织电子交易活动，也可以决定某些环节以纸质形式进行；影响或可能影响采购公平、公正性的，将重新采购。</w:t>
      </w:r>
    </w:p>
    <w:p w14:paraId="27D090CE">
      <w:pPr>
        <w:autoSpaceDN w:val="0"/>
        <w:spacing w:line="200" w:lineRule="exact"/>
        <w:ind w:firstLine="301"/>
        <w:rPr>
          <w:rFonts w:ascii="宋体" w:hAnsi="Courier New" w:eastAsia="宋体" w:cs="Times New Roman"/>
          <w:color w:val="auto"/>
          <w:spacing w:val="-4"/>
          <w:kern w:val="0"/>
          <w:sz w:val="18"/>
          <w:szCs w:val="20"/>
          <w:highlight w:val="none"/>
        </w:rPr>
      </w:pPr>
    </w:p>
    <w:p w14:paraId="737DC45E">
      <w:pPr>
        <w:autoSpaceDN w:val="0"/>
        <w:snapToGrid w:val="0"/>
        <w:spacing w:line="360" w:lineRule="auto"/>
        <w:ind w:left="238"/>
        <w:jc w:val="center"/>
        <w:outlineLvl w:val="0"/>
        <w:rPr>
          <w:rFonts w:ascii="仿宋" w:hAnsi="仿宋" w:eastAsia="仿宋" w:cs="宋体"/>
          <w:color w:val="auto"/>
          <w:sz w:val="32"/>
          <w:szCs w:val="32"/>
          <w:highlight w:val="none"/>
        </w:rPr>
      </w:pPr>
      <w:r>
        <w:rPr>
          <w:rFonts w:hint="eastAsia" w:ascii="仿宋" w:hAnsi="仿宋" w:eastAsia="仿宋" w:cs="宋体"/>
          <w:b/>
          <w:color w:val="auto"/>
          <w:sz w:val="24"/>
          <w:szCs w:val="24"/>
          <w:highlight w:val="none"/>
        </w:rPr>
        <w:br w:type="page"/>
      </w:r>
      <w:bookmarkStart w:id="92" w:name="_Toc8854"/>
      <w:r>
        <w:rPr>
          <w:rFonts w:hint="eastAsia" w:ascii="仿宋" w:hAnsi="仿宋" w:eastAsia="仿宋" w:cs="宋体"/>
          <w:b/>
          <w:color w:val="auto"/>
          <w:sz w:val="32"/>
          <w:szCs w:val="32"/>
          <w:highlight w:val="none"/>
        </w:rPr>
        <w:t>第四章 采购内容及需求</w:t>
      </w:r>
      <w:bookmarkEnd w:id="92"/>
    </w:p>
    <w:p w14:paraId="2B132921">
      <w:pPr>
        <w:spacing w:line="360" w:lineRule="auto"/>
        <w:ind w:firstLine="482" w:firstLineChars="200"/>
        <w:jc w:val="left"/>
        <w:rPr>
          <w:rFonts w:ascii="仿宋" w:hAnsi="仿宋" w:eastAsia="仿宋" w:cs="仿宋"/>
          <w:b/>
          <w:bCs/>
          <w:color w:val="auto"/>
          <w:sz w:val="24"/>
          <w:szCs w:val="24"/>
          <w:highlight w:val="none"/>
        </w:rPr>
      </w:pPr>
      <w:bookmarkStart w:id="93" w:name="page4"/>
      <w:bookmarkEnd w:id="93"/>
      <w:bookmarkStart w:id="94" w:name="_Hlk92875903"/>
      <w:r>
        <w:rPr>
          <w:rFonts w:hint="eastAsia" w:ascii="仿宋" w:hAnsi="仿宋" w:eastAsia="仿宋" w:cs="仿宋"/>
          <w:b/>
          <w:bCs/>
          <w:color w:val="auto"/>
          <w:sz w:val="24"/>
          <w:szCs w:val="24"/>
          <w:highlight w:val="none"/>
        </w:rPr>
        <w:t>一、工程概况</w:t>
      </w:r>
    </w:p>
    <w:p w14:paraId="22C62578">
      <w:pPr>
        <w:spacing w:line="360" w:lineRule="auto"/>
        <w:ind w:firstLine="482" w:firstLineChars="200"/>
        <w:jc w:val="left"/>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1.工程名称：</w:t>
      </w:r>
      <w:r>
        <w:rPr>
          <w:rFonts w:hint="eastAsia" w:ascii="仿宋" w:hAnsi="仿宋" w:eastAsia="仿宋" w:cs="仿宋"/>
          <w:color w:val="auto"/>
          <w:sz w:val="24"/>
          <w:szCs w:val="24"/>
          <w:highlight w:val="none"/>
          <w:lang w:eastAsia="zh-CN"/>
        </w:rPr>
        <w:t>浙江工业大学屏峰校区学生宿舍建设工程项目施工用电工程</w:t>
      </w:r>
      <w:r>
        <w:rPr>
          <w:rFonts w:hint="eastAsia" w:ascii="仿宋" w:hAnsi="仿宋" w:eastAsia="仿宋" w:cs="仿宋"/>
          <w:color w:val="auto"/>
          <w:sz w:val="24"/>
          <w:szCs w:val="24"/>
          <w:highlight w:val="none"/>
        </w:rPr>
        <w:t>。</w:t>
      </w:r>
    </w:p>
    <w:p w14:paraId="7F53151C">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2.基本情况：</w:t>
      </w:r>
    </w:p>
    <w:p w14:paraId="2093AC8A">
      <w:pPr>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浙江工业大学屏峰校区学生宿舍建设工程项目施工用电工程，主要包含屏峰校区学生宿舍建设工程提供临时施工用电，包含电力管线敷设、新装变压器及高压计量箱等内容。</w:t>
      </w:r>
    </w:p>
    <w:p w14:paraId="19B89449">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3.现场条件</w:t>
      </w:r>
    </w:p>
    <w:p w14:paraId="47C9DD62">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（1）已具备施工条件，但施工不能影响正常的工作。</w:t>
      </w:r>
    </w:p>
    <w:p w14:paraId="43CEDB72">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r>
        <w:rPr>
          <w:rFonts w:hint="eastAsia" w:ascii="仿宋" w:hAnsi="仿宋" w:eastAsia="仿宋" w:cs="仿宋"/>
          <w:color w:val="auto"/>
          <w:sz w:val="24"/>
          <w:szCs w:val="24"/>
          <w:highlight w:val="none"/>
          <w:lang w:val="en-US" w:eastAsia="zh-CN"/>
        </w:rPr>
        <w:t>本项目</w:t>
      </w:r>
      <w:r>
        <w:rPr>
          <w:rFonts w:ascii="仿宋" w:hAnsi="仿宋" w:eastAsia="仿宋" w:cs="Arial"/>
          <w:b w:val="0"/>
          <w:bCs/>
          <w:color w:val="auto"/>
          <w:sz w:val="24"/>
          <w:szCs w:val="24"/>
          <w:highlight w:val="none"/>
        </w:rPr>
        <w:t>踏勘联系人：</w:t>
      </w:r>
      <w:r>
        <w:rPr>
          <w:rFonts w:hint="eastAsia" w:ascii="仿宋" w:hAnsi="仿宋" w:eastAsia="仿宋" w:cs="Arial"/>
          <w:b w:val="0"/>
          <w:bCs/>
          <w:color w:val="auto"/>
          <w:sz w:val="24"/>
          <w:szCs w:val="24"/>
          <w:highlight w:val="none"/>
          <w:lang w:val="en-US" w:eastAsia="zh-CN"/>
        </w:rPr>
        <w:t>曾老师</w:t>
      </w:r>
      <w:r>
        <w:rPr>
          <w:rFonts w:hint="eastAsia" w:ascii="仿宋" w:hAnsi="仿宋" w:eastAsia="仿宋" w:cs="Arial"/>
          <w:b w:val="0"/>
          <w:bCs/>
          <w:color w:val="auto"/>
          <w:sz w:val="24"/>
          <w:szCs w:val="24"/>
          <w:highlight w:val="none"/>
          <w:lang w:eastAsia="zh-CN"/>
        </w:rPr>
        <w:t>，</w:t>
      </w:r>
      <w:r>
        <w:rPr>
          <w:rFonts w:ascii="仿宋" w:hAnsi="仿宋" w:eastAsia="仿宋" w:cs="Arial"/>
          <w:b w:val="0"/>
          <w:bCs/>
          <w:color w:val="auto"/>
          <w:sz w:val="24"/>
          <w:szCs w:val="24"/>
          <w:highlight w:val="none"/>
        </w:rPr>
        <w:t>联系电话：</w:t>
      </w:r>
      <w:r>
        <w:rPr>
          <w:rFonts w:hint="eastAsia" w:ascii="仿宋" w:hAnsi="仿宋" w:eastAsia="仿宋" w:cs="Arial"/>
          <w:b w:val="0"/>
          <w:bCs/>
          <w:color w:val="auto"/>
          <w:sz w:val="24"/>
          <w:szCs w:val="24"/>
          <w:highlight w:val="none"/>
          <w:lang w:val="en-US" w:eastAsia="zh-CN"/>
        </w:rPr>
        <w:t>15068150696。</w:t>
      </w:r>
    </w:p>
    <w:p w14:paraId="460FDE38">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4.工程承包范围</w:t>
      </w:r>
    </w:p>
    <w:p w14:paraId="2D61F945">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（1）工程量清单等已明确的工程内容（工程量清单另附）。</w:t>
      </w:r>
    </w:p>
    <w:p w14:paraId="408CFA95">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（2）可能出现的工程量增减以及根据</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明确指令需在招标范围外增加的工程量及招标范围内减少的工程量。</w:t>
      </w:r>
    </w:p>
    <w:p w14:paraId="3B0F1E68">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5.工程质量标准</w:t>
      </w:r>
    </w:p>
    <w:p w14:paraId="1AC1C049">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工程质量符合（工程施工质量验收规范）合格标准。</w:t>
      </w:r>
    </w:p>
    <w:p w14:paraId="4F4CFBE2">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6.工期要求</w:t>
      </w:r>
    </w:p>
    <w:p w14:paraId="2AE8531C">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60日历天</w:t>
      </w:r>
      <w:r>
        <w:rPr>
          <w:rFonts w:hint="eastAsia" w:ascii="仿宋" w:hAnsi="仿宋" w:eastAsia="仿宋" w:cs="仿宋"/>
          <w:color w:val="auto"/>
          <w:sz w:val="24"/>
          <w:szCs w:val="24"/>
          <w:highlight w:val="none"/>
        </w:rPr>
        <w:t>。</w:t>
      </w:r>
    </w:p>
    <w:p w14:paraId="64119E50">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供应商须确保按期完工，并在磋商响应文件中列出详细的工期进度计划。供应商可在响应文件中承诺更短的工期。</w:t>
      </w:r>
    </w:p>
    <w:p w14:paraId="366D451C">
      <w:pPr>
        <w:pStyle w:val="2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color w:val="auto"/>
          <w:highlight w:val="none"/>
        </w:rPr>
      </w:pPr>
    </w:p>
    <w:p w14:paraId="006881F0">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二、工程管理原则</w:t>
      </w:r>
    </w:p>
    <w:p w14:paraId="0D1337B3">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承包范围内的工程项目，成交供应商一律不得转包，成交供应商如擅自转包，一经发现立即取消成交供应商的承包资格，由此引起的一切经济责任和法律责任由成交供应商承担，除扣罚履约担保外，并应另向采购人支付该项目合同金额10%的违约金；</w:t>
      </w:r>
    </w:p>
    <w:p w14:paraId="03BE7F4F">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2、严格按照已确认的设计图纸和施工技术方案组织实施，并无条件接受采购人和采购人委托的监理人员的管理；</w:t>
      </w:r>
    </w:p>
    <w:p w14:paraId="79460EAB">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3、在响应文件中确定的工程项目经理及项目管理班子人员，未经采购人同意，成交供应商不得调换和撤离，并按工程进度及时到位，</w:t>
      </w:r>
      <w:r>
        <w:rPr>
          <w:rFonts w:ascii="仿宋" w:hAnsi="仿宋" w:eastAsia="仿宋" w:cs="仿宋"/>
          <w:b/>
          <w:bCs/>
          <w:color w:val="auto"/>
          <w:sz w:val="24"/>
          <w:szCs w:val="24"/>
          <w:highlight w:val="none"/>
        </w:rPr>
        <w:t>拟派项目经理到位率不少于80%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采购人有权要求成交供应商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14:paraId="47F064BE">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4、依据设计施工图纸和技术文件要求，项目的材料、设备、施工必须达到以下现行中华人民共和国及省、市、行业的一切有关法规、规范的要求，如标准及规范要求有出入则以较严格者为准。</w:t>
      </w:r>
    </w:p>
    <w:p w14:paraId="4E9E57E4">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在合同履行期间，若上述标准或规范有修改或重新颁布，成交供应商应遵照执行。规范的获得由承包人自行解决。</w:t>
      </w:r>
    </w:p>
    <w:p w14:paraId="7B1C7CB3">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5、施工要求</w:t>
      </w:r>
    </w:p>
    <w:p w14:paraId="34AAB82B">
      <w:pPr>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5.1严格按照规范要求进行施工，达到各项拟定的设计指标；</w:t>
      </w:r>
    </w:p>
    <w:p w14:paraId="4E1A2194">
      <w:pPr>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5.2免费保修期内，成交供应商对有缺陷的部位必须无偿地给予修理与更换，并承担一切由此引起的对采购人或第三者的直接损失，除非该缺陷是由于人为破坏或合同规定的不可抗因素造成的损坏；</w:t>
      </w:r>
    </w:p>
    <w:p w14:paraId="7D8F58E6">
      <w:pPr>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5.3对所承包工程的质量负全部责任，其责任不因其他材料生产商提供的保证书而减轻或更改；</w:t>
      </w:r>
    </w:p>
    <w:p w14:paraId="69C26482">
      <w:pPr>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5.4施工时注意做好必要的劳动保护工作，成交供应商必须对所承包工程承担生产安全责任，施工人员应严格按照专业操作技术规程进行安全施工，在施工中造成的一切人身安全责任事故、财产损失等均由成交供应商自负。施工前成交供应商须为所有施工人员办理医疗及工伤社会保险，并根据需要为从事高度危险工作的人员购买适当的人身意外伤害保险，在施工过程中如发生人身伤亡事故，由成交供应商承担全部责任；</w:t>
      </w:r>
    </w:p>
    <w:p w14:paraId="531F9430">
      <w:pPr>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5.5施工过程中尽量选用低噪声设备，加强高噪声施工设备的维修管理，减少设备非正常的噪声，施工车辆的运行路线和时间尽量避开噪声敏感区和噪声敏感时段，按采购人管理要求尽量减少对学校教学、科研工作的干扰；</w:t>
      </w:r>
    </w:p>
    <w:p w14:paraId="64FE3E03">
      <w:pPr>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5.6施工现场应做到“落手清”，工程施工中产生的废建筑材料、建筑施工垃圾，不能随意堆放，应及时清运、妥善处理，做到工完料尽场地清；</w:t>
      </w:r>
    </w:p>
    <w:p w14:paraId="0920AB12">
      <w:pPr>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5.7工程使用的原材料必须符合设计要求和施工规范的规定；实际施工过程中采购人将严格检查验收进场原材料的合格证及质保书，如发现实样与质保书不符，应立即取样进行复查，对不合格的材料严禁用于工程；工程涉及的主要材料及零星材料，成交供应商须根据采购人要求及规范进行选材，所有材料要求采用在行业内有一定知名度的品牌，材料生产厂家必须通过ISO质量认证并符合环保要求，严禁选择不符合设计要求的低档材料及组织施工实施；</w:t>
      </w:r>
    </w:p>
    <w:p w14:paraId="4429336F">
      <w:pPr>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5.8工程施工全过程中要认真做好成品保护，因失窃或失火造成的损失均由成交供应商负责，凡由此而损及采购人利益时，采购人将向成交供应商索赔。</w:t>
      </w:r>
    </w:p>
    <w:p w14:paraId="7317BF4D">
      <w:pPr>
        <w:pStyle w:val="2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ascii="仿宋" w:hAnsi="仿宋" w:eastAsia="仿宋" w:cs="仿宋"/>
          <w:color w:val="auto"/>
          <w:sz w:val="24"/>
          <w:szCs w:val="24"/>
          <w:highlight w:val="none"/>
        </w:rPr>
      </w:pPr>
    </w:p>
    <w:p w14:paraId="6D487FF9">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三、安全与文明施工管理</w:t>
      </w:r>
    </w:p>
    <w:p w14:paraId="25CBB82A">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1、成交供应商服从当地政府有关部门在社会治安、综合治理、计划生育、交通管理、环境保护等的管理规定，磋商供应商应设专职人员负责本条款的执行，发包方有权对此监督检查。</w:t>
      </w:r>
    </w:p>
    <w:p w14:paraId="501D7ABA">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2、成交供应商的响应文件中应有详细的施工安全措施和安全管理组织及配备专职负责人的说明和承诺，以确保安全生产。</w:t>
      </w:r>
    </w:p>
    <w:p w14:paraId="5085A8DB">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3、成交供应商在工程施工期间，必须配备专职用电管理员，全面负责施工用电的管理。</w:t>
      </w:r>
    </w:p>
    <w:p w14:paraId="357CB6A0">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4、成交供应商在施工全过程中，要认真做好材料和成品的保护，因失窃失火或其他原因而造成的损失均由磋商供应商负责。凡由此而损及发包方利益的，成交供应商应负责赔偿发包方的损失。</w:t>
      </w:r>
    </w:p>
    <w:p w14:paraId="72F17337">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5、在工程施工过程中，因成交供应商原因造成的一切安全事故，由成交供应商承担全部经济责任和法律责任。</w:t>
      </w:r>
    </w:p>
    <w:p w14:paraId="0679737C">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施工现场做好标准化布置，醒目位置悬挂工程告示牌；施工人员统一着装、统一编号，工作装或马甲上醒目标识单位名称、人员编号；施工现场边界设置统一样式的施工安全隔栏、安全警示牌，清洁美观、无破损、整齐划一，醒目位置悬挂工程告示牌注明工程名称、开工日期、竣工日期、建设单位名称、项目负责人联系电话。</w:t>
      </w:r>
    </w:p>
    <w:p w14:paraId="6501FAAC">
      <w:pPr>
        <w:spacing w:line="360" w:lineRule="auto"/>
        <w:ind w:firstLine="480"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b/>
          <w:bCs/>
          <w:color w:val="auto"/>
          <w:sz w:val="24"/>
          <w:szCs w:val="24"/>
          <w:highlight w:val="none"/>
          <w:lang w:val="en-US" w:eastAsia="zh-CN"/>
        </w:rPr>
        <w:t>高空作业、电焊作业等特种作业必须严格遵守相关法律法规和安全操作规程，相关作业人员必须接受专门的安全培训，并取得相应的特种作业资格，方可上岗作业;涉及电焊等动火作业还需通过校内动火作业审批。</w:t>
      </w:r>
    </w:p>
    <w:p w14:paraId="28662E95">
      <w:pPr>
        <w:pStyle w:val="2"/>
        <w:rPr>
          <w:color w:val="auto"/>
          <w:highlight w:val="none"/>
        </w:rPr>
      </w:pPr>
    </w:p>
    <w:p w14:paraId="711CEBD7">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四、材料要求</w:t>
      </w:r>
    </w:p>
    <w:p w14:paraId="466B88A1">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1、材料选择：</w:t>
      </w:r>
    </w:p>
    <w:p w14:paraId="4275BAC8">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的设备和材料，各磋商供应商须根据设计施工图的要求按中高档的用材标准进行选材并报价，所有设备材料要求采用在行业内有一定知名度的品牌，生产厂家必须通过ISO质量认证，并符合环保要求，严禁选择不合设计要求的低档材料进行投标报价及组织施工实施，如有其它国家强制性认证要求的也必须满足。如有材料检验检测则应委托具有相应检测资质的检验检测单位，成交供应商承担相应材料检验检测费用，相关费用在响应报价中综合考虑，今后不得调整。</w:t>
      </w:r>
    </w:p>
    <w:p w14:paraId="531EFA9E">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2、材料的质量要求：</w:t>
      </w:r>
    </w:p>
    <w:p w14:paraId="093301EA">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（1）在免费保修期内，成交供应商对有缺陷的部位必须无偿地给予修理与更换，并承担一切由此引起的对业主或第三者的直接损失，除非该缺陷是由于人为破坏或合同规定的不可抗因素造成的损坏。</w:t>
      </w:r>
    </w:p>
    <w:p w14:paraId="28D66814">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（2）成交供应商必须对所承包的工程的质量负全部责任，其责任不因其他材料生产商提供的保证书而减轻或更改。</w:t>
      </w:r>
    </w:p>
    <w:p w14:paraId="4557EE63">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（3）材料检验按建发〔2000〕185号文件规定的见证取样和送检规定的程序进行。凡检验结果证明其有害物质含量指标超标的产品不得在工程上使用。</w:t>
      </w:r>
    </w:p>
    <w:p w14:paraId="4E622322">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3、材料供应要求：</w:t>
      </w:r>
    </w:p>
    <w:p w14:paraId="597B74AB">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（1）本项目涉及的主要材料设备，必须经监理单位、设计单位、业主单位确认后方能采购、进场、加工、安装。否则一律不予承认，不予支付相应款项。</w:t>
      </w:r>
    </w:p>
    <w:p w14:paraId="0359E4C7">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设计人、监理人、发包人确认与招标要求、投标承诺一致后封存，批量供应时应与样品一致，并经相关部门检验合格后方可使用。</w:t>
      </w:r>
    </w:p>
    <w:p w14:paraId="7E304684">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（3）由成交供应商采购的设备材料，当成交供应商选定的产品质量达不到设计要求和预期质量目标时，采购人保留更换的权利，高于投标价的不调整，低于投标价的按实调整。</w:t>
      </w:r>
    </w:p>
    <w:p w14:paraId="33CC410B">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rPr>
        <w:t>主要材料推荐品牌（或厂家）</w:t>
      </w:r>
    </w:p>
    <w:p w14:paraId="7D35E659">
      <w:pPr>
        <w:pStyle w:val="23"/>
        <w:rPr>
          <w:color w:val="auto"/>
          <w:highlight w:val="none"/>
        </w:rPr>
      </w:pPr>
    </w:p>
    <w:tbl>
      <w:tblPr>
        <w:tblStyle w:val="61"/>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1925"/>
        <w:gridCol w:w="3827"/>
        <w:gridCol w:w="2600"/>
      </w:tblGrid>
      <w:tr w14:paraId="766A8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2" w:type="dxa"/>
            <w:tcBorders>
              <w:top w:val="single" w:color="auto" w:sz="4" w:space="0"/>
              <w:left w:val="single" w:color="auto" w:sz="4" w:space="0"/>
              <w:bottom w:val="single" w:color="auto" w:sz="4" w:space="0"/>
              <w:right w:val="single" w:color="auto" w:sz="4" w:space="0"/>
            </w:tcBorders>
            <w:noWrap/>
            <w:vAlign w:val="center"/>
          </w:tcPr>
          <w:p w14:paraId="60C7B8F2">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925" w:type="dxa"/>
            <w:tcBorders>
              <w:top w:val="single" w:color="auto" w:sz="4" w:space="0"/>
              <w:left w:val="nil"/>
              <w:bottom w:val="single" w:color="auto" w:sz="4" w:space="0"/>
              <w:right w:val="single" w:color="auto" w:sz="4" w:space="0"/>
            </w:tcBorders>
            <w:noWrap/>
            <w:vAlign w:val="center"/>
          </w:tcPr>
          <w:p w14:paraId="328407AF">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材料名称</w:t>
            </w:r>
          </w:p>
        </w:tc>
        <w:tc>
          <w:tcPr>
            <w:tcW w:w="3827" w:type="dxa"/>
            <w:tcBorders>
              <w:top w:val="single" w:color="auto" w:sz="4" w:space="0"/>
              <w:left w:val="nil"/>
              <w:bottom w:val="single" w:color="auto" w:sz="4" w:space="0"/>
              <w:right w:val="single" w:color="auto" w:sz="4" w:space="0"/>
            </w:tcBorders>
            <w:noWrap/>
            <w:vAlign w:val="center"/>
          </w:tcPr>
          <w:p w14:paraId="4F128E03">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推荐品牌</w:t>
            </w:r>
          </w:p>
        </w:tc>
        <w:tc>
          <w:tcPr>
            <w:tcW w:w="2600" w:type="dxa"/>
            <w:tcBorders>
              <w:top w:val="single" w:color="auto" w:sz="4" w:space="0"/>
              <w:left w:val="nil"/>
              <w:bottom w:val="single" w:color="auto" w:sz="4" w:space="0"/>
              <w:right w:val="single" w:color="auto" w:sz="4" w:space="0"/>
            </w:tcBorders>
            <w:noWrap/>
            <w:vAlign w:val="center"/>
          </w:tcPr>
          <w:p w14:paraId="4FB025F8">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43C4D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2" w:type="dxa"/>
            <w:tcBorders>
              <w:top w:val="single" w:color="auto" w:sz="4" w:space="0"/>
              <w:left w:val="single" w:color="auto" w:sz="4" w:space="0"/>
              <w:bottom w:val="single" w:color="auto" w:sz="4" w:space="0"/>
              <w:right w:val="single" w:color="auto" w:sz="4" w:space="0"/>
            </w:tcBorders>
            <w:noWrap/>
            <w:vAlign w:val="center"/>
          </w:tcPr>
          <w:p w14:paraId="17A3729C">
            <w:pPr>
              <w:bidi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1925" w:type="dxa"/>
            <w:tcBorders>
              <w:top w:val="single" w:color="auto" w:sz="4" w:space="0"/>
              <w:left w:val="nil"/>
              <w:bottom w:val="single" w:color="auto" w:sz="4" w:space="0"/>
              <w:right w:val="single" w:color="auto" w:sz="4" w:space="0"/>
            </w:tcBorders>
            <w:noWrap/>
            <w:vAlign w:val="center"/>
          </w:tcPr>
          <w:p w14:paraId="27166B9C">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变压器</w:t>
            </w:r>
          </w:p>
        </w:tc>
        <w:tc>
          <w:tcPr>
            <w:tcW w:w="3827" w:type="dxa"/>
            <w:tcBorders>
              <w:top w:val="single" w:color="auto" w:sz="4" w:space="0"/>
              <w:left w:val="nil"/>
              <w:bottom w:val="single" w:color="auto" w:sz="4" w:space="0"/>
              <w:right w:val="single" w:color="auto" w:sz="4" w:space="0"/>
            </w:tcBorders>
            <w:noWrap/>
            <w:vAlign w:val="center"/>
          </w:tcPr>
          <w:p w14:paraId="6C6D9470">
            <w:pPr>
              <w:bidi w:val="0"/>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杭州钱变、三变科技、江苏华辰</w:t>
            </w:r>
            <w:r>
              <w:rPr>
                <w:rFonts w:hint="eastAsia" w:ascii="仿宋" w:hAnsi="仿宋" w:eastAsia="仿宋" w:cs="仿宋"/>
                <w:color w:val="auto"/>
                <w:sz w:val="24"/>
                <w:szCs w:val="24"/>
                <w:highlight w:val="none"/>
                <w:lang w:val="en-US" w:eastAsia="zh-CN"/>
              </w:rPr>
              <w:t>或相当于</w:t>
            </w:r>
          </w:p>
        </w:tc>
        <w:tc>
          <w:tcPr>
            <w:tcW w:w="2600" w:type="dxa"/>
            <w:tcBorders>
              <w:top w:val="single" w:color="auto" w:sz="4" w:space="0"/>
              <w:left w:val="nil"/>
              <w:bottom w:val="single" w:color="auto" w:sz="4" w:space="0"/>
              <w:right w:val="single" w:color="auto" w:sz="4" w:space="0"/>
            </w:tcBorders>
            <w:noWrap/>
            <w:vAlign w:val="center"/>
          </w:tcPr>
          <w:p w14:paraId="7E265C88">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线圈全铜</w:t>
            </w:r>
          </w:p>
        </w:tc>
      </w:tr>
      <w:tr w14:paraId="03DC6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2" w:type="dxa"/>
            <w:tcBorders>
              <w:top w:val="single" w:color="auto" w:sz="4" w:space="0"/>
              <w:left w:val="single" w:color="auto" w:sz="4" w:space="0"/>
              <w:bottom w:val="single" w:color="auto" w:sz="4" w:space="0"/>
              <w:right w:val="single" w:color="auto" w:sz="4" w:space="0"/>
            </w:tcBorders>
            <w:noWrap/>
            <w:vAlign w:val="center"/>
          </w:tcPr>
          <w:p w14:paraId="05F33D74">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p>
        </w:tc>
        <w:tc>
          <w:tcPr>
            <w:tcW w:w="1925" w:type="dxa"/>
            <w:tcBorders>
              <w:top w:val="single" w:color="auto" w:sz="4" w:space="0"/>
              <w:left w:val="nil"/>
              <w:bottom w:val="single" w:color="auto" w:sz="4" w:space="0"/>
              <w:right w:val="single" w:color="auto" w:sz="4" w:space="0"/>
            </w:tcBorders>
            <w:noWrap/>
            <w:vAlign w:val="center"/>
          </w:tcPr>
          <w:p w14:paraId="0162BB90">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真空断路器</w:t>
            </w:r>
          </w:p>
        </w:tc>
        <w:tc>
          <w:tcPr>
            <w:tcW w:w="3827" w:type="dxa"/>
            <w:tcBorders>
              <w:top w:val="single" w:color="auto" w:sz="4" w:space="0"/>
              <w:left w:val="nil"/>
              <w:bottom w:val="single" w:color="auto" w:sz="4" w:space="0"/>
              <w:right w:val="single" w:color="auto" w:sz="4" w:space="0"/>
            </w:tcBorders>
            <w:noWrap/>
            <w:vAlign w:val="center"/>
          </w:tcPr>
          <w:p w14:paraId="251A7EB6">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施耐德、ABB、西门子</w:t>
            </w:r>
            <w:r>
              <w:rPr>
                <w:rFonts w:hint="eastAsia" w:ascii="仿宋" w:hAnsi="仿宋" w:eastAsia="仿宋" w:cs="仿宋"/>
                <w:color w:val="auto"/>
                <w:sz w:val="24"/>
                <w:szCs w:val="24"/>
                <w:highlight w:val="none"/>
                <w:lang w:val="en-US" w:eastAsia="zh-CN"/>
              </w:rPr>
              <w:t>或相当于</w:t>
            </w:r>
          </w:p>
        </w:tc>
        <w:tc>
          <w:tcPr>
            <w:tcW w:w="2600" w:type="dxa"/>
            <w:tcBorders>
              <w:top w:val="single" w:color="auto" w:sz="4" w:space="0"/>
              <w:left w:val="nil"/>
              <w:bottom w:val="single" w:color="auto" w:sz="4" w:space="0"/>
              <w:right w:val="single" w:color="auto" w:sz="4" w:space="0"/>
            </w:tcBorders>
            <w:noWrap/>
            <w:vAlign w:val="center"/>
          </w:tcPr>
          <w:p w14:paraId="7E4764D3">
            <w:pPr>
              <w:bidi w:val="0"/>
              <w:rPr>
                <w:rFonts w:hint="eastAsia" w:ascii="仿宋" w:hAnsi="仿宋" w:eastAsia="仿宋" w:cs="仿宋"/>
                <w:color w:val="auto"/>
                <w:sz w:val="24"/>
                <w:szCs w:val="24"/>
                <w:highlight w:val="none"/>
              </w:rPr>
            </w:pPr>
          </w:p>
        </w:tc>
      </w:tr>
      <w:tr w14:paraId="69AA8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2" w:type="dxa"/>
            <w:tcBorders>
              <w:top w:val="single" w:color="auto" w:sz="4" w:space="0"/>
              <w:left w:val="single" w:color="auto" w:sz="4" w:space="0"/>
              <w:bottom w:val="single" w:color="auto" w:sz="4" w:space="0"/>
              <w:right w:val="single" w:color="auto" w:sz="4" w:space="0"/>
            </w:tcBorders>
            <w:noWrap/>
            <w:vAlign w:val="center"/>
          </w:tcPr>
          <w:p w14:paraId="34F847AF">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w:t>
            </w:r>
          </w:p>
        </w:tc>
        <w:tc>
          <w:tcPr>
            <w:tcW w:w="1925" w:type="dxa"/>
            <w:tcBorders>
              <w:top w:val="single" w:color="auto" w:sz="4" w:space="0"/>
              <w:left w:val="nil"/>
              <w:bottom w:val="single" w:color="auto" w:sz="4" w:space="0"/>
              <w:right w:val="single" w:color="auto" w:sz="4" w:space="0"/>
            </w:tcBorders>
            <w:noWrap/>
            <w:vAlign w:val="center"/>
          </w:tcPr>
          <w:p w14:paraId="674A39E0">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框架断路器</w:t>
            </w:r>
          </w:p>
        </w:tc>
        <w:tc>
          <w:tcPr>
            <w:tcW w:w="3827" w:type="dxa"/>
            <w:tcBorders>
              <w:top w:val="single" w:color="auto" w:sz="4" w:space="0"/>
              <w:left w:val="nil"/>
              <w:bottom w:val="single" w:color="auto" w:sz="4" w:space="0"/>
              <w:right w:val="single" w:color="auto" w:sz="4" w:space="0"/>
            </w:tcBorders>
            <w:noWrap/>
            <w:vAlign w:val="center"/>
          </w:tcPr>
          <w:p w14:paraId="731E5A9D">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施耐德、ABB、西门子</w:t>
            </w:r>
            <w:r>
              <w:rPr>
                <w:rFonts w:hint="eastAsia" w:ascii="仿宋" w:hAnsi="仿宋" w:eastAsia="仿宋" w:cs="仿宋"/>
                <w:color w:val="auto"/>
                <w:sz w:val="24"/>
                <w:szCs w:val="24"/>
                <w:highlight w:val="none"/>
                <w:lang w:val="en-US" w:eastAsia="zh-CN"/>
              </w:rPr>
              <w:t>或相当于</w:t>
            </w:r>
          </w:p>
        </w:tc>
        <w:tc>
          <w:tcPr>
            <w:tcW w:w="2600" w:type="dxa"/>
            <w:tcBorders>
              <w:top w:val="single" w:color="auto" w:sz="4" w:space="0"/>
              <w:left w:val="nil"/>
              <w:bottom w:val="single" w:color="auto" w:sz="4" w:space="0"/>
              <w:right w:val="single" w:color="auto" w:sz="4" w:space="0"/>
            </w:tcBorders>
            <w:noWrap/>
            <w:vAlign w:val="center"/>
          </w:tcPr>
          <w:p w14:paraId="0545E597">
            <w:pPr>
              <w:bidi w:val="0"/>
              <w:rPr>
                <w:rFonts w:hint="eastAsia" w:ascii="仿宋" w:hAnsi="仿宋" w:eastAsia="仿宋" w:cs="仿宋"/>
                <w:color w:val="auto"/>
                <w:sz w:val="24"/>
                <w:szCs w:val="24"/>
                <w:highlight w:val="none"/>
              </w:rPr>
            </w:pPr>
          </w:p>
        </w:tc>
      </w:tr>
      <w:tr w14:paraId="07712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2" w:type="dxa"/>
            <w:tcBorders>
              <w:top w:val="single" w:color="auto" w:sz="4" w:space="0"/>
              <w:left w:val="single" w:color="auto" w:sz="4" w:space="0"/>
              <w:bottom w:val="single" w:color="auto" w:sz="4" w:space="0"/>
              <w:right w:val="single" w:color="auto" w:sz="4" w:space="0"/>
            </w:tcBorders>
            <w:noWrap/>
            <w:vAlign w:val="center"/>
          </w:tcPr>
          <w:p w14:paraId="6659770A">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4</w:t>
            </w:r>
          </w:p>
        </w:tc>
        <w:tc>
          <w:tcPr>
            <w:tcW w:w="1925" w:type="dxa"/>
            <w:tcBorders>
              <w:top w:val="single" w:color="auto" w:sz="4" w:space="0"/>
              <w:left w:val="nil"/>
              <w:bottom w:val="single" w:color="auto" w:sz="4" w:space="0"/>
              <w:right w:val="single" w:color="auto" w:sz="4" w:space="0"/>
            </w:tcBorders>
            <w:noWrap/>
            <w:vAlign w:val="center"/>
          </w:tcPr>
          <w:p w14:paraId="5313D27D">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塑壳断路器</w:t>
            </w:r>
          </w:p>
        </w:tc>
        <w:tc>
          <w:tcPr>
            <w:tcW w:w="3827" w:type="dxa"/>
            <w:tcBorders>
              <w:top w:val="single" w:color="auto" w:sz="4" w:space="0"/>
              <w:left w:val="nil"/>
              <w:bottom w:val="single" w:color="auto" w:sz="4" w:space="0"/>
              <w:right w:val="single" w:color="auto" w:sz="4" w:space="0"/>
            </w:tcBorders>
            <w:noWrap/>
            <w:vAlign w:val="center"/>
          </w:tcPr>
          <w:p w14:paraId="54DA9282">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施耐德、ABB、西门子</w:t>
            </w:r>
            <w:r>
              <w:rPr>
                <w:rFonts w:hint="eastAsia" w:ascii="仿宋" w:hAnsi="仿宋" w:eastAsia="仿宋" w:cs="仿宋"/>
                <w:color w:val="auto"/>
                <w:sz w:val="24"/>
                <w:szCs w:val="24"/>
                <w:highlight w:val="none"/>
                <w:lang w:val="en-US" w:eastAsia="zh-CN"/>
              </w:rPr>
              <w:t>或相当于</w:t>
            </w:r>
          </w:p>
        </w:tc>
        <w:tc>
          <w:tcPr>
            <w:tcW w:w="2600" w:type="dxa"/>
            <w:tcBorders>
              <w:top w:val="single" w:color="auto" w:sz="4" w:space="0"/>
              <w:left w:val="nil"/>
              <w:bottom w:val="single" w:color="auto" w:sz="4" w:space="0"/>
              <w:right w:val="single" w:color="auto" w:sz="4" w:space="0"/>
            </w:tcBorders>
            <w:noWrap/>
            <w:vAlign w:val="center"/>
          </w:tcPr>
          <w:p w14:paraId="02059B1D">
            <w:pPr>
              <w:bidi w:val="0"/>
              <w:rPr>
                <w:rFonts w:hint="eastAsia" w:ascii="仿宋" w:hAnsi="仿宋" w:eastAsia="仿宋" w:cs="仿宋"/>
                <w:color w:val="auto"/>
                <w:sz w:val="24"/>
                <w:szCs w:val="24"/>
                <w:highlight w:val="none"/>
              </w:rPr>
            </w:pPr>
          </w:p>
        </w:tc>
      </w:tr>
      <w:tr w14:paraId="1C913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2" w:type="dxa"/>
            <w:tcBorders>
              <w:top w:val="single" w:color="auto" w:sz="4" w:space="0"/>
              <w:left w:val="single" w:color="auto" w:sz="4" w:space="0"/>
              <w:bottom w:val="single" w:color="auto" w:sz="4" w:space="0"/>
              <w:right w:val="single" w:color="auto" w:sz="4" w:space="0"/>
            </w:tcBorders>
            <w:noWrap/>
            <w:vAlign w:val="center"/>
          </w:tcPr>
          <w:p w14:paraId="37BD306D">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5</w:t>
            </w:r>
          </w:p>
        </w:tc>
        <w:tc>
          <w:tcPr>
            <w:tcW w:w="1925" w:type="dxa"/>
            <w:tcBorders>
              <w:top w:val="single" w:color="auto" w:sz="4" w:space="0"/>
              <w:left w:val="nil"/>
              <w:bottom w:val="single" w:color="auto" w:sz="4" w:space="0"/>
              <w:right w:val="single" w:color="auto" w:sz="4" w:space="0"/>
            </w:tcBorders>
            <w:noWrap/>
            <w:vAlign w:val="center"/>
          </w:tcPr>
          <w:p w14:paraId="0E366856">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直流屏</w:t>
            </w:r>
          </w:p>
        </w:tc>
        <w:tc>
          <w:tcPr>
            <w:tcW w:w="3827" w:type="dxa"/>
            <w:tcBorders>
              <w:top w:val="single" w:color="auto" w:sz="4" w:space="0"/>
              <w:left w:val="nil"/>
              <w:bottom w:val="single" w:color="auto" w:sz="4" w:space="0"/>
              <w:right w:val="single" w:color="auto" w:sz="4" w:space="0"/>
            </w:tcBorders>
            <w:noWrap/>
            <w:vAlign w:val="center"/>
          </w:tcPr>
          <w:p w14:paraId="300927B5">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芙亚能源、中网南自、平高电气</w:t>
            </w:r>
            <w:r>
              <w:rPr>
                <w:rFonts w:hint="eastAsia" w:ascii="仿宋" w:hAnsi="仿宋" w:eastAsia="仿宋" w:cs="仿宋"/>
                <w:color w:val="auto"/>
                <w:sz w:val="24"/>
                <w:szCs w:val="24"/>
                <w:highlight w:val="none"/>
                <w:lang w:val="en-US" w:eastAsia="zh-CN"/>
              </w:rPr>
              <w:t>或相当于</w:t>
            </w:r>
          </w:p>
        </w:tc>
        <w:tc>
          <w:tcPr>
            <w:tcW w:w="2600" w:type="dxa"/>
            <w:tcBorders>
              <w:top w:val="single" w:color="auto" w:sz="4" w:space="0"/>
              <w:left w:val="nil"/>
              <w:bottom w:val="single" w:color="auto" w:sz="4" w:space="0"/>
              <w:right w:val="single" w:color="auto" w:sz="4" w:space="0"/>
            </w:tcBorders>
            <w:noWrap/>
            <w:vAlign w:val="center"/>
          </w:tcPr>
          <w:p w14:paraId="39EE50CF">
            <w:pPr>
              <w:bidi w:val="0"/>
              <w:rPr>
                <w:rFonts w:hint="eastAsia" w:ascii="仿宋" w:hAnsi="仿宋" w:eastAsia="仿宋" w:cs="仿宋"/>
                <w:color w:val="auto"/>
                <w:sz w:val="24"/>
                <w:szCs w:val="24"/>
                <w:highlight w:val="none"/>
              </w:rPr>
            </w:pPr>
          </w:p>
        </w:tc>
      </w:tr>
      <w:tr w14:paraId="48A41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2" w:type="dxa"/>
            <w:tcBorders>
              <w:top w:val="single" w:color="auto" w:sz="4" w:space="0"/>
              <w:left w:val="single" w:color="auto" w:sz="4" w:space="0"/>
              <w:bottom w:val="single" w:color="auto" w:sz="4" w:space="0"/>
              <w:right w:val="single" w:color="auto" w:sz="4" w:space="0"/>
            </w:tcBorders>
            <w:noWrap/>
            <w:vAlign w:val="center"/>
          </w:tcPr>
          <w:p w14:paraId="16274A0F">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6</w:t>
            </w:r>
          </w:p>
        </w:tc>
        <w:tc>
          <w:tcPr>
            <w:tcW w:w="1925" w:type="dxa"/>
            <w:tcBorders>
              <w:top w:val="single" w:color="auto" w:sz="4" w:space="0"/>
              <w:left w:val="nil"/>
              <w:bottom w:val="single" w:color="auto" w:sz="4" w:space="0"/>
              <w:right w:val="single" w:color="auto" w:sz="4" w:space="0"/>
            </w:tcBorders>
            <w:noWrap/>
            <w:vAlign w:val="center"/>
          </w:tcPr>
          <w:p w14:paraId="0CEBF1DD">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电力电缆</w:t>
            </w:r>
          </w:p>
        </w:tc>
        <w:tc>
          <w:tcPr>
            <w:tcW w:w="3827" w:type="dxa"/>
            <w:tcBorders>
              <w:top w:val="single" w:color="auto" w:sz="4" w:space="0"/>
              <w:left w:val="nil"/>
              <w:bottom w:val="single" w:color="auto" w:sz="4" w:space="0"/>
              <w:right w:val="single" w:color="auto" w:sz="4" w:space="0"/>
            </w:tcBorders>
            <w:noWrap/>
            <w:vAlign w:val="center"/>
          </w:tcPr>
          <w:p w14:paraId="318F03E8">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浙江元通、浙江万马、江苏上上</w:t>
            </w:r>
            <w:r>
              <w:rPr>
                <w:rFonts w:hint="eastAsia" w:ascii="仿宋" w:hAnsi="仿宋" w:eastAsia="仿宋" w:cs="仿宋"/>
                <w:color w:val="auto"/>
                <w:sz w:val="24"/>
                <w:szCs w:val="24"/>
                <w:highlight w:val="none"/>
                <w:lang w:val="en-US" w:eastAsia="zh-CN"/>
              </w:rPr>
              <w:t>或相当于</w:t>
            </w:r>
          </w:p>
        </w:tc>
        <w:tc>
          <w:tcPr>
            <w:tcW w:w="2600" w:type="dxa"/>
            <w:tcBorders>
              <w:top w:val="single" w:color="auto" w:sz="4" w:space="0"/>
              <w:left w:val="nil"/>
              <w:bottom w:val="single" w:color="auto" w:sz="4" w:space="0"/>
              <w:right w:val="single" w:color="auto" w:sz="4" w:space="0"/>
            </w:tcBorders>
            <w:noWrap/>
            <w:vAlign w:val="center"/>
          </w:tcPr>
          <w:p w14:paraId="6C917529">
            <w:pPr>
              <w:bidi w:val="0"/>
              <w:rPr>
                <w:rFonts w:hint="eastAsia" w:ascii="仿宋" w:hAnsi="仿宋" w:eastAsia="仿宋" w:cs="仿宋"/>
                <w:color w:val="auto"/>
                <w:sz w:val="24"/>
                <w:szCs w:val="24"/>
                <w:highlight w:val="none"/>
              </w:rPr>
            </w:pPr>
          </w:p>
        </w:tc>
      </w:tr>
    </w:tbl>
    <w:p w14:paraId="4F8D09F2">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1、建议磋商供应商在上述推荐品牌（或厂家）中选其中一个品牌（或厂家）并报价。若在此表推荐品牌（或厂家）之外选择，应在表格中填写选用品牌（或厂家），品牌（或厂家）档次须高于或等于推荐品牌（或厂家）。</w:t>
      </w:r>
    </w:p>
    <w:p w14:paraId="556BE16B">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若磋商供应商未明确品牌（或厂家），或经参建各方认定选用品牌（或厂家）低于推荐品牌（或厂家）档次，或磋商供应商选用品牌（或厂家）在施工过程中停产的，采购人有权要求供应商在上述推荐品牌（或厂家）中选取并供货，价格不作调整。</w:t>
      </w:r>
    </w:p>
    <w:p w14:paraId="7DA41B7C">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3、磋商供应商应选择该品牌（或厂家）的中档以上型号并满足</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技术要求，并在报价中予以考虑。</w:t>
      </w:r>
    </w:p>
    <w:p w14:paraId="352689F0">
      <w:pPr>
        <w:spacing w:line="360" w:lineRule="auto"/>
        <w:ind w:firstLine="480" w:firstLineChars="200"/>
        <w:jc w:val="left"/>
        <w:rPr>
          <w:color w:val="auto"/>
          <w:highlight w:val="none"/>
        </w:rPr>
      </w:pPr>
      <w:r>
        <w:rPr>
          <w:rFonts w:hint="eastAsia" w:ascii="仿宋" w:hAnsi="仿宋" w:eastAsia="仿宋" w:cs="仿宋"/>
          <w:color w:val="auto"/>
          <w:sz w:val="24"/>
          <w:szCs w:val="24"/>
          <w:highlight w:val="none"/>
        </w:rPr>
        <w:t>4、请在响应文件项目实施方案中列明主要施工材料选用的品牌。</w:t>
      </w:r>
    </w:p>
    <w:p w14:paraId="76106F9C">
      <w:pPr>
        <w:spacing w:line="360" w:lineRule="auto"/>
        <w:ind w:firstLine="482" w:firstLineChars="200"/>
        <w:jc w:val="left"/>
        <w:rPr>
          <w:rFonts w:hint="eastAsia" w:ascii="仿宋" w:hAnsi="仿宋" w:eastAsia="仿宋" w:cs="仿宋"/>
          <w:b/>
          <w:bCs/>
          <w:color w:val="auto"/>
          <w:sz w:val="24"/>
          <w:szCs w:val="24"/>
          <w:highlight w:val="none"/>
        </w:rPr>
      </w:pPr>
    </w:p>
    <w:p w14:paraId="4B96B3F6">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五、报价说明</w:t>
      </w:r>
    </w:p>
    <w:p w14:paraId="566C1051">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本工程的投标报价采用综合单价法，即工程量清单计价的方式。投标报价为磋商供应商在响应文件中提出的各项支付金额的总和。磋商供应商应根据采购人提供的施工图纸、技术资料、工程量清单，按照招标文件的有关要求，结合本工程施工现场实际情况，编制的施工方案或施工组织设计，磋商供应商自身的综合实力，依据企业定额和市场价格信息，或参照本省颁布的浙江省建设工程计价规则、计价依据和计价办法及本工程所在地地区管理部门等有关规定进行报价。</w:t>
      </w:r>
    </w:p>
    <w:p w14:paraId="62A2021C">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2、磋商供应商的投标报价，应是完成本项目工程范围的全部内容，不得以任何理由予以重复作为磋商供应商计算单价或总价的依据。</w:t>
      </w:r>
    </w:p>
    <w:p w14:paraId="493B0AA5">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3、磋商供应商应按采购人提供的工程量清单中列出的工程内容、数量，填报单价和合价。每一项目只允许有一个报价。任何有选择的报价将不予接受。</w:t>
      </w:r>
    </w:p>
    <w:p w14:paraId="14ED0031">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rPr>
        <w:t>施工水电费按工程竣工结算审定价的</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％计算</w:t>
      </w:r>
      <w:r>
        <w:rPr>
          <w:rFonts w:hint="eastAsia" w:ascii="仿宋" w:hAnsi="仿宋" w:eastAsia="仿宋" w:cs="仿宋"/>
          <w:color w:val="auto"/>
          <w:sz w:val="24"/>
          <w:szCs w:val="24"/>
          <w:highlight w:val="none"/>
        </w:rPr>
        <w:t>，在结算审定款中直接扣除。</w:t>
      </w:r>
    </w:p>
    <w:p w14:paraId="5F90F5AB">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5、如有材料检验检测，则检验检测单位由建设单位指定，磋商供应商承担相应材料检验检测费用，相关费用在投标报价中综合考虑，今后不得调整。</w:t>
      </w:r>
    </w:p>
    <w:p w14:paraId="2EF9F0C9">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6、工程施工造成的其它设施、设备等的破损须修复原状，费用自行考虑报价。</w:t>
      </w:r>
    </w:p>
    <w:p w14:paraId="688C92BD">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7、本项目周边无搭设临时设施场地，项目施工人员住宿、办公用房及材料仓库等临时设施由磋商供应商自行负责，相关费用在措施费中考虑，费用包干，不报或漏报视作优惠。</w:t>
      </w:r>
    </w:p>
    <w:p w14:paraId="0DA42A58">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竞争性磋商包含两次报价，初始报价为磋商供应商在响应文件中的报价，磋商后，磋商供应商填写最终报价。最终报价可以与初始报价一致，也可在初始报价基础上给予优惠，如选择优惠，则项目竣工结算时，最终结算价根据承诺优惠率同比例调整，调整范围包括合同部分及新增联系单部分。</w:t>
      </w:r>
    </w:p>
    <w:p w14:paraId="2F97DAEA">
      <w:pPr>
        <w:pStyle w:val="2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ascii="仿宋" w:hAnsi="仿宋" w:eastAsia="仿宋" w:cs="仿宋"/>
          <w:color w:val="auto"/>
          <w:sz w:val="24"/>
          <w:szCs w:val="24"/>
          <w:highlight w:val="none"/>
        </w:rPr>
      </w:pPr>
    </w:p>
    <w:p w14:paraId="6DBA7F15">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六、质保期要求</w:t>
      </w:r>
    </w:p>
    <w:p w14:paraId="3BA9B660">
      <w:pPr>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质保期：2年</w:t>
      </w:r>
      <w:r>
        <w:rPr>
          <w:rFonts w:hint="eastAsia" w:ascii="仿宋" w:hAnsi="仿宋" w:eastAsia="仿宋" w:cs="仿宋"/>
          <w:color w:val="auto"/>
          <w:sz w:val="24"/>
          <w:szCs w:val="24"/>
          <w:highlight w:val="none"/>
          <w:lang w:eastAsia="zh-CN"/>
        </w:rPr>
        <w:t>。</w:t>
      </w:r>
    </w:p>
    <w:p w14:paraId="3BB8EC84">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质保金退还：工程竣工验收合格之日起满两年且回访质量符合要求后，一次性付清（无息）；如保修期间产生维修费、赔偿金等，则扣除相应的维修费、赔偿金等款项后退还。</w:t>
      </w:r>
    </w:p>
    <w:p w14:paraId="1E4595B5">
      <w:pPr>
        <w:pStyle w:val="2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ascii="仿宋" w:hAnsi="仿宋" w:eastAsia="仿宋" w:cs="仿宋"/>
          <w:color w:val="auto"/>
          <w:sz w:val="24"/>
          <w:szCs w:val="24"/>
          <w:highlight w:val="none"/>
        </w:rPr>
      </w:pPr>
    </w:p>
    <w:p w14:paraId="7CE7FF40">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七、针对本项目的其他要求</w:t>
      </w:r>
    </w:p>
    <w:p w14:paraId="2B4C9FBC">
      <w:pPr>
        <w:tabs>
          <w:tab w:val="right" w:leader="middleDot" w:pos="8085"/>
        </w:tabs>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1、供应商在施工时需针对高校特点合理安排施工时间及噪音控制，保障学校正常教学生活秩序；</w:t>
      </w:r>
    </w:p>
    <w:p w14:paraId="65C35ABB">
      <w:pPr>
        <w:tabs>
          <w:tab w:val="right" w:leader="middleDot" w:pos="8085"/>
        </w:tabs>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2、供应商在施工时需严格做好施工现场管理的安全管理，如防火、防盗等；</w:t>
      </w:r>
    </w:p>
    <w:p w14:paraId="08B9B9D7">
      <w:pPr>
        <w:tabs>
          <w:tab w:val="right" w:leader="middleDot" w:pos="8085"/>
        </w:tabs>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3、供应商需在竣工后及时供给水、电，做好卫生保洁工作。</w:t>
      </w:r>
    </w:p>
    <w:p w14:paraId="39BF6848">
      <w:pPr>
        <w:tabs>
          <w:tab w:val="right" w:leader="middleDot" w:pos="8085"/>
        </w:tabs>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4、供应商在校内须严格遵守国家相关法律法规、严格遵守学校有关意识形态、宗教管理教育工作等相关规定。</w:t>
      </w:r>
    </w:p>
    <w:p w14:paraId="24E04834">
      <w:pPr>
        <w:tabs>
          <w:tab w:val="right" w:leader="middleDot" w:pos="8085"/>
        </w:tabs>
        <w:adjustRightInd w:val="0"/>
        <w:snapToGrid w:val="0"/>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5、本项目成交后采购人根据实际情况，可能变更设计；如变更设计，则按调整后图纸施工、结算。</w:t>
      </w:r>
    </w:p>
    <w:p w14:paraId="24076A7E">
      <w:pPr>
        <w:tabs>
          <w:tab w:val="right" w:leader="middleDot" w:pos="8085"/>
        </w:tabs>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供应商在响应文件中需针对本项目要求提供项目实施方案（包括施工组织总体设想和方案、施工阶段的划分、施工方案的重难点分析、对应的控制措施、对施工区域特殊环境下的施工措施、对应的组织措施方案、施工各阶段的进度计划、施工进度计划网络图、劳动力、施工机械设备及材料各阶段的投入安排、突发事件的应急措施及处理方案）、保障措施方案（包括施工各阶段进度及质量保证措施、施工用材料、半成品、外购件等质量保证措施、安全文明施工及市政、市容、环保、消防等措施、服从采购人协调和统一管理及配合措施、特殊服务承诺、对成品保护、精细保洁等的方案及保证措施）、项目班组情况（包括项目经理资质、经验、项目经理承诺到位率、项目管理班子其他人员配置、资质、经验等内容）、售后服务方案（包括保修期、维护响应时间、服务方式、特别承诺）等内容。</w:t>
      </w:r>
    </w:p>
    <w:p w14:paraId="39484616">
      <w:pPr>
        <w:spacing w:line="360" w:lineRule="auto"/>
        <w:ind w:firstLine="482" w:firstLineChars="200"/>
        <w:jc w:val="left"/>
        <w:rPr>
          <w:rFonts w:hint="default" w:ascii="仿宋" w:hAnsi="仿宋" w:eastAsia="仿宋" w:cs="仿宋"/>
          <w:b/>
          <w:bCs/>
          <w:snapToGrid w:val="0"/>
          <w:color w:val="auto"/>
          <w:sz w:val="24"/>
          <w:szCs w:val="24"/>
          <w:highlight w:val="none"/>
          <w:lang w:val="en-US" w:eastAsia="zh-CN"/>
        </w:rPr>
      </w:pPr>
      <w:r>
        <w:rPr>
          <w:rFonts w:hint="eastAsia" w:ascii="仿宋" w:hAnsi="仿宋" w:eastAsia="仿宋" w:cs="仿宋"/>
          <w:b/>
          <w:bCs/>
          <w:snapToGrid w:val="0"/>
          <w:color w:val="auto"/>
          <w:sz w:val="24"/>
          <w:szCs w:val="24"/>
          <w:highlight w:val="none"/>
          <w:lang w:val="en-US" w:eastAsia="zh-CN"/>
        </w:rPr>
        <w:t>7、</w:t>
      </w:r>
      <w:r>
        <w:rPr>
          <w:rFonts w:hint="default" w:ascii="仿宋" w:hAnsi="仿宋" w:eastAsia="仿宋" w:cs="仿宋"/>
          <w:b/>
          <w:bCs/>
          <w:snapToGrid w:val="0"/>
          <w:color w:val="auto"/>
          <w:sz w:val="24"/>
          <w:szCs w:val="24"/>
          <w:highlight w:val="none"/>
          <w:lang w:val="en-US" w:eastAsia="zh-CN"/>
        </w:rPr>
        <w:t>工程完工后，供应商需精细保洁后移交给用户单位使用，保洁范围包含所有施工区域，高标准交付。</w:t>
      </w:r>
    </w:p>
    <w:p w14:paraId="532FCA75">
      <w:pPr>
        <w:spacing w:line="360" w:lineRule="auto"/>
        <w:ind w:firstLine="482" w:firstLineChars="200"/>
        <w:jc w:val="left"/>
        <w:rPr>
          <w:rFonts w:hint="default" w:ascii="仿宋" w:hAnsi="仿宋" w:eastAsia="仿宋" w:cs="仿宋"/>
          <w:b/>
          <w:bCs/>
          <w:snapToGrid w:val="0"/>
          <w:color w:val="auto"/>
          <w:sz w:val="24"/>
          <w:szCs w:val="24"/>
          <w:highlight w:val="none"/>
          <w:lang w:val="en-US" w:eastAsia="zh-CN"/>
        </w:rPr>
      </w:pPr>
      <w:r>
        <w:rPr>
          <w:rFonts w:hint="eastAsia" w:ascii="仿宋" w:hAnsi="仿宋" w:eastAsia="仿宋" w:cs="仿宋"/>
          <w:b/>
          <w:bCs/>
          <w:snapToGrid w:val="0"/>
          <w:color w:val="auto"/>
          <w:sz w:val="24"/>
          <w:szCs w:val="24"/>
          <w:highlight w:val="none"/>
          <w:lang w:val="en-US" w:eastAsia="zh-CN"/>
        </w:rPr>
        <w:t>8、工程移交前，供应商需编制设备使用说明书，明确装修或改造情况、使用注意事项、主要设施设备品牌、工程质量保修期限及范围等内容。</w:t>
      </w:r>
    </w:p>
    <w:p w14:paraId="2A571782">
      <w:pPr>
        <w:spacing w:line="360" w:lineRule="auto"/>
        <w:ind w:firstLine="482" w:firstLineChars="200"/>
        <w:jc w:val="left"/>
        <w:rPr>
          <w:rFonts w:hint="eastAsia" w:ascii="仿宋" w:hAnsi="仿宋" w:eastAsia="仿宋" w:cs="仿宋"/>
          <w:b/>
          <w:bCs/>
          <w:color w:val="auto"/>
          <w:sz w:val="24"/>
          <w:szCs w:val="24"/>
          <w:highlight w:val="none"/>
          <w:lang w:val="en-US" w:eastAsia="zh-CN"/>
        </w:rPr>
      </w:pPr>
    </w:p>
    <w:p w14:paraId="6C06162D">
      <w:pPr>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八、特别要求</w:t>
      </w:r>
    </w:p>
    <w:p w14:paraId="3ECA7C6E">
      <w:pPr>
        <w:pStyle w:val="2"/>
        <w:numPr>
          <w:ilvl w:val="0"/>
          <w:numId w:val="0"/>
        </w:numPr>
        <w:spacing w:line="360" w:lineRule="auto"/>
        <w:ind w:firstLine="482" w:firstLineChars="200"/>
        <w:rPr>
          <w:rFonts w:hint="default" w:ascii="仿宋" w:hAnsi="仿宋" w:eastAsia="仿宋" w:cs="仿宋"/>
          <w:b/>
          <w:bCs/>
          <w:snapToGrid w:val="0"/>
          <w:color w:val="auto"/>
          <w:spacing w:val="0"/>
          <w:kern w:val="2"/>
          <w:sz w:val="24"/>
          <w:szCs w:val="24"/>
          <w:highlight w:val="none"/>
          <w:lang w:val="en-US" w:eastAsia="zh-CN" w:bidi="ar-SA"/>
        </w:rPr>
      </w:pPr>
      <w:r>
        <w:rPr>
          <w:rFonts w:hint="default" w:ascii="仿宋" w:hAnsi="仿宋" w:eastAsia="仿宋" w:cs="仿宋"/>
          <w:b/>
          <w:bCs/>
          <w:snapToGrid w:val="0"/>
          <w:color w:val="auto"/>
          <w:spacing w:val="0"/>
          <w:kern w:val="2"/>
          <w:sz w:val="24"/>
          <w:szCs w:val="24"/>
          <w:highlight w:val="none"/>
          <w:lang w:val="en-US" w:eastAsia="zh-CN" w:bidi="ar-SA"/>
        </w:rPr>
        <w:t>施工单位需配合国网供电公司施工用电相关流程。</w:t>
      </w:r>
    </w:p>
    <w:p w14:paraId="576F883D">
      <w:pPr>
        <w:spacing w:line="360" w:lineRule="auto"/>
        <w:ind w:firstLine="482" w:firstLineChars="200"/>
        <w:jc w:val="left"/>
        <w:rPr>
          <w:rFonts w:hint="eastAsia" w:ascii="仿宋" w:hAnsi="仿宋" w:eastAsia="仿宋" w:cs="仿宋"/>
          <w:b/>
          <w:bCs/>
          <w:color w:val="auto"/>
          <w:sz w:val="24"/>
          <w:szCs w:val="24"/>
          <w:highlight w:val="none"/>
          <w:lang w:val="en-US" w:eastAsia="zh-CN"/>
        </w:rPr>
      </w:pPr>
    </w:p>
    <w:p w14:paraId="0C2D4095">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九</w:t>
      </w:r>
      <w:r>
        <w:rPr>
          <w:rFonts w:hint="eastAsia" w:ascii="仿宋" w:hAnsi="仿宋" w:eastAsia="仿宋" w:cs="仿宋"/>
          <w:b/>
          <w:bCs/>
          <w:color w:val="auto"/>
          <w:sz w:val="24"/>
          <w:szCs w:val="24"/>
          <w:highlight w:val="none"/>
        </w:rPr>
        <w:t>、本章未尽内容按“第五章 合同”。</w:t>
      </w:r>
    </w:p>
    <w:p w14:paraId="533AB7D1">
      <w:pPr>
        <w:pStyle w:val="78"/>
        <w:ind w:firstLine="0"/>
        <w:rPr>
          <w:color w:val="auto"/>
          <w:highlight w:val="none"/>
        </w:rPr>
      </w:pPr>
    </w:p>
    <w:p w14:paraId="015FD017">
      <w:pPr>
        <w:rPr>
          <w:rFonts w:ascii="仿宋" w:hAnsi="仿宋" w:eastAsia="仿宋" w:cs="宋体"/>
          <w:b/>
          <w:color w:val="auto"/>
          <w:sz w:val="32"/>
          <w:szCs w:val="32"/>
          <w:highlight w:val="none"/>
        </w:rPr>
      </w:pPr>
      <w:bookmarkStart w:id="95" w:name="_Toc18450"/>
      <w:bookmarkStart w:id="96" w:name="_Hlk97732490"/>
      <w:r>
        <w:rPr>
          <w:rFonts w:hint="eastAsia" w:ascii="仿宋" w:hAnsi="仿宋" w:eastAsia="仿宋" w:cs="宋体"/>
          <w:b/>
          <w:color w:val="auto"/>
          <w:sz w:val="32"/>
          <w:szCs w:val="32"/>
          <w:highlight w:val="none"/>
        </w:rPr>
        <w:br w:type="page"/>
      </w:r>
    </w:p>
    <w:p w14:paraId="193CBA1C">
      <w:pPr>
        <w:autoSpaceDN w:val="0"/>
        <w:adjustRightInd w:val="0"/>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第五章 合同</w:t>
      </w:r>
      <w:bookmarkEnd w:id="95"/>
    </w:p>
    <w:bookmarkEnd w:id="94"/>
    <w:bookmarkEnd w:id="96"/>
    <w:p w14:paraId="380C6FCF">
      <w:pPr>
        <w:spacing w:line="288" w:lineRule="auto"/>
        <w:ind w:firstLine="458" w:firstLineChars="200"/>
        <w:jc w:val="center"/>
        <w:rPr>
          <w:rFonts w:ascii="仿宋" w:hAnsi="仿宋" w:eastAsia="仿宋" w:cs="仿宋"/>
          <w:color w:val="auto"/>
          <w:spacing w:val="-6"/>
          <w:sz w:val="24"/>
          <w:szCs w:val="24"/>
          <w:highlight w:val="none"/>
        </w:rPr>
      </w:pPr>
      <w:bookmarkStart w:id="97" w:name="_Toc15050"/>
      <w:r>
        <w:rPr>
          <w:rFonts w:hint="eastAsia" w:ascii="仿宋" w:hAnsi="仿宋" w:eastAsia="仿宋" w:cs="仿宋"/>
          <w:b/>
          <w:color w:val="auto"/>
          <w:spacing w:val="-6"/>
          <w:sz w:val="24"/>
          <w:szCs w:val="24"/>
          <w:highlight w:val="none"/>
        </w:rPr>
        <w:t>浙江工业大学采购合同</w:t>
      </w:r>
    </w:p>
    <w:p w14:paraId="643EDF98">
      <w:pPr>
        <w:spacing w:line="288" w:lineRule="auto"/>
        <w:ind w:firstLine="396" w:firstLineChars="200"/>
        <w:jc w:val="center"/>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（本合同为合同样稿，最终稿由双方协商后确定，合同实质性内容不得更改；签订合同时删除此行）</w:t>
      </w:r>
    </w:p>
    <w:p w14:paraId="65324545">
      <w:pPr>
        <w:spacing w:line="288" w:lineRule="auto"/>
        <w:ind w:firstLine="422" w:firstLineChars="200"/>
        <w:jc w:val="center"/>
        <w:outlineLvl w:val="1"/>
        <w:rPr>
          <w:rFonts w:ascii="仿宋" w:hAnsi="仿宋" w:eastAsia="仿宋" w:cs="仿宋"/>
          <w:b/>
          <w:bCs/>
          <w:color w:val="auto"/>
          <w:szCs w:val="21"/>
          <w:highlight w:val="none"/>
        </w:rPr>
      </w:pPr>
    </w:p>
    <w:p w14:paraId="7149C46E">
      <w:pPr>
        <w:spacing w:line="288" w:lineRule="auto"/>
        <w:ind w:firstLine="5880" w:firstLineChars="28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HCZX-24982</w:t>
      </w:r>
    </w:p>
    <w:p w14:paraId="5CD7EC25">
      <w:pPr>
        <w:spacing w:line="288" w:lineRule="auto"/>
        <w:ind w:firstLine="5880" w:firstLineChars="2800"/>
        <w:jc w:val="both"/>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确认书号：</w:t>
      </w:r>
      <w:r>
        <w:rPr>
          <w:rFonts w:hint="eastAsia" w:ascii="仿宋" w:hAnsi="仿宋" w:eastAsia="仿宋" w:cs="仿宋"/>
          <w:color w:val="auto"/>
          <w:szCs w:val="21"/>
          <w:highlight w:val="none"/>
          <w:lang w:val="en-US" w:eastAsia="zh-CN"/>
        </w:rPr>
        <w:t>[2024]98042号</w:t>
      </w:r>
    </w:p>
    <w:p w14:paraId="130DAF8B">
      <w:pPr>
        <w:spacing w:line="288" w:lineRule="auto"/>
        <w:ind w:firstLine="5880" w:firstLineChars="28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委托编号：ZJGDZC(W)-2025-HC001</w:t>
      </w:r>
      <w:r>
        <w:rPr>
          <w:rFonts w:hint="eastAsia" w:ascii="仿宋" w:hAnsi="仿宋" w:eastAsia="仿宋" w:cs="仿宋"/>
          <w:color w:val="auto"/>
          <w:szCs w:val="21"/>
          <w:highlight w:val="none"/>
          <w:lang w:val="en-US" w:eastAsia="zh-CN"/>
        </w:rPr>
        <w:t xml:space="preserve"> </w:t>
      </w:r>
    </w:p>
    <w:p w14:paraId="58D35323">
      <w:pPr>
        <w:spacing w:line="288" w:lineRule="auto"/>
        <w:jc w:val="center"/>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第一部分  合同协议书</w:t>
      </w:r>
    </w:p>
    <w:p w14:paraId="0D0025C6">
      <w:pPr>
        <w:spacing w:line="288" w:lineRule="auto"/>
        <w:rPr>
          <w:rFonts w:ascii="仿宋" w:hAnsi="仿宋" w:eastAsia="仿宋" w:cs="仿宋"/>
          <w:color w:val="auto"/>
          <w:szCs w:val="21"/>
          <w:highlight w:val="none"/>
        </w:rPr>
      </w:pPr>
      <w:r>
        <w:rPr>
          <w:rFonts w:hint="eastAsia" w:ascii="仿宋" w:hAnsi="仿宋" w:eastAsia="仿宋" w:cs="仿宋"/>
          <w:color w:val="auto"/>
          <w:szCs w:val="21"/>
          <w:highlight w:val="none"/>
        </w:rPr>
        <w:t>发包人（全称）：浙江工业大学</w:t>
      </w:r>
    </w:p>
    <w:p w14:paraId="40AB79A6">
      <w:pPr>
        <w:spacing w:line="288" w:lineRule="auto"/>
        <w:rPr>
          <w:rFonts w:ascii="仿宋" w:hAnsi="仿宋" w:eastAsia="仿宋" w:cs="仿宋"/>
          <w:color w:val="auto"/>
          <w:szCs w:val="21"/>
          <w:highlight w:val="none"/>
        </w:rPr>
      </w:pPr>
      <w:r>
        <w:rPr>
          <w:rFonts w:hint="eastAsia" w:ascii="仿宋" w:hAnsi="仿宋" w:eastAsia="仿宋" w:cs="仿宋"/>
          <w:color w:val="auto"/>
          <w:szCs w:val="21"/>
          <w:highlight w:val="none"/>
        </w:rPr>
        <w:t>承包人（全称）：</w:t>
      </w:r>
      <w:r>
        <w:rPr>
          <w:rFonts w:hint="eastAsia" w:ascii="仿宋" w:hAnsi="仿宋" w:eastAsia="仿宋" w:cs="仿宋"/>
          <w:bCs/>
          <w:color w:val="auto"/>
          <w:szCs w:val="21"/>
          <w:highlight w:val="none"/>
          <w:u w:val="single"/>
        </w:rPr>
        <w:t xml:space="preserve">            </w:t>
      </w:r>
    </w:p>
    <w:p w14:paraId="2B524EA1">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根据《中华人民共和国民法典》《中华人民共和国建筑法》及有关法律规定，遵循平等、自愿、公平和诚实信用的原则，双方就</w:t>
      </w:r>
      <w:r>
        <w:rPr>
          <w:rFonts w:hint="eastAsia" w:ascii="仿宋" w:hAnsi="仿宋" w:eastAsia="仿宋" w:cs="仿宋"/>
          <w:color w:val="auto"/>
          <w:szCs w:val="21"/>
          <w:highlight w:val="none"/>
          <w:lang w:eastAsia="zh-CN"/>
        </w:rPr>
        <w:t>浙江工业大学屏峰校区学生宿舍建设工程项目施工用电工程</w:t>
      </w:r>
      <w:r>
        <w:rPr>
          <w:rFonts w:hint="eastAsia" w:ascii="仿宋" w:hAnsi="仿宋" w:eastAsia="仿宋" w:cs="仿宋"/>
          <w:color w:val="auto"/>
          <w:szCs w:val="21"/>
          <w:highlight w:val="none"/>
        </w:rPr>
        <w:t>施工及有关事项协商一致，共同达成如下协议：</w:t>
      </w:r>
    </w:p>
    <w:p w14:paraId="5234B84C">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一、工程概况</w:t>
      </w:r>
    </w:p>
    <w:p w14:paraId="1982F632">
      <w:pPr>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1.工程名称：</w:t>
      </w:r>
      <w:r>
        <w:rPr>
          <w:rFonts w:hint="eastAsia" w:ascii="仿宋" w:hAnsi="仿宋" w:eastAsia="仿宋" w:cs="仿宋"/>
          <w:color w:val="auto"/>
          <w:szCs w:val="21"/>
          <w:highlight w:val="none"/>
          <w:lang w:eastAsia="zh-CN"/>
        </w:rPr>
        <w:t>浙江工业大学屏峰校区学生宿舍建设工程项目施工用电工程</w:t>
      </w:r>
    </w:p>
    <w:p w14:paraId="75383623">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2.工程地点：浙江工业大学</w:t>
      </w:r>
    </w:p>
    <w:p w14:paraId="44498819">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3.工程立项批准文号：/</w:t>
      </w:r>
    </w:p>
    <w:p w14:paraId="0A356DB0">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4.资金来源：财政性资金</w:t>
      </w:r>
    </w:p>
    <w:p w14:paraId="5ABF6CAC">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5.工程内容：</w:t>
      </w:r>
      <w:r>
        <w:rPr>
          <w:rFonts w:hint="eastAsia" w:ascii="仿宋" w:hAnsi="仿宋" w:eastAsia="仿宋" w:cs="仿宋"/>
          <w:color w:val="auto"/>
          <w:szCs w:val="21"/>
          <w:highlight w:val="none"/>
          <w:u w:val="single"/>
        </w:rPr>
        <w:t xml:space="preserve">                      </w:t>
      </w:r>
    </w:p>
    <w:p w14:paraId="2998A94B">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6.工程承包范围：工程量清单、图纸范围内的全部工程内容</w:t>
      </w:r>
    </w:p>
    <w:p w14:paraId="45468566">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二、合同工期</w:t>
      </w:r>
    </w:p>
    <w:p w14:paraId="63F7A3A3">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计划开工日期：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5EF242F4">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计划竣工日期：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5D032739">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工期总日历天数：</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lang w:eastAsia="zh-CN"/>
        </w:rPr>
        <w:t>日历天</w:t>
      </w:r>
      <w:r>
        <w:rPr>
          <w:rFonts w:hint="eastAsia" w:ascii="仿宋" w:hAnsi="仿宋" w:eastAsia="仿宋" w:cs="仿宋"/>
          <w:color w:val="auto"/>
          <w:szCs w:val="21"/>
          <w:highlight w:val="none"/>
        </w:rPr>
        <w:t>，工期总日历天数与根据前述计划开竣工日期计算的工期天数不一致的，以工期总日历天数为准。</w:t>
      </w:r>
    </w:p>
    <w:p w14:paraId="565030AC">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上述计划开工和竣工日期为暂定日期，具体开工日期以总监理工程师发出的开工令为准。</w:t>
      </w:r>
    </w:p>
    <w:p w14:paraId="47720237">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三、质量标准</w:t>
      </w:r>
    </w:p>
    <w:p w14:paraId="0678A1DC">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工程质量符合国家施工验收规范合格标准。</w:t>
      </w:r>
    </w:p>
    <w:p w14:paraId="4D62B6DB">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四、签约合同价与合同价格形式</w:t>
      </w:r>
    </w:p>
    <w:p w14:paraId="01A11E2E">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1.签约合同价为：</w:t>
      </w:r>
    </w:p>
    <w:p w14:paraId="78A3B9BA">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人民币（大写）</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元)；</w:t>
      </w:r>
    </w:p>
    <w:p w14:paraId="3A032F9A">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其中：</w:t>
      </w:r>
    </w:p>
    <w:p w14:paraId="62CCD211">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（1）安全文明施工费：</w:t>
      </w:r>
    </w:p>
    <w:p w14:paraId="36C91795">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人民币（大写）</w:t>
      </w:r>
      <w:r>
        <w:rPr>
          <w:rFonts w:hint="eastAsia" w:ascii="仿宋" w:hAnsi="仿宋" w:eastAsia="仿宋" w:cs="仿宋"/>
          <w:color w:val="auto"/>
          <w:szCs w:val="21"/>
          <w:highlight w:val="none"/>
          <w:u w:val="single"/>
        </w:rPr>
        <w:t xml:space="preserve">      /      (¥      /     元)</w:t>
      </w:r>
    </w:p>
    <w:p w14:paraId="6E0113C0">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（2）材料和工程设备暂估价金额：</w:t>
      </w:r>
    </w:p>
    <w:p w14:paraId="6AF33DE0">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人民币（大写）</w:t>
      </w:r>
      <w:r>
        <w:rPr>
          <w:rFonts w:hint="eastAsia" w:ascii="仿宋" w:hAnsi="仿宋" w:eastAsia="仿宋" w:cs="仿宋"/>
          <w:color w:val="auto"/>
          <w:szCs w:val="21"/>
          <w:highlight w:val="none"/>
          <w:u w:val="single"/>
        </w:rPr>
        <w:t xml:space="preserve">      /      (¥      /     元)</w:t>
      </w:r>
    </w:p>
    <w:p w14:paraId="498AB5AC">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（3）专业工程暂估价金额：</w:t>
      </w:r>
    </w:p>
    <w:p w14:paraId="4BAC1638">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人民币（大写）</w:t>
      </w:r>
      <w:r>
        <w:rPr>
          <w:rFonts w:hint="eastAsia" w:ascii="仿宋" w:hAnsi="仿宋" w:eastAsia="仿宋" w:cs="仿宋"/>
          <w:color w:val="auto"/>
          <w:szCs w:val="21"/>
          <w:highlight w:val="none"/>
          <w:u w:val="single"/>
        </w:rPr>
        <w:t xml:space="preserve">      /      (¥      /     元)</w:t>
      </w:r>
    </w:p>
    <w:p w14:paraId="44DFC846">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（4）暂列金额：</w:t>
      </w:r>
    </w:p>
    <w:p w14:paraId="78E513BA">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人民币（大写）</w:t>
      </w:r>
      <w:r>
        <w:rPr>
          <w:rFonts w:hint="eastAsia" w:ascii="仿宋" w:hAnsi="仿宋" w:eastAsia="仿宋" w:cs="仿宋"/>
          <w:color w:val="auto"/>
          <w:szCs w:val="21"/>
          <w:highlight w:val="none"/>
          <w:u w:val="single"/>
        </w:rPr>
        <w:t xml:space="preserve">      /      (¥      /     元)</w:t>
      </w:r>
    </w:p>
    <w:p w14:paraId="145B1E36">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2.合同价格形式：</w:t>
      </w:r>
      <w:r>
        <w:rPr>
          <w:rFonts w:hint="eastAsia" w:ascii="仿宋" w:hAnsi="仿宋" w:eastAsia="仿宋" w:cs="仿宋"/>
          <w:color w:val="auto"/>
          <w:szCs w:val="21"/>
          <w:highlight w:val="none"/>
          <w:u w:val="single"/>
        </w:rPr>
        <w:t>固定单价合同</w:t>
      </w:r>
    </w:p>
    <w:p w14:paraId="60BF7643">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3.本次竞争性磋商包含两次报价，承包人在仔细研究了本项目施工磋商文件的全部内容，最后报价愿意在初始报价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万元基础上优惠至</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万元，并完全响应磋商文件内容。</w:t>
      </w:r>
    </w:p>
    <w:p w14:paraId="3C078C7D">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项目竣工结算时，最终结算价根据承诺优惠率同比例调整，调整范围包括合同部分及新增联系单部分。</w:t>
      </w:r>
    </w:p>
    <w:p w14:paraId="02F480EC">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五、项目经理</w:t>
      </w:r>
    </w:p>
    <w:p w14:paraId="142FCF92">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承包人项目经理：</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（身份证号码：</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793C0EB4">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六、合同文件构成</w:t>
      </w:r>
    </w:p>
    <w:p w14:paraId="40B0E386">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本协议书与下列文件一起构成合同文件：</w:t>
      </w:r>
    </w:p>
    <w:p w14:paraId="24014063">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（1）成交通知书</w:t>
      </w:r>
    </w:p>
    <w:p w14:paraId="07FFDBA2">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（2）磋商文件、答疑、磋商记录及补充文件</w:t>
      </w:r>
    </w:p>
    <w:p w14:paraId="3E64F6EC">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（3）响应文件及其附件</w:t>
      </w:r>
    </w:p>
    <w:p w14:paraId="74F7D594">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（4）专用合同条款及其附件</w:t>
      </w:r>
    </w:p>
    <w:p w14:paraId="1CDAFD9E">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（5）通用合同条款</w:t>
      </w:r>
    </w:p>
    <w:p w14:paraId="7770072B">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（6）技术标准和要求</w:t>
      </w:r>
    </w:p>
    <w:p w14:paraId="4FACCE35">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（7）图纸</w:t>
      </w:r>
    </w:p>
    <w:p w14:paraId="3B1985E5">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（8）已标价工程量清单或预算书</w:t>
      </w:r>
    </w:p>
    <w:p w14:paraId="5A618888">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（9）其他合同文件</w:t>
      </w:r>
    </w:p>
    <w:p w14:paraId="3A735623">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在合同订立及履行过程中形成的与合同有关的文件均构成合同文件组成部分。</w:t>
      </w:r>
    </w:p>
    <w:p w14:paraId="082B70C0">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1CA34D7D">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七、承诺</w:t>
      </w:r>
    </w:p>
    <w:p w14:paraId="6A90C047">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1.发包人承诺按照法律规定履行项目审批手续、筹集工程建设资金并按照合同约定的期限和方式支付合同价款。</w:t>
      </w:r>
    </w:p>
    <w:p w14:paraId="7F67425E">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2.承包人承诺按照法律规定及合同约定组织完成工程施工，确保工程质量和安全，不进行转包及违法分包，并在缺陷责任期及保修期内承担相应的工程维修责任。</w:t>
      </w:r>
    </w:p>
    <w:p w14:paraId="176C09EC">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3.发包人和承包人通过招投标形式签订合同的，双方理解并承诺不再就同一工程另行签订与合同实质性内容相背离的协议。</w:t>
      </w:r>
    </w:p>
    <w:p w14:paraId="2179D407">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八、词语含义</w:t>
      </w:r>
    </w:p>
    <w:p w14:paraId="5BF18F0E">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本协议书中词语含义与第二部分通用合同条款中赋予的含义相同。</w:t>
      </w:r>
    </w:p>
    <w:p w14:paraId="788E585A">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九、签订时间</w:t>
      </w:r>
    </w:p>
    <w:p w14:paraId="64F2C958">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本合同于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日签订。</w:t>
      </w:r>
    </w:p>
    <w:p w14:paraId="11E5A1E5">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十、签订地点</w:t>
      </w:r>
    </w:p>
    <w:p w14:paraId="6BEE8ACE">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本合同在浙江杭州签订。</w:t>
      </w:r>
    </w:p>
    <w:p w14:paraId="6FB9A2CC">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十一、补充协议</w:t>
      </w:r>
    </w:p>
    <w:p w14:paraId="5A41A14C">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合同未尽事宜，合同当事人另行签订补充协议，补充协议是合同的组成部分。</w:t>
      </w:r>
    </w:p>
    <w:p w14:paraId="52A21A4F">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十二、合同生效</w:t>
      </w:r>
    </w:p>
    <w:p w14:paraId="25A25E69">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本合同自双方签字盖章后生效。</w:t>
      </w:r>
    </w:p>
    <w:p w14:paraId="5B380154">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十三、合同份数</w:t>
      </w:r>
    </w:p>
    <w:p w14:paraId="077F587E">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本合同一式</w:t>
      </w:r>
      <w:r>
        <w:rPr>
          <w:rFonts w:hint="eastAsia" w:ascii="仿宋" w:hAnsi="仿宋" w:eastAsia="仿宋" w:cs="仿宋"/>
          <w:color w:val="auto"/>
          <w:szCs w:val="21"/>
          <w:highlight w:val="none"/>
          <w:u w:val="single"/>
        </w:rPr>
        <w:t>捌</w:t>
      </w:r>
      <w:r>
        <w:rPr>
          <w:rFonts w:hint="eastAsia" w:ascii="仿宋" w:hAnsi="仿宋" w:eastAsia="仿宋" w:cs="仿宋"/>
          <w:color w:val="auto"/>
          <w:szCs w:val="21"/>
          <w:highlight w:val="none"/>
        </w:rPr>
        <w:t>份，均具有同等法律效力，发包人执</w:t>
      </w:r>
      <w:r>
        <w:rPr>
          <w:rFonts w:hint="eastAsia" w:ascii="仿宋" w:hAnsi="仿宋" w:eastAsia="仿宋" w:cs="仿宋"/>
          <w:color w:val="auto"/>
          <w:szCs w:val="21"/>
          <w:highlight w:val="none"/>
          <w:u w:val="single"/>
        </w:rPr>
        <w:t>壹正叁副</w:t>
      </w:r>
      <w:r>
        <w:rPr>
          <w:rFonts w:hint="eastAsia" w:ascii="仿宋" w:hAnsi="仿宋" w:eastAsia="仿宋" w:cs="仿宋"/>
          <w:color w:val="auto"/>
          <w:szCs w:val="21"/>
          <w:highlight w:val="none"/>
        </w:rPr>
        <w:t>，承包人执</w:t>
      </w:r>
      <w:r>
        <w:rPr>
          <w:rFonts w:hint="eastAsia" w:ascii="仿宋" w:hAnsi="仿宋" w:eastAsia="仿宋" w:cs="仿宋"/>
          <w:color w:val="auto"/>
          <w:szCs w:val="21"/>
          <w:highlight w:val="none"/>
          <w:u w:val="single"/>
        </w:rPr>
        <w:t>壹正叁副</w:t>
      </w:r>
      <w:r>
        <w:rPr>
          <w:rFonts w:hint="eastAsia" w:ascii="仿宋" w:hAnsi="仿宋" w:eastAsia="仿宋" w:cs="仿宋"/>
          <w:color w:val="auto"/>
          <w:szCs w:val="21"/>
          <w:highlight w:val="none"/>
        </w:rPr>
        <w:t>。</w:t>
      </w:r>
    </w:p>
    <w:p w14:paraId="6AAE3D1F">
      <w:pPr>
        <w:spacing w:line="288" w:lineRule="auto"/>
        <w:rPr>
          <w:rFonts w:ascii="仿宋" w:hAnsi="仿宋" w:eastAsia="仿宋" w:cs="仿宋"/>
          <w:color w:val="auto"/>
          <w:szCs w:val="21"/>
          <w:highlight w:val="none"/>
        </w:rPr>
      </w:pPr>
    </w:p>
    <w:p w14:paraId="7862B6B5">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发包人：(公章)                       承包人：(公章)</w:t>
      </w:r>
    </w:p>
    <w:p w14:paraId="244F44C5">
      <w:pPr>
        <w:spacing w:line="288" w:lineRule="auto"/>
        <w:ind w:firstLine="420" w:firstLineChars="200"/>
        <w:rPr>
          <w:rFonts w:ascii="仿宋" w:hAnsi="仿宋" w:eastAsia="仿宋" w:cs="仿宋"/>
          <w:color w:val="auto"/>
          <w:szCs w:val="21"/>
          <w:highlight w:val="none"/>
        </w:rPr>
      </w:pPr>
    </w:p>
    <w:p w14:paraId="79B76B1C">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法定代表人或其委托代理人：           法定代表人或其委托代理人：</w:t>
      </w:r>
    </w:p>
    <w:p w14:paraId="282C3793">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（签字）                             （签字）</w:t>
      </w:r>
    </w:p>
    <w:p w14:paraId="0D553BAA">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组织机构代码：                        组织机构代码：</w:t>
      </w:r>
    </w:p>
    <w:p w14:paraId="7D81E173">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地址：                                地址：</w:t>
      </w:r>
    </w:p>
    <w:p w14:paraId="6E495AD8">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邮政编码：                            邮政编码：</w:t>
      </w:r>
    </w:p>
    <w:p w14:paraId="1C33F719">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法定代表人：                          法定代表人：</w:t>
      </w:r>
    </w:p>
    <w:p w14:paraId="306EBA20">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委托代理人：                          委托代理人：</w:t>
      </w:r>
    </w:p>
    <w:p w14:paraId="27E5579D">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电话：                                电话：</w:t>
      </w:r>
    </w:p>
    <w:p w14:paraId="34F0A9F3">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传真：                                传真：</w:t>
      </w:r>
    </w:p>
    <w:p w14:paraId="0016E4E6">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电子信箱：                            电子信箱：</w:t>
      </w:r>
    </w:p>
    <w:p w14:paraId="342A604C">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开户银行：                            开户银行：</w:t>
      </w:r>
    </w:p>
    <w:p w14:paraId="0C75E12B">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账号：                                账号：</w:t>
      </w:r>
    </w:p>
    <w:p w14:paraId="4DA14AFC">
      <w:pPr>
        <w:pStyle w:val="134"/>
        <w:spacing w:line="360" w:lineRule="auto"/>
        <w:ind w:firstLine="480"/>
        <w:rPr>
          <w:rFonts w:ascii="仿宋" w:hAnsi="仿宋" w:eastAsia="仿宋" w:cs="仿宋"/>
          <w:color w:val="auto"/>
          <w:szCs w:val="21"/>
          <w:highlight w:val="none"/>
          <w:u w:val="single"/>
        </w:rPr>
      </w:pPr>
    </w:p>
    <w:p w14:paraId="4B26F07D">
      <w:pPr>
        <w:spacing w:line="400" w:lineRule="atLeast"/>
        <w:ind w:firstLine="570"/>
        <w:rPr>
          <w:rFonts w:ascii="仿宋" w:hAnsi="仿宋" w:eastAsia="仿宋" w:cs="仿宋"/>
          <w:color w:val="auto"/>
          <w:szCs w:val="21"/>
          <w:highlight w:val="none"/>
        </w:rPr>
      </w:pPr>
    </w:p>
    <w:p w14:paraId="7621EA79">
      <w:pPr>
        <w:spacing w:line="400" w:lineRule="atLeast"/>
        <w:rPr>
          <w:rFonts w:ascii="仿宋" w:hAnsi="仿宋" w:eastAsia="仿宋" w:cs="仿宋"/>
          <w:color w:val="auto"/>
          <w:szCs w:val="21"/>
          <w:highlight w:val="none"/>
        </w:rPr>
      </w:pPr>
    </w:p>
    <w:p w14:paraId="1903545D">
      <w:pPr>
        <w:snapToGrid w:val="0"/>
        <w:spacing w:line="360" w:lineRule="auto"/>
        <w:jc w:val="center"/>
        <w:rPr>
          <w:rFonts w:ascii="仿宋" w:hAnsi="仿宋" w:eastAsia="仿宋" w:cs="仿宋"/>
          <w:b/>
          <w:bCs/>
          <w:color w:val="auto"/>
          <w:szCs w:val="21"/>
          <w:highlight w:val="none"/>
        </w:rPr>
      </w:pPr>
    </w:p>
    <w:p w14:paraId="68381BA2">
      <w:pPr>
        <w:snapToGrid w:val="0"/>
        <w:spacing w:line="360" w:lineRule="auto"/>
        <w:jc w:val="center"/>
        <w:rPr>
          <w:rFonts w:ascii="仿宋" w:hAnsi="仿宋" w:eastAsia="仿宋" w:cs="仿宋"/>
          <w:b/>
          <w:bCs/>
          <w:color w:val="auto"/>
          <w:szCs w:val="21"/>
          <w:highlight w:val="none"/>
        </w:rPr>
      </w:pPr>
    </w:p>
    <w:p w14:paraId="55C83900">
      <w:pPr>
        <w:pStyle w:val="30"/>
        <w:snapToGrid w:val="0"/>
        <w:spacing w:before="162" w:after="162" w:line="360" w:lineRule="auto"/>
        <w:rPr>
          <w:rFonts w:ascii="仿宋" w:hAnsi="仿宋" w:eastAsia="仿宋" w:cs="仿宋"/>
          <w:b/>
          <w:bCs/>
          <w:color w:val="auto"/>
          <w:sz w:val="21"/>
          <w:szCs w:val="21"/>
          <w:highlight w:val="none"/>
        </w:rPr>
      </w:pPr>
    </w:p>
    <w:p w14:paraId="3038A7B0">
      <w:pPr>
        <w:pStyle w:val="30"/>
        <w:snapToGrid w:val="0"/>
        <w:spacing w:before="162" w:after="162" w:line="360" w:lineRule="auto"/>
        <w:rPr>
          <w:rFonts w:ascii="仿宋" w:hAnsi="仿宋" w:eastAsia="仿宋" w:cs="仿宋"/>
          <w:b/>
          <w:bCs/>
          <w:color w:val="auto"/>
          <w:sz w:val="21"/>
          <w:szCs w:val="21"/>
          <w:highlight w:val="none"/>
        </w:rPr>
      </w:pPr>
    </w:p>
    <w:p w14:paraId="70C892E9">
      <w:pPr>
        <w:pStyle w:val="30"/>
        <w:snapToGrid w:val="0"/>
        <w:spacing w:before="162" w:after="162" w:line="360" w:lineRule="auto"/>
        <w:rPr>
          <w:rFonts w:ascii="仿宋" w:hAnsi="仿宋" w:eastAsia="仿宋" w:cs="仿宋"/>
          <w:b/>
          <w:bCs/>
          <w:color w:val="auto"/>
          <w:sz w:val="21"/>
          <w:szCs w:val="21"/>
          <w:highlight w:val="none"/>
        </w:rPr>
      </w:pPr>
    </w:p>
    <w:p w14:paraId="6F472149">
      <w:pPr>
        <w:pStyle w:val="30"/>
        <w:snapToGrid w:val="0"/>
        <w:spacing w:before="162" w:after="162" w:line="360" w:lineRule="auto"/>
        <w:rPr>
          <w:rFonts w:ascii="仿宋" w:hAnsi="仿宋" w:eastAsia="仿宋" w:cs="仿宋"/>
          <w:b/>
          <w:bCs/>
          <w:color w:val="auto"/>
          <w:sz w:val="21"/>
          <w:szCs w:val="21"/>
          <w:highlight w:val="none"/>
        </w:rPr>
      </w:pPr>
    </w:p>
    <w:p w14:paraId="33086D03">
      <w:pPr>
        <w:pStyle w:val="30"/>
        <w:snapToGrid w:val="0"/>
        <w:spacing w:before="162" w:after="162" w:line="360" w:lineRule="auto"/>
        <w:rPr>
          <w:rFonts w:ascii="仿宋" w:hAnsi="仿宋" w:eastAsia="仿宋" w:cs="仿宋"/>
          <w:b/>
          <w:bCs/>
          <w:color w:val="auto"/>
          <w:sz w:val="21"/>
          <w:szCs w:val="21"/>
          <w:highlight w:val="none"/>
        </w:rPr>
      </w:pPr>
    </w:p>
    <w:p w14:paraId="6292791E">
      <w:pPr>
        <w:pStyle w:val="55"/>
        <w:spacing w:line="440" w:lineRule="exact"/>
        <w:jc w:val="center"/>
        <w:rPr>
          <w:rFonts w:ascii="仿宋" w:hAnsi="仿宋" w:eastAsia="仿宋" w:cs="仿宋"/>
          <w:b/>
          <w:bCs/>
          <w:color w:val="auto"/>
          <w:sz w:val="32"/>
          <w:szCs w:val="32"/>
          <w:highlight w:val="none"/>
        </w:rPr>
      </w:pPr>
      <w:r>
        <w:rPr>
          <w:rFonts w:hint="eastAsia" w:ascii="仿宋" w:hAnsi="仿宋" w:eastAsia="仿宋" w:cs="仿宋"/>
          <w:b/>
          <w:snapToGrid w:val="0"/>
          <w:color w:val="auto"/>
          <w:sz w:val="28"/>
          <w:szCs w:val="28"/>
          <w:highlight w:val="none"/>
        </w:rPr>
        <w:t>第二部分  通用条款</w:t>
      </w:r>
    </w:p>
    <w:p w14:paraId="0A20D849">
      <w:pPr>
        <w:pStyle w:val="55"/>
        <w:spacing w:line="440" w:lineRule="exact"/>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详见《建设工程施工合同（示范文本）》（GF-2017-0201）第二部分 通用合同条款。</w:t>
      </w:r>
    </w:p>
    <w:p w14:paraId="1919B5F4">
      <w:pPr>
        <w:pStyle w:val="55"/>
        <w:spacing w:line="440" w:lineRule="exact"/>
        <w:jc w:val="center"/>
        <w:rPr>
          <w:rFonts w:ascii="仿宋" w:hAnsi="仿宋" w:eastAsia="仿宋" w:cs="仿宋"/>
          <w:b/>
          <w:snapToGrid w:val="0"/>
          <w:color w:val="auto"/>
          <w:sz w:val="28"/>
          <w:szCs w:val="28"/>
          <w:highlight w:val="none"/>
        </w:rPr>
      </w:pPr>
      <w:r>
        <w:rPr>
          <w:rFonts w:hint="eastAsia" w:ascii="仿宋" w:hAnsi="仿宋" w:eastAsia="仿宋" w:cs="仿宋"/>
          <w:b/>
          <w:snapToGrid w:val="0"/>
          <w:color w:val="auto"/>
          <w:sz w:val="28"/>
          <w:szCs w:val="28"/>
          <w:highlight w:val="none"/>
        </w:rPr>
        <w:t>第三部分  专用条款</w:t>
      </w:r>
    </w:p>
    <w:p w14:paraId="13D7F77A">
      <w:pPr>
        <w:pStyle w:val="554"/>
        <w:adjustRightInd w:val="0"/>
        <w:snapToGrid w:val="0"/>
        <w:spacing w:before="0" w:after="0" w:line="360" w:lineRule="exact"/>
        <w:ind w:firstLine="42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 一般约定</w:t>
      </w:r>
    </w:p>
    <w:p w14:paraId="68F546A7">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 词语定义</w:t>
      </w:r>
    </w:p>
    <w:p w14:paraId="18C08EDC">
      <w:pPr>
        <w:pStyle w:val="134"/>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1.1.1合同</w:t>
      </w:r>
    </w:p>
    <w:p w14:paraId="7FA73461">
      <w:pPr>
        <w:pStyle w:val="134"/>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1.1.1.10其他合同文件包括：</w:t>
      </w:r>
      <w:r>
        <w:rPr>
          <w:rFonts w:hint="eastAsia" w:ascii="仿宋" w:hAnsi="仿宋" w:eastAsia="仿宋" w:cs="仿宋"/>
          <w:color w:val="auto"/>
          <w:highlight w:val="none"/>
          <w:u w:val="single"/>
        </w:rPr>
        <w:t xml:space="preserve">           /      </w:t>
      </w:r>
    </w:p>
    <w:p w14:paraId="7CE2C685">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1.1.2 合同当事人及其他相关方</w:t>
      </w:r>
    </w:p>
    <w:p w14:paraId="7A645F16">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1.1.2.4监理人：</w:t>
      </w:r>
    </w:p>
    <w:p w14:paraId="45061EBC">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名    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3BDFB8F5">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资质类别和等级：</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EA68D14">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联系电话：</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4FAC4FA">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电子信箱：</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159528A">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通信地址：</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08BE56B">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1.1.2.5 设计人：</w:t>
      </w:r>
    </w:p>
    <w:p w14:paraId="304B1296">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名    称：</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19AB74F">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资质类别和等级：</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4D8085D">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联系电话：</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16EB8712">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电子信箱：</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33DBE5E7">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通信地址：</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5D24782B">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1.1.3 工程和设备</w:t>
      </w:r>
    </w:p>
    <w:p w14:paraId="076B2FE1">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1.1.3.7 作为施工现场组成部分的其他场所包括：</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222FA942">
      <w:pPr>
        <w:pStyle w:val="134"/>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1.1.3.9 永久占地包括：</w:t>
      </w:r>
      <w:r>
        <w:rPr>
          <w:rFonts w:hint="eastAsia" w:ascii="仿宋" w:hAnsi="仿宋" w:eastAsia="仿宋" w:cs="仿宋"/>
          <w:color w:val="auto"/>
          <w:highlight w:val="none"/>
          <w:u w:val="single"/>
        </w:rPr>
        <w:t xml:space="preserve">                /        </w:t>
      </w:r>
      <w:r>
        <w:rPr>
          <w:rFonts w:hint="eastAsia" w:ascii="仿宋" w:hAnsi="仿宋" w:eastAsia="仿宋" w:cs="仿宋"/>
          <w:color w:val="auto"/>
          <w:kern w:val="0"/>
          <w:highlight w:val="none"/>
        </w:rPr>
        <w:t>。</w:t>
      </w:r>
    </w:p>
    <w:p w14:paraId="2AA13EA5">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kern w:val="0"/>
          <w:highlight w:val="none"/>
        </w:rPr>
        <w:t>1.1.3.10 临时占地包括：</w:t>
      </w:r>
      <w:r>
        <w:rPr>
          <w:rFonts w:hint="eastAsia" w:ascii="仿宋" w:hAnsi="仿宋" w:eastAsia="仿宋" w:cs="仿宋"/>
          <w:color w:val="auto"/>
          <w:highlight w:val="none"/>
          <w:u w:val="single"/>
        </w:rPr>
        <w:t xml:space="preserve">             /          </w:t>
      </w:r>
      <w:r>
        <w:rPr>
          <w:rFonts w:hint="eastAsia" w:ascii="仿宋" w:hAnsi="仿宋" w:eastAsia="仿宋" w:cs="仿宋"/>
          <w:color w:val="auto"/>
          <w:kern w:val="0"/>
          <w:highlight w:val="none"/>
        </w:rPr>
        <w:t>。</w:t>
      </w:r>
    </w:p>
    <w:p w14:paraId="60640887">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1.3法律 </w:t>
      </w:r>
    </w:p>
    <w:p w14:paraId="1CEA5BDB">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适用于合同的其他规范性文件：</w:t>
      </w:r>
    </w:p>
    <w:p w14:paraId="0E447292">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1.3.1《关于贯彻《省厅调整安全文明施工费的通知》的通知》(杭建市发〔2022)54号〕；</w:t>
      </w:r>
    </w:p>
    <w:p w14:paraId="10846209">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1.3.2省市建设行政部门颁发的其他现行有效文件(包括但不仅限于以下文件)；</w:t>
      </w:r>
    </w:p>
    <w:p w14:paraId="2B359717">
      <w:pPr>
        <w:pStyle w:val="134"/>
        <w:adjustRightInd w:val="0"/>
        <w:snapToGrid w:val="0"/>
        <w:spacing w:line="360" w:lineRule="exact"/>
        <w:ind w:firstLine="420" w:firstLineChars="200"/>
        <w:rPr>
          <w:rFonts w:ascii="仿宋" w:hAnsi="仿宋" w:eastAsia="仿宋" w:cs="仿宋"/>
          <w:color w:val="auto"/>
          <w:highlight w:val="none"/>
          <w:u w:val="single"/>
        </w:rPr>
      </w:pPr>
      <w:r>
        <w:rPr>
          <w:rFonts w:hint="eastAsia" w:ascii="仿宋" w:hAnsi="仿宋" w:eastAsia="仿宋" w:cs="仿宋"/>
          <w:color w:val="auto"/>
          <w:highlight w:val="none"/>
        </w:rPr>
        <w:t>(1)其他：</w:t>
      </w:r>
      <w:r>
        <w:rPr>
          <w:rFonts w:hint="eastAsia" w:ascii="仿宋" w:hAnsi="仿宋" w:eastAsia="仿宋" w:cs="仿宋"/>
          <w:b/>
          <w:bCs/>
          <w:color w:val="auto"/>
          <w:highlight w:val="none"/>
          <w:u w:val="single"/>
        </w:rPr>
        <w:t>《中华人民共和国建筑法》、《中华人民共和国民法典》及国家、浙江省、项目所在地市现行的其它法律、行政法规、地方性法规</w:t>
      </w:r>
      <w:r>
        <w:rPr>
          <w:rFonts w:hint="eastAsia" w:ascii="仿宋" w:hAnsi="仿宋" w:eastAsia="仿宋" w:cs="仿宋"/>
          <w:color w:val="auto"/>
          <w:highlight w:val="none"/>
          <w:u w:val="single"/>
        </w:rPr>
        <w:t>。</w:t>
      </w:r>
    </w:p>
    <w:p w14:paraId="33034E95">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1.3.6 新工艺、新技术的约定：：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32C5FC05">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1.3.7 其他</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60FDD7C9">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1.4 标准和规范</w:t>
      </w:r>
    </w:p>
    <w:p w14:paraId="35D916F0">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1.4.1适用于工程的标准规范包括：</w:t>
      </w:r>
      <w:r>
        <w:rPr>
          <w:rFonts w:hint="eastAsia" w:ascii="仿宋" w:hAnsi="仿宋" w:eastAsia="仿宋" w:cs="仿宋"/>
          <w:b/>
          <w:bCs/>
          <w:color w:val="auto"/>
          <w:highlight w:val="none"/>
          <w:u w:val="single"/>
        </w:rPr>
        <w:t>按通用条款约定</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w:t>
      </w:r>
    </w:p>
    <w:p w14:paraId="5EEE2830">
      <w:pPr>
        <w:pStyle w:val="134"/>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1.4.2 发包人提供国外标准、规范的名称：</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w:t>
      </w:r>
    </w:p>
    <w:p w14:paraId="4C7085AF">
      <w:pPr>
        <w:pStyle w:val="134"/>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发包人提供国外标准、规范的份数：</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w:t>
      </w:r>
    </w:p>
    <w:p w14:paraId="162EABC0">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kern w:val="0"/>
          <w:highlight w:val="none"/>
        </w:rPr>
        <w:t>发包人提供国外标准、规范的名称：</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w:t>
      </w:r>
    </w:p>
    <w:p w14:paraId="108A636E">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1.4.3发包人对工程的技术标准和功能要求的特殊要求：</w:t>
      </w:r>
      <w:r>
        <w:rPr>
          <w:rFonts w:hint="eastAsia" w:ascii="仿宋" w:hAnsi="仿宋" w:eastAsia="仿宋" w:cs="仿宋"/>
          <w:b/>
          <w:bCs/>
          <w:color w:val="auto"/>
          <w:highlight w:val="none"/>
          <w:u w:val="single"/>
        </w:rPr>
        <w:t>按磋商文件第三章采购需求书中的技术标准约定</w:t>
      </w:r>
      <w:r>
        <w:rPr>
          <w:rFonts w:hint="eastAsia" w:ascii="仿宋" w:hAnsi="仿宋" w:eastAsia="仿宋" w:cs="仿宋"/>
          <w:color w:val="auto"/>
          <w:highlight w:val="none"/>
        </w:rPr>
        <w:t>。</w:t>
      </w:r>
    </w:p>
    <w:p w14:paraId="1A7703B3">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1.5 合同文件的优先顺序</w:t>
      </w:r>
    </w:p>
    <w:p w14:paraId="6BB99B1D">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合同文件组成及优先顺序为：</w:t>
      </w:r>
      <w:r>
        <w:rPr>
          <w:rFonts w:hint="eastAsia" w:ascii="仿宋" w:hAnsi="仿宋" w:eastAsia="仿宋" w:cs="仿宋"/>
          <w:b/>
          <w:bCs/>
          <w:color w:val="auto"/>
          <w:highlight w:val="none"/>
          <w:u w:val="single"/>
        </w:rPr>
        <w:t>（1）合同协议书；（2）成交通知书；（3）询标纪要及承诺书；（4）专用合同条款及其附件；（5）采购文件、答疑及补充文件；（6）投标函及其附录（如果有）；（7）通用合同条款；（8）技术标准和要求；（9）图纸（如果有）；（10）已标价工程量清单或预算书；（11）其他合同文件：①施工组织设计；②其他：图纸会审纪要及联系单（如果有）</w:t>
      </w:r>
      <w:r>
        <w:rPr>
          <w:rFonts w:hint="eastAsia" w:ascii="仿宋" w:hAnsi="仿宋" w:eastAsia="仿宋" w:cs="仿宋"/>
          <w:color w:val="auto"/>
          <w:highlight w:val="none"/>
        </w:rPr>
        <w:t>。</w:t>
      </w:r>
    </w:p>
    <w:p w14:paraId="6DA761FB">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1.6 图纸和承包人文件</w:t>
      </w:r>
      <w:r>
        <w:rPr>
          <w:rFonts w:hint="eastAsia" w:ascii="仿宋" w:hAnsi="仿宋" w:eastAsia="仿宋" w:cs="仿宋"/>
          <w:color w:val="auto"/>
          <w:highlight w:val="none"/>
        </w:rPr>
        <w:tab/>
      </w:r>
    </w:p>
    <w:p w14:paraId="41AD2B6B">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1.6.1 图纸的提供</w:t>
      </w:r>
    </w:p>
    <w:p w14:paraId="75017DEB">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发包人向承包人提供图纸的期限：</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57E8DCFE">
      <w:pPr>
        <w:pStyle w:val="128"/>
        <w:adjustRightInd w:val="0"/>
        <w:snapToGrid w:val="0"/>
        <w:spacing w:line="360" w:lineRule="exact"/>
        <w:ind w:firstLine="420" w:firstLineChars="200"/>
        <w:rPr>
          <w:rFonts w:ascii="仿宋" w:hAnsi="仿宋" w:eastAsia="仿宋" w:cs="仿宋"/>
          <w:b/>
          <w:bCs/>
          <w:color w:val="auto"/>
          <w:highlight w:val="none"/>
          <w:u w:val="single"/>
        </w:rPr>
      </w:pPr>
      <w:r>
        <w:rPr>
          <w:rFonts w:hint="eastAsia" w:ascii="仿宋" w:hAnsi="仿宋" w:eastAsia="仿宋" w:cs="仿宋"/>
          <w:color w:val="auto"/>
          <w:highlight w:val="none"/>
        </w:rPr>
        <w:t>发包人向承包人提供图纸的数量：</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1CD32B9E">
      <w:pPr>
        <w:pStyle w:val="134"/>
        <w:adjustRightInd w:val="0"/>
        <w:snapToGrid w:val="0"/>
        <w:spacing w:line="360" w:lineRule="exact"/>
        <w:ind w:firstLine="420" w:firstLineChars="200"/>
        <w:rPr>
          <w:rFonts w:ascii="仿宋" w:hAnsi="仿宋" w:eastAsia="仿宋" w:cs="仿宋"/>
          <w:color w:val="auto"/>
          <w:kern w:val="0"/>
          <w:highlight w:val="none"/>
          <w:u w:val="single"/>
        </w:rPr>
      </w:pPr>
      <w:r>
        <w:rPr>
          <w:rFonts w:hint="eastAsia" w:ascii="仿宋" w:hAnsi="仿宋" w:eastAsia="仿宋" w:cs="仿宋"/>
          <w:color w:val="auto"/>
          <w:highlight w:val="none"/>
        </w:rPr>
        <w:t>发包人向承包人提供图纸的内容：</w:t>
      </w:r>
      <w:r>
        <w:rPr>
          <w:rFonts w:hint="eastAsia" w:ascii="仿宋" w:hAnsi="仿宋" w:eastAsia="仿宋" w:cs="仿宋"/>
          <w:color w:val="auto"/>
          <w:highlight w:val="none"/>
          <w:u w:val="single"/>
        </w:rPr>
        <w:t xml:space="preserve">   /     </w:t>
      </w:r>
      <w:r>
        <w:rPr>
          <w:rFonts w:hint="eastAsia" w:ascii="仿宋" w:hAnsi="仿宋" w:eastAsia="仿宋" w:cs="仿宋"/>
          <w:color w:val="auto"/>
          <w:kern w:val="0"/>
          <w:highlight w:val="none"/>
        </w:rPr>
        <w:t>。</w:t>
      </w:r>
    </w:p>
    <w:p w14:paraId="1DB2095E">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1.6.4 承包人文件</w:t>
      </w:r>
    </w:p>
    <w:p w14:paraId="3D5A2033">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需要由承包人提供的文件，包括：</w:t>
      </w:r>
      <w:r>
        <w:rPr>
          <w:rFonts w:hint="eastAsia" w:ascii="仿宋" w:hAnsi="仿宋" w:eastAsia="仿宋" w:cs="仿宋"/>
          <w:b/>
          <w:bCs/>
          <w:color w:val="auto"/>
          <w:highlight w:val="none"/>
          <w:u w:val="single"/>
        </w:rPr>
        <w:t>施工组织设计（施工方案）和进度计划</w:t>
      </w:r>
      <w:r>
        <w:rPr>
          <w:rFonts w:hint="eastAsia" w:ascii="仿宋" w:hAnsi="仿宋" w:eastAsia="仿宋" w:cs="仿宋"/>
          <w:color w:val="auto"/>
          <w:highlight w:val="none"/>
        </w:rPr>
        <w:t>；</w:t>
      </w:r>
    </w:p>
    <w:p w14:paraId="418BE3AA">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承包人提供的文件的期限为：</w:t>
      </w:r>
      <w:r>
        <w:rPr>
          <w:rFonts w:hint="eastAsia" w:ascii="仿宋" w:hAnsi="仿宋" w:eastAsia="仿宋" w:cs="仿宋"/>
          <w:b/>
          <w:bCs/>
          <w:color w:val="auto"/>
          <w:highlight w:val="none"/>
          <w:u w:val="single"/>
        </w:rPr>
        <w:t>开工前7天提供</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2F1B212">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承包人提供的文件的数量为：</w:t>
      </w:r>
      <w:r>
        <w:rPr>
          <w:rFonts w:hint="eastAsia" w:ascii="仿宋" w:hAnsi="仿宋" w:eastAsia="仿宋" w:cs="仿宋"/>
          <w:b/>
          <w:bCs/>
          <w:color w:val="auto"/>
          <w:highlight w:val="none"/>
          <w:u w:val="single"/>
        </w:rPr>
        <w:t xml:space="preserve">三套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EE04E27">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承包人提供的文件的形式为：</w:t>
      </w:r>
      <w:r>
        <w:rPr>
          <w:rFonts w:hint="eastAsia" w:ascii="仿宋" w:hAnsi="仿宋" w:eastAsia="仿宋" w:cs="仿宋"/>
          <w:b/>
          <w:bCs/>
          <w:color w:val="auto"/>
          <w:highlight w:val="none"/>
          <w:u w:val="single"/>
        </w:rPr>
        <w:t>书面文件</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C0B4220">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发包人审批承包人文件的期限：</w:t>
      </w:r>
      <w:r>
        <w:rPr>
          <w:rFonts w:hint="eastAsia" w:ascii="仿宋" w:hAnsi="仿宋" w:eastAsia="仿宋" w:cs="仿宋"/>
          <w:b/>
          <w:bCs/>
          <w:color w:val="auto"/>
          <w:highlight w:val="none"/>
          <w:u w:val="single"/>
        </w:rPr>
        <w:t>收到报告后7天内</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4A7EF9E">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1.6.5 现场图纸准备</w:t>
      </w:r>
    </w:p>
    <w:p w14:paraId="3758F1D9">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关于现场图纸准备的约定：</w:t>
      </w:r>
      <w:r>
        <w:rPr>
          <w:rFonts w:hint="eastAsia" w:ascii="仿宋" w:hAnsi="仿宋" w:eastAsia="仿宋" w:cs="仿宋"/>
          <w:b/>
          <w:bCs/>
          <w:color w:val="auto"/>
          <w:highlight w:val="none"/>
          <w:u w:val="single"/>
        </w:rPr>
        <w:t>按通用合同条款第1.6.5条规定执行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396CF0D4">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1.7 联络</w:t>
      </w:r>
    </w:p>
    <w:p w14:paraId="58DD9E15">
      <w:pPr>
        <w:pStyle w:val="134"/>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1.7.1发包人和承包人应当在</w:t>
      </w:r>
      <w:r>
        <w:rPr>
          <w:rFonts w:hint="eastAsia" w:ascii="仿宋" w:hAnsi="仿宋" w:eastAsia="仿宋" w:cs="仿宋"/>
          <w:b/>
          <w:bCs/>
          <w:color w:val="auto"/>
          <w:highlight w:val="none"/>
          <w:u w:val="single"/>
        </w:rPr>
        <w:t>7</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天内将与合同有关的通知、批准、证明、证书、指示、指令、要求、请求、同意、意见、确定和决定等书面函件送达对方当事人。</w:t>
      </w:r>
    </w:p>
    <w:p w14:paraId="75BAD394">
      <w:pPr>
        <w:pStyle w:val="134"/>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1.7.2 发包人接收文件的地点：</w:t>
      </w:r>
      <w:r>
        <w:rPr>
          <w:rFonts w:hint="eastAsia" w:ascii="仿宋" w:hAnsi="仿宋" w:eastAsia="仿宋" w:cs="仿宋"/>
          <w:b/>
          <w:bCs/>
          <w:color w:val="auto"/>
          <w:highlight w:val="none"/>
          <w:u w:val="single"/>
        </w:rPr>
        <w:t>施工现场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w:t>
      </w:r>
    </w:p>
    <w:p w14:paraId="653E9E63">
      <w:pPr>
        <w:pStyle w:val="134"/>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发包人指定的接收人为：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w:t>
      </w:r>
    </w:p>
    <w:p w14:paraId="02A56A21">
      <w:pPr>
        <w:pStyle w:val="134"/>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承包人接收文件的地点：</w:t>
      </w:r>
      <w:r>
        <w:rPr>
          <w:rFonts w:hint="eastAsia" w:ascii="仿宋" w:hAnsi="仿宋" w:eastAsia="仿宋" w:cs="仿宋"/>
          <w:b/>
          <w:bCs/>
          <w:color w:val="auto"/>
          <w:highlight w:val="none"/>
          <w:u w:val="single"/>
        </w:rPr>
        <w:t>施工现场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w:t>
      </w:r>
    </w:p>
    <w:p w14:paraId="280EAE44">
      <w:pPr>
        <w:pStyle w:val="134"/>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承包人指定的接收人为：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w:t>
      </w:r>
    </w:p>
    <w:p w14:paraId="166FC892">
      <w:pPr>
        <w:pStyle w:val="134"/>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监理人接收文件的地点：</w:t>
      </w:r>
      <w:r>
        <w:rPr>
          <w:rFonts w:hint="eastAsia" w:ascii="仿宋" w:hAnsi="仿宋" w:eastAsia="仿宋" w:cs="仿宋"/>
          <w:b/>
          <w:bCs/>
          <w:color w:val="auto"/>
          <w:highlight w:val="none"/>
          <w:u w:val="single"/>
        </w:rPr>
        <w:t>施工现场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w:t>
      </w:r>
    </w:p>
    <w:p w14:paraId="4FDAFBCE">
      <w:pPr>
        <w:pStyle w:val="134"/>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监理人指定的接收人为：</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w:t>
      </w:r>
    </w:p>
    <w:p w14:paraId="4FF5CF83">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1.10 交通运输</w:t>
      </w:r>
    </w:p>
    <w:p w14:paraId="3053170E">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1.10.1 出入现场的权利</w:t>
      </w:r>
    </w:p>
    <w:p w14:paraId="35E9F00E">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关于出入现场的权利的约定：</w:t>
      </w:r>
      <w:r>
        <w:rPr>
          <w:rFonts w:hint="eastAsia" w:ascii="仿宋" w:hAnsi="仿宋" w:eastAsia="仿宋" w:cs="仿宋"/>
          <w:b/>
          <w:bCs/>
          <w:color w:val="auto"/>
          <w:highlight w:val="none"/>
          <w:u w:val="single"/>
        </w:rPr>
        <w:t>按通用合同条款第1.10.1条规定执行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DFECA7A">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1.10.3 场内交通</w:t>
      </w:r>
    </w:p>
    <w:p w14:paraId="3FC11170">
      <w:pPr>
        <w:pStyle w:val="134"/>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关于场外交通和场内交通的边界的约定：</w:t>
      </w:r>
      <w:r>
        <w:rPr>
          <w:rFonts w:hint="eastAsia" w:ascii="仿宋" w:hAnsi="仿宋" w:eastAsia="仿宋" w:cs="仿宋"/>
          <w:b/>
          <w:bCs/>
          <w:color w:val="auto"/>
          <w:highlight w:val="none"/>
          <w:u w:val="single"/>
        </w:rPr>
        <w:t>施工范围内的场地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F6B01BD">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关于发包人向承包人免费提供满足工程施工需要的场内道路和交通设施的约定：</w:t>
      </w:r>
      <w:r>
        <w:rPr>
          <w:rFonts w:hint="eastAsia" w:ascii="仿宋" w:hAnsi="仿宋" w:eastAsia="仿宋" w:cs="仿宋"/>
          <w:b/>
          <w:bCs/>
          <w:color w:val="auto"/>
          <w:highlight w:val="none"/>
          <w:u w:val="single"/>
        </w:rPr>
        <w:t>开工前7天，发包人负责施工场地道路畅通，确保承包人施工车辆进出工地畅通；承包人须办理校内施工相关手续并承担相应费用</w:t>
      </w:r>
      <w:r>
        <w:rPr>
          <w:rFonts w:hint="eastAsia" w:ascii="仿宋" w:hAnsi="仿宋" w:eastAsia="仿宋" w:cs="仿宋"/>
          <w:color w:val="auto"/>
          <w:highlight w:val="none"/>
        </w:rPr>
        <w:t xml:space="preserve">。  </w:t>
      </w:r>
    </w:p>
    <w:p w14:paraId="4DF2CB77">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1.10.4超大件和超重件的运输</w:t>
      </w:r>
    </w:p>
    <w:p w14:paraId="691D7167">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运输超大件或超重件所需的道路和桥梁临时加固改造费用和其他有关费用由</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承包人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承担。</w:t>
      </w:r>
    </w:p>
    <w:p w14:paraId="10A7A2D6">
      <w:pPr>
        <w:pStyle w:val="134"/>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本工程的超大件：</w:t>
      </w:r>
      <w:r>
        <w:rPr>
          <w:rFonts w:hint="eastAsia" w:ascii="仿宋" w:hAnsi="仿宋" w:eastAsia="仿宋" w:cs="仿宋"/>
          <w:color w:val="auto"/>
          <w:highlight w:val="none"/>
          <w:u w:val="single"/>
        </w:rPr>
        <w:t xml:space="preserve">   /     </w:t>
      </w:r>
      <w:r>
        <w:rPr>
          <w:rFonts w:hint="eastAsia" w:ascii="仿宋" w:hAnsi="仿宋" w:eastAsia="仿宋" w:cs="仿宋"/>
          <w:color w:val="auto"/>
          <w:kern w:val="0"/>
          <w:highlight w:val="none"/>
        </w:rPr>
        <w:t>。</w:t>
      </w:r>
    </w:p>
    <w:p w14:paraId="059EF2CA">
      <w:pPr>
        <w:pStyle w:val="134"/>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本工程的超重件：</w:t>
      </w:r>
      <w:r>
        <w:rPr>
          <w:rFonts w:hint="eastAsia" w:ascii="仿宋" w:hAnsi="仿宋" w:eastAsia="仿宋" w:cs="仿宋"/>
          <w:color w:val="auto"/>
          <w:highlight w:val="none"/>
          <w:u w:val="single"/>
        </w:rPr>
        <w:t xml:space="preserve">   /     </w:t>
      </w:r>
      <w:r>
        <w:rPr>
          <w:rFonts w:hint="eastAsia" w:ascii="仿宋" w:hAnsi="仿宋" w:eastAsia="仿宋" w:cs="仿宋"/>
          <w:color w:val="auto"/>
          <w:kern w:val="0"/>
          <w:highlight w:val="none"/>
        </w:rPr>
        <w:t>。</w:t>
      </w:r>
    </w:p>
    <w:p w14:paraId="3B4FE1A6">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1.11 知识产权</w:t>
      </w:r>
    </w:p>
    <w:p w14:paraId="52959C29">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b/>
          <w:bCs/>
          <w:color w:val="auto"/>
          <w:highlight w:val="none"/>
          <w:u w:val="single"/>
        </w:rPr>
        <w:t>按通用合同条款第1.11.1条规定执行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0C29B8C">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关于发包人提供的上述文件的使用限制的要求：</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01D2AE89">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1.11.2 关于承包人为实施工程所编制文件的著作权的归属：</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按通用合同条款第1.11.2条规定执行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D72EAEE">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关于承包人提供的上述文件的使用限制的要求：</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4D7D8B0D">
      <w:pPr>
        <w:pStyle w:val="134"/>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highlight w:val="none"/>
        </w:rPr>
        <w:t>1.11.4 承包人在施工过程中所采用的专利、专有技术、技术秘密的使用费的承担方式：</w:t>
      </w:r>
      <w:r>
        <w:rPr>
          <w:rFonts w:hint="eastAsia" w:ascii="仿宋" w:hAnsi="仿宋" w:eastAsia="仿宋" w:cs="仿宋"/>
          <w:b/>
          <w:bCs/>
          <w:color w:val="auto"/>
          <w:highlight w:val="none"/>
          <w:u w:val="single"/>
        </w:rPr>
        <w:t xml:space="preserve"> (除发包人指明外)承包人在施工过 程中所采用的专利、专有技术、技术秘密的使用费包含在合同价款内。</w:t>
      </w:r>
      <w:r>
        <w:rPr>
          <w:rFonts w:hint="eastAsia" w:ascii="仿宋" w:hAnsi="仿宋" w:eastAsia="仿宋" w:cs="仿宋"/>
          <w:color w:val="auto"/>
          <w:kern w:val="0"/>
          <w:highlight w:val="none"/>
        </w:rPr>
        <w:t>。</w:t>
      </w:r>
    </w:p>
    <w:p w14:paraId="40945FB3">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1.13工程量清单错误的修正</w:t>
      </w:r>
    </w:p>
    <w:p w14:paraId="4A623A2E">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出现工程量清单错误时，是否调整合同价格：</w:t>
      </w:r>
      <w:r>
        <w:rPr>
          <w:rFonts w:hint="eastAsia" w:ascii="仿宋" w:hAnsi="仿宋" w:eastAsia="仿宋" w:cs="仿宋"/>
          <w:b/>
          <w:bCs/>
          <w:color w:val="auto"/>
          <w:highlight w:val="none"/>
          <w:u w:val="single"/>
        </w:rPr>
        <w:t xml:space="preserve">但单价不作调整 </w:t>
      </w:r>
      <w:r>
        <w:rPr>
          <w:rFonts w:hint="eastAsia" w:ascii="仿宋" w:hAnsi="仿宋" w:eastAsia="仿宋" w:cs="仿宋"/>
          <w:color w:val="auto"/>
          <w:kern w:val="0"/>
          <w:highlight w:val="none"/>
        </w:rPr>
        <w:t>。</w:t>
      </w:r>
    </w:p>
    <w:p w14:paraId="779986F6">
      <w:pPr>
        <w:pStyle w:val="134"/>
        <w:adjustRightInd w:val="0"/>
        <w:snapToGrid w:val="0"/>
        <w:spacing w:line="360" w:lineRule="exact"/>
        <w:ind w:firstLine="420"/>
        <w:rPr>
          <w:rFonts w:ascii="仿宋" w:hAnsi="仿宋" w:eastAsia="仿宋" w:cs="仿宋"/>
          <w:color w:val="auto"/>
          <w:kern w:val="0"/>
          <w:highlight w:val="none"/>
        </w:rPr>
      </w:pPr>
      <w:r>
        <w:rPr>
          <w:rFonts w:hint="eastAsia" w:ascii="仿宋" w:hAnsi="仿宋" w:eastAsia="仿宋" w:cs="仿宋"/>
          <w:color w:val="auto"/>
          <w:highlight w:val="none"/>
        </w:rPr>
        <w:t>允许调整合同价格的工程量偏差范围：</w:t>
      </w:r>
      <w:r>
        <w:rPr>
          <w:rFonts w:hint="eastAsia" w:ascii="仿宋" w:hAnsi="仿宋" w:eastAsia="仿宋" w:cs="仿宋"/>
          <w:color w:val="auto"/>
          <w:highlight w:val="none"/>
          <w:u w:val="single"/>
        </w:rPr>
        <w:t xml:space="preserve">   /       </w:t>
      </w:r>
      <w:r>
        <w:rPr>
          <w:rFonts w:hint="eastAsia" w:ascii="仿宋" w:hAnsi="仿宋" w:eastAsia="仿宋" w:cs="仿宋"/>
          <w:color w:val="auto"/>
          <w:kern w:val="0"/>
          <w:highlight w:val="none"/>
        </w:rPr>
        <w:t>。</w:t>
      </w:r>
    </w:p>
    <w:p w14:paraId="53205BF9">
      <w:pPr>
        <w:pStyle w:val="134"/>
        <w:adjustRightInd w:val="0"/>
        <w:snapToGrid w:val="0"/>
        <w:spacing w:line="360" w:lineRule="exact"/>
        <w:ind w:firstLine="420"/>
        <w:rPr>
          <w:rFonts w:ascii="仿宋" w:hAnsi="仿宋" w:eastAsia="仿宋" w:cs="仿宋"/>
          <w:color w:val="auto"/>
          <w:kern w:val="0"/>
          <w:highlight w:val="none"/>
        </w:rPr>
      </w:pPr>
      <w:r>
        <w:rPr>
          <w:rFonts w:hint="eastAsia" w:ascii="仿宋" w:hAnsi="仿宋" w:eastAsia="仿宋" w:cs="仿宋"/>
          <w:color w:val="auto"/>
          <w:highlight w:val="none"/>
        </w:rPr>
        <w:t>调整合同价格的修正时间：</w:t>
      </w:r>
      <w:r>
        <w:rPr>
          <w:rFonts w:hint="eastAsia" w:ascii="仿宋" w:hAnsi="仿宋" w:eastAsia="仿宋" w:cs="仿宋"/>
          <w:color w:val="auto"/>
          <w:highlight w:val="none"/>
          <w:u w:val="single"/>
        </w:rPr>
        <w:t xml:space="preserve">   /       </w:t>
      </w:r>
      <w:r>
        <w:rPr>
          <w:rFonts w:hint="eastAsia" w:ascii="仿宋" w:hAnsi="仿宋" w:eastAsia="仿宋" w:cs="仿宋"/>
          <w:color w:val="auto"/>
          <w:kern w:val="0"/>
          <w:highlight w:val="none"/>
        </w:rPr>
        <w:t>。</w:t>
      </w:r>
    </w:p>
    <w:p w14:paraId="44D6165E">
      <w:pPr>
        <w:pStyle w:val="554"/>
        <w:adjustRightInd w:val="0"/>
        <w:snapToGrid w:val="0"/>
        <w:spacing w:before="0" w:after="0" w:line="360" w:lineRule="exact"/>
        <w:ind w:firstLine="42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 发包人</w:t>
      </w:r>
    </w:p>
    <w:p w14:paraId="1CDEBB3D">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2.2 发包人代表</w:t>
      </w:r>
    </w:p>
    <w:p w14:paraId="4159EFCB">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发包人代表：</w:t>
      </w:r>
    </w:p>
    <w:p w14:paraId="66D6CE85">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姓    名：</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894F4FE">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身份证号：</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086CBD7B">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职    务：</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1DD7FD32">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联系电话：</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30E4DA38">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电子信箱：</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469C5F4B">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通信地址：</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29FED7B2">
      <w:pPr>
        <w:pStyle w:val="134"/>
        <w:adjustRightInd w:val="0"/>
        <w:snapToGrid w:val="0"/>
        <w:spacing w:line="360" w:lineRule="exact"/>
        <w:ind w:firstLine="525" w:firstLineChars="250"/>
        <w:rPr>
          <w:rFonts w:ascii="仿宋" w:hAnsi="仿宋" w:eastAsia="仿宋" w:cs="仿宋"/>
          <w:b/>
          <w:bCs/>
          <w:color w:val="auto"/>
          <w:highlight w:val="none"/>
          <w:u w:val="single"/>
        </w:rPr>
      </w:pPr>
      <w:r>
        <w:rPr>
          <w:rFonts w:hint="eastAsia" w:ascii="仿宋" w:hAnsi="仿宋" w:eastAsia="仿宋" w:cs="仿宋"/>
          <w:color w:val="auto"/>
          <w:highlight w:val="none"/>
        </w:rPr>
        <w:t>发包人对发包人代表的授权范围如下：</w:t>
      </w:r>
      <w:r>
        <w:rPr>
          <w:rFonts w:hint="eastAsia" w:ascii="仿宋" w:hAnsi="仿宋" w:eastAsia="仿宋" w:cs="仿宋"/>
          <w:b/>
          <w:bCs/>
          <w:color w:val="auto"/>
          <w:highlight w:val="none"/>
          <w:u w:val="single"/>
        </w:rPr>
        <w:t>（1）代表发包人对工程质量、进度、造价、安全及文明施工进行监督，工程存在质量问题或安全问题或施工进度不符合要求的，现场代表有权要求施工单位采取整改措施；</w:t>
      </w:r>
    </w:p>
    <w:p w14:paraId="43603678">
      <w:pPr>
        <w:pStyle w:val="134"/>
        <w:adjustRightInd w:val="0"/>
        <w:snapToGrid w:val="0"/>
        <w:spacing w:line="360" w:lineRule="exact"/>
        <w:ind w:firstLine="527" w:firstLineChars="250"/>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（2）发包人代表可委派有关具体管理人员，承担自己部分权力和职责，并可在任何时候撤回并重新委派，委派和撤回均应提前3个工作日通知承包方；</w:t>
      </w:r>
    </w:p>
    <w:p w14:paraId="277B3C39">
      <w:pPr>
        <w:pStyle w:val="128"/>
        <w:adjustRightInd w:val="0"/>
        <w:snapToGrid w:val="0"/>
        <w:spacing w:line="360" w:lineRule="exact"/>
        <w:ind w:firstLine="474" w:firstLineChars="225"/>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3）发包人代表的指令、通知及签证须由其本人签字并加盖印章（仅有本人签字未有印章的，发包人追认，则对发包人有效，发包人不予追认的，对发包人不具有效力），以书面形式交给承包人现场代表（或合同约定签收人），承包人代表在回执上签署姓名和收到时间。当承包人代表不在施工现场时，发包人可要求属于承包人其它管理人员代签，签字后即可视为承包人代表已签收。</w:t>
      </w:r>
    </w:p>
    <w:p w14:paraId="5022DFCC">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2.4 施工现场、施工条件和基础资料的提供</w:t>
      </w:r>
    </w:p>
    <w:p w14:paraId="7420FA8C">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2.4.1 提供施工现场</w:t>
      </w:r>
    </w:p>
    <w:p w14:paraId="07034A0A">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关于发包人移交施工现场的期限要求：</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开工前7天提供符合施工条件的施工场地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303465A">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2.4.2 提供施工条件</w:t>
      </w:r>
    </w:p>
    <w:p w14:paraId="7B16B624">
      <w:pPr>
        <w:pStyle w:val="134"/>
        <w:adjustRightInd w:val="0"/>
        <w:snapToGrid w:val="0"/>
        <w:spacing w:line="360" w:lineRule="exact"/>
        <w:ind w:firstLine="420" w:firstLineChars="200"/>
        <w:rPr>
          <w:rFonts w:ascii="仿宋" w:hAnsi="仿宋" w:eastAsia="仿宋" w:cs="仿宋"/>
          <w:color w:val="auto"/>
          <w:highlight w:val="none"/>
          <w:u w:val="single"/>
        </w:rPr>
      </w:pPr>
      <w:r>
        <w:rPr>
          <w:rFonts w:hint="eastAsia" w:ascii="仿宋" w:hAnsi="仿宋" w:eastAsia="仿宋" w:cs="仿宋"/>
          <w:color w:val="auto"/>
          <w:highlight w:val="none"/>
        </w:rPr>
        <w:t>关于发包人应负责提供施工所需要的条件，包括：</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除通用合同条款第2.4.2条规定外，开工前7天，完成水准点与坐标点，并进行现场校验</w:t>
      </w:r>
      <w:r>
        <w:rPr>
          <w:rFonts w:hint="eastAsia" w:ascii="仿宋" w:hAnsi="仿宋" w:eastAsia="仿宋" w:cs="仿宋"/>
          <w:color w:val="auto"/>
          <w:highlight w:val="none"/>
        </w:rPr>
        <w:t>。</w:t>
      </w:r>
    </w:p>
    <w:p w14:paraId="543A5479">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2.5 资金来源证明及支付担保</w:t>
      </w:r>
    </w:p>
    <w:p w14:paraId="1FC96663">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发包人提供资金来源证明的期限要求：</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2CF9E3C5">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发包人是否提供支付担保：</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18C9934B">
      <w:pPr>
        <w:pStyle w:val="134"/>
        <w:adjustRightInd w:val="0"/>
        <w:snapToGrid w:val="0"/>
        <w:spacing w:line="360" w:lineRule="exact"/>
        <w:ind w:firstLine="420" w:firstLineChars="200"/>
        <w:rPr>
          <w:rFonts w:ascii="仿宋" w:hAnsi="仿宋" w:eastAsia="仿宋" w:cs="仿宋"/>
          <w:color w:val="auto"/>
          <w:highlight w:val="none"/>
          <w:u w:val="single"/>
        </w:rPr>
      </w:pPr>
      <w:r>
        <w:rPr>
          <w:rFonts w:hint="eastAsia" w:ascii="仿宋" w:hAnsi="仿宋" w:eastAsia="仿宋" w:cs="仿宋"/>
          <w:color w:val="auto"/>
          <w:highlight w:val="none"/>
        </w:rPr>
        <w:t>发包人提供支付担保的形式：</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2DFB7831">
      <w:pPr>
        <w:pStyle w:val="554"/>
        <w:adjustRightInd w:val="0"/>
        <w:snapToGrid w:val="0"/>
        <w:spacing w:before="0" w:after="0" w:line="360" w:lineRule="exact"/>
        <w:ind w:firstLine="42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 承包人</w:t>
      </w:r>
    </w:p>
    <w:p w14:paraId="2182E0F3">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3.1 承包人的一般义务</w:t>
      </w:r>
    </w:p>
    <w:p w14:paraId="1439A529">
      <w:pPr>
        <w:pStyle w:val="134"/>
        <w:adjustRightInd w:val="0"/>
        <w:snapToGrid w:val="0"/>
        <w:spacing w:line="360" w:lineRule="exact"/>
        <w:ind w:firstLine="315" w:firstLineChars="150"/>
        <w:jc w:val="left"/>
        <w:rPr>
          <w:rFonts w:ascii="仿宋" w:hAnsi="仿宋" w:eastAsia="仿宋" w:cs="仿宋"/>
          <w:color w:val="auto"/>
          <w:highlight w:val="none"/>
        </w:rPr>
      </w:pPr>
      <w:r>
        <w:rPr>
          <w:rFonts w:hint="eastAsia" w:ascii="仿宋" w:hAnsi="仿宋" w:eastAsia="仿宋" w:cs="仿宋"/>
          <w:color w:val="auto"/>
          <w:kern w:val="0"/>
          <w:highlight w:val="none"/>
        </w:rPr>
        <w:t>（5）</w:t>
      </w:r>
      <w:r>
        <w:rPr>
          <w:rFonts w:hint="eastAsia" w:ascii="仿宋" w:hAnsi="仿宋" w:eastAsia="仿宋" w:cs="仿宋"/>
          <w:color w:val="auto"/>
          <w:highlight w:val="none"/>
        </w:rPr>
        <w:t>承包人提交的竣工资料的内容：</w:t>
      </w:r>
      <w:r>
        <w:rPr>
          <w:rFonts w:hint="eastAsia" w:ascii="仿宋" w:hAnsi="仿宋" w:eastAsia="仿宋" w:cs="仿宋"/>
          <w:b/>
          <w:bCs/>
          <w:color w:val="auto"/>
          <w:highlight w:val="none"/>
          <w:u w:val="single"/>
        </w:rPr>
        <w:t xml:space="preserve">承包人按档案管理的要求，向发包人提交完整的纸质竣工图纸、技术资料各3套及电子版(光盘)竣工图两套以及相关资料。上述文件的原始资料必须齐全（资料包括工程的全过程原始记录及验收资料、材料质保书、检验签证单、材质验收报告、有关设计变更的技术资料、工程的检测数据、质量评定报告、工程竣工决算的全部资料、其他按规定应提交的资料），且必须符合工程技术档案要求。若承包人未按时向发包人提交以上资料及未经发包人确认，发包人不予支付工程款 </w:t>
      </w:r>
      <w:r>
        <w:rPr>
          <w:rFonts w:hint="eastAsia" w:ascii="仿宋" w:hAnsi="仿宋" w:eastAsia="仿宋" w:cs="仿宋"/>
          <w:color w:val="auto"/>
          <w:highlight w:val="none"/>
        </w:rPr>
        <w:t>。</w:t>
      </w:r>
    </w:p>
    <w:p w14:paraId="58869A48">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承包人需要提交的竣工资料套数：</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EFA12C9">
      <w:pPr>
        <w:pStyle w:val="134"/>
        <w:adjustRightInd w:val="0"/>
        <w:snapToGrid w:val="0"/>
        <w:spacing w:line="360" w:lineRule="exact"/>
        <w:ind w:firstLine="525" w:firstLineChars="250"/>
        <w:jc w:val="left"/>
        <w:rPr>
          <w:rFonts w:ascii="仿宋" w:hAnsi="仿宋" w:eastAsia="仿宋" w:cs="仿宋"/>
          <w:color w:val="auto"/>
          <w:highlight w:val="none"/>
        </w:rPr>
      </w:pPr>
      <w:r>
        <w:rPr>
          <w:rFonts w:hint="eastAsia" w:ascii="仿宋" w:hAnsi="仿宋" w:eastAsia="仿宋" w:cs="仿宋"/>
          <w:color w:val="auto"/>
          <w:highlight w:val="none"/>
        </w:rPr>
        <w:t>承包人提交的竣工资料的费用承担：</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承包人承担</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CA8A22E">
      <w:pPr>
        <w:pStyle w:val="134"/>
        <w:adjustRightInd w:val="0"/>
        <w:snapToGrid w:val="0"/>
        <w:spacing w:line="360" w:lineRule="exact"/>
        <w:ind w:firstLine="525" w:firstLineChars="250"/>
        <w:jc w:val="left"/>
        <w:rPr>
          <w:rFonts w:ascii="仿宋" w:hAnsi="仿宋" w:eastAsia="仿宋" w:cs="仿宋"/>
          <w:color w:val="auto"/>
          <w:highlight w:val="none"/>
        </w:rPr>
      </w:pPr>
      <w:r>
        <w:rPr>
          <w:rFonts w:hint="eastAsia" w:ascii="仿宋" w:hAnsi="仿宋" w:eastAsia="仿宋" w:cs="仿宋"/>
          <w:color w:val="auto"/>
          <w:highlight w:val="none"/>
        </w:rPr>
        <w:t>承包人提交的竣工资料移交时间：</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工程竣工验收合格后15天内</w:t>
      </w:r>
      <w:r>
        <w:rPr>
          <w:rFonts w:hint="eastAsia" w:ascii="仿宋" w:hAnsi="仿宋" w:eastAsia="仿宋" w:cs="仿宋"/>
          <w:color w:val="auto"/>
          <w:highlight w:val="none"/>
          <w:u w:val="single"/>
        </w:rPr>
        <w:t>。</w:t>
      </w:r>
    </w:p>
    <w:p w14:paraId="37D6DB4E">
      <w:pPr>
        <w:pStyle w:val="134"/>
        <w:adjustRightInd w:val="0"/>
        <w:snapToGrid w:val="0"/>
        <w:spacing w:line="360" w:lineRule="exact"/>
        <w:ind w:firstLine="525" w:firstLineChars="250"/>
        <w:jc w:val="left"/>
        <w:rPr>
          <w:rFonts w:ascii="仿宋" w:hAnsi="仿宋" w:eastAsia="仿宋" w:cs="仿宋"/>
          <w:color w:val="auto"/>
          <w:highlight w:val="none"/>
        </w:rPr>
      </w:pPr>
      <w:r>
        <w:rPr>
          <w:rFonts w:hint="eastAsia" w:ascii="仿宋" w:hAnsi="仿宋" w:eastAsia="仿宋" w:cs="仿宋"/>
          <w:color w:val="auto"/>
          <w:highlight w:val="none"/>
        </w:rPr>
        <w:t>承包人提交的竣工资料形式要求:</w:t>
      </w:r>
      <w:r>
        <w:rPr>
          <w:rFonts w:hint="eastAsia" w:ascii="仿宋" w:hAnsi="仿宋" w:eastAsia="仿宋" w:cs="仿宋"/>
          <w:b/>
          <w:bCs/>
          <w:color w:val="auto"/>
          <w:highlight w:val="none"/>
          <w:u w:val="single"/>
        </w:rPr>
        <w:t>竣工资料按规范装订成册。</w:t>
      </w:r>
    </w:p>
    <w:p w14:paraId="32A79F15">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kern w:val="0"/>
          <w:highlight w:val="none"/>
        </w:rPr>
        <w:t>（6）承包人应履行的其他义务：</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18AF0253">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3.2 项目经理</w:t>
      </w:r>
    </w:p>
    <w:p w14:paraId="22B94BAD">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kern w:val="0"/>
          <w:highlight w:val="none"/>
        </w:rPr>
        <w:t xml:space="preserve">3.2.1 </w:t>
      </w:r>
      <w:r>
        <w:rPr>
          <w:rFonts w:hint="eastAsia" w:ascii="仿宋" w:hAnsi="仿宋" w:eastAsia="仿宋" w:cs="仿宋"/>
          <w:color w:val="auto"/>
          <w:highlight w:val="none"/>
        </w:rPr>
        <w:t>项目经理：</w:t>
      </w:r>
    </w:p>
    <w:p w14:paraId="14AC39E1">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姓    名：</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6F70FA1">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身份证号：</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rPr>
        <w:t>；</w:t>
      </w:r>
    </w:p>
    <w:p w14:paraId="14BF04F5">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建造师执业资格等级：</w:t>
      </w:r>
      <w:r>
        <w:rPr>
          <w:rFonts w:hint="eastAsia" w:ascii="仿宋" w:hAnsi="仿宋" w:eastAsia="仿宋" w:cs="仿宋"/>
          <w:b/>
          <w:bCs/>
          <w:color w:val="auto"/>
          <w:highlight w:val="none"/>
          <w:u w:val="single"/>
        </w:rPr>
        <w:t xml:space="preserve">   </w:t>
      </w:r>
      <w:r>
        <w:rPr>
          <w:rFonts w:hint="eastAsia" w:ascii="仿宋" w:hAnsi="仿宋" w:eastAsia="仿宋" w:cs="仿宋"/>
          <w:b/>
          <w:bCs/>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5034D60">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建造师注册证书号：</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9DE8AAE">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建造师执业印章号：</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462AE5C">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安全生产考核合格证书号：</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1FD58FC">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联系电话：</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4D0EBF6">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电子信箱：</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3DE4C4B5">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通信地址：</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0A05FAD">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承包人对项目经理的授权范围如下：</w:t>
      </w:r>
      <w:r>
        <w:rPr>
          <w:rFonts w:hint="eastAsia" w:ascii="仿宋" w:hAnsi="仿宋" w:eastAsia="仿宋" w:cs="仿宋"/>
          <w:b/>
          <w:bCs/>
          <w:color w:val="auto"/>
          <w:highlight w:val="none"/>
          <w:u w:val="single"/>
        </w:rPr>
        <w:t>项目经理按合同约定组织工程实施</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CEF43BD">
      <w:pPr>
        <w:pStyle w:val="134"/>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关于项目经理每月在施工现场的时间要求：</w:t>
      </w:r>
      <w:r>
        <w:rPr>
          <w:rFonts w:hint="eastAsia" w:ascii="仿宋" w:hAnsi="仿宋" w:eastAsia="仿宋" w:cs="仿宋"/>
          <w:b/>
          <w:bCs/>
          <w:color w:val="auto"/>
          <w:highlight w:val="none"/>
          <w:u w:val="single"/>
        </w:rPr>
        <w:t>到位率不低于80%（以供应商承诺到位率为准）。</w:t>
      </w:r>
    </w:p>
    <w:p w14:paraId="42C2A5F2">
      <w:pPr>
        <w:pStyle w:val="134"/>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承包人未提交劳动合同，以及没有为项目经理缴纳社会保险证明的违约责任：</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由承包人承担违约责任 </w:t>
      </w:r>
      <w:r>
        <w:rPr>
          <w:rFonts w:hint="eastAsia" w:ascii="仿宋" w:hAnsi="仿宋" w:eastAsia="仿宋" w:cs="仿宋"/>
          <w:color w:val="auto"/>
          <w:highlight w:val="none"/>
        </w:rPr>
        <w:t>。</w:t>
      </w:r>
    </w:p>
    <w:p w14:paraId="1C26808A">
      <w:pPr>
        <w:pStyle w:val="134"/>
        <w:adjustRightInd w:val="0"/>
        <w:snapToGrid w:val="0"/>
        <w:spacing w:line="360" w:lineRule="exact"/>
        <w:ind w:firstLine="420" w:firstLineChars="200"/>
        <w:rPr>
          <w:rFonts w:ascii="仿宋" w:hAnsi="仿宋" w:eastAsia="仿宋" w:cs="仿宋"/>
          <w:color w:val="auto"/>
          <w:highlight w:val="none"/>
          <w:u w:val="single"/>
        </w:rPr>
      </w:pPr>
      <w:r>
        <w:rPr>
          <w:rFonts w:hint="eastAsia" w:ascii="仿宋" w:hAnsi="仿宋" w:eastAsia="仿宋" w:cs="仿宋"/>
          <w:color w:val="auto"/>
          <w:kern w:val="0"/>
          <w:highlight w:val="none"/>
        </w:rPr>
        <w:t>项目经理未经批准，擅自离开施工现场的违约责任：</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按500元/次予以处罚</w:t>
      </w:r>
      <w:r>
        <w:rPr>
          <w:rFonts w:hint="eastAsia" w:ascii="仿宋" w:hAnsi="仿宋" w:eastAsia="仿宋" w:cs="仿宋"/>
          <w:color w:val="auto"/>
          <w:highlight w:val="none"/>
        </w:rPr>
        <w:t>。</w:t>
      </w:r>
    </w:p>
    <w:p w14:paraId="764B61FB">
      <w:pPr>
        <w:pStyle w:val="128"/>
        <w:adjustRightInd w:val="0"/>
        <w:snapToGrid w:val="0"/>
        <w:spacing w:line="360" w:lineRule="exact"/>
        <w:ind w:firstLine="359" w:firstLineChars="171"/>
        <w:rPr>
          <w:rFonts w:ascii="仿宋" w:hAnsi="仿宋" w:eastAsia="仿宋" w:cs="仿宋"/>
          <w:color w:val="auto"/>
          <w:highlight w:val="none"/>
        </w:rPr>
      </w:pPr>
      <w:r>
        <w:rPr>
          <w:rFonts w:hint="eastAsia" w:ascii="仿宋" w:hAnsi="仿宋" w:eastAsia="仿宋" w:cs="仿宋"/>
          <w:color w:val="auto"/>
          <w:highlight w:val="none"/>
        </w:rPr>
        <w:t>3.2.3承包人擅自更换项目经理的违约责任：</w:t>
      </w:r>
    </w:p>
    <w:p w14:paraId="4016326E">
      <w:pPr>
        <w:pStyle w:val="128"/>
        <w:numPr>
          <w:ilvl w:val="0"/>
          <w:numId w:val="8"/>
        </w:numPr>
        <w:adjustRightInd w:val="0"/>
        <w:snapToGrid w:val="0"/>
        <w:spacing w:line="360" w:lineRule="exact"/>
        <w:ind w:firstLine="420" w:firstLineChars="200"/>
        <w:rPr>
          <w:rFonts w:ascii="仿宋" w:hAnsi="仿宋" w:eastAsia="仿宋" w:cs="仿宋"/>
          <w:color w:val="auto"/>
          <w:kern w:val="0"/>
          <w:szCs w:val="24"/>
          <w:highlight w:val="none"/>
          <w:u w:val="single"/>
        </w:rPr>
      </w:pPr>
      <w:r>
        <w:rPr>
          <w:rFonts w:hint="eastAsia" w:ascii="仿宋" w:hAnsi="仿宋" w:eastAsia="仿宋" w:cs="仿宋"/>
          <w:color w:val="auto"/>
          <w:kern w:val="0"/>
          <w:szCs w:val="24"/>
          <w:highlight w:val="none"/>
        </w:rPr>
        <w:t>承包人确需更换项目经理的，继任项目经理注册执业 资格、管理经验的约定：</w:t>
      </w:r>
      <w:r>
        <w:rPr>
          <w:rFonts w:hint="eastAsia" w:ascii="仿宋" w:hAnsi="仿宋" w:eastAsia="仿宋" w:cs="仿宋"/>
          <w:color w:val="auto"/>
          <w:kern w:val="0"/>
          <w:szCs w:val="24"/>
          <w:highlight w:val="none"/>
          <w:u w:val="single"/>
        </w:rPr>
        <w:t>/ 。</w:t>
      </w:r>
    </w:p>
    <w:p w14:paraId="6743A708">
      <w:pPr>
        <w:pStyle w:val="128"/>
        <w:numPr>
          <w:ilvl w:val="0"/>
          <w:numId w:val="8"/>
        </w:numPr>
        <w:adjustRightInd w:val="0"/>
        <w:snapToGrid w:val="0"/>
        <w:spacing w:line="360" w:lineRule="exact"/>
        <w:ind w:firstLine="420" w:firstLineChars="200"/>
        <w:rPr>
          <w:rFonts w:ascii="仿宋" w:hAnsi="仿宋" w:eastAsia="仿宋" w:cs="仿宋"/>
          <w:b/>
          <w:bCs/>
          <w:color w:val="auto"/>
          <w:kern w:val="0"/>
          <w:highlight w:val="none"/>
          <w:u w:val="single"/>
        </w:rPr>
      </w:pPr>
      <w:r>
        <w:rPr>
          <w:rFonts w:hint="eastAsia" w:ascii="仿宋" w:hAnsi="仿宋" w:eastAsia="仿宋" w:cs="仿宋"/>
          <w:color w:val="auto"/>
          <w:kern w:val="0"/>
          <w:szCs w:val="24"/>
          <w:highlight w:val="none"/>
        </w:rPr>
        <w:t>承包人擅自更换项目经理的违约责任：</w:t>
      </w:r>
      <w:r>
        <w:rPr>
          <w:rFonts w:hint="eastAsia" w:ascii="仿宋" w:hAnsi="仿宋" w:eastAsia="仿宋" w:cs="仿宋"/>
          <w:b/>
          <w:bCs/>
          <w:color w:val="auto"/>
          <w:kern w:val="0"/>
          <w:highlight w:val="none"/>
          <w:u w:val="single"/>
        </w:rPr>
        <w:t>未经发包人同意，承包人不得擅自更换上述人员，承包人擅自更换的，除按合同要求派驻人员外，每次还需按合同总价的3%向发包人支付违约金，且发包人有权视情况解除本合同。如确需变更人员的，承包人需提出书面申请，经发包人同意后变更。</w:t>
      </w:r>
    </w:p>
    <w:p w14:paraId="5B614ADD">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szCs w:val="21"/>
          <w:highlight w:val="none"/>
        </w:rPr>
        <w:t>3.2.4 承包人无正当理由拒绝更换项目经理的违约责任</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按通用合同条款第3.2.4条规定执行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675179C">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3.3 承包人人员</w:t>
      </w:r>
    </w:p>
    <w:p w14:paraId="3F7D3EC4">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3.3.1 承包人提交项目管理机构及施工现场管理人员安排报告的期限：</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6C986970">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3.3.2 承包人需更换主要施工管理人员的，继任人员的数量、注册执业资格、管理经验的约定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278D9E0C">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3.3.3 承包人无正当理由拒绝撤换主要施工管理人员的违约责任：</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29586182">
      <w:pPr>
        <w:pStyle w:val="134"/>
        <w:adjustRightInd w:val="0"/>
        <w:snapToGrid w:val="0"/>
        <w:spacing w:line="360" w:lineRule="exact"/>
        <w:ind w:firstLine="420" w:firstLineChars="200"/>
        <w:rPr>
          <w:rFonts w:ascii="仿宋" w:hAnsi="仿宋" w:eastAsia="仿宋" w:cs="仿宋"/>
          <w:color w:val="auto"/>
          <w:highlight w:val="none"/>
          <w:u w:val="single"/>
        </w:rPr>
      </w:pPr>
      <w:r>
        <w:rPr>
          <w:rFonts w:hint="eastAsia" w:ascii="仿宋" w:hAnsi="仿宋" w:eastAsia="仿宋" w:cs="仿宋"/>
          <w:color w:val="auto"/>
          <w:highlight w:val="none"/>
        </w:rPr>
        <w:t>3.3.4 承包人主要施工管理人员离开施工现场的批准要求：</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按通用合同条款第3.3.4条规定执行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3EE0168">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3.3.5承包人擅自更换主要施工管理人员的违约责任：</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w:t>
      </w:r>
    </w:p>
    <w:p w14:paraId="1C7F5921">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承包人主要施工管理人员擅自离开施工现场的违约责任：</w:t>
      </w:r>
      <w:r>
        <w:rPr>
          <w:rFonts w:hint="eastAsia" w:ascii="仿宋" w:hAnsi="仿宋" w:eastAsia="仿宋" w:cs="仿宋"/>
          <w:b/>
          <w:bCs/>
          <w:color w:val="auto"/>
          <w:highlight w:val="none"/>
          <w:u w:val="single"/>
        </w:rPr>
        <w:t>发包人有权要求更换管理人员</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003E155">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3.5 分包</w:t>
      </w:r>
    </w:p>
    <w:p w14:paraId="6BD6A53C">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3.5.1 分包的一般约定</w:t>
      </w:r>
    </w:p>
    <w:p w14:paraId="1C847682">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禁止分包的工程包括：</w:t>
      </w:r>
      <w:r>
        <w:rPr>
          <w:rFonts w:hint="eastAsia" w:ascii="仿宋" w:hAnsi="仿宋" w:eastAsia="仿宋" w:cs="仿宋"/>
          <w:b/>
          <w:bCs/>
          <w:color w:val="auto"/>
          <w:highlight w:val="none"/>
          <w:u w:val="single"/>
        </w:rPr>
        <w:t xml:space="preserve"> 未经发包人同意一律不得分包。  </w:t>
      </w:r>
    </w:p>
    <w:p w14:paraId="278782FB">
      <w:pPr>
        <w:pStyle w:val="134"/>
        <w:adjustRightInd w:val="0"/>
        <w:snapToGrid w:val="0"/>
        <w:spacing w:line="360" w:lineRule="exact"/>
        <w:jc w:val="left"/>
        <w:rPr>
          <w:rFonts w:ascii="仿宋" w:hAnsi="仿宋" w:eastAsia="仿宋" w:cs="仿宋"/>
          <w:color w:val="auto"/>
          <w:highlight w:val="none"/>
          <w:u w:val="single"/>
        </w:rPr>
      </w:pPr>
      <w:r>
        <w:rPr>
          <w:rFonts w:hint="eastAsia" w:ascii="仿宋" w:hAnsi="仿宋" w:eastAsia="仿宋" w:cs="仿宋"/>
          <w:color w:val="auto"/>
          <w:highlight w:val="none"/>
        </w:rPr>
        <w:t xml:space="preserve">    主体结构、关键性工作的范围：</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3F12B896">
      <w:pPr>
        <w:pStyle w:val="134"/>
        <w:adjustRightInd w:val="0"/>
        <w:snapToGrid w:val="0"/>
        <w:spacing w:line="360" w:lineRule="exact"/>
        <w:rPr>
          <w:rFonts w:ascii="仿宋" w:hAnsi="仿宋" w:eastAsia="仿宋" w:cs="仿宋"/>
          <w:color w:val="auto"/>
          <w:highlight w:val="none"/>
        </w:rPr>
      </w:pPr>
      <w:r>
        <w:rPr>
          <w:rFonts w:hint="eastAsia" w:ascii="仿宋" w:hAnsi="仿宋" w:eastAsia="仿宋" w:cs="仿宋"/>
          <w:color w:val="auto"/>
          <w:highlight w:val="none"/>
        </w:rPr>
        <w:t xml:space="preserve">    3.5.2分包的确定</w:t>
      </w:r>
    </w:p>
    <w:p w14:paraId="1C543C87">
      <w:pPr>
        <w:pStyle w:val="134"/>
        <w:adjustRightInd w:val="0"/>
        <w:snapToGrid w:val="0"/>
        <w:spacing w:line="360" w:lineRule="exact"/>
        <w:ind w:firstLine="420" w:firstLineChars="200"/>
        <w:rPr>
          <w:rFonts w:ascii="仿宋" w:hAnsi="仿宋" w:eastAsia="仿宋" w:cs="仿宋"/>
          <w:color w:val="auto"/>
          <w:highlight w:val="none"/>
          <w:u w:val="single"/>
        </w:rPr>
      </w:pPr>
      <w:r>
        <w:rPr>
          <w:rFonts w:hint="eastAsia" w:ascii="仿宋" w:hAnsi="仿宋" w:eastAsia="仿宋" w:cs="仿宋"/>
          <w:color w:val="auto"/>
          <w:highlight w:val="none"/>
        </w:rPr>
        <w:t>允许分包的专业工程包括：</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11B33C5E">
      <w:pPr>
        <w:pStyle w:val="134"/>
        <w:adjustRightInd w:val="0"/>
        <w:snapToGrid w:val="0"/>
        <w:spacing w:line="360" w:lineRule="exact"/>
        <w:rPr>
          <w:rFonts w:ascii="仿宋" w:hAnsi="仿宋" w:eastAsia="仿宋" w:cs="仿宋"/>
          <w:color w:val="auto"/>
          <w:highlight w:val="none"/>
        </w:rPr>
      </w:pPr>
      <w:r>
        <w:rPr>
          <w:rFonts w:hint="eastAsia" w:ascii="仿宋" w:hAnsi="仿宋" w:eastAsia="仿宋" w:cs="仿宋"/>
          <w:color w:val="auto"/>
          <w:highlight w:val="none"/>
        </w:rPr>
        <w:t xml:space="preserve">    其他关于分包的约定：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26B12582">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3.5.4 分包合同价款</w:t>
      </w:r>
    </w:p>
    <w:p w14:paraId="681CFCCE">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关于分包合同价款支付的约定：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760837EC">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3.6 工程照管与成品、半成品保护</w:t>
      </w:r>
    </w:p>
    <w:p w14:paraId="69B4A4B3">
      <w:pPr>
        <w:pStyle w:val="134"/>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承包人负责照管工程及工程相关的材料、工程设备的起始时间：</w:t>
      </w:r>
      <w:r>
        <w:rPr>
          <w:rFonts w:hint="eastAsia" w:ascii="仿宋" w:hAnsi="仿宋" w:eastAsia="仿宋" w:cs="仿宋"/>
          <w:b/>
          <w:bCs/>
          <w:color w:val="auto"/>
          <w:kern w:val="0"/>
          <w:highlight w:val="none"/>
          <w:u w:val="single"/>
        </w:rPr>
        <w:t>按通用合同条款第3.6条规定执行</w:t>
      </w:r>
      <w:r>
        <w:rPr>
          <w:rFonts w:hint="eastAsia" w:ascii="仿宋" w:hAnsi="仿宋" w:eastAsia="仿宋" w:cs="仿宋"/>
          <w:color w:val="auto"/>
          <w:kern w:val="0"/>
          <w:highlight w:val="none"/>
        </w:rPr>
        <w:t>。</w:t>
      </w:r>
    </w:p>
    <w:p w14:paraId="72E30A6D">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3.7 </w:t>
      </w:r>
      <w:r>
        <w:rPr>
          <w:rFonts w:hint="eastAsia" w:ascii="仿宋" w:hAnsi="仿宋" w:eastAsia="仿宋" w:cs="仿宋"/>
          <w:color w:val="auto"/>
          <w:highlight w:val="none"/>
        </w:rPr>
        <w:t>履约担保</w:t>
      </w:r>
    </w:p>
    <w:p w14:paraId="2D80F170">
      <w:pPr>
        <w:pStyle w:val="134"/>
        <w:adjustRightInd w:val="0"/>
        <w:snapToGrid w:val="0"/>
        <w:spacing w:line="360" w:lineRule="auto"/>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承包人是否提供履约担保：</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是</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AECA7EC">
      <w:pPr>
        <w:pStyle w:val="134"/>
        <w:adjustRightInd w:val="0"/>
        <w:snapToGrid w:val="0"/>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承包人提供履约担保的形式、金额及期限的，采用以下第</w:t>
      </w:r>
      <w:r>
        <w:rPr>
          <w:rFonts w:hint="eastAsia" w:ascii="仿宋" w:hAnsi="仿宋" w:eastAsia="仿宋" w:cs="仿宋"/>
          <w:color w:val="auto"/>
          <w:highlight w:val="none"/>
          <w:u w:val="single"/>
        </w:rPr>
        <w:t>3</w:t>
      </w:r>
      <w:r>
        <w:rPr>
          <w:rFonts w:hint="eastAsia" w:ascii="仿宋" w:hAnsi="仿宋" w:eastAsia="仿宋" w:cs="仿宋"/>
          <w:color w:val="auto"/>
          <w:highlight w:val="none"/>
        </w:rPr>
        <w:t>种方式：</w:t>
      </w:r>
    </w:p>
    <w:p w14:paraId="5EF2D55A">
      <w:pPr>
        <w:pStyle w:val="134"/>
        <w:adjustRightInd w:val="0"/>
        <w:snapToGrid w:val="0"/>
        <w:spacing w:line="360" w:lineRule="exact"/>
        <w:ind w:firstLine="420" w:firstLineChars="200"/>
        <w:rPr>
          <w:rFonts w:ascii="仿宋" w:hAnsi="仿宋" w:eastAsia="仿宋" w:cs="仿宋"/>
          <w:color w:val="auto"/>
          <w:highlight w:val="none"/>
          <w:u w:val="single"/>
        </w:rPr>
      </w:pPr>
      <w:r>
        <w:rPr>
          <w:rFonts w:hint="eastAsia" w:ascii="仿宋" w:hAnsi="仿宋" w:eastAsia="仿宋" w:cs="仿宋"/>
          <w:color w:val="auto"/>
          <w:highlight w:val="none"/>
        </w:rPr>
        <w:t>(1)保证保险，金额及期限为：</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56C0FD62">
      <w:pPr>
        <w:pStyle w:val="134"/>
        <w:adjustRightInd w:val="0"/>
        <w:snapToGrid w:val="0"/>
        <w:spacing w:line="360" w:lineRule="exact"/>
        <w:ind w:firstLine="420" w:firstLineChars="200"/>
        <w:rPr>
          <w:rFonts w:ascii="仿宋" w:hAnsi="仿宋" w:eastAsia="仿宋" w:cs="仿宋"/>
          <w:color w:val="auto"/>
          <w:highlight w:val="none"/>
          <w:u w:val="single"/>
        </w:rPr>
      </w:pPr>
      <w:r>
        <w:rPr>
          <w:rFonts w:hint="eastAsia" w:ascii="仿宋" w:hAnsi="仿宋" w:eastAsia="仿宋" w:cs="仿宋"/>
          <w:color w:val="auto"/>
          <w:highlight w:val="none"/>
        </w:rPr>
        <w:t>(2)银行保函，金额及期限为：</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 xml:space="preserve"> ；</w:t>
      </w:r>
    </w:p>
    <w:p w14:paraId="728A604A">
      <w:pPr>
        <w:pStyle w:val="134"/>
        <w:adjustRightInd w:val="0"/>
        <w:snapToGrid w:val="0"/>
        <w:spacing w:line="360" w:lineRule="exact"/>
        <w:ind w:firstLine="420" w:firstLineChars="200"/>
        <w:rPr>
          <w:rFonts w:ascii="仿宋" w:hAnsi="仿宋" w:eastAsia="仿宋" w:cs="仿宋"/>
          <w:b/>
          <w:bCs/>
          <w:color w:val="auto"/>
          <w:highlight w:val="none"/>
          <w:u w:val="single"/>
        </w:rPr>
      </w:pPr>
      <w:r>
        <w:rPr>
          <w:rFonts w:hint="eastAsia" w:ascii="仿宋" w:hAnsi="仿宋" w:eastAsia="仿宋" w:cs="仿宋"/>
          <w:color w:val="auto"/>
          <w:kern w:val="0"/>
          <w:szCs w:val="24"/>
          <w:highlight w:val="none"/>
        </w:rPr>
        <w:t>(3)其他方式，</w:t>
      </w:r>
      <w:r>
        <w:rPr>
          <w:rFonts w:hint="eastAsia" w:ascii="仿宋" w:hAnsi="仿宋" w:eastAsia="仿宋" w:cs="仿宋"/>
          <w:b/>
          <w:bCs/>
          <w:color w:val="auto"/>
          <w:kern w:val="0"/>
          <w:szCs w:val="24"/>
          <w:highlight w:val="none"/>
          <w:u w:val="single"/>
        </w:rPr>
        <w:t>收到</w:t>
      </w:r>
      <w:r>
        <w:rPr>
          <w:rFonts w:hint="eastAsia" w:ascii="仿宋" w:hAnsi="仿宋" w:eastAsia="仿宋" w:cs="仿宋"/>
          <w:b/>
          <w:bCs/>
          <w:color w:val="auto"/>
          <w:kern w:val="0"/>
          <w:szCs w:val="24"/>
          <w:highlight w:val="none"/>
          <w:u w:val="single"/>
          <w:lang w:val="en-US" w:eastAsia="zh-CN"/>
        </w:rPr>
        <w:t>采购</w:t>
      </w:r>
      <w:r>
        <w:rPr>
          <w:rFonts w:hint="eastAsia" w:ascii="仿宋" w:hAnsi="仿宋" w:eastAsia="仿宋" w:cs="仿宋"/>
          <w:b/>
          <w:bCs/>
          <w:color w:val="auto"/>
          <w:kern w:val="0"/>
          <w:szCs w:val="24"/>
          <w:highlight w:val="none"/>
          <w:u w:val="single"/>
        </w:rPr>
        <w:t>人发出的签订合同要约后7天内</w:t>
      </w:r>
      <w:r>
        <w:rPr>
          <w:rFonts w:hint="eastAsia" w:ascii="仿宋" w:hAnsi="仿宋" w:eastAsia="仿宋" w:cs="仿宋"/>
          <w:b/>
          <w:bCs/>
          <w:color w:val="auto"/>
          <w:highlight w:val="none"/>
          <w:u w:val="single"/>
        </w:rPr>
        <w:t>，承包人向发包人</w:t>
      </w:r>
      <w:r>
        <w:rPr>
          <w:rFonts w:hint="eastAsia" w:ascii="仿宋" w:hAnsi="仿宋" w:eastAsia="仿宋" w:cs="仿宋"/>
          <w:b/>
          <w:bCs/>
          <w:color w:val="auto"/>
          <w:highlight w:val="none"/>
          <w:u w:val="single"/>
        </w:rPr>
        <w:t>递交合同价</w:t>
      </w:r>
      <w:r>
        <w:rPr>
          <w:rFonts w:hint="eastAsia" w:ascii="仿宋" w:hAnsi="仿宋" w:eastAsia="仿宋" w:cs="仿宋"/>
          <w:b/>
          <w:bCs/>
          <w:color w:val="auto"/>
          <w:highlight w:val="none"/>
          <w:u w:val="single"/>
          <w:lang w:val="en-US" w:eastAsia="zh-CN"/>
        </w:rPr>
        <w:t>2</w:t>
      </w:r>
      <w:r>
        <w:rPr>
          <w:rFonts w:hint="eastAsia" w:ascii="仿宋" w:hAnsi="仿宋" w:eastAsia="仿宋" w:cs="仿宋"/>
          <w:b/>
          <w:bCs/>
          <w:color w:val="auto"/>
          <w:highlight w:val="none"/>
          <w:u w:val="single"/>
        </w:rPr>
        <w:t>%的履约保证金</w:t>
      </w:r>
      <w:r>
        <w:rPr>
          <w:rFonts w:hint="eastAsia" w:ascii="仿宋" w:hAnsi="仿宋" w:eastAsia="仿宋" w:cs="仿宋"/>
          <w:b/>
          <w:bCs/>
          <w:color w:val="auto"/>
          <w:highlight w:val="none"/>
          <w:u w:val="single"/>
        </w:rPr>
        <w:t>（履约担保的形式：电汇、汇票、支票形式或银行、保险公司出具的保函）</w:t>
      </w:r>
      <w:r>
        <w:rPr>
          <w:rFonts w:hint="eastAsia" w:ascii="仿宋" w:hAnsi="仿宋" w:eastAsia="仿宋" w:cs="仿宋"/>
          <w:color w:val="auto"/>
          <w:highlight w:val="none"/>
          <w:u w:val="single"/>
        </w:rPr>
        <w:t>。</w:t>
      </w:r>
    </w:p>
    <w:p w14:paraId="268640B6">
      <w:pPr>
        <w:pStyle w:val="134"/>
        <w:adjustRightInd w:val="0"/>
        <w:snapToGrid w:val="0"/>
        <w:spacing w:line="360" w:lineRule="auto"/>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履约保证金分五部分，其中：</w:t>
      </w:r>
    </w:p>
    <w:p w14:paraId="2BB187F4">
      <w:pPr>
        <w:pStyle w:val="134"/>
        <w:adjustRightInd w:val="0"/>
        <w:snapToGrid w:val="0"/>
        <w:spacing w:line="360" w:lineRule="auto"/>
        <w:ind w:firstLine="210" w:firstLineChars="100"/>
        <w:rPr>
          <w:rFonts w:ascii="仿宋" w:hAnsi="仿宋" w:eastAsia="仿宋" w:cs="仿宋"/>
          <w:color w:val="auto"/>
          <w:kern w:val="0"/>
          <w:highlight w:val="none"/>
        </w:rPr>
      </w:pPr>
      <w:r>
        <w:rPr>
          <w:rFonts w:hint="eastAsia" w:ascii="仿宋" w:hAnsi="仿宋" w:eastAsia="仿宋" w:cs="仿宋"/>
          <w:color w:val="auto"/>
          <w:kern w:val="0"/>
          <w:highlight w:val="none"/>
        </w:rPr>
        <w:t>（a）质量履约保证金占30%，发生质量事故的，则按磋商文件和合同中相关条款处罚。</w:t>
      </w:r>
    </w:p>
    <w:p w14:paraId="71D60EF2">
      <w:pPr>
        <w:pStyle w:val="134"/>
        <w:adjustRightInd w:val="0"/>
        <w:snapToGrid w:val="0"/>
        <w:spacing w:line="360" w:lineRule="auto"/>
        <w:ind w:firstLine="210" w:firstLineChars="100"/>
        <w:rPr>
          <w:rFonts w:ascii="仿宋" w:hAnsi="仿宋" w:eastAsia="仿宋" w:cs="仿宋"/>
          <w:color w:val="auto"/>
          <w:kern w:val="0"/>
          <w:highlight w:val="none"/>
        </w:rPr>
      </w:pPr>
      <w:r>
        <w:rPr>
          <w:rFonts w:hint="eastAsia" w:ascii="仿宋" w:hAnsi="仿宋" w:eastAsia="仿宋" w:cs="仿宋"/>
          <w:color w:val="auto"/>
          <w:kern w:val="0"/>
          <w:highlight w:val="none"/>
        </w:rPr>
        <w:t>（b）工期履约保证金占40%，工期以合同为准，若不能按期竣工，则按磋商文件和合同中相关条款处罚。</w:t>
      </w:r>
    </w:p>
    <w:p w14:paraId="7E89EBB6">
      <w:pPr>
        <w:pStyle w:val="134"/>
        <w:adjustRightInd w:val="0"/>
        <w:snapToGrid w:val="0"/>
        <w:spacing w:line="360" w:lineRule="auto"/>
        <w:ind w:firstLine="210" w:firstLineChars="100"/>
        <w:rPr>
          <w:rFonts w:ascii="仿宋" w:hAnsi="仿宋" w:eastAsia="仿宋" w:cs="仿宋"/>
          <w:color w:val="auto"/>
          <w:kern w:val="0"/>
          <w:highlight w:val="none"/>
        </w:rPr>
      </w:pPr>
      <w:r>
        <w:rPr>
          <w:rFonts w:hint="eastAsia" w:ascii="仿宋" w:hAnsi="仿宋" w:eastAsia="仿宋" w:cs="仿宋"/>
          <w:color w:val="auto"/>
          <w:kern w:val="0"/>
          <w:highlight w:val="none"/>
        </w:rPr>
        <w:t>（c）项目经理及项目班子到位履约保证金占20%。项目经理不能到位，则按磋商文件和合同中相关条款处罚。</w:t>
      </w:r>
    </w:p>
    <w:p w14:paraId="52EB7419">
      <w:pPr>
        <w:pStyle w:val="134"/>
        <w:adjustRightInd w:val="0"/>
        <w:snapToGrid w:val="0"/>
        <w:spacing w:line="360" w:lineRule="auto"/>
        <w:ind w:firstLine="210" w:firstLineChars="100"/>
        <w:rPr>
          <w:rFonts w:ascii="仿宋" w:hAnsi="仿宋" w:eastAsia="仿宋" w:cs="仿宋"/>
          <w:color w:val="auto"/>
          <w:kern w:val="0"/>
          <w:highlight w:val="none"/>
        </w:rPr>
      </w:pPr>
      <w:r>
        <w:rPr>
          <w:rFonts w:hint="eastAsia" w:ascii="仿宋" w:hAnsi="仿宋" w:eastAsia="仿宋" w:cs="仿宋"/>
          <w:color w:val="auto"/>
          <w:kern w:val="0"/>
          <w:highlight w:val="none"/>
        </w:rPr>
        <w:t>（d）安全生产、文明施工履约保证金占5%。发生重大人身安全事故的，罚没该部分保证金。</w:t>
      </w:r>
    </w:p>
    <w:p w14:paraId="507228D8">
      <w:pPr>
        <w:pStyle w:val="134"/>
        <w:adjustRightInd w:val="0"/>
        <w:snapToGrid w:val="0"/>
        <w:spacing w:line="360" w:lineRule="auto"/>
        <w:ind w:firstLine="210" w:firstLineChars="100"/>
        <w:rPr>
          <w:rFonts w:ascii="仿宋" w:hAnsi="仿宋" w:eastAsia="仿宋" w:cs="仿宋"/>
          <w:color w:val="auto"/>
          <w:kern w:val="0"/>
          <w:highlight w:val="none"/>
        </w:rPr>
      </w:pPr>
      <w:r>
        <w:rPr>
          <w:rFonts w:hint="eastAsia" w:ascii="仿宋" w:hAnsi="仿宋" w:eastAsia="仿宋" w:cs="仿宋"/>
          <w:color w:val="auto"/>
          <w:kern w:val="0"/>
          <w:highlight w:val="none"/>
        </w:rPr>
        <w:t>（e）廉洁自律、计划生育履约保证金占5%。发生违反廉政合同或计划生育行为的，罚没该部分保证金。</w:t>
      </w:r>
    </w:p>
    <w:p w14:paraId="32ED9032">
      <w:pPr>
        <w:pStyle w:val="134"/>
        <w:adjustRightInd w:val="0"/>
        <w:snapToGrid w:val="0"/>
        <w:spacing w:line="360" w:lineRule="auto"/>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履约担保有效期自履约保证金交纳之日起至上述五项指标考核合格后28天内有效。履约保证金在工程竣工验收合格、承包人履行了合同约定的责任和义务（如有违约，扣除违约金）后无息退还。</w:t>
      </w:r>
    </w:p>
    <w:p w14:paraId="4FF24127">
      <w:pPr>
        <w:pStyle w:val="134"/>
        <w:adjustRightInd w:val="0"/>
        <w:snapToGrid w:val="0"/>
        <w:spacing w:line="360" w:lineRule="auto"/>
        <w:ind w:firstLine="422" w:firstLineChars="200"/>
        <w:rPr>
          <w:rFonts w:ascii="仿宋" w:hAnsi="仿宋" w:eastAsia="仿宋" w:cs="仿宋"/>
          <w:b/>
          <w:bCs/>
          <w:color w:val="auto"/>
          <w:highlight w:val="none"/>
        </w:rPr>
      </w:pPr>
      <w:r>
        <w:rPr>
          <w:rFonts w:hint="eastAsia" w:ascii="仿宋" w:hAnsi="仿宋" w:eastAsia="仿宋" w:cs="仿宋"/>
          <w:b/>
          <w:bCs/>
          <w:color w:val="auto"/>
          <w:highlight w:val="none"/>
        </w:rPr>
        <w:t>4. 监理人</w:t>
      </w:r>
    </w:p>
    <w:p w14:paraId="4BD93683">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4.1监理人的一般规定</w:t>
      </w:r>
    </w:p>
    <w:p w14:paraId="3FF919C7">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关于监理人的监理内容：</w:t>
      </w:r>
      <w:r>
        <w:rPr>
          <w:rFonts w:hint="eastAsia" w:ascii="仿宋" w:hAnsi="仿宋" w:eastAsia="仿宋" w:cs="仿宋"/>
          <w:b/>
          <w:bCs/>
          <w:color w:val="auto"/>
          <w:highlight w:val="none"/>
          <w:u w:val="single"/>
        </w:rPr>
        <w:t>现场全过程协调，负责质量、安全、投资、进度管理</w:t>
      </w:r>
      <w:r>
        <w:rPr>
          <w:rFonts w:hint="eastAsia" w:ascii="仿宋" w:hAnsi="仿宋" w:eastAsia="仿宋" w:cs="仿宋"/>
          <w:color w:val="auto"/>
          <w:highlight w:val="none"/>
        </w:rPr>
        <w:t>。</w:t>
      </w:r>
    </w:p>
    <w:p w14:paraId="2B933DA4">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关于监理人的监理权限：</w:t>
      </w:r>
      <w:r>
        <w:rPr>
          <w:rFonts w:hint="eastAsia" w:ascii="仿宋" w:hAnsi="仿宋" w:eastAsia="仿宋" w:cs="仿宋"/>
          <w:b/>
          <w:bCs/>
          <w:color w:val="auto"/>
          <w:highlight w:val="none"/>
          <w:u w:val="single"/>
        </w:rPr>
        <w:t>按监理合同约定实行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272A733F">
      <w:pPr>
        <w:pStyle w:val="128"/>
        <w:adjustRightInd w:val="0"/>
        <w:snapToGrid w:val="0"/>
        <w:spacing w:line="360" w:lineRule="exact"/>
        <w:ind w:firstLine="420" w:firstLineChars="200"/>
        <w:rPr>
          <w:rFonts w:ascii="仿宋" w:hAnsi="仿宋" w:eastAsia="仿宋" w:cs="仿宋"/>
          <w:b/>
          <w:bCs/>
          <w:color w:val="auto"/>
          <w:highlight w:val="none"/>
          <w:u w:val="single"/>
        </w:rPr>
      </w:pPr>
      <w:r>
        <w:rPr>
          <w:rFonts w:hint="eastAsia" w:ascii="仿宋" w:hAnsi="仿宋" w:eastAsia="仿宋" w:cs="仿宋"/>
          <w:color w:val="auto"/>
          <w:highlight w:val="none"/>
        </w:rPr>
        <w:t>需要取得发包人批准才能行使的职权：</w:t>
      </w:r>
      <w:r>
        <w:rPr>
          <w:rFonts w:hint="eastAsia" w:ascii="仿宋" w:hAnsi="仿宋" w:eastAsia="仿宋" w:cs="仿宋"/>
          <w:b/>
          <w:bCs/>
          <w:color w:val="auto"/>
          <w:kern w:val="0"/>
          <w:highlight w:val="none"/>
          <w:u w:val="single"/>
        </w:rPr>
        <w:t>总监理工程师签署的任何付款凭证需经发包人代表签署确认意见后有效。涉及设计变更、工期顺延、材料价格、停/复工令、工程索赔等可能影响工程价款或工期的签证需经发包人书面同意，签证才有效。</w:t>
      </w:r>
      <w:r>
        <w:rPr>
          <w:rFonts w:hint="eastAsia" w:ascii="仿宋" w:hAnsi="仿宋" w:eastAsia="仿宋" w:cs="仿宋"/>
          <w:b/>
          <w:bCs/>
          <w:color w:val="auto"/>
          <w:highlight w:val="none"/>
          <w:u w:val="single"/>
        </w:rPr>
        <w:t xml:space="preserve"> </w:t>
      </w:r>
    </w:p>
    <w:p w14:paraId="04F9B63A">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关于监理人在施工现场的办公场所、生活场所的提供和费用承担的约定：</w:t>
      </w:r>
      <w:r>
        <w:rPr>
          <w:rFonts w:hint="eastAsia" w:ascii="仿宋" w:hAnsi="仿宋" w:eastAsia="仿宋" w:cs="仿宋"/>
          <w:b/>
          <w:bCs/>
          <w:color w:val="auto"/>
          <w:highlight w:val="none"/>
          <w:u w:val="single"/>
        </w:rPr>
        <w:t>监理人在施工现场的办公场所、生活场所及发生的水电费由承包人提供和承担</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83BACD9">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4.2 监理人员</w:t>
      </w:r>
    </w:p>
    <w:p w14:paraId="2F7520E9">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总监理工程师：</w:t>
      </w:r>
    </w:p>
    <w:p w14:paraId="742AF878">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姓    名：</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217FC69">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职    务：</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37F91F49">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监理工程师执业资格证书号：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BFE7C67">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联系电话：</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4750D89">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电子信箱：</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B89B780">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通信地址：</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5941F91">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关于监理人的其他约定：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4A97C90B">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4.4 商定或确定</w:t>
      </w:r>
    </w:p>
    <w:p w14:paraId="769B1B7A">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在发包人和承包人不能通过协商达成一致意见时，发包人授权监理人对以下事项进行确定：</w:t>
      </w:r>
    </w:p>
    <w:p w14:paraId="4021F2CE">
      <w:pPr>
        <w:pStyle w:val="134"/>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73AE074C">
      <w:pPr>
        <w:pStyle w:val="134"/>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（2）</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690AB072">
      <w:pPr>
        <w:pStyle w:val="134"/>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（3）</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464AF633">
      <w:pPr>
        <w:pStyle w:val="554"/>
        <w:adjustRightInd w:val="0"/>
        <w:snapToGrid w:val="0"/>
        <w:spacing w:before="0" w:after="0" w:line="360" w:lineRule="exact"/>
        <w:ind w:firstLine="42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 工程质量</w:t>
      </w:r>
    </w:p>
    <w:p w14:paraId="3AB40EA6">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5.1 质量要求</w:t>
      </w:r>
    </w:p>
    <w:p w14:paraId="37D9A7B9">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5.1.1 特殊质量标准和要求：</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3C241031">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关于工程奖项的约定：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D4F5571">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5.3 隐蔽工程检查</w:t>
      </w:r>
    </w:p>
    <w:p w14:paraId="61292DB4">
      <w:pPr>
        <w:pStyle w:val="134"/>
        <w:adjustRightInd w:val="0"/>
        <w:snapToGrid w:val="0"/>
        <w:spacing w:line="360" w:lineRule="exact"/>
        <w:ind w:firstLine="420" w:firstLineChars="200"/>
        <w:jc w:val="left"/>
        <w:rPr>
          <w:rFonts w:ascii="仿宋" w:hAnsi="仿宋" w:eastAsia="仿宋" w:cs="仿宋"/>
          <w:b/>
          <w:bCs/>
          <w:i/>
          <w:iCs/>
          <w:color w:val="auto"/>
          <w:highlight w:val="none"/>
          <w:u w:val="single"/>
        </w:rPr>
      </w:pPr>
      <w:r>
        <w:rPr>
          <w:rFonts w:hint="eastAsia" w:ascii="仿宋" w:hAnsi="仿宋" w:eastAsia="仿宋" w:cs="仿宋"/>
          <w:color w:val="auto"/>
          <w:highlight w:val="none"/>
        </w:rPr>
        <w:t>5.3.2承包人提前通知监理人隐蔽工程检查的期限的约定：</w:t>
      </w:r>
      <w:r>
        <w:rPr>
          <w:rFonts w:hint="eastAsia" w:ascii="仿宋" w:hAnsi="仿宋" w:eastAsia="仿宋" w:cs="仿宋"/>
          <w:b/>
          <w:bCs/>
          <w:color w:val="auto"/>
          <w:highlight w:val="none"/>
          <w:u w:val="single"/>
        </w:rPr>
        <w:t>承包人自检合格后，在隐蔽工程验收48小时前通知监理工程师和发包人代表参加。通知包括承包人自检记录、隐蔽验收时间和地点。验收合格，监理工程师和发包人代表在记录上签字后方可进行隐蔽和继续施工。不合格的，承包人在限定期限内整改后重新组织验收。</w:t>
      </w:r>
    </w:p>
    <w:p w14:paraId="0F0481EC">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监理人不能按时进行检查时，应提前</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24</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小时提交书面延期要求。</w:t>
      </w:r>
    </w:p>
    <w:p w14:paraId="6FDA4659">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关于延期最长不得超过：</w:t>
      </w:r>
      <w:r>
        <w:rPr>
          <w:rFonts w:hint="eastAsia" w:ascii="仿宋" w:hAnsi="仿宋" w:eastAsia="仿宋" w:cs="仿宋"/>
          <w:b/>
          <w:bCs/>
          <w:color w:val="auto"/>
          <w:highlight w:val="none"/>
          <w:u w:val="single"/>
        </w:rPr>
        <w:t xml:space="preserve"> 48</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小时。</w:t>
      </w:r>
    </w:p>
    <w:p w14:paraId="3AC59102">
      <w:pPr>
        <w:pStyle w:val="554"/>
        <w:adjustRightInd w:val="0"/>
        <w:snapToGrid w:val="0"/>
        <w:spacing w:before="0" w:after="0" w:line="360" w:lineRule="exact"/>
        <w:ind w:firstLine="42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 安全文明施工与环境保护</w:t>
      </w:r>
    </w:p>
    <w:p w14:paraId="06FFEE3D">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6.1安全文明施工</w:t>
      </w:r>
    </w:p>
    <w:p w14:paraId="5E0FC4E1">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6.1.1 项目安全生产的达标目标及相应事项的约定：</w:t>
      </w:r>
      <w:r>
        <w:rPr>
          <w:rFonts w:hint="eastAsia" w:ascii="仿宋" w:hAnsi="仿宋" w:eastAsia="仿宋" w:cs="仿宋"/>
          <w:color w:val="auto"/>
          <w:highlight w:val="none"/>
          <w:u w:val="single"/>
        </w:rPr>
        <w:t xml:space="preserve"> 施工现场按照《建筑施工安全检查标准》(JGJ59-2011)评定达到“合格”标准 </w:t>
      </w:r>
      <w:r>
        <w:rPr>
          <w:rFonts w:hint="eastAsia" w:ascii="仿宋" w:hAnsi="仿宋" w:eastAsia="仿宋" w:cs="仿宋"/>
          <w:color w:val="auto"/>
          <w:highlight w:val="none"/>
        </w:rPr>
        <w:t>。</w:t>
      </w:r>
    </w:p>
    <w:p w14:paraId="5E2DE7C2">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6.1.4 关于治安保卫的特别约定：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按通用合同条款第6.1.4条规定执行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03FB6D8">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关于编制施工场地治安管理计划的约定：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按通用合同条款第6.1.4条规定执行</w:t>
      </w:r>
      <w:r>
        <w:rPr>
          <w:rFonts w:hint="eastAsia" w:ascii="仿宋" w:hAnsi="仿宋" w:eastAsia="仿宋" w:cs="仿宋"/>
          <w:color w:val="auto"/>
          <w:highlight w:val="none"/>
        </w:rPr>
        <w:t>。</w:t>
      </w:r>
    </w:p>
    <w:p w14:paraId="1D1F982F">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6.1.5 文明施工</w:t>
      </w:r>
    </w:p>
    <w:p w14:paraId="498C6B9D">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合同当事人对文明施工的要求：</w:t>
      </w:r>
    </w:p>
    <w:p w14:paraId="656700CD">
      <w:pPr>
        <w:pStyle w:val="134"/>
        <w:autoSpaceDE w:val="0"/>
        <w:autoSpaceDN w:val="0"/>
        <w:adjustRightInd w:val="0"/>
        <w:snapToGrid w:val="0"/>
        <w:spacing w:line="360" w:lineRule="exact"/>
        <w:ind w:firstLine="422" w:firstLineChars="200"/>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（1）承包人应严格按安全文明施工的要求组织施工，遵守工程建设安全文明的有关规定，认真落实各项安全保护措施，并随时接受甲方、监理工程师及有关部门的监督检查；</w:t>
      </w:r>
    </w:p>
    <w:p w14:paraId="45AC6A05">
      <w:pPr>
        <w:pStyle w:val="134"/>
        <w:autoSpaceDE w:val="0"/>
        <w:autoSpaceDN w:val="0"/>
        <w:adjustRightInd w:val="0"/>
        <w:snapToGrid w:val="0"/>
        <w:spacing w:line="360" w:lineRule="exact"/>
        <w:ind w:firstLine="422" w:firstLineChars="200"/>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（2）承包人应对进入施工现场的施工人员进行安全文明教育，配备必要的劳动保护用具，保证工程的施工安全和人身安全；</w:t>
      </w:r>
    </w:p>
    <w:p w14:paraId="345AAE15">
      <w:pPr>
        <w:pStyle w:val="134"/>
        <w:autoSpaceDE w:val="0"/>
        <w:autoSpaceDN w:val="0"/>
        <w:adjustRightInd w:val="0"/>
        <w:snapToGrid w:val="0"/>
        <w:spacing w:line="360" w:lineRule="exact"/>
        <w:ind w:firstLine="422" w:firstLineChars="200"/>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（3）承包人应注意保护施工现场已完建筑物的安全；</w:t>
      </w:r>
    </w:p>
    <w:p w14:paraId="68927429">
      <w:pPr>
        <w:pStyle w:val="134"/>
        <w:autoSpaceDE w:val="0"/>
        <w:autoSpaceDN w:val="0"/>
        <w:adjustRightInd w:val="0"/>
        <w:snapToGrid w:val="0"/>
        <w:spacing w:line="360" w:lineRule="exact"/>
        <w:ind w:firstLine="422" w:firstLineChars="200"/>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（4）如由于承包人安全措施不力造成事故的责任和由此发生的全部费用，包括但不限于给发包人或其他单位造成的直接和间接损失均由承包人承担；</w:t>
      </w:r>
    </w:p>
    <w:p w14:paraId="0CA9FED8">
      <w:pPr>
        <w:pStyle w:val="134"/>
        <w:autoSpaceDE w:val="0"/>
        <w:autoSpaceDN w:val="0"/>
        <w:adjustRightInd w:val="0"/>
        <w:snapToGrid w:val="0"/>
        <w:spacing w:line="360" w:lineRule="exact"/>
        <w:ind w:firstLine="422" w:firstLineChars="200"/>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（5）安全文明施工措施费的使用由监理单位按工程进度现场实际落实情况审核，发包人检查签证确认，但费用总额不得超过投标报价数。</w:t>
      </w:r>
    </w:p>
    <w:p w14:paraId="31748024">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（8）上述手续办理费用约定如下：</w:t>
      </w:r>
      <w:r>
        <w:rPr>
          <w:rFonts w:hint="eastAsia" w:ascii="仿宋" w:hAnsi="仿宋" w:eastAsia="仿宋" w:cs="仿宋"/>
          <w:color w:val="auto"/>
          <w:highlight w:val="none"/>
          <w:u w:val="single"/>
        </w:rPr>
        <w:t xml:space="preserve"> 由承包人承担 </w:t>
      </w:r>
      <w:r>
        <w:rPr>
          <w:rFonts w:hint="eastAsia" w:ascii="仿宋" w:hAnsi="仿宋" w:eastAsia="仿宋" w:cs="仿宋"/>
          <w:color w:val="auto"/>
          <w:highlight w:val="none"/>
        </w:rPr>
        <w:t>。</w:t>
      </w:r>
    </w:p>
    <w:p w14:paraId="46E24FA4">
      <w:pPr>
        <w:pStyle w:val="134"/>
        <w:adjustRightInd w:val="0"/>
        <w:snapToGrid w:val="0"/>
        <w:spacing w:line="360" w:lineRule="exact"/>
        <w:ind w:firstLine="420" w:firstLineChars="20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6.1.6 关于安全文明施工费支付比例和支付期限的约定：</w:t>
      </w:r>
      <w:r>
        <w:rPr>
          <w:rFonts w:hint="eastAsia" w:ascii="仿宋" w:hAnsi="仿宋" w:eastAsia="仿宋" w:cs="仿宋"/>
          <w:color w:val="auto"/>
          <w:highlight w:val="none"/>
          <w:u w:val="single"/>
          <w:lang w:val="en-US" w:eastAsia="zh-CN"/>
        </w:rPr>
        <w:t>按通用合同条款第6.1.6条规定执行</w:t>
      </w:r>
      <w:r>
        <w:rPr>
          <w:rFonts w:hint="eastAsia" w:ascii="仿宋" w:hAnsi="仿宋" w:eastAsia="仿宋" w:cs="仿宋"/>
          <w:color w:val="auto"/>
          <w:highlight w:val="none"/>
          <w:lang w:val="en-US" w:eastAsia="zh-CN"/>
        </w:rPr>
        <w:t>。</w:t>
      </w:r>
    </w:p>
    <w:p w14:paraId="4836C17B">
      <w:pPr>
        <w:pStyle w:val="554"/>
        <w:adjustRightInd w:val="0"/>
        <w:snapToGrid w:val="0"/>
        <w:spacing w:before="0" w:after="0" w:line="360" w:lineRule="exact"/>
        <w:ind w:firstLine="42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 工期和进度</w:t>
      </w:r>
    </w:p>
    <w:p w14:paraId="5250C3C2">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7.1 施工组织设计</w:t>
      </w:r>
    </w:p>
    <w:p w14:paraId="1B89A14A">
      <w:pPr>
        <w:pStyle w:val="134"/>
        <w:autoSpaceDE w:val="0"/>
        <w:autoSpaceDN w:val="0"/>
        <w:adjustRightInd w:val="0"/>
        <w:snapToGrid w:val="0"/>
        <w:spacing w:line="360" w:lineRule="exact"/>
        <w:jc w:val="left"/>
        <w:rPr>
          <w:rFonts w:ascii="仿宋" w:hAnsi="仿宋" w:eastAsia="仿宋" w:cs="仿宋"/>
          <w:color w:val="auto"/>
          <w:kern w:val="0"/>
          <w:highlight w:val="none"/>
        </w:rPr>
      </w:pPr>
      <w:r>
        <w:rPr>
          <w:rFonts w:hint="eastAsia" w:ascii="仿宋" w:hAnsi="仿宋" w:eastAsia="仿宋" w:cs="仿宋"/>
          <w:color w:val="auto"/>
          <w:highlight w:val="none"/>
        </w:rPr>
        <w:t xml:space="preserve">    7.1.1 合</w:t>
      </w:r>
      <w:r>
        <w:rPr>
          <w:rFonts w:hint="eastAsia" w:ascii="仿宋" w:hAnsi="仿宋" w:eastAsia="仿宋" w:cs="仿宋"/>
          <w:color w:val="auto"/>
          <w:kern w:val="0"/>
          <w:highlight w:val="none"/>
        </w:rPr>
        <w:t>同当事人约定的施工组织设计应包括的其他内容：</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77291541">
      <w:pPr>
        <w:pStyle w:val="134"/>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highlight w:val="none"/>
        </w:rPr>
        <w:t xml:space="preserve">7.1.2 </w:t>
      </w:r>
      <w:r>
        <w:rPr>
          <w:rFonts w:hint="eastAsia" w:ascii="仿宋" w:hAnsi="仿宋" w:eastAsia="仿宋" w:cs="仿宋"/>
          <w:color w:val="auto"/>
          <w:kern w:val="0"/>
          <w:highlight w:val="none"/>
        </w:rPr>
        <w:t>施工组织设计的提交和修改</w:t>
      </w:r>
    </w:p>
    <w:p w14:paraId="7D9B1008">
      <w:pPr>
        <w:pStyle w:val="134"/>
        <w:autoSpaceDE w:val="0"/>
        <w:autoSpaceDN w:val="0"/>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kern w:val="0"/>
          <w:highlight w:val="none"/>
        </w:rPr>
        <w:t xml:space="preserve">    承包人提交详细施工组织设计的期限的约定：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开工前7天内提供</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130D512">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发包人和监理人在收到详细的施工组织设计后确认或提出修改意见的期限：</w:t>
      </w:r>
      <w:r>
        <w:rPr>
          <w:rFonts w:hint="eastAsia" w:ascii="仿宋" w:hAnsi="仿宋" w:eastAsia="仿宋" w:cs="仿宋"/>
          <w:b/>
          <w:bCs/>
          <w:color w:val="auto"/>
          <w:highlight w:val="none"/>
          <w:u w:val="single"/>
        </w:rPr>
        <w:t xml:space="preserve"> 接到报告后7天内予以批复。（发包人、监理单位对施工组织设计方案的确认只是对施工组织设计方案可行性的确认，并不是对所涉费用的确认，也不免除承包人对施工组织设计方案应承担的全部责任）</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F92945D">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7.2 施工进度计划</w:t>
      </w:r>
    </w:p>
    <w:p w14:paraId="2F4434EF">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7.2.2 施工进度计划的修订</w:t>
      </w:r>
    </w:p>
    <w:p w14:paraId="703C1AAE">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发包人和监理人在收到修订的施工进度计划后确认或提出修改意见的期限：</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接到报告后7天内予以批复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7F71C4D">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7.3 开工</w:t>
      </w:r>
    </w:p>
    <w:p w14:paraId="7777DA16">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7.3.1 开工准备</w:t>
      </w:r>
    </w:p>
    <w:p w14:paraId="476CF814">
      <w:pPr>
        <w:pStyle w:val="134"/>
        <w:adjustRightInd w:val="0"/>
        <w:snapToGrid w:val="0"/>
        <w:spacing w:line="360" w:lineRule="exact"/>
        <w:jc w:val="left"/>
        <w:rPr>
          <w:rFonts w:ascii="仿宋" w:hAnsi="仿宋" w:eastAsia="仿宋" w:cs="仿宋"/>
          <w:color w:val="auto"/>
          <w:highlight w:val="none"/>
          <w:u w:val="single"/>
        </w:rPr>
      </w:pPr>
      <w:r>
        <w:rPr>
          <w:rFonts w:hint="eastAsia" w:ascii="仿宋" w:hAnsi="仿宋" w:eastAsia="仿宋" w:cs="仿宋"/>
          <w:color w:val="auto"/>
          <w:highlight w:val="none"/>
        </w:rPr>
        <w:t xml:space="preserve">    关于承包人提交</w:t>
      </w:r>
      <w:r>
        <w:rPr>
          <w:rFonts w:hint="eastAsia" w:ascii="仿宋" w:hAnsi="仿宋" w:eastAsia="仿宋" w:cs="仿宋"/>
          <w:color w:val="auto"/>
          <w:kern w:val="0"/>
          <w:highlight w:val="none"/>
        </w:rPr>
        <w:t>工程开工报审表的期限：</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开工前7天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F16FFAB">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关于发包人应完成的其他开工准备工作及期限：</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开工前7天</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B7D5455">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关于承包人应完成的其他开工准备工作及期限：</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开工前7天</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5FE418A">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7.3.2开工通知</w:t>
      </w:r>
    </w:p>
    <w:p w14:paraId="44DB0FBF">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因发包人原因造成监理人未能在计划开工日期之日起</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120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天内发出开工通知的，承包人有权提出价格调整要求，或者解除合同。</w:t>
      </w:r>
    </w:p>
    <w:p w14:paraId="2D231C5A">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7.4 测量放线</w:t>
      </w:r>
    </w:p>
    <w:p w14:paraId="6EDAAE4F">
      <w:pPr>
        <w:pStyle w:val="134"/>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highlight w:val="none"/>
        </w:rPr>
        <w:t>7.4.1发包人通过监理人向承包人提供测量基准点、基准线和水准点及其书面资料的期限：</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开工前7天</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E1BA87C">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7.5 工期延误</w:t>
      </w:r>
    </w:p>
    <w:p w14:paraId="4C96DC09">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7.5.1 因发包人原因导致工期延误</w:t>
      </w:r>
    </w:p>
    <w:p w14:paraId="6877121F">
      <w:pPr>
        <w:pStyle w:val="134"/>
        <w:adjustRightInd w:val="0"/>
        <w:snapToGrid w:val="0"/>
        <w:spacing w:line="360" w:lineRule="exact"/>
        <w:rPr>
          <w:rFonts w:ascii="仿宋" w:hAnsi="仿宋" w:eastAsia="仿宋" w:cs="仿宋"/>
          <w:color w:val="auto"/>
          <w:highlight w:val="none"/>
        </w:rPr>
      </w:pPr>
      <w:r>
        <w:rPr>
          <w:rFonts w:hint="eastAsia" w:ascii="仿宋" w:hAnsi="仿宋" w:eastAsia="仿宋" w:cs="仿宋"/>
          <w:color w:val="auto"/>
          <w:highlight w:val="none"/>
        </w:rPr>
        <w:t xml:space="preserve">   （7）因发包人原因导致工期延误的其他情形：</w:t>
      </w:r>
    </w:p>
    <w:p w14:paraId="44DC5C4A">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①重大设计变更引起的工期延误；</w:t>
      </w:r>
    </w:p>
    <w:p w14:paraId="2DC10E0B">
      <w:pPr>
        <w:pStyle w:val="134"/>
        <w:adjustRightInd w:val="0"/>
        <w:snapToGrid w:val="0"/>
        <w:spacing w:line="360" w:lineRule="exact"/>
        <w:ind w:firstLine="420" w:firstLineChars="200"/>
        <w:rPr>
          <w:rFonts w:ascii="仿宋" w:hAnsi="仿宋" w:eastAsia="仿宋" w:cs="仿宋"/>
          <w:b/>
          <w:bCs/>
          <w:color w:val="auto"/>
          <w:highlight w:val="none"/>
          <w:u w:val="single"/>
        </w:rPr>
      </w:pPr>
      <w:r>
        <w:rPr>
          <w:rFonts w:hint="eastAsia" w:ascii="仿宋" w:hAnsi="仿宋" w:eastAsia="仿宋" w:cs="仿宋"/>
          <w:color w:val="auto"/>
          <w:highlight w:val="none"/>
        </w:rPr>
        <w:t>②其他：</w:t>
      </w:r>
      <w:r>
        <w:rPr>
          <w:rFonts w:hint="eastAsia" w:ascii="仿宋" w:hAnsi="仿宋" w:eastAsia="仿宋" w:cs="仿宋"/>
          <w:b/>
          <w:bCs/>
          <w:color w:val="auto"/>
          <w:highlight w:val="none"/>
          <w:u w:val="single"/>
        </w:rPr>
        <w:t>由发包人原因造成的工期延误，并经发包人和监理签证确认；</w:t>
      </w:r>
    </w:p>
    <w:p w14:paraId="34FCA5D3">
      <w:pPr>
        <w:pStyle w:val="134"/>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对于因发包人原因造成的工期延误，承包人要求顺延工期的，应在延误发生后14日内提出；逾期提出的，发包人有权不予认可；未提出顺延签证的，视为工期不需顺延。</w:t>
      </w:r>
    </w:p>
    <w:p w14:paraId="509F8518">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7.5.2 因承包人原因导致工期延误</w:t>
      </w:r>
    </w:p>
    <w:p w14:paraId="23647CCC">
      <w:pPr>
        <w:pStyle w:val="134"/>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highlight w:val="none"/>
        </w:rPr>
        <w:t>因承包人原因造成工期延误，逾期竣工违约金的计算方法为：</w:t>
      </w:r>
    </w:p>
    <w:p w14:paraId="327B98EC">
      <w:pPr>
        <w:pStyle w:val="134"/>
        <w:adjustRightInd w:val="0"/>
        <w:snapToGrid w:val="0"/>
        <w:spacing w:line="360" w:lineRule="exact"/>
        <w:ind w:firstLine="422" w:firstLineChars="200"/>
        <w:jc w:val="left"/>
        <w:rPr>
          <w:rFonts w:ascii="仿宋" w:hAnsi="仿宋" w:eastAsia="仿宋" w:cs="仿宋"/>
          <w:b/>
          <w:bCs/>
          <w:color w:val="auto"/>
          <w:highlight w:val="none"/>
        </w:rPr>
      </w:pPr>
      <w:r>
        <w:rPr>
          <w:rFonts w:hint="eastAsia" w:ascii="仿宋" w:hAnsi="仿宋" w:eastAsia="仿宋" w:cs="仿宋"/>
          <w:b/>
          <w:bCs/>
          <w:color w:val="auto"/>
          <w:highlight w:val="none"/>
          <w:u w:val="single"/>
        </w:rPr>
        <w:t>因承包人原因工程不能按合同约定工期竣工，每延误一天，承包人应按每天人民币</w:t>
      </w:r>
      <w:r>
        <w:rPr>
          <w:rFonts w:hint="eastAsia" w:ascii="仿宋" w:hAnsi="仿宋" w:eastAsia="仿宋" w:cs="仿宋"/>
          <w:b/>
          <w:bCs/>
          <w:color w:val="auto"/>
          <w:highlight w:val="none"/>
          <w:u w:val="single"/>
          <w:lang w:val="en-US" w:eastAsia="zh-CN"/>
        </w:rPr>
        <w:t>1</w:t>
      </w:r>
      <w:r>
        <w:rPr>
          <w:rFonts w:hint="eastAsia" w:ascii="仿宋" w:hAnsi="仿宋" w:eastAsia="仿宋" w:cs="仿宋"/>
          <w:b/>
          <w:bCs/>
          <w:color w:val="auto"/>
          <w:highlight w:val="none"/>
          <w:u w:val="single"/>
        </w:rPr>
        <w:t>000元向发包人支付违约金。</w:t>
      </w:r>
    </w:p>
    <w:p w14:paraId="6DBBDEA3">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因承包人原因造成工期延误，逾期竣工违约金的上限：</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扣除全部工期履约保证金</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6B83981">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7.5.3因其他原因导致工期延误</w:t>
      </w:r>
    </w:p>
    <w:p w14:paraId="38BB7FE8">
      <w:pPr>
        <w:pStyle w:val="134"/>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（1）非承包人原因停水当天累计8小时以上计算工期延误；（2）不可抗力因素；（3）非承包人的过失造成工期延误，并经发包人和监理签证确认。</w:t>
      </w:r>
    </w:p>
    <w:p w14:paraId="26F580B8">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 xml:space="preserve"> 对于前述三种情形造成的工期延误，承包人要求顺延工期的，应在延误发生后14日内提出；逾期提出的，发包人有权不予认可；未提出顺延签证的，视为工期不需顺延。</w:t>
      </w:r>
    </w:p>
    <w:p w14:paraId="6DCDD94B">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7.6 不利物质条件</w:t>
      </w:r>
    </w:p>
    <w:p w14:paraId="0D3C0BC0">
      <w:pPr>
        <w:pStyle w:val="134"/>
        <w:adjustRightInd w:val="0"/>
        <w:snapToGrid w:val="0"/>
        <w:spacing w:line="360" w:lineRule="exact"/>
        <w:ind w:firstLine="420"/>
        <w:jc w:val="left"/>
        <w:rPr>
          <w:rFonts w:ascii="仿宋" w:hAnsi="仿宋" w:eastAsia="仿宋" w:cs="仿宋"/>
          <w:color w:val="auto"/>
          <w:highlight w:val="none"/>
        </w:rPr>
      </w:pPr>
      <w:r>
        <w:rPr>
          <w:rFonts w:hint="eastAsia" w:ascii="仿宋" w:hAnsi="仿宋" w:eastAsia="仿宋" w:cs="仿宋"/>
          <w:color w:val="auto"/>
          <w:highlight w:val="none"/>
        </w:rPr>
        <w:t>不利物质条件的其他情形和有关约定：</w:t>
      </w:r>
      <w:r>
        <w:rPr>
          <w:rFonts w:hint="eastAsia" w:ascii="仿宋" w:hAnsi="仿宋" w:eastAsia="仿宋" w:cs="仿宋"/>
          <w:color w:val="auto"/>
          <w:highlight w:val="none"/>
          <w:u w:val="single"/>
        </w:rPr>
        <w:t>按通用合同条款第7.6条规定执行</w:t>
      </w:r>
      <w:r>
        <w:rPr>
          <w:rFonts w:hint="eastAsia" w:ascii="仿宋" w:hAnsi="仿宋" w:eastAsia="仿宋" w:cs="仿宋"/>
          <w:color w:val="auto"/>
          <w:highlight w:val="none"/>
        </w:rPr>
        <w:t>。</w:t>
      </w:r>
    </w:p>
    <w:p w14:paraId="3FB6C775">
      <w:pPr>
        <w:pStyle w:val="134"/>
        <w:adjustRightInd w:val="0"/>
        <w:snapToGrid w:val="0"/>
        <w:spacing w:line="360" w:lineRule="exact"/>
        <w:ind w:firstLine="420"/>
        <w:jc w:val="left"/>
        <w:rPr>
          <w:rFonts w:ascii="仿宋" w:hAnsi="仿宋" w:eastAsia="仿宋" w:cs="仿宋"/>
          <w:color w:val="auto"/>
          <w:highlight w:val="none"/>
        </w:rPr>
      </w:pPr>
      <w:r>
        <w:rPr>
          <w:rFonts w:hint="eastAsia" w:ascii="仿宋" w:hAnsi="仿宋" w:eastAsia="仿宋" w:cs="仿宋"/>
          <w:color w:val="auto"/>
          <w:szCs w:val="24"/>
          <w:highlight w:val="none"/>
        </w:rPr>
        <w:t>(4)其他：</w:t>
      </w:r>
      <w:r>
        <w:rPr>
          <w:rFonts w:hint="eastAsia" w:ascii="仿宋" w:hAnsi="仿宋" w:eastAsia="仿宋" w:cs="仿宋"/>
          <w:b/>
          <w:bCs/>
          <w:color w:val="auto"/>
          <w:highlight w:val="none"/>
          <w:u w:val="single"/>
        </w:rPr>
        <w:t>按通用合同条款第7.6条规定执行</w:t>
      </w:r>
      <w:r>
        <w:rPr>
          <w:rFonts w:hint="eastAsia" w:ascii="仿宋" w:hAnsi="仿宋" w:eastAsia="仿宋" w:cs="仿宋"/>
          <w:color w:val="auto"/>
          <w:highlight w:val="none"/>
        </w:rPr>
        <w:t>。</w:t>
      </w:r>
    </w:p>
    <w:p w14:paraId="46F341B0">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7.7异常恶劣的气候条件</w:t>
      </w:r>
    </w:p>
    <w:p w14:paraId="46A1D930">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发包人和承包人同意以下情形视为异常恶劣的气候条件：</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 /  。</w:t>
      </w:r>
    </w:p>
    <w:p w14:paraId="096A8127">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7.9 提前竣工的奖励</w:t>
      </w:r>
    </w:p>
    <w:p w14:paraId="083A3E4A">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7.9.2提前竣工的奖励：</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 /  </w:t>
      </w:r>
      <w:r>
        <w:rPr>
          <w:rFonts w:hint="eastAsia" w:ascii="仿宋" w:hAnsi="仿宋" w:eastAsia="仿宋" w:cs="仿宋"/>
          <w:color w:val="auto"/>
          <w:highlight w:val="none"/>
        </w:rPr>
        <w:t>。</w:t>
      </w:r>
    </w:p>
    <w:p w14:paraId="253B8F5B">
      <w:pPr>
        <w:pStyle w:val="554"/>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 材料与设备</w:t>
      </w:r>
    </w:p>
    <w:p w14:paraId="26E2EB37">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8.4材料与工程设备的保管与使用</w:t>
      </w:r>
    </w:p>
    <w:p w14:paraId="130060D7">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8.4.1发包人供应的材料设备的保管费用的承担：</w:t>
      </w:r>
    </w:p>
    <w:p w14:paraId="4C853362">
      <w:pPr>
        <w:pStyle w:val="134"/>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1、发包人供应的材料设备保管费用、安装过程中的二次搬运和设备就位费、检验试验费由承包人投标时报价包干；</w:t>
      </w:r>
    </w:p>
    <w:p w14:paraId="217F3805">
      <w:pPr>
        <w:pStyle w:val="134"/>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2、因承包人原因发生材料丢失损坏，由承包人负责赔偿。</w:t>
      </w:r>
    </w:p>
    <w:p w14:paraId="3CC22D19">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8.6 样品</w:t>
      </w:r>
    </w:p>
    <w:p w14:paraId="264F6337">
      <w:pPr>
        <w:pStyle w:val="134"/>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8.6.1样品的报送与封存</w:t>
      </w:r>
    </w:p>
    <w:p w14:paraId="4834EBAE">
      <w:pPr>
        <w:pStyle w:val="134"/>
        <w:autoSpaceDE w:val="0"/>
        <w:autoSpaceDN w:val="0"/>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kern w:val="0"/>
          <w:highlight w:val="none"/>
        </w:rPr>
        <w:t>需要承包人报送样品的材料或工程设备，样品的种类、名称、规格、数量要求：</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按通用合同条款8.6.1条规定执行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33BAECB7">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8.8 施工设备和临时设施</w:t>
      </w:r>
    </w:p>
    <w:p w14:paraId="5F0BA521">
      <w:pPr>
        <w:pStyle w:val="134"/>
        <w:autoSpaceDE w:val="0"/>
        <w:autoSpaceDN w:val="0"/>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8.8.1 承包人提供的施工设备和临时设施</w:t>
      </w:r>
    </w:p>
    <w:p w14:paraId="50142C44">
      <w:pPr>
        <w:pStyle w:val="134"/>
        <w:autoSpaceDE w:val="0"/>
        <w:autoSpaceDN w:val="0"/>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关于修建临时设施费用承担的约定：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按通用合同条款第8.8.1条规定执行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20A1D0C">
      <w:pPr>
        <w:pStyle w:val="554"/>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 试验与检验</w:t>
      </w:r>
    </w:p>
    <w:p w14:paraId="58DB1963">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9.1试验设备与试验人员</w:t>
      </w:r>
    </w:p>
    <w:p w14:paraId="6050A13E">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9.1.2 试验设备</w:t>
      </w:r>
    </w:p>
    <w:p w14:paraId="71F36C77">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施工现场需要配置的试验场所：</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 xml:space="preserve">。 </w:t>
      </w:r>
    </w:p>
    <w:p w14:paraId="6297065D">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施工现场需要配备的试验设备：</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0138C5DC">
      <w:pPr>
        <w:pStyle w:val="134"/>
        <w:adjustRightInd w:val="0"/>
        <w:snapToGrid w:val="0"/>
        <w:spacing w:line="360" w:lineRule="exact"/>
        <w:ind w:firstLine="420"/>
        <w:jc w:val="left"/>
        <w:rPr>
          <w:rFonts w:ascii="仿宋" w:hAnsi="仿宋" w:eastAsia="仿宋" w:cs="仿宋"/>
          <w:color w:val="auto"/>
          <w:highlight w:val="none"/>
        </w:rPr>
      </w:pPr>
      <w:r>
        <w:rPr>
          <w:rFonts w:hint="eastAsia" w:ascii="仿宋" w:hAnsi="仿宋" w:eastAsia="仿宋" w:cs="仿宋"/>
          <w:color w:val="auto"/>
          <w:highlight w:val="none"/>
        </w:rPr>
        <w:t>施工现场需要具备的其他试验条件：</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2FE1959C">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9.3材料、工程设备和工程的试验和检验</w:t>
      </w:r>
    </w:p>
    <w:p w14:paraId="02540A6D">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试验、检测单位资质条件约定；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41FF70D0">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试验、检测单位选择约定：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161395AE">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试验、检测费用约定：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5A99FC58">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9.4 现场工艺试验 </w:t>
      </w:r>
    </w:p>
    <w:p w14:paraId="2E627166">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现场工艺试验的有关约定：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按通用合同条款第9.4条规定执行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7AB8053">
      <w:pPr>
        <w:pStyle w:val="554"/>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 变更</w:t>
      </w:r>
    </w:p>
    <w:p w14:paraId="1BCBBEB2">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10.1变更的范围</w:t>
      </w:r>
    </w:p>
    <w:p w14:paraId="3CDAE962">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关于变更的范围的约定：</w:t>
      </w:r>
      <w:r>
        <w:rPr>
          <w:rFonts w:hint="eastAsia" w:ascii="仿宋" w:hAnsi="仿宋" w:eastAsia="仿宋" w:cs="仿宋"/>
          <w:color w:val="auto"/>
          <w:highlight w:val="none"/>
          <w:u w:val="single"/>
        </w:rPr>
        <w:t>按通用合同条款约定</w:t>
      </w:r>
      <w:r>
        <w:rPr>
          <w:rFonts w:hint="eastAsia" w:ascii="仿宋" w:hAnsi="仿宋" w:eastAsia="仿宋" w:cs="仿宋"/>
          <w:color w:val="auto"/>
          <w:highlight w:val="none"/>
        </w:rPr>
        <w:t>。</w:t>
      </w:r>
    </w:p>
    <w:p w14:paraId="13F17901">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10.4 变更估价</w:t>
      </w:r>
    </w:p>
    <w:p w14:paraId="637C5663">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10.4.1 变更估价原则</w:t>
      </w:r>
    </w:p>
    <w:p w14:paraId="514BC006">
      <w:pPr>
        <w:pStyle w:val="134"/>
        <w:adjustRightInd w:val="0"/>
        <w:snapToGrid w:val="0"/>
        <w:spacing w:line="360" w:lineRule="exact"/>
        <w:ind w:firstLine="420"/>
        <w:jc w:val="left"/>
        <w:rPr>
          <w:rFonts w:ascii="仿宋" w:hAnsi="仿宋" w:eastAsia="仿宋" w:cs="仿宋"/>
          <w:color w:val="auto"/>
          <w:highlight w:val="none"/>
        </w:rPr>
      </w:pPr>
      <w:r>
        <w:rPr>
          <w:rFonts w:hint="eastAsia" w:ascii="仿宋" w:hAnsi="仿宋" w:eastAsia="仿宋" w:cs="仿宋"/>
          <w:color w:val="auto"/>
          <w:highlight w:val="none"/>
        </w:rPr>
        <w:t>关于变更估价的约定:</w:t>
      </w:r>
      <w:r>
        <w:rPr>
          <w:rFonts w:hint="eastAsia" w:ascii="仿宋" w:hAnsi="仿宋" w:eastAsia="仿宋" w:cs="仿宋"/>
          <w:color w:val="auto"/>
          <w:highlight w:val="none"/>
          <w:u w:val="single"/>
        </w:rPr>
        <w:t>设计变更、施工联系单签证等发生的费用，结算综合单价直接套用相应或相似的响应单价。如无法套用时，无响应价的材料单价按同期信息价，无信息价按市场价计取，各项取费与响应同口径。</w:t>
      </w:r>
    </w:p>
    <w:p w14:paraId="452AA8D8">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10.5承包人的合理化建议</w:t>
      </w:r>
    </w:p>
    <w:p w14:paraId="0B0C8104">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监理人审查承包人合理化建议的期限：</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按通用合同条款第10.5条规定执行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C0A56BA">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发包人审批承包人合理化建议的期限：</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按通用合同条款第10.5条规定执行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21061A3">
      <w:pPr>
        <w:pStyle w:val="134"/>
        <w:adjustRightInd w:val="0"/>
        <w:snapToGrid w:val="0"/>
        <w:spacing w:line="360" w:lineRule="exact"/>
        <w:jc w:val="left"/>
        <w:rPr>
          <w:rFonts w:ascii="仿宋" w:hAnsi="仿宋" w:eastAsia="仿宋" w:cs="仿宋"/>
          <w:color w:val="auto"/>
          <w:highlight w:val="none"/>
          <w:u w:val="single"/>
        </w:rPr>
      </w:pPr>
      <w:r>
        <w:rPr>
          <w:rFonts w:hint="eastAsia" w:ascii="仿宋" w:hAnsi="仿宋" w:eastAsia="仿宋" w:cs="仿宋"/>
          <w:color w:val="auto"/>
          <w:highlight w:val="none"/>
        </w:rPr>
        <w:t xml:space="preserve">    承包人提出的合理化建议降低了合同价格或者提高了工程经济效益的奖励的方法和金额为：</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另行协商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18E1E2E">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10.7 暂估价</w:t>
      </w:r>
    </w:p>
    <w:p w14:paraId="266A9E05">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kern w:val="0"/>
          <w:highlight w:val="none"/>
        </w:rPr>
        <w:t>暂估价材料和工程设备的明细：</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 xml:space="preserve"> 。</w:t>
      </w:r>
    </w:p>
    <w:p w14:paraId="08C27AAE">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10.7.1 依法必须招标的暂估价项目</w:t>
      </w:r>
    </w:p>
    <w:p w14:paraId="0A28B3B8">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对于依法必须招标的暂估价项目的确认和批准采取第</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种方式确定。</w:t>
      </w:r>
    </w:p>
    <w:p w14:paraId="73D8CD7E">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10.7.2 不属于依法必须招标的暂估价项目</w:t>
      </w:r>
    </w:p>
    <w:p w14:paraId="620CC4D4">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对于不属于依法必须招标的暂估价项目的确认和批准采取第</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种方式确定。</w:t>
      </w:r>
    </w:p>
    <w:p w14:paraId="63970960">
      <w:pPr>
        <w:pStyle w:val="134"/>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highlight w:val="none"/>
        </w:rPr>
        <w:t>第3种方式：</w:t>
      </w:r>
      <w:r>
        <w:rPr>
          <w:rFonts w:hint="eastAsia" w:ascii="仿宋" w:hAnsi="仿宋" w:eastAsia="仿宋" w:cs="仿宋"/>
          <w:color w:val="auto"/>
          <w:kern w:val="0"/>
          <w:highlight w:val="none"/>
        </w:rPr>
        <w:t>承包人直接实施的暂估价项目</w:t>
      </w:r>
    </w:p>
    <w:p w14:paraId="59D6873D">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承包人直接实施的暂估价项目的约定：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73336EC5">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10.8 暂列金额</w:t>
      </w:r>
    </w:p>
    <w:p w14:paraId="00E4027D">
      <w:pPr>
        <w:pStyle w:val="134"/>
        <w:autoSpaceDE w:val="0"/>
        <w:autoSpaceDN w:val="0"/>
        <w:adjustRightInd w:val="0"/>
        <w:snapToGrid w:val="0"/>
        <w:spacing w:line="360" w:lineRule="exact"/>
        <w:jc w:val="left"/>
        <w:rPr>
          <w:rFonts w:ascii="仿宋" w:hAnsi="仿宋" w:eastAsia="仿宋" w:cs="仿宋"/>
          <w:color w:val="auto"/>
          <w:kern w:val="0"/>
          <w:highlight w:val="none"/>
        </w:rPr>
      </w:pPr>
      <w:r>
        <w:rPr>
          <w:rFonts w:hint="eastAsia" w:ascii="仿宋" w:hAnsi="仿宋" w:eastAsia="仿宋" w:cs="仿宋"/>
          <w:color w:val="auto"/>
          <w:kern w:val="0"/>
          <w:highlight w:val="none"/>
        </w:rPr>
        <w:t xml:space="preserve">    合同当事人关于暂列金额使用的约定：</w:t>
      </w:r>
      <w:r>
        <w:rPr>
          <w:rFonts w:hint="eastAsia" w:ascii="仿宋" w:hAnsi="仿宋" w:eastAsia="仿宋" w:cs="仿宋"/>
          <w:color w:val="auto"/>
          <w:highlight w:val="none"/>
          <w:u w:val="single"/>
        </w:rPr>
        <w:t xml:space="preserve">      /        </w:t>
      </w:r>
      <w:r>
        <w:rPr>
          <w:rFonts w:hint="eastAsia" w:ascii="仿宋" w:hAnsi="仿宋" w:eastAsia="仿宋" w:cs="仿宋"/>
          <w:color w:val="auto"/>
          <w:kern w:val="0"/>
          <w:highlight w:val="none"/>
        </w:rPr>
        <w:t>。</w:t>
      </w:r>
    </w:p>
    <w:p w14:paraId="28CD8532">
      <w:pPr>
        <w:pStyle w:val="554"/>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 价格调整</w:t>
      </w:r>
    </w:p>
    <w:p w14:paraId="6E1F5060">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11.1 市场价格波动引起的调整</w:t>
      </w:r>
    </w:p>
    <w:p w14:paraId="4D117055">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kern w:val="0"/>
          <w:highlight w:val="none"/>
        </w:rPr>
        <w:t>市场价格波动是否调整合同价格的约定：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否</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602507A">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因市场价格波动调整合同价格，采用以下第</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种方式对合同价格进行调整：</w:t>
      </w:r>
    </w:p>
    <w:p w14:paraId="4B30FF12">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第1种方式：采用价格指数进行价格调整。</w:t>
      </w:r>
    </w:p>
    <w:p w14:paraId="4670EB9B">
      <w:pPr>
        <w:pStyle w:val="134"/>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highlight w:val="none"/>
        </w:rPr>
        <w:t>关于各可调因子、定值和变值权重，以及基本价格指数及其来源的约定：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 xml:space="preserve">；  </w:t>
      </w:r>
    </w:p>
    <w:p w14:paraId="4CFD972E">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第2种方式：采用造价信息进行价格调整。</w:t>
      </w:r>
    </w:p>
    <w:p w14:paraId="0DC340C1">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（2）关于基准价格的约定：</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D5EED76">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%时，或材料单价跌幅以已标价工程量清单或预算书中载明材料单价为基础超过</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%时，其超过部分据实调整。</w:t>
      </w:r>
    </w:p>
    <w:p w14:paraId="3E4F97ED">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%时，材料单价涨幅以已标价工程量清单或预算书中载明材料单价为基础超过</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%时，其超过部分据实调整。</w:t>
      </w:r>
    </w:p>
    <w:p w14:paraId="65F02F3F">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%时，其超过部分据实调整。</w:t>
      </w:r>
    </w:p>
    <w:p w14:paraId="51F57933">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第3种方式：其他价格调整方式：</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00923D67">
      <w:pPr>
        <w:pStyle w:val="554"/>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 合同价格、计量与支付</w:t>
      </w:r>
    </w:p>
    <w:p w14:paraId="1FD823B7">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12.1 合同价格形式</w:t>
      </w:r>
    </w:p>
    <w:p w14:paraId="0EFA8FFB">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1、单价合同。</w:t>
      </w:r>
    </w:p>
    <w:p w14:paraId="77094580">
      <w:pPr>
        <w:pStyle w:val="134"/>
        <w:adjustRightInd w:val="0"/>
        <w:snapToGrid w:val="0"/>
        <w:spacing w:line="360" w:lineRule="exact"/>
        <w:ind w:firstLine="420"/>
        <w:jc w:val="left"/>
        <w:rPr>
          <w:rFonts w:ascii="仿宋" w:hAnsi="仿宋" w:eastAsia="仿宋" w:cs="仿宋"/>
          <w:color w:val="auto"/>
          <w:highlight w:val="none"/>
        </w:rPr>
      </w:pPr>
      <w:r>
        <w:rPr>
          <w:rFonts w:hint="eastAsia" w:ascii="仿宋" w:hAnsi="仿宋" w:eastAsia="仿宋" w:cs="仿宋"/>
          <w:color w:val="auto"/>
          <w:highlight w:val="none"/>
        </w:rPr>
        <w:t>综合单价包含的风险范围：</w:t>
      </w:r>
    </w:p>
    <w:p w14:paraId="3D764543">
      <w:pPr>
        <w:spacing w:line="360" w:lineRule="exact"/>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u w:val="single"/>
        </w:rPr>
        <w:t>应由承包人承担的工、料、机在投标编制期或预算书编制期与合同实施期间所发生的市场价格波动</w:t>
      </w:r>
      <w:r>
        <w:rPr>
          <w:rFonts w:hint="eastAsia" w:ascii="仿宋" w:hAnsi="仿宋" w:eastAsia="仿宋" w:cs="仿宋"/>
          <w:bCs/>
          <w:color w:val="auto"/>
          <w:szCs w:val="21"/>
          <w:highlight w:val="none"/>
        </w:rPr>
        <w:t>。</w:t>
      </w:r>
    </w:p>
    <w:p w14:paraId="23D6DF19">
      <w:pPr>
        <w:pStyle w:val="134"/>
        <w:adjustRightInd w:val="0"/>
        <w:snapToGrid w:val="0"/>
        <w:spacing w:line="360" w:lineRule="exact"/>
        <w:ind w:firstLine="420"/>
        <w:jc w:val="left"/>
        <w:rPr>
          <w:rFonts w:ascii="仿宋" w:hAnsi="仿宋" w:eastAsia="仿宋" w:cs="仿宋"/>
          <w:b/>
          <w:bCs/>
          <w:i/>
          <w:iCs/>
          <w:color w:val="auto"/>
          <w:highlight w:val="none"/>
        </w:rPr>
      </w:pPr>
      <w:r>
        <w:rPr>
          <w:rFonts w:hint="eastAsia" w:ascii="仿宋" w:hAnsi="仿宋" w:eastAsia="仿宋" w:cs="仿宋"/>
          <w:bCs/>
          <w:color w:val="auto"/>
          <w:szCs w:val="21"/>
          <w:highlight w:val="none"/>
        </w:rPr>
        <w:t>（2）其他：</w:t>
      </w:r>
      <w:r>
        <w:rPr>
          <w:rFonts w:hint="eastAsia" w:ascii="仿宋" w:hAnsi="仿宋" w:eastAsia="仿宋" w:cs="仿宋"/>
          <w:b/>
          <w:bCs/>
          <w:color w:val="auto"/>
          <w:highlight w:val="none"/>
          <w:u w:val="single"/>
        </w:rPr>
        <w:t>a、分部分项工程量清单和施工技术措施项目清单与计价表中已列项目的综合单价；b、所有磋商文件或工程量清单明示要求报价的内容而承包人未予报价的；c、承包人对工程现场环境以及发包人提供的磋商文件、图纸等资料做出错误的推论、理解而导致的报价失误；d、磋商文件约定的工程量清单数量误差引起的综合单价成本差异；e、施工组织措施项目清单与计价表实行固定总价包干，不得因设计图纸变化、工程量增减、施工方案变更等任何因素而调整费用；f、规费、税金、农民工工伤保险费、总承包服务费为费率包干；g、清单描述中有按图集或规范施工的，综合单价必须满足规费和图集要求，综合单价不作调整；h、所有磋商文件或工程量清单明示要求报价包干或费率包干的内容</w:t>
      </w:r>
      <w:r>
        <w:rPr>
          <w:rFonts w:hint="eastAsia" w:ascii="仿宋" w:hAnsi="仿宋" w:eastAsia="仿宋" w:cs="仿宋"/>
          <w:b/>
          <w:bCs/>
          <w:color w:val="auto"/>
          <w:kern w:val="0"/>
          <w:highlight w:val="none"/>
          <w:u w:val="single"/>
          <w:shd w:val="clear" w:color="auto" w:fill="FFFFFF"/>
        </w:rPr>
        <w:t>。除政府出台价格调整政策且审计单位认为适用情况外，价格不作调整。</w:t>
      </w:r>
    </w:p>
    <w:p w14:paraId="634DBA83">
      <w:pPr>
        <w:pStyle w:val="134"/>
        <w:adjustRightInd w:val="0"/>
        <w:snapToGrid w:val="0"/>
        <w:spacing w:line="360" w:lineRule="exact"/>
        <w:ind w:firstLine="420"/>
        <w:jc w:val="left"/>
        <w:rPr>
          <w:rFonts w:ascii="仿宋" w:hAnsi="仿宋" w:eastAsia="仿宋" w:cs="仿宋"/>
          <w:b/>
          <w:bCs/>
          <w:color w:val="auto"/>
          <w:highlight w:val="none"/>
          <w:u w:val="single"/>
        </w:rPr>
      </w:pPr>
      <w:r>
        <w:rPr>
          <w:rFonts w:hint="eastAsia" w:ascii="仿宋" w:hAnsi="仿宋" w:eastAsia="仿宋" w:cs="仿宋"/>
          <w:color w:val="auto"/>
          <w:highlight w:val="none"/>
        </w:rPr>
        <w:t>风险费用计算方法：</w:t>
      </w:r>
      <w:r>
        <w:rPr>
          <w:rFonts w:hint="eastAsia" w:ascii="仿宋" w:hAnsi="仿宋" w:eastAsia="仿宋" w:cs="仿宋"/>
          <w:b/>
          <w:bCs/>
          <w:color w:val="auto"/>
          <w:highlight w:val="none"/>
          <w:u w:val="single"/>
        </w:rPr>
        <w:t>以上风险费用在投标报价时考虑，不再另行计取。</w:t>
      </w:r>
    </w:p>
    <w:p w14:paraId="793896BA">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风险范围以外合同价格的调整方法：</w:t>
      </w:r>
    </w:p>
    <w:p w14:paraId="1A0F4479">
      <w:pPr>
        <w:pStyle w:val="134"/>
        <w:adjustRightInd w:val="0"/>
        <w:snapToGrid w:val="0"/>
        <w:spacing w:line="360" w:lineRule="exact"/>
        <w:ind w:firstLine="420" w:firstLineChars="200"/>
        <w:rPr>
          <w:rFonts w:ascii="仿宋" w:hAnsi="仿宋" w:eastAsia="仿宋" w:cs="仿宋"/>
          <w:bCs/>
          <w:snapToGrid w:val="0"/>
          <w:color w:val="auto"/>
          <w:kern w:val="0"/>
          <w:szCs w:val="21"/>
          <w:highlight w:val="none"/>
          <w:u w:val="single"/>
        </w:rPr>
      </w:pPr>
      <w:r>
        <w:rPr>
          <w:rFonts w:hint="eastAsia" w:ascii="仿宋" w:hAnsi="仿宋" w:eastAsia="仿宋" w:cs="仿宋"/>
          <w:bCs/>
          <w:snapToGrid w:val="0"/>
          <w:color w:val="auto"/>
          <w:kern w:val="0"/>
          <w:szCs w:val="21"/>
          <w:highlight w:val="none"/>
          <w:u w:val="single"/>
        </w:rPr>
        <w:t>（1）市场价格波动引起的调整按本合同11.1第3种方式的约定计算。</w:t>
      </w:r>
    </w:p>
    <w:p w14:paraId="2565E607">
      <w:pPr>
        <w:pStyle w:val="134"/>
        <w:autoSpaceDE w:val="0"/>
        <w:autoSpaceDN w:val="0"/>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bCs/>
          <w:color w:val="auto"/>
          <w:szCs w:val="21"/>
          <w:highlight w:val="none"/>
        </w:rPr>
        <w:t>（2）其他：</w:t>
      </w:r>
      <w:r>
        <w:rPr>
          <w:rFonts w:hint="eastAsia" w:ascii="仿宋" w:hAnsi="仿宋" w:eastAsia="仿宋" w:cs="仿宋"/>
          <w:b/>
          <w:bCs/>
          <w:color w:val="auto"/>
          <w:highlight w:val="none"/>
          <w:u w:val="single"/>
        </w:rPr>
        <w:t>a、在竣工结算时工程量按实计算；设计变更、施工联系单签证等发生的费用，结算综合单价直接套用相应或相似的投标单价。如无法套用时，无投标价的材料单价按同期信息价，无信息价按市场价计取，各项取费与投标同口径。b、不可抗力因素造成的损失由双方各自行承担。但属于应该预见、预防、承包方没有及时预防或预防不力造成的损失，由承包方承担。</w:t>
      </w:r>
    </w:p>
    <w:p w14:paraId="755477BA">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2、总价合同。</w:t>
      </w:r>
    </w:p>
    <w:p w14:paraId="66FDDB43">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总价包含的风险范围：</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0808BE11">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风险费用的计算方法：</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4674F96C">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风险范围以外合同价格的调整方法：</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213F765E">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3、其他价格方式：</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23B522DC">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12.2 预付款</w:t>
      </w:r>
    </w:p>
    <w:p w14:paraId="731F566D">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12.2.1 预付款的支付</w:t>
      </w:r>
    </w:p>
    <w:p w14:paraId="2DF710F8">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预付款支付比例或金额：</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合同总价的40%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05D3930">
      <w:pPr>
        <w:spacing w:line="360" w:lineRule="exact"/>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工资预付款支付比例或金额：</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5E6D10DE">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预付款支付期限：</w:t>
      </w:r>
      <w:r>
        <w:rPr>
          <w:rFonts w:hint="eastAsia" w:ascii="仿宋" w:hAnsi="仿宋" w:eastAsia="仿宋" w:cs="仿宋"/>
          <w:b/>
          <w:bCs/>
          <w:color w:val="auto"/>
          <w:highlight w:val="none"/>
          <w:u w:val="single"/>
        </w:rPr>
        <w:t xml:space="preserve"> 合同签订，承包人递交履约保证金及对等金额的预付款担保后</w:t>
      </w:r>
      <w:r>
        <w:rPr>
          <w:rFonts w:hint="eastAsia" w:ascii="仿宋" w:hAnsi="仿宋" w:eastAsia="仿宋" w:cs="仿宋"/>
          <w:color w:val="auto"/>
          <w:highlight w:val="none"/>
        </w:rPr>
        <w:t>。</w:t>
      </w:r>
    </w:p>
    <w:p w14:paraId="1CD51A41">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预付款扣回的方式：</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70836D68">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12.2.2 预付款担保</w:t>
      </w:r>
    </w:p>
    <w:p w14:paraId="57342808">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承包人提交预付款担保的期限：</w:t>
      </w:r>
      <w:r>
        <w:rPr>
          <w:rFonts w:hint="eastAsia" w:ascii="仿宋" w:hAnsi="仿宋" w:eastAsia="仿宋" w:cs="仿宋"/>
          <w:color w:val="auto"/>
          <w:highlight w:val="none"/>
          <w:u w:val="single"/>
        </w:rPr>
        <w:t xml:space="preserve"> 本合同签订之日起7日内承包人向发包人提交担保额度为合同</w:t>
      </w:r>
      <w:r>
        <w:rPr>
          <w:rFonts w:hint="eastAsia" w:ascii="仿宋" w:hAnsi="仿宋" w:eastAsia="仿宋" w:cs="仿宋"/>
          <w:color w:val="auto"/>
          <w:highlight w:val="none"/>
          <w:u w:val="single"/>
        </w:rPr>
        <w:t>价的40%的无条件的不可撤销的保函</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5EEC9AA">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预付款担保的形式为：</w:t>
      </w:r>
      <w:r>
        <w:rPr>
          <w:rFonts w:hint="eastAsia" w:ascii="仿宋" w:hAnsi="仿宋" w:eastAsia="仿宋" w:cs="仿宋"/>
          <w:color w:val="auto"/>
          <w:highlight w:val="none"/>
          <w:u w:val="single"/>
        </w:rPr>
        <w:t>银行、保险公司出具的保函</w:t>
      </w:r>
      <w:r>
        <w:rPr>
          <w:rFonts w:hint="eastAsia" w:ascii="仿宋" w:hAnsi="仿宋" w:eastAsia="仿宋" w:cs="仿宋"/>
          <w:color w:val="auto"/>
          <w:highlight w:val="none"/>
        </w:rPr>
        <w:t>。</w:t>
      </w:r>
    </w:p>
    <w:p w14:paraId="520024F2">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12.3 计量</w:t>
      </w:r>
    </w:p>
    <w:p w14:paraId="0D5C99CC">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12.3.1 计量原则</w:t>
      </w:r>
    </w:p>
    <w:p w14:paraId="62B5526F">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工程量计算规则：</w:t>
      </w:r>
    </w:p>
    <w:p w14:paraId="6506A771">
      <w:pPr>
        <w:spacing w:line="360" w:lineRule="exact"/>
        <w:ind w:firstLine="420" w:firstLineChars="200"/>
        <w:rPr>
          <w:rFonts w:ascii="仿宋" w:hAnsi="仿宋" w:eastAsia="仿宋" w:cs="仿宋"/>
          <w:bCs/>
          <w:color w:val="auto"/>
          <w:szCs w:val="32"/>
          <w:highlight w:val="none"/>
          <w:u w:val="single"/>
        </w:rPr>
      </w:pPr>
      <w:r>
        <w:rPr>
          <w:rFonts w:hint="eastAsia" w:ascii="仿宋" w:hAnsi="仿宋" w:eastAsia="仿宋" w:cs="仿宋"/>
          <w:bCs/>
          <w:color w:val="auto"/>
          <w:szCs w:val="32"/>
          <w:highlight w:val="none"/>
        </w:rPr>
        <w:t>（1）</w:t>
      </w:r>
      <w:r>
        <w:rPr>
          <w:rFonts w:hint="eastAsia" w:ascii="仿宋" w:hAnsi="仿宋" w:eastAsia="仿宋" w:cs="仿宋"/>
          <w:bCs/>
          <w:color w:val="auto"/>
          <w:szCs w:val="32"/>
          <w:highlight w:val="none"/>
          <w:u w:val="single"/>
        </w:rPr>
        <w:t>实行工程量清单计价的工程项目，其工程量的计算规则应按国家标准工程量计算规范及省级行业主管部门颁布的补充规定执行。</w:t>
      </w:r>
    </w:p>
    <w:p w14:paraId="44650432">
      <w:pPr>
        <w:spacing w:line="360" w:lineRule="exact"/>
        <w:ind w:firstLine="420" w:firstLineChars="200"/>
        <w:rPr>
          <w:rFonts w:ascii="仿宋" w:hAnsi="仿宋" w:eastAsia="仿宋" w:cs="仿宋"/>
          <w:bCs/>
          <w:color w:val="auto"/>
          <w:szCs w:val="32"/>
          <w:highlight w:val="none"/>
          <w:u w:val="single"/>
        </w:rPr>
      </w:pPr>
      <w:r>
        <w:rPr>
          <w:rFonts w:hint="eastAsia" w:ascii="仿宋" w:hAnsi="仿宋" w:eastAsia="仿宋" w:cs="仿宋"/>
          <w:bCs/>
          <w:color w:val="auto"/>
          <w:szCs w:val="32"/>
          <w:highlight w:val="none"/>
        </w:rPr>
        <w:t>（2）</w:t>
      </w:r>
      <w:r>
        <w:rPr>
          <w:rFonts w:hint="eastAsia" w:ascii="仿宋" w:hAnsi="仿宋" w:eastAsia="仿宋" w:cs="仿宋"/>
          <w:bCs/>
          <w:color w:val="auto"/>
          <w:szCs w:val="32"/>
          <w:highlight w:val="none"/>
          <w:u w:val="single"/>
        </w:rPr>
        <w:t>不实行工程量清单计价的工程项目，工程量的计算规则应按省、市行业主管部门颁布的各专业工程定额的工程量计算规则执行。</w:t>
      </w:r>
    </w:p>
    <w:p w14:paraId="51835AF8">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12.3.2 计量周期</w:t>
      </w:r>
    </w:p>
    <w:p w14:paraId="783C1B5D">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关于计量周期的约定：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工程量的计量按月进行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AB7A5C1">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12.3.3 单价合同的计量</w:t>
      </w:r>
    </w:p>
    <w:p w14:paraId="198DDB40">
      <w:pPr>
        <w:pStyle w:val="134"/>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highlight w:val="none"/>
        </w:rPr>
        <w:t>关于单价合同计量的约定：</w:t>
      </w:r>
      <w:r>
        <w:rPr>
          <w:rFonts w:hint="eastAsia" w:ascii="仿宋" w:hAnsi="仿宋" w:eastAsia="仿宋" w:cs="仿宋"/>
          <w:b/>
          <w:bCs/>
          <w:color w:val="auto"/>
          <w:highlight w:val="none"/>
          <w:u w:val="single"/>
        </w:rPr>
        <w:t xml:space="preserve">  按通用合同条款第12.3.3条规定执行。</w:t>
      </w:r>
    </w:p>
    <w:p w14:paraId="7A7805C4">
      <w:pPr>
        <w:spacing w:line="360" w:lineRule="exact"/>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工资性工程款比例约定：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1352ED7B">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12.3.4 总价合同的计量</w:t>
      </w:r>
    </w:p>
    <w:p w14:paraId="21DC20F1">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关于总价合同计量的约定：</w:t>
      </w:r>
      <w:r>
        <w:rPr>
          <w:rFonts w:hint="eastAsia" w:ascii="仿宋" w:hAnsi="仿宋" w:eastAsia="仿宋" w:cs="仿宋"/>
          <w:color w:val="auto"/>
          <w:highlight w:val="none"/>
          <w:u w:val="single"/>
        </w:rPr>
        <w:t>/</w:t>
      </w:r>
      <w:r>
        <w:rPr>
          <w:rFonts w:hint="eastAsia" w:ascii="仿宋" w:hAnsi="仿宋" w:eastAsia="仿宋" w:cs="仿宋"/>
          <w:color w:val="auto"/>
          <w:highlight w:val="none"/>
        </w:rPr>
        <w:t>。</w:t>
      </w:r>
    </w:p>
    <w:p w14:paraId="3D38F09B">
      <w:pPr>
        <w:spacing w:line="360" w:lineRule="exact"/>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工资性工程款比例约定：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427FFE21">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12.3.5总价合同采用支付分解表计量支付的，是否适用第</w:t>
      </w:r>
      <w:r>
        <w:rPr>
          <w:rFonts w:hint="eastAsia" w:ascii="仿宋" w:hAnsi="仿宋" w:eastAsia="仿宋" w:cs="仿宋"/>
          <w:color w:val="auto"/>
          <w:kern w:val="0"/>
          <w:highlight w:val="none"/>
        </w:rPr>
        <w:t xml:space="preserve">12.3.4 </w:t>
      </w:r>
      <w:r>
        <w:rPr>
          <w:rFonts w:hint="eastAsia" w:ascii="仿宋" w:hAnsi="仿宋" w:eastAsia="仿宋" w:cs="仿宋"/>
          <w:color w:val="auto"/>
          <w:highlight w:val="none"/>
        </w:rPr>
        <w:t>项</w:t>
      </w:r>
      <w:r>
        <w:rPr>
          <w:rFonts w:hint="eastAsia" w:ascii="仿宋" w:hAnsi="仿宋" w:eastAsia="仿宋" w:cs="仿宋"/>
          <w:color w:val="auto"/>
          <w:kern w:val="0"/>
          <w:highlight w:val="none"/>
        </w:rPr>
        <w:t>〔总价合同的计量〕</w:t>
      </w:r>
      <w:r>
        <w:rPr>
          <w:rFonts w:hint="eastAsia" w:ascii="仿宋" w:hAnsi="仿宋" w:eastAsia="仿宋" w:cs="仿宋"/>
          <w:color w:val="auto"/>
          <w:highlight w:val="none"/>
        </w:rPr>
        <w:t>约定进行计量：</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CCE026C">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12.3.6 其他价格形式合同的计量</w:t>
      </w:r>
    </w:p>
    <w:p w14:paraId="470A677C">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其他价格形式的计量方式和程序：</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6739A8FF">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12.4 工程进度款支付</w:t>
      </w:r>
    </w:p>
    <w:p w14:paraId="17681B70">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12.4.1 付款周期</w:t>
      </w:r>
    </w:p>
    <w:p w14:paraId="37F0B34A">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关于付款周期的约定：</w:t>
      </w:r>
    </w:p>
    <w:p w14:paraId="40BA4D6F">
      <w:pPr>
        <w:pStyle w:val="134"/>
        <w:adjustRightInd w:val="0"/>
        <w:snapToGrid w:val="0"/>
        <w:spacing w:line="360" w:lineRule="exact"/>
        <w:ind w:firstLine="422" w:firstLineChars="200"/>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1、合同价款内的工程款支付：</w:t>
      </w:r>
    </w:p>
    <w:p w14:paraId="0D875AE1">
      <w:pPr>
        <w:pStyle w:val="134"/>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（1）开工后至竣工结算支付前，每月15日以前按监理和发包人确认的上月已完工程量支付进度款，支付额为完成工程应付金额的30％；进度款支付至合同总价的70％（含预付款）时停止。</w:t>
      </w:r>
    </w:p>
    <w:p w14:paraId="0EA14BCC">
      <w:pPr>
        <w:pStyle w:val="134"/>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2）工程竣工后，由发包人组织有关部门验收。验收合格后，工程移交发包人管理。工程竣工且完成通电，承包人清退全部临时设施、建筑材料、机械设备（含设备基础），并按合同约定提供规定数目的竣工图、归档及验收的相关资料，经发包人确认同意后，15天内支付至合同总价的80％（含预付款）</w:t>
      </w:r>
      <w:r>
        <w:rPr>
          <w:rFonts w:hint="eastAsia" w:ascii="仿宋" w:hAnsi="仿宋" w:eastAsia="仿宋" w:cs="仿宋"/>
          <w:b/>
          <w:bCs/>
          <w:color w:val="auto"/>
          <w:highlight w:val="none"/>
          <w:u w:val="single"/>
          <w:lang w:eastAsia="zh-CN"/>
        </w:rPr>
        <w:t>。</w:t>
      </w:r>
    </w:p>
    <w:p w14:paraId="060142B1">
      <w:pPr>
        <w:pStyle w:val="134"/>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（3）工程竣工结算经审计，发包人和承包人双方签字确认，且承包人缴纳质量保证金（结算审定价的1.5%）后，发包人支付至结算审定价的100%；质量保证金按《工程质量保修书》的有关规定退还。</w:t>
      </w:r>
    </w:p>
    <w:p w14:paraId="58F040A6">
      <w:pPr>
        <w:pStyle w:val="134"/>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（4）施工水电费按工程竣工结算审定价的</w:t>
      </w:r>
      <w:r>
        <w:rPr>
          <w:rFonts w:hint="eastAsia" w:ascii="仿宋" w:hAnsi="仿宋" w:eastAsia="仿宋" w:cs="仿宋"/>
          <w:b/>
          <w:bCs/>
          <w:color w:val="auto"/>
          <w:highlight w:val="none"/>
          <w:u w:val="single"/>
          <w:lang w:val="en-US" w:eastAsia="zh-CN"/>
        </w:rPr>
        <w:t>0.5</w:t>
      </w:r>
      <w:r>
        <w:rPr>
          <w:rFonts w:hint="eastAsia" w:ascii="仿宋" w:hAnsi="仿宋" w:eastAsia="仿宋" w:cs="仿宋"/>
          <w:b/>
          <w:bCs/>
          <w:color w:val="auto"/>
          <w:highlight w:val="none"/>
          <w:u w:val="single"/>
        </w:rPr>
        <w:t>％计算，在结算审定款中直接扣除。</w:t>
      </w:r>
    </w:p>
    <w:p w14:paraId="7D90CCDD">
      <w:pPr>
        <w:pStyle w:val="134"/>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（5）以上款项均不计息。在发包人支付上述款项前，承包人必须开具同等数额的正规税务发票，否则发包人有权拒绝支付。</w:t>
      </w:r>
    </w:p>
    <w:p w14:paraId="2A3748D8">
      <w:pPr>
        <w:pStyle w:val="134"/>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2、合同价款外的工程款支付：因工程变更、工程量清单等引起的工程价款在工程审计审定后支付。</w:t>
      </w:r>
    </w:p>
    <w:p w14:paraId="22B6468F">
      <w:pPr>
        <w:pStyle w:val="134"/>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3、发包人审核的进度款工程量仅作为进度款支付依据，不作为结算依据。</w:t>
      </w:r>
    </w:p>
    <w:p w14:paraId="36777A09">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12.4.2 进度付款申请单的编制</w:t>
      </w:r>
    </w:p>
    <w:p w14:paraId="5CC1F04F">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关于进度付款申请单编制的约定：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按通用合同条款第12.4.2条规定执行。</w:t>
      </w:r>
      <w:r>
        <w:rPr>
          <w:rFonts w:hint="eastAsia" w:ascii="仿宋" w:hAnsi="仿宋" w:eastAsia="仿宋" w:cs="仿宋"/>
          <w:color w:val="auto"/>
          <w:highlight w:val="none"/>
          <w:u w:val="single"/>
        </w:rPr>
        <w:t xml:space="preserve"> </w:t>
      </w:r>
    </w:p>
    <w:p w14:paraId="780CE5D4">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12.4.3 进度付款申请单的提交</w:t>
      </w:r>
    </w:p>
    <w:p w14:paraId="2AA8B1A0">
      <w:pPr>
        <w:pStyle w:val="134"/>
        <w:adjustRightInd w:val="0"/>
        <w:snapToGrid w:val="0"/>
        <w:spacing w:line="360" w:lineRule="exact"/>
        <w:ind w:firstLine="420" w:firstLineChars="200"/>
        <w:jc w:val="left"/>
        <w:rPr>
          <w:rFonts w:ascii="仿宋" w:hAnsi="仿宋" w:eastAsia="仿宋" w:cs="仿宋"/>
          <w:b/>
          <w:bCs/>
          <w:i/>
          <w:iCs/>
          <w:color w:val="auto"/>
          <w:highlight w:val="none"/>
          <w:u w:val="single"/>
        </w:rPr>
      </w:pPr>
      <w:r>
        <w:rPr>
          <w:rFonts w:hint="eastAsia" w:ascii="仿宋" w:hAnsi="仿宋" w:eastAsia="仿宋" w:cs="仿宋"/>
          <w:color w:val="auto"/>
          <w:highlight w:val="none"/>
        </w:rPr>
        <w:t>（1）单价合同进度付款申请单提交的约定：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22A65850">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（2）总价合同进度付款申请单提交的约定：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704A25F2">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（3）其他价格形式合同进度付款申请单提交的约定：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5F2F505D">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12.4.4 进度款审核和支付</w:t>
      </w:r>
    </w:p>
    <w:p w14:paraId="50C08D5D">
      <w:pPr>
        <w:pStyle w:val="134"/>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highlight w:val="none"/>
        </w:rPr>
        <w:t>（1）监理人审查并报送发包人的期限：</w:t>
      </w:r>
      <w:r>
        <w:rPr>
          <w:rFonts w:hint="eastAsia" w:ascii="仿宋" w:hAnsi="仿宋" w:eastAsia="仿宋" w:cs="仿宋"/>
          <w:b/>
          <w:bCs/>
          <w:color w:val="auto"/>
          <w:highlight w:val="none"/>
          <w:u w:val="single"/>
        </w:rPr>
        <w:t>7天内完成审查。</w:t>
      </w:r>
    </w:p>
    <w:p w14:paraId="019F4D76">
      <w:pPr>
        <w:pStyle w:val="134"/>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highlight w:val="none"/>
        </w:rPr>
        <w:t>发包人完成审批并签发进度款支付证书的期限：</w:t>
      </w:r>
      <w:r>
        <w:rPr>
          <w:rFonts w:hint="eastAsia" w:ascii="仿宋" w:hAnsi="仿宋" w:eastAsia="仿宋" w:cs="仿宋"/>
          <w:b/>
          <w:bCs/>
          <w:color w:val="auto"/>
          <w:highlight w:val="none"/>
          <w:u w:val="single"/>
        </w:rPr>
        <w:t>收到监理人报送的进度付款申请单及相关资料后7天内。</w:t>
      </w:r>
    </w:p>
    <w:p w14:paraId="4B7C2066">
      <w:pPr>
        <w:pStyle w:val="134"/>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highlight w:val="none"/>
        </w:rPr>
        <w:t>（2）发包人支付进度款的期限：</w:t>
      </w:r>
      <w:r>
        <w:rPr>
          <w:rFonts w:hint="eastAsia" w:ascii="仿宋" w:hAnsi="仿宋" w:eastAsia="仿宋" w:cs="仿宋"/>
          <w:b/>
          <w:bCs/>
          <w:color w:val="auto"/>
          <w:highlight w:val="none"/>
          <w:u w:val="single"/>
        </w:rPr>
        <w:t>/。</w:t>
      </w:r>
    </w:p>
    <w:p w14:paraId="39C26415">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发包人逾期支付进度款的违约金的计算方式：</w:t>
      </w:r>
      <w:r>
        <w:rPr>
          <w:rFonts w:hint="eastAsia" w:ascii="仿宋" w:hAnsi="仿宋" w:eastAsia="仿宋" w:cs="仿宋"/>
          <w:b/>
          <w:bCs/>
          <w:color w:val="auto"/>
          <w:highlight w:val="none"/>
          <w:u w:val="single"/>
        </w:rPr>
        <w:t>/。</w:t>
      </w:r>
    </w:p>
    <w:p w14:paraId="0AC0291D">
      <w:pPr>
        <w:pStyle w:val="134"/>
        <w:adjustRightInd w:val="0"/>
        <w:snapToGrid w:val="0"/>
        <w:spacing w:line="360" w:lineRule="exact"/>
        <w:ind w:firstLine="525" w:firstLineChars="250"/>
        <w:jc w:val="left"/>
        <w:rPr>
          <w:rFonts w:ascii="仿宋" w:hAnsi="仿宋" w:eastAsia="仿宋" w:cs="仿宋"/>
          <w:color w:val="auto"/>
          <w:highlight w:val="none"/>
        </w:rPr>
      </w:pPr>
      <w:r>
        <w:rPr>
          <w:rFonts w:hint="eastAsia" w:ascii="仿宋" w:hAnsi="仿宋" w:eastAsia="仿宋" w:cs="仿宋"/>
          <w:color w:val="auto"/>
          <w:highlight w:val="none"/>
        </w:rPr>
        <w:t>12.4.6 支付分解表的编制</w:t>
      </w:r>
    </w:p>
    <w:p w14:paraId="31EBCA2B">
      <w:pPr>
        <w:pStyle w:val="134"/>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highlight w:val="none"/>
        </w:rPr>
        <w:t>2、总价合同支付分解表的编制与审批：</w:t>
      </w:r>
      <w:r>
        <w:rPr>
          <w:rFonts w:hint="eastAsia" w:ascii="仿宋" w:hAnsi="仿宋" w:eastAsia="仿宋" w:cs="仿宋"/>
          <w:b/>
          <w:bCs/>
          <w:color w:val="auto"/>
          <w:highlight w:val="none"/>
          <w:u w:val="single"/>
        </w:rPr>
        <w:t>/。</w:t>
      </w:r>
    </w:p>
    <w:p w14:paraId="5C9C3FB0">
      <w:pPr>
        <w:pStyle w:val="134"/>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highlight w:val="none"/>
        </w:rPr>
        <w:t>3、单价合同的总价项目支付分解表的编制与审批：</w:t>
      </w:r>
      <w:r>
        <w:rPr>
          <w:rFonts w:hint="eastAsia" w:ascii="仿宋" w:hAnsi="仿宋" w:eastAsia="仿宋" w:cs="仿宋"/>
          <w:b/>
          <w:bCs/>
          <w:color w:val="auto"/>
          <w:highlight w:val="none"/>
          <w:u w:val="single"/>
        </w:rPr>
        <w:t>按通用合同条款第12.4.6条第3项规定执行。</w:t>
      </w:r>
    </w:p>
    <w:p w14:paraId="5C8CB961">
      <w:pPr>
        <w:pStyle w:val="554"/>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 验收和工程试车</w:t>
      </w:r>
    </w:p>
    <w:p w14:paraId="63593CE2">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13.1 分部分项工程验收</w:t>
      </w:r>
    </w:p>
    <w:p w14:paraId="6EB900B2">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13.1.2监理人不能按时进行验收时，应提前</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24</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小时提交书面延期要求。</w:t>
      </w:r>
    </w:p>
    <w:p w14:paraId="2EC46A72">
      <w:pPr>
        <w:pStyle w:val="134"/>
        <w:adjustRightInd w:val="0"/>
        <w:snapToGrid w:val="0"/>
        <w:spacing w:line="360" w:lineRule="exact"/>
        <w:ind w:firstLine="420" w:firstLineChars="200"/>
        <w:jc w:val="left"/>
        <w:rPr>
          <w:rFonts w:ascii="仿宋" w:hAnsi="仿宋" w:eastAsia="仿宋" w:cs="仿宋"/>
          <w:b/>
          <w:bCs/>
          <w:color w:val="auto"/>
          <w:highlight w:val="none"/>
        </w:rPr>
      </w:pPr>
      <w:r>
        <w:rPr>
          <w:rFonts w:hint="eastAsia" w:ascii="仿宋" w:hAnsi="仿宋" w:eastAsia="仿宋" w:cs="仿宋"/>
          <w:color w:val="auto"/>
          <w:highlight w:val="none"/>
        </w:rPr>
        <w:t>关于延期最长不得超过：</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48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小时。</w:t>
      </w:r>
    </w:p>
    <w:p w14:paraId="3952CC53">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13.2 竣工验收</w:t>
      </w:r>
    </w:p>
    <w:p w14:paraId="631235D5">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13.2.2竣工验收程序</w:t>
      </w:r>
    </w:p>
    <w:p w14:paraId="5946CE38">
      <w:pPr>
        <w:pStyle w:val="134"/>
        <w:adjustRightInd w:val="0"/>
        <w:snapToGrid w:val="0"/>
        <w:spacing w:line="360" w:lineRule="exact"/>
        <w:ind w:left="4200" w:hanging="4200" w:hangingChars="2000"/>
        <w:jc w:val="left"/>
        <w:rPr>
          <w:rFonts w:ascii="仿宋" w:hAnsi="仿宋" w:eastAsia="仿宋" w:cs="仿宋"/>
          <w:color w:val="auto"/>
          <w:highlight w:val="none"/>
        </w:rPr>
      </w:pPr>
      <w:r>
        <w:rPr>
          <w:rFonts w:hint="eastAsia" w:ascii="仿宋" w:hAnsi="仿宋" w:eastAsia="仿宋" w:cs="仿宋"/>
          <w:color w:val="auto"/>
          <w:kern w:val="0"/>
          <w:highlight w:val="none"/>
        </w:rPr>
        <w:t xml:space="preserve">    关于竣工验收程序的约定：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按通用合同条款第13.2.2条规定执行。</w:t>
      </w:r>
    </w:p>
    <w:p w14:paraId="35703EAC">
      <w:pPr>
        <w:pStyle w:val="134"/>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kern w:val="0"/>
          <w:highlight w:val="none"/>
        </w:rPr>
        <w:t>发包人不按照本项约定组织竣工验收、颁发工程接收证书的违约金的计算方法：</w:t>
      </w:r>
      <w:r>
        <w:rPr>
          <w:rFonts w:hint="eastAsia" w:ascii="仿宋" w:hAnsi="仿宋" w:eastAsia="仿宋" w:cs="仿宋"/>
          <w:b/>
          <w:bCs/>
          <w:color w:val="auto"/>
          <w:highlight w:val="none"/>
          <w:u w:val="single"/>
        </w:rPr>
        <w:t>/</w:t>
      </w:r>
      <w:r>
        <w:rPr>
          <w:rFonts w:hint="eastAsia" w:ascii="仿宋" w:hAnsi="仿宋" w:eastAsia="仿宋" w:cs="仿宋"/>
          <w:b/>
          <w:bCs/>
          <w:color w:val="auto"/>
          <w:highlight w:val="none"/>
        </w:rPr>
        <w:t>。</w:t>
      </w:r>
    </w:p>
    <w:p w14:paraId="05EF17A9">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13.2.5移交、接收全部与部分工程</w:t>
      </w:r>
    </w:p>
    <w:p w14:paraId="40087DAA">
      <w:pPr>
        <w:pStyle w:val="134"/>
        <w:autoSpaceDE w:val="0"/>
        <w:autoSpaceDN w:val="0"/>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kern w:val="0"/>
          <w:highlight w:val="none"/>
        </w:rPr>
        <w:t>承包人向发包人移交工程的期限：</w:t>
      </w:r>
      <w:r>
        <w:rPr>
          <w:rFonts w:hint="eastAsia" w:ascii="仿宋" w:hAnsi="仿宋" w:eastAsia="仿宋" w:cs="仿宋"/>
          <w:b/>
          <w:bCs/>
          <w:color w:val="auto"/>
          <w:highlight w:val="none"/>
          <w:u w:val="single"/>
        </w:rPr>
        <w:t>竣工验收合格后7天内完成工程的移交。</w:t>
      </w:r>
    </w:p>
    <w:p w14:paraId="7565A62D">
      <w:pPr>
        <w:pStyle w:val="134"/>
        <w:autoSpaceDE w:val="0"/>
        <w:autoSpaceDN w:val="0"/>
        <w:adjustRightInd w:val="0"/>
        <w:snapToGrid w:val="0"/>
        <w:spacing w:line="360" w:lineRule="exact"/>
        <w:ind w:firstLine="420" w:firstLineChars="200"/>
        <w:jc w:val="left"/>
        <w:rPr>
          <w:rFonts w:ascii="仿宋" w:hAnsi="仿宋" w:eastAsia="仿宋" w:cs="仿宋"/>
          <w:color w:val="auto"/>
          <w:kern w:val="0"/>
          <w:highlight w:val="none"/>
          <w:u w:val="single"/>
        </w:rPr>
      </w:pPr>
      <w:r>
        <w:rPr>
          <w:rFonts w:hint="eastAsia" w:ascii="仿宋" w:hAnsi="仿宋" w:eastAsia="仿宋" w:cs="仿宋"/>
          <w:color w:val="auto"/>
          <w:kern w:val="0"/>
          <w:highlight w:val="none"/>
        </w:rPr>
        <w:t>发包人未按本合同约定接收全部或部分工程的，违约金的计算方法为：</w:t>
      </w:r>
      <w:r>
        <w:rPr>
          <w:rFonts w:hint="eastAsia" w:ascii="仿宋" w:hAnsi="仿宋" w:eastAsia="仿宋" w:cs="仿宋"/>
          <w:b/>
          <w:bCs/>
          <w:color w:val="auto"/>
          <w:highlight w:val="none"/>
          <w:u w:val="single"/>
        </w:rPr>
        <w:t>/</w:t>
      </w:r>
      <w:r>
        <w:rPr>
          <w:rFonts w:hint="eastAsia" w:ascii="仿宋" w:hAnsi="仿宋" w:eastAsia="仿宋" w:cs="仿宋"/>
          <w:b/>
          <w:bCs/>
          <w:color w:val="auto"/>
          <w:highlight w:val="none"/>
        </w:rPr>
        <w:t>。</w:t>
      </w:r>
    </w:p>
    <w:p w14:paraId="2F81E221">
      <w:pPr>
        <w:pStyle w:val="134"/>
        <w:adjustRightInd w:val="0"/>
        <w:snapToGrid w:val="0"/>
        <w:spacing w:line="360" w:lineRule="exact"/>
        <w:jc w:val="left"/>
        <w:rPr>
          <w:rFonts w:ascii="仿宋" w:hAnsi="仿宋" w:eastAsia="仿宋" w:cs="仿宋"/>
          <w:b/>
          <w:bCs/>
          <w:color w:val="auto"/>
          <w:highlight w:val="none"/>
          <w:u w:val="single"/>
        </w:rPr>
      </w:pPr>
      <w:r>
        <w:rPr>
          <w:rFonts w:hint="eastAsia" w:ascii="仿宋" w:hAnsi="仿宋" w:eastAsia="仿宋" w:cs="仿宋"/>
          <w:color w:val="auto"/>
          <w:highlight w:val="none"/>
        </w:rPr>
        <w:t xml:space="preserve">    承包人未按时移交工程的，违约金的计算方法为：</w:t>
      </w:r>
      <w:r>
        <w:rPr>
          <w:rFonts w:hint="eastAsia" w:ascii="仿宋" w:hAnsi="仿宋" w:eastAsia="仿宋" w:cs="仿宋"/>
          <w:b/>
          <w:bCs/>
          <w:color w:val="auto"/>
          <w:highlight w:val="none"/>
          <w:u w:val="single"/>
        </w:rPr>
        <w:t>承担违约责任，每延期一天按每天</w:t>
      </w:r>
      <w:r>
        <w:rPr>
          <w:rFonts w:hint="eastAsia" w:ascii="仿宋" w:hAnsi="仿宋" w:eastAsia="仿宋" w:cs="仿宋"/>
          <w:b/>
          <w:bCs/>
          <w:color w:val="auto"/>
          <w:highlight w:val="none"/>
          <w:u w:val="single"/>
          <w:lang w:val="en-US" w:eastAsia="zh-CN"/>
        </w:rPr>
        <w:t>1</w:t>
      </w:r>
      <w:r>
        <w:rPr>
          <w:rFonts w:hint="eastAsia" w:ascii="仿宋" w:hAnsi="仿宋" w:eastAsia="仿宋" w:cs="仿宋"/>
          <w:b/>
          <w:bCs/>
          <w:color w:val="auto"/>
          <w:highlight w:val="none"/>
          <w:u w:val="single"/>
        </w:rPr>
        <w:t xml:space="preserve">000元向发包人支付违约金，在工程结算审定款中扣除。  </w:t>
      </w:r>
    </w:p>
    <w:p w14:paraId="59F7FC0C">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13.3 工程试车</w:t>
      </w:r>
    </w:p>
    <w:p w14:paraId="235CF760">
      <w:pPr>
        <w:pStyle w:val="134"/>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13.3.1 试车程序</w:t>
      </w:r>
    </w:p>
    <w:p w14:paraId="22AF2873">
      <w:pPr>
        <w:pStyle w:val="134"/>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工程试车内容：</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试车内容应与承包人承包范围相一致，试车费用由承包人承担。  </w:t>
      </w:r>
    </w:p>
    <w:p w14:paraId="69EFEA59">
      <w:pPr>
        <w:pStyle w:val="134"/>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（1）单机无负荷试车费用由</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 承包人 </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承担；</w:t>
      </w:r>
    </w:p>
    <w:p w14:paraId="5D2B5EEE">
      <w:pPr>
        <w:pStyle w:val="134"/>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（2）无负荷联动试车费用由</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 承包人 </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承担。</w:t>
      </w:r>
    </w:p>
    <w:p w14:paraId="72BD3441">
      <w:pPr>
        <w:pStyle w:val="134"/>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13.3.3 投料试车</w:t>
      </w:r>
    </w:p>
    <w:p w14:paraId="0F2478CE">
      <w:pPr>
        <w:pStyle w:val="134"/>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kern w:val="0"/>
          <w:highlight w:val="none"/>
        </w:rPr>
        <w:t>关于投料试车相关事项的约定：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按通用合同条款第13.3.3条规定执行。</w:t>
      </w:r>
    </w:p>
    <w:p w14:paraId="54A19B4B">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13.6 竣工退场</w:t>
      </w:r>
    </w:p>
    <w:p w14:paraId="16D0B277">
      <w:pPr>
        <w:pStyle w:val="134"/>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13.6.1 竣工退场</w:t>
      </w:r>
    </w:p>
    <w:p w14:paraId="606908EC">
      <w:pPr>
        <w:pStyle w:val="134"/>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承包人完成竣工退场的期限：</w:t>
      </w:r>
      <w:r>
        <w:rPr>
          <w:rFonts w:hint="eastAsia" w:ascii="仿宋" w:hAnsi="仿宋" w:eastAsia="仿宋" w:cs="仿宋"/>
          <w:b/>
          <w:bCs/>
          <w:color w:val="auto"/>
          <w:highlight w:val="none"/>
          <w:u w:val="single"/>
        </w:rPr>
        <w:t xml:space="preserve"> 竣工验收合格后15天内清退全部临时设施、建筑材料、机械设备及建筑垃圾等</w:t>
      </w:r>
      <w:r>
        <w:rPr>
          <w:rFonts w:hint="eastAsia" w:ascii="仿宋" w:hAnsi="仿宋" w:eastAsia="仿宋" w:cs="仿宋"/>
          <w:b/>
          <w:bCs/>
          <w:color w:val="auto"/>
          <w:kern w:val="0"/>
          <w:highlight w:val="none"/>
        </w:rPr>
        <w:t>。</w:t>
      </w:r>
    </w:p>
    <w:p w14:paraId="1501B3CE">
      <w:pPr>
        <w:pStyle w:val="554"/>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14. 竣工结算</w:t>
      </w:r>
    </w:p>
    <w:p w14:paraId="14B191EB">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14.1 竣工付款申请</w:t>
      </w:r>
    </w:p>
    <w:p w14:paraId="1F1B4213">
      <w:pPr>
        <w:pStyle w:val="134"/>
        <w:autoSpaceDE w:val="0"/>
        <w:autoSpaceDN w:val="0"/>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承包人提交竣工付款申请单的期限：</w:t>
      </w:r>
      <w:r>
        <w:rPr>
          <w:rFonts w:hint="eastAsia" w:ascii="仿宋" w:hAnsi="仿宋" w:eastAsia="仿宋" w:cs="仿宋"/>
          <w:b/>
          <w:bCs/>
          <w:color w:val="auto"/>
          <w:highlight w:val="none"/>
          <w:u w:val="single"/>
        </w:rPr>
        <w:t>在工程竣工验收合格并提交以下资料后30天内。</w:t>
      </w:r>
    </w:p>
    <w:p w14:paraId="21BE49CD">
      <w:pPr>
        <w:pStyle w:val="134"/>
        <w:autoSpaceDE w:val="0"/>
        <w:autoSpaceDN w:val="0"/>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竣工付款申请单应包括的内容：</w:t>
      </w:r>
    </w:p>
    <w:p w14:paraId="30A17B32">
      <w:pPr>
        <w:pStyle w:val="134"/>
        <w:autoSpaceDE w:val="0"/>
        <w:autoSpaceDN w:val="0"/>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（1）工程结算审核报告；</w:t>
      </w:r>
    </w:p>
    <w:p w14:paraId="223449F1">
      <w:pPr>
        <w:pStyle w:val="134"/>
        <w:autoSpaceDE w:val="0"/>
        <w:autoSpaceDN w:val="0"/>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（2）纸质竣工图纸、技术资料各3套及电子版(光盘)竣工图2套等相关资料</w:t>
      </w:r>
    </w:p>
    <w:p w14:paraId="734C76F6">
      <w:pPr>
        <w:pStyle w:val="134"/>
        <w:autoSpaceDE w:val="0"/>
        <w:autoSpaceDN w:val="0"/>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（3）发包人已支付承包人的款项；</w:t>
      </w:r>
    </w:p>
    <w:p w14:paraId="631CD04A">
      <w:pPr>
        <w:pStyle w:val="134"/>
        <w:autoSpaceDE w:val="0"/>
        <w:autoSpaceDN w:val="0"/>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 xml:space="preserve">（4）应扣留的质量保证金等； </w:t>
      </w:r>
    </w:p>
    <w:p w14:paraId="1CFB78ED">
      <w:pPr>
        <w:pStyle w:val="134"/>
        <w:autoSpaceDE w:val="0"/>
        <w:autoSpaceDN w:val="0"/>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（5）发包人应支付承包人的价款。</w:t>
      </w:r>
    </w:p>
    <w:p w14:paraId="510B2EA4">
      <w:pPr>
        <w:pStyle w:val="134"/>
        <w:autoSpaceDE w:val="0"/>
        <w:autoSpaceDN w:val="0"/>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工程最终结算价款以政府审计部门确定的为准。政府审计部门审计的期限不受通用条款约定的结算审核期限的限制。</w:t>
      </w:r>
    </w:p>
    <w:p w14:paraId="33371DDF">
      <w:pPr>
        <w:pStyle w:val="134"/>
        <w:adjustRightInd w:val="0"/>
        <w:snapToGrid w:val="0"/>
        <w:spacing w:line="360" w:lineRule="exact"/>
        <w:ind w:firstLine="420" w:firstLineChars="199"/>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若政府审计过程中产生审计服务费，则审计服务收费中审核追加费按相关文件收取，由承包人承担，发包人有权从任何应付工程价款中扣除。</w:t>
      </w:r>
    </w:p>
    <w:p w14:paraId="69E729E0">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14.2 竣工结算审核</w:t>
      </w:r>
    </w:p>
    <w:p w14:paraId="263F6EED">
      <w:pPr>
        <w:pStyle w:val="134"/>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szCs w:val="24"/>
          <w:highlight w:val="none"/>
        </w:rPr>
        <w:t>发包人审批竣工付款申请单的期限：</w:t>
      </w:r>
      <w:r>
        <w:rPr>
          <w:rFonts w:hint="eastAsia" w:ascii="仿宋" w:hAnsi="仿宋" w:eastAsia="仿宋" w:cs="仿宋"/>
          <w:b/>
          <w:bCs/>
          <w:color w:val="auto"/>
          <w:highlight w:val="none"/>
          <w:u w:val="single"/>
        </w:rPr>
        <w:t>在收到承包人提交的全部资料后14天内。</w:t>
      </w:r>
    </w:p>
    <w:p w14:paraId="0A61D2FA">
      <w:pPr>
        <w:spacing w:line="360" w:lineRule="exact"/>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发包人完成竣工付款的期限：</w:t>
      </w:r>
      <w:r>
        <w:rPr>
          <w:rFonts w:hint="eastAsia" w:ascii="仿宋" w:hAnsi="仿宋" w:eastAsia="仿宋" w:cs="仿宋"/>
          <w:b/>
          <w:bCs/>
          <w:color w:val="auto"/>
          <w:highlight w:val="none"/>
          <w:u w:val="single"/>
        </w:rPr>
        <w:t>在签发竣工付款证书后的14天内。</w:t>
      </w:r>
    </w:p>
    <w:p w14:paraId="741A1C2F">
      <w:pPr>
        <w:spacing w:line="360" w:lineRule="exact"/>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关于竣工付款证书异议部分复核的方式和程序：</w:t>
      </w:r>
      <w:r>
        <w:rPr>
          <w:rFonts w:hint="eastAsia" w:ascii="仿宋" w:hAnsi="仿宋" w:eastAsia="仿宋" w:cs="仿宋"/>
          <w:color w:val="auto"/>
          <w:highlight w:val="none"/>
          <w:u w:val="single"/>
        </w:rPr>
        <w:t>/。</w:t>
      </w:r>
    </w:p>
    <w:p w14:paraId="41606352">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14.4 最终结清</w:t>
      </w:r>
    </w:p>
    <w:p w14:paraId="696BB805">
      <w:pPr>
        <w:pStyle w:val="134"/>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14.4.1 最终结清申请单</w:t>
      </w:r>
    </w:p>
    <w:p w14:paraId="6A290837">
      <w:pPr>
        <w:pStyle w:val="134"/>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承包人提交最终结清申请单的份数：</w:t>
      </w:r>
      <w:r>
        <w:rPr>
          <w:rFonts w:hint="eastAsia" w:ascii="仿宋" w:hAnsi="仿宋" w:eastAsia="仿宋" w:cs="仿宋"/>
          <w:b/>
          <w:bCs/>
          <w:color w:val="auto"/>
          <w:highlight w:val="none"/>
          <w:u w:val="single"/>
        </w:rPr>
        <w:t>叁份。</w:t>
      </w:r>
    </w:p>
    <w:p w14:paraId="11C6294D">
      <w:pPr>
        <w:pStyle w:val="134"/>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kern w:val="0"/>
          <w:highlight w:val="none"/>
        </w:rPr>
        <w:t>承包人提交最终结算申请单的期限：</w:t>
      </w:r>
      <w:r>
        <w:rPr>
          <w:rFonts w:hint="eastAsia" w:ascii="仿宋" w:hAnsi="仿宋" w:eastAsia="仿宋" w:cs="仿宋"/>
          <w:b/>
          <w:bCs/>
          <w:color w:val="auto"/>
          <w:highlight w:val="none"/>
          <w:u w:val="single"/>
        </w:rPr>
        <w:t xml:space="preserve">在质保期满后7天内。 </w:t>
      </w:r>
    </w:p>
    <w:p w14:paraId="343A9C08">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14.4.2 最终结清证书和支付</w:t>
      </w:r>
    </w:p>
    <w:p w14:paraId="1C33FE9E">
      <w:pPr>
        <w:pStyle w:val="134"/>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highlight w:val="none"/>
        </w:rPr>
        <w:t>（1）发包人完成最终结清申请单的审批并颁发最终结清证书的期限：</w:t>
      </w:r>
      <w:r>
        <w:rPr>
          <w:rFonts w:hint="eastAsia" w:ascii="仿宋" w:hAnsi="仿宋" w:eastAsia="仿宋" w:cs="仿宋"/>
          <w:b/>
          <w:bCs/>
          <w:color w:val="auto"/>
          <w:highlight w:val="none"/>
          <w:u w:val="single"/>
        </w:rPr>
        <w:t>在收到承包人提交的最终结算申请单后14天内。</w:t>
      </w:r>
    </w:p>
    <w:p w14:paraId="343E654A">
      <w:pPr>
        <w:pStyle w:val="134"/>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highlight w:val="none"/>
        </w:rPr>
        <w:t>（2）发包人完成支付的期限：</w:t>
      </w:r>
      <w:r>
        <w:rPr>
          <w:rFonts w:hint="eastAsia" w:ascii="仿宋" w:hAnsi="仿宋" w:eastAsia="仿宋" w:cs="仿宋"/>
          <w:b/>
          <w:bCs/>
          <w:color w:val="auto"/>
          <w:highlight w:val="none"/>
          <w:u w:val="single"/>
        </w:rPr>
        <w:t>在颁发最终结清证书后7天内完成支付。</w:t>
      </w:r>
    </w:p>
    <w:p w14:paraId="5A3850B6">
      <w:pPr>
        <w:pStyle w:val="554"/>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15. 缺陷责任期与保修</w:t>
      </w:r>
    </w:p>
    <w:p w14:paraId="01FF80D1">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15.2缺陷责任期</w:t>
      </w:r>
    </w:p>
    <w:p w14:paraId="0B690167">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缺陷责任期的具体期限：</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A61B223">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15.3 质量保证金</w:t>
      </w:r>
    </w:p>
    <w:p w14:paraId="31281FD4">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关于是否扣留质量保证金的约定：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是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125E75A">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在工程项目竣工前，承包人按专用合同条款第3.7条提供履约担保的，发包人不得同时预留工程质量保证金</w:t>
      </w:r>
    </w:p>
    <w:p w14:paraId="125B8251">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15.3.1 承包人提供质量保证金的方式</w:t>
      </w:r>
    </w:p>
    <w:p w14:paraId="4099BF7C">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质量保证金采用以下第</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（3）</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种方式：</w:t>
      </w:r>
    </w:p>
    <w:p w14:paraId="26917F6B">
      <w:pPr>
        <w:pStyle w:val="134"/>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（1）质量保证金保函，保证金额为：</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 xml:space="preserve">； </w:t>
      </w:r>
    </w:p>
    <w:p w14:paraId="462C67FD">
      <w:pPr>
        <w:pStyle w:val="134"/>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（2）</w:t>
      </w:r>
      <w:r>
        <w:rPr>
          <w:rFonts w:hint="eastAsia" w:ascii="仿宋" w:hAnsi="仿宋" w:eastAsia="仿宋" w:cs="仿宋"/>
          <w:color w:val="auto"/>
          <w:kern w:val="0"/>
          <w:highlight w:val="none"/>
          <w:u w:val="single"/>
        </w:rPr>
        <w:t xml:space="preserve">  </w:t>
      </w:r>
      <w:r>
        <w:rPr>
          <w:rFonts w:hint="eastAsia" w:ascii="仿宋" w:hAnsi="仿宋" w:eastAsia="仿宋" w:cs="仿宋"/>
          <w:b/>
          <w:bCs/>
          <w:color w:val="auto"/>
          <w:kern w:val="0"/>
          <w:highlight w:val="none"/>
          <w:u w:val="single"/>
        </w:rPr>
        <w:t xml:space="preserve"> </w:t>
      </w:r>
      <w:r>
        <w:rPr>
          <w:rFonts w:hint="eastAsia" w:ascii="仿宋" w:hAnsi="仿宋" w:eastAsia="仿宋" w:cs="仿宋"/>
          <w:color w:val="auto"/>
          <w:kern w:val="0"/>
          <w:highlight w:val="none"/>
          <w:u w:val="single"/>
        </w:rPr>
        <w:t>/</w:t>
      </w:r>
      <w:r>
        <w:rPr>
          <w:rFonts w:hint="eastAsia" w:ascii="仿宋" w:hAnsi="仿宋" w:eastAsia="仿宋" w:cs="仿宋"/>
          <w:b/>
          <w:bCs/>
          <w:color w:val="auto"/>
          <w:kern w:val="0"/>
          <w:highlight w:val="none"/>
          <w:u w:val="single"/>
        </w:rPr>
        <w:t xml:space="preserve"> </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rPr>
        <w:t>%的工程款；</w:t>
      </w:r>
    </w:p>
    <w:p w14:paraId="450A9806">
      <w:pPr>
        <w:pStyle w:val="134"/>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（3）其他方式:</w:t>
      </w:r>
      <w:r>
        <w:rPr>
          <w:rFonts w:hint="eastAsia" w:ascii="仿宋" w:hAnsi="仿宋" w:eastAsia="仿宋" w:cs="仿宋"/>
          <w:color w:val="auto"/>
          <w:kern w:val="0"/>
          <w:highlight w:val="none"/>
          <w:u w:val="single"/>
        </w:rPr>
        <w:t xml:space="preserve"> </w:t>
      </w:r>
      <w:r>
        <w:rPr>
          <w:rFonts w:hint="eastAsia" w:ascii="仿宋" w:hAnsi="仿宋" w:eastAsia="仿宋" w:cs="仿宋"/>
          <w:b/>
          <w:bCs/>
          <w:color w:val="auto"/>
          <w:kern w:val="0"/>
          <w:highlight w:val="none"/>
          <w:u w:val="single"/>
        </w:rPr>
        <w:t>按结算审定价的1.5%缴纳</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rPr>
        <w:t>。</w:t>
      </w:r>
    </w:p>
    <w:p w14:paraId="356428B1">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 xml:space="preserve">15.3.2 质量保证金的扣留 </w:t>
      </w:r>
    </w:p>
    <w:p w14:paraId="38E72FEB">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质量保证金的扣留采取以下第</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 (3)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种方式：</w:t>
      </w:r>
    </w:p>
    <w:p w14:paraId="41248BA9">
      <w:pPr>
        <w:pStyle w:val="134"/>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（1）在支付工程进度款时逐次扣留，在此情形下，质量保证金的计算基数不包括预付款的支付、扣回以及价格调整的金额；</w:t>
      </w:r>
    </w:p>
    <w:p w14:paraId="74A38A73">
      <w:pPr>
        <w:pStyle w:val="134"/>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（2）工程竣工结算时一次性扣留质量保证金；</w:t>
      </w:r>
    </w:p>
    <w:p w14:paraId="1D560BAF">
      <w:pPr>
        <w:pStyle w:val="134"/>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（3）其他扣留方式:</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w:t>
      </w:r>
    </w:p>
    <w:p w14:paraId="4CAC1C1D">
      <w:pPr>
        <w:pStyle w:val="134"/>
        <w:adjustRightInd w:val="0"/>
        <w:snapToGrid w:val="0"/>
        <w:spacing w:line="360" w:lineRule="exact"/>
        <w:ind w:firstLine="630" w:firstLineChars="300"/>
        <w:jc w:val="left"/>
        <w:rPr>
          <w:rFonts w:ascii="仿宋" w:hAnsi="仿宋" w:eastAsia="仿宋" w:cs="仿宋"/>
          <w:color w:val="auto"/>
          <w:highlight w:val="none"/>
        </w:rPr>
      </w:pPr>
      <w:r>
        <w:rPr>
          <w:rFonts w:hint="eastAsia" w:ascii="仿宋" w:hAnsi="仿宋" w:eastAsia="仿宋" w:cs="仿宋"/>
          <w:color w:val="auto"/>
          <w:highlight w:val="none"/>
        </w:rPr>
        <w:t>关于质量保证金的补充约定：</w:t>
      </w:r>
      <w:r>
        <w:rPr>
          <w:rFonts w:hint="eastAsia" w:ascii="仿宋" w:hAnsi="仿宋" w:eastAsia="仿宋" w:cs="仿宋"/>
          <w:color w:val="auto"/>
          <w:kern w:val="0"/>
          <w:highlight w:val="none"/>
          <w:u w:val="single"/>
        </w:rPr>
        <w:t xml:space="preserve"> </w:t>
      </w:r>
      <w:r>
        <w:rPr>
          <w:rFonts w:hint="eastAsia" w:ascii="仿宋" w:hAnsi="仿宋" w:eastAsia="仿宋" w:cs="仿宋"/>
          <w:b/>
          <w:bCs/>
          <w:color w:val="auto"/>
          <w:kern w:val="0"/>
          <w:highlight w:val="none"/>
          <w:u w:val="single"/>
        </w:rPr>
        <w:t xml:space="preserve">按结算审定价的1.5%缴纳 </w:t>
      </w:r>
      <w:r>
        <w:rPr>
          <w:rFonts w:hint="eastAsia" w:ascii="仿宋" w:hAnsi="仿宋" w:eastAsia="仿宋" w:cs="仿宋"/>
          <w:color w:val="auto"/>
          <w:kern w:val="0"/>
          <w:highlight w:val="none"/>
        </w:rPr>
        <w:t>。</w:t>
      </w:r>
    </w:p>
    <w:p w14:paraId="3325931E">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15.4保修</w:t>
      </w:r>
    </w:p>
    <w:p w14:paraId="0D7439C0">
      <w:pPr>
        <w:pStyle w:val="134"/>
        <w:adjustRightInd w:val="0"/>
        <w:snapToGrid w:val="0"/>
        <w:spacing w:line="360" w:lineRule="exact"/>
        <w:ind w:firstLine="409" w:firstLineChars="195"/>
        <w:jc w:val="left"/>
        <w:rPr>
          <w:rFonts w:ascii="仿宋" w:hAnsi="仿宋" w:eastAsia="仿宋" w:cs="仿宋"/>
          <w:color w:val="auto"/>
          <w:highlight w:val="none"/>
        </w:rPr>
      </w:pPr>
      <w:r>
        <w:rPr>
          <w:rFonts w:hint="eastAsia" w:ascii="仿宋" w:hAnsi="仿宋" w:eastAsia="仿宋" w:cs="仿宋"/>
          <w:color w:val="auto"/>
          <w:highlight w:val="none"/>
        </w:rPr>
        <w:t>15.4.1 保修责任</w:t>
      </w:r>
    </w:p>
    <w:p w14:paraId="2BF71178">
      <w:pPr>
        <w:pStyle w:val="134"/>
        <w:adjustRightInd w:val="0"/>
        <w:snapToGrid w:val="0"/>
        <w:spacing w:line="360" w:lineRule="exact"/>
        <w:jc w:val="left"/>
        <w:rPr>
          <w:rFonts w:ascii="仿宋" w:hAnsi="仿宋" w:eastAsia="仿宋" w:cs="仿宋"/>
          <w:color w:val="auto"/>
          <w:kern w:val="0"/>
          <w:highlight w:val="none"/>
        </w:rPr>
      </w:pPr>
      <w:r>
        <w:rPr>
          <w:rFonts w:hint="eastAsia" w:ascii="仿宋" w:hAnsi="仿宋" w:eastAsia="仿宋" w:cs="仿宋"/>
          <w:color w:val="auto"/>
          <w:highlight w:val="none"/>
        </w:rPr>
        <w:t xml:space="preserve">    工程保修期为：</w:t>
      </w:r>
      <w:r>
        <w:rPr>
          <w:rFonts w:hint="eastAsia" w:ascii="仿宋" w:hAnsi="仿宋" w:eastAsia="仿宋" w:cs="仿宋"/>
          <w:b/>
          <w:bCs/>
          <w:color w:val="auto"/>
          <w:highlight w:val="none"/>
          <w:u w:val="single"/>
        </w:rPr>
        <w:t>按工程质量保修书规定执行。</w:t>
      </w:r>
    </w:p>
    <w:p w14:paraId="5ABF2C83">
      <w:pPr>
        <w:pStyle w:val="134"/>
        <w:adjustRightInd w:val="0"/>
        <w:snapToGrid w:val="0"/>
        <w:spacing w:line="360" w:lineRule="exact"/>
        <w:ind w:firstLine="409" w:firstLineChars="195"/>
        <w:jc w:val="left"/>
        <w:rPr>
          <w:rFonts w:ascii="仿宋" w:hAnsi="仿宋" w:eastAsia="仿宋" w:cs="仿宋"/>
          <w:color w:val="auto"/>
          <w:highlight w:val="none"/>
        </w:rPr>
      </w:pPr>
      <w:r>
        <w:rPr>
          <w:rFonts w:hint="eastAsia" w:ascii="仿宋" w:hAnsi="仿宋" w:eastAsia="仿宋" w:cs="仿宋"/>
          <w:color w:val="auto"/>
          <w:highlight w:val="none"/>
        </w:rPr>
        <w:t>15.4.3 修复通知</w:t>
      </w:r>
    </w:p>
    <w:p w14:paraId="7D2A9223">
      <w:pPr>
        <w:pStyle w:val="134"/>
        <w:adjustRightInd w:val="0"/>
        <w:snapToGrid w:val="0"/>
        <w:spacing w:line="360" w:lineRule="exact"/>
        <w:jc w:val="left"/>
        <w:rPr>
          <w:rFonts w:ascii="仿宋" w:hAnsi="仿宋" w:eastAsia="仿宋" w:cs="仿宋"/>
          <w:color w:val="auto"/>
          <w:kern w:val="0"/>
          <w:highlight w:val="none"/>
        </w:rPr>
      </w:pPr>
      <w:r>
        <w:rPr>
          <w:rFonts w:hint="eastAsia" w:ascii="仿宋" w:hAnsi="仿宋" w:eastAsia="仿宋" w:cs="仿宋"/>
          <w:color w:val="auto"/>
          <w:kern w:val="0"/>
          <w:highlight w:val="none"/>
        </w:rPr>
        <w:t xml:space="preserve">    承包人收到保修通知并到达工程现场的合理时间：</w:t>
      </w:r>
      <w:r>
        <w:rPr>
          <w:rFonts w:hint="eastAsia" w:ascii="仿宋" w:hAnsi="仿宋" w:eastAsia="仿宋" w:cs="仿宋"/>
          <w:color w:val="auto"/>
          <w:kern w:val="0"/>
          <w:highlight w:val="none"/>
          <w:u w:val="single"/>
        </w:rPr>
        <w:t xml:space="preserve"> </w:t>
      </w:r>
      <w:r>
        <w:rPr>
          <w:rFonts w:hint="eastAsia" w:ascii="仿宋" w:hAnsi="仿宋" w:eastAsia="仿宋" w:cs="仿宋"/>
          <w:b/>
          <w:bCs/>
          <w:color w:val="auto"/>
          <w:highlight w:val="none"/>
          <w:u w:val="single"/>
        </w:rPr>
        <w:t xml:space="preserve"> 2日内。</w:t>
      </w:r>
    </w:p>
    <w:p w14:paraId="41A3C4C6">
      <w:pPr>
        <w:pStyle w:val="554"/>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16. 违约</w:t>
      </w:r>
    </w:p>
    <w:p w14:paraId="05761B20">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16.1 发包人违约</w:t>
      </w:r>
    </w:p>
    <w:p w14:paraId="375FD71C">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16.1.1发包人违约的情形</w:t>
      </w:r>
    </w:p>
    <w:p w14:paraId="6FA924C7">
      <w:pPr>
        <w:pStyle w:val="134"/>
        <w:autoSpaceDE w:val="0"/>
        <w:autoSpaceDN w:val="0"/>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kern w:val="0"/>
          <w:highlight w:val="none"/>
        </w:rPr>
        <w:t>发包人违约的其他情形：</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w:t>
      </w:r>
    </w:p>
    <w:p w14:paraId="02163454">
      <w:pPr>
        <w:pStyle w:val="134"/>
        <w:adjustRightInd w:val="0"/>
        <w:snapToGrid w:val="0"/>
        <w:spacing w:line="360" w:lineRule="exact"/>
        <w:ind w:left="1050" w:hanging="1050" w:hangingChars="500"/>
        <w:jc w:val="left"/>
        <w:rPr>
          <w:rFonts w:ascii="仿宋" w:hAnsi="仿宋" w:eastAsia="仿宋" w:cs="仿宋"/>
          <w:color w:val="auto"/>
          <w:kern w:val="0"/>
          <w:highlight w:val="none"/>
        </w:rPr>
      </w:pPr>
      <w:r>
        <w:rPr>
          <w:rFonts w:hint="eastAsia" w:ascii="仿宋" w:hAnsi="仿宋" w:eastAsia="仿宋" w:cs="仿宋"/>
          <w:color w:val="auto"/>
          <w:kern w:val="0"/>
          <w:highlight w:val="none"/>
        </w:rPr>
        <w:t xml:space="preserve">    16.1.2 发包人违约的责任</w:t>
      </w:r>
    </w:p>
    <w:p w14:paraId="7257EDB4">
      <w:pPr>
        <w:pStyle w:val="134"/>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发包人违约责任的承担方式和计算方法：</w:t>
      </w:r>
    </w:p>
    <w:p w14:paraId="42B2E8EB">
      <w:pPr>
        <w:pStyle w:val="134"/>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kern w:val="0"/>
          <w:highlight w:val="none"/>
        </w:rPr>
        <w:t>（1）因发包人原因未能在计划开工日期前7天内下达开工通知的违约责任：</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highlight w:val="none"/>
          <w:u w:val="single"/>
        </w:rPr>
        <w:t>/</w:t>
      </w:r>
      <w:r>
        <w:rPr>
          <w:rFonts w:hint="eastAsia" w:ascii="仿宋" w:hAnsi="仿宋" w:eastAsia="仿宋" w:cs="仿宋"/>
          <w:color w:val="auto"/>
          <w:highlight w:val="none"/>
        </w:rPr>
        <w:t xml:space="preserve"> </w:t>
      </w:r>
      <w:r>
        <w:rPr>
          <w:rFonts w:hint="eastAsia" w:ascii="仿宋" w:hAnsi="仿宋" w:eastAsia="仿宋" w:cs="仿宋"/>
          <w:color w:val="auto"/>
          <w:highlight w:val="none"/>
          <w:u w:val="single"/>
        </w:rPr>
        <w:t xml:space="preserve"> </w:t>
      </w:r>
    </w:p>
    <w:p w14:paraId="189E1891">
      <w:pPr>
        <w:pStyle w:val="134"/>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kern w:val="0"/>
          <w:highlight w:val="none"/>
        </w:rPr>
        <w:t>（2）因发包人原因未能按合同约定支付合同价款的违约责任：</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highlight w:val="none"/>
          <w:u w:val="single"/>
        </w:rPr>
        <w:t xml:space="preserve">/ </w:t>
      </w:r>
    </w:p>
    <w:p w14:paraId="49B6536F">
      <w:pPr>
        <w:pStyle w:val="134"/>
        <w:autoSpaceDE w:val="0"/>
        <w:autoSpaceDN w:val="0"/>
        <w:adjustRightInd w:val="0"/>
        <w:snapToGrid w:val="0"/>
        <w:spacing w:line="360" w:lineRule="exact"/>
        <w:ind w:firstLine="420" w:firstLineChars="200"/>
        <w:jc w:val="left"/>
        <w:rPr>
          <w:rFonts w:ascii="仿宋" w:hAnsi="仿宋" w:eastAsia="仿宋" w:cs="仿宋"/>
          <w:color w:val="auto"/>
          <w:kern w:val="0"/>
          <w:highlight w:val="none"/>
          <w:u w:val="single"/>
        </w:rPr>
      </w:pPr>
      <w:r>
        <w:rPr>
          <w:rFonts w:hint="eastAsia" w:ascii="仿宋" w:hAnsi="仿宋" w:eastAsia="仿宋" w:cs="仿宋"/>
          <w:color w:val="auto"/>
          <w:kern w:val="0"/>
          <w:highlight w:val="none"/>
        </w:rPr>
        <w:t>（3）发包人违反第10.1款〔变更的范围〕第（2）项约定，自行实施被取消的工作或转由他人实施的违约责任：</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highlight w:val="none"/>
          <w:u w:val="single"/>
        </w:rPr>
        <w:t xml:space="preserve">/  </w:t>
      </w:r>
    </w:p>
    <w:p w14:paraId="4D05D12E">
      <w:pPr>
        <w:pStyle w:val="134"/>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kern w:val="0"/>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highlight w:val="none"/>
          <w:u w:val="single"/>
        </w:rPr>
        <w:t xml:space="preserve">/ </w:t>
      </w:r>
    </w:p>
    <w:p w14:paraId="75ABCBC2">
      <w:pPr>
        <w:pStyle w:val="134"/>
        <w:autoSpaceDE w:val="0"/>
        <w:autoSpaceDN w:val="0"/>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kern w:val="0"/>
          <w:highlight w:val="none"/>
        </w:rPr>
        <w:t>（5）因发包人违反合同约定造成暂停施工的违约责任：</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highlight w:val="none"/>
          <w:u w:val="single"/>
        </w:rPr>
        <w:t xml:space="preserve">/ </w:t>
      </w:r>
    </w:p>
    <w:p w14:paraId="229C452B">
      <w:pPr>
        <w:pStyle w:val="134"/>
        <w:autoSpaceDE w:val="0"/>
        <w:autoSpaceDN w:val="0"/>
        <w:adjustRightInd w:val="0"/>
        <w:snapToGrid w:val="0"/>
        <w:spacing w:line="360" w:lineRule="exact"/>
        <w:ind w:firstLine="420" w:firstLineChars="200"/>
        <w:jc w:val="left"/>
        <w:rPr>
          <w:rFonts w:ascii="仿宋" w:hAnsi="仿宋" w:eastAsia="仿宋" w:cs="仿宋"/>
          <w:color w:val="auto"/>
          <w:kern w:val="0"/>
          <w:highlight w:val="none"/>
          <w:u w:val="single"/>
        </w:rPr>
      </w:pPr>
      <w:r>
        <w:rPr>
          <w:rFonts w:hint="eastAsia" w:ascii="仿宋" w:hAnsi="仿宋" w:eastAsia="仿宋" w:cs="仿宋"/>
          <w:color w:val="auto"/>
          <w:kern w:val="0"/>
          <w:highlight w:val="none"/>
        </w:rPr>
        <w:t>（6）发包人无正当理由没有在约定期限内发出复工指示，导致承包人无法复工的违约责任：</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highlight w:val="none"/>
          <w:u w:val="single"/>
        </w:rPr>
        <w:t xml:space="preserve">/ </w:t>
      </w:r>
    </w:p>
    <w:p w14:paraId="73D3F3CA">
      <w:pPr>
        <w:pStyle w:val="134"/>
        <w:autoSpaceDE w:val="0"/>
        <w:autoSpaceDN w:val="0"/>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kern w:val="0"/>
          <w:highlight w:val="none"/>
        </w:rPr>
        <w:t>（7）其他：</w:t>
      </w:r>
      <w:r>
        <w:rPr>
          <w:rFonts w:hint="eastAsia" w:ascii="仿宋" w:hAnsi="仿宋" w:eastAsia="仿宋" w:cs="仿宋"/>
          <w:color w:val="auto"/>
          <w:highlight w:val="none"/>
          <w:u w:val="single"/>
        </w:rPr>
        <w:t xml:space="preserve"> / </w:t>
      </w:r>
    </w:p>
    <w:p w14:paraId="3BFDFCD7">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16.1.3 因发包人违约解除合同</w:t>
      </w:r>
    </w:p>
    <w:p w14:paraId="3A702872">
      <w:pPr>
        <w:pStyle w:val="134"/>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承包人按16.1.1项〔发包人违约的情形〕约定暂停施工满</w:t>
      </w:r>
      <w:r>
        <w:rPr>
          <w:rFonts w:hint="eastAsia" w:ascii="仿宋" w:hAnsi="仿宋" w:eastAsia="仿宋" w:cs="仿宋"/>
          <w:color w:val="auto"/>
          <w:kern w:val="0"/>
          <w:highlight w:val="none"/>
          <w:u w:val="single"/>
        </w:rPr>
        <w:t xml:space="preserve"> </w:t>
      </w:r>
      <w:r>
        <w:rPr>
          <w:rFonts w:hint="eastAsia" w:ascii="仿宋" w:hAnsi="仿宋" w:eastAsia="仿宋" w:cs="仿宋"/>
          <w:b/>
          <w:bCs/>
          <w:color w:val="auto"/>
          <w:kern w:val="0"/>
          <w:highlight w:val="none"/>
          <w:u w:val="single"/>
        </w:rPr>
        <w:t>60</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rPr>
        <w:t>天后发包人仍不纠正其违约行为并致使合同目的不能实现的，承包人有权解除合同。</w:t>
      </w:r>
    </w:p>
    <w:p w14:paraId="728B43FD">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16.2 承包人违约</w:t>
      </w:r>
    </w:p>
    <w:p w14:paraId="144FC306">
      <w:pPr>
        <w:pStyle w:val="134"/>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16.2.1 承包人违约的情形</w:t>
      </w:r>
    </w:p>
    <w:p w14:paraId="4DC36E25">
      <w:pPr>
        <w:pStyle w:val="134"/>
        <w:adjustRightInd w:val="0"/>
        <w:snapToGrid w:val="0"/>
        <w:spacing w:line="360" w:lineRule="exact"/>
        <w:ind w:left="1050" w:leftChars="200" w:hanging="630" w:hangingChars="300"/>
        <w:jc w:val="left"/>
        <w:rPr>
          <w:rFonts w:ascii="仿宋" w:hAnsi="仿宋" w:eastAsia="仿宋" w:cs="仿宋"/>
          <w:color w:val="auto"/>
          <w:kern w:val="0"/>
          <w:highlight w:val="none"/>
        </w:rPr>
      </w:pPr>
      <w:r>
        <w:rPr>
          <w:rFonts w:hint="eastAsia" w:ascii="仿宋" w:hAnsi="仿宋" w:eastAsia="仿宋" w:cs="仿宋"/>
          <w:color w:val="auto"/>
          <w:kern w:val="0"/>
          <w:highlight w:val="none"/>
        </w:rPr>
        <w:t>承包人违约的其他情形：</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 xml:space="preserve">。   </w:t>
      </w:r>
    </w:p>
    <w:p w14:paraId="7EA14FE2">
      <w:pPr>
        <w:pStyle w:val="134"/>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16.2.2承包人违约的责任</w:t>
      </w:r>
    </w:p>
    <w:p w14:paraId="17665815">
      <w:pPr>
        <w:pStyle w:val="134"/>
        <w:adjustRightInd w:val="0"/>
        <w:snapToGrid w:val="0"/>
        <w:spacing w:line="360" w:lineRule="exact"/>
        <w:ind w:left="1050" w:leftChars="200" w:hanging="630" w:hangingChars="300"/>
        <w:jc w:val="left"/>
        <w:rPr>
          <w:rFonts w:ascii="仿宋" w:hAnsi="仿宋" w:eastAsia="仿宋" w:cs="仿宋"/>
          <w:color w:val="auto"/>
          <w:kern w:val="0"/>
          <w:highlight w:val="none"/>
          <w:u w:val="single"/>
        </w:rPr>
      </w:pPr>
      <w:r>
        <w:rPr>
          <w:rFonts w:hint="eastAsia" w:ascii="仿宋" w:hAnsi="仿宋" w:eastAsia="仿宋" w:cs="仿宋"/>
          <w:color w:val="auto"/>
          <w:kern w:val="0"/>
          <w:highlight w:val="none"/>
        </w:rPr>
        <w:t>承包人违约责任的承担方式和计算方法：</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w:t>
      </w:r>
      <w:r>
        <w:rPr>
          <w:rFonts w:hint="eastAsia" w:ascii="仿宋" w:hAnsi="仿宋" w:eastAsia="仿宋" w:cs="仿宋"/>
          <w:color w:val="auto"/>
          <w:highlight w:val="none"/>
        </w:rPr>
        <w:t xml:space="preserve">    </w:t>
      </w:r>
    </w:p>
    <w:p w14:paraId="3D7E96F2">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16.2.3 因承包人违约解除合同</w:t>
      </w:r>
    </w:p>
    <w:p w14:paraId="51A8347C">
      <w:pPr>
        <w:pStyle w:val="134"/>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关于承包人违约解除合同的特别约定：</w:t>
      </w:r>
      <w:r>
        <w:rPr>
          <w:rFonts w:hint="eastAsia" w:ascii="仿宋" w:hAnsi="仿宋" w:eastAsia="仿宋" w:cs="仿宋"/>
          <w:b/>
          <w:bCs/>
          <w:color w:val="auto"/>
          <w:highlight w:val="none"/>
          <w:u w:val="single"/>
        </w:rPr>
        <w:t>承包人无故中止施工超过30天而导致工程无法完工的，发包人有权解除合同，并要求承包人按合同金额的10%支付违约金，因承包人违约造成甲方损失超过上述违约金数额的，还需要承担相应赔偿责任，包括直接损失和间接损失。</w:t>
      </w:r>
    </w:p>
    <w:p w14:paraId="48853F2C">
      <w:pPr>
        <w:pStyle w:val="134"/>
        <w:adjustRightInd w:val="0"/>
        <w:snapToGrid w:val="0"/>
        <w:spacing w:line="360" w:lineRule="exact"/>
        <w:ind w:firstLine="420" w:firstLineChars="200"/>
        <w:rPr>
          <w:rFonts w:ascii="仿宋" w:hAnsi="仿宋" w:eastAsia="仿宋" w:cs="仿宋"/>
          <w:b/>
          <w:bCs/>
          <w:color w:val="auto"/>
          <w:highlight w:val="none"/>
          <w:u w:val="single"/>
        </w:rPr>
      </w:pPr>
      <w:r>
        <w:rPr>
          <w:rFonts w:hint="eastAsia" w:ascii="仿宋" w:hAnsi="仿宋" w:eastAsia="仿宋" w:cs="仿宋"/>
          <w:color w:val="auto"/>
          <w:kern w:val="0"/>
          <w:highlight w:val="none"/>
        </w:rPr>
        <w:t>发包人继续使用承包人在施工现场的材料、设备、临时工程、承包人文件和由承包人或以其名义编制的其他文件的费用承担方式：</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w:t>
      </w:r>
    </w:p>
    <w:p w14:paraId="2EBF84AD">
      <w:pPr>
        <w:pStyle w:val="554"/>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17. 不可抗力 </w:t>
      </w:r>
    </w:p>
    <w:p w14:paraId="106F7C59">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17.1 不可抗力的确认</w:t>
      </w:r>
    </w:p>
    <w:p w14:paraId="566F000D">
      <w:pPr>
        <w:pStyle w:val="134"/>
        <w:adjustRightInd w:val="0"/>
        <w:snapToGrid w:val="0"/>
        <w:spacing w:line="360" w:lineRule="exact"/>
        <w:ind w:firstLine="420" w:firstLineChars="200"/>
        <w:jc w:val="left"/>
        <w:rPr>
          <w:rFonts w:ascii="仿宋" w:hAnsi="仿宋" w:eastAsia="仿宋" w:cs="仿宋"/>
          <w:color w:val="auto"/>
          <w:kern w:val="0"/>
          <w:highlight w:val="none"/>
          <w:u w:val="single"/>
        </w:rPr>
      </w:pPr>
      <w:r>
        <w:rPr>
          <w:rFonts w:hint="eastAsia" w:ascii="仿宋" w:hAnsi="仿宋" w:eastAsia="仿宋" w:cs="仿宋"/>
          <w:color w:val="auto"/>
          <w:highlight w:val="none"/>
        </w:rPr>
        <w:t>除通用合同条款约定的不可抗力事件之外，视为不可抗力的其他情形：</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w:t>
      </w:r>
    </w:p>
    <w:p w14:paraId="40B757F0">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17.4 因不可抗力解除合同</w:t>
      </w:r>
    </w:p>
    <w:p w14:paraId="4782C6CD">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合同解除后，发包人应在商定或确定发包人应支付款项后</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天内完成款项的支付。</w:t>
      </w:r>
    </w:p>
    <w:p w14:paraId="37DFA4E9">
      <w:pPr>
        <w:pStyle w:val="554"/>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18. 保险</w:t>
      </w:r>
    </w:p>
    <w:p w14:paraId="66CF289A">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18.1 工程保险</w:t>
      </w:r>
    </w:p>
    <w:p w14:paraId="3D2267EB">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关于工程保险的特别约定：</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w:t>
      </w:r>
    </w:p>
    <w:p w14:paraId="598A57CF">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18.3 其他保险</w:t>
      </w:r>
    </w:p>
    <w:p w14:paraId="36048ADB">
      <w:pPr>
        <w:pStyle w:val="134"/>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highlight w:val="none"/>
        </w:rPr>
        <w:t>关于其他保险的约定：</w:t>
      </w:r>
      <w:r>
        <w:rPr>
          <w:rFonts w:hint="eastAsia" w:ascii="仿宋" w:hAnsi="仿宋" w:eastAsia="仿宋" w:cs="仿宋"/>
          <w:b/>
          <w:bCs/>
          <w:color w:val="auto"/>
          <w:highlight w:val="none"/>
          <w:u w:val="single"/>
        </w:rPr>
        <w:t>承包人投保建筑工人及管理人员意外伤害保险。</w:t>
      </w:r>
    </w:p>
    <w:p w14:paraId="63B4DE7B">
      <w:pPr>
        <w:pStyle w:val="134"/>
        <w:adjustRightInd w:val="0"/>
        <w:snapToGrid w:val="0"/>
        <w:spacing w:line="360" w:lineRule="exact"/>
        <w:jc w:val="left"/>
        <w:rPr>
          <w:rFonts w:ascii="仿宋" w:hAnsi="仿宋" w:eastAsia="仿宋" w:cs="仿宋"/>
          <w:color w:val="auto"/>
          <w:kern w:val="0"/>
          <w:highlight w:val="none"/>
        </w:rPr>
      </w:pPr>
      <w:r>
        <w:rPr>
          <w:rFonts w:hint="eastAsia" w:ascii="仿宋" w:hAnsi="仿宋" w:eastAsia="仿宋" w:cs="仿宋"/>
          <w:color w:val="auto"/>
          <w:highlight w:val="none"/>
        </w:rPr>
        <w:t xml:space="preserve">    承包人是否应为其施工设备等办理财产保险：</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是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2E337C9">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18.7 通知义务</w:t>
      </w:r>
    </w:p>
    <w:p w14:paraId="5459F4FA">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kern w:val="0"/>
          <w:highlight w:val="none"/>
        </w:rPr>
        <w:t>关于变更保险合同时的通知义务的约定：</w:t>
      </w:r>
      <w:r>
        <w:rPr>
          <w:rFonts w:hint="eastAsia" w:ascii="仿宋" w:hAnsi="仿宋" w:eastAsia="仿宋" w:cs="仿宋"/>
          <w:b/>
          <w:bCs/>
          <w:color w:val="auto"/>
          <w:highlight w:val="none"/>
          <w:u w:val="single"/>
        </w:rPr>
        <w:t>按通用合同条款第18.7条项规定执行。</w:t>
      </w:r>
    </w:p>
    <w:p w14:paraId="3D732795">
      <w:pPr>
        <w:pStyle w:val="554"/>
        <w:adjustRightInd w:val="0"/>
        <w:snapToGrid w:val="0"/>
        <w:spacing w:before="0" w:after="0" w:line="360" w:lineRule="exact"/>
        <w:ind w:firstLine="42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20. 争议解决</w:t>
      </w:r>
    </w:p>
    <w:p w14:paraId="5D490741">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20.3 争议评审</w:t>
      </w:r>
    </w:p>
    <w:p w14:paraId="44176692">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合同当事人是否同意将工程争议提交争议评审小组决定：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 xml:space="preserve">。  </w:t>
      </w:r>
    </w:p>
    <w:p w14:paraId="23A517D2">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20.3.1 争议评审小组的确定</w:t>
      </w:r>
    </w:p>
    <w:p w14:paraId="138A63FA">
      <w:pPr>
        <w:pStyle w:val="134"/>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highlight w:val="none"/>
        </w:rPr>
        <w:t>争议评审小组成员的确定：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55AE6604">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选定争议评审员的期限：</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1E9273F9">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争议评审小组成员的报酬承担方式：</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3961C3F4">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其他事项的约定：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741DD992">
      <w:pPr>
        <w:pStyle w:val="134"/>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20.3.2 争议评审小组的决定</w:t>
      </w:r>
    </w:p>
    <w:p w14:paraId="52A1C907">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合同当事人关于本项的约定：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66F6D946">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20.4仲裁或诉讼</w:t>
      </w:r>
    </w:p>
    <w:p w14:paraId="7DEB3C25">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因合同及合同有关事项发生的争议，双方当事人一致同意提交杭州仲裁委员会申请仲裁；但双方当事人特别约定下列解决方式中第</w:t>
      </w:r>
      <w:r>
        <w:rPr>
          <w:rFonts w:hint="eastAsia" w:ascii="仿宋" w:hAnsi="仿宋" w:eastAsia="仿宋" w:cs="仿宋"/>
          <w:color w:val="auto"/>
          <w:highlight w:val="none"/>
          <w:u w:val="single"/>
        </w:rPr>
        <w:t>（2）</w:t>
      </w:r>
      <w:r>
        <w:rPr>
          <w:rFonts w:hint="eastAsia" w:ascii="仿宋" w:hAnsi="仿宋" w:eastAsia="仿宋" w:cs="仿宋"/>
          <w:color w:val="auto"/>
          <w:highlight w:val="none"/>
        </w:rPr>
        <w:t>种方式解决争议的除外：</w:t>
      </w:r>
    </w:p>
    <w:p w14:paraId="3DEB3019">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（1）向</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仲裁委员会申请仲裁；</w:t>
      </w:r>
    </w:p>
    <w:p w14:paraId="62D3C4A0">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（2）向</w:t>
      </w:r>
      <w:r>
        <w:rPr>
          <w:rFonts w:hint="eastAsia" w:ascii="仿宋" w:hAnsi="仿宋" w:eastAsia="仿宋" w:cs="仿宋"/>
          <w:color w:val="auto"/>
          <w:highlight w:val="none"/>
          <w:u w:val="single"/>
        </w:rPr>
        <w:t xml:space="preserve"> 合同履行地（工程所在地） </w:t>
      </w:r>
      <w:r>
        <w:rPr>
          <w:rFonts w:hint="eastAsia" w:ascii="仿宋" w:hAnsi="仿宋" w:eastAsia="仿宋" w:cs="仿宋"/>
          <w:color w:val="auto"/>
          <w:highlight w:val="none"/>
        </w:rPr>
        <w:t>人民法院起诉。</w:t>
      </w:r>
    </w:p>
    <w:p w14:paraId="12CB6FDF">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21.其他补充事项的约定</w:t>
      </w:r>
    </w:p>
    <w:p w14:paraId="6804F28D">
      <w:pPr>
        <w:pStyle w:val="134"/>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21.1进场项目班子应当是承包人建制内的，违法转包、挂靠承包人或临时拼凑的施工班子一经发现并经查实后，</w:t>
      </w:r>
      <w:r>
        <w:rPr>
          <w:rFonts w:hint="eastAsia" w:ascii="仿宋" w:hAnsi="仿宋" w:eastAsia="仿宋" w:cs="仿宋"/>
          <w:color w:val="auto"/>
          <w:szCs w:val="21"/>
          <w:highlight w:val="none"/>
        </w:rPr>
        <w:t>除扣罚履约保证金外，</w:t>
      </w:r>
      <w:r>
        <w:rPr>
          <w:rFonts w:hint="eastAsia" w:ascii="仿宋" w:hAnsi="仿宋" w:eastAsia="仿宋" w:cs="仿宋"/>
          <w:color w:val="auto"/>
          <w:highlight w:val="none"/>
        </w:rPr>
        <w:t>承包人还需按合同金额的10%支付违约金，施工合同将被终止，并赔偿由此给发包人造成的经济损失。派驻现场的施工班子人员数量、年龄结构、专业配备应满足工程实际需要。在合同执行期间发包人有权对不称职的工程技术、管理人员提出更换，承包人应在一个工作周内作出更换，并报发包人批准，不得拒绝和拖延。</w:t>
      </w:r>
    </w:p>
    <w:p w14:paraId="0182F479">
      <w:pPr>
        <w:pStyle w:val="134"/>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21.2 承包人应严格按已确认的施工技术方案实施，并接受发包人派遣的现场代表及委托的监理单位对施工质量、进度、安全、投资及协调方面的监督和管理。</w:t>
      </w:r>
    </w:p>
    <w:p w14:paraId="150F0C4E">
      <w:pPr>
        <w:pStyle w:val="134"/>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21.3 承包人应按期支付工人的劳动工资，发包人有权监督承包人对于工人工资支付和发放。</w:t>
      </w:r>
    </w:p>
    <w:p w14:paraId="7F35C9D1">
      <w:pPr>
        <w:pStyle w:val="134"/>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21.4本工程结算造价以审计结果为准。承包人必须保证施工签证的真实性、合理性和合法性并不得与合同约定相违背，否则有权予以调整。</w:t>
      </w:r>
    </w:p>
    <w:p w14:paraId="0E167D90">
      <w:pPr>
        <w:pStyle w:val="134"/>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21.5 工程变更严格按照变更程序办理，所有的工程变更须经设计、监理及发包人三方确认后实施。</w:t>
      </w:r>
    </w:p>
    <w:p w14:paraId="69399BF2">
      <w:pPr>
        <w:pStyle w:val="134"/>
        <w:adjustRightInd w:val="0"/>
        <w:snapToGrid w:val="0"/>
        <w:spacing w:line="38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21.6双方约定的承包人其他违约责任：a、工程竣工后15天内，承包人必须全部清退临时设施、建筑材料、机械设备，每延迟一天支付违约金1000元。b、项目经理未达到承诺的到位率，按未到岗天数计算，每缺岗一天支付违约金1000元。c、发包人有权要求承包人撤换工作不负责任、管理不力、贻误工期和造成严重的安全事故和工程质量事故、违法乱纪的专业技术管理人员或项目经理，直至发包人满意为止。d、工程竣工验收如未达到一次性通过，由此追加的返工费用和延误的工期等均由承包人负责，同时扣除其全额的质量履约保证金。e、施工期间，违反学校有关疫情防控、意识形态、宗教管理教育工作等相关规定的，每次扣罚履约担保1000元。</w:t>
      </w:r>
    </w:p>
    <w:p w14:paraId="6B50C6D2">
      <w:pPr>
        <w:pStyle w:val="134"/>
        <w:adjustRightInd w:val="0"/>
        <w:snapToGrid w:val="0"/>
        <w:spacing w:line="38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本工程未明确的违约赔偿事宜，均在工程竣工结算时处理，在工程结算款中增加或扣减有关费用。</w:t>
      </w:r>
    </w:p>
    <w:p w14:paraId="5A9E27FC">
      <w:pPr>
        <w:pStyle w:val="134"/>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21.7承包人进场后必须无条件的服从发包人对本工程整体上的施工安排。承包人对派驻现场的施工人员必须严格管理，不得扰乱其他施工单位的正常施工，不得偷窃、滋扰、闹事，不得影响其他单位施工现场的安全。</w:t>
      </w:r>
    </w:p>
    <w:p w14:paraId="693A2499">
      <w:pPr>
        <w:pStyle w:val="134"/>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21.8发包人有权取消或调整合同范围内的任何工程内容，承包人无条件接受，调整部分按实结算，取消部分相应扣除投标相对应的费用。</w:t>
      </w:r>
    </w:p>
    <w:p w14:paraId="4B05DC06">
      <w:pPr>
        <w:pStyle w:val="134"/>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21.9承包人承诺在发包人使用投标所有产品时不会因知识产权或产品所有权等问题引起的第三方索赔或其他要求，由此给发包人造成的一切损失都应由承包人承担。</w:t>
      </w:r>
    </w:p>
    <w:p w14:paraId="25583DC3">
      <w:pPr>
        <w:pStyle w:val="134"/>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21.10承包人必须落实有资格证书的专职安全管理人员驻现场管理安全、文明施工，承包人必须严格防范现场消防安全，严格管理施工人员，不得在现场抽烟。施工现场做好标准化布置，醒目位置悬挂工程告示牌；施工人员统一着装，统一编号，工作装或马甲上醒目标识单位名称、人员编号。</w:t>
      </w:r>
    </w:p>
    <w:p w14:paraId="51CAEF8A">
      <w:pPr>
        <w:pStyle w:val="134"/>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21.11承包人在踏勘现场时要充分了解现场地理人文条件，合理处理与周边关系。</w:t>
      </w:r>
    </w:p>
    <w:p w14:paraId="792B9DB2">
      <w:pPr>
        <w:pStyle w:val="134"/>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21.12承包人的磋商响应文件必须完全响应磋商文件的要求，投标书中一切有悖于磋商文件的条款均视作无效条款；承包人在磋商响应文件中单方面设置限制发包人的条款和内容均将被视作无效内容，并且出现上述现象时，承包人应自行承担废标风险。磋商响应文件中所有在磋商文件约定内容之外的与费用、进度、质量、索赔等有关的制约性内容，经发包人作出书面确认之前，均视作无效。</w:t>
      </w:r>
    </w:p>
    <w:p w14:paraId="6156B291">
      <w:pPr>
        <w:pStyle w:val="134"/>
        <w:adjustRightInd w:val="0"/>
        <w:snapToGrid w:val="0"/>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21.13本工程中标后施工方案优化不能低于原施工要求、工艺，须严格按照发包人提供的图纸、技术规格书及国家相关设计施工规范要求，并经本工程主体设计单位、第三方图审单位及发包人审查合格通过后方可实施。所需的优化设计费及优化设计引起的各变化因素应计入投标报价中，结算时其综合单价不予调整。</w:t>
      </w:r>
    </w:p>
    <w:p w14:paraId="63EBFD0C">
      <w:pPr>
        <w:pStyle w:val="134"/>
        <w:adjustRightInd w:val="0"/>
        <w:snapToGrid w:val="0"/>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21.14本工程施工管理、竣工验收与结算须按照发包人《浙江工业大学修缮工程管理办法》相关规定执行。施工单位在校内须严格遵守国家相关法律法规，严格遵守学校有关意识形态、宗教管理教育工作等相关规定。</w:t>
      </w:r>
    </w:p>
    <w:p w14:paraId="7EFD7F01">
      <w:pPr>
        <w:pStyle w:val="134"/>
        <w:adjustRightInd w:val="0"/>
        <w:snapToGrid w:val="0"/>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21.15 </w:t>
      </w:r>
      <w:r>
        <w:rPr>
          <w:rFonts w:hint="eastAsia" w:ascii="仿宋" w:hAnsi="仿宋" w:eastAsia="仿宋" w:cs="仿宋"/>
          <w:color w:val="auto"/>
          <w:szCs w:val="21"/>
          <w:highlight w:val="none"/>
        </w:rPr>
        <w:t>承包人应提前做好各类材料的备货工作，同时充分考虑施工期可能存在暂停施工、二次进场的问题，不得以上述原因提出工期延误及费用调整。</w:t>
      </w:r>
    </w:p>
    <w:p w14:paraId="7E84CFD7">
      <w:pPr>
        <w:autoSpaceDE w:val="0"/>
        <w:autoSpaceDN w:val="0"/>
        <w:adjustRightInd w:val="0"/>
        <w:snapToGrid w:val="0"/>
        <w:spacing w:line="360" w:lineRule="auto"/>
        <w:ind w:firstLine="420"/>
        <w:jc w:val="left"/>
        <w:rPr>
          <w:rFonts w:hint="eastAsia" w:ascii="仿宋" w:hAnsi="仿宋" w:eastAsia="仿宋" w:cs="仿宋"/>
          <w:color w:val="auto"/>
          <w:highlight w:val="none"/>
        </w:rPr>
      </w:pPr>
      <w:r>
        <w:rPr>
          <w:rFonts w:hint="eastAsia" w:ascii="仿宋" w:hAnsi="仿宋" w:eastAsia="仿宋" w:cs="仿宋"/>
          <w:color w:val="auto"/>
          <w:highlight w:val="none"/>
        </w:rPr>
        <w:t>21.16</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工程移交前，承包人需编制修缮工程使用说明书，明确本项目改造情况、使用注意事项、主要设施设备品牌、工程,质量保修期限及范围等内容。</w:t>
      </w:r>
    </w:p>
    <w:p w14:paraId="3F477F15">
      <w:pPr>
        <w:pStyle w:val="30"/>
        <w:adjustRightInd w:val="0"/>
        <w:snapToGrid w:val="0"/>
        <w:spacing w:before="162" w:after="162" w:line="276" w:lineRule="auto"/>
        <w:rPr>
          <w:rFonts w:ascii="仿宋" w:hAnsi="仿宋" w:eastAsia="仿宋" w:cs="仿宋"/>
          <w:color w:val="auto"/>
          <w:highlight w:val="none"/>
        </w:rPr>
      </w:pPr>
      <w:r>
        <w:rPr>
          <w:rFonts w:hint="eastAsia" w:ascii="仿宋" w:hAnsi="仿宋" w:eastAsia="仿宋" w:cs="仿宋"/>
          <w:b/>
          <w:bCs/>
          <w:color w:val="auto"/>
          <w:highlight w:val="none"/>
        </w:rPr>
        <w:t>附件：</w:t>
      </w:r>
    </w:p>
    <w:p w14:paraId="382154B4">
      <w:pPr>
        <w:spacing w:line="276" w:lineRule="auto"/>
        <w:ind w:firstLine="371" w:firstLineChars="177"/>
        <w:jc w:val="left"/>
        <w:rPr>
          <w:rFonts w:ascii="仿宋" w:hAnsi="仿宋" w:eastAsia="仿宋" w:cs="仿宋"/>
          <w:color w:val="auto"/>
          <w:highlight w:val="none"/>
        </w:rPr>
      </w:pPr>
      <w:r>
        <w:rPr>
          <w:rFonts w:hint="eastAsia" w:ascii="仿宋" w:hAnsi="仿宋" w:eastAsia="仿宋" w:cs="仿宋"/>
          <w:color w:val="auto"/>
          <w:highlight w:val="none"/>
        </w:rPr>
        <w:t>附件1：工程质量保修书</w:t>
      </w:r>
    </w:p>
    <w:p w14:paraId="1DB43E8A">
      <w:pPr>
        <w:spacing w:line="276" w:lineRule="auto"/>
        <w:ind w:firstLine="371" w:firstLineChars="177"/>
        <w:jc w:val="left"/>
        <w:rPr>
          <w:rFonts w:ascii="仿宋" w:hAnsi="仿宋" w:eastAsia="仿宋" w:cs="仿宋"/>
          <w:color w:val="auto"/>
          <w:highlight w:val="none"/>
        </w:rPr>
      </w:pPr>
      <w:r>
        <w:rPr>
          <w:rFonts w:hint="eastAsia" w:ascii="仿宋" w:hAnsi="仿宋" w:eastAsia="仿宋" w:cs="仿宋"/>
          <w:color w:val="auto"/>
          <w:highlight w:val="none"/>
        </w:rPr>
        <w:t xml:space="preserve">附件2：廉政协议书 </w:t>
      </w:r>
    </w:p>
    <w:p w14:paraId="369CFE3F">
      <w:pPr>
        <w:spacing w:line="276"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附件3：建筑施工安全责任书</w:t>
      </w:r>
    </w:p>
    <w:p w14:paraId="3D84ED7B">
      <w:pPr>
        <w:ind w:firstLine="371" w:firstLineChars="177"/>
        <w:jc w:val="left"/>
        <w:rPr>
          <w:rFonts w:ascii="仿宋" w:hAnsi="仿宋" w:eastAsia="仿宋" w:cs="仿宋"/>
          <w:color w:val="auto"/>
          <w:highlight w:val="none"/>
        </w:rPr>
      </w:pPr>
      <w:r>
        <w:rPr>
          <w:rFonts w:hint="eastAsia" w:ascii="仿宋" w:hAnsi="仿宋" w:eastAsia="仿宋" w:cs="仿宋"/>
          <w:color w:val="auto"/>
          <w:highlight w:val="none"/>
        </w:rPr>
        <w:t xml:space="preserve"> </w:t>
      </w:r>
    </w:p>
    <w:p w14:paraId="5C477633">
      <w:pPr>
        <w:pStyle w:val="30"/>
        <w:spacing w:before="162" w:after="162" w:line="440" w:lineRule="exact"/>
        <w:rPr>
          <w:rFonts w:ascii="仿宋" w:hAnsi="仿宋" w:eastAsia="仿宋" w:cs="仿宋"/>
          <w:b/>
          <w:bCs/>
          <w:color w:val="auto"/>
          <w:highlight w:val="none"/>
        </w:rPr>
      </w:pPr>
      <w:r>
        <w:rPr>
          <w:rFonts w:hint="eastAsia" w:ascii="仿宋" w:hAnsi="仿宋" w:eastAsia="仿宋" w:cs="仿宋"/>
          <w:color w:val="auto"/>
          <w:highlight w:val="none"/>
          <w:u w:val="single"/>
        </w:rPr>
        <w:br w:type="page"/>
      </w:r>
      <w:r>
        <w:rPr>
          <w:rFonts w:hint="eastAsia" w:ascii="仿宋" w:hAnsi="仿宋" w:eastAsia="仿宋" w:cs="仿宋"/>
          <w:b/>
          <w:bCs/>
          <w:color w:val="auto"/>
          <w:highlight w:val="none"/>
        </w:rPr>
        <w:t>附件1:</w:t>
      </w:r>
    </w:p>
    <w:p w14:paraId="3B1C1B4F">
      <w:pPr>
        <w:pStyle w:val="134"/>
        <w:spacing w:before="162" w:beforeLines="50" w:after="162" w:afterLines="50" w:line="440" w:lineRule="exact"/>
        <w:jc w:val="cente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工程质量保修书</w:t>
      </w:r>
    </w:p>
    <w:p w14:paraId="4177FAF9">
      <w:pPr>
        <w:pStyle w:val="134"/>
        <w:spacing w:line="30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发包人（全称）：</w:t>
      </w:r>
      <w:r>
        <w:rPr>
          <w:rFonts w:hint="eastAsia" w:ascii="仿宋" w:hAnsi="仿宋" w:eastAsia="仿宋" w:cs="仿宋"/>
          <w:color w:val="auto"/>
          <w:szCs w:val="21"/>
          <w:highlight w:val="none"/>
          <w:u w:val="single"/>
        </w:rPr>
        <w:t xml:space="preserve">                                  </w:t>
      </w:r>
    </w:p>
    <w:p w14:paraId="720C64EA">
      <w:pPr>
        <w:pStyle w:val="134"/>
        <w:spacing w:line="30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承包人（全称）：</w:t>
      </w:r>
      <w:r>
        <w:rPr>
          <w:rFonts w:hint="eastAsia" w:ascii="仿宋" w:hAnsi="仿宋" w:eastAsia="仿宋" w:cs="仿宋"/>
          <w:color w:val="auto"/>
          <w:szCs w:val="21"/>
          <w:highlight w:val="none"/>
          <w:u w:val="single"/>
        </w:rPr>
        <w:t xml:space="preserve">                                  </w:t>
      </w:r>
    </w:p>
    <w:p w14:paraId="074B8BD5">
      <w:pPr>
        <w:pStyle w:val="134"/>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发包人和承包人根据《中华人民共和国建筑法》和《建设工程质量管理条例》，经协商一致就</w:t>
      </w:r>
      <w:r>
        <w:rPr>
          <w:rFonts w:hint="eastAsia" w:ascii="仿宋" w:hAnsi="仿宋" w:eastAsia="仿宋" w:cs="仿宋"/>
          <w:color w:val="auto"/>
          <w:szCs w:val="21"/>
          <w:highlight w:val="none"/>
          <w:u w:val="single"/>
        </w:rPr>
        <w:t xml:space="preserve">  </w:t>
      </w:r>
      <w:r>
        <w:rPr>
          <w:rFonts w:hint="eastAsia" w:ascii="仿宋" w:hAnsi="仿宋" w:eastAsia="仿宋" w:cs="仿宋"/>
          <w:b/>
          <w:bCs/>
          <w:color w:val="auto"/>
          <w:szCs w:val="21"/>
          <w:highlight w:val="none"/>
          <w:u w:val="single"/>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（工程全称）签订工程质量保修书。</w:t>
      </w:r>
    </w:p>
    <w:p w14:paraId="5CED331D">
      <w:pPr>
        <w:pStyle w:val="134"/>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一、工程质量保修范围和内容</w:t>
      </w:r>
    </w:p>
    <w:p w14:paraId="6297BDDF">
      <w:pPr>
        <w:pStyle w:val="134"/>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承包人在质量保修期内，按照有关法律规定和合同约定，承担工程质量保修责任。</w:t>
      </w:r>
    </w:p>
    <w:p w14:paraId="2EB2DD6A">
      <w:pPr>
        <w:pStyle w:val="134"/>
        <w:spacing w:line="300" w:lineRule="auto"/>
        <w:ind w:firstLine="420" w:firstLineChars="200"/>
        <w:rPr>
          <w:rFonts w:ascii="仿宋" w:hAnsi="仿宋" w:eastAsia="仿宋" w:cs="仿宋"/>
          <w:b/>
          <w:bCs/>
          <w:color w:val="auto"/>
          <w:szCs w:val="21"/>
          <w:highlight w:val="none"/>
          <w:u w:val="single"/>
        </w:rPr>
      </w:pPr>
      <w:r>
        <w:rPr>
          <w:rFonts w:hint="eastAsia" w:ascii="仿宋" w:hAnsi="仿宋" w:eastAsia="仿宋" w:cs="仿宋"/>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仿宋" w:hAnsi="仿宋" w:eastAsia="仿宋" w:cs="仿宋"/>
          <w:b/>
          <w:bCs/>
          <w:color w:val="auto"/>
          <w:szCs w:val="21"/>
          <w:highlight w:val="none"/>
          <w:u w:val="single"/>
        </w:rPr>
        <w:t>承包范围内所有工程。</w:t>
      </w:r>
    </w:p>
    <w:p w14:paraId="63227CCD">
      <w:pPr>
        <w:pStyle w:val="134"/>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二、质量保修期</w:t>
      </w:r>
    </w:p>
    <w:p w14:paraId="509F0C07">
      <w:pPr>
        <w:pStyle w:val="134"/>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根据《建设工程质量管理条例》及有关规定，工程的质量保修期如下：</w:t>
      </w:r>
    </w:p>
    <w:p w14:paraId="16A04E61">
      <w:pPr>
        <w:pStyle w:val="134"/>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1、地基基础工程和主体结构工程为设计文件规定的该工程合理使用年限；</w:t>
      </w:r>
    </w:p>
    <w:p w14:paraId="3B55885F">
      <w:pPr>
        <w:pStyle w:val="134"/>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2、屋面防水工程、有防水要求的卫生间、房间和外墙的防渗漏为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5</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p>
    <w:p w14:paraId="530B34E7">
      <w:pPr>
        <w:pStyle w:val="134"/>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3、装修工程为</w:t>
      </w:r>
      <w:r>
        <w:rPr>
          <w:rFonts w:hint="eastAsia" w:ascii="仿宋" w:hAnsi="仿宋" w:eastAsia="仿宋" w:cs="仿宋"/>
          <w:color w:val="auto"/>
          <w:szCs w:val="21"/>
          <w:highlight w:val="none"/>
          <w:u w:val="single"/>
        </w:rPr>
        <w:t xml:space="preserve"> 2 </w:t>
      </w:r>
      <w:r>
        <w:rPr>
          <w:rFonts w:hint="eastAsia" w:ascii="仿宋" w:hAnsi="仿宋" w:eastAsia="仿宋" w:cs="仿宋"/>
          <w:color w:val="auto"/>
          <w:szCs w:val="21"/>
          <w:highlight w:val="none"/>
        </w:rPr>
        <w:t>年；</w:t>
      </w:r>
    </w:p>
    <w:p w14:paraId="5BE4B601">
      <w:pPr>
        <w:pStyle w:val="134"/>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4、电气管线、给排水管道、设备安装工程为</w:t>
      </w:r>
      <w:r>
        <w:rPr>
          <w:rFonts w:hint="eastAsia" w:ascii="仿宋" w:hAnsi="仿宋" w:eastAsia="仿宋" w:cs="仿宋"/>
          <w:color w:val="auto"/>
          <w:szCs w:val="21"/>
          <w:highlight w:val="none"/>
          <w:u w:val="single"/>
        </w:rPr>
        <w:t>2</w:t>
      </w:r>
      <w:r>
        <w:rPr>
          <w:rFonts w:hint="eastAsia" w:ascii="仿宋" w:hAnsi="仿宋" w:eastAsia="仿宋" w:cs="仿宋"/>
          <w:color w:val="auto"/>
          <w:szCs w:val="21"/>
          <w:highlight w:val="none"/>
        </w:rPr>
        <w:t>年；</w:t>
      </w:r>
    </w:p>
    <w:p w14:paraId="3CC56713">
      <w:pPr>
        <w:pStyle w:val="134"/>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5、供热与供冷系统为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2</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个采暖期、供冷期；</w:t>
      </w:r>
    </w:p>
    <w:p w14:paraId="0B7E7F1F">
      <w:pPr>
        <w:pStyle w:val="134"/>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6、住宅小区内的给排水设施、道路等配套工程为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2</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p>
    <w:p w14:paraId="03A12873">
      <w:pPr>
        <w:pStyle w:val="134"/>
        <w:spacing w:line="300" w:lineRule="auto"/>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rPr>
        <w:t>7、其他项目保修期限约定如下：</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本项目保修期限为2年</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0162E591">
      <w:pPr>
        <w:pStyle w:val="134"/>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质量保修期自工程竣工验收合格之日起计算，具体期限以承包人承诺的延长质保期为准。</w:t>
      </w:r>
    </w:p>
    <w:p w14:paraId="238B1BBB">
      <w:pPr>
        <w:pStyle w:val="134"/>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三、缺陷责任期</w:t>
      </w:r>
    </w:p>
    <w:p w14:paraId="0280CBB1">
      <w:pPr>
        <w:pStyle w:val="134"/>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工程缺陷责任期为</w:t>
      </w:r>
      <w:r>
        <w:rPr>
          <w:rFonts w:hint="eastAsia" w:ascii="仿宋" w:hAnsi="仿宋" w:eastAsia="仿宋" w:cs="仿宋"/>
          <w:color w:val="auto"/>
          <w:szCs w:val="21"/>
          <w:highlight w:val="none"/>
          <w:u w:val="single"/>
        </w:rPr>
        <w:t xml:space="preserve"> 24 </w:t>
      </w:r>
      <w:r>
        <w:rPr>
          <w:rFonts w:hint="eastAsia" w:ascii="仿宋" w:hAnsi="仿宋" w:eastAsia="仿宋" w:cs="仿宋"/>
          <w:color w:val="auto"/>
          <w:szCs w:val="21"/>
          <w:highlight w:val="none"/>
        </w:rPr>
        <w:t>个月，缺陷责任期自工程通过竣工验收之日起计算。单位工程先于全部工程进行验收，单位工程缺陷责任期自单位工程验收合格之日起算。</w:t>
      </w:r>
    </w:p>
    <w:p w14:paraId="472207EC">
      <w:pPr>
        <w:pStyle w:val="134"/>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四、质量保修责任</w:t>
      </w:r>
    </w:p>
    <w:p w14:paraId="4F1B5353">
      <w:pPr>
        <w:pStyle w:val="134"/>
        <w:spacing w:line="300" w:lineRule="auto"/>
        <w:ind w:left="105" w:leftChars="50" w:firstLine="430" w:firstLineChars="205"/>
        <w:rPr>
          <w:rFonts w:ascii="仿宋" w:hAnsi="仿宋" w:eastAsia="仿宋" w:cs="仿宋"/>
          <w:color w:val="auto"/>
          <w:szCs w:val="21"/>
          <w:highlight w:val="none"/>
        </w:rPr>
      </w:pPr>
      <w:r>
        <w:rPr>
          <w:rFonts w:hint="eastAsia" w:ascii="仿宋" w:hAnsi="仿宋" w:eastAsia="仿宋" w:cs="仿宋"/>
          <w:color w:val="auto"/>
          <w:szCs w:val="21"/>
          <w:highlight w:val="none"/>
        </w:rPr>
        <w:t>1．属于保修范围、内容的项目，承包人应当在接到保修通知之日起7天内派人保修。承包人不在约定期限内派人保修的，发包人可以委托他人修理。</w:t>
      </w:r>
    </w:p>
    <w:p w14:paraId="11708EEC">
      <w:pPr>
        <w:pStyle w:val="134"/>
        <w:spacing w:line="300" w:lineRule="auto"/>
        <w:ind w:left="105" w:leftChars="50" w:firstLine="430" w:firstLineChars="205"/>
        <w:rPr>
          <w:rFonts w:ascii="仿宋" w:hAnsi="仿宋" w:eastAsia="仿宋" w:cs="仿宋"/>
          <w:color w:val="auto"/>
          <w:szCs w:val="21"/>
          <w:highlight w:val="none"/>
        </w:rPr>
      </w:pPr>
      <w:r>
        <w:rPr>
          <w:rFonts w:hint="eastAsia" w:ascii="仿宋" w:hAnsi="仿宋" w:eastAsia="仿宋" w:cs="仿宋"/>
          <w:color w:val="auto"/>
          <w:szCs w:val="21"/>
          <w:highlight w:val="none"/>
        </w:rPr>
        <w:t>2. 发生紧急抢修事故的，承包人在接到事故通知后，应当立即到达事故现场抢修。</w:t>
      </w:r>
    </w:p>
    <w:p w14:paraId="44E657D1">
      <w:pPr>
        <w:pStyle w:val="134"/>
        <w:spacing w:line="300" w:lineRule="auto"/>
        <w:ind w:left="105" w:leftChars="50" w:firstLine="430" w:firstLineChars="205"/>
        <w:rPr>
          <w:rFonts w:ascii="仿宋" w:hAnsi="仿宋" w:eastAsia="仿宋" w:cs="仿宋"/>
          <w:color w:val="auto"/>
          <w:szCs w:val="21"/>
          <w:highlight w:val="none"/>
        </w:rPr>
      </w:pPr>
      <w:r>
        <w:rPr>
          <w:rFonts w:hint="eastAsia" w:ascii="仿宋" w:hAnsi="仿宋" w:eastAsia="仿宋" w:cs="仿宋"/>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B7EF8C6">
      <w:pPr>
        <w:pStyle w:val="134"/>
        <w:spacing w:line="300" w:lineRule="auto"/>
        <w:ind w:left="105" w:leftChars="50" w:firstLine="430" w:firstLineChars="205"/>
        <w:rPr>
          <w:rFonts w:ascii="仿宋" w:hAnsi="仿宋" w:eastAsia="仿宋" w:cs="仿宋"/>
          <w:color w:val="auto"/>
          <w:szCs w:val="21"/>
          <w:highlight w:val="none"/>
        </w:rPr>
      </w:pPr>
      <w:r>
        <w:rPr>
          <w:rFonts w:hint="eastAsia" w:ascii="仿宋" w:hAnsi="仿宋" w:eastAsia="仿宋" w:cs="仿宋"/>
          <w:color w:val="auto"/>
          <w:szCs w:val="21"/>
          <w:highlight w:val="none"/>
        </w:rPr>
        <w:t>4．质量保修完成后，由发包人组织验收。</w:t>
      </w:r>
    </w:p>
    <w:p w14:paraId="4DE0B408">
      <w:pPr>
        <w:spacing w:line="300" w:lineRule="auto"/>
        <w:ind w:left="105" w:leftChars="50" w:firstLine="430" w:firstLineChars="205"/>
        <w:rPr>
          <w:rFonts w:ascii="仿宋" w:hAnsi="仿宋" w:eastAsia="仿宋" w:cs="仿宋"/>
          <w:color w:val="auto"/>
          <w:szCs w:val="21"/>
          <w:highlight w:val="none"/>
        </w:rPr>
      </w:pPr>
      <w:r>
        <w:rPr>
          <w:rFonts w:hint="eastAsia" w:ascii="仿宋" w:hAnsi="仿宋" w:eastAsia="仿宋" w:cs="仿宋"/>
          <w:color w:val="auto"/>
          <w:szCs w:val="21"/>
          <w:highlight w:val="none"/>
        </w:rPr>
        <w:t>5．承包人未在指定期限派人维修或发生其他视为承包人未履行维修义务情形的，发包人或管理单位有权委托第三方进行维修，所产生相关费用包括维修费、补偿金等均由承包人承担，并在工程保修金中扣除。</w:t>
      </w:r>
    </w:p>
    <w:p w14:paraId="03719A9F">
      <w:pPr>
        <w:pStyle w:val="134"/>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五、保修费用</w:t>
      </w:r>
    </w:p>
    <w:p w14:paraId="5FFC1AB2">
      <w:pPr>
        <w:pStyle w:val="134"/>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1.保修费用由造成质量缺陷的责任方承担。</w:t>
      </w:r>
    </w:p>
    <w:p w14:paraId="770726AF">
      <w:pPr>
        <w:adjustRightInd w:val="0"/>
        <w:snapToGrid w:val="0"/>
        <w:spacing w:line="300" w:lineRule="auto"/>
        <w:ind w:firstLine="407" w:firstLineChars="194"/>
        <w:rPr>
          <w:rFonts w:ascii="仿宋" w:hAnsi="仿宋" w:eastAsia="仿宋" w:cs="仿宋"/>
          <w:b/>
          <w:bCs/>
          <w:color w:val="auto"/>
          <w:szCs w:val="21"/>
          <w:highlight w:val="none"/>
          <w:u w:val="single"/>
        </w:rPr>
      </w:pPr>
      <w:r>
        <w:rPr>
          <w:rFonts w:hint="eastAsia" w:ascii="仿宋" w:hAnsi="仿宋" w:eastAsia="仿宋" w:cs="仿宋"/>
          <w:color w:val="auto"/>
          <w:szCs w:val="21"/>
          <w:highlight w:val="none"/>
        </w:rPr>
        <w:t>2.工程质量保证金的退还：</w:t>
      </w:r>
      <w:r>
        <w:rPr>
          <w:rFonts w:hint="eastAsia" w:ascii="仿宋" w:hAnsi="仿宋" w:eastAsia="仿宋" w:cs="仿宋"/>
          <w:b/>
          <w:bCs/>
          <w:color w:val="auto"/>
          <w:szCs w:val="21"/>
          <w:highlight w:val="none"/>
          <w:u w:val="single"/>
        </w:rPr>
        <w:t>工程竣工验收合格之日起满两年且回访质量符合要求后，一次性付清（无息）；如保修期间产生维修费、赔偿金等，则扣除相应的维修费、赔偿金等款项后退还。</w:t>
      </w:r>
    </w:p>
    <w:p w14:paraId="2003AFBC">
      <w:pPr>
        <w:pStyle w:val="134"/>
        <w:spacing w:line="300" w:lineRule="auto"/>
        <w:ind w:left="105" w:leftChars="50" w:firstLine="373" w:firstLineChars="178"/>
        <w:rPr>
          <w:rFonts w:ascii="仿宋" w:hAnsi="仿宋" w:eastAsia="仿宋" w:cs="仿宋"/>
          <w:color w:val="auto"/>
          <w:szCs w:val="21"/>
          <w:highlight w:val="none"/>
        </w:rPr>
      </w:pPr>
      <w:r>
        <w:rPr>
          <w:rFonts w:hint="eastAsia" w:ascii="仿宋" w:hAnsi="仿宋" w:eastAsia="仿宋" w:cs="仿宋"/>
          <w:color w:val="auto"/>
          <w:szCs w:val="21"/>
          <w:highlight w:val="none"/>
        </w:rPr>
        <w:t>六、双方约定的其他工程质量保修事项：</w:t>
      </w:r>
      <w:r>
        <w:rPr>
          <w:rFonts w:hint="eastAsia" w:ascii="仿宋" w:hAnsi="仿宋" w:eastAsia="仿宋" w:cs="仿宋"/>
          <w:color w:val="auto"/>
          <w:szCs w:val="21"/>
          <w:highlight w:val="none"/>
          <w:u w:val="single"/>
        </w:rPr>
        <w:t xml:space="preserve">   无     。</w:t>
      </w:r>
    </w:p>
    <w:p w14:paraId="5872A89D">
      <w:pPr>
        <w:pStyle w:val="134"/>
        <w:spacing w:line="300" w:lineRule="auto"/>
        <w:ind w:left="105" w:leftChars="50"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工程质量保修书由发包人、承包人在工程竣工验收前共同签署，作为施工合同附件，其有效期限至保修期满。</w:t>
      </w:r>
    </w:p>
    <w:p w14:paraId="21602838">
      <w:pPr>
        <w:pStyle w:val="134"/>
        <w:spacing w:line="300" w:lineRule="auto"/>
        <w:ind w:firstLine="399" w:firstLineChars="19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6EB92FD7">
      <w:pPr>
        <w:pStyle w:val="134"/>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发包人(公章)：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承包人(公章)：</w:t>
      </w:r>
      <w:r>
        <w:rPr>
          <w:rFonts w:hint="eastAsia" w:ascii="仿宋" w:hAnsi="仿宋" w:eastAsia="仿宋" w:cs="仿宋"/>
          <w:color w:val="auto"/>
          <w:szCs w:val="21"/>
          <w:highlight w:val="none"/>
          <w:u w:val="single"/>
        </w:rPr>
        <w:t xml:space="preserve">            </w:t>
      </w:r>
    </w:p>
    <w:p w14:paraId="73B6B035">
      <w:pPr>
        <w:pStyle w:val="134"/>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地  址：</w:t>
      </w:r>
      <w:r>
        <w:rPr>
          <w:rFonts w:hint="eastAsia" w:ascii="仿宋" w:hAnsi="仿宋" w:eastAsia="仿宋" w:cs="仿宋"/>
          <w:color w:val="auto"/>
          <w:szCs w:val="21"/>
          <w:highlight w:val="none"/>
          <w:u w:val="single"/>
        </w:rPr>
        <w:t xml:space="preserve">                   </w:t>
      </w:r>
    </w:p>
    <w:p w14:paraId="24FA4D64">
      <w:pPr>
        <w:pStyle w:val="134"/>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法定代表人(签字)：</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法定代表人(签字)：</w:t>
      </w:r>
      <w:r>
        <w:rPr>
          <w:rFonts w:hint="eastAsia" w:ascii="仿宋" w:hAnsi="仿宋" w:eastAsia="仿宋" w:cs="仿宋"/>
          <w:color w:val="auto"/>
          <w:szCs w:val="21"/>
          <w:highlight w:val="none"/>
          <w:u w:val="single"/>
        </w:rPr>
        <w:t xml:space="preserve">       </w:t>
      </w:r>
    </w:p>
    <w:p w14:paraId="0808E0AE">
      <w:pPr>
        <w:pStyle w:val="134"/>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委托代理人(签字)：</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委托代理人(签字)：</w:t>
      </w:r>
      <w:r>
        <w:rPr>
          <w:rFonts w:hint="eastAsia" w:ascii="仿宋" w:hAnsi="仿宋" w:eastAsia="仿宋" w:cs="仿宋"/>
          <w:color w:val="auto"/>
          <w:szCs w:val="21"/>
          <w:highlight w:val="none"/>
          <w:u w:val="single"/>
        </w:rPr>
        <w:t xml:space="preserve">       </w:t>
      </w:r>
    </w:p>
    <w:p w14:paraId="18FAECC0">
      <w:pPr>
        <w:pStyle w:val="134"/>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电  话：</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电  话：</w:t>
      </w:r>
      <w:r>
        <w:rPr>
          <w:rFonts w:hint="eastAsia" w:ascii="仿宋" w:hAnsi="仿宋" w:eastAsia="仿宋" w:cs="仿宋"/>
          <w:color w:val="auto"/>
          <w:szCs w:val="21"/>
          <w:highlight w:val="none"/>
          <w:u w:val="single"/>
        </w:rPr>
        <w:t xml:space="preserve">           </w:t>
      </w:r>
    </w:p>
    <w:p w14:paraId="29DAE9BD">
      <w:pPr>
        <w:pStyle w:val="134"/>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传  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传  真：</w:t>
      </w:r>
      <w:r>
        <w:rPr>
          <w:rFonts w:hint="eastAsia" w:ascii="仿宋" w:hAnsi="仿宋" w:eastAsia="仿宋" w:cs="仿宋"/>
          <w:color w:val="auto"/>
          <w:szCs w:val="21"/>
          <w:highlight w:val="none"/>
          <w:u w:val="single"/>
        </w:rPr>
        <w:t xml:space="preserve">           </w:t>
      </w:r>
    </w:p>
    <w:p w14:paraId="3ACA77D6">
      <w:pPr>
        <w:pStyle w:val="134"/>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开户银行：</w:t>
      </w:r>
      <w:r>
        <w:rPr>
          <w:rFonts w:hint="eastAsia" w:ascii="仿宋" w:hAnsi="仿宋" w:eastAsia="仿宋" w:cs="仿宋"/>
          <w:color w:val="auto"/>
          <w:szCs w:val="21"/>
          <w:highlight w:val="none"/>
          <w:u w:val="single"/>
        </w:rPr>
        <w:t xml:space="preserve">                 </w:t>
      </w:r>
    </w:p>
    <w:p w14:paraId="039A193E">
      <w:pPr>
        <w:pStyle w:val="134"/>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账  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 xml:space="preserve"> 账  号：</w:t>
      </w:r>
      <w:r>
        <w:rPr>
          <w:rFonts w:hint="eastAsia" w:ascii="仿宋" w:hAnsi="仿宋" w:eastAsia="仿宋" w:cs="仿宋"/>
          <w:color w:val="auto"/>
          <w:szCs w:val="21"/>
          <w:highlight w:val="none"/>
          <w:u w:val="single"/>
        </w:rPr>
        <w:t xml:space="preserve">             </w:t>
      </w:r>
    </w:p>
    <w:p w14:paraId="5909E751">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邮政编码：</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邮政编码：</w:t>
      </w:r>
      <w:r>
        <w:rPr>
          <w:rFonts w:hint="eastAsia" w:ascii="仿宋" w:hAnsi="仿宋" w:eastAsia="仿宋" w:cs="仿宋"/>
          <w:color w:val="auto"/>
          <w:szCs w:val="21"/>
          <w:highlight w:val="none"/>
          <w:u w:val="single"/>
        </w:rPr>
        <w:t xml:space="preserve">           </w:t>
      </w:r>
    </w:p>
    <w:p w14:paraId="6C21FCA6">
      <w:pPr>
        <w:pStyle w:val="30"/>
        <w:spacing w:before="162" w:after="162" w:line="440" w:lineRule="exact"/>
        <w:rPr>
          <w:rFonts w:ascii="仿宋" w:hAnsi="仿宋" w:eastAsia="仿宋" w:cs="仿宋"/>
          <w:b/>
          <w:bCs/>
          <w:color w:val="auto"/>
          <w:sz w:val="21"/>
          <w:szCs w:val="21"/>
          <w:highlight w:val="none"/>
        </w:rPr>
      </w:pPr>
      <w:r>
        <w:rPr>
          <w:rFonts w:hint="eastAsia" w:ascii="仿宋" w:hAnsi="仿宋" w:eastAsia="仿宋" w:cs="仿宋"/>
          <w:color w:val="auto"/>
          <w:sz w:val="21"/>
          <w:szCs w:val="21"/>
          <w:highlight w:val="none"/>
        </w:rPr>
        <w:br w:type="page"/>
      </w:r>
      <w:r>
        <w:rPr>
          <w:rFonts w:hint="eastAsia" w:ascii="仿宋" w:hAnsi="仿宋" w:eastAsia="仿宋" w:cs="仿宋"/>
          <w:b/>
          <w:bCs/>
          <w:color w:val="auto"/>
          <w:sz w:val="21"/>
          <w:szCs w:val="21"/>
          <w:highlight w:val="none"/>
        </w:rPr>
        <w:t xml:space="preserve">附件2： </w:t>
      </w:r>
    </w:p>
    <w:p w14:paraId="4381FB2C">
      <w:pPr>
        <w:topLinePunct/>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廉政责任合同</w:t>
      </w:r>
    </w:p>
    <w:p w14:paraId="617AF9BA">
      <w:pPr>
        <w:topLinePunct/>
        <w:ind w:firstLine="643"/>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 </w:t>
      </w:r>
    </w:p>
    <w:p w14:paraId="487B9B33">
      <w:pPr>
        <w:pStyle w:val="157"/>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第一条</w:t>
      </w:r>
      <w:r>
        <w:rPr>
          <w:rFonts w:hint="eastAsia" w:ascii="仿宋" w:hAnsi="仿宋" w:eastAsia="仿宋" w:cs="仿宋"/>
          <w:color w:val="auto"/>
          <w:szCs w:val="21"/>
          <w:highlight w:val="none"/>
        </w:rPr>
        <w:t>：根据国家建设部、监察部《关于在工程建设中深入开展反对腐败和反不正当竞争的通知》精神和党风廉政建设的有关规定，为进一步规范工程建设中的经济活动管理，经双方协商一致，制订以下廉政责任合同。</w:t>
      </w:r>
    </w:p>
    <w:p w14:paraId="2DA8996F">
      <w:pPr>
        <w:pStyle w:val="157"/>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第二条</w:t>
      </w:r>
      <w:r>
        <w:rPr>
          <w:rFonts w:hint="eastAsia" w:ascii="仿宋" w:hAnsi="仿宋" w:eastAsia="仿宋" w:cs="仿宋"/>
          <w:color w:val="auto"/>
          <w:szCs w:val="21"/>
          <w:highlight w:val="none"/>
        </w:rPr>
        <w:t>：廉政责任合同（以下简称本合同）由浙江工业大学与承包方</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（以下简称乙方）共同签订。</w:t>
      </w:r>
    </w:p>
    <w:p w14:paraId="0EC3B293">
      <w:pPr>
        <w:pStyle w:val="157"/>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第三条</w:t>
      </w:r>
      <w:r>
        <w:rPr>
          <w:rFonts w:hint="eastAsia" w:ascii="仿宋" w:hAnsi="仿宋" w:eastAsia="仿宋" w:cs="仿宋"/>
          <w:color w:val="auto"/>
          <w:szCs w:val="21"/>
          <w:highlight w:val="none"/>
        </w:rPr>
        <w:t>：纪检监察部门负责履行本合同的监督管理工作。</w:t>
      </w:r>
    </w:p>
    <w:p w14:paraId="797309E4">
      <w:pPr>
        <w:pStyle w:val="157"/>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第四条</w:t>
      </w:r>
      <w:r>
        <w:rPr>
          <w:rFonts w:hint="eastAsia" w:ascii="仿宋" w:hAnsi="仿宋" w:eastAsia="仿宋" w:cs="仿宋"/>
          <w:color w:val="auto"/>
          <w:szCs w:val="21"/>
          <w:highlight w:val="none"/>
        </w:rPr>
        <w:t>：甲乙双方的权利和义务</w:t>
      </w:r>
    </w:p>
    <w:p w14:paraId="7E510486">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一、甲乙双方应严格遵守党和国家法规、党风廉政建设及《反不正当竞争法》的各项规定。</w:t>
      </w:r>
    </w:p>
    <w:p w14:paraId="35522DD0">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二、甲乙双方严格执行所签订的经济合同各项条款，自觉按合同办事，严禁因违法违纪、违反工程建设管理的各项规章制度而损害国家和集体利益。</w:t>
      </w:r>
    </w:p>
    <w:p w14:paraId="2A021CCA">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三、甲、乙双方人员洽谈业务时，必须选择在办公场所或发包人确定的其它公共场所由二人以上共同进行，严禁私下商谈串通。</w:t>
      </w:r>
    </w:p>
    <w:p w14:paraId="1356525D">
      <w:pPr>
        <w:pStyle w:val="157"/>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 xml:space="preserve">第五条  </w:t>
      </w:r>
      <w:r>
        <w:rPr>
          <w:rFonts w:hint="eastAsia" w:ascii="仿宋" w:hAnsi="仿宋" w:eastAsia="仿宋" w:cs="仿宋"/>
          <w:color w:val="auto"/>
          <w:szCs w:val="21"/>
          <w:highlight w:val="none"/>
        </w:rPr>
        <w:t>甲方的权利和义务</w:t>
      </w:r>
    </w:p>
    <w:p w14:paraId="7CECFE5B">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一、甲方人员不得以任何形式向乙方索要回扣；对无法拒收的，应及时上交纪检部门。</w:t>
      </w:r>
    </w:p>
    <w:p w14:paraId="674E01BB">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二、甲方人员在业务交往中或项目结束后，不得接受乙方以任何形式给予的礼金、礼品和有价证券，不得在乙方报销应由个人支付的任何费用。</w:t>
      </w:r>
    </w:p>
    <w:p w14:paraId="5D6F5CB6">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三、甲方人员不得参加可能对公正执行公务有影响的宴请、旅游和娱乐活动。</w:t>
      </w:r>
    </w:p>
    <w:p w14:paraId="6EE68350">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四、甲方人员不得向乙方介绍家属或亲友从事与甲方工程有关的材料设备供应、工程分包等经济活动。</w:t>
      </w:r>
    </w:p>
    <w:p w14:paraId="7A395830">
      <w:pPr>
        <w:pStyle w:val="157"/>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第六条</w:t>
      </w:r>
      <w:r>
        <w:rPr>
          <w:rFonts w:hint="eastAsia" w:ascii="仿宋" w:hAnsi="仿宋" w:eastAsia="仿宋" w:cs="仿宋"/>
          <w:color w:val="auto"/>
          <w:szCs w:val="21"/>
          <w:highlight w:val="none"/>
        </w:rPr>
        <w:t>：乙方的权利和义务</w:t>
      </w:r>
    </w:p>
    <w:p w14:paraId="3AB0B3E4">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一、乙方人员不得以任何形式向甲方人员赠送礼金、礼品和有价证券。项目结束后，也不得进行上述赠送。</w:t>
      </w:r>
    </w:p>
    <w:p w14:paraId="5E6178C9">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二、乙方不准以任何名义为甲方人员报销应由甲方人员个人支付的费用。</w:t>
      </w:r>
    </w:p>
    <w:p w14:paraId="1B60FF24">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三、乙方人员不得以洽谈业务、签订经济合同为借口，邀请甲方人员参加宴会、旅游和娱乐活动等。</w:t>
      </w:r>
    </w:p>
    <w:p w14:paraId="44C226DF">
      <w:pPr>
        <w:pStyle w:val="157"/>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第七条</w:t>
      </w:r>
      <w:r>
        <w:rPr>
          <w:rFonts w:hint="eastAsia" w:ascii="仿宋" w:hAnsi="仿宋" w:eastAsia="仿宋" w:cs="仿宋"/>
          <w:color w:val="auto"/>
          <w:szCs w:val="21"/>
          <w:highlight w:val="none"/>
        </w:rPr>
        <w:t>：违约责任</w:t>
      </w:r>
    </w:p>
    <w:p w14:paraId="039EC4F2">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一、甲方人员若违反本合同，其主管部门将对违法、违纪、违规人员严肃查处。因此而给乙方造成的损失，甲方按有关规定予以赔偿。</w:t>
      </w:r>
    </w:p>
    <w:p w14:paraId="00FD2B8B">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二、甲方主管部门如发现乙方人员违反本合同规定，一经查实，有权终止其经济合同，由此而造成的损失由乙方负责赔偿；并将乙方列入不良行为名单登记入册，取消其在该工程任何经济项目的投标活动。同时，有义务向政府主管部门提供其不良记录情况。</w:t>
      </w:r>
    </w:p>
    <w:p w14:paraId="3291AA01">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三、乙方人员若违反本合同，其主管部门应对违法违纪人员严肃查处，因此而给甲方造成的损失，乙方按有关规定予以赔偿。</w:t>
      </w:r>
    </w:p>
    <w:p w14:paraId="42F3A81D">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四、如乙方发现甲方人员有违反本合同的行为，应及时向甲方纪检监察部门举报。甲方不得以任何借口报复乙方。</w:t>
      </w:r>
    </w:p>
    <w:p w14:paraId="2FB5C29C">
      <w:pPr>
        <w:pStyle w:val="157"/>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第八条</w:t>
      </w:r>
      <w:r>
        <w:rPr>
          <w:rFonts w:hint="eastAsia" w:ascii="仿宋" w:hAnsi="仿宋" w:eastAsia="仿宋" w:cs="仿宋"/>
          <w:color w:val="auto"/>
          <w:szCs w:val="21"/>
          <w:highlight w:val="none"/>
        </w:rPr>
        <w:t>：甲乙双方必须将“廉政责任合同”贯穿于所签订的经济合同实施的全过程，及时布置、认真检查、严格考核。</w:t>
      </w:r>
    </w:p>
    <w:p w14:paraId="098A25B6">
      <w:pPr>
        <w:pStyle w:val="157"/>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第九条</w:t>
      </w:r>
      <w:r>
        <w:rPr>
          <w:rFonts w:hint="eastAsia" w:ascii="仿宋" w:hAnsi="仿宋" w:eastAsia="仿宋" w:cs="仿宋"/>
          <w:color w:val="auto"/>
          <w:szCs w:val="21"/>
          <w:highlight w:val="none"/>
        </w:rPr>
        <w:t>：本合同在甲乙双方签订重大经济合同的同时签订。</w:t>
      </w:r>
    </w:p>
    <w:p w14:paraId="5761D02D">
      <w:pPr>
        <w:pStyle w:val="157"/>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第十条</w:t>
      </w:r>
      <w:r>
        <w:rPr>
          <w:rFonts w:hint="eastAsia" w:ascii="仿宋" w:hAnsi="仿宋" w:eastAsia="仿宋" w:cs="仿宋"/>
          <w:color w:val="auto"/>
          <w:szCs w:val="21"/>
          <w:highlight w:val="none"/>
        </w:rPr>
        <w:t>：本合同作为本次所签订的</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的附件，经合同双方共同签署后立即生效。</w:t>
      </w:r>
    </w:p>
    <w:p w14:paraId="52A43368">
      <w:pPr>
        <w:pStyle w:val="157"/>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第十一条：</w:t>
      </w:r>
      <w:r>
        <w:rPr>
          <w:rFonts w:hint="eastAsia" w:ascii="仿宋" w:hAnsi="仿宋" w:eastAsia="仿宋" w:cs="仿宋"/>
          <w:color w:val="auto"/>
          <w:szCs w:val="21"/>
          <w:highlight w:val="none"/>
        </w:rPr>
        <w:t>本合同一式三份，由甲乙双方及甲方纪检监察部门各执一份。</w:t>
      </w:r>
    </w:p>
    <w:p w14:paraId="279ABF67">
      <w:pPr>
        <w:topLinePunct/>
        <w:spacing w:line="360" w:lineRule="auto"/>
        <w:ind w:firstLine="64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030578F5">
      <w:pPr>
        <w:topLinePunct/>
        <w:spacing w:line="360" w:lineRule="auto"/>
        <w:ind w:firstLine="64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3533A60D">
      <w:pPr>
        <w:topLinePunct/>
        <w:spacing w:line="360" w:lineRule="auto"/>
        <w:ind w:firstLine="64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1A9C21AD">
      <w:pPr>
        <w:pStyle w:val="157"/>
        <w:spacing w:line="360" w:lineRule="auto"/>
        <w:ind w:firstLine="422"/>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甲方（盖章）                        乙方（盖章）</w:t>
      </w:r>
    </w:p>
    <w:p w14:paraId="661E234F">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5C1D0C31">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甲方法定代表人 ：                   乙方法定代表人：</w:t>
      </w:r>
    </w:p>
    <w:p w14:paraId="1EFD79C7">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或                                  或</w:t>
      </w:r>
    </w:p>
    <w:p w14:paraId="1615CF8A">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甲方委托代理人：                    乙方委托代理人：</w:t>
      </w:r>
    </w:p>
    <w:p w14:paraId="34216F75">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786F1F4E">
      <w:pPr>
        <w:pStyle w:val="157"/>
        <w:spacing w:line="360" w:lineRule="auto"/>
        <w:ind w:firstLine="1470" w:firstLineChars="700"/>
        <w:rPr>
          <w:rFonts w:ascii="仿宋" w:hAnsi="仿宋" w:eastAsia="仿宋" w:cs="仿宋"/>
          <w:color w:val="auto"/>
          <w:szCs w:val="21"/>
          <w:highlight w:val="none"/>
        </w:rPr>
      </w:pPr>
      <w:r>
        <w:rPr>
          <w:rFonts w:hint="eastAsia" w:ascii="仿宋" w:hAnsi="仿宋" w:eastAsia="仿宋" w:cs="仿宋"/>
          <w:color w:val="auto"/>
          <w:szCs w:val="21"/>
          <w:highlight w:val="none"/>
        </w:rPr>
        <w:t>年   月   日                        年   月   日</w:t>
      </w:r>
    </w:p>
    <w:p w14:paraId="07218E53">
      <w:pPr>
        <w:pStyle w:val="157"/>
        <w:spacing w:line="360" w:lineRule="auto"/>
        <w:ind w:firstLine="422"/>
        <w:rPr>
          <w:rFonts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 </w:t>
      </w:r>
    </w:p>
    <w:p w14:paraId="48425269">
      <w:pPr>
        <w:rPr>
          <w:rFonts w:ascii="仿宋" w:hAnsi="仿宋" w:eastAsia="仿宋" w:cs="仿宋"/>
          <w:color w:val="auto"/>
          <w:szCs w:val="21"/>
          <w:highlight w:val="none"/>
        </w:rPr>
      </w:pPr>
      <w:r>
        <w:rPr>
          <w:rFonts w:hint="eastAsia" w:ascii="仿宋" w:hAnsi="仿宋" w:eastAsia="仿宋" w:cs="仿宋"/>
          <w:b/>
          <w:bCs/>
          <w:color w:val="auto"/>
          <w:szCs w:val="21"/>
          <w:highlight w:val="none"/>
        </w:rPr>
        <w:t>签约地点：</w:t>
      </w:r>
    </w:p>
    <w:p w14:paraId="3D9ABCEC">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4887E16C">
      <w:pP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27F8B627">
      <w:pP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附件3： </w:t>
      </w:r>
    </w:p>
    <w:p w14:paraId="5472979F">
      <w:pPr>
        <w:jc w:val="cente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建筑施工安全责任书</w:t>
      </w:r>
    </w:p>
    <w:p w14:paraId="10ABCB72">
      <w:pPr>
        <w:rPr>
          <w:rFonts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xml:space="preserve">为了加强施工现场的安全施工管理，深入贯彻"安全第一，预防为主"安全生产方针，依据“谁施工、谁负责”的原则，落实安全生产责任，加强安全生产、文明施工及治安消防管理，切实有效的防止各类事故的发生，保证施工人员在校内施工过程中的人身安全和健康，确保施工顺利进行，根据《中华人民共和国安全生产法》、学校有关安全生产管理规定，结合本校实际情况，就相关项目施工订立本责任书： </w:t>
      </w:r>
    </w:p>
    <w:p w14:paraId="6B6938DD">
      <w:pPr>
        <w:numPr>
          <w:ilvl w:val="0"/>
          <w:numId w:val="9"/>
        </w:numPr>
        <w:spacing w:line="400" w:lineRule="exact"/>
        <w:ind w:firstLine="422" w:firstLineChars="200"/>
        <w:rPr>
          <w:rFonts w:ascii="仿宋" w:hAnsi="仿宋" w:eastAsia="仿宋" w:cs="仿宋"/>
          <w:b/>
          <w:bCs/>
          <w:color w:val="auto"/>
          <w:highlight w:val="none"/>
        </w:rPr>
      </w:pPr>
      <w:r>
        <w:rPr>
          <w:rFonts w:hint="eastAsia" w:ascii="仿宋" w:hAnsi="仿宋" w:eastAsia="仿宋" w:cs="仿宋"/>
          <w:b/>
          <w:bCs/>
          <w:color w:val="auto"/>
          <w:highlight w:val="none"/>
        </w:rPr>
        <w:t>施工项目</w:t>
      </w:r>
    </w:p>
    <w:p w14:paraId="03DABB60">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仿宋" w:hAnsi="仿宋" w:eastAsia="仿宋" w:cs="仿宋"/>
          <w:b/>
          <w:bCs/>
          <w:color w:val="auto"/>
          <w:highlight w:val="none"/>
        </w:rPr>
      </w:pPr>
      <w:r>
        <w:rPr>
          <w:rFonts w:hint="eastAsia" w:ascii="仿宋" w:hAnsi="仿宋" w:eastAsia="仿宋" w:cs="仿宋"/>
          <w:b/>
          <w:bCs/>
          <w:color w:val="auto"/>
          <w:highlight w:val="none"/>
        </w:rPr>
        <w:t>1、项目名称：____________________________________________________</w:t>
      </w:r>
    </w:p>
    <w:p w14:paraId="0398ADD7">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仿宋" w:hAnsi="仿宋" w:eastAsia="仿宋" w:cs="仿宋"/>
          <w:b/>
          <w:bCs/>
          <w:color w:val="auto"/>
          <w:highlight w:val="none"/>
        </w:rPr>
      </w:pPr>
      <w:r>
        <w:rPr>
          <w:rFonts w:hint="eastAsia" w:ascii="仿宋" w:hAnsi="仿宋" w:eastAsia="仿宋" w:cs="仿宋"/>
          <w:b/>
          <w:bCs/>
          <w:color w:val="auto"/>
          <w:highlight w:val="none"/>
        </w:rPr>
        <w:t>2、项目地点: _____________________________________________________</w:t>
      </w:r>
    </w:p>
    <w:p w14:paraId="10FD57A8">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仿宋" w:hAnsi="仿宋" w:eastAsia="仿宋" w:cs="仿宋"/>
          <w:b/>
          <w:bCs/>
          <w:color w:val="auto"/>
          <w:highlight w:val="none"/>
        </w:rPr>
      </w:pPr>
      <w:r>
        <w:rPr>
          <w:rFonts w:hint="eastAsia" w:ascii="仿宋" w:hAnsi="仿宋" w:eastAsia="仿宋" w:cs="仿宋"/>
          <w:b/>
          <w:bCs/>
          <w:color w:val="auto"/>
          <w:highlight w:val="none"/>
        </w:rPr>
        <w:t>3、项目时间: _____________________________________________________</w:t>
      </w:r>
    </w:p>
    <w:p w14:paraId="0BD17D04">
      <w:pPr>
        <w:numPr>
          <w:ilvl w:val="0"/>
          <w:numId w:val="9"/>
        </w:numPr>
        <w:spacing w:line="400" w:lineRule="exact"/>
        <w:ind w:firstLine="422" w:firstLineChars="200"/>
        <w:rPr>
          <w:rFonts w:ascii="仿宋" w:hAnsi="仿宋" w:eastAsia="仿宋" w:cs="仿宋"/>
          <w:b/>
          <w:bCs/>
          <w:color w:val="auto"/>
          <w:highlight w:val="none"/>
        </w:rPr>
      </w:pPr>
      <w:r>
        <w:rPr>
          <w:rFonts w:hint="eastAsia" w:ascii="仿宋" w:hAnsi="仿宋" w:eastAsia="仿宋" w:cs="仿宋"/>
          <w:b/>
          <w:bCs/>
          <w:color w:val="auto"/>
          <w:highlight w:val="none"/>
        </w:rPr>
        <w:t>施工单位责任管理目标及承诺</w:t>
      </w:r>
    </w:p>
    <w:p w14:paraId="1F2629FA">
      <w:pPr>
        <w:spacing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1.承诺在施工期间，严格按浙江工业大学的要求，依照国家及省市安全法规定、《建筑施工安全检查标准》，明确安全责任，做好施工安全技术交底，服从浙江工业大学相关部门的日常管理和检查。</w:t>
      </w:r>
    </w:p>
    <w:p w14:paraId="6B773AEB">
      <w:pPr>
        <w:spacing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2.承诺对本单位施工人员进行安全教育，有健全的安全管理制度，保证施工人员遵守相关规范，服从浙江工业大学现场管理人员的管理。</w:t>
      </w:r>
    </w:p>
    <w:p w14:paraId="37B5D0BF">
      <w:pPr>
        <w:spacing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3.承诺文明施工，保证现场不出现消防安全事故和工伤事故，设立现场安全负责人。浙江工业大学现场监管人员若发现有重大不安全因素时，随时有权要求施工方停工整改，施工方不得继续违章操作强行施工。如因施工发生任何意外或造成人员伤亡，施工方承诺承担完全负责，与浙江工业大学无关。需上报工程所在地安监局及有关部门的安全事故，一切手续由施工方负责处理，无需浙江工业大学办理。</w:t>
      </w:r>
    </w:p>
    <w:p w14:paraId="525F5B1A">
      <w:pPr>
        <w:spacing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4.承诺施工期间不影响浙江工业大学师生正常教学、工作、生活和学校卫生、环境安全，对本单位施工人员造成的一切不良影响负责。</w:t>
      </w:r>
    </w:p>
    <w:p w14:paraId="7E2A9E68">
      <w:pPr>
        <w:spacing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5.在责任期内的施工过程中，各级部门安全文明检查中合格率达到100%，杜绝不良影响。</w:t>
      </w:r>
    </w:p>
    <w:p w14:paraId="7AE28C55">
      <w:pPr>
        <w:spacing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6.在责任期内，杜绝发生重大事故，包括火灾事故、现场交通事故等。</w:t>
      </w:r>
    </w:p>
    <w:p w14:paraId="29C7457D">
      <w:pPr>
        <w:spacing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7.施工过程中有责任在施工单位区域内和作业点做好文明施工，减少施工噪音，施工污染、杜绝扬尘，控制污染源并及时处理，严禁建筑垃圾随意堆放。</w:t>
      </w:r>
    </w:p>
    <w:p w14:paraId="1564E2A0">
      <w:pPr>
        <w:spacing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8.以人为本，关心员工，努力做好各种疾病和职业病的防治工作，减少或消除各类疾病和职业病的发生。同时现场员工必须正确使用劳动保护用品，特种作业人员必须持证上岗。</w:t>
      </w:r>
    </w:p>
    <w:p w14:paraId="4D59BA7F">
      <w:pPr>
        <w:spacing w:line="400" w:lineRule="exact"/>
        <w:ind w:right="-607" w:rightChars="-289" w:firstLine="480"/>
        <w:rPr>
          <w:rFonts w:ascii="仿宋" w:hAnsi="仿宋" w:eastAsia="仿宋" w:cs="仿宋"/>
          <w:color w:val="auto"/>
          <w:highlight w:val="none"/>
        </w:rPr>
      </w:pPr>
      <w:r>
        <w:rPr>
          <w:rFonts w:hint="eastAsia" w:ascii="仿宋" w:hAnsi="仿宋" w:eastAsia="仿宋" w:cs="仿宋"/>
          <w:color w:val="auto"/>
          <w:highlight w:val="none"/>
        </w:rPr>
        <w:t>9.在责任期限内杜绝发生火灾事故，落实各级消防制度。</w:t>
      </w:r>
    </w:p>
    <w:p w14:paraId="27E82F04">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10.注意和加强内部治安宣传教育管理，杜绝重大治安事件和刑事案件的发生。</w:t>
      </w:r>
    </w:p>
    <w:p w14:paraId="39E66D17">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11.如涉及高空作业，施工单位则需另外签订《高空作业安全施工承诺书》</w:t>
      </w:r>
    </w:p>
    <w:p w14:paraId="1A537565">
      <w:pPr>
        <w:spacing w:line="400" w:lineRule="exact"/>
        <w:ind w:firstLine="422" w:firstLineChars="200"/>
        <w:rPr>
          <w:rFonts w:ascii="仿宋" w:hAnsi="仿宋" w:eastAsia="仿宋" w:cs="仿宋"/>
          <w:b/>
          <w:bCs/>
          <w:color w:val="auto"/>
          <w:highlight w:val="none"/>
        </w:rPr>
      </w:pPr>
      <w:r>
        <w:rPr>
          <w:rFonts w:hint="eastAsia" w:ascii="仿宋" w:hAnsi="仿宋" w:eastAsia="仿宋" w:cs="仿宋"/>
          <w:b/>
          <w:bCs/>
          <w:color w:val="auto"/>
          <w:highlight w:val="none"/>
        </w:rPr>
        <w:t>二、施工单位安全责任</w:t>
      </w:r>
    </w:p>
    <w:p w14:paraId="36A97525">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为了完成上述管理目标，施工单位必须采取有力措施，行使下列职责：</w:t>
      </w:r>
    </w:p>
    <w:p w14:paraId="7A1D5380">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1.施工时是安全生产的直接责任人，必须严格执行甲方的有关安全生产的规定、制度； </w:t>
      </w:r>
    </w:p>
    <w:p w14:paraId="3ADDD899">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进场施工前向我校相关管理部门提供相应资质证明材料，并负责为所有施工方安装施工人员办理医疗及工伤社会保险，并根据需要为从事高度危险工作的人员购买适当的人身意外伤害保险，在施工过程中如发生人身伤亡事故，由施工方承担全部责任；</w:t>
      </w:r>
    </w:p>
    <w:p w14:paraId="20B4B9AE">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3.应对现场安装施工的行为完全负责，施工方安装施工人员不得违章作业，冒险作业，不能疲劳作业，并按规定做好保护工作； </w:t>
      </w:r>
    </w:p>
    <w:p w14:paraId="0E27C934">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4.在施工现场人员必须有配备齐全的安全防护用品，不能满足安全施工需要时，人员不得进入施工现场。 </w:t>
      </w:r>
    </w:p>
    <w:p w14:paraId="05F45A21">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5.高空悬空作业必须系好安全带； </w:t>
      </w:r>
    </w:p>
    <w:p w14:paraId="295755CE">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6.施工前不得喝酒，在禁止吸烟的区域不得吸烟； </w:t>
      </w:r>
    </w:p>
    <w:p w14:paraId="2631B49E">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7.现场内不得赤脚，不得穿拖鞋、高跟鞋，高空作业不得穿皮鞋和带钉易滑鞋； </w:t>
      </w:r>
    </w:p>
    <w:p w14:paraId="7B217FDC">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8.施工现场应设安全防护设施，采用护栏、挡板及警示禁行标志；如工程过程中存在洞、坑、沟等危险部位，除采用防护设施外，还应采用木板、毛竹片或钢板等对危险部位进行有效覆盖，防止跌落；未经甲方管理人员批准，不得随便拆除已架设的安全防护设施及安全装置和安全标牌； </w:t>
      </w:r>
    </w:p>
    <w:p w14:paraId="2EE87CD3">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9.不得私自乱接乱拉电线，保护工地上临时用电电缆及配电箱的完好，不得用材料、工具等压砸电缆电线，确保用电安全；</w:t>
      </w:r>
    </w:p>
    <w:p w14:paraId="5F4F06FE">
      <w:pPr>
        <w:spacing w:line="400" w:lineRule="exact"/>
        <w:ind w:right="-607" w:rightChars="-289"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10.不得在施工现场烧火，不得违反用电、明火作业、易燃易爆物品等安全管理制度 </w:t>
      </w:r>
    </w:p>
    <w:p w14:paraId="4A2E0FFA">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11.不得从高处向下抛扔任何物资、材料，堆放时不得超过支撑限重的70%； </w:t>
      </w:r>
    </w:p>
    <w:p w14:paraId="6753C7EA">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12.不得在高处临边一米范围内堆放活动材料；</w:t>
      </w:r>
    </w:p>
    <w:p w14:paraId="16695031">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13.不得在操作面上及高处临边竖立放置工具和线材； </w:t>
      </w:r>
    </w:p>
    <w:p w14:paraId="376A75D5">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14.使用电动工具，必须按操作规程和说明书要求正确佩戴防护用品；</w:t>
      </w:r>
    </w:p>
    <w:p w14:paraId="469CFF33">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15.施工过程中必须严格遵守安全操作规程；</w:t>
      </w:r>
    </w:p>
    <w:p w14:paraId="33795C6F">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16.不应疲劳作业，不得在操作面上及楼层上睡觉。 </w:t>
      </w:r>
    </w:p>
    <w:p w14:paraId="65151613">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17.不得在道路广场等公共场合搅拌水泥、混凝土、制作各类预制件，如场地狭小，确需在公共场合施工，必须及时清理，恢复地面原貌。</w:t>
      </w:r>
    </w:p>
    <w:p w14:paraId="2E979D54">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18.现场所有的材料应统一摆放整齐，且不得放置在道路、广场等公共场合，保证校园环境整洁。</w:t>
      </w:r>
    </w:p>
    <w:p w14:paraId="39E1CC43">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19.工程施工过程中所产生的建筑垃圾应采取袋装，不得放置在道路、广场等公共场合，同时建筑垃圾应及时清理，做到人走场清，建筑垃圾最长堆放时间不得超过48小时。</w:t>
      </w:r>
    </w:p>
    <w:p w14:paraId="54297E8F">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20.施工单位有责任保护学校财产物品，施工过程中不得拆卸校园内公共设施，如确因工程实际需要，须对其移除或拆卸，应报建设单位同意或与建设单位协商处理。工程结束后，应及时复原公共设施。对擅自损坏、拆卸、移动所造成的后果要承担主要责任。</w:t>
      </w:r>
    </w:p>
    <w:p w14:paraId="7033CCBD">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如工程项目地点在绿化范围内，施工单位施工前三天应告知建设单位绿化相关人员，上报在施工范围内可能损害到的绿化植物数量、品种等，在施工前一天应在建设单位绿化人员指导下完成施工范围内绿化的移除工作；施工单位完成施工项目之后，在3天时间内完成绿化的复原工作，相关的种植技术问题及时与建设单位绿化工作人员商榷已保证绿植的成活率，不能擅自复原，需要另行采购绿植所产生的费用由施工单位承担。</w:t>
      </w:r>
    </w:p>
    <w:p w14:paraId="0D0FB5B9">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22.对人身安全健康存在威胁工程（如电焊、切割、油漆工程等），必须在我校相关管理部门指定地点施工作业，不得在人员密集的办公、学习、生活区、公共场地施工；如确因工程实际需要，必须在上述场合施工，应报管理部门同意，且避开人员办公时间施工作业。</w:t>
      </w:r>
    </w:p>
    <w:p w14:paraId="26D4D78D">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23.把好现场安全防护用品、设备、设施安全使用关，严禁不合格产品进入施工现场。</w:t>
      </w:r>
    </w:p>
    <w:p w14:paraId="13EB3661">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24.做好本单位施工区域和作业点的安全生产、文明施工工作，并服从建设单位统一布置安排。</w:t>
      </w:r>
    </w:p>
    <w:p w14:paraId="12DAA74D">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25.施工方人员进入校内楼栋应服从学校相关人员（宿管员及楼宇管理员等）管理，不得随意翻阅室内任何物品，如室内发生失窃事件，应积极配合相关人员检查。</w:t>
      </w:r>
    </w:p>
    <w:p w14:paraId="55E9C32C">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26.施工方人员如需进入楼层作业，应事先提供当天现场作业人员相关证件（身份证扫描件、劳动合同扫描件等），报甲方备案，并及时办理所需相关证件。</w:t>
      </w:r>
    </w:p>
    <w:p w14:paraId="2262D5D1">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27.施工方人员进出校内楼栋应积极配合学校相关人员检查：如包裹口袋、工具箱（盒）、器械等。</w:t>
      </w:r>
    </w:p>
    <w:p w14:paraId="42740621">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28.施工方人员如需进入校内楼栋施工，应提前三个工作日向建设方报备，不得擅自进入楼内施工。</w:t>
      </w:r>
    </w:p>
    <w:p w14:paraId="01D21796">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29.安全问题包括不仅限于上述情况，如有未尽详细事宜，参照国家法律法规的有关条款执行。</w:t>
      </w:r>
    </w:p>
    <w:p w14:paraId="662BF814">
      <w:pPr>
        <w:spacing w:line="400" w:lineRule="exact"/>
        <w:rPr>
          <w:rFonts w:ascii="仿宋" w:hAnsi="仿宋" w:eastAsia="仿宋" w:cs="仿宋"/>
          <w:b/>
          <w:bCs/>
          <w:color w:val="auto"/>
          <w:highlight w:val="none"/>
        </w:rPr>
      </w:pPr>
      <w:r>
        <w:rPr>
          <w:rFonts w:hint="eastAsia" w:ascii="仿宋" w:hAnsi="仿宋" w:eastAsia="仿宋" w:cs="仿宋"/>
          <w:color w:val="auto"/>
          <w:highlight w:val="none"/>
        </w:rPr>
        <w:t xml:space="preserve">     </w:t>
      </w:r>
      <w:r>
        <w:rPr>
          <w:rFonts w:hint="eastAsia" w:ascii="仿宋" w:hAnsi="仿宋" w:eastAsia="仿宋" w:cs="仿宋"/>
          <w:b/>
          <w:bCs/>
          <w:color w:val="auto"/>
          <w:highlight w:val="none"/>
        </w:rPr>
        <w:t>三、处罚条款</w:t>
      </w:r>
    </w:p>
    <w:p w14:paraId="6E2D9FEF">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1.发生重伤和死亡事故，应由甲方主管部门牵头，双方参加，组成事故调查组，查清事故原因，分清事故责任，提出对事故的处理意见，并按有关规定及时向有上级报告； </w:t>
      </w:r>
    </w:p>
    <w:p w14:paraId="7314A765">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2.由于施工方没有尽到自身安全责任，造成重大安全事故，主要和相关责任者已触及刑律的，报检察院或劳动监督部门处理；  </w:t>
      </w:r>
    </w:p>
    <w:p w14:paraId="5280144B">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3.施工方安装施工人员违章违纪作业造成安全事故的，施工方负全部责任，并由施工方事故责任者承担造成的经济损失和刑事责任； </w:t>
      </w:r>
    </w:p>
    <w:p w14:paraId="16936D8A">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4.施工现场发生安全事故，导致重大伤亡的，相关赔偿责任全部由施工方承担。 </w:t>
      </w:r>
    </w:p>
    <w:p w14:paraId="2BD8B7BD">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5.如因施工方或施工方安装施工人员过错给学校造成损失，由施工方负责向校方赔偿，校方有权直接从施工方工程款中将相关损失赔偿款进行抵扣。</w:t>
      </w:r>
    </w:p>
    <w:p w14:paraId="6C07A881">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6.如施工方未经建设方允许，擅自进入楼内施工，需承担因此造成的经济损失和刑事责任，且建设方保留追究责任的权利。</w:t>
      </w:r>
    </w:p>
    <w:p w14:paraId="4EEEA7C8">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7.在施工中产生严重安全问题，将被列入黑名单，禁止进入我校进行任何施工。</w:t>
      </w:r>
    </w:p>
    <w:p w14:paraId="2A241594">
      <w:pPr>
        <w:spacing w:line="400" w:lineRule="exact"/>
        <w:ind w:firstLine="422" w:firstLineChars="200"/>
        <w:rPr>
          <w:rFonts w:ascii="仿宋" w:hAnsi="仿宋" w:eastAsia="仿宋" w:cs="仿宋"/>
          <w:color w:val="auto"/>
          <w:highlight w:val="none"/>
        </w:rPr>
      </w:pPr>
      <w:r>
        <w:rPr>
          <w:rFonts w:hint="eastAsia" w:ascii="仿宋" w:hAnsi="仿宋" w:eastAsia="仿宋" w:cs="仿宋"/>
          <w:b/>
          <w:bCs/>
          <w:color w:val="auto"/>
          <w:highlight w:val="none"/>
        </w:rPr>
        <w:t>三、本承诺书是浙江工业大学对外来施工安全监管的有效证明文件，是合同的附件，具有法律效力。</w:t>
      </w:r>
    </w:p>
    <w:p w14:paraId="6E293BC6">
      <w:pPr>
        <w:spacing w:line="400" w:lineRule="exact"/>
        <w:ind w:firstLine="422" w:firstLineChars="200"/>
        <w:rPr>
          <w:rFonts w:ascii="仿宋" w:hAnsi="仿宋" w:eastAsia="仿宋" w:cs="仿宋"/>
          <w:b/>
          <w:bCs/>
          <w:color w:val="auto"/>
          <w:highlight w:val="none"/>
        </w:rPr>
      </w:pPr>
      <w:r>
        <w:rPr>
          <w:rFonts w:hint="eastAsia" w:ascii="仿宋" w:hAnsi="仿宋" w:eastAsia="仿宋" w:cs="仿宋"/>
          <w:b/>
          <w:bCs/>
          <w:color w:val="auto"/>
          <w:highlight w:val="none"/>
        </w:rPr>
        <w:t>四、本协议自签订之日起生效，一式两份，双方各执一份。</w:t>
      </w:r>
    </w:p>
    <w:p w14:paraId="525F0DCD">
      <w:pPr>
        <w:spacing w:line="40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w:t>
      </w:r>
    </w:p>
    <w:p w14:paraId="3BBD8F0F">
      <w:pPr>
        <w:spacing w:line="40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w:t>
      </w:r>
    </w:p>
    <w:p w14:paraId="7442E62A">
      <w:pPr>
        <w:spacing w:line="40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w:t>
      </w:r>
    </w:p>
    <w:p w14:paraId="266E5E40">
      <w:pPr>
        <w:ind w:firstLine="4410" w:firstLineChars="2100"/>
        <w:rPr>
          <w:rFonts w:ascii="仿宋" w:hAnsi="仿宋" w:eastAsia="仿宋" w:cs="仿宋"/>
          <w:color w:val="auto"/>
          <w:highlight w:val="none"/>
        </w:rPr>
      </w:pPr>
      <w:r>
        <w:rPr>
          <w:rFonts w:hint="eastAsia" w:ascii="仿宋" w:hAnsi="仿宋" w:eastAsia="仿宋" w:cs="仿宋"/>
          <w:color w:val="auto"/>
          <w:highlight w:val="none"/>
        </w:rPr>
        <w:t>施工单位（盖章）：</w:t>
      </w:r>
    </w:p>
    <w:p w14:paraId="19FA4540">
      <w:pPr>
        <w:rPr>
          <w:rFonts w:ascii="仿宋" w:hAnsi="仿宋" w:eastAsia="仿宋" w:cs="仿宋"/>
          <w:color w:val="auto"/>
          <w:highlight w:val="none"/>
        </w:rPr>
      </w:pPr>
      <w:r>
        <w:rPr>
          <w:rFonts w:hint="eastAsia" w:ascii="仿宋" w:hAnsi="仿宋" w:eastAsia="仿宋" w:cs="仿宋"/>
          <w:color w:val="auto"/>
          <w:highlight w:val="none"/>
        </w:rPr>
        <w:t xml:space="preserve"> </w:t>
      </w:r>
    </w:p>
    <w:p w14:paraId="286123C1">
      <w:pPr>
        <w:ind w:firstLine="4410" w:firstLineChars="2100"/>
        <w:rPr>
          <w:rFonts w:ascii="仿宋" w:hAnsi="仿宋" w:eastAsia="仿宋" w:cs="仿宋"/>
          <w:color w:val="auto"/>
          <w:highlight w:val="none"/>
        </w:rPr>
      </w:pPr>
      <w:r>
        <w:rPr>
          <w:rFonts w:hint="eastAsia" w:ascii="仿宋" w:hAnsi="仿宋" w:eastAsia="仿宋" w:cs="仿宋"/>
          <w:color w:val="auto"/>
          <w:highlight w:val="none"/>
        </w:rPr>
        <w:t>负责人（签字或盖章）：</w:t>
      </w:r>
    </w:p>
    <w:p w14:paraId="5E3BAA81">
      <w:pPr>
        <w:pStyle w:val="30"/>
        <w:snapToGrid w:val="0"/>
        <w:spacing w:before="162" w:after="162" w:line="360" w:lineRule="auto"/>
        <w:jc w:val="center"/>
        <w:rPr>
          <w:rFonts w:ascii="仿宋" w:hAnsi="仿宋" w:eastAsia="仿宋" w:cs="仿宋"/>
          <w:b/>
          <w:bCs/>
          <w:color w:val="auto"/>
          <w:sz w:val="21"/>
          <w:szCs w:val="21"/>
          <w:highlight w:val="none"/>
        </w:rPr>
        <w:sectPr>
          <w:pgSz w:w="11906" w:h="16838"/>
          <w:pgMar w:top="1276" w:right="1417" w:bottom="1276" w:left="1417" w:header="851" w:footer="992" w:gutter="0"/>
          <w:cols w:space="720" w:num="1"/>
          <w:docGrid w:type="lines" w:linePitch="325" w:charSpace="0"/>
        </w:sectPr>
      </w:pPr>
    </w:p>
    <w:p w14:paraId="7409DC29">
      <w:pPr>
        <w:autoSpaceDN w:val="0"/>
        <w:snapToGrid w:val="0"/>
        <w:spacing w:line="360" w:lineRule="auto"/>
        <w:ind w:left="238"/>
        <w:jc w:val="center"/>
        <w:outlineLvl w:val="0"/>
        <w:rPr>
          <w:rFonts w:ascii="仿宋" w:hAnsi="仿宋" w:eastAsia="仿宋" w:cs="宋体"/>
          <w:b/>
          <w:color w:val="auto"/>
          <w:sz w:val="32"/>
          <w:szCs w:val="32"/>
          <w:highlight w:val="none"/>
        </w:rPr>
      </w:pPr>
      <w:bookmarkStart w:id="98" w:name="_Toc351203642"/>
      <w:bookmarkEnd w:id="98"/>
      <w:r>
        <w:rPr>
          <w:rFonts w:hint="eastAsia" w:ascii="仿宋" w:hAnsi="仿宋" w:eastAsia="仿宋" w:cs="宋体"/>
          <w:b/>
          <w:color w:val="auto"/>
          <w:sz w:val="32"/>
          <w:szCs w:val="32"/>
          <w:highlight w:val="none"/>
        </w:rPr>
        <w:t>第六章 响应文件格式</w:t>
      </w:r>
      <w:bookmarkEnd w:id="97"/>
    </w:p>
    <w:p w14:paraId="6070283B">
      <w:pPr>
        <w:autoSpaceDN w:val="0"/>
        <w:snapToGrid w:val="0"/>
        <w:spacing w:line="360" w:lineRule="auto"/>
        <w:rPr>
          <w:rFonts w:ascii="仿宋" w:hAnsi="仿宋" w:eastAsia="仿宋" w:cs="宋体"/>
          <w:color w:val="auto"/>
          <w:sz w:val="24"/>
          <w:szCs w:val="24"/>
          <w:highlight w:val="none"/>
        </w:rPr>
      </w:pPr>
    </w:p>
    <w:p w14:paraId="2C377BF5">
      <w:pPr>
        <w:keepNext/>
        <w:keepLines/>
        <w:autoSpaceDN w:val="0"/>
        <w:spacing w:before="260" w:after="260" w:line="415" w:lineRule="auto"/>
        <w:outlineLvl w:val="1"/>
        <w:rPr>
          <w:rFonts w:ascii="仿宋" w:hAnsi="仿宋" w:eastAsia="仿宋" w:cs="Times New Roman"/>
          <w:b/>
          <w:bCs/>
          <w:color w:val="auto"/>
          <w:sz w:val="32"/>
          <w:szCs w:val="32"/>
          <w:highlight w:val="none"/>
        </w:rPr>
      </w:pPr>
      <w:bookmarkStart w:id="99" w:name="_Toc1935"/>
      <w:r>
        <w:rPr>
          <w:rFonts w:hint="eastAsia" w:ascii="仿宋" w:hAnsi="仿宋" w:eastAsia="仿宋" w:cs="Times New Roman"/>
          <w:b/>
          <w:bCs/>
          <w:color w:val="auto"/>
          <w:sz w:val="32"/>
          <w:szCs w:val="32"/>
          <w:highlight w:val="none"/>
        </w:rPr>
        <w:t>一、资格文件部分格式</w:t>
      </w:r>
      <w:bookmarkEnd w:id="99"/>
    </w:p>
    <w:p w14:paraId="3EE2A96B">
      <w:pPr>
        <w:autoSpaceDE w:val="0"/>
        <w:autoSpaceDN w:val="0"/>
        <w:adjustRightInd w:val="0"/>
        <w:spacing w:line="480" w:lineRule="auto"/>
        <w:ind w:left="1050" w:leftChars="500"/>
        <w:jc w:val="left"/>
        <w:rPr>
          <w:rFonts w:ascii="仿宋" w:hAnsi="仿宋" w:eastAsia="仿宋" w:cs="Times New Roman"/>
          <w:b/>
          <w:bCs/>
          <w:color w:val="auto"/>
          <w:sz w:val="32"/>
          <w:szCs w:val="32"/>
          <w:highlight w:val="none"/>
        </w:rPr>
      </w:pPr>
    </w:p>
    <w:p w14:paraId="6571ACE0">
      <w:pPr>
        <w:tabs>
          <w:tab w:val="left" w:pos="2580"/>
          <w:tab w:val="left" w:pos="5940"/>
        </w:tabs>
        <w:autoSpaceDE w:val="0"/>
        <w:autoSpaceDN w:val="0"/>
        <w:adjustRightInd w:val="0"/>
        <w:spacing w:line="360" w:lineRule="auto"/>
        <w:ind w:right="-20"/>
        <w:rPr>
          <w:rFonts w:ascii="仿宋" w:hAnsi="仿宋" w:eastAsia="仿宋" w:cs="Times New Roman"/>
          <w:color w:val="auto"/>
          <w:kern w:val="0"/>
          <w:sz w:val="28"/>
          <w:szCs w:val="24"/>
          <w:highlight w:val="none"/>
        </w:rPr>
      </w:pPr>
    </w:p>
    <w:p w14:paraId="0B452A46">
      <w:pPr>
        <w:autoSpaceDE w:val="0"/>
        <w:autoSpaceDN w:val="0"/>
        <w:adjustRightInd w:val="0"/>
        <w:spacing w:line="480" w:lineRule="auto"/>
        <w:ind w:left="1050" w:leftChars="500"/>
        <w:jc w:val="left"/>
        <w:rPr>
          <w:rFonts w:ascii="仿宋" w:hAnsi="仿宋" w:eastAsia="仿宋" w:cs="华文中宋"/>
          <w:color w:val="auto"/>
          <w:kern w:val="0"/>
          <w:sz w:val="30"/>
          <w:szCs w:val="30"/>
          <w:highlight w:val="none"/>
          <w:u w:val="single"/>
        </w:rPr>
      </w:pPr>
      <w:r>
        <w:rPr>
          <w:rFonts w:hint="eastAsia" w:ascii="仿宋" w:hAnsi="仿宋" w:eastAsia="仿宋" w:cs="华文中宋"/>
          <w:color w:val="auto"/>
          <w:sz w:val="30"/>
          <w:szCs w:val="30"/>
          <w:highlight w:val="none"/>
        </w:rPr>
        <w:t>项目名称：</w:t>
      </w:r>
    </w:p>
    <w:p w14:paraId="7F0FA43C">
      <w:pPr>
        <w:widowControl/>
        <w:autoSpaceDN w:val="0"/>
        <w:ind w:left="2550"/>
        <w:rPr>
          <w:rFonts w:ascii="仿宋" w:hAnsi="仿宋" w:eastAsia="仿宋" w:cs="Times New Roman"/>
          <w:color w:val="auto"/>
          <w:kern w:val="0"/>
          <w:highlight w:val="none"/>
        </w:rPr>
      </w:pPr>
    </w:p>
    <w:p w14:paraId="03FDA6E1">
      <w:pPr>
        <w:tabs>
          <w:tab w:val="left" w:pos="2580"/>
          <w:tab w:val="left" w:pos="5940"/>
        </w:tabs>
        <w:autoSpaceDE w:val="0"/>
        <w:autoSpaceDN w:val="0"/>
        <w:adjustRightInd w:val="0"/>
        <w:snapToGrid w:val="0"/>
        <w:spacing w:line="360" w:lineRule="auto"/>
        <w:ind w:right="-20" w:firstLine="1050" w:firstLineChars="350"/>
        <w:rPr>
          <w:rFonts w:ascii="仿宋" w:hAnsi="仿宋" w:eastAsia="仿宋" w:cs="华文中宋"/>
          <w:color w:val="auto"/>
          <w:kern w:val="0"/>
          <w:sz w:val="30"/>
          <w:szCs w:val="30"/>
          <w:highlight w:val="none"/>
          <w:u w:val="single"/>
        </w:rPr>
      </w:pPr>
      <w:r>
        <w:rPr>
          <w:rFonts w:hint="eastAsia" w:ascii="仿宋" w:hAnsi="仿宋" w:eastAsia="仿宋" w:cs="华文中宋"/>
          <w:color w:val="auto"/>
          <w:kern w:val="0"/>
          <w:sz w:val="30"/>
          <w:szCs w:val="30"/>
          <w:highlight w:val="none"/>
        </w:rPr>
        <w:t>项目编号：</w:t>
      </w:r>
    </w:p>
    <w:p w14:paraId="4A17A422">
      <w:pPr>
        <w:autoSpaceDE w:val="0"/>
        <w:autoSpaceDN w:val="0"/>
        <w:adjustRightInd w:val="0"/>
        <w:jc w:val="left"/>
        <w:rPr>
          <w:rFonts w:ascii="仿宋" w:hAnsi="仿宋" w:eastAsia="仿宋" w:cs="..ì."/>
          <w:color w:val="auto"/>
          <w:kern w:val="0"/>
          <w:sz w:val="24"/>
          <w:szCs w:val="24"/>
          <w:highlight w:val="none"/>
        </w:rPr>
      </w:pPr>
    </w:p>
    <w:p w14:paraId="0D022605">
      <w:pPr>
        <w:widowControl/>
        <w:autoSpaceDN w:val="0"/>
        <w:ind w:left="2550"/>
        <w:rPr>
          <w:rFonts w:ascii="仿宋" w:hAnsi="仿宋" w:eastAsia="仿宋" w:cs="Times New Roman"/>
          <w:color w:val="auto"/>
          <w:kern w:val="0"/>
          <w:highlight w:val="none"/>
        </w:rPr>
      </w:pPr>
    </w:p>
    <w:p w14:paraId="491A194A">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auto"/>
          <w:kern w:val="0"/>
          <w:sz w:val="72"/>
          <w:szCs w:val="24"/>
          <w:highlight w:val="none"/>
        </w:rPr>
      </w:pPr>
      <w:r>
        <w:rPr>
          <w:rFonts w:hint="eastAsia" w:ascii="仿宋" w:hAnsi="仿宋" w:eastAsia="仿宋" w:cs="Times New Roman"/>
          <w:color w:val="auto"/>
          <w:kern w:val="0"/>
          <w:sz w:val="72"/>
          <w:szCs w:val="24"/>
          <w:highlight w:val="none"/>
        </w:rPr>
        <w:t>响应文件</w:t>
      </w:r>
    </w:p>
    <w:p w14:paraId="482CEC4A">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auto"/>
          <w:kern w:val="0"/>
          <w:sz w:val="72"/>
          <w:szCs w:val="24"/>
          <w:highlight w:val="none"/>
        </w:rPr>
      </w:pPr>
      <w:r>
        <w:rPr>
          <w:rFonts w:hint="eastAsia" w:ascii="仿宋" w:hAnsi="仿宋" w:eastAsia="仿宋" w:cs="Times New Roman"/>
          <w:color w:val="auto"/>
          <w:kern w:val="0"/>
          <w:sz w:val="72"/>
          <w:szCs w:val="24"/>
          <w:highlight w:val="none"/>
        </w:rPr>
        <w:t>（资格文件）</w:t>
      </w:r>
    </w:p>
    <w:p w14:paraId="6B1C959D">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14:paraId="5824974A">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14:paraId="57A7C2F5">
      <w:pPr>
        <w:autoSpaceDE w:val="0"/>
        <w:autoSpaceDN w:val="0"/>
        <w:adjustRightInd w:val="0"/>
        <w:snapToGrid w:val="0"/>
        <w:spacing w:line="480" w:lineRule="auto"/>
        <w:ind w:firstLine="840" w:firstLineChars="300"/>
        <w:jc w:val="left"/>
        <w:rPr>
          <w:rFonts w:ascii="仿宋" w:hAnsi="仿宋" w:eastAsia="仿宋" w:cs="..ì."/>
          <w:color w:val="auto"/>
          <w:kern w:val="0"/>
          <w:sz w:val="28"/>
          <w:szCs w:val="24"/>
          <w:highlight w:val="none"/>
        </w:rPr>
      </w:pPr>
      <w:r>
        <w:rPr>
          <w:rFonts w:hint="eastAsia" w:ascii="仿宋" w:hAnsi="仿宋" w:eastAsia="仿宋" w:cs="..ì."/>
          <w:color w:val="auto"/>
          <w:sz w:val="28"/>
          <w:szCs w:val="24"/>
          <w:highlight w:val="none"/>
        </w:rPr>
        <w:t>磋商响应供应商</w:t>
      </w:r>
      <w:r>
        <w:rPr>
          <w:rFonts w:hint="eastAsia" w:ascii="仿宋" w:hAnsi="仿宋" w:eastAsia="仿宋" w:cs="..ì."/>
          <w:b/>
          <w:bCs/>
          <w:color w:val="auto"/>
          <w:sz w:val="28"/>
          <w:szCs w:val="24"/>
          <w:highlight w:val="none"/>
        </w:rPr>
        <w:t>（盖章）</w:t>
      </w:r>
      <w:r>
        <w:rPr>
          <w:rFonts w:hint="eastAsia" w:ascii="仿宋" w:hAnsi="仿宋" w:eastAsia="仿宋" w:cs="..ì."/>
          <w:color w:val="auto"/>
          <w:sz w:val="28"/>
          <w:szCs w:val="24"/>
          <w:highlight w:val="none"/>
        </w:rPr>
        <w:t>：</w:t>
      </w:r>
    </w:p>
    <w:p w14:paraId="138DA178">
      <w:pPr>
        <w:autoSpaceDE w:val="0"/>
        <w:autoSpaceDN w:val="0"/>
        <w:adjustRightInd w:val="0"/>
        <w:snapToGrid w:val="0"/>
        <w:spacing w:line="480" w:lineRule="auto"/>
        <w:ind w:firstLine="840" w:firstLineChars="300"/>
        <w:jc w:val="left"/>
        <w:rPr>
          <w:rFonts w:ascii="仿宋" w:hAnsi="仿宋" w:eastAsia="仿宋" w:cs="..ì."/>
          <w:color w:val="auto"/>
          <w:sz w:val="28"/>
          <w:szCs w:val="24"/>
          <w:highlight w:val="none"/>
        </w:rPr>
      </w:pPr>
      <w:r>
        <w:rPr>
          <w:rFonts w:hint="eastAsia" w:ascii="仿宋" w:hAnsi="仿宋" w:eastAsia="仿宋" w:cs="..ì."/>
          <w:color w:val="auto"/>
          <w:sz w:val="28"/>
          <w:szCs w:val="24"/>
          <w:highlight w:val="none"/>
        </w:rPr>
        <w:t>磋商响应供应商地址：</w:t>
      </w:r>
    </w:p>
    <w:p w14:paraId="56408C13">
      <w:pPr>
        <w:autoSpaceDE w:val="0"/>
        <w:autoSpaceDN w:val="0"/>
        <w:adjustRightInd w:val="0"/>
        <w:snapToGrid w:val="0"/>
        <w:spacing w:line="480" w:lineRule="auto"/>
        <w:ind w:firstLine="840" w:firstLineChars="300"/>
        <w:jc w:val="left"/>
        <w:rPr>
          <w:rFonts w:ascii="仿宋" w:hAnsi="仿宋" w:eastAsia="仿宋" w:cs="..ì."/>
          <w:color w:val="auto"/>
          <w:sz w:val="24"/>
          <w:szCs w:val="24"/>
          <w:highlight w:val="none"/>
        </w:rPr>
      </w:pPr>
      <w:r>
        <w:rPr>
          <w:rFonts w:hint="eastAsia" w:ascii="仿宋" w:hAnsi="仿宋" w:eastAsia="仿宋" w:cs="..ì."/>
          <w:color w:val="auto"/>
          <w:sz w:val="28"/>
          <w:szCs w:val="24"/>
          <w:highlight w:val="none"/>
        </w:rPr>
        <w:t>磋商响应供应商联系电话：</w:t>
      </w:r>
    </w:p>
    <w:p w14:paraId="298ED84A">
      <w:pPr>
        <w:tabs>
          <w:tab w:val="left" w:pos="6080"/>
          <w:tab w:val="left" w:pos="6640"/>
        </w:tabs>
        <w:autoSpaceDE w:val="0"/>
        <w:autoSpaceDN w:val="0"/>
        <w:adjustRightInd w:val="0"/>
        <w:snapToGrid w:val="0"/>
        <w:spacing w:line="480" w:lineRule="auto"/>
        <w:ind w:left="774" w:right="403"/>
        <w:jc w:val="left"/>
        <w:rPr>
          <w:rFonts w:ascii="仿宋" w:hAnsi="仿宋" w:eastAsia="仿宋" w:cs="Times New Roman"/>
          <w:color w:val="auto"/>
          <w:kern w:val="0"/>
          <w:sz w:val="28"/>
          <w:szCs w:val="24"/>
          <w:highlight w:val="none"/>
        </w:rPr>
      </w:pPr>
    </w:p>
    <w:p w14:paraId="358742F1">
      <w:pPr>
        <w:tabs>
          <w:tab w:val="left" w:pos="3280"/>
          <w:tab w:val="left" w:pos="4680"/>
          <w:tab w:val="left" w:pos="6080"/>
        </w:tabs>
        <w:autoSpaceDE w:val="0"/>
        <w:autoSpaceDN w:val="0"/>
        <w:adjustRightInd w:val="0"/>
        <w:snapToGrid w:val="0"/>
        <w:spacing w:line="360" w:lineRule="auto"/>
        <w:ind w:right="-20"/>
        <w:jc w:val="center"/>
        <w:rPr>
          <w:rFonts w:ascii="仿宋" w:hAnsi="仿宋" w:eastAsia="仿宋" w:cs="Times New Roman"/>
          <w:color w:val="auto"/>
          <w:szCs w:val="24"/>
          <w:highlight w:val="none"/>
        </w:rPr>
      </w:pPr>
      <w:r>
        <w:rPr>
          <w:rFonts w:hint="eastAsia" w:ascii="仿宋" w:hAnsi="仿宋" w:eastAsia="仿宋" w:cs="Times New Roman"/>
          <w:color w:val="auto"/>
          <w:kern w:val="0"/>
          <w:sz w:val="28"/>
          <w:szCs w:val="24"/>
          <w:highlight w:val="none"/>
        </w:rPr>
        <w:t>年  月  日</w:t>
      </w:r>
    </w:p>
    <w:p w14:paraId="7B81BCA7">
      <w:pPr>
        <w:autoSpaceDN w:val="0"/>
        <w:spacing w:line="360" w:lineRule="auto"/>
        <w:ind w:firstLine="420" w:firstLineChars="200"/>
        <w:rPr>
          <w:rFonts w:ascii="仿宋" w:hAnsi="仿宋" w:eastAsia="仿宋" w:cs="Times New Roman"/>
          <w:color w:val="auto"/>
          <w:szCs w:val="24"/>
          <w:highlight w:val="none"/>
        </w:rPr>
      </w:pPr>
    </w:p>
    <w:p w14:paraId="4D690870">
      <w:pPr>
        <w:keepNext/>
        <w:keepLines/>
        <w:autoSpaceDN w:val="0"/>
        <w:spacing w:line="376" w:lineRule="auto"/>
        <w:jc w:val="left"/>
        <w:outlineLvl w:val="4"/>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 xml:space="preserve"> </w:t>
      </w:r>
      <w:r>
        <w:rPr>
          <w:rFonts w:hint="eastAsia" w:ascii="华文中宋" w:hAnsi="华文中宋" w:eastAsia="宋体" w:cs="Times New Roman"/>
          <w:b/>
          <w:bCs/>
          <w:color w:val="auto"/>
          <w:kern w:val="0"/>
          <w:sz w:val="28"/>
          <w:szCs w:val="28"/>
          <w:highlight w:val="none"/>
        </w:rPr>
        <w:t>▲1-1 符合“申请人的资格要求”第1条规定的证明文件</w:t>
      </w:r>
    </w:p>
    <w:p w14:paraId="1642F5D0">
      <w:pPr>
        <w:keepNext/>
        <w:keepLines/>
        <w:autoSpaceDN w:val="0"/>
        <w:spacing w:before="280" w:after="290" w:line="374" w:lineRule="auto"/>
        <w:ind w:firstLine="480"/>
        <w:jc w:val="left"/>
        <w:outlineLvl w:val="3"/>
        <w:rPr>
          <w:rFonts w:ascii="仿宋" w:hAnsi="仿宋" w:eastAsia="仿宋" w:cs="华文中宋"/>
          <w:b/>
          <w:bCs/>
          <w:color w:val="auto"/>
          <w:kern w:val="0"/>
          <w:sz w:val="28"/>
          <w:szCs w:val="28"/>
          <w:highlight w:val="none"/>
        </w:rPr>
      </w:pPr>
      <w:bookmarkStart w:id="100" w:name="_Hlk96934705"/>
      <w:r>
        <w:rPr>
          <w:rFonts w:hint="eastAsia" w:ascii="仿宋" w:hAnsi="仿宋" w:eastAsia="仿宋" w:cs="Times New Roman"/>
          <w:color w:val="auto"/>
          <w:kern w:val="0"/>
          <w:sz w:val="28"/>
          <w:szCs w:val="28"/>
          <w:highlight w:val="none"/>
        </w:rPr>
        <w:t>▲</w:t>
      </w:r>
      <w:bookmarkEnd w:id="100"/>
      <w:r>
        <w:rPr>
          <w:rFonts w:hint="eastAsia" w:ascii="仿宋" w:hAnsi="仿宋" w:eastAsia="仿宋" w:cs="华文中宋"/>
          <w:b/>
          <w:bCs/>
          <w:color w:val="auto"/>
          <w:kern w:val="0"/>
          <w:sz w:val="28"/>
          <w:szCs w:val="28"/>
          <w:highlight w:val="none"/>
        </w:rPr>
        <w:t>（1）资格承诺函</w:t>
      </w:r>
    </w:p>
    <w:p w14:paraId="3FE1472B">
      <w:pPr>
        <w:autoSpaceDN w:val="0"/>
        <w:spacing w:line="360" w:lineRule="auto"/>
        <w:jc w:val="center"/>
        <w:rPr>
          <w:rFonts w:ascii="仿宋" w:hAnsi="仿宋" w:eastAsia="仿宋" w:cs="Times New Roman"/>
          <w:b/>
          <w:color w:val="auto"/>
          <w:sz w:val="36"/>
          <w:szCs w:val="36"/>
          <w:highlight w:val="none"/>
        </w:rPr>
      </w:pPr>
      <w:r>
        <w:rPr>
          <w:rFonts w:hint="eastAsia" w:ascii="仿宋" w:hAnsi="仿宋" w:eastAsia="仿宋" w:cs="Times New Roman"/>
          <w:b/>
          <w:color w:val="auto"/>
          <w:sz w:val="36"/>
          <w:szCs w:val="36"/>
          <w:highlight w:val="none"/>
        </w:rPr>
        <w:t>资格承诺函（联合体各方均须提供）</w:t>
      </w:r>
    </w:p>
    <w:p w14:paraId="50F1F9FC">
      <w:pPr>
        <w:autoSpaceDN w:val="0"/>
        <w:spacing w:line="360" w:lineRule="auto"/>
        <w:rPr>
          <w:rFonts w:ascii="仿宋" w:hAnsi="仿宋" w:eastAsia="仿宋" w:cs="Arial"/>
          <w:color w:val="auto"/>
          <w:kern w:val="0"/>
          <w:sz w:val="24"/>
          <w:szCs w:val="24"/>
          <w:highlight w:val="none"/>
        </w:rPr>
      </w:pPr>
      <w:r>
        <w:rPr>
          <w:rFonts w:hint="eastAsia" w:ascii="仿宋" w:hAnsi="仿宋" w:eastAsia="仿宋" w:cs="Arial"/>
          <w:b/>
          <w:color w:val="auto"/>
          <w:kern w:val="0"/>
          <w:sz w:val="24"/>
          <w:szCs w:val="24"/>
          <w:highlight w:val="none"/>
          <w:u w:val="single"/>
        </w:rPr>
        <w:t>浙江工业大学、</w:t>
      </w:r>
      <w:r>
        <w:rPr>
          <w:rFonts w:hint="eastAsia" w:ascii="仿宋" w:hAnsi="仿宋" w:eastAsia="仿宋" w:cs="Arial"/>
          <w:b/>
          <w:color w:val="auto"/>
          <w:kern w:val="0"/>
          <w:sz w:val="24"/>
          <w:szCs w:val="24"/>
          <w:highlight w:val="none"/>
          <w:u w:val="single"/>
          <w:lang w:eastAsia="zh-CN"/>
        </w:rPr>
        <w:t>华诚工程咨询集团有限公司</w:t>
      </w:r>
      <w:r>
        <w:rPr>
          <w:rFonts w:hint="eastAsia" w:ascii="仿宋" w:hAnsi="仿宋" w:eastAsia="仿宋" w:cs="Arial"/>
          <w:b/>
          <w:color w:val="auto"/>
          <w:kern w:val="0"/>
          <w:sz w:val="24"/>
          <w:szCs w:val="24"/>
          <w:highlight w:val="none"/>
        </w:rPr>
        <w:t>：</w:t>
      </w:r>
    </w:p>
    <w:p w14:paraId="24E57561">
      <w:pPr>
        <w:autoSpaceDN w:val="0"/>
        <w:spacing w:line="360" w:lineRule="auto"/>
        <w:ind w:firstLine="482" w:firstLineChars="200"/>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我方参加</w:t>
      </w:r>
      <w:r>
        <w:rPr>
          <w:rFonts w:hint="eastAsia" w:ascii="仿宋" w:hAnsi="仿宋" w:eastAsia="仿宋" w:cs="Arial"/>
          <w:b/>
          <w:color w:val="auto"/>
          <w:kern w:val="0"/>
          <w:sz w:val="24"/>
          <w:szCs w:val="24"/>
          <w:highlight w:val="none"/>
          <w:u w:val="single"/>
          <w:lang w:eastAsia="zh-CN"/>
        </w:rPr>
        <w:t>浙江工业大学屏峰校区学生宿舍建设工程项目施工用电工程</w:t>
      </w:r>
      <w:r>
        <w:rPr>
          <w:rFonts w:hint="eastAsia" w:ascii="仿宋" w:hAnsi="仿宋" w:eastAsia="仿宋" w:cs="Arial"/>
          <w:b/>
          <w:color w:val="auto"/>
          <w:kern w:val="0"/>
          <w:sz w:val="24"/>
          <w:szCs w:val="24"/>
          <w:highlight w:val="none"/>
          <w:u w:val="single"/>
        </w:rPr>
        <w:t>（项目编号：</w:t>
      </w:r>
      <w:r>
        <w:rPr>
          <w:rFonts w:hint="eastAsia" w:ascii="仿宋" w:hAnsi="仿宋" w:eastAsia="仿宋" w:cs="Arial"/>
          <w:b/>
          <w:color w:val="auto"/>
          <w:kern w:val="0"/>
          <w:sz w:val="24"/>
          <w:szCs w:val="24"/>
          <w:highlight w:val="none"/>
          <w:u w:val="single"/>
          <w:lang w:eastAsia="zh-CN"/>
        </w:rPr>
        <w:t>HCZX-24982</w:t>
      </w:r>
      <w:r>
        <w:rPr>
          <w:rFonts w:hint="eastAsia" w:ascii="仿宋" w:hAnsi="仿宋" w:eastAsia="仿宋" w:cs="Arial"/>
          <w:b/>
          <w:color w:val="auto"/>
          <w:kern w:val="0"/>
          <w:sz w:val="24"/>
          <w:szCs w:val="24"/>
          <w:highlight w:val="none"/>
          <w:u w:val="single"/>
        </w:rPr>
        <w:t>）</w:t>
      </w:r>
      <w:r>
        <w:rPr>
          <w:rFonts w:hint="eastAsia" w:ascii="仿宋" w:hAnsi="仿宋" w:eastAsia="仿宋" w:cs="Arial"/>
          <w:b/>
          <w:color w:val="auto"/>
          <w:kern w:val="0"/>
          <w:sz w:val="24"/>
          <w:szCs w:val="24"/>
          <w:highlight w:val="none"/>
        </w:rPr>
        <w:t>的政府采购活动，依据采购文件相关规定，郑重承诺如下：</w:t>
      </w:r>
    </w:p>
    <w:p w14:paraId="5D7C2116">
      <w:pPr>
        <w:autoSpaceDN w:val="0"/>
        <w:spacing w:line="360" w:lineRule="auto"/>
        <w:ind w:firstLine="480" w:firstLineChars="200"/>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（1）我方具有独立承担民事责任的能力；</w:t>
      </w:r>
    </w:p>
    <w:p w14:paraId="25B0D44A">
      <w:pPr>
        <w:autoSpaceDN w:val="0"/>
        <w:spacing w:line="360" w:lineRule="auto"/>
        <w:ind w:firstLine="480" w:firstLineChars="200"/>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（2）我方具有良好的商业信誉和健全的财务会计制度；</w:t>
      </w:r>
    </w:p>
    <w:p w14:paraId="0E531F07">
      <w:pPr>
        <w:autoSpaceDN w:val="0"/>
        <w:spacing w:line="360" w:lineRule="auto"/>
        <w:ind w:firstLine="480" w:firstLineChars="200"/>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（3）我方具有履行本项目合同所必需的设备和专业技术能力；</w:t>
      </w:r>
    </w:p>
    <w:p w14:paraId="179E61C7">
      <w:pPr>
        <w:autoSpaceDN w:val="0"/>
        <w:spacing w:line="360" w:lineRule="auto"/>
        <w:ind w:firstLine="480" w:firstLineChars="200"/>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（4）我方有依法缴纳税收和社会保障资金的良好记录；</w:t>
      </w:r>
    </w:p>
    <w:p w14:paraId="5A807424">
      <w:pPr>
        <w:autoSpaceDN w:val="0"/>
        <w:spacing w:line="360" w:lineRule="auto"/>
        <w:ind w:firstLine="480" w:firstLineChars="200"/>
        <w:rPr>
          <w:rFonts w:ascii="仿宋" w:hAnsi="仿宋" w:eastAsia="仿宋" w:cs="Arial"/>
          <w:color w:val="auto"/>
          <w:sz w:val="24"/>
          <w:szCs w:val="24"/>
          <w:highlight w:val="none"/>
        </w:rPr>
      </w:pPr>
      <w:r>
        <w:rPr>
          <w:rFonts w:hint="eastAsia" w:ascii="仿宋" w:hAnsi="仿宋" w:eastAsia="仿宋" w:cs="Arial"/>
          <w:color w:val="auto"/>
          <w:kern w:val="0"/>
          <w:sz w:val="24"/>
          <w:szCs w:val="24"/>
          <w:highlight w:val="none"/>
        </w:rPr>
        <w:t>（5）我方在参加本次政府采购活动前三年内，经营活动中没有重大违法记录（具体包括：没有因违法经营受到刑事处罚，没有被责令停产停业、被吊销许可证或者执照、被处以较大数额罚款等行政处罚，没有因被列为失信被执行人、重大税收违法失信主体、政府采购严重违法失信行为记录名单及其他不符合《中华人民共和国政府采购法》第二十二条规定条件而被限制参加政府采购，没有因违法经营被禁止参加政府采购活动的期限未满情形）</w:t>
      </w:r>
      <w:r>
        <w:rPr>
          <w:rFonts w:hint="eastAsia" w:ascii="仿宋" w:hAnsi="仿宋" w:eastAsia="仿宋" w:cs="Arial"/>
          <w:color w:val="auto"/>
          <w:sz w:val="24"/>
          <w:szCs w:val="24"/>
          <w:highlight w:val="none"/>
        </w:rPr>
        <w:t>；</w:t>
      </w:r>
    </w:p>
    <w:p w14:paraId="6D4B42DA">
      <w:pPr>
        <w:autoSpaceDN w:val="0"/>
        <w:spacing w:line="360" w:lineRule="auto"/>
        <w:ind w:firstLine="480" w:firstLineChars="200"/>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（6）我方符合法律、行政法规规定的其他条件；</w:t>
      </w:r>
    </w:p>
    <w:p w14:paraId="5368C426">
      <w:pPr>
        <w:autoSpaceDN w:val="0"/>
        <w:spacing w:line="360" w:lineRule="auto"/>
        <w:ind w:firstLine="480" w:firstLineChars="200"/>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（7）</w:t>
      </w:r>
      <w:r>
        <w:rPr>
          <w:rFonts w:hint="eastAsia" w:ascii="仿宋" w:hAnsi="仿宋" w:eastAsia="仿宋" w:cs="Arial"/>
          <w:color w:val="auto"/>
          <w:kern w:val="0"/>
          <w:sz w:val="24"/>
          <w:szCs w:val="24"/>
          <w:highlight w:val="none"/>
        </w:rPr>
        <w:t>我方在投标文件递交前，未被“信用中国”（www.creditchina.gov.cn）、“中国政府采购网”（www.ccgp.gov.cn）列入失信被执行人名单、重大税收违法失信主体、政府采购严重违法失信行为记录名单（我方的信用信息记录以采购人或采购代理机构统一查询的结果为准）。</w:t>
      </w:r>
    </w:p>
    <w:p w14:paraId="74A741EB">
      <w:pPr>
        <w:autoSpaceDN w:val="0"/>
        <w:spacing w:line="360" w:lineRule="auto"/>
        <w:ind w:firstLine="482" w:firstLineChars="200"/>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以上承诺如有虚假或隐瞒，采购人可取消我方任何资格（投标/中标/签订合同），我方对此无任何异议，并愿意承担一切后果和责任。</w:t>
      </w:r>
    </w:p>
    <w:p w14:paraId="4D724D94">
      <w:pPr>
        <w:autoSpaceDN w:val="0"/>
        <w:spacing w:line="360" w:lineRule="auto"/>
        <w:ind w:firstLine="480" w:firstLineChars="200"/>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特此承诺</w:t>
      </w:r>
    </w:p>
    <w:p w14:paraId="58394FA9">
      <w:pPr>
        <w:autoSpaceDN w:val="0"/>
        <w:spacing w:line="360" w:lineRule="auto"/>
        <w:ind w:firstLine="480" w:firstLineChars="200"/>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投标供应商名称（盖章）：__________________________________</w:t>
      </w:r>
    </w:p>
    <w:p w14:paraId="09DD0963">
      <w:pPr>
        <w:autoSpaceDN w:val="0"/>
        <w:spacing w:line="360" w:lineRule="auto"/>
        <w:ind w:firstLine="480" w:firstLineChars="200"/>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日期：________年____月____日</w:t>
      </w:r>
    </w:p>
    <w:p w14:paraId="63D31F6D">
      <w:pPr>
        <w:autoSpaceDN w:val="0"/>
        <w:adjustRightInd w:val="0"/>
        <w:snapToGrid w:val="0"/>
        <w:spacing w:line="480" w:lineRule="auto"/>
        <w:rPr>
          <w:rFonts w:ascii="仿宋" w:hAnsi="仿宋" w:eastAsia="仿宋" w:cs="Times New Roman"/>
          <w:b/>
          <w:bCs/>
          <w:color w:val="auto"/>
          <w:sz w:val="24"/>
          <w:szCs w:val="24"/>
          <w:highlight w:val="none"/>
        </w:rPr>
      </w:pPr>
    </w:p>
    <w:p w14:paraId="1564DD13">
      <w:pPr>
        <w:autoSpaceDN w:val="0"/>
        <w:adjustRightInd w:val="0"/>
        <w:snapToGrid w:val="0"/>
        <w:spacing w:line="480" w:lineRule="auto"/>
        <w:rPr>
          <w:rFonts w:ascii="仿宋" w:hAnsi="仿宋" w:eastAsia="仿宋" w:cs="Times New Roman"/>
          <w:b/>
          <w:bCs/>
          <w:color w:val="auto"/>
          <w:sz w:val="24"/>
          <w:szCs w:val="24"/>
          <w:highlight w:val="none"/>
        </w:rPr>
      </w:pPr>
      <w:r>
        <w:rPr>
          <w:rFonts w:hint="eastAsia" w:ascii="仿宋" w:hAnsi="仿宋" w:eastAsia="仿宋" w:cs="Times New Roman"/>
          <w:b/>
          <w:color w:val="auto"/>
          <w:sz w:val="28"/>
          <w:szCs w:val="28"/>
          <w:highlight w:val="none"/>
        </w:rPr>
        <w:t>（2）营业执照（或其他同类证明文件）</w:t>
      </w:r>
    </w:p>
    <w:p w14:paraId="53C97447">
      <w:pPr>
        <w:autoSpaceDN w:val="0"/>
        <w:adjustRightInd w:val="0"/>
        <w:snapToGrid w:val="0"/>
        <w:spacing w:line="480" w:lineRule="auto"/>
        <w:jc w:val="center"/>
        <w:rPr>
          <w:rFonts w:ascii="仿宋" w:hAnsi="仿宋" w:eastAsia="仿宋" w:cs="Times New Roman"/>
          <w:b/>
          <w:color w:val="auto"/>
          <w:sz w:val="36"/>
          <w:szCs w:val="36"/>
          <w:highlight w:val="none"/>
        </w:rPr>
      </w:pPr>
      <w:r>
        <w:rPr>
          <w:rFonts w:hint="eastAsia" w:ascii="仿宋" w:hAnsi="仿宋" w:eastAsia="仿宋" w:cs="Times New Roman"/>
          <w:b/>
          <w:color w:val="auto"/>
          <w:sz w:val="36"/>
          <w:szCs w:val="36"/>
          <w:highlight w:val="none"/>
        </w:rPr>
        <w:t>营业执照等证明文件</w:t>
      </w:r>
    </w:p>
    <w:tbl>
      <w:tblPr>
        <w:tblStyle w:val="61"/>
        <w:tblW w:w="9150"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50"/>
      </w:tblGrid>
      <w:tr w14:paraId="200B1D15">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565" w:hRule="atLeast"/>
        </w:trPr>
        <w:tc>
          <w:tcPr>
            <w:tcW w:w="9146" w:type="dxa"/>
            <w:tcBorders>
              <w:top w:val="dotDash" w:color="BFBFBF" w:sz="4" w:space="0"/>
              <w:left w:val="dotDash" w:color="BFBFBF" w:sz="4" w:space="0"/>
              <w:bottom w:val="dotDash" w:color="BFBFBF" w:sz="4" w:space="0"/>
              <w:right w:val="dotDash" w:color="BFBFBF" w:sz="4" w:space="0"/>
            </w:tcBorders>
            <w:noWrap/>
            <w:vAlign w:val="center"/>
          </w:tcPr>
          <w:p w14:paraId="5AC31490">
            <w:pPr>
              <w:autoSpaceDN w:val="0"/>
              <w:spacing w:line="360" w:lineRule="auto"/>
              <w:jc w:val="left"/>
              <w:rPr>
                <w:rFonts w:ascii="仿宋" w:hAnsi="仿宋" w:eastAsia="仿宋" w:cs="Times New Roman"/>
                <w:b/>
                <w:color w:val="auto"/>
                <w:sz w:val="28"/>
                <w:szCs w:val="24"/>
                <w:highlight w:val="none"/>
              </w:rPr>
            </w:pPr>
            <w:r>
              <w:rPr>
                <w:rFonts w:hint="eastAsia" w:ascii="仿宋" w:hAnsi="仿宋" w:eastAsia="仿宋" w:cs="Times New Roman"/>
                <w:b/>
                <w:color w:val="auto"/>
                <w:sz w:val="28"/>
                <w:szCs w:val="24"/>
                <w:highlight w:val="none"/>
              </w:rPr>
              <w:t>证明材料：</w:t>
            </w:r>
            <w:r>
              <w:rPr>
                <w:rFonts w:hint="eastAsia" w:ascii="仿宋" w:hAnsi="仿宋" w:eastAsia="仿宋" w:cs="Times New Roman"/>
                <w:b/>
                <w:color w:val="auto"/>
                <w:sz w:val="28"/>
                <w:szCs w:val="24"/>
                <w:highlight w:val="none"/>
                <w:u w:val="single"/>
              </w:rPr>
              <w:t>营业执照（或事业单位法人证书或执业许可证或自然人有效身份证明）</w:t>
            </w:r>
            <w:r>
              <w:rPr>
                <w:rFonts w:hint="eastAsia" w:ascii="仿宋" w:hAnsi="仿宋" w:eastAsia="仿宋" w:cs="Times New Roman"/>
                <w:color w:val="auto"/>
                <w:sz w:val="28"/>
                <w:szCs w:val="24"/>
                <w:highlight w:val="none"/>
              </w:rPr>
              <w:t>（提供扫描件加盖磋商响应供应商公章）</w:t>
            </w:r>
            <w:r>
              <w:rPr>
                <w:rFonts w:hint="eastAsia" w:ascii="仿宋" w:hAnsi="仿宋" w:eastAsia="仿宋" w:cs="Times New Roman"/>
                <w:color w:val="auto"/>
                <w:sz w:val="24"/>
                <w:szCs w:val="24"/>
                <w:highlight w:val="none"/>
              </w:rPr>
              <w:t>。</w:t>
            </w:r>
          </w:p>
          <w:p w14:paraId="045DFF4C">
            <w:pPr>
              <w:autoSpaceDN w:val="0"/>
              <w:spacing w:line="360" w:lineRule="auto"/>
              <w:jc w:val="left"/>
              <w:rPr>
                <w:rFonts w:ascii="仿宋" w:hAnsi="仿宋" w:eastAsia="仿宋" w:cs="Times New Roman"/>
                <w:i/>
                <w:color w:val="auto"/>
                <w:sz w:val="24"/>
                <w:szCs w:val="24"/>
                <w:highlight w:val="none"/>
              </w:rPr>
            </w:pPr>
          </w:p>
          <w:p w14:paraId="6F5A5D65">
            <w:pPr>
              <w:autoSpaceDN w:val="0"/>
              <w:spacing w:line="360" w:lineRule="auto"/>
              <w:jc w:val="left"/>
              <w:rPr>
                <w:rFonts w:ascii="仿宋" w:hAnsi="仿宋" w:eastAsia="仿宋" w:cs="Times New Roman"/>
                <w:b/>
                <w:i/>
                <w:color w:val="auto"/>
                <w:sz w:val="28"/>
                <w:szCs w:val="24"/>
                <w:highlight w:val="none"/>
              </w:rPr>
            </w:pPr>
            <w:r>
              <w:rPr>
                <w:rFonts w:hint="eastAsia" w:ascii="仿宋" w:hAnsi="仿宋" w:eastAsia="仿宋" w:cs="Times New Roman"/>
                <w:b/>
                <w:i/>
                <w:color w:val="auto"/>
                <w:sz w:val="28"/>
                <w:szCs w:val="24"/>
                <w:highlight w:val="none"/>
              </w:rPr>
              <w:t>提示和说明：</w:t>
            </w:r>
          </w:p>
          <w:p w14:paraId="03C7608A">
            <w:pPr>
              <w:autoSpaceDN w:val="0"/>
              <w:spacing w:line="360" w:lineRule="auto"/>
              <w:ind w:firstLine="369" w:firstLineChars="132"/>
              <w:jc w:val="left"/>
              <w:rPr>
                <w:rFonts w:ascii="仿宋" w:hAnsi="仿宋" w:eastAsia="仿宋" w:cs="Times New Roman"/>
                <w:color w:val="auto"/>
                <w:sz w:val="28"/>
                <w:szCs w:val="24"/>
                <w:highlight w:val="none"/>
              </w:rPr>
            </w:pPr>
            <w:r>
              <w:rPr>
                <w:rFonts w:hint="eastAsia" w:ascii="仿宋" w:hAnsi="仿宋" w:eastAsia="仿宋" w:cs="Times New Roman"/>
                <w:color w:val="auto"/>
                <w:sz w:val="28"/>
                <w:szCs w:val="24"/>
                <w:highlight w:val="none"/>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14:paraId="4B07BD44">
            <w:pPr>
              <w:autoSpaceDN w:val="0"/>
              <w:spacing w:line="360" w:lineRule="auto"/>
              <w:ind w:firstLine="422" w:firstLineChars="151"/>
              <w:jc w:val="left"/>
              <w:rPr>
                <w:rFonts w:ascii="仿宋" w:hAnsi="仿宋" w:eastAsia="仿宋" w:cs="Times New Roman"/>
                <w:color w:val="auto"/>
                <w:sz w:val="28"/>
                <w:szCs w:val="24"/>
                <w:highlight w:val="none"/>
              </w:rPr>
            </w:pPr>
            <w:r>
              <w:rPr>
                <w:rFonts w:hint="eastAsia" w:ascii="仿宋" w:hAnsi="仿宋" w:eastAsia="仿宋" w:cs="Times New Roman"/>
                <w:color w:val="auto"/>
                <w:sz w:val="28"/>
                <w:szCs w:val="24"/>
                <w:highlight w:val="none"/>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扫描件加盖投标供应商公章），以证明其具备实际承担责任的能力和法定的缔结合同能力。</w:t>
            </w:r>
          </w:p>
          <w:p w14:paraId="051FC631">
            <w:pPr>
              <w:keepNext/>
              <w:keepLines/>
              <w:autoSpaceDN w:val="0"/>
              <w:spacing w:before="260" w:after="260" w:line="415" w:lineRule="auto"/>
              <w:ind w:firstLine="281"/>
              <w:outlineLvl w:val="2"/>
              <w:rPr>
                <w:rFonts w:ascii="仿宋" w:hAnsi="仿宋" w:eastAsia="仿宋" w:cs="Times New Roman"/>
                <w:b/>
                <w:bCs/>
                <w:i/>
                <w:color w:val="auto"/>
                <w:kern w:val="0"/>
                <w:sz w:val="32"/>
                <w:szCs w:val="32"/>
                <w:highlight w:val="none"/>
              </w:rPr>
            </w:pPr>
            <w:r>
              <w:rPr>
                <w:rFonts w:hint="eastAsia" w:ascii="仿宋" w:hAnsi="仿宋" w:eastAsia="仿宋" w:cs="Arial"/>
                <w:b/>
                <w:bCs/>
                <w:color w:val="auto"/>
                <w:kern w:val="0"/>
                <w:sz w:val="32"/>
                <w:szCs w:val="24"/>
                <w:highlight w:val="none"/>
              </w:rPr>
              <w:t>c.</w:t>
            </w:r>
            <w:r>
              <w:rPr>
                <w:rFonts w:hint="eastAsia" w:ascii="仿宋" w:hAnsi="仿宋" w:eastAsia="仿宋" w:cs="Arial"/>
                <w:b/>
                <w:bCs/>
                <w:color w:val="auto"/>
                <w:kern w:val="0"/>
                <w:sz w:val="32"/>
                <w:szCs w:val="24"/>
                <w:highlight w:val="none"/>
                <w:u w:val="single"/>
              </w:rPr>
              <w:t>供应商为联合体的，联合体各方均须提供</w:t>
            </w:r>
            <w:r>
              <w:rPr>
                <w:rFonts w:hint="eastAsia" w:ascii="仿宋" w:hAnsi="仿宋" w:eastAsia="仿宋" w:cs="Arial"/>
                <w:b/>
                <w:bCs/>
                <w:color w:val="auto"/>
                <w:kern w:val="0"/>
                <w:sz w:val="32"/>
                <w:szCs w:val="24"/>
                <w:highlight w:val="none"/>
              </w:rPr>
              <w:t>。</w:t>
            </w:r>
          </w:p>
        </w:tc>
      </w:tr>
    </w:tbl>
    <w:p w14:paraId="391119B3">
      <w:pPr>
        <w:autoSpaceDN w:val="0"/>
        <w:adjustRightInd w:val="0"/>
        <w:snapToGrid w:val="0"/>
        <w:spacing w:line="480" w:lineRule="auto"/>
        <w:rPr>
          <w:rFonts w:ascii="Times New Roman" w:hAnsi="Times New Roman" w:eastAsia="宋体" w:cs="Times New Roman"/>
          <w:color w:val="auto"/>
          <w:szCs w:val="24"/>
          <w:highlight w:val="none"/>
        </w:rPr>
      </w:pPr>
    </w:p>
    <w:p w14:paraId="00AF90D7">
      <w:pPr>
        <w:autoSpaceDN w:val="0"/>
        <w:adjustRightInd w:val="0"/>
        <w:snapToGrid w:val="0"/>
        <w:spacing w:line="480" w:lineRule="auto"/>
        <w:rPr>
          <w:rFonts w:ascii="Times New Roman" w:hAnsi="Times New Roman" w:eastAsia="宋体" w:cs="Times New Roman"/>
          <w:color w:val="auto"/>
          <w:szCs w:val="24"/>
          <w:highlight w:val="none"/>
        </w:rPr>
      </w:pPr>
    </w:p>
    <w:p w14:paraId="21EF6B49">
      <w:pPr>
        <w:widowControl/>
        <w:autoSpaceDE w:val="0"/>
        <w:autoSpaceDN w:val="0"/>
        <w:spacing w:before="120" w:beforeLines="50" w:after="120" w:afterLines="50" w:line="300" w:lineRule="auto"/>
        <w:ind w:firstLine="281" w:firstLineChars="100"/>
        <w:outlineLvl w:val="2"/>
        <w:rPr>
          <w:rFonts w:ascii="仿宋" w:hAnsi="仿宋" w:eastAsia="仿宋" w:cs="Times New Roman"/>
          <w:b/>
          <w:bCs/>
          <w:color w:val="auto"/>
          <w:kern w:val="0"/>
          <w:sz w:val="28"/>
          <w:szCs w:val="28"/>
          <w:highlight w:val="none"/>
        </w:rPr>
      </w:pPr>
    </w:p>
    <w:p w14:paraId="19FD1159">
      <w:pPr>
        <w:widowControl/>
        <w:autoSpaceDE w:val="0"/>
        <w:autoSpaceDN w:val="0"/>
        <w:spacing w:before="120" w:beforeLines="50" w:after="120" w:afterLines="50" w:line="300" w:lineRule="auto"/>
        <w:ind w:firstLine="281" w:firstLineChars="100"/>
        <w:outlineLvl w:val="2"/>
        <w:rPr>
          <w:rFonts w:ascii="华文中宋" w:hAnsi="华文中宋" w:eastAsia="宋体" w:cs="Times New Roman"/>
          <w:bCs/>
          <w:color w:val="auto"/>
          <w:kern w:val="0"/>
          <w:sz w:val="28"/>
          <w:szCs w:val="28"/>
          <w:highlight w:val="none"/>
        </w:rPr>
      </w:pPr>
      <w:r>
        <w:rPr>
          <w:rFonts w:hint="eastAsia" w:ascii="仿宋" w:hAnsi="仿宋" w:eastAsia="仿宋" w:cs="Times New Roman"/>
          <w:b/>
          <w:bCs/>
          <w:color w:val="auto"/>
          <w:kern w:val="0"/>
          <w:sz w:val="28"/>
          <w:szCs w:val="28"/>
          <w:highlight w:val="none"/>
        </w:rPr>
        <w:t>▲1-2</w:t>
      </w:r>
      <w:r>
        <w:rPr>
          <w:rFonts w:hint="eastAsia" w:ascii="华文中宋" w:hAnsi="华文中宋" w:eastAsia="宋体" w:cs="Times New Roman"/>
          <w:bCs/>
          <w:color w:val="auto"/>
          <w:kern w:val="0"/>
          <w:sz w:val="28"/>
          <w:szCs w:val="28"/>
          <w:highlight w:val="none"/>
        </w:rPr>
        <w:t>符合“申请人的资格要求”第2条“落实政府采购政策需满足的资格要求”规定的证明文件</w:t>
      </w:r>
    </w:p>
    <w:p w14:paraId="000EA988">
      <w:pPr>
        <w:autoSpaceDN w:val="0"/>
        <w:spacing w:line="312" w:lineRule="auto"/>
        <w:jc w:val="center"/>
        <w:rPr>
          <w:rFonts w:ascii="仿宋" w:hAnsi="仿宋" w:eastAsia="仿宋" w:cs="Times New Roman"/>
          <w:b/>
          <w:color w:val="auto"/>
          <w:sz w:val="36"/>
          <w:szCs w:val="36"/>
          <w:highlight w:val="none"/>
        </w:rPr>
      </w:pPr>
      <w:r>
        <w:rPr>
          <w:rFonts w:hint="eastAsia" w:ascii="仿宋" w:hAnsi="仿宋" w:eastAsia="仿宋" w:cs="Times New Roman"/>
          <w:b/>
          <w:color w:val="auto"/>
          <w:sz w:val="36"/>
          <w:szCs w:val="36"/>
          <w:highlight w:val="none"/>
        </w:rPr>
        <w:t>▲中小企业声明函</w:t>
      </w:r>
    </w:p>
    <w:p w14:paraId="6C2FE6C5">
      <w:pPr>
        <w:widowControl/>
        <w:autoSpaceDN w:val="0"/>
        <w:spacing w:before="60" w:after="60" w:line="312" w:lineRule="auto"/>
        <w:ind w:firstLine="560" w:firstLineChars="200"/>
        <w:jc w:val="left"/>
        <w:rPr>
          <w:rFonts w:ascii="仿宋" w:hAnsi="仿宋" w:eastAsia="仿宋" w:cs="Arial"/>
          <w:color w:val="auto"/>
          <w:kern w:val="0"/>
          <w:sz w:val="28"/>
          <w:szCs w:val="28"/>
          <w:highlight w:val="none"/>
        </w:rPr>
      </w:pPr>
      <w:r>
        <w:rPr>
          <w:rFonts w:hint="eastAsia" w:ascii="仿宋" w:hAnsi="仿宋" w:eastAsia="仿宋" w:cs="Arial"/>
          <w:color w:val="auto"/>
          <w:kern w:val="0"/>
          <w:sz w:val="28"/>
          <w:szCs w:val="28"/>
          <w:highlight w:val="none"/>
        </w:rPr>
        <w:t>本公司郑重声明，根据《政府采购促进中小企业发展管理办法》（财库﹝2020﹞46 号）的规定，本公司参加</w:t>
      </w:r>
      <w:r>
        <w:rPr>
          <w:rFonts w:hint="eastAsia" w:ascii="仿宋" w:hAnsi="仿宋" w:eastAsia="仿宋" w:cs="Arial"/>
          <w:b/>
          <w:bCs/>
          <w:color w:val="auto"/>
          <w:kern w:val="0"/>
          <w:sz w:val="28"/>
          <w:szCs w:val="28"/>
          <w:highlight w:val="none"/>
          <w:u w:val="single"/>
        </w:rPr>
        <w:t>浙江工业大学</w:t>
      </w:r>
      <w:r>
        <w:rPr>
          <w:rFonts w:hint="eastAsia" w:ascii="仿宋" w:hAnsi="仿宋" w:eastAsia="仿宋" w:cs="Arial"/>
          <w:color w:val="auto"/>
          <w:kern w:val="0"/>
          <w:sz w:val="28"/>
          <w:szCs w:val="28"/>
          <w:highlight w:val="none"/>
        </w:rPr>
        <w:t>的</w:t>
      </w:r>
      <w:r>
        <w:rPr>
          <w:rFonts w:hint="eastAsia" w:ascii="仿宋" w:hAnsi="仿宋" w:eastAsia="仿宋" w:cs="Arial"/>
          <w:b/>
          <w:bCs/>
          <w:color w:val="auto"/>
          <w:kern w:val="0"/>
          <w:sz w:val="28"/>
          <w:szCs w:val="28"/>
          <w:highlight w:val="none"/>
          <w:u w:val="single"/>
          <w:lang w:eastAsia="zh-CN"/>
        </w:rPr>
        <w:t>浙江工业大学屏峰校区学生宿舍建设工程项目施工用电工程</w:t>
      </w:r>
      <w:r>
        <w:rPr>
          <w:rFonts w:hint="eastAsia" w:ascii="仿宋" w:hAnsi="仿宋" w:eastAsia="仿宋" w:cs="Arial"/>
          <w:color w:val="auto"/>
          <w:kern w:val="0"/>
          <w:sz w:val="28"/>
          <w:szCs w:val="28"/>
          <w:highlight w:val="none"/>
        </w:rPr>
        <w:t>采购活动，工程的施工单位全部为符合政策要求的中小企业。企业具体情况如下：</w:t>
      </w:r>
    </w:p>
    <w:p w14:paraId="5044114F">
      <w:pPr>
        <w:widowControl/>
        <w:autoSpaceDN w:val="0"/>
        <w:spacing w:before="60" w:after="60" w:line="312"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1</w:t>
      </w:r>
      <w:bookmarkStart w:id="101" w:name="_Hlk97721535"/>
      <w:r>
        <w:rPr>
          <w:rFonts w:hint="eastAsia" w:ascii="仿宋" w:hAnsi="仿宋" w:eastAsia="仿宋" w:cs="宋体"/>
          <w:color w:val="auto"/>
          <w:kern w:val="0"/>
          <w:sz w:val="28"/>
          <w:szCs w:val="28"/>
          <w:highlight w:val="none"/>
        </w:rPr>
        <w:t>.</w:t>
      </w:r>
      <w:bookmarkEnd w:id="101"/>
      <w:r>
        <w:rPr>
          <w:rFonts w:hint="eastAsia" w:ascii="仿宋" w:hAnsi="仿宋" w:eastAsia="仿宋" w:cs="宋体"/>
          <w:b/>
          <w:bCs/>
          <w:i/>
          <w:iCs/>
          <w:color w:val="auto"/>
          <w:sz w:val="28"/>
          <w:szCs w:val="28"/>
          <w:highlight w:val="none"/>
          <w:u w:val="single"/>
        </w:rPr>
        <w:t xml:space="preserve"> （标的名称）</w:t>
      </w:r>
      <w:r>
        <w:rPr>
          <w:rFonts w:hint="eastAsia" w:ascii="仿宋" w:hAnsi="仿宋" w:eastAsia="仿宋" w:cs="宋体"/>
          <w:color w:val="auto"/>
          <w:kern w:val="0"/>
          <w:sz w:val="28"/>
          <w:szCs w:val="28"/>
          <w:highlight w:val="none"/>
        </w:rPr>
        <w:t>，属于</w:t>
      </w:r>
      <w:r>
        <w:rPr>
          <w:rFonts w:hint="eastAsia" w:ascii="仿宋" w:hAnsi="仿宋" w:eastAsia="仿宋" w:cs="宋体"/>
          <w:b/>
          <w:bCs/>
          <w:i/>
          <w:iCs/>
          <w:color w:val="auto"/>
          <w:kern w:val="0"/>
          <w:sz w:val="28"/>
          <w:szCs w:val="28"/>
          <w:highlight w:val="none"/>
          <w:u w:val="single"/>
        </w:rPr>
        <w:t>建筑业</w:t>
      </w:r>
      <w:r>
        <w:rPr>
          <w:rFonts w:hint="eastAsia" w:ascii="仿宋" w:hAnsi="仿宋" w:eastAsia="仿宋" w:cs="宋体"/>
          <w:color w:val="auto"/>
          <w:kern w:val="0"/>
          <w:sz w:val="28"/>
          <w:szCs w:val="28"/>
          <w:highlight w:val="none"/>
        </w:rPr>
        <w:t>；承建（承接）企业为</w:t>
      </w:r>
      <w:r>
        <w:rPr>
          <w:rFonts w:hint="eastAsia" w:ascii="仿宋" w:hAnsi="仿宋" w:eastAsia="仿宋" w:cs="宋体"/>
          <w:i/>
          <w:iCs/>
          <w:color w:val="auto"/>
          <w:kern w:val="0"/>
          <w:sz w:val="28"/>
          <w:szCs w:val="28"/>
          <w:highlight w:val="none"/>
          <w:u w:val="single"/>
        </w:rPr>
        <w:t>（企业名称）</w:t>
      </w:r>
      <w:r>
        <w:rPr>
          <w:rFonts w:hint="eastAsia" w:ascii="仿宋" w:hAnsi="仿宋" w:eastAsia="仿宋" w:cs="宋体"/>
          <w:color w:val="auto"/>
          <w:kern w:val="0"/>
          <w:sz w:val="28"/>
          <w:szCs w:val="28"/>
          <w:highlight w:val="none"/>
        </w:rPr>
        <w:t>，从业人员</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rPr>
        <w:t>人，营业收入为</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rPr>
        <w:t>万元，资产总额为</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rPr>
        <w:t>万元，属于</w:t>
      </w:r>
      <w:r>
        <w:rPr>
          <w:rFonts w:hint="eastAsia" w:ascii="仿宋" w:hAnsi="仿宋" w:eastAsia="仿宋" w:cs="宋体"/>
          <w:i/>
          <w:iCs/>
          <w:color w:val="auto"/>
          <w:kern w:val="0"/>
          <w:sz w:val="28"/>
          <w:szCs w:val="28"/>
          <w:highlight w:val="none"/>
          <w:u w:val="single"/>
        </w:rPr>
        <w:t>（中型企业、小型企业、微型企业）</w:t>
      </w:r>
      <w:r>
        <w:rPr>
          <w:rFonts w:hint="eastAsia" w:ascii="仿宋" w:hAnsi="仿宋" w:eastAsia="仿宋" w:cs="宋体"/>
          <w:color w:val="auto"/>
          <w:kern w:val="0"/>
          <w:sz w:val="28"/>
          <w:szCs w:val="28"/>
          <w:highlight w:val="none"/>
        </w:rPr>
        <w:t>；</w:t>
      </w:r>
    </w:p>
    <w:p w14:paraId="77BC69ED">
      <w:pPr>
        <w:widowControl/>
        <w:autoSpaceDN w:val="0"/>
        <w:spacing w:before="60" w:after="60" w:line="312"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2.</w:t>
      </w:r>
      <w:r>
        <w:rPr>
          <w:rFonts w:hint="eastAsia" w:ascii="仿宋" w:hAnsi="仿宋" w:eastAsia="仿宋" w:cs="宋体"/>
          <w:b/>
          <w:bCs/>
          <w:i/>
          <w:iCs/>
          <w:color w:val="auto"/>
          <w:sz w:val="28"/>
          <w:szCs w:val="28"/>
          <w:highlight w:val="none"/>
          <w:u w:val="single"/>
        </w:rPr>
        <w:t xml:space="preserve"> （标的名称）</w:t>
      </w:r>
      <w:r>
        <w:rPr>
          <w:rFonts w:hint="eastAsia" w:ascii="仿宋" w:hAnsi="仿宋" w:eastAsia="仿宋" w:cs="宋体"/>
          <w:color w:val="auto"/>
          <w:kern w:val="0"/>
          <w:sz w:val="28"/>
          <w:szCs w:val="28"/>
          <w:highlight w:val="none"/>
        </w:rPr>
        <w:t>，属于</w:t>
      </w:r>
      <w:r>
        <w:rPr>
          <w:rFonts w:hint="eastAsia" w:ascii="仿宋" w:hAnsi="仿宋" w:eastAsia="仿宋" w:cs="宋体"/>
          <w:b/>
          <w:bCs/>
          <w:i/>
          <w:iCs/>
          <w:color w:val="auto"/>
          <w:kern w:val="0"/>
          <w:sz w:val="28"/>
          <w:szCs w:val="28"/>
          <w:highlight w:val="none"/>
          <w:u w:val="single"/>
        </w:rPr>
        <w:t>建筑业</w:t>
      </w:r>
      <w:r>
        <w:rPr>
          <w:rFonts w:hint="eastAsia" w:ascii="仿宋" w:hAnsi="仿宋" w:eastAsia="仿宋" w:cs="宋体"/>
          <w:color w:val="auto"/>
          <w:kern w:val="0"/>
          <w:sz w:val="28"/>
          <w:szCs w:val="28"/>
          <w:highlight w:val="none"/>
        </w:rPr>
        <w:t>；承建（承接）企业为</w:t>
      </w:r>
      <w:r>
        <w:rPr>
          <w:rFonts w:hint="eastAsia" w:ascii="仿宋" w:hAnsi="仿宋" w:eastAsia="仿宋" w:cs="宋体"/>
          <w:i/>
          <w:iCs/>
          <w:color w:val="auto"/>
          <w:kern w:val="0"/>
          <w:sz w:val="28"/>
          <w:szCs w:val="28"/>
          <w:highlight w:val="none"/>
          <w:u w:val="single"/>
        </w:rPr>
        <w:t>（企业名称）</w:t>
      </w:r>
      <w:r>
        <w:rPr>
          <w:rFonts w:hint="eastAsia" w:ascii="仿宋" w:hAnsi="仿宋" w:eastAsia="仿宋" w:cs="宋体"/>
          <w:color w:val="auto"/>
          <w:kern w:val="0"/>
          <w:sz w:val="28"/>
          <w:szCs w:val="28"/>
          <w:highlight w:val="none"/>
        </w:rPr>
        <w:t>，从业人员</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rPr>
        <w:t>人，营业收入为</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rPr>
        <w:t>万元，资产总额为</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rPr>
        <w:t>万元，属于</w:t>
      </w:r>
      <w:r>
        <w:rPr>
          <w:rFonts w:hint="eastAsia" w:ascii="仿宋" w:hAnsi="仿宋" w:eastAsia="仿宋" w:cs="宋体"/>
          <w:i/>
          <w:iCs/>
          <w:color w:val="auto"/>
          <w:kern w:val="0"/>
          <w:sz w:val="28"/>
          <w:szCs w:val="28"/>
          <w:highlight w:val="none"/>
          <w:u w:val="single"/>
        </w:rPr>
        <w:t>（中型企业、小型企业、微型企业）</w:t>
      </w:r>
      <w:r>
        <w:rPr>
          <w:rFonts w:hint="eastAsia" w:ascii="仿宋" w:hAnsi="仿宋" w:eastAsia="仿宋" w:cs="宋体"/>
          <w:color w:val="auto"/>
          <w:kern w:val="0"/>
          <w:sz w:val="28"/>
          <w:szCs w:val="28"/>
          <w:highlight w:val="none"/>
        </w:rPr>
        <w:t>；</w:t>
      </w:r>
    </w:p>
    <w:p w14:paraId="23E9995B">
      <w:pPr>
        <w:widowControl/>
        <w:autoSpaceDN w:val="0"/>
        <w:spacing w:before="60" w:after="60" w:line="312"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w:t>
      </w:r>
    </w:p>
    <w:p w14:paraId="0452BFD3">
      <w:pPr>
        <w:autoSpaceDN w:val="0"/>
        <w:spacing w:line="360" w:lineRule="auto"/>
        <w:ind w:firstLine="565" w:firstLineChars="202"/>
        <w:jc w:val="left"/>
        <w:rPr>
          <w:rFonts w:ascii="仿宋" w:hAnsi="仿宋" w:eastAsia="仿宋" w:cs="Arial"/>
          <w:color w:val="auto"/>
          <w:kern w:val="0"/>
          <w:sz w:val="28"/>
          <w:szCs w:val="28"/>
          <w:highlight w:val="none"/>
        </w:rPr>
      </w:pPr>
      <w:r>
        <w:rPr>
          <w:rFonts w:hint="eastAsia" w:ascii="仿宋" w:hAnsi="仿宋" w:eastAsia="仿宋" w:cs="Arial"/>
          <w:color w:val="auto"/>
          <w:kern w:val="0"/>
          <w:sz w:val="28"/>
          <w:szCs w:val="28"/>
          <w:highlight w:val="none"/>
        </w:rPr>
        <w:t>以上企业，不属于大企业的分支机构，不存在控股股东为大企业的情形，也不存在与大企业的负责人为同一人的情形。</w:t>
      </w:r>
    </w:p>
    <w:p w14:paraId="27BB386C">
      <w:pPr>
        <w:autoSpaceDN w:val="0"/>
        <w:spacing w:line="360" w:lineRule="auto"/>
        <w:ind w:firstLine="565" w:firstLineChars="202"/>
        <w:jc w:val="left"/>
        <w:rPr>
          <w:rFonts w:ascii="仿宋" w:hAnsi="仿宋" w:eastAsia="仿宋" w:cs="Arial"/>
          <w:color w:val="auto"/>
          <w:kern w:val="0"/>
          <w:sz w:val="28"/>
          <w:szCs w:val="28"/>
          <w:highlight w:val="none"/>
        </w:rPr>
      </w:pPr>
      <w:r>
        <w:rPr>
          <w:rFonts w:hint="eastAsia" w:ascii="仿宋" w:hAnsi="仿宋" w:eastAsia="仿宋" w:cs="Arial"/>
          <w:color w:val="auto"/>
          <w:kern w:val="0"/>
          <w:sz w:val="28"/>
          <w:szCs w:val="28"/>
          <w:highlight w:val="none"/>
        </w:rPr>
        <w:t>本企业对上述声明内容的真实性负责。如有虚假，将依法承担相应责任。</w:t>
      </w:r>
    </w:p>
    <w:p w14:paraId="2C6940EB">
      <w:pPr>
        <w:autoSpaceDN w:val="0"/>
        <w:spacing w:line="360" w:lineRule="auto"/>
        <w:ind w:left="3570" w:leftChars="1700" w:firstLine="565" w:firstLineChars="202"/>
        <w:jc w:val="left"/>
        <w:rPr>
          <w:rFonts w:ascii="仿宋" w:hAnsi="仿宋" w:eastAsia="仿宋" w:cs="Arial"/>
          <w:color w:val="auto"/>
          <w:kern w:val="0"/>
          <w:sz w:val="28"/>
          <w:szCs w:val="28"/>
          <w:highlight w:val="none"/>
        </w:rPr>
      </w:pPr>
      <w:r>
        <w:rPr>
          <w:rFonts w:hint="eastAsia" w:ascii="仿宋" w:hAnsi="仿宋" w:eastAsia="仿宋" w:cs="Arial"/>
          <w:color w:val="auto"/>
          <w:kern w:val="0"/>
          <w:sz w:val="28"/>
          <w:szCs w:val="28"/>
          <w:highlight w:val="none"/>
        </w:rPr>
        <w:t>企业名称（盖章）：</w:t>
      </w:r>
    </w:p>
    <w:p w14:paraId="26107701">
      <w:pPr>
        <w:autoSpaceDN w:val="0"/>
        <w:spacing w:line="360" w:lineRule="auto"/>
        <w:ind w:left="3570" w:leftChars="1700" w:firstLine="565" w:firstLineChars="202"/>
        <w:jc w:val="left"/>
        <w:rPr>
          <w:rFonts w:ascii="仿宋" w:hAnsi="仿宋" w:eastAsia="仿宋" w:cs="Arial"/>
          <w:color w:val="auto"/>
          <w:kern w:val="0"/>
          <w:sz w:val="28"/>
          <w:szCs w:val="28"/>
          <w:highlight w:val="none"/>
        </w:rPr>
      </w:pPr>
      <w:r>
        <w:rPr>
          <w:rFonts w:hint="eastAsia" w:ascii="仿宋" w:hAnsi="仿宋" w:eastAsia="仿宋" w:cs="Arial"/>
          <w:color w:val="auto"/>
          <w:kern w:val="0"/>
          <w:sz w:val="28"/>
          <w:szCs w:val="28"/>
          <w:highlight w:val="none"/>
        </w:rPr>
        <w:t>日期：</w:t>
      </w:r>
    </w:p>
    <w:p w14:paraId="4573DD59">
      <w:pPr>
        <w:widowControl/>
        <w:autoSpaceDE w:val="0"/>
        <w:autoSpaceDN w:val="0"/>
        <w:snapToGrid w:val="0"/>
        <w:spacing w:before="120" w:line="400" w:lineRule="atLeast"/>
        <w:ind w:firstLine="570"/>
        <w:textAlignment w:val="bottom"/>
        <w:rPr>
          <w:rFonts w:ascii="仿宋" w:hAnsi="仿宋" w:eastAsia="仿宋" w:cs="仿宋"/>
          <w:b/>
          <w:bCs/>
          <w:color w:val="auto"/>
          <w:kern w:val="0"/>
          <w:sz w:val="24"/>
          <w:szCs w:val="20"/>
          <w:highlight w:val="none"/>
        </w:rPr>
      </w:pPr>
      <w:r>
        <w:rPr>
          <w:rFonts w:hint="eastAsia" w:ascii="仿宋" w:hAnsi="仿宋" w:eastAsia="仿宋" w:cs="仿宋"/>
          <w:b/>
          <w:bCs/>
          <w:color w:val="auto"/>
          <w:kern w:val="0"/>
          <w:sz w:val="24"/>
          <w:szCs w:val="20"/>
          <w:highlight w:val="none"/>
        </w:rPr>
        <w:t>备注：1、从业人员、营业收入、资产总额填报上一年度数据，无上一年度数据的新成立企业可不填报。</w:t>
      </w:r>
    </w:p>
    <w:p w14:paraId="79E1075A">
      <w:pPr>
        <w:adjustRightInd w:val="0"/>
        <w:snapToGrid w:val="0"/>
        <w:spacing w:line="360" w:lineRule="auto"/>
        <w:jc w:val="left"/>
        <w:rPr>
          <w:b/>
          <w:color w:val="auto"/>
          <w:highlight w:val="none"/>
        </w:rPr>
      </w:pPr>
    </w:p>
    <w:p w14:paraId="18880115">
      <w:pPr>
        <w:adjustRightInd w:val="0"/>
        <w:snapToGrid w:val="0"/>
        <w:spacing w:line="360" w:lineRule="auto"/>
        <w:jc w:val="left"/>
        <w:rPr>
          <w:b/>
          <w:color w:val="auto"/>
          <w:highlight w:val="none"/>
        </w:rPr>
      </w:pPr>
    </w:p>
    <w:p w14:paraId="690F1899">
      <w:pPr>
        <w:adjustRightInd w:val="0"/>
        <w:snapToGrid w:val="0"/>
        <w:spacing w:line="360" w:lineRule="auto"/>
        <w:jc w:val="left"/>
        <w:rPr>
          <w:b/>
          <w:color w:val="auto"/>
          <w:highlight w:val="none"/>
        </w:rPr>
      </w:pPr>
    </w:p>
    <w:p w14:paraId="153F7ED7">
      <w:pPr>
        <w:adjustRightInd w:val="0"/>
        <w:snapToGrid w:val="0"/>
        <w:spacing w:line="360" w:lineRule="auto"/>
        <w:jc w:val="left"/>
        <w:rPr>
          <w:b/>
          <w:color w:val="auto"/>
          <w:highlight w:val="none"/>
        </w:rPr>
      </w:pPr>
    </w:p>
    <w:p w14:paraId="30D48EDC">
      <w:pPr>
        <w:adjustRightInd w:val="0"/>
        <w:snapToGrid w:val="0"/>
        <w:spacing w:line="360" w:lineRule="auto"/>
        <w:jc w:val="left"/>
        <w:rPr>
          <w:b/>
          <w:color w:val="auto"/>
          <w:highlight w:val="none"/>
        </w:rPr>
      </w:pPr>
    </w:p>
    <w:p w14:paraId="6BCBD320">
      <w:pPr>
        <w:adjustRightInd w:val="0"/>
        <w:snapToGrid w:val="0"/>
        <w:spacing w:line="360" w:lineRule="auto"/>
        <w:jc w:val="left"/>
        <w:rPr>
          <w:b/>
          <w:color w:val="auto"/>
          <w:highlight w:val="none"/>
        </w:rPr>
      </w:pPr>
    </w:p>
    <w:p w14:paraId="7FC71740">
      <w:pPr>
        <w:adjustRightInd w:val="0"/>
        <w:snapToGrid w:val="0"/>
        <w:spacing w:line="360" w:lineRule="auto"/>
        <w:jc w:val="left"/>
        <w:rPr>
          <w:rFonts w:hint="eastAsia"/>
          <w:color w:val="auto"/>
          <w:highlight w:val="none"/>
        </w:rPr>
      </w:pPr>
      <w:r>
        <w:rPr>
          <w:b/>
          <w:color w:val="auto"/>
          <w:highlight w:val="none"/>
        </w:rPr>
        <w:t>请登录工业和信息化部</w:t>
      </w:r>
      <w:r>
        <w:rPr>
          <w:b/>
          <w:color w:val="auto"/>
          <w:highlight w:val="none"/>
        </w:rPr>
        <w:fldChar w:fldCharType="begin"/>
      </w:r>
      <w:r>
        <w:rPr>
          <w:b/>
          <w:color w:val="auto"/>
          <w:highlight w:val="none"/>
        </w:rPr>
        <w:instrText xml:space="preserve"> INCLUDEPICTURE "C:\\Documents and Settings\\Administrator\\Application Data\\Tencent\\QQTempSys\\[5UQ[BL(6~BS2JV6W}N6[%S.png" \* MERGEFORMATINET </w:instrText>
      </w:r>
      <w:r>
        <w:rPr>
          <w:b/>
          <w:color w:val="auto"/>
          <w:highlight w:val="none"/>
        </w:rPr>
        <w:fldChar w:fldCharType="separate"/>
      </w:r>
      <w:r>
        <w:rPr>
          <w:b/>
          <w:color w:val="auto"/>
          <w:highlight w:val="none"/>
        </w:rPr>
        <w:drawing>
          <wp:inline distT="0" distB="0" distL="114300" distR="114300">
            <wp:extent cx="189230" cy="142875"/>
            <wp:effectExtent l="0" t="0" r="8890" b="9525"/>
            <wp:docPr id="15" name="图片 1" descr="[5UQ[BL(6~BS2JV6W}N6[%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5UQ[BL(6~BS2JV6W}N6[%S"/>
                    <pic:cNvPicPr>
                      <a:picLocks noChangeAspect="1"/>
                    </pic:cNvPicPr>
                  </pic:nvPicPr>
                  <pic:blipFill>
                    <a:blip r:embed="rId14"/>
                    <a:stretch>
                      <a:fillRect/>
                    </a:stretch>
                  </pic:blipFill>
                  <pic:spPr>
                    <a:xfrm>
                      <a:off x="0" y="0"/>
                      <a:ext cx="189230" cy="142875"/>
                    </a:xfrm>
                    <a:prstGeom prst="rect">
                      <a:avLst/>
                    </a:prstGeom>
                    <a:noFill/>
                    <a:ln>
                      <a:noFill/>
                    </a:ln>
                  </pic:spPr>
                </pic:pic>
              </a:graphicData>
            </a:graphic>
          </wp:inline>
        </w:drawing>
      </w:r>
      <w:r>
        <w:rPr>
          <w:b/>
          <w:color w:val="auto"/>
          <w:highlight w:val="none"/>
        </w:rPr>
        <w:fldChar w:fldCharType="end"/>
      </w:r>
      <w:r>
        <w:rPr>
          <w:b/>
          <w:color w:val="auto"/>
          <w:highlight w:val="none"/>
        </w:rPr>
        <w:t>https://www.miit.gov.cn/网站，</w:t>
      </w:r>
      <w:r>
        <w:rPr>
          <w:color w:val="auto"/>
          <w:highlight w:val="none"/>
        </w:rPr>
        <w:fldChar w:fldCharType="begin"/>
      </w:r>
      <w:r>
        <w:rPr>
          <w:color w:val="auto"/>
          <w:highlight w:val="none"/>
        </w:rPr>
        <w:instrText xml:space="preserve"> INCLUDEPICTURE "C:\\Program Files\\Tencent\\QQ\\Users\\1121991092\\Image\\Group2\\6N\\K6\\6NK6[U(5_DT(HU5(T4EZ222.png" \* MERGEFORMATINET </w:instrText>
      </w:r>
      <w:r>
        <w:rPr>
          <w:color w:val="auto"/>
          <w:highlight w:val="none"/>
        </w:rPr>
        <w:fldChar w:fldCharType="separate"/>
      </w:r>
      <w:r>
        <w:rPr>
          <w:color w:val="auto"/>
          <w:highlight w:val="none"/>
        </w:rPr>
        <w:drawing>
          <wp:inline distT="0" distB="0" distL="114300" distR="114300">
            <wp:extent cx="5505450" cy="1305560"/>
            <wp:effectExtent l="0" t="0" r="11430" b="5080"/>
            <wp:docPr id="14" name="图片 2" descr="6NK6[U(5_DT(HU5(T4EZ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6NK6[U(5_DT(HU5(T4EZ222"/>
                    <pic:cNvPicPr>
                      <a:picLocks noChangeAspect="1"/>
                    </pic:cNvPicPr>
                  </pic:nvPicPr>
                  <pic:blipFill>
                    <a:blip r:embed="rId15"/>
                    <a:stretch>
                      <a:fillRect/>
                    </a:stretch>
                  </pic:blipFill>
                  <pic:spPr>
                    <a:xfrm>
                      <a:off x="0" y="0"/>
                      <a:ext cx="5505450" cy="1305560"/>
                    </a:xfrm>
                    <a:prstGeom prst="rect">
                      <a:avLst/>
                    </a:prstGeom>
                    <a:noFill/>
                    <a:ln>
                      <a:noFill/>
                    </a:ln>
                  </pic:spPr>
                </pic:pic>
              </a:graphicData>
            </a:graphic>
          </wp:inline>
        </w:drawing>
      </w:r>
      <w:r>
        <w:rPr>
          <w:color w:val="auto"/>
          <w:highlight w:val="none"/>
        </w:rPr>
        <w:fldChar w:fldCharType="end"/>
      </w:r>
    </w:p>
    <w:p w14:paraId="4B3DB685">
      <w:pPr>
        <w:widowControl/>
        <w:autoSpaceDE w:val="0"/>
        <w:autoSpaceDN w:val="0"/>
        <w:snapToGrid w:val="0"/>
        <w:spacing w:before="120" w:line="400" w:lineRule="atLeast"/>
        <w:ind w:firstLine="570"/>
        <w:textAlignment w:val="bottom"/>
        <w:rPr>
          <w:rFonts w:ascii="仿宋" w:hAnsi="仿宋" w:eastAsia="仿宋" w:cs="仿宋"/>
          <w:b/>
          <w:bCs/>
          <w:color w:val="auto"/>
          <w:kern w:val="0"/>
          <w:sz w:val="24"/>
          <w:szCs w:val="20"/>
          <w:highlight w:val="none"/>
        </w:rPr>
      </w:pPr>
      <w:r>
        <w:rPr>
          <w:b/>
          <w:color w:val="auto"/>
          <w:highlight w:val="none"/>
        </w:rPr>
        <w:t>点开“中小企业规模类型自测小程序”，填写投标产品所属的行业和投标企业</w:t>
      </w:r>
      <w:r>
        <w:rPr>
          <w:rFonts w:hint="eastAsia"/>
          <w:b/>
          <w:color w:val="auto"/>
          <w:highlight w:val="none"/>
        </w:rPr>
        <w:t>从业人员</w:t>
      </w:r>
      <w:r>
        <w:rPr>
          <w:b/>
          <w:color w:val="auto"/>
          <w:highlight w:val="none"/>
        </w:rPr>
        <w:t>交社保职工人数及</w:t>
      </w:r>
      <w:r>
        <w:rPr>
          <w:rFonts w:hint="eastAsia"/>
          <w:b/>
          <w:color w:val="auto"/>
          <w:highlight w:val="none"/>
        </w:rPr>
        <w:t>上年末资产总额</w:t>
      </w:r>
      <w:r>
        <w:rPr>
          <w:b/>
          <w:color w:val="auto"/>
          <w:highlight w:val="none"/>
        </w:rPr>
        <w:t>指标数据自动生成企业规模类型测试结果。</w:t>
      </w:r>
    </w:p>
    <w:p w14:paraId="48585546">
      <w:pPr>
        <w:widowControl/>
        <w:autoSpaceDE w:val="0"/>
        <w:autoSpaceDN w:val="0"/>
        <w:snapToGrid w:val="0"/>
        <w:spacing w:before="120" w:line="400" w:lineRule="atLeast"/>
        <w:ind w:firstLine="570"/>
        <w:textAlignment w:val="bottom"/>
        <w:rPr>
          <w:rFonts w:ascii="仿宋" w:hAnsi="仿宋" w:eastAsia="仿宋" w:cs="仿宋"/>
          <w:b/>
          <w:bCs/>
          <w:color w:val="auto"/>
          <w:kern w:val="0"/>
          <w:sz w:val="24"/>
          <w:szCs w:val="20"/>
          <w:highlight w:val="none"/>
        </w:rPr>
      </w:pPr>
    </w:p>
    <w:p w14:paraId="2CDF8CA1">
      <w:pPr>
        <w:autoSpaceDN w:val="0"/>
        <w:spacing w:line="312" w:lineRule="auto"/>
        <w:rPr>
          <w:rFonts w:ascii="仿宋" w:hAnsi="仿宋" w:eastAsia="仿宋" w:cs="Times New Roman"/>
          <w:b/>
          <w:color w:val="auto"/>
          <w:sz w:val="36"/>
          <w:szCs w:val="36"/>
          <w:highlight w:val="none"/>
        </w:rPr>
      </w:pPr>
    </w:p>
    <w:p w14:paraId="52C90952">
      <w:pPr>
        <w:autoSpaceDN w:val="0"/>
        <w:spacing w:line="312" w:lineRule="auto"/>
        <w:rPr>
          <w:rFonts w:ascii="仿宋" w:hAnsi="仿宋" w:eastAsia="仿宋" w:cs="Times New Roman"/>
          <w:b/>
          <w:color w:val="auto"/>
          <w:sz w:val="28"/>
          <w:szCs w:val="28"/>
          <w:highlight w:val="none"/>
        </w:rPr>
      </w:pPr>
    </w:p>
    <w:p w14:paraId="21175639">
      <w:pPr>
        <w:autoSpaceDN w:val="0"/>
        <w:spacing w:line="312" w:lineRule="auto"/>
        <w:rPr>
          <w:rFonts w:ascii="仿宋" w:hAnsi="仿宋" w:eastAsia="仿宋" w:cs="Times New Roman"/>
          <w:b/>
          <w:color w:val="auto"/>
          <w:sz w:val="28"/>
          <w:szCs w:val="28"/>
          <w:highlight w:val="none"/>
        </w:rPr>
      </w:pPr>
    </w:p>
    <w:p w14:paraId="54A9A0B2">
      <w:pPr>
        <w:rPr>
          <w:rFonts w:hint="eastAsia" w:ascii="仿宋" w:hAnsi="仿宋" w:eastAsia="仿宋" w:cs="Times New Roman"/>
          <w:b/>
          <w:color w:val="auto"/>
          <w:sz w:val="28"/>
          <w:szCs w:val="28"/>
          <w:highlight w:val="none"/>
        </w:rPr>
      </w:pPr>
      <w:r>
        <w:rPr>
          <w:rFonts w:hint="eastAsia" w:ascii="仿宋" w:hAnsi="仿宋" w:eastAsia="仿宋" w:cs="Times New Roman"/>
          <w:b/>
          <w:color w:val="auto"/>
          <w:sz w:val="28"/>
          <w:szCs w:val="28"/>
          <w:highlight w:val="none"/>
        </w:rPr>
        <w:br w:type="page"/>
      </w:r>
    </w:p>
    <w:p w14:paraId="3CC71393">
      <w:pPr>
        <w:autoSpaceDN w:val="0"/>
        <w:spacing w:line="312" w:lineRule="auto"/>
        <w:rPr>
          <w:rFonts w:ascii="仿宋" w:hAnsi="仿宋" w:eastAsia="仿宋" w:cs="Times New Roman"/>
          <w:b/>
          <w:color w:val="auto"/>
          <w:sz w:val="28"/>
          <w:szCs w:val="28"/>
          <w:highlight w:val="none"/>
        </w:rPr>
      </w:pPr>
      <w:r>
        <w:rPr>
          <w:rFonts w:hint="eastAsia" w:ascii="仿宋" w:hAnsi="仿宋" w:eastAsia="仿宋" w:cs="Times New Roman"/>
          <w:b/>
          <w:color w:val="auto"/>
          <w:sz w:val="28"/>
          <w:szCs w:val="28"/>
          <w:highlight w:val="none"/>
        </w:rPr>
        <w:t>（1）残疾人福利性单位声明函</w:t>
      </w:r>
      <w:bookmarkStart w:id="102" w:name="_Hlk97621277"/>
      <w:r>
        <w:rPr>
          <w:rFonts w:hint="eastAsia" w:ascii="仿宋" w:hAnsi="仿宋" w:eastAsia="仿宋" w:cs="Times New Roman"/>
          <w:b/>
          <w:color w:val="auto"/>
          <w:sz w:val="28"/>
          <w:szCs w:val="28"/>
          <w:highlight w:val="none"/>
        </w:rPr>
        <w:t>（如是）</w:t>
      </w:r>
      <w:bookmarkEnd w:id="102"/>
    </w:p>
    <w:p w14:paraId="39938767">
      <w:pPr>
        <w:autoSpaceDN w:val="0"/>
        <w:spacing w:before="240" w:line="360" w:lineRule="auto"/>
        <w:jc w:val="center"/>
        <w:rPr>
          <w:rFonts w:ascii="仿宋" w:hAnsi="仿宋" w:eastAsia="仿宋" w:cs="Times New Roman"/>
          <w:b/>
          <w:color w:val="auto"/>
          <w:spacing w:val="6"/>
          <w:sz w:val="32"/>
          <w:szCs w:val="32"/>
          <w:highlight w:val="none"/>
        </w:rPr>
      </w:pPr>
      <w:r>
        <w:rPr>
          <w:rFonts w:hint="eastAsia" w:ascii="仿宋" w:hAnsi="仿宋" w:eastAsia="仿宋" w:cs="Times New Roman"/>
          <w:b/>
          <w:color w:val="auto"/>
          <w:sz w:val="32"/>
          <w:szCs w:val="32"/>
          <w:highlight w:val="none"/>
        </w:rPr>
        <w:t>残疾人福利性单位声明函</w:t>
      </w:r>
    </w:p>
    <w:p w14:paraId="2EF0738B">
      <w:pPr>
        <w:autoSpaceDN w:val="0"/>
        <w:spacing w:line="360" w:lineRule="auto"/>
        <w:ind w:firstLine="584" w:firstLineChars="200"/>
        <w:rPr>
          <w:rFonts w:ascii="仿宋" w:hAnsi="仿宋" w:eastAsia="仿宋" w:cs="Times New Roman"/>
          <w:color w:val="auto"/>
          <w:spacing w:val="6"/>
          <w:sz w:val="28"/>
          <w:szCs w:val="24"/>
          <w:highlight w:val="none"/>
        </w:rPr>
      </w:pPr>
      <w:r>
        <w:rPr>
          <w:rFonts w:hint="eastAsia" w:ascii="仿宋" w:hAnsi="仿宋" w:eastAsia="仿宋" w:cs="Times New Roman"/>
          <w:color w:val="auto"/>
          <w:spacing w:val="6"/>
          <w:sz w:val="28"/>
          <w:szCs w:val="24"/>
          <w:highlight w:val="none"/>
        </w:rPr>
        <w:t>本单位郑重声明，根据《财政部 民政部 中国残疾人联合会关于促进残疾人就业政府采购政策的通知》（财库</w:t>
      </w:r>
      <w:r>
        <w:rPr>
          <w:rFonts w:hint="eastAsia" w:ascii="仿宋" w:hAnsi="仿宋" w:eastAsia="仿宋" w:cs="Times New Roman"/>
          <w:color w:val="auto"/>
          <w:sz w:val="28"/>
          <w:szCs w:val="24"/>
          <w:highlight w:val="none"/>
        </w:rPr>
        <w:t>〔2017〕141</w:t>
      </w:r>
      <w:r>
        <w:rPr>
          <w:rFonts w:hint="eastAsia" w:ascii="仿宋" w:hAnsi="仿宋" w:eastAsia="仿宋" w:cs="Times New Roman"/>
          <w:color w:val="auto"/>
          <w:spacing w:val="6"/>
          <w:sz w:val="28"/>
          <w:szCs w:val="24"/>
          <w:highlight w:val="none"/>
        </w:rPr>
        <w:t>号）的规定，本单位为符合条件的残疾人福利性单位，且本单位参加</w:t>
      </w:r>
      <w:r>
        <w:rPr>
          <w:rFonts w:hint="eastAsia" w:ascii="仿宋" w:hAnsi="仿宋" w:eastAsia="仿宋" w:cs="宋体"/>
          <w:b/>
          <w:bCs/>
          <w:color w:val="auto"/>
          <w:kern w:val="0"/>
          <w:sz w:val="28"/>
          <w:szCs w:val="28"/>
          <w:highlight w:val="none"/>
          <w:u w:val="single"/>
          <w:lang w:eastAsia="zh-CN"/>
        </w:rPr>
        <w:t>浙江工业大学屏峰校区学生宿舍建设工程项目施工用电工程</w:t>
      </w:r>
      <w:r>
        <w:rPr>
          <w:rFonts w:hint="eastAsia" w:ascii="仿宋" w:hAnsi="仿宋" w:eastAsia="仿宋" w:cs="宋体"/>
          <w:b/>
          <w:bCs/>
          <w:color w:val="auto"/>
          <w:kern w:val="0"/>
          <w:sz w:val="28"/>
          <w:szCs w:val="28"/>
          <w:highlight w:val="none"/>
          <w:u w:val="single"/>
        </w:rPr>
        <w:t>（项目编号：</w:t>
      </w:r>
      <w:r>
        <w:rPr>
          <w:rFonts w:hint="eastAsia" w:ascii="仿宋" w:hAnsi="仿宋" w:eastAsia="仿宋" w:cs="宋体"/>
          <w:b/>
          <w:bCs/>
          <w:color w:val="auto"/>
          <w:kern w:val="0"/>
          <w:sz w:val="28"/>
          <w:szCs w:val="28"/>
          <w:highlight w:val="none"/>
          <w:u w:val="single"/>
          <w:lang w:eastAsia="zh-CN"/>
        </w:rPr>
        <w:t>HCZX-24982</w:t>
      </w:r>
      <w:r>
        <w:rPr>
          <w:rFonts w:hint="eastAsia" w:ascii="仿宋" w:hAnsi="仿宋" w:eastAsia="仿宋" w:cs="宋体"/>
          <w:b/>
          <w:bCs/>
          <w:color w:val="auto"/>
          <w:kern w:val="0"/>
          <w:sz w:val="28"/>
          <w:szCs w:val="28"/>
          <w:highlight w:val="none"/>
          <w:u w:val="single"/>
        </w:rPr>
        <w:t>）</w:t>
      </w:r>
      <w:r>
        <w:rPr>
          <w:rFonts w:hint="eastAsia" w:ascii="仿宋" w:hAnsi="仿宋" w:eastAsia="仿宋" w:cs="Times New Roman"/>
          <w:color w:val="auto"/>
          <w:spacing w:val="6"/>
          <w:sz w:val="28"/>
          <w:szCs w:val="24"/>
          <w:highlight w:val="none"/>
        </w:rPr>
        <w:t>的采购活动，由本单位承担工程。</w:t>
      </w:r>
    </w:p>
    <w:p w14:paraId="098230FA">
      <w:pPr>
        <w:autoSpaceDN w:val="0"/>
        <w:spacing w:line="360" w:lineRule="auto"/>
        <w:ind w:firstLine="584" w:firstLineChars="200"/>
        <w:rPr>
          <w:rFonts w:ascii="仿宋" w:hAnsi="仿宋" w:eastAsia="仿宋" w:cs="Times New Roman"/>
          <w:color w:val="auto"/>
          <w:spacing w:val="6"/>
          <w:sz w:val="28"/>
          <w:szCs w:val="24"/>
          <w:highlight w:val="none"/>
        </w:rPr>
      </w:pPr>
      <w:r>
        <w:rPr>
          <w:rFonts w:hint="eastAsia" w:ascii="仿宋" w:hAnsi="仿宋" w:eastAsia="仿宋" w:cs="Times New Roman"/>
          <w:color w:val="auto"/>
          <w:spacing w:val="6"/>
          <w:sz w:val="28"/>
          <w:szCs w:val="24"/>
          <w:highlight w:val="none"/>
        </w:rPr>
        <w:t>本单位对上述声明的真实性负责。如有虚假，将依法承担相应责任。</w:t>
      </w:r>
    </w:p>
    <w:p w14:paraId="5C5E4AAE">
      <w:pPr>
        <w:widowControl/>
        <w:autoSpaceDE w:val="0"/>
        <w:autoSpaceDN w:val="0"/>
        <w:snapToGrid w:val="0"/>
        <w:spacing w:before="120" w:line="400" w:lineRule="atLeast"/>
        <w:ind w:firstLine="570"/>
        <w:textAlignment w:val="bottom"/>
        <w:rPr>
          <w:rFonts w:ascii="宋体" w:hAnsi="Calibri" w:eastAsia="宋体" w:cs="Times New Roman"/>
          <w:color w:val="auto"/>
          <w:kern w:val="0"/>
          <w:sz w:val="24"/>
          <w:szCs w:val="20"/>
          <w:highlight w:val="none"/>
        </w:rPr>
      </w:pPr>
    </w:p>
    <w:p w14:paraId="1452787D">
      <w:pPr>
        <w:autoSpaceDN w:val="0"/>
        <w:spacing w:line="360" w:lineRule="auto"/>
        <w:ind w:firstLine="504" w:firstLineChars="200"/>
        <w:rPr>
          <w:rFonts w:ascii="仿宋" w:hAnsi="仿宋" w:eastAsia="仿宋" w:cs="Times New Roman"/>
          <w:color w:val="auto"/>
          <w:spacing w:val="6"/>
          <w:sz w:val="24"/>
          <w:szCs w:val="24"/>
          <w:highlight w:val="none"/>
        </w:rPr>
      </w:pPr>
    </w:p>
    <w:p w14:paraId="4E9803EB">
      <w:pPr>
        <w:autoSpaceDN w:val="0"/>
        <w:spacing w:line="360" w:lineRule="auto"/>
        <w:ind w:firstLine="504" w:firstLineChars="200"/>
        <w:rPr>
          <w:rFonts w:ascii="仿宋" w:hAnsi="仿宋" w:eastAsia="仿宋" w:cs="Times New Roman"/>
          <w:color w:val="auto"/>
          <w:spacing w:val="6"/>
          <w:sz w:val="24"/>
          <w:szCs w:val="24"/>
          <w:highlight w:val="none"/>
        </w:rPr>
      </w:pPr>
    </w:p>
    <w:p w14:paraId="728FA3DA">
      <w:pPr>
        <w:tabs>
          <w:tab w:val="left" w:pos="4860"/>
        </w:tabs>
        <w:autoSpaceDN w:val="0"/>
        <w:spacing w:line="360" w:lineRule="auto"/>
        <w:ind w:right="1560"/>
        <w:jc w:val="left"/>
        <w:rPr>
          <w:rFonts w:ascii="仿宋" w:hAnsi="仿宋" w:eastAsia="仿宋" w:cs="Times New Roman"/>
          <w:color w:val="auto"/>
          <w:spacing w:val="6"/>
          <w:sz w:val="28"/>
          <w:szCs w:val="24"/>
          <w:highlight w:val="none"/>
        </w:rPr>
      </w:pPr>
      <w:r>
        <w:rPr>
          <w:rFonts w:hint="eastAsia" w:ascii="仿宋" w:hAnsi="仿宋" w:eastAsia="仿宋" w:cs="Times New Roman"/>
          <w:color w:val="auto"/>
          <w:spacing w:val="6"/>
          <w:sz w:val="28"/>
          <w:szCs w:val="24"/>
          <w:highlight w:val="none"/>
        </w:rPr>
        <w:t>单位名称（盖章）：</w:t>
      </w:r>
      <w:r>
        <w:rPr>
          <w:rFonts w:hint="eastAsia" w:ascii="仿宋" w:hAnsi="仿宋" w:eastAsia="仿宋" w:cs="Arial"/>
          <w:color w:val="auto"/>
          <w:w w:val="90"/>
          <w:kern w:val="0"/>
          <w:sz w:val="28"/>
          <w:szCs w:val="24"/>
          <w:highlight w:val="none"/>
        </w:rPr>
        <w:t>__________________________________</w:t>
      </w:r>
    </w:p>
    <w:p w14:paraId="46F0465B">
      <w:pPr>
        <w:autoSpaceDN w:val="0"/>
        <w:spacing w:line="360" w:lineRule="auto"/>
        <w:rPr>
          <w:rFonts w:ascii="仿宋" w:hAnsi="仿宋" w:eastAsia="仿宋" w:cs="Arial"/>
          <w:color w:val="auto"/>
          <w:w w:val="90"/>
          <w:kern w:val="0"/>
          <w:sz w:val="28"/>
          <w:szCs w:val="24"/>
          <w:highlight w:val="none"/>
        </w:rPr>
      </w:pPr>
      <w:r>
        <w:rPr>
          <w:rFonts w:hint="eastAsia" w:ascii="仿宋" w:hAnsi="仿宋" w:eastAsia="仿宋" w:cs="Times New Roman"/>
          <w:color w:val="auto"/>
          <w:spacing w:val="6"/>
          <w:sz w:val="28"/>
          <w:szCs w:val="24"/>
          <w:highlight w:val="none"/>
        </w:rPr>
        <w:t>日期：</w:t>
      </w:r>
      <w:r>
        <w:rPr>
          <w:rFonts w:hint="eastAsia" w:ascii="仿宋" w:hAnsi="仿宋" w:eastAsia="仿宋" w:cs="Arial"/>
          <w:color w:val="auto"/>
          <w:w w:val="90"/>
          <w:kern w:val="0"/>
          <w:sz w:val="28"/>
          <w:szCs w:val="24"/>
          <w:highlight w:val="none"/>
        </w:rPr>
        <w:t>____________________________________________</w:t>
      </w:r>
    </w:p>
    <w:p w14:paraId="49C643DA">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备注：（1）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14:paraId="12934840">
      <w:pPr>
        <w:autoSpaceDN w:val="0"/>
        <w:spacing w:line="360" w:lineRule="auto"/>
        <w:ind w:firstLine="482" w:firstLineChars="200"/>
        <w:rPr>
          <w:rFonts w:ascii="仿宋" w:hAnsi="仿宋" w:eastAsia="仿宋" w:cs="Times New Roman"/>
          <w:b/>
          <w:bCs/>
          <w:color w:val="auto"/>
          <w:sz w:val="24"/>
          <w:szCs w:val="20"/>
          <w:highlight w:val="none"/>
        </w:rPr>
      </w:pPr>
      <w:r>
        <w:rPr>
          <w:rFonts w:hint="eastAsia" w:ascii="仿宋" w:hAnsi="仿宋" w:eastAsia="仿宋" w:cs="Times New Roman"/>
          <w:b/>
          <w:bCs/>
          <w:color w:val="auto"/>
          <w:sz w:val="24"/>
          <w:szCs w:val="20"/>
          <w:highlight w:val="none"/>
        </w:rPr>
        <w:t>（2）残疾人福利性单位证明材料：残疾人福利性单位声明函，如提供其他残疾人福利性单位制造的货物，还须同时提供该企业的残疾人福利性单位声明函。</w:t>
      </w:r>
    </w:p>
    <w:p w14:paraId="5DDFEB4D">
      <w:pPr>
        <w:keepNext/>
        <w:keepLines/>
        <w:autoSpaceDN w:val="0"/>
        <w:spacing w:line="360" w:lineRule="auto"/>
        <w:jc w:val="left"/>
        <w:outlineLvl w:val="3"/>
        <w:rPr>
          <w:rFonts w:ascii="仿宋" w:hAnsi="仿宋" w:eastAsia="仿宋" w:cs="Times New Roman"/>
          <w:b/>
          <w:bCs/>
          <w:color w:val="auto"/>
          <w:sz w:val="28"/>
          <w:szCs w:val="28"/>
          <w:highlight w:val="none"/>
        </w:rPr>
      </w:pPr>
      <w:r>
        <w:rPr>
          <w:rFonts w:hint="eastAsia" w:ascii="华文中宋" w:hAnsi="华文中宋" w:eastAsia="华文中宋" w:cs="Times New Roman"/>
          <w:b/>
          <w:bCs/>
          <w:color w:val="auto"/>
          <w:sz w:val="28"/>
          <w:szCs w:val="28"/>
          <w:highlight w:val="none"/>
        </w:rPr>
        <w:br w:type="page"/>
      </w:r>
      <w:r>
        <w:rPr>
          <w:rFonts w:hint="eastAsia" w:ascii="宋体" w:hAnsi="宋体" w:eastAsia="宋体" w:cs="宋体"/>
          <w:b/>
          <w:bCs/>
          <w:color w:val="auto"/>
          <w:sz w:val="28"/>
          <w:szCs w:val="28"/>
          <w:highlight w:val="none"/>
        </w:rPr>
        <w:t>（2）</w:t>
      </w:r>
      <w:r>
        <w:rPr>
          <w:rFonts w:hint="eastAsia" w:ascii="仿宋" w:hAnsi="仿宋" w:eastAsia="仿宋" w:cs="Times New Roman"/>
          <w:b/>
          <w:bCs/>
          <w:color w:val="auto"/>
          <w:sz w:val="28"/>
          <w:szCs w:val="28"/>
          <w:highlight w:val="none"/>
        </w:rPr>
        <w:t>监狱企业证明文件（如是）</w:t>
      </w:r>
    </w:p>
    <w:p w14:paraId="7E0C3A2A">
      <w:pPr>
        <w:autoSpaceDN w:val="0"/>
        <w:spacing w:before="240" w:line="360" w:lineRule="auto"/>
        <w:jc w:val="center"/>
        <w:rPr>
          <w:rFonts w:ascii="仿宋" w:hAnsi="仿宋" w:eastAsia="仿宋" w:cs="Times New Roman"/>
          <w:b/>
          <w:color w:val="auto"/>
          <w:sz w:val="32"/>
          <w:szCs w:val="32"/>
          <w:highlight w:val="none"/>
        </w:rPr>
      </w:pPr>
      <w:r>
        <w:rPr>
          <w:rFonts w:hint="eastAsia" w:ascii="仿宋" w:hAnsi="仿宋" w:eastAsia="仿宋" w:cs="Times New Roman"/>
          <w:b/>
          <w:color w:val="auto"/>
          <w:sz w:val="32"/>
          <w:szCs w:val="32"/>
          <w:highlight w:val="none"/>
        </w:rPr>
        <w:t>监狱企业证明文件</w:t>
      </w:r>
    </w:p>
    <w:tbl>
      <w:tblPr>
        <w:tblStyle w:val="61"/>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3370958A">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7642" w:hRule="atLeast"/>
        </w:trPr>
        <w:tc>
          <w:tcPr>
            <w:tcW w:w="9037" w:type="dxa"/>
            <w:tcBorders>
              <w:top w:val="dotDash" w:color="000000" w:sz="4" w:space="0"/>
              <w:left w:val="dotDash" w:color="000000" w:sz="4" w:space="0"/>
              <w:bottom w:val="dotDash" w:color="000000" w:sz="4" w:space="0"/>
              <w:right w:val="dotDash" w:color="000000" w:sz="4" w:space="0"/>
            </w:tcBorders>
            <w:vAlign w:val="center"/>
          </w:tcPr>
          <w:p w14:paraId="768E2F2D">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备注:（1）根据《关于政府采购支持监狱企业发展有关问题的通知》（财库[2014]68号）的规定，符合规定要求的供应商视同为小型和微型企业。</w:t>
            </w:r>
          </w:p>
          <w:p w14:paraId="0CBC3F38">
            <w:pPr>
              <w:autoSpaceDN w:val="0"/>
              <w:spacing w:line="360" w:lineRule="auto"/>
              <w:ind w:firstLine="426" w:firstLineChars="177"/>
              <w:rPr>
                <w:rFonts w:ascii="仿宋" w:hAnsi="仿宋" w:eastAsia="仿宋" w:cs="Arial"/>
                <w:b/>
                <w:i/>
                <w:color w:val="auto"/>
                <w:kern w:val="0"/>
                <w:sz w:val="28"/>
                <w:szCs w:val="24"/>
                <w:highlight w:val="none"/>
              </w:rPr>
            </w:pPr>
            <w:r>
              <w:rPr>
                <w:rFonts w:hint="eastAsia" w:ascii="仿宋" w:hAnsi="仿宋" w:eastAsia="仿宋" w:cs="Times New Roman"/>
                <w:b/>
                <w:color w:val="auto"/>
                <w:sz w:val="24"/>
                <w:szCs w:val="20"/>
                <w:highlight w:val="none"/>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14:paraId="24BE9F8A">
      <w:pPr>
        <w:widowControl/>
        <w:jc w:val="left"/>
        <w:rPr>
          <w:rFonts w:ascii="仿宋_GB2312" w:hAnsi="仿宋" w:eastAsia="仿宋_GB2312" w:cs="仿宋_GB2312"/>
          <w:color w:val="auto"/>
          <w:kern w:val="0"/>
          <w:sz w:val="24"/>
          <w:szCs w:val="20"/>
          <w:highlight w:val="none"/>
        </w:rPr>
        <w:sectPr>
          <w:headerReference r:id="rId7" w:type="default"/>
          <w:footerReference r:id="rId8" w:type="default"/>
          <w:pgSz w:w="11910" w:h="16840"/>
          <w:pgMar w:top="1418" w:right="1418" w:bottom="1418" w:left="1418" w:header="851" w:footer="1077" w:gutter="0"/>
          <w:cols w:space="720" w:num="1"/>
          <w:docGrid w:linePitch="286" w:charSpace="0"/>
        </w:sectPr>
      </w:pPr>
    </w:p>
    <w:p w14:paraId="5B4F2A9A">
      <w:pPr>
        <w:widowControl/>
        <w:autoSpaceDE w:val="0"/>
        <w:autoSpaceDN w:val="0"/>
        <w:spacing w:before="120" w:beforeLines="50" w:after="120" w:afterLines="50" w:line="300" w:lineRule="auto"/>
        <w:ind w:firstLine="281" w:firstLineChars="100"/>
        <w:outlineLvl w:val="2"/>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▲1-3符合“申请人的资格要求”第3条“本项目的特定资格要求”的证明文件</w:t>
      </w:r>
    </w:p>
    <w:tbl>
      <w:tblPr>
        <w:tblStyle w:val="61"/>
        <w:tblW w:w="9045"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45"/>
      </w:tblGrid>
      <w:tr w14:paraId="7CE0110B">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1295" w:hRule="atLeast"/>
        </w:trPr>
        <w:tc>
          <w:tcPr>
            <w:tcW w:w="9040" w:type="dxa"/>
            <w:tcBorders>
              <w:top w:val="dotDash" w:color="000000" w:sz="4" w:space="0"/>
              <w:left w:val="dotDash" w:color="000000" w:sz="4" w:space="0"/>
              <w:bottom w:val="dotDash" w:color="000000" w:sz="4" w:space="0"/>
              <w:right w:val="dotDash" w:color="000000" w:sz="4" w:space="0"/>
            </w:tcBorders>
            <w:vAlign w:val="center"/>
          </w:tcPr>
          <w:p w14:paraId="7D5CCA2A">
            <w:pPr>
              <w:autoSpaceDN w:val="0"/>
              <w:spacing w:line="360" w:lineRule="auto"/>
              <w:ind w:firstLine="703" w:firstLineChars="250"/>
              <w:rPr>
                <w:rFonts w:ascii="仿宋" w:hAnsi="仿宋" w:eastAsia="仿宋" w:cs="Times New Roman"/>
                <w:b/>
                <w:color w:val="auto"/>
                <w:sz w:val="28"/>
                <w:szCs w:val="24"/>
                <w:highlight w:val="none"/>
              </w:rPr>
            </w:pPr>
            <w:r>
              <w:rPr>
                <w:rFonts w:hint="eastAsia" w:ascii="仿宋" w:hAnsi="仿宋" w:eastAsia="仿宋" w:cs="Times New Roman"/>
                <w:b/>
                <w:color w:val="auto"/>
                <w:sz w:val="28"/>
                <w:szCs w:val="24"/>
                <w:highlight w:val="none"/>
              </w:rPr>
              <w:t>（1）▲</w:t>
            </w:r>
            <w:r>
              <w:rPr>
                <w:rFonts w:hint="eastAsia" w:ascii="仿宋" w:hAnsi="仿宋" w:eastAsia="仿宋" w:cs="宋体"/>
                <w:b/>
                <w:color w:val="auto"/>
                <w:spacing w:val="-4"/>
                <w:kern w:val="0"/>
                <w:sz w:val="28"/>
                <w:szCs w:val="28"/>
                <w:highlight w:val="none"/>
                <w:lang w:eastAsia="zh-CN"/>
              </w:rPr>
              <w:t>同时具有国家建设行政主管部门颁发的</w:t>
            </w:r>
            <w:r>
              <w:rPr>
                <w:rFonts w:hint="eastAsia" w:ascii="仿宋" w:hAnsi="仿宋" w:eastAsia="仿宋" w:cs="宋体"/>
                <w:b/>
                <w:color w:val="auto"/>
                <w:spacing w:val="-4"/>
                <w:kern w:val="0"/>
                <w:sz w:val="28"/>
                <w:szCs w:val="28"/>
                <w:highlight w:val="none"/>
                <w:lang w:eastAsia="zh-CN"/>
              </w:rPr>
              <w:t>电力工程施工总承包三级及以上资质或输变电工程专业承包三级及以上资质</w:t>
            </w:r>
            <w:r>
              <w:rPr>
                <w:rFonts w:hint="eastAsia" w:ascii="仿宋" w:hAnsi="仿宋" w:eastAsia="仿宋" w:cs="宋体"/>
                <w:b/>
                <w:color w:val="auto"/>
                <w:spacing w:val="-4"/>
                <w:kern w:val="0"/>
                <w:sz w:val="28"/>
                <w:szCs w:val="28"/>
                <w:highlight w:val="none"/>
                <w:lang w:eastAsia="zh-CN"/>
              </w:rPr>
              <w:t>，具有有效的安全生产许可证，并具备国家电力主管部门颁发的承装（修、试）四级及以上电力设施许可证</w:t>
            </w:r>
            <w:r>
              <w:rPr>
                <w:rFonts w:hint="eastAsia" w:ascii="仿宋" w:hAnsi="仿宋" w:eastAsia="仿宋" w:cs="Times New Roman"/>
                <w:b/>
                <w:color w:val="auto"/>
                <w:sz w:val="28"/>
                <w:szCs w:val="24"/>
                <w:highlight w:val="none"/>
              </w:rPr>
              <w:t>（扫描件加盖磋商响应供应商公章）；</w:t>
            </w:r>
          </w:p>
          <w:p w14:paraId="2A5B0895">
            <w:pPr>
              <w:autoSpaceDN w:val="0"/>
              <w:spacing w:line="360" w:lineRule="auto"/>
              <w:ind w:firstLine="703" w:firstLineChars="250"/>
              <w:rPr>
                <w:rFonts w:ascii="仿宋" w:hAnsi="仿宋" w:eastAsia="仿宋" w:cs="Times New Roman"/>
                <w:b/>
                <w:color w:val="auto"/>
                <w:sz w:val="28"/>
                <w:szCs w:val="24"/>
                <w:highlight w:val="none"/>
              </w:rPr>
            </w:pPr>
            <w:r>
              <w:rPr>
                <w:rFonts w:hint="eastAsia" w:ascii="仿宋" w:hAnsi="仿宋" w:eastAsia="仿宋" w:cs="Times New Roman"/>
                <w:b/>
                <w:color w:val="auto"/>
                <w:sz w:val="28"/>
                <w:szCs w:val="24"/>
                <w:highlight w:val="none"/>
              </w:rPr>
              <w:t>（2）▲企业主要负责人（法定代表人、企业经理、企业分管安全生产的副经理、企业技术负责人）具有“三类人员”有效A类证书，企业分管安全生产的副经理具有任命文件；拟派项目经理具有有效的</w:t>
            </w:r>
            <w:r>
              <w:rPr>
                <w:rFonts w:hint="eastAsia" w:ascii="仿宋" w:hAnsi="仿宋" w:eastAsia="仿宋" w:cs="Times New Roman"/>
                <w:b/>
                <w:color w:val="auto"/>
                <w:sz w:val="28"/>
                <w:szCs w:val="24"/>
                <w:highlight w:val="none"/>
                <w:lang w:eastAsia="zh-CN"/>
              </w:rPr>
              <w:t>机电工程专业二级</w:t>
            </w:r>
            <w:r>
              <w:rPr>
                <w:rFonts w:hint="eastAsia" w:ascii="仿宋" w:hAnsi="仿宋" w:eastAsia="仿宋" w:cs="Times New Roman"/>
                <w:b/>
                <w:color w:val="auto"/>
                <w:sz w:val="28"/>
                <w:szCs w:val="24"/>
                <w:highlight w:val="none"/>
                <w:lang w:eastAsia="zh-CN"/>
              </w:rPr>
              <w:t>及以上</w:t>
            </w:r>
            <w:r>
              <w:rPr>
                <w:rFonts w:hint="eastAsia" w:ascii="仿宋" w:hAnsi="仿宋" w:eastAsia="仿宋" w:cs="Times New Roman"/>
                <w:b/>
                <w:color w:val="auto"/>
                <w:sz w:val="28"/>
                <w:szCs w:val="24"/>
                <w:highlight w:val="none"/>
              </w:rPr>
              <w:t>注册建造师证书及“三类人员”有效B类证书；拟派现场安全生产专职管理人员具有“三类人员”有效C类证书（扫描件加盖磋商响应供应商公章）；</w:t>
            </w:r>
          </w:p>
          <w:p w14:paraId="13DF44CB">
            <w:pPr>
              <w:autoSpaceDN w:val="0"/>
              <w:spacing w:line="360" w:lineRule="auto"/>
              <w:ind w:firstLine="703" w:firstLineChars="250"/>
              <w:rPr>
                <w:rFonts w:ascii="仿宋" w:hAnsi="仿宋" w:eastAsia="仿宋" w:cs="Times New Roman"/>
                <w:b/>
                <w:color w:val="auto"/>
                <w:sz w:val="28"/>
                <w:szCs w:val="24"/>
                <w:highlight w:val="none"/>
              </w:rPr>
            </w:pPr>
            <w:r>
              <w:rPr>
                <w:rFonts w:hint="eastAsia" w:ascii="仿宋" w:hAnsi="仿宋" w:eastAsia="仿宋" w:cs="Times New Roman"/>
                <w:b/>
                <w:color w:val="auto"/>
                <w:sz w:val="28"/>
                <w:szCs w:val="24"/>
                <w:highlight w:val="none"/>
              </w:rPr>
              <w:t>（3）▲有效的《联合投标协议书》（仅联合体须提供）（格式附后）；</w:t>
            </w:r>
          </w:p>
          <w:p w14:paraId="122DB259">
            <w:pPr>
              <w:autoSpaceDN w:val="0"/>
              <w:snapToGrid w:val="0"/>
              <w:spacing w:line="360" w:lineRule="auto"/>
              <w:ind w:firstLine="703" w:firstLineChars="250"/>
              <w:rPr>
                <w:rFonts w:ascii="仿宋" w:hAnsi="仿宋" w:eastAsia="仿宋" w:cs="Times New Roman"/>
                <w:b/>
                <w:color w:val="auto"/>
                <w:sz w:val="28"/>
                <w:szCs w:val="24"/>
                <w:highlight w:val="none"/>
              </w:rPr>
            </w:pPr>
            <w:r>
              <w:rPr>
                <w:rFonts w:hint="eastAsia" w:ascii="仿宋" w:hAnsi="仿宋" w:eastAsia="仿宋" w:cs="Times New Roman"/>
                <w:b/>
                <w:color w:val="auto"/>
                <w:sz w:val="28"/>
                <w:szCs w:val="24"/>
                <w:highlight w:val="none"/>
              </w:rPr>
              <w:t>（4）▲有效的《分包意向协议》（仅分包须提供）（格式附后）。</w:t>
            </w:r>
          </w:p>
          <w:p w14:paraId="1ACFFE80">
            <w:pPr>
              <w:keepNext/>
              <w:keepLines/>
              <w:autoSpaceDN w:val="0"/>
              <w:spacing w:before="360" w:beforeLines="150" w:line="360" w:lineRule="auto"/>
              <w:ind w:firstLine="562" w:firstLineChars="200"/>
              <w:outlineLvl w:val="1"/>
              <w:rPr>
                <w:rFonts w:ascii="仿宋" w:hAnsi="仿宋" w:eastAsia="仿宋" w:cs="Times New Roman"/>
                <w:b/>
                <w:color w:val="auto"/>
                <w:sz w:val="28"/>
                <w:szCs w:val="24"/>
                <w:highlight w:val="none"/>
              </w:rPr>
            </w:pPr>
          </w:p>
          <w:p w14:paraId="7F217787">
            <w:pPr>
              <w:autoSpaceDN w:val="0"/>
              <w:spacing w:line="360" w:lineRule="auto"/>
              <w:ind w:firstLine="703" w:firstLineChars="250"/>
              <w:rPr>
                <w:rFonts w:ascii="仿宋" w:hAnsi="仿宋" w:eastAsia="仿宋" w:cs="Times New Roman"/>
                <w:b/>
                <w:color w:val="auto"/>
                <w:sz w:val="28"/>
                <w:szCs w:val="24"/>
                <w:highlight w:val="none"/>
              </w:rPr>
            </w:pPr>
          </w:p>
          <w:p w14:paraId="1CF693D5">
            <w:pPr>
              <w:keepNext/>
              <w:keepLines/>
              <w:autoSpaceDN w:val="0"/>
              <w:spacing w:before="360" w:beforeLines="150" w:line="360" w:lineRule="auto"/>
              <w:ind w:firstLine="562" w:firstLineChars="200"/>
              <w:outlineLvl w:val="1"/>
              <w:rPr>
                <w:rFonts w:ascii="仿宋" w:hAnsi="仿宋" w:eastAsia="仿宋" w:cs="Times New Roman"/>
                <w:b/>
                <w:color w:val="auto"/>
                <w:sz w:val="28"/>
                <w:szCs w:val="24"/>
                <w:highlight w:val="none"/>
              </w:rPr>
            </w:pPr>
          </w:p>
        </w:tc>
      </w:tr>
    </w:tbl>
    <w:p w14:paraId="2AC4447C">
      <w:pPr>
        <w:widowControl/>
        <w:spacing w:line="360" w:lineRule="auto"/>
        <w:jc w:val="left"/>
        <w:rPr>
          <w:rFonts w:ascii="Cambria" w:hAnsi="Cambria" w:eastAsia="华文中宋" w:cs="Times New Roman"/>
          <w:b/>
          <w:bCs/>
          <w:color w:val="auto"/>
          <w:kern w:val="0"/>
          <w:sz w:val="28"/>
          <w:szCs w:val="28"/>
          <w:highlight w:val="none"/>
        </w:rPr>
        <w:sectPr>
          <w:headerReference r:id="rId9" w:type="default"/>
          <w:footerReference r:id="rId10" w:type="default"/>
          <w:pgSz w:w="11906" w:h="16838"/>
          <w:pgMar w:top="1440" w:right="1416" w:bottom="1440" w:left="1560" w:header="851" w:footer="1077" w:gutter="0"/>
          <w:cols w:space="720" w:num="1"/>
          <w:docGrid w:linePitch="286" w:charSpace="0"/>
        </w:sectPr>
      </w:pPr>
    </w:p>
    <w:p w14:paraId="1461EA49">
      <w:pPr>
        <w:keepNext/>
        <w:keepLines/>
        <w:autoSpaceDN w:val="0"/>
        <w:spacing w:line="360" w:lineRule="auto"/>
        <w:jc w:val="left"/>
        <w:outlineLvl w:val="3"/>
        <w:rPr>
          <w:rFonts w:ascii="仿宋" w:hAnsi="仿宋" w:eastAsia="仿宋" w:cs="Times New Roman"/>
          <w:b/>
          <w:bCs/>
          <w:color w:val="auto"/>
          <w:sz w:val="28"/>
          <w:szCs w:val="28"/>
          <w:highlight w:val="none"/>
        </w:rPr>
      </w:pPr>
      <w:r>
        <w:rPr>
          <w:rFonts w:hint="eastAsia" w:ascii="仿宋" w:hAnsi="仿宋" w:eastAsia="仿宋" w:cs="Times New Roman"/>
          <w:b/>
          <w:bCs/>
          <w:color w:val="auto"/>
          <w:sz w:val="28"/>
          <w:szCs w:val="28"/>
          <w:highlight w:val="none"/>
        </w:rPr>
        <w:t>▲1-</w:t>
      </w:r>
      <w:bookmarkStart w:id="103" w:name="_Hlk106785996"/>
      <w:r>
        <w:rPr>
          <w:rFonts w:hint="eastAsia" w:ascii="仿宋" w:hAnsi="仿宋" w:eastAsia="仿宋" w:cs="Times New Roman"/>
          <w:b/>
          <w:bCs/>
          <w:color w:val="auto"/>
          <w:sz w:val="28"/>
          <w:szCs w:val="28"/>
          <w:highlight w:val="none"/>
        </w:rPr>
        <w:t>4联</w:t>
      </w:r>
      <w:bookmarkEnd w:id="103"/>
      <w:r>
        <w:rPr>
          <w:rFonts w:hint="eastAsia" w:ascii="仿宋" w:hAnsi="仿宋" w:eastAsia="仿宋" w:cs="Times New Roman"/>
          <w:b/>
          <w:bCs/>
          <w:color w:val="auto"/>
          <w:sz w:val="28"/>
          <w:szCs w:val="28"/>
          <w:highlight w:val="none"/>
        </w:rPr>
        <w:t>合投标协议书</w:t>
      </w:r>
    </w:p>
    <w:p w14:paraId="10198488">
      <w:pPr>
        <w:widowControl/>
        <w:autoSpaceDN w:val="0"/>
        <w:spacing w:line="360" w:lineRule="auto"/>
        <w:jc w:val="center"/>
        <w:rPr>
          <w:rFonts w:ascii="仿宋" w:hAnsi="仿宋" w:eastAsia="仿宋" w:cs="Arial"/>
          <w:b/>
          <w:color w:val="auto"/>
          <w:w w:val="80"/>
          <w:kern w:val="0"/>
          <w:sz w:val="32"/>
          <w:szCs w:val="32"/>
          <w:highlight w:val="none"/>
        </w:rPr>
      </w:pPr>
      <w:bookmarkStart w:id="104" w:name="_Hlk106785969"/>
      <w:r>
        <w:rPr>
          <w:rFonts w:hint="eastAsia" w:ascii="仿宋" w:hAnsi="仿宋" w:eastAsia="仿宋" w:cs="Times New Roman"/>
          <w:b/>
          <w:color w:val="auto"/>
          <w:sz w:val="32"/>
          <w:szCs w:val="32"/>
          <w:highlight w:val="none"/>
        </w:rPr>
        <w:t>▲</w:t>
      </w:r>
      <w:bookmarkEnd w:id="104"/>
      <w:r>
        <w:rPr>
          <w:rFonts w:hint="eastAsia" w:ascii="仿宋" w:hAnsi="仿宋" w:eastAsia="仿宋" w:cs="Times New Roman"/>
          <w:b/>
          <w:color w:val="auto"/>
          <w:sz w:val="32"/>
          <w:szCs w:val="32"/>
          <w:highlight w:val="none"/>
        </w:rPr>
        <w:t>联合投标协议书（仅联合体适用）</w:t>
      </w:r>
    </w:p>
    <w:p w14:paraId="7BDF325C">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kern w:val="0"/>
          <w:sz w:val="24"/>
          <w:szCs w:val="24"/>
          <w:highlight w:val="none"/>
        </w:rPr>
        <w:t>_________</w:t>
      </w:r>
      <w:r>
        <w:rPr>
          <w:rFonts w:hint="eastAsia" w:ascii="仿宋" w:hAnsi="仿宋" w:eastAsia="仿宋" w:cs="Arial"/>
          <w:color w:val="auto"/>
          <w:sz w:val="24"/>
          <w:szCs w:val="24"/>
          <w:highlight w:val="none"/>
          <w:u w:val="single"/>
        </w:rPr>
        <w:t>（联合体各方全称）</w:t>
      </w:r>
      <w:r>
        <w:rPr>
          <w:rFonts w:hint="eastAsia" w:ascii="仿宋" w:hAnsi="仿宋" w:eastAsia="仿宋" w:cs="Arial"/>
          <w:color w:val="auto"/>
          <w:kern w:val="0"/>
          <w:sz w:val="24"/>
          <w:szCs w:val="24"/>
          <w:highlight w:val="none"/>
        </w:rPr>
        <w:t>_______</w:t>
      </w:r>
      <w:r>
        <w:rPr>
          <w:rFonts w:hint="eastAsia" w:ascii="仿宋" w:hAnsi="仿宋" w:eastAsia="仿宋" w:cs="Arial"/>
          <w:color w:val="auto"/>
          <w:sz w:val="24"/>
          <w:szCs w:val="24"/>
          <w:highlight w:val="none"/>
        </w:rPr>
        <w:t>自愿组成联合体，以一个供应商的身份参加</w:t>
      </w:r>
      <w:bookmarkStart w:id="105" w:name="_Hlk106698985"/>
      <w:r>
        <w:rPr>
          <w:rFonts w:hint="eastAsia" w:ascii="仿宋" w:hAnsi="仿宋" w:eastAsia="仿宋" w:cs="Arial"/>
          <w:b/>
          <w:color w:val="auto"/>
          <w:kern w:val="0"/>
          <w:sz w:val="24"/>
          <w:szCs w:val="24"/>
          <w:highlight w:val="none"/>
          <w:u w:val="single"/>
          <w:lang w:eastAsia="zh-CN"/>
        </w:rPr>
        <w:t>浙江工业大学屏峰校区学生宿舍建设工程项目施工用电工程</w:t>
      </w:r>
      <w:r>
        <w:rPr>
          <w:rFonts w:hint="eastAsia" w:ascii="仿宋" w:hAnsi="仿宋" w:eastAsia="仿宋" w:cs="Arial"/>
          <w:b/>
          <w:color w:val="auto"/>
          <w:kern w:val="0"/>
          <w:sz w:val="24"/>
          <w:szCs w:val="24"/>
          <w:highlight w:val="none"/>
          <w:u w:val="single"/>
        </w:rPr>
        <w:t>（项目编号：</w:t>
      </w:r>
      <w:r>
        <w:rPr>
          <w:rFonts w:hint="eastAsia" w:ascii="仿宋" w:hAnsi="仿宋" w:eastAsia="仿宋" w:cs="Arial"/>
          <w:b/>
          <w:color w:val="auto"/>
          <w:kern w:val="0"/>
          <w:sz w:val="24"/>
          <w:szCs w:val="24"/>
          <w:highlight w:val="none"/>
          <w:u w:val="single"/>
          <w:lang w:eastAsia="zh-CN"/>
        </w:rPr>
        <w:t>HCZX-24982</w:t>
      </w:r>
      <w:r>
        <w:rPr>
          <w:rFonts w:hint="eastAsia" w:ascii="仿宋" w:hAnsi="仿宋" w:eastAsia="仿宋" w:cs="Arial"/>
          <w:b/>
          <w:color w:val="auto"/>
          <w:kern w:val="0"/>
          <w:sz w:val="24"/>
          <w:szCs w:val="24"/>
          <w:highlight w:val="none"/>
          <w:u w:val="single"/>
        </w:rPr>
        <w:t>）</w:t>
      </w:r>
      <w:bookmarkEnd w:id="105"/>
      <w:r>
        <w:rPr>
          <w:rFonts w:hint="eastAsia" w:ascii="仿宋" w:hAnsi="仿宋" w:eastAsia="仿宋" w:cs="Arial"/>
          <w:color w:val="auto"/>
          <w:kern w:val="0"/>
          <w:sz w:val="24"/>
          <w:szCs w:val="24"/>
          <w:highlight w:val="none"/>
        </w:rPr>
        <w:t>的</w:t>
      </w:r>
      <w:r>
        <w:rPr>
          <w:rFonts w:hint="eastAsia" w:ascii="仿宋" w:hAnsi="仿宋" w:eastAsia="仿宋" w:cs="Arial"/>
          <w:color w:val="auto"/>
          <w:sz w:val="24"/>
          <w:szCs w:val="24"/>
          <w:highlight w:val="none"/>
        </w:rPr>
        <w:t>政府采购活动。现就有关联合投标（响应）事宜订立协议如下：</w:t>
      </w:r>
    </w:p>
    <w:p w14:paraId="083F1C51">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1、</w:t>
      </w:r>
      <w:r>
        <w:rPr>
          <w:rFonts w:hint="eastAsia" w:ascii="仿宋" w:hAnsi="仿宋" w:eastAsia="仿宋" w:cs="Arial"/>
          <w:color w:val="auto"/>
          <w:kern w:val="0"/>
          <w:sz w:val="24"/>
          <w:szCs w:val="24"/>
          <w:highlight w:val="none"/>
        </w:rPr>
        <w:t>_________</w:t>
      </w:r>
      <w:r>
        <w:rPr>
          <w:rFonts w:hint="eastAsia" w:ascii="仿宋" w:hAnsi="仿宋" w:eastAsia="仿宋" w:cs="Arial"/>
          <w:color w:val="auto"/>
          <w:sz w:val="24"/>
          <w:szCs w:val="24"/>
          <w:highlight w:val="none"/>
          <w:u w:val="single"/>
        </w:rPr>
        <w:t>（联合体牵头方全称）</w:t>
      </w:r>
      <w:r>
        <w:rPr>
          <w:rFonts w:hint="eastAsia" w:ascii="仿宋" w:hAnsi="仿宋" w:eastAsia="仿宋" w:cs="Arial"/>
          <w:color w:val="auto"/>
          <w:kern w:val="0"/>
          <w:sz w:val="24"/>
          <w:szCs w:val="24"/>
          <w:highlight w:val="none"/>
        </w:rPr>
        <w:t>_____________</w:t>
      </w:r>
      <w:r>
        <w:rPr>
          <w:rFonts w:hint="eastAsia" w:ascii="仿宋" w:hAnsi="仿宋" w:eastAsia="仿宋" w:cs="Arial"/>
          <w:color w:val="auto"/>
          <w:sz w:val="24"/>
          <w:szCs w:val="24"/>
          <w:highlight w:val="none"/>
        </w:rPr>
        <w:t>为联合体的牵头方，</w:t>
      </w:r>
      <w:r>
        <w:rPr>
          <w:rFonts w:hint="eastAsia" w:ascii="仿宋" w:hAnsi="仿宋" w:eastAsia="仿宋" w:cs="Arial"/>
          <w:color w:val="auto"/>
          <w:kern w:val="0"/>
          <w:sz w:val="24"/>
          <w:szCs w:val="24"/>
          <w:highlight w:val="none"/>
        </w:rPr>
        <w:t>_________</w:t>
      </w:r>
      <w:r>
        <w:rPr>
          <w:rFonts w:hint="eastAsia" w:ascii="仿宋" w:hAnsi="仿宋" w:eastAsia="仿宋" w:cs="Arial"/>
          <w:color w:val="auto"/>
          <w:sz w:val="24"/>
          <w:szCs w:val="24"/>
          <w:highlight w:val="none"/>
          <w:u w:val="single"/>
        </w:rPr>
        <w:t>（联合体成员放全称）</w:t>
      </w:r>
      <w:r>
        <w:rPr>
          <w:rFonts w:hint="eastAsia" w:ascii="仿宋" w:hAnsi="仿宋" w:eastAsia="仿宋" w:cs="Arial"/>
          <w:color w:val="auto"/>
          <w:kern w:val="0"/>
          <w:sz w:val="24"/>
          <w:szCs w:val="24"/>
          <w:highlight w:val="none"/>
        </w:rPr>
        <w:t>_______________</w:t>
      </w:r>
      <w:r>
        <w:rPr>
          <w:rFonts w:hint="eastAsia" w:ascii="仿宋" w:hAnsi="仿宋" w:eastAsia="仿宋" w:cs="Arial"/>
          <w:color w:val="auto"/>
          <w:sz w:val="24"/>
          <w:szCs w:val="24"/>
          <w:highlight w:val="none"/>
        </w:rPr>
        <w:t>为联合体的成员方；</w:t>
      </w:r>
    </w:p>
    <w:p w14:paraId="290164D5">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2、联合体内部有关事项规定如下：</w:t>
      </w:r>
    </w:p>
    <w:p w14:paraId="5F0F9DAD">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（1）由牵头方代表本联合体与采购人联系，负责协调工作。</w:t>
      </w:r>
    </w:p>
    <w:p w14:paraId="47B6BF41">
      <w:pPr>
        <w:autoSpaceDN w:val="0"/>
        <w:spacing w:line="360" w:lineRule="auto"/>
        <w:ind w:firstLine="465" w:firstLineChars="193"/>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2）磋商响应工作由联合体中的牵头方负责，由各方组成的磋商响应小组具体实施；联合体中的牵头方代表联合体办理磋商响应事宜，联合体牵头方在响应文件及磋商过程中的所有承诺均代表了联合体各成员的真实意愿。</w:t>
      </w:r>
    </w:p>
    <w:p w14:paraId="50267485">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（3）联合体将严格按照磋商文件的各项要求，递交响应文件，切实执行一切合同文件，共同承担合同规定的一切义务和责任，同时按照内部职责的划分，承担自身所负的责任和风险，在法律上承担连带责任。</w:t>
      </w:r>
    </w:p>
    <w:p w14:paraId="52DD24CA">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（4）如中标（成交），联合体内部将遵守以下规定：</w:t>
      </w:r>
    </w:p>
    <w:p w14:paraId="590E4C56">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a．联合体牵头方和成员方共同与采购人签订采购合同，并就中标成交项目向采购人负责有连带的和各自的法律责任；</w:t>
      </w:r>
    </w:p>
    <w:p w14:paraId="27B1F5AF">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b．联合体牵头方代表联合体成员接收采购人的指令、指示和通知，并且在整个合同实施过程中的全部事宜（包括合同款支付）均由联合体牵头方负责；</w:t>
      </w:r>
    </w:p>
    <w:p w14:paraId="52566377">
      <w:pPr>
        <w:autoSpaceDN w:val="0"/>
        <w:spacing w:line="360" w:lineRule="auto"/>
        <w:ind w:firstLine="465" w:firstLineChars="193"/>
        <w:jc w:val="left"/>
        <w:rPr>
          <w:rFonts w:ascii="仿宋" w:hAnsi="仿宋" w:eastAsia="仿宋" w:cs="Arial"/>
          <w:color w:val="auto"/>
          <w:sz w:val="24"/>
          <w:szCs w:val="24"/>
          <w:highlight w:val="none"/>
        </w:rPr>
      </w:pPr>
      <w:r>
        <w:rPr>
          <w:rFonts w:hint="eastAsia" w:ascii="仿宋" w:hAnsi="仿宋" w:eastAsia="仿宋" w:cs="Arial"/>
          <w:b/>
          <w:color w:val="auto"/>
          <w:sz w:val="24"/>
          <w:szCs w:val="24"/>
          <w:highlight w:val="none"/>
        </w:rPr>
        <w:t>c．联合体各方承担的工作和义务详细安排如下：</w:t>
      </w:r>
    </w:p>
    <w:p w14:paraId="67E0A631">
      <w:pPr>
        <w:autoSpaceDN w:val="0"/>
        <w:spacing w:line="360" w:lineRule="auto"/>
        <w:jc w:val="left"/>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____________________________________________________________________________________________________________________________________________________</w:t>
      </w:r>
    </w:p>
    <w:p w14:paraId="4EE7D7CF">
      <w:pPr>
        <w:autoSpaceDN w:val="0"/>
        <w:spacing w:line="360" w:lineRule="auto"/>
        <w:ind w:firstLine="465" w:firstLineChars="193"/>
        <w:jc w:val="left"/>
        <w:rPr>
          <w:rFonts w:ascii="仿宋" w:hAnsi="仿宋" w:eastAsia="仿宋" w:cs="Arial"/>
          <w:color w:val="auto"/>
          <w:sz w:val="24"/>
          <w:szCs w:val="24"/>
          <w:highlight w:val="none"/>
        </w:rPr>
      </w:pPr>
      <w:r>
        <w:rPr>
          <w:rFonts w:hint="eastAsia" w:ascii="仿宋" w:hAnsi="仿宋" w:eastAsia="仿宋" w:cs="Arial"/>
          <w:b/>
          <w:color w:val="auto"/>
          <w:sz w:val="24"/>
          <w:szCs w:val="24"/>
          <w:highlight w:val="none"/>
        </w:rPr>
        <w:t>（5）投标（响应）工作和联合体在中标（成交）后工程实施过程中的有关费用按各自承担的工作量分摊，具体说明如下：</w:t>
      </w:r>
      <w:r>
        <w:rPr>
          <w:rFonts w:hint="eastAsia" w:ascii="仿宋" w:hAnsi="仿宋" w:eastAsia="仿宋" w:cs="Arial"/>
          <w:color w:val="auto"/>
          <w:sz w:val="24"/>
          <w:szCs w:val="24"/>
          <w:highlight w:val="none"/>
        </w:rPr>
        <w:t>_______________________________________________________________</w:t>
      </w:r>
    </w:p>
    <w:p w14:paraId="75054A14">
      <w:pPr>
        <w:autoSpaceDN w:val="0"/>
        <w:spacing w:line="360" w:lineRule="auto"/>
        <w:ind w:firstLine="465" w:firstLineChars="193"/>
        <w:jc w:val="left"/>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（6）如中标（成交），采购代理服务费支付承诺如下：</w:t>
      </w:r>
      <w:r>
        <w:rPr>
          <w:rFonts w:hint="eastAsia" w:ascii="仿宋" w:hAnsi="仿宋" w:eastAsia="仿宋" w:cs="Arial"/>
          <w:color w:val="auto"/>
          <w:sz w:val="24"/>
          <w:szCs w:val="24"/>
          <w:highlight w:val="none"/>
        </w:rPr>
        <w:t>_______________________________________________________________</w:t>
      </w:r>
    </w:p>
    <w:p w14:paraId="776B24D9">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3、我们承诺各成员不再以自己的名义单独投标（响应），也不再与其他供应商组成联合体参加本项目的投标（响应）。</w:t>
      </w:r>
    </w:p>
    <w:p w14:paraId="6C30E948">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4、本协议书自签署之日起生效，在上述（4）a所述的合同书规定的期限之后自行失效；如中标（成交）后，联合体内部另有协议的，联合体牵头方应将该协议书送交业主。</w:t>
      </w:r>
    </w:p>
    <w:p w14:paraId="6778DF7A">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5、本协议书正本一式△份，投标时使用△份，联合体成员各△份，如中标（成交）送采购人△份；副本一式△份，联合体成员各执△份。</w:t>
      </w:r>
    </w:p>
    <w:p w14:paraId="04831E1A">
      <w:pPr>
        <w:autoSpaceDN w:val="0"/>
        <w:spacing w:line="360" w:lineRule="auto"/>
        <w:ind w:firstLine="463" w:firstLineChars="193"/>
        <w:rPr>
          <w:rFonts w:ascii="仿宋" w:hAnsi="仿宋" w:eastAsia="仿宋" w:cs="Arial"/>
          <w:color w:val="auto"/>
          <w:sz w:val="24"/>
          <w:szCs w:val="24"/>
          <w:highlight w:val="none"/>
        </w:rPr>
      </w:pPr>
    </w:p>
    <w:p w14:paraId="7438A0C2">
      <w:pPr>
        <w:widowControl/>
        <w:autoSpaceDN w:val="0"/>
        <w:spacing w:line="360" w:lineRule="auto"/>
        <w:rPr>
          <w:rFonts w:ascii="仿宋" w:hAnsi="仿宋" w:eastAsia="仿宋" w:cs="Arial"/>
          <w:color w:val="auto"/>
          <w:sz w:val="24"/>
          <w:szCs w:val="24"/>
          <w:highlight w:val="none"/>
        </w:rPr>
      </w:pPr>
    </w:p>
    <w:p w14:paraId="77059C3D">
      <w:pPr>
        <w:widowControl/>
        <w:autoSpaceDN w:val="0"/>
        <w:spacing w:line="360"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单位名称（盖章）：                     单位名称（盖章）：</w:t>
      </w:r>
    </w:p>
    <w:p w14:paraId="7FA17DA1">
      <w:pPr>
        <w:widowControl/>
        <w:autoSpaceDN w:val="0"/>
        <w:spacing w:line="360" w:lineRule="auto"/>
        <w:rPr>
          <w:rFonts w:ascii="仿宋" w:hAnsi="仿宋" w:eastAsia="仿宋" w:cs="Arial"/>
          <w:color w:val="auto"/>
          <w:sz w:val="22"/>
          <w:szCs w:val="24"/>
          <w:highlight w:val="none"/>
        </w:rPr>
      </w:pPr>
      <w:r>
        <w:rPr>
          <w:rFonts w:hint="eastAsia" w:ascii="仿宋" w:hAnsi="仿宋" w:eastAsia="仿宋" w:cs="Arial"/>
          <w:color w:val="auto"/>
          <w:sz w:val="22"/>
          <w:szCs w:val="24"/>
          <w:highlight w:val="none"/>
        </w:rPr>
        <w:t>地址：                                     地址：</w:t>
      </w:r>
    </w:p>
    <w:p w14:paraId="1EC64A08">
      <w:pPr>
        <w:widowControl/>
        <w:autoSpaceDN w:val="0"/>
        <w:spacing w:line="360"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法定代表人或授权代表（签字或盖章）：   法定代表人或授权代表（签字或盖章）：</w:t>
      </w:r>
    </w:p>
    <w:p w14:paraId="332CEC7B">
      <w:pPr>
        <w:widowControl/>
        <w:autoSpaceDN w:val="0"/>
        <w:spacing w:line="360"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 xml:space="preserve">联系方式：                             联系方式：                          </w:t>
      </w:r>
    </w:p>
    <w:p w14:paraId="61BE87B4">
      <w:pPr>
        <w:widowControl/>
        <w:autoSpaceDN w:val="0"/>
        <w:spacing w:line="360"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协议签订时间：                         协议签订时间：</w:t>
      </w:r>
    </w:p>
    <w:p w14:paraId="528397E3">
      <w:pPr>
        <w:autoSpaceDN w:val="0"/>
        <w:spacing w:line="360" w:lineRule="auto"/>
        <w:ind w:firstLine="463" w:firstLineChars="193"/>
        <w:rPr>
          <w:rFonts w:ascii="仿宋" w:hAnsi="仿宋" w:eastAsia="仿宋" w:cs="Arial"/>
          <w:color w:val="auto"/>
          <w:sz w:val="24"/>
          <w:szCs w:val="24"/>
          <w:highlight w:val="none"/>
        </w:rPr>
      </w:pPr>
    </w:p>
    <w:p w14:paraId="6C913634">
      <w:pPr>
        <w:autoSpaceDN w:val="0"/>
        <w:spacing w:line="360" w:lineRule="auto"/>
        <w:ind w:firstLine="463" w:firstLineChars="193"/>
        <w:rPr>
          <w:rFonts w:ascii="仿宋" w:hAnsi="仿宋" w:eastAsia="仿宋" w:cs="Arial"/>
          <w:color w:val="auto"/>
          <w:sz w:val="24"/>
          <w:szCs w:val="24"/>
          <w:highlight w:val="none"/>
        </w:rPr>
      </w:pPr>
    </w:p>
    <w:p w14:paraId="2FE4AC00">
      <w:pPr>
        <w:autoSpaceDN w:val="0"/>
        <w:spacing w:line="360" w:lineRule="auto"/>
        <w:ind w:firstLine="463" w:firstLineChars="193"/>
        <w:rPr>
          <w:rFonts w:ascii="仿宋" w:hAnsi="仿宋" w:eastAsia="仿宋" w:cs="Arial"/>
          <w:color w:val="auto"/>
          <w:sz w:val="24"/>
          <w:szCs w:val="24"/>
          <w:highlight w:val="none"/>
        </w:rPr>
      </w:pPr>
    </w:p>
    <w:p w14:paraId="69FF833C">
      <w:pPr>
        <w:autoSpaceDN w:val="0"/>
        <w:spacing w:line="360" w:lineRule="auto"/>
        <w:ind w:firstLine="463" w:firstLineChars="193"/>
        <w:rPr>
          <w:rFonts w:ascii="仿宋" w:hAnsi="仿宋" w:eastAsia="仿宋" w:cs="Arial"/>
          <w:color w:val="auto"/>
          <w:sz w:val="24"/>
          <w:szCs w:val="24"/>
          <w:highlight w:val="none"/>
        </w:rPr>
      </w:pPr>
    </w:p>
    <w:p w14:paraId="2D1AEA4D">
      <w:pPr>
        <w:autoSpaceDN w:val="0"/>
        <w:spacing w:line="360" w:lineRule="auto"/>
        <w:ind w:firstLine="463" w:firstLineChars="193"/>
        <w:rPr>
          <w:rFonts w:ascii="仿宋" w:hAnsi="仿宋" w:eastAsia="仿宋" w:cs="Arial"/>
          <w:color w:val="auto"/>
          <w:sz w:val="24"/>
          <w:szCs w:val="24"/>
          <w:highlight w:val="none"/>
        </w:rPr>
      </w:pPr>
    </w:p>
    <w:p w14:paraId="66A001FC">
      <w:pPr>
        <w:autoSpaceDN w:val="0"/>
        <w:spacing w:line="360" w:lineRule="auto"/>
        <w:ind w:firstLine="463" w:firstLineChars="193"/>
        <w:rPr>
          <w:rFonts w:ascii="仿宋" w:hAnsi="仿宋" w:eastAsia="仿宋" w:cs="Arial"/>
          <w:color w:val="auto"/>
          <w:sz w:val="24"/>
          <w:szCs w:val="24"/>
          <w:highlight w:val="none"/>
        </w:rPr>
      </w:pPr>
    </w:p>
    <w:p w14:paraId="5D96E8DD">
      <w:pPr>
        <w:autoSpaceDN w:val="0"/>
        <w:spacing w:line="360" w:lineRule="auto"/>
        <w:ind w:firstLine="463" w:firstLineChars="193"/>
        <w:rPr>
          <w:rFonts w:ascii="仿宋" w:hAnsi="仿宋" w:eastAsia="仿宋" w:cs="Arial"/>
          <w:color w:val="auto"/>
          <w:sz w:val="24"/>
          <w:szCs w:val="24"/>
          <w:highlight w:val="none"/>
        </w:rPr>
      </w:pPr>
    </w:p>
    <w:p w14:paraId="4BD09419">
      <w:pPr>
        <w:autoSpaceDN w:val="0"/>
        <w:spacing w:line="360" w:lineRule="auto"/>
        <w:ind w:firstLine="463" w:firstLineChars="193"/>
        <w:rPr>
          <w:rFonts w:ascii="仿宋" w:hAnsi="仿宋" w:eastAsia="仿宋" w:cs="Arial"/>
          <w:color w:val="auto"/>
          <w:sz w:val="24"/>
          <w:szCs w:val="24"/>
          <w:highlight w:val="none"/>
        </w:rPr>
      </w:pPr>
    </w:p>
    <w:p w14:paraId="72101292">
      <w:pPr>
        <w:autoSpaceDN w:val="0"/>
        <w:spacing w:line="360" w:lineRule="auto"/>
        <w:ind w:firstLine="463" w:firstLineChars="193"/>
        <w:rPr>
          <w:rFonts w:ascii="仿宋" w:hAnsi="仿宋" w:eastAsia="仿宋" w:cs="Arial"/>
          <w:color w:val="auto"/>
          <w:sz w:val="24"/>
          <w:szCs w:val="24"/>
          <w:highlight w:val="none"/>
        </w:rPr>
      </w:pPr>
    </w:p>
    <w:p w14:paraId="29CFEBE1">
      <w:pPr>
        <w:autoSpaceDN w:val="0"/>
        <w:spacing w:line="360" w:lineRule="auto"/>
        <w:ind w:firstLine="463" w:firstLineChars="193"/>
        <w:rPr>
          <w:rFonts w:ascii="仿宋" w:hAnsi="仿宋" w:eastAsia="仿宋" w:cs="Arial"/>
          <w:color w:val="auto"/>
          <w:sz w:val="24"/>
          <w:szCs w:val="24"/>
          <w:highlight w:val="none"/>
        </w:rPr>
      </w:pPr>
    </w:p>
    <w:p w14:paraId="0CFCF2CA">
      <w:pPr>
        <w:autoSpaceDN w:val="0"/>
        <w:spacing w:line="360" w:lineRule="auto"/>
        <w:ind w:firstLine="463" w:firstLineChars="193"/>
        <w:rPr>
          <w:rFonts w:ascii="仿宋" w:hAnsi="仿宋" w:eastAsia="仿宋" w:cs="Arial"/>
          <w:color w:val="auto"/>
          <w:sz w:val="24"/>
          <w:szCs w:val="24"/>
          <w:highlight w:val="none"/>
        </w:rPr>
      </w:pPr>
    </w:p>
    <w:p w14:paraId="52B2AE53">
      <w:pPr>
        <w:autoSpaceDN w:val="0"/>
        <w:spacing w:line="200" w:lineRule="exact"/>
        <w:ind w:firstLine="301"/>
        <w:rPr>
          <w:rFonts w:ascii="宋体" w:hAnsi="Courier New" w:eastAsia="宋体" w:cs="Times New Roman"/>
          <w:color w:val="auto"/>
          <w:spacing w:val="-4"/>
          <w:kern w:val="0"/>
          <w:sz w:val="18"/>
          <w:szCs w:val="20"/>
          <w:highlight w:val="none"/>
        </w:rPr>
      </w:pPr>
    </w:p>
    <w:p w14:paraId="39CB6F52">
      <w:pPr>
        <w:autoSpaceDN w:val="0"/>
        <w:spacing w:line="200" w:lineRule="exact"/>
        <w:ind w:firstLine="301"/>
        <w:rPr>
          <w:rFonts w:ascii="宋体" w:hAnsi="Courier New" w:eastAsia="宋体" w:cs="Times New Roman"/>
          <w:color w:val="auto"/>
          <w:spacing w:val="-4"/>
          <w:kern w:val="0"/>
          <w:sz w:val="18"/>
          <w:szCs w:val="20"/>
          <w:highlight w:val="none"/>
        </w:rPr>
      </w:pPr>
    </w:p>
    <w:p w14:paraId="070C5D30">
      <w:pPr>
        <w:autoSpaceDN w:val="0"/>
        <w:spacing w:line="200" w:lineRule="exact"/>
        <w:ind w:firstLine="301"/>
        <w:rPr>
          <w:rFonts w:ascii="宋体" w:hAnsi="Courier New" w:eastAsia="宋体" w:cs="Times New Roman"/>
          <w:color w:val="auto"/>
          <w:spacing w:val="-4"/>
          <w:kern w:val="0"/>
          <w:sz w:val="18"/>
          <w:szCs w:val="20"/>
          <w:highlight w:val="none"/>
        </w:rPr>
      </w:pPr>
    </w:p>
    <w:p w14:paraId="62983288">
      <w:pPr>
        <w:autoSpaceDN w:val="0"/>
        <w:spacing w:line="200" w:lineRule="exact"/>
        <w:ind w:firstLine="301"/>
        <w:rPr>
          <w:rFonts w:ascii="宋体" w:hAnsi="Courier New" w:eastAsia="宋体" w:cs="Times New Roman"/>
          <w:color w:val="auto"/>
          <w:spacing w:val="-4"/>
          <w:kern w:val="0"/>
          <w:sz w:val="18"/>
          <w:szCs w:val="20"/>
          <w:highlight w:val="none"/>
        </w:rPr>
      </w:pPr>
    </w:p>
    <w:p w14:paraId="5A05ABFF">
      <w:pPr>
        <w:autoSpaceDN w:val="0"/>
        <w:spacing w:line="200" w:lineRule="exact"/>
        <w:ind w:firstLine="301"/>
        <w:rPr>
          <w:rFonts w:ascii="宋体" w:hAnsi="Courier New" w:eastAsia="宋体" w:cs="Times New Roman"/>
          <w:color w:val="auto"/>
          <w:spacing w:val="-4"/>
          <w:kern w:val="0"/>
          <w:sz w:val="18"/>
          <w:szCs w:val="20"/>
          <w:highlight w:val="none"/>
        </w:rPr>
      </w:pPr>
    </w:p>
    <w:p w14:paraId="3323F831">
      <w:pPr>
        <w:autoSpaceDN w:val="0"/>
        <w:spacing w:line="200" w:lineRule="exact"/>
        <w:ind w:firstLine="301"/>
        <w:rPr>
          <w:rFonts w:ascii="宋体" w:hAnsi="Courier New" w:eastAsia="宋体" w:cs="Times New Roman"/>
          <w:color w:val="auto"/>
          <w:spacing w:val="-4"/>
          <w:kern w:val="0"/>
          <w:sz w:val="18"/>
          <w:szCs w:val="20"/>
          <w:highlight w:val="none"/>
        </w:rPr>
      </w:pPr>
    </w:p>
    <w:p w14:paraId="3172486B">
      <w:pPr>
        <w:autoSpaceDN w:val="0"/>
        <w:spacing w:line="360" w:lineRule="auto"/>
        <w:ind w:firstLine="463" w:firstLineChars="193"/>
        <w:rPr>
          <w:rFonts w:ascii="仿宋" w:hAnsi="仿宋" w:eastAsia="仿宋" w:cs="Arial"/>
          <w:color w:val="auto"/>
          <w:sz w:val="24"/>
          <w:szCs w:val="24"/>
          <w:highlight w:val="none"/>
        </w:rPr>
      </w:pPr>
    </w:p>
    <w:p w14:paraId="2D2D7BCC">
      <w:pP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br w:type="page"/>
      </w:r>
    </w:p>
    <w:p w14:paraId="0910124E">
      <w:pPr>
        <w:pStyle w:val="78"/>
        <w:rPr>
          <w:color w:val="auto"/>
          <w:highlight w:val="none"/>
        </w:rPr>
      </w:pPr>
    </w:p>
    <w:p w14:paraId="00828C75">
      <w:pPr>
        <w:keepNext/>
        <w:keepLines/>
        <w:autoSpaceDN w:val="0"/>
        <w:spacing w:line="360" w:lineRule="auto"/>
        <w:jc w:val="left"/>
        <w:outlineLvl w:val="3"/>
        <w:rPr>
          <w:rFonts w:ascii="仿宋" w:hAnsi="仿宋" w:eastAsia="仿宋" w:cs="Times New Roman"/>
          <w:b/>
          <w:bCs/>
          <w:color w:val="auto"/>
          <w:sz w:val="28"/>
          <w:szCs w:val="28"/>
          <w:highlight w:val="none"/>
        </w:rPr>
      </w:pPr>
      <w:r>
        <w:rPr>
          <w:rFonts w:hint="eastAsia" w:ascii="仿宋" w:hAnsi="仿宋" w:eastAsia="仿宋" w:cs="Times New Roman"/>
          <w:b/>
          <w:bCs/>
          <w:color w:val="auto"/>
          <w:sz w:val="28"/>
          <w:szCs w:val="28"/>
          <w:highlight w:val="none"/>
        </w:rPr>
        <w:t>▲1-5分包意向协议</w:t>
      </w:r>
    </w:p>
    <w:p w14:paraId="5F534AC8">
      <w:pPr>
        <w:widowControl/>
        <w:autoSpaceDN w:val="0"/>
        <w:spacing w:line="360" w:lineRule="auto"/>
        <w:jc w:val="center"/>
        <w:rPr>
          <w:rFonts w:ascii="仿宋" w:hAnsi="仿宋" w:eastAsia="仿宋" w:cs="Arial"/>
          <w:b/>
          <w:color w:val="auto"/>
          <w:w w:val="80"/>
          <w:kern w:val="0"/>
          <w:sz w:val="32"/>
          <w:szCs w:val="32"/>
          <w:highlight w:val="none"/>
        </w:rPr>
      </w:pPr>
      <w:r>
        <w:rPr>
          <w:rFonts w:hint="eastAsia" w:ascii="仿宋" w:hAnsi="仿宋" w:eastAsia="仿宋" w:cs="Times New Roman"/>
          <w:b/>
          <w:color w:val="auto"/>
          <w:sz w:val="32"/>
          <w:szCs w:val="32"/>
          <w:highlight w:val="none"/>
        </w:rPr>
        <w:t>▲分包意向协议（仅分包适用）</w:t>
      </w:r>
    </w:p>
    <w:p w14:paraId="20A1B71F">
      <w:pPr>
        <w:autoSpaceDN w:val="0"/>
        <w:spacing w:line="360" w:lineRule="auto"/>
        <w:ind w:firstLine="465" w:firstLineChars="193"/>
        <w:jc w:val="left"/>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（成交后以分包方式履行合同的，提供分包意向协议；采购人不同意分包或者磋商响应公寓成交后不以分包方式履行合同的，则不需要提供。）</w:t>
      </w:r>
    </w:p>
    <w:p w14:paraId="245B6CF0">
      <w:pPr>
        <w:autoSpaceDN w:val="0"/>
        <w:spacing w:line="360" w:lineRule="auto"/>
        <w:ind w:firstLine="463" w:firstLineChars="193"/>
        <w:rPr>
          <w:rFonts w:ascii="仿宋" w:hAnsi="仿宋" w:eastAsia="仿宋" w:cs="Arial"/>
          <w:color w:val="auto"/>
          <w:sz w:val="24"/>
          <w:szCs w:val="24"/>
          <w:highlight w:val="none"/>
          <w:lang w:val="zh-CN"/>
        </w:rPr>
      </w:pPr>
      <w:r>
        <w:rPr>
          <w:rFonts w:hint="eastAsia" w:ascii="仿宋" w:hAnsi="仿宋" w:eastAsia="仿宋" w:cs="Arial"/>
          <w:color w:val="auto"/>
          <w:sz w:val="24"/>
          <w:szCs w:val="24"/>
          <w:highlight w:val="none"/>
          <w:u w:val="single"/>
        </w:rPr>
        <w:t>（磋商响应供应商名称）</w:t>
      </w:r>
      <w:r>
        <w:rPr>
          <w:rFonts w:hint="eastAsia" w:ascii="仿宋" w:hAnsi="仿宋" w:eastAsia="仿宋" w:cs="Arial"/>
          <w:color w:val="auto"/>
          <w:sz w:val="24"/>
          <w:szCs w:val="24"/>
          <w:highlight w:val="none"/>
          <w:lang w:val="zh-CN"/>
        </w:rPr>
        <w:t>若成为</w:t>
      </w:r>
      <w:r>
        <w:rPr>
          <w:rFonts w:hint="eastAsia" w:ascii="仿宋" w:hAnsi="仿宋" w:eastAsia="仿宋" w:cs="Arial"/>
          <w:b/>
          <w:color w:val="auto"/>
          <w:kern w:val="0"/>
          <w:sz w:val="24"/>
          <w:szCs w:val="24"/>
          <w:highlight w:val="none"/>
          <w:u w:val="single"/>
          <w:lang w:eastAsia="zh-CN"/>
        </w:rPr>
        <w:t>浙江工业大学屏峰校区学生宿舍建设工程项目施工用电工程</w:t>
      </w:r>
      <w:r>
        <w:rPr>
          <w:rFonts w:hint="eastAsia" w:ascii="仿宋" w:hAnsi="仿宋" w:eastAsia="仿宋" w:cs="Arial"/>
          <w:b/>
          <w:color w:val="auto"/>
          <w:kern w:val="0"/>
          <w:sz w:val="24"/>
          <w:szCs w:val="24"/>
          <w:highlight w:val="none"/>
          <w:u w:val="single"/>
        </w:rPr>
        <w:t>（项目编号：</w:t>
      </w:r>
      <w:r>
        <w:rPr>
          <w:rFonts w:hint="eastAsia" w:ascii="仿宋" w:hAnsi="仿宋" w:eastAsia="仿宋" w:cs="Arial"/>
          <w:b/>
          <w:color w:val="auto"/>
          <w:kern w:val="0"/>
          <w:sz w:val="24"/>
          <w:szCs w:val="24"/>
          <w:highlight w:val="none"/>
          <w:u w:val="single"/>
          <w:lang w:eastAsia="zh-CN"/>
        </w:rPr>
        <w:t>HCZX-24982</w:t>
      </w:r>
      <w:r>
        <w:rPr>
          <w:rFonts w:hint="eastAsia" w:ascii="仿宋" w:hAnsi="仿宋" w:eastAsia="仿宋" w:cs="Arial"/>
          <w:b/>
          <w:color w:val="auto"/>
          <w:kern w:val="0"/>
          <w:sz w:val="24"/>
          <w:szCs w:val="24"/>
          <w:highlight w:val="none"/>
          <w:u w:val="single"/>
        </w:rPr>
        <w:t>）</w:t>
      </w:r>
      <w:r>
        <w:rPr>
          <w:rFonts w:hint="eastAsia" w:ascii="仿宋" w:hAnsi="仿宋" w:eastAsia="仿宋" w:cs="Arial"/>
          <w:color w:val="auto"/>
          <w:sz w:val="24"/>
          <w:szCs w:val="24"/>
          <w:highlight w:val="none"/>
          <w:lang w:val="zh-CN"/>
        </w:rPr>
        <w:t>的</w:t>
      </w:r>
      <w:r>
        <w:rPr>
          <w:rFonts w:hint="eastAsia" w:ascii="仿宋" w:hAnsi="仿宋" w:eastAsia="仿宋" w:cs="Arial"/>
          <w:color w:val="auto"/>
          <w:sz w:val="24"/>
          <w:szCs w:val="24"/>
          <w:highlight w:val="none"/>
        </w:rPr>
        <w:t>成交</w:t>
      </w:r>
      <w:r>
        <w:rPr>
          <w:rFonts w:hint="eastAsia" w:ascii="仿宋" w:hAnsi="仿宋" w:eastAsia="仿宋" w:cs="Arial"/>
          <w:color w:val="auto"/>
          <w:sz w:val="24"/>
          <w:szCs w:val="24"/>
          <w:highlight w:val="none"/>
          <w:lang w:val="zh-CN"/>
        </w:rPr>
        <w:t>供应商，将依法采取分包方式履行合同。</w:t>
      </w:r>
      <w:r>
        <w:rPr>
          <w:rFonts w:hint="eastAsia" w:ascii="仿宋" w:hAnsi="仿宋" w:eastAsia="仿宋" w:cs="Arial"/>
          <w:b/>
          <w:bCs/>
          <w:color w:val="auto"/>
          <w:sz w:val="24"/>
          <w:szCs w:val="24"/>
          <w:highlight w:val="none"/>
          <w:u w:val="single"/>
        </w:rPr>
        <w:t>（磋商响应供应商名称）</w:t>
      </w:r>
      <w:r>
        <w:rPr>
          <w:rFonts w:hint="eastAsia" w:ascii="仿宋" w:hAnsi="仿宋" w:eastAsia="仿宋" w:cs="Arial"/>
          <w:color w:val="auto"/>
          <w:sz w:val="24"/>
          <w:szCs w:val="24"/>
          <w:highlight w:val="none"/>
        </w:rPr>
        <w:t>与</w:t>
      </w:r>
      <w:r>
        <w:rPr>
          <w:rFonts w:hint="eastAsia" w:ascii="仿宋" w:hAnsi="仿宋" w:eastAsia="仿宋" w:cs="Arial"/>
          <w:b/>
          <w:bCs/>
          <w:color w:val="auto"/>
          <w:sz w:val="24"/>
          <w:szCs w:val="24"/>
          <w:highlight w:val="none"/>
          <w:u w:val="single"/>
        </w:rPr>
        <w:t>（所有分包供应商名称）</w:t>
      </w:r>
      <w:r>
        <w:rPr>
          <w:rFonts w:hint="eastAsia" w:ascii="仿宋" w:hAnsi="仿宋" w:eastAsia="仿宋" w:cs="Arial"/>
          <w:color w:val="auto"/>
          <w:sz w:val="24"/>
          <w:szCs w:val="24"/>
          <w:highlight w:val="none"/>
        </w:rPr>
        <w:t>达成分包意向协议</w:t>
      </w:r>
      <w:r>
        <w:rPr>
          <w:rFonts w:hint="eastAsia" w:ascii="仿宋" w:hAnsi="仿宋" w:eastAsia="仿宋" w:cs="Arial"/>
          <w:color w:val="auto"/>
          <w:sz w:val="24"/>
          <w:szCs w:val="24"/>
          <w:highlight w:val="none"/>
          <w:lang w:val="zh-CN"/>
        </w:rPr>
        <w:t xml:space="preserve">。 </w:t>
      </w:r>
    </w:p>
    <w:p w14:paraId="0ACE99AD">
      <w:pPr>
        <w:autoSpaceDN w:val="0"/>
        <w:spacing w:line="360" w:lineRule="auto"/>
        <w:ind w:firstLine="463" w:firstLineChars="193"/>
        <w:rPr>
          <w:rFonts w:ascii="仿宋" w:hAnsi="仿宋" w:eastAsia="仿宋" w:cs="Arial"/>
          <w:color w:val="auto"/>
          <w:sz w:val="24"/>
          <w:szCs w:val="24"/>
          <w:highlight w:val="none"/>
          <w:lang w:val="zh-CN"/>
        </w:rPr>
      </w:pPr>
      <w:r>
        <w:rPr>
          <w:rFonts w:hint="eastAsia" w:ascii="仿宋" w:hAnsi="仿宋" w:eastAsia="仿宋" w:cs="Arial"/>
          <w:color w:val="auto"/>
          <w:sz w:val="24"/>
          <w:szCs w:val="24"/>
          <w:highlight w:val="none"/>
          <w:lang w:val="zh-CN"/>
        </w:rPr>
        <w:t>一、分包标的及数量</w:t>
      </w:r>
    </w:p>
    <w:p w14:paraId="391DCE1B">
      <w:pPr>
        <w:autoSpaceDN w:val="0"/>
        <w:spacing w:line="360" w:lineRule="auto"/>
        <w:ind w:firstLine="465" w:firstLineChars="193"/>
        <w:rPr>
          <w:rFonts w:ascii="仿宋" w:hAnsi="仿宋" w:eastAsia="仿宋" w:cs="Arial"/>
          <w:color w:val="auto"/>
          <w:sz w:val="24"/>
          <w:szCs w:val="24"/>
          <w:highlight w:val="none"/>
          <w:lang w:val="zh-CN"/>
        </w:rPr>
      </w:pPr>
      <w:r>
        <w:rPr>
          <w:rFonts w:hint="eastAsia" w:ascii="仿宋" w:hAnsi="仿宋" w:eastAsia="仿宋" w:cs="Arial"/>
          <w:b/>
          <w:bCs/>
          <w:color w:val="auto"/>
          <w:sz w:val="24"/>
          <w:szCs w:val="24"/>
          <w:highlight w:val="none"/>
          <w:u w:val="single"/>
        </w:rPr>
        <w:t>（磋商响应供应商名称）</w:t>
      </w:r>
      <w:r>
        <w:rPr>
          <w:rFonts w:hint="eastAsia" w:ascii="仿宋" w:hAnsi="仿宋" w:eastAsia="仿宋" w:cs="Arial"/>
          <w:color w:val="auto"/>
          <w:sz w:val="24"/>
          <w:szCs w:val="24"/>
          <w:highlight w:val="none"/>
          <w:lang w:val="zh-CN"/>
        </w:rPr>
        <w:t>将</w:t>
      </w:r>
      <w:r>
        <w:rPr>
          <w:rFonts w:hint="eastAsia" w:ascii="仿宋" w:hAnsi="仿宋" w:eastAsia="仿宋" w:cs="Arial"/>
          <w:b/>
          <w:bCs/>
          <w:color w:val="auto"/>
          <w:sz w:val="24"/>
          <w:szCs w:val="24"/>
          <w:highlight w:val="none"/>
          <w:u w:val="single"/>
        </w:rPr>
        <w:t xml:space="preserve">   XX工作内容   </w:t>
      </w:r>
      <w:r>
        <w:rPr>
          <w:rFonts w:hint="eastAsia" w:ascii="仿宋" w:hAnsi="仿宋" w:eastAsia="仿宋" w:cs="Arial"/>
          <w:color w:val="auto"/>
          <w:sz w:val="24"/>
          <w:szCs w:val="24"/>
          <w:highlight w:val="none"/>
        </w:rPr>
        <w:t>分包给</w:t>
      </w:r>
      <w:r>
        <w:rPr>
          <w:rFonts w:hint="eastAsia" w:ascii="仿宋" w:hAnsi="仿宋" w:eastAsia="仿宋" w:cs="Arial"/>
          <w:b/>
          <w:bCs/>
          <w:color w:val="auto"/>
          <w:sz w:val="24"/>
          <w:szCs w:val="24"/>
          <w:highlight w:val="none"/>
          <w:u w:val="single"/>
        </w:rPr>
        <w:t>（某分包供应商名称）</w:t>
      </w:r>
      <w:r>
        <w:rPr>
          <w:rFonts w:hint="eastAsia" w:ascii="仿宋" w:hAnsi="仿宋" w:eastAsia="仿宋" w:cs="Arial"/>
          <w:color w:val="auto"/>
          <w:sz w:val="24"/>
          <w:szCs w:val="24"/>
          <w:highlight w:val="none"/>
          <w:lang w:val="zh-CN"/>
        </w:rPr>
        <w:t>，</w:t>
      </w:r>
      <w:r>
        <w:rPr>
          <w:rFonts w:hint="eastAsia" w:ascii="仿宋" w:hAnsi="仿宋" w:eastAsia="仿宋" w:cs="Arial"/>
          <w:b/>
          <w:bCs/>
          <w:color w:val="auto"/>
          <w:sz w:val="24"/>
          <w:szCs w:val="24"/>
          <w:highlight w:val="none"/>
          <w:u w:val="single"/>
        </w:rPr>
        <w:t>（某分包供应商名称）</w:t>
      </w:r>
      <w:r>
        <w:rPr>
          <w:rFonts w:hint="eastAsia" w:ascii="仿宋" w:hAnsi="仿宋" w:eastAsia="仿宋" w:cs="Arial"/>
          <w:color w:val="auto"/>
          <w:sz w:val="24"/>
          <w:szCs w:val="24"/>
          <w:highlight w:val="none"/>
        </w:rPr>
        <w:t>，</w:t>
      </w:r>
      <w:r>
        <w:rPr>
          <w:rFonts w:hint="eastAsia" w:ascii="仿宋" w:hAnsi="仿宋" w:eastAsia="仿宋" w:cs="Arial"/>
          <w:color w:val="auto"/>
          <w:sz w:val="24"/>
          <w:szCs w:val="24"/>
          <w:highlight w:val="none"/>
          <w:lang w:val="zh-CN"/>
        </w:rPr>
        <w:t>具备承</w:t>
      </w:r>
      <w:r>
        <w:rPr>
          <w:rFonts w:hint="eastAsia" w:ascii="仿宋" w:hAnsi="仿宋" w:eastAsia="仿宋" w:cs="Arial"/>
          <w:color w:val="auto"/>
          <w:sz w:val="24"/>
          <w:szCs w:val="24"/>
          <w:highlight w:val="none"/>
        </w:rPr>
        <w:t>担</w:t>
      </w:r>
      <w:r>
        <w:rPr>
          <w:rFonts w:hint="eastAsia" w:ascii="仿宋" w:hAnsi="仿宋" w:eastAsia="仿宋" w:cs="Arial"/>
          <w:b/>
          <w:bCs/>
          <w:color w:val="auto"/>
          <w:sz w:val="24"/>
          <w:szCs w:val="24"/>
          <w:highlight w:val="none"/>
          <w:u w:val="single"/>
          <w:lang w:val="zh-CN"/>
        </w:rPr>
        <w:t>XX工作内容</w:t>
      </w:r>
      <w:r>
        <w:rPr>
          <w:rFonts w:hint="eastAsia" w:ascii="仿宋" w:hAnsi="仿宋" w:eastAsia="仿宋" w:cs="Arial"/>
          <w:color w:val="auto"/>
          <w:sz w:val="24"/>
          <w:szCs w:val="24"/>
          <w:highlight w:val="none"/>
          <w:lang w:val="zh-CN"/>
        </w:rPr>
        <w:t>相应资质条件且不得再次分包；</w:t>
      </w:r>
    </w:p>
    <w:p w14:paraId="1745B4D5">
      <w:pPr>
        <w:autoSpaceDN w:val="0"/>
        <w:spacing w:line="360" w:lineRule="auto"/>
        <w:ind w:firstLine="463" w:firstLineChars="193"/>
        <w:rPr>
          <w:rFonts w:ascii="仿宋" w:hAnsi="仿宋" w:eastAsia="仿宋" w:cs="Arial"/>
          <w:color w:val="auto"/>
          <w:sz w:val="24"/>
          <w:szCs w:val="24"/>
          <w:highlight w:val="none"/>
          <w:lang w:val="zh-CN"/>
        </w:rPr>
      </w:pPr>
      <w:r>
        <w:rPr>
          <w:rFonts w:hint="eastAsia" w:ascii="仿宋" w:hAnsi="仿宋" w:eastAsia="仿宋" w:cs="Arial"/>
          <w:color w:val="auto"/>
          <w:sz w:val="24"/>
          <w:szCs w:val="24"/>
          <w:highlight w:val="none"/>
        </w:rPr>
        <w:t>二、</w:t>
      </w:r>
      <w:r>
        <w:rPr>
          <w:rFonts w:hint="eastAsia" w:ascii="仿宋" w:hAnsi="仿宋" w:eastAsia="仿宋" w:cs="Arial"/>
          <w:color w:val="auto"/>
          <w:sz w:val="24"/>
          <w:szCs w:val="24"/>
          <w:highlight w:val="none"/>
          <w:lang w:val="zh-CN"/>
        </w:rPr>
        <w:t>分包工作履行期限、地点、方式</w:t>
      </w:r>
    </w:p>
    <w:p w14:paraId="63361796">
      <w:pPr>
        <w:autoSpaceDN w:val="0"/>
        <w:spacing w:line="360" w:lineRule="auto"/>
        <w:rPr>
          <w:rFonts w:ascii="Times New Roman" w:hAnsi="Times New Roman" w:eastAsia="仿宋" w:cs="Times New Roman"/>
          <w:color w:val="auto"/>
          <w:szCs w:val="24"/>
          <w:highlight w:val="none"/>
        </w:rPr>
      </w:pPr>
      <w:r>
        <w:rPr>
          <w:rFonts w:hint="eastAsia" w:ascii="仿宋" w:hAnsi="仿宋" w:eastAsia="仿宋" w:cs="Arial"/>
          <w:color w:val="auto"/>
          <w:sz w:val="24"/>
          <w:szCs w:val="24"/>
          <w:highlight w:val="none"/>
        </w:rPr>
        <w:t xml:space="preserve">___________________________________________________________________    </w:t>
      </w:r>
    </w:p>
    <w:p w14:paraId="79753111">
      <w:pPr>
        <w:autoSpaceDN w:val="0"/>
        <w:spacing w:line="360" w:lineRule="auto"/>
        <w:ind w:firstLine="463" w:firstLineChars="193"/>
        <w:rPr>
          <w:rFonts w:ascii="Times New Roman" w:hAnsi="Times New Roman" w:eastAsia="宋体" w:cs="Times New Roman"/>
          <w:color w:val="auto"/>
          <w:szCs w:val="24"/>
          <w:highlight w:val="none"/>
          <w:lang w:val="zh-CN"/>
        </w:rPr>
      </w:pPr>
      <w:r>
        <w:rPr>
          <w:rFonts w:hint="eastAsia" w:ascii="仿宋_GB2312" w:hAnsi="仿宋" w:eastAsia="仿宋_GB2312" w:cs="仿宋_GB2312"/>
          <w:color w:val="auto"/>
          <w:kern w:val="0"/>
          <w:sz w:val="24"/>
          <w:szCs w:val="24"/>
          <w:highlight w:val="none"/>
        </w:rPr>
        <w:t>三、</w:t>
      </w:r>
      <w:r>
        <w:rPr>
          <w:rFonts w:hint="eastAsia" w:ascii="仿宋_GB2312" w:hAnsi="仿宋" w:eastAsia="仿宋_GB2312" w:cs="仿宋_GB2312"/>
          <w:color w:val="auto"/>
          <w:kern w:val="0"/>
          <w:sz w:val="24"/>
          <w:szCs w:val="24"/>
          <w:highlight w:val="none"/>
          <w:lang w:val="zh-CN"/>
        </w:rPr>
        <w:t>质量</w:t>
      </w:r>
    </w:p>
    <w:p w14:paraId="17F9E663">
      <w:pPr>
        <w:autoSpaceDN w:val="0"/>
        <w:snapToGrid w:val="0"/>
        <w:spacing w:line="360" w:lineRule="auto"/>
        <w:rPr>
          <w:rFonts w:ascii="Times New Roman" w:hAnsi="Times New Roman" w:eastAsia="宋体" w:cs="Times New Roman"/>
          <w:color w:val="auto"/>
          <w:szCs w:val="24"/>
          <w:highlight w:val="none"/>
          <w:lang w:val="zh-CN"/>
        </w:rPr>
      </w:pPr>
      <w:r>
        <w:rPr>
          <w:rFonts w:hint="eastAsia" w:ascii="仿宋" w:hAnsi="仿宋" w:eastAsia="仿宋" w:cs="Arial"/>
          <w:color w:val="auto"/>
          <w:sz w:val="24"/>
          <w:szCs w:val="24"/>
          <w:highlight w:val="none"/>
        </w:rPr>
        <w:t>___________________________________________________________________</w:t>
      </w:r>
    </w:p>
    <w:p w14:paraId="24BAF4CC">
      <w:pPr>
        <w:autoSpaceDN w:val="0"/>
        <w:spacing w:line="360" w:lineRule="auto"/>
        <w:ind w:firstLine="463" w:firstLineChars="193"/>
        <w:rPr>
          <w:rFonts w:ascii="Times New Roman" w:hAnsi="Times New Roman" w:eastAsia="宋体" w:cs="Times New Roman"/>
          <w:color w:val="auto"/>
          <w:szCs w:val="24"/>
          <w:highlight w:val="none"/>
          <w:lang w:val="zh-CN"/>
        </w:rPr>
      </w:pPr>
      <w:r>
        <w:rPr>
          <w:rFonts w:hint="eastAsia" w:ascii="仿宋_GB2312" w:hAnsi="仿宋" w:eastAsia="仿宋_GB2312" w:cs="仿宋_GB2312"/>
          <w:color w:val="auto"/>
          <w:kern w:val="0"/>
          <w:sz w:val="24"/>
          <w:szCs w:val="24"/>
          <w:highlight w:val="none"/>
        </w:rPr>
        <w:t>四、</w:t>
      </w:r>
      <w:r>
        <w:rPr>
          <w:rFonts w:hint="eastAsia" w:ascii="仿宋_GB2312" w:hAnsi="仿宋" w:eastAsia="仿宋_GB2312" w:cs="仿宋_GB2312"/>
          <w:color w:val="auto"/>
          <w:kern w:val="0"/>
          <w:sz w:val="24"/>
          <w:szCs w:val="24"/>
          <w:highlight w:val="none"/>
          <w:lang w:val="zh-CN"/>
        </w:rPr>
        <w:t>价款或者报酬</w:t>
      </w:r>
    </w:p>
    <w:p w14:paraId="5665F81A">
      <w:pPr>
        <w:autoSpaceDN w:val="0"/>
        <w:snapToGrid w:val="0"/>
        <w:spacing w:line="360" w:lineRule="auto"/>
        <w:rPr>
          <w:rFonts w:ascii="Times New Roman" w:hAnsi="Times New Roman" w:eastAsia="宋体" w:cs="Times New Roman"/>
          <w:color w:val="auto"/>
          <w:szCs w:val="24"/>
          <w:highlight w:val="none"/>
          <w:lang w:val="zh-CN"/>
        </w:rPr>
      </w:pPr>
      <w:r>
        <w:rPr>
          <w:rFonts w:hint="eastAsia" w:ascii="仿宋" w:hAnsi="仿宋" w:eastAsia="仿宋" w:cs="Arial"/>
          <w:color w:val="auto"/>
          <w:sz w:val="24"/>
          <w:szCs w:val="24"/>
          <w:highlight w:val="none"/>
        </w:rPr>
        <w:t>____________________________________________________________________</w:t>
      </w:r>
    </w:p>
    <w:p w14:paraId="0F6FCC01">
      <w:pPr>
        <w:autoSpaceDN w:val="0"/>
        <w:spacing w:line="360" w:lineRule="auto"/>
        <w:ind w:firstLine="463" w:firstLineChars="193"/>
        <w:rPr>
          <w:rFonts w:ascii="Times New Roman" w:hAnsi="Times New Roman" w:eastAsia="宋体" w:cs="Times New Roman"/>
          <w:color w:val="auto"/>
          <w:szCs w:val="24"/>
          <w:highlight w:val="none"/>
          <w:lang w:val="zh-CN"/>
        </w:rPr>
      </w:pPr>
      <w:r>
        <w:rPr>
          <w:rFonts w:hint="eastAsia" w:ascii="仿宋_GB2312" w:hAnsi="仿宋" w:eastAsia="仿宋_GB2312" w:cs="仿宋_GB2312"/>
          <w:color w:val="auto"/>
          <w:kern w:val="0"/>
          <w:sz w:val="24"/>
          <w:szCs w:val="24"/>
          <w:highlight w:val="none"/>
        </w:rPr>
        <w:t>五、</w:t>
      </w:r>
      <w:r>
        <w:rPr>
          <w:rFonts w:hint="eastAsia" w:ascii="仿宋_GB2312" w:hAnsi="仿宋" w:eastAsia="仿宋_GB2312" w:cs="仿宋_GB2312"/>
          <w:color w:val="auto"/>
          <w:kern w:val="0"/>
          <w:sz w:val="24"/>
          <w:szCs w:val="24"/>
          <w:highlight w:val="none"/>
          <w:lang w:val="zh-CN"/>
        </w:rPr>
        <w:t>违约责任</w:t>
      </w:r>
    </w:p>
    <w:p w14:paraId="5C8AA072">
      <w:pPr>
        <w:autoSpaceDN w:val="0"/>
        <w:snapToGrid w:val="0"/>
        <w:spacing w:line="360" w:lineRule="auto"/>
        <w:rPr>
          <w:rFonts w:ascii="Times New Roman" w:hAnsi="Times New Roman" w:eastAsia="宋体" w:cs="Times New Roman"/>
          <w:color w:val="auto"/>
          <w:szCs w:val="24"/>
          <w:highlight w:val="none"/>
          <w:lang w:val="zh-CN"/>
        </w:rPr>
      </w:pPr>
      <w:r>
        <w:rPr>
          <w:rFonts w:hint="eastAsia" w:ascii="仿宋" w:hAnsi="仿宋" w:eastAsia="仿宋" w:cs="Arial"/>
          <w:color w:val="auto"/>
          <w:sz w:val="24"/>
          <w:szCs w:val="24"/>
          <w:highlight w:val="none"/>
        </w:rPr>
        <w:t>_____________________________________________________________________</w:t>
      </w:r>
    </w:p>
    <w:p w14:paraId="676B9A33">
      <w:pPr>
        <w:autoSpaceDN w:val="0"/>
        <w:spacing w:line="360" w:lineRule="auto"/>
        <w:ind w:firstLine="463" w:firstLineChars="193"/>
        <w:rPr>
          <w:rFonts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rPr>
        <w:t>六、</w:t>
      </w:r>
      <w:r>
        <w:rPr>
          <w:rFonts w:hint="eastAsia" w:ascii="仿宋_GB2312" w:hAnsi="仿宋" w:eastAsia="仿宋_GB2312" w:cs="仿宋_GB2312"/>
          <w:color w:val="auto"/>
          <w:kern w:val="0"/>
          <w:sz w:val="24"/>
          <w:szCs w:val="24"/>
          <w:highlight w:val="none"/>
          <w:lang w:val="zh-CN"/>
        </w:rPr>
        <w:t>争议解决的办法</w:t>
      </w:r>
    </w:p>
    <w:p w14:paraId="5695CE0E">
      <w:pPr>
        <w:autoSpaceDN w:val="0"/>
        <w:snapToGrid w:val="0"/>
        <w:spacing w:line="360" w:lineRule="auto"/>
        <w:rPr>
          <w:rFonts w:ascii="仿宋_GB2312" w:hAnsi="仿宋" w:eastAsia="仿宋_GB2312" w:cs="仿宋_GB2312"/>
          <w:color w:val="auto"/>
          <w:kern w:val="0"/>
          <w:sz w:val="24"/>
          <w:szCs w:val="24"/>
          <w:highlight w:val="none"/>
          <w:lang w:val="zh-CN"/>
        </w:rPr>
      </w:pPr>
      <w:r>
        <w:rPr>
          <w:rFonts w:hint="eastAsia" w:ascii="仿宋" w:hAnsi="仿宋" w:eastAsia="仿宋" w:cs="Arial"/>
          <w:color w:val="auto"/>
          <w:sz w:val="24"/>
          <w:szCs w:val="24"/>
          <w:highlight w:val="none"/>
        </w:rPr>
        <w:t xml:space="preserve">____________________________________________________________________                                                                            </w:t>
      </w:r>
      <w:r>
        <w:rPr>
          <w:rFonts w:hint="eastAsia" w:ascii="仿宋_GB2312" w:hAnsi="仿宋" w:eastAsia="仿宋_GB2312" w:cs="Times New Roman"/>
          <w:color w:val="auto"/>
          <w:szCs w:val="24"/>
          <w:highlight w:val="none"/>
          <w:u w:val="single"/>
        </w:rPr>
        <w:t xml:space="preserve">  </w:t>
      </w:r>
    </w:p>
    <w:p w14:paraId="09211A2D">
      <w:pPr>
        <w:autoSpaceDN w:val="0"/>
        <w:spacing w:line="360" w:lineRule="auto"/>
        <w:ind w:firstLine="463" w:firstLineChars="193"/>
        <w:rPr>
          <w:rFonts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rPr>
        <w:t>七、</w:t>
      </w:r>
      <w:r>
        <w:rPr>
          <w:rFonts w:hint="eastAsia" w:ascii="仿宋_GB2312" w:hAnsi="仿宋" w:eastAsia="仿宋_GB2312" w:cs="仿宋_GB2312"/>
          <w:color w:val="auto"/>
          <w:kern w:val="0"/>
          <w:sz w:val="24"/>
          <w:szCs w:val="24"/>
          <w:highlight w:val="none"/>
          <w:lang w:val="zh-CN"/>
        </w:rPr>
        <w:t>其他</w:t>
      </w:r>
    </w:p>
    <w:p w14:paraId="670B7956">
      <w:pPr>
        <w:autoSpaceDN w:val="0"/>
        <w:snapToGrid w:val="0"/>
        <w:spacing w:line="360" w:lineRule="auto"/>
        <w:ind w:left="5760" w:hanging="5760" w:hangingChars="2400"/>
        <w:rPr>
          <w:rFonts w:ascii="仿宋_GB2312" w:hAnsi="仿宋" w:eastAsia="仿宋_GB2312" w:cs="仿宋_GB2312"/>
          <w:color w:val="auto"/>
          <w:kern w:val="0"/>
          <w:sz w:val="24"/>
          <w:szCs w:val="24"/>
          <w:highlight w:val="none"/>
          <w:lang w:val="zh-CN"/>
        </w:rPr>
      </w:pPr>
      <w:r>
        <w:rPr>
          <w:rFonts w:hint="eastAsia" w:ascii="仿宋" w:hAnsi="仿宋" w:eastAsia="仿宋" w:cs="Arial"/>
          <w:color w:val="auto"/>
          <w:sz w:val="24"/>
          <w:szCs w:val="24"/>
          <w:highlight w:val="none"/>
        </w:rPr>
        <w:t>____________________________________________________________________</w:t>
      </w:r>
      <w:r>
        <w:rPr>
          <w:rFonts w:hint="eastAsia"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color w:val="auto"/>
          <w:kern w:val="0"/>
          <w:sz w:val="24"/>
          <w:szCs w:val="24"/>
          <w:highlight w:val="none"/>
        </w:rPr>
        <w:t>磋商响应供应商</w:t>
      </w:r>
      <w:r>
        <w:rPr>
          <w:rFonts w:hint="eastAsia" w:ascii="仿宋_GB2312" w:hAnsi="仿宋" w:eastAsia="仿宋_GB2312" w:cs="仿宋_GB2312"/>
          <w:color w:val="auto"/>
          <w:kern w:val="0"/>
          <w:sz w:val="24"/>
          <w:szCs w:val="24"/>
          <w:highlight w:val="none"/>
          <w:lang w:val="zh-CN"/>
        </w:rPr>
        <w:t>(</w:t>
      </w:r>
      <w:r>
        <w:rPr>
          <w:rFonts w:hint="eastAsia" w:ascii="仿宋_GB2312" w:hAnsi="仿宋" w:eastAsia="仿宋_GB2312" w:cs="仿宋_GB2312"/>
          <w:color w:val="auto"/>
          <w:kern w:val="0"/>
          <w:sz w:val="24"/>
          <w:szCs w:val="24"/>
          <w:highlight w:val="none"/>
        </w:rPr>
        <w:t>盖章</w:t>
      </w:r>
      <w:r>
        <w:rPr>
          <w:rFonts w:hint="eastAsia" w:ascii="仿宋_GB2312" w:hAnsi="仿宋" w:eastAsia="仿宋_GB2312" w:cs="仿宋_GB2312"/>
          <w:color w:val="auto"/>
          <w:kern w:val="0"/>
          <w:sz w:val="24"/>
          <w:szCs w:val="24"/>
          <w:highlight w:val="none"/>
          <w:lang w:val="zh-CN"/>
        </w:rPr>
        <w:t>)：</w:t>
      </w:r>
    </w:p>
    <w:p w14:paraId="03814DA3">
      <w:pPr>
        <w:autoSpaceDN w:val="0"/>
        <w:snapToGrid w:val="0"/>
        <w:spacing w:line="360" w:lineRule="auto"/>
        <w:ind w:firstLine="5640" w:firstLineChars="2350"/>
        <w:rPr>
          <w:rFonts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分包供应商名称（</w:t>
      </w:r>
      <w:r>
        <w:rPr>
          <w:rFonts w:hint="eastAsia" w:ascii="仿宋_GB2312" w:hAnsi="仿宋" w:eastAsia="仿宋_GB2312" w:cs="仿宋_GB2312"/>
          <w:color w:val="auto"/>
          <w:kern w:val="0"/>
          <w:sz w:val="24"/>
          <w:szCs w:val="24"/>
          <w:highlight w:val="none"/>
        </w:rPr>
        <w:t>盖章</w:t>
      </w:r>
      <w:r>
        <w:rPr>
          <w:rFonts w:hint="eastAsia" w:ascii="仿宋_GB2312" w:hAnsi="仿宋" w:eastAsia="仿宋_GB2312" w:cs="仿宋_GB2312"/>
          <w:color w:val="auto"/>
          <w:kern w:val="0"/>
          <w:sz w:val="24"/>
          <w:szCs w:val="24"/>
          <w:highlight w:val="none"/>
          <w:lang w:val="zh-CN"/>
        </w:rPr>
        <w:t>）：</w:t>
      </w:r>
    </w:p>
    <w:p w14:paraId="03340A4A">
      <w:pPr>
        <w:autoSpaceDN w:val="0"/>
        <w:spacing w:line="360" w:lineRule="auto"/>
        <w:jc w:val="center"/>
        <w:rPr>
          <w:rFonts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 xml:space="preserve">                                        日期：  年  月   日</w:t>
      </w:r>
    </w:p>
    <w:p w14:paraId="463B5270">
      <w:pPr>
        <w:autoSpaceDN w:val="0"/>
        <w:spacing w:line="360" w:lineRule="auto"/>
        <w:ind w:firstLine="463" w:firstLineChars="193"/>
        <w:rPr>
          <w:rFonts w:ascii="仿宋" w:hAnsi="仿宋" w:eastAsia="仿宋" w:cs="Arial"/>
          <w:color w:val="auto"/>
          <w:sz w:val="24"/>
          <w:szCs w:val="24"/>
          <w:highlight w:val="none"/>
        </w:rPr>
      </w:pPr>
    </w:p>
    <w:p w14:paraId="4216D0D8">
      <w:pPr>
        <w:autoSpaceDN w:val="0"/>
        <w:spacing w:line="200" w:lineRule="exact"/>
        <w:ind w:firstLine="301"/>
        <w:rPr>
          <w:rFonts w:ascii="宋体" w:hAnsi="Courier New" w:eastAsia="宋体" w:cs="Times New Roman"/>
          <w:color w:val="auto"/>
          <w:spacing w:val="-4"/>
          <w:kern w:val="0"/>
          <w:sz w:val="18"/>
          <w:szCs w:val="20"/>
          <w:highlight w:val="none"/>
        </w:rPr>
      </w:pPr>
    </w:p>
    <w:p w14:paraId="798DB4D5">
      <w:pPr>
        <w:autoSpaceDN w:val="0"/>
        <w:spacing w:line="200" w:lineRule="exact"/>
        <w:ind w:firstLine="301"/>
        <w:rPr>
          <w:rFonts w:ascii="宋体" w:hAnsi="Courier New" w:eastAsia="宋体" w:cs="Times New Roman"/>
          <w:color w:val="auto"/>
          <w:spacing w:val="-4"/>
          <w:kern w:val="0"/>
          <w:sz w:val="18"/>
          <w:szCs w:val="20"/>
          <w:highlight w:val="none"/>
        </w:rPr>
      </w:pPr>
    </w:p>
    <w:p w14:paraId="25D1A29C">
      <w:pPr>
        <w:autoSpaceDN w:val="0"/>
        <w:spacing w:line="200" w:lineRule="exact"/>
        <w:ind w:firstLine="301"/>
        <w:rPr>
          <w:rFonts w:ascii="宋体" w:hAnsi="Courier New" w:eastAsia="宋体" w:cs="Times New Roman"/>
          <w:color w:val="auto"/>
          <w:spacing w:val="-4"/>
          <w:kern w:val="0"/>
          <w:sz w:val="18"/>
          <w:szCs w:val="20"/>
          <w:highlight w:val="none"/>
        </w:rPr>
      </w:pPr>
    </w:p>
    <w:p w14:paraId="3F7EB0A2">
      <w:pPr>
        <w:rPr>
          <w:rFonts w:ascii="仿宋" w:hAnsi="仿宋" w:eastAsia="仿宋" w:cs="Times New Roman"/>
          <w:b/>
          <w:bCs/>
          <w:color w:val="auto"/>
          <w:sz w:val="32"/>
          <w:szCs w:val="32"/>
          <w:highlight w:val="none"/>
        </w:rPr>
      </w:pPr>
      <w:bookmarkStart w:id="106" w:name="_Toc96947080"/>
      <w:r>
        <w:rPr>
          <w:rFonts w:hint="eastAsia" w:ascii="仿宋" w:hAnsi="仿宋" w:eastAsia="仿宋" w:cs="Times New Roman"/>
          <w:b/>
          <w:bCs/>
          <w:color w:val="auto"/>
          <w:sz w:val="32"/>
          <w:szCs w:val="32"/>
          <w:highlight w:val="none"/>
        </w:rPr>
        <w:br w:type="page"/>
      </w:r>
    </w:p>
    <w:p w14:paraId="1847A2AA">
      <w:pPr>
        <w:keepNext/>
        <w:keepLines/>
        <w:autoSpaceDN w:val="0"/>
        <w:spacing w:before="260" w:after="260" w:line="415" w:lineRule="auto"/>
        <w:outlineLvl w:val="1"/>
        <w:rPr>
          <w:rFonts w:ascii="仿宋" w:hAnsi="仿宋" w:eastAsia="仿宋" w:cs="Times New Roman"/>
          <w:b/>
          <w:bCs/>
          <w:color w:val="auto"/>
          <w:sz w:val="32"/>
          <w:szCs w:val="32"/>
          <w:highlight w:val="none"/>
        </w:rPr>
      </w:pPr>
      <w:bookmarkStart w:id="107" w:name="_Toc16209"/>
      <w:r>
        <w:rPr>
          <w:rFonts w:hint="eastAsia" w:ascii="仿宋" w:hAnsi="仿宋" w:eastAsia="仿宋" w:cs="Times New Roman"/>
          <w:b/>
          <w:bCs/>
          <w:color w:val="auto"/>
          <w:sz w:val="32"/>
          <w:szCs w:val="32"/>
          <w:highlight w:val="none"/>
        </w:rPr>
        <w:t>二、商务技术文件部分格式</w:t>
      </w:r>
      <w:bookmarkEnd w:id="106"/>
      <w:bookmarkEnd w:id="107"/>
    </w:p>
    <w:p w14:paraId="6458253F">
      <w:pPr>
        <w:tabs>
          <w:tab w:val="left" w:pos="2580"/>
          <w:tab w:val="left" w:pos="5940"/>
        </w:tabs>
        <w:autoSpaceDE w:val="0"/>
        <w:autoSpaceDN w:val="0"/>
        <w:adjustRightInd w:val="0"/>
        <w:spacing w:line="360" w:lineRule="auto"/>
        <w:ind w:right="-20"/>
        <w:rPr>
          <w:rFonts w:ascii="仿宋" w:hAnsi="仿宋" w:eastAsia="仿宋" w:cs="Times New Roman"/>
          <w:color w:val="auto"/>
          <w:kern w:val="0"/>
          <w:sz w:val="28"/>
          <w:szCs w:val="24"/>
          <w:highlight w:val="none"/>
        </w:rPr>
      </w:pPr>
    </w:p>
    <w:p w14:paraId="6840F7E5">
      <w:pPr>
        <w:tabs>
          <w:tab w:val="left" w:pos="2580"/>
          <w:tab w:val="left" w:pos="5940"/>
        </w:tabs>
        <w:autoSpaceDE w:val="0"/>
        <w:autoSpaceDN w:val="0"/>
        <w:adjustRightInd w:val="0"/>
        <w:snapToGrid w:val="0"/>
        <w:spacing w:line="360" w:lineRule="auto"/>
        <w:rPr>
          <w:rFonts w:ascii="仿宋" w:hAnsi="仿宋" w:eastAsia="仿宋" w:cs="Times New Roman"/>
          <w:color w:val="auto"/>
          <w:kern w:val="0"/>
          <w:sz w:val="28"/>
          <w:szCs w:val="24"/>
          <w:highlight w:val="none"/>
        </w:rPr>
      </w:pPr>
    </w:p>
    <w:p w14:paraId="3C194168">
      <w:pPr>
        <w:tabs>
          <w:tab w:val="left" w:pos="2580"/>
          <w:tab w:val="left" w:pos="5940"/>
        </w:tabs>
        <w:autoSpaceDE w:val="0"/>
        <w:autoSpaceDN w:val="0"/>
        <w:adjustRightInd w:val="0"/>
        <w:snapToGrid w:val="0"/>
        <w:spacing w:line="360" w:lineRule="auto"/>
        <w:ind w:left="945" w:leftChars="450"/>
        <w:rPr>
          <w:rFonts w:ascii="仿宋" w:hAnsi="仿宋" w:eastAsia="仿宋" w:cs="Times New Roman"/>
          <w:color w:val="auto"/>
          <w:kern w:val="0"/>
          <w:sz w:val="28"/>
          <w:szCs w:val="24"/>
          <w:highlight w:val="none"/>
          <w:u w:val="single"/>
        </w:rPr>
      </w:pPr>
      <w:r>
        <w:rPr>
          <w:rFonts w:hint="eastAsia" w:ascii="仿宋" w:hAnsi="仿宋" w:eastAsia="仿宋" w:cs="Times New Roman"/>
          <w:color w:val="auto"/>
          <w:kern w:val="0"/>
          <w:sz w:val="28"/>
          <w:szCs w:val="24"/>
          <w:highlight w:val="none"/>
        </w:rPr>
        <w:t xml:space="preserve">项目名称： </w:t>
      </w:r>
    </w:p>
    <w:p w14:paraId="7F5791D4">
      <w:pPr>
        <w:tabs>
          <w:tab w:val="left" w:pos="2580"/>
          <w:tab w:val="left" w:pos="5940"/>
        </w:tabs>
        <w:autoSpaceDE w:val="0"/>
        <w:autoSpaceDN w:val="0"/>
        <w:adjustRightInd w:val="0"/>
        <w:snapToGrid w:val="0"/>
        <w:spacing w:line="360" w:lineRule="auto"/>
        <w:ind w:right="-20" w:firstLine="980" w:firstLineChars="350"/>
        <w:rPr>
          <w:rFonts w:ascii="仿宋" w:hAnsi="仿宋" w:eastAsia="仿宋" w:cs="Times New Roman"/>
          <w:color w:val="auto"/>
          <w:kern w:val="0"/>
          <w:sz w:val="28"/>
          <w:szCs w:val="24"/>
          <w:highlight w:val="none"/>
        </w:rPr>
      </w:pPr>
    </w:p>
    <w:p w14:paraId="0BBFF320">
      <w:pPr>
        <w:tabs>
          <w:tab w:val="left" w:pos="2580"/>
          <w:tab w:val="left" w:pos="5940"/>
        </w:tabs>
        <w:autoSpaceDE w:val="0"/>
        <w:autoSpaceDN w:val="0"/>
        <w:adjustRightInd w:val="0"/>
        <w:snapToGrid w:val="0"/>
        <w:spacing w:line="360" w:lineRule="auto"/>
        <w:ind w:right="-20" w:firstLine="980" w:firstLineChars="350"/>
        <w:rPr>
          <w:rFonts w:ascii="仿宋" w:hAnsi="仿宋" w:eastAsia="仿宋" w:cs="Times New Roman"/>
          <w:b/>
          <w:bCs/>
          <w:color w:val="auto"/>
          <w:kern w:val="0"/>
          <w:sz w:val="32"/>
          <w:szCs w:val="32"/>
          <w:highlight w:val="none"/>
          <w:u w:val="single"/>
        </w:rPr>
      </w:pPr>
      <w:r>
        <w:rPr>
          <w:rFonts w:hint="eastAsia" w:ascii="仿宋" w:hAnsi="仿宋" w:eastAsia="仿宋" w:cs="Times New Roman"/>
          <w:color w:val="auto"/>
          <w:kern w:val="0"/>
          <w:sz w:val="28"/>
          <w:szCs w:val="24"/>
          <w:highlight w:val="none"/>
        </w:rPr>
        <w:t xml:space="preserve">项目编号： </w:t>
      </w:r>
    </w:p>
    <w:p w14:paraId="695C3006">
      <w:pPr>
        <w:autoSpaceDE w:val="0"/>
        <w:autoSpaceDN w:val="0"/>
        <w:adjustRightInd w:val="0"/>
        <w:snapToGrid w:val="0"/>
        <w:spacing w:line="360" w:lineRule="auto"/>
        <w:jc w:val="left"/>
        <w:rPr>
          <w:rFonts w:ascii="仿宋" w:hAnsi="仿宋" w:eastAsia="仿宋" w:cs="Times New Roman"/>
          <w:color w:val="auto"/>
          <w:kern w:val="0"/>
          <w:sz w:val="24"/>
          <w:szCs w:val="24"/>
          <w:highlight w:val="none"/>
        </w:rPr>
      </w:pPr>
    </w:p>
    <w:p w14:paraId="51518F5E">
      <w:pPr>
        <w:autoSpaceDE w:val="0"/>
        <w:autoSpaceDN w:val="0"/>
        <w:adjustRightInd w:val="0"/>
        <w:snapToGrid w:val="0"/>
        <w:spacing w:line="360" w:lineRule="auto"/>
        <w:jc w:val="left"/>
        <w:rPr>
          <w:rFonts w:ascii="仿宋" w:hAnsi="仿宋" w:eastAsia="仿宋" w:cs="Times New Roman"/>
          <w:color w:val="auto"/>
          <w:kern w:val="0"/>
          <w:sz w:val="24"/>
          <w:szCs w:val="24"/>
          <w:highlight w:val="none"/>
        </w:rPr>
      </w:pPr>
    </w:p>
    <w:p w14:paraId="6FCFD5DC">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auto"/>
          <w:kern w:val="0"/>
          <w:sz w:val="72"/>
          <w:szCs w:val="24"/>
          <w:highlight w:val="none"/>
        </w:rPr>
      </w:pPr>
      <w:r>
        <w:rPr>
          <w:rFonts w:hint="eastAsia" w:ascii="仿宋" w:hAnsi="仿宋" w:eastAsia="仿宋" w:cs="Times New Roman"/>
          <w:color w:val="auto"/>
          <w:kern w:val="0"/>
          <w:sz w:val="72"/>
          <w:szCs w:val="24"/>
          <w:highlight w:val="none"/>
        </w:rPr>
        <w:t>响应文件</w:t>
      </w:r>
    </w:p>
    <w:p w14:paraId="1A731D77">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auto"/>
          <w:kern w:val="0"/>
          <w:sz w:val="16"/>
          <w:szCs w:val="24"/>
          <w:highlight w:val="none"/>
        </w:rPr>
      </w:pPr>
      <w:r>
        <w:rPr>
          <w:rFonts w:hint="eastAsia" w:ascii="仿宋" w:hAnsi="仿宋" w:eastAsia="仿宋" w:cs="Times New Roman"/>
          <w:color w:val="auto"/>
          <w:kern w:val="0"/>
          <w:sz w:val="72"/>
          <w:szCs w:val="24"/>
          <w:highlight w:val="none"/>
        </w:rPr>
        <w:t>（商务技术文件）</w:t>
      </w:r>
    </w:p>
    <w:p w14:paraId="0CF728BC">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14:paraId="1B50869F">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14:paraId="74C7AFDD">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14:paraId="72E8EE74">
      <w:pPr>
        <w:autoSpaceDE w:val="0"/>
        <w:autoSpaceDN w:val="0"/>
        <w:adjustRightInd w:val="0"/>
        <w:spacing w:line="360" w:lineRule="auto"/>
        <w:ind w:firstLine="840" w:firstLineChars="300"/>
        <w:jc w:val="left"/>
        <w:rPr>
          <w:rFonts w:ascii="仿宋" w:hAnsi="仿宋" w:eastAsia="仿宋" w:cs="..ì."/>
          <w:color w:val="auto"/>
          <w:kern w:val="0"/>
          <w:sz w:val="28"/>
          <w:szCs w:val="24"/>
          <w:highlight w:val="none"/>
        </w:rPr>
      </w:pPr>
      <w:r>
        <w:rPr>
          <w:rFonts w:hint="eastAsia" w:ascii="仿宋" w:hAnsi="仿宋" w:eastAsia="仿宋" w:cs="..ì."/>
          <w:color w:val="auto"/>
          <w:sz w:val="28"/>
          <w:szCs w:val="24"/>
          <w:highlight w:val="none"/>
        </w:rPr>
        <w:t>磋商响应供应商（盖章）：</w:t>
      </w:r>
    </w:p>
    <w:p w14:paraId="5D724498">
      <w:pPr>
        <w:autoSpaceDE w:val="0"/>
        <w:autoSpaceDN w:val="0"/>
        <w:adjustRightInd w:val="0"/>
        <w:spacing w:line="360" w:lineRule="auto"/>
        <w:ind w:firstLine="840" w:firstLineChars="300"/>
        <w:jc w:val="left"/>
        <w:rPr>
          <w:rFonts w:ascii="仿宋" w:hAnsi="仿宋" w:eastAsia="仿宋" w:cs="..ì."/>
          <w:color w:val="auto"/>
          <w:sz w:val="28"/>
          <w:szCs w:val="24"/>
          <w:highlight w:val="none"/>
        </w:rPr>
      </w:pPr>
      <w:r>
        <w:rPr>
          <w:rFonts w:hint="eastAsia" w:ascii="仿宋" w:hAnsi="仿宋" w:eastAsia="仿宋" w:cs="..ì."/>
          <w:color w:val="auto"/>
          <w:sz w:val="28"/>
          <w:szCs w:val="24"/>
          <w:highlight w:val="none"/>
        </w:rPr>
        <w:t>磋商响应供应商地址：</w:t>
      </w:r>
    </w:p>
    <w:p w14:paraId="7C471363">
      <w:pPr>
        <w:autoSpaceDE w:val="0"/>
        <w:autoSpaceDN w:val="0"/>
        <w:adjustRightInd w:val="0"/>
        <w:spacing w:line="360" w:lineRule="auto"/>
        <w:ind w:firstLine="840" w:firstLineChars="300"/>
        <w:jc w:val="left"/>
        <w:rPr>
          <w:rFonts w:ascii="仿宋" w:hAnsi="仿宋" w:eastAsia="仿宋" w:cs="..ì."/>
          <w:color w:val="auto"/>
          <w:sz w:val="28"/>
          <w:szCs w:val="24"/>
          <w:highlight w:val="none"/>
          <w:u w:val="single"/>
        </w:rPr>
      </w:pPr>
      <w:r>
        <w:rPr>
          <w:rFonts w:hint="eastAsia" w:ascii="仿宋" w:hAnsi="仿宋" w:eastAsia="仿宋" w:cs="..ì."/>
          <w:color w:val="auto"/>
          <w:sz w:val="28"/>
          <w:szCs w:val="24"/>
          <w:highlight w:val="none"/>
        </w:rPr>
        <w:t>磋商响应供应商联系电话：</w:t>
      </w:r>
    </w:p>
    <w:p w14:paraId="5719806F">
      <w:pPr>
        <w:tabs>
          <w:tab w:val="left" w:pos="6080"/>
          <w:tab w:val="left" w:pos="6640"/>
        </w:tabs>
        <w:autoSpaceDE w:val="0"/>
        <w:autoSpaceDN w:val="0"/>
        <w:adjustRightInd w:val="0"/>
        <w:snapToGrid w:val="0"/>
        <w:spacing w:line="360" w:lineRule="auto"/>
        <w:ind w:left="774" w:right="403"/>
        <w:jc w:val="left"/>
        <w:rPr>
          <w:rFonts w:ascii="仿宋" w:hAnsi="仿宋" w:eastAsia="仿宋" w:cs="Times New Roman"/>
          <w:color w:val="auto"/>
          <w:kern w:val="0"/>
          <w:sz w:val="28"/>
          <w:szCs w:val="24"/>
          <w:highlight w:val="none"/>
        </w:rPr>
      </w:pPr>
    </w:p>
    <w:p w14:paraId="4987F8A5">
      <w:pPr>
        <w:tabs>
          <w:tab w:val="left" w:pos="3280"/>
          <w:tab w:val="left" w:pos="4680"/>
          <w:tab w:val="left" w:pos="6080"/>
        </w:tabs>
        <w:autoSpaceDE w:val="0"/>
        <w:autoSpaceDN w:val="0"/>
        <w:adjustRightInd w:val="0"/>
        <w:snapToGrid w:val="0"/>
        <w:spacing w:line="360" w:lineRule="auto"/>
        <w:ind w:right="-20"/>
        <w:jc w:val="center"/>
        <w:rPr>
          <w:rFonts w:ascii="仿宋" w:hAnsi="仿宋" w:eastAsia="仿宋" w:cs="Times New Roman"/>
          <w:color w:val="auto"/>
          <w:kern w:val="0"/>
          <w:sz w:val="28"/>
          <w:szCs w:val="24"/>
          <w:highlight w:val="none"/>
        </w:rPr>
      </w:pPr>
      <w:r>
        <w:rPr>
          <w:rFonts w:hint="eastAsia" w:ascii="仿宋" w:hAnsi="仿宋" w:eastAsia="仿宋" w:cs="Times New Roman"/>
          <w:color w:val="auto"/>
          <w:kern w:val="0"/>
          <w:sz w:val="28"/>
          <w:szCs w:val="24"/>
          <w:highlight w:val="none"/>
        </w:rPr>
        <w:t>年 月 日</w:t>
      </w:r>
    </w:p>
    <w:p w14:paraId="275578D9">
      <w:pPr>
        <w:autoSpaceDN w:val="0"/>
        <w:spacing w:line="360" w:lineRule="auto"/>
        <w:rPr>
          <w:rFonts w:ascii="仿宋" w:hAnsi="仿宋" w:eastAsia="仿宋" w:cs="Times New Roman"/>
          <w:color w:val="auto"/>
          <w:szCs w:val="24"/>
          <w:highlight w:val="none"/>
        </w:rPr>
      </w:pPr>
      <w:r>
        <w:rPr>
          <w:rFonts w:hint="eastAsia" w:ascii="仿宋" w:hAnsi="仿宋" w:eastAsia="仿宋" w:cs="Times New Roman"/>
          <w:color w:val="auto"/>
          <w:szCs w:val="24"/>
          <w:highlight w:val="none"/>
        </w:rPr>
        <w:br w:type="page"/>
      </w:r>
    </w:p>
    <w:p w14:paraId="2A062010">
      <w:pPr>
        <w:keepNext/>
        <w:keepLines/>
        <w:autoSpaceDN w:val="0"/>
        <w:spacing w:before="120" w:beforeLines="50" w:after="120" w:afterLines="50" w:line="360" w:lineRule="auto"/>
        <w:ind w:firstLine="281" w:firstLineChars="100"/>
        <w:jc w:val="left"/>
        <w:outlineLvl w:val="2"/>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2-1 ▲关于投标文件所有内容真实有效的承诺函</w:t>
      </w:r>
    </w:p>
    <w:p w14:paraId="4708082E">
      <w:pPr>
        <w:autoSpaceDN w:val="0"/>
        <w:spacing w:line="360" w:lineRule="auto"/>
        <w:jc w:val="center"/>
        <w:rPr>
          <w:rFonts w:ascii="华文中宋" w:hAnsi="华文中宋" w:eastAsia="华文中宋" w:cs="Arial"/>
          <w:b/>
          <w:color w:val="auto"/>
          <w:kern w:val="0"/>
          <w:sz w:val="36"/>
          <w:szCs w:val="32"/>
          <w:highlight w:val="none"/>
        </w:rPr>
      </w:pPr>
    </w:p>
    <w:p w14:paraId="3B26FBA1">
      <w:pPr>
        <w:autoSpaceDN w:val="0"/>
        <w:spacing w:line="360" w:lineRule="auto"/>
        <w:jc w:val="center"/>
        <w:rPr>
          <w:rFonts w:ascii="微软雅黑" w:hAnsi="微软雅黑" w:eastAsia="微软雅黑" w:cs="Times New Roman"/>
          <w:b/>
          <w:color w:val="auto"/>
          <w:sz w:val="32"/>
          <w:szCs w:val="32"/>
          <w:highlight w:val="none"/>
        </w:rPr>
      </w:pPr>
      <w:r>
        <w:rPr>
          <w:rFonts w:hint="eastAsia" w:ascii="仿宋" w:hAnsi="仿宋" w:eastAsia="仿宋" w:cs="Times New Roman"/>
          <w:b/>
          <w:color w:val="auto"/>
          <w:sz w:val="32"/>
          <w:szCs w:val="32"/>
          <w:highlight w:val="none"/>
        </w:rPr>
        <w:t>关于投标文件所有内容真实、有效的承诺函</w:t>
      </w:r>
    </w:p>
    <w:p w14:paraId="3C07D9DE">
      <w:pPr>
        <w:autoSpaceDN w:val="0"/>
        <w:spacing w:line="360" w:lineRule="auto"/>
        <w:rPr>
          <w:rFonts w:ascii="Arial" w:hAnsi="新宋体" w:eastAsia="新宋体" w:cs="Arial"/>
          <w:b/>
          <w:color w:val="auto"/>
          <w:kern w:val="0"/>
          <w:sz w:val="28"/>
          <w:szCs w:val="28"/>
          <w:highlight w:val="none"/>
          <w:u w:val="single"/>
        </w:rPr>
      </w:pPr>
    </w:p>
    <w:p w14:paraId="4D4EB77D">
      <w:pPr>
        <w:autoSpaceDN w:val="0"/>
        <w:spacing w:line="360" w:lineRule="auto"/>
        <w:rPr>
          <w:rFonts w:ascii="仿宋" w:hAnsi="仿宋" w:eastAsia="仿宋" w:cs="Arial"/>
          <w:b/>
          <w:color w:val="auto"/>
          <w:kern w:val="0"/>
          <w:sz w:val="32"/>
          <w:szCs w:val="28"/>
          <w:highlight w:val="none"/>
          <w:u w:val="single"/>
        </w:rPr>
      </w:pPr>
      <w:bookmarkStart w:id="108" w:name="_Hlk96945497"/>
      <w:r>
        <w:rPr>
          <w:rFonts w:hint="eastAsia" w:ascii="仿宋" w:hAnsi="仿宋" w:eastAsia="仿宋" w:cs="Arial"/>
          <w:b/>
          <w:color w:val="auto"/>
          <w:w w:val="90"/>
          <w:kern w:val="0"/>
          <w:sz w:val="28"/>
          <w:highlight w:val="none"/>
          <w:u w:val="single"/>
        </w:rPr>
        <w:t>浙江工业大学、</w:t>
      </w:r>
      <w:r>
        <w:rPr>
          <w:rFonts w:hint="eastAsia" w:ascii="仿宋" w:hAnsi="仿宋" w:eastAsia="仿宋" w:cs="Arial"/>
          <w:b/>
          <w:color w:val="auto"/>
          <w:w w:val="90"/>
          <w:kern w:val="0"/>
          <w:sz w:val="28"/>
          <w:highlight w:val="none"/>
          <w:u w:val="single"/>
          <w:lang w:eastAsia="zh-CN"/>
        </w:rPr>
        <w:t>华诚工程咨询集团有限公司</w:t>
      </w:r>
      <w:r>
        <w:rPr>
          <w:rFonts w:hint="eastAsia" w:ascii="仿宋" w:hAnsi="仿宋" w:eastAsia="仿宋" w:cs="Arial"/>
          <w:b/>
          <w:color w:val="auto"/>
          <w:w w:val="90"/>
          <w:kern w:val="0"/>
          <w:sz w:val="28"/>
          <w:highlight w:val="none"/>
        </w:rPr>
        <w:t>：</w:t>
      </w:r>
    </w:p>
    <w:bookmarkEnd w:id="108"/>
    <w:p w14:paraId="185BE154">
      <w:pPr>
        <w:autoSpaceDN w:val="0"/>
        <w:spacing w:line="360" w:lineRule="auto"/>
        <w:rPr>
          <w:rFonts w:ascii="仿宋" w:hAnsi="仿宋" w:eastAsia="仿宋" w:cs="Arial"/>
          <w:color w:val="auto"/>
          <w:kern w:val="0"/>
          <w:sz w:val="32"/>
          <w:szCs w:val="28"/>
          <w:highlight w:val="none"/>
        </w:rPr>
      </w:pPr>
    </w:p>
    <w:p w14:paraId="781A050B">
      <w:pPr>
        <w:autoSpaceDN w:val="0"/>
        <w:spacing w:line="360" w:lineRule="auto"/>
        <w:ind w:firstLine="560" w:firstLineChars="200"/>
        <w:rPr>
          <w:rFonts w:ascii="仿宋" w:hAnsi="仿宋" w:eastAsia="仿宋" w:cs="Arial"/>
          <w:color w:val="auto"/>
          <w:kern w:val="0"/>
          <w:sz w:val="28"/>
          <w:highlight w:val="none"/>
        </w:rPr>
      </w:pPr>
      <w:r>
        <w:rPr>
          <w:rFonts w:hint="eastAsia" w:ascii="仿宋" w:hAnsi="仿宋" w:eastAsia="仿宋" w:cs="Arial"/>
          <w:color w:val="auto"/>
          <w:kern w:val="0"/>
          <w:sz w:val="28"/>
          <w:highlight w:val="none"/>
        </w:rPr>
        <w:t>我</w:t>
      </w:r>
      <w:r>
        <w:rPr>
          <w:rFonts w:hint="eastAsia" w:ascii="仿宋" w:hAnsi="仿宋" w:eastAsia="仿宋" w:cs="Arial"/>
          <w:color w:val="auto"/>
          <w:kern w:val="0"/>
          <w:sz w:val="28"/>
          <w:szCs w:val="28"/>
          <w:highlight w:val="none"/>
        </w:rPr>
        <w:t>方</w:t>
      </w:r>
      <w:r>
        <w:rPr>
          <w:rFonts w:hint="eastAsia" w:ascii="仿宋" w:hAnsi="仿宋" w:eastAsia="仿宋" w:cs="Arial"/>
          <w:color w:val="auto"/>
          <w:kern w:val="0"/>
          <w:sz w:val="28"/>
          <w:highlight w:val="none"/>
        </w:rPr>
        <w:t>参加</w:t>
      </w:r>
      <w:r>
        <w:rPr>
          <w:rFonts w:hint="eastAsia" w:ascii="仿宋" w:hAnsi="仿宋" w:eastAsia="仿宋" w:cs="Arial"/>
          <w:b/>
          <w:color w:val="auto"/>
          <w:kern w:val="0"/>
          <w:sz w:val="28"/>
          <w:highlight w:val="none"/>
          <w:u w:val="single"/>
          <w:lang w:eastAsia="zh-CN"/>
        </w:rPr>
        <w:t>浙江工业大学屏峰校区学生宿舍建设工程项目施工用电工程</w:t>
      </w:r>
      <w:r>
        <w:rPr>
          <w:rFonts w:hint="eastAsia" w:ascii="仿宋" w:hAnsi="仿宋" w:eastAsia="仿宋" w:cs="Arial"/>
          <w:b/>
          <w:color w:val="auto"/>
          <w:kern w:val="0"/>
          <w:sz w:val="28"/>
          <w:highlight w:val="none"/>
          <w:u w:val="single"/>
        </w:rPr>
        <w:t>（项目编号：</w:t>
      </w:r>
      <w:r>
        <w:rPr>
          <w:rFonts w:hint="eastAsia" w:ascii="仿宋" w:hAnsi="仿宋" w:eastAsia="仿宋" w:cs="Arial"/>
          <w:b/>
          <w:color w:val="auto"/>
          <w:kern w:val="0"/>
          <w:sz w:val="28"/>
          <w:highlight w:val="none"/>
          <w:u w:val="single"/>
          <w:lang w:eastAsia="zh-CN"/>
        </w:rPr>
        <w:t>HCZX-24982</w:t>
      </w:r>
      <w:r>
        <w:rPr>
          <w:rFonts w:hint="eastAsia" w:ascii="仿宋" w:hAnsi="仿宋" w:eastAsia="仿宋" w:cs="Arial"/>
          <w:b/>
          <w:color w:val="auto"/>
          <w:kern w:val="0"/>
          <w:sz w:val="28"/>
          <w:highlight w:val="none"/>
          <w:u w:val="single"/>
        </w:rPr>
        <w:t>）</w:t>
      </w:r>
      <w:r>
        <w:rPr>
          <w:rFonts w:hint="eastAsia" w:ascii="仿宋" w:hAnsi="仿宋" w:eastAsia="仿宋" w:cs="Arial"/>
          <w:color w:val="auto"/>
          <w:kern w:val="0"/>
          <w:sz w:val="28"/>
          <w:highlight w:val="none"/>
        </w:rPr>
        <w:t>的政府采购活动中所提交的投标文件（包括资格文件、商务技术文件、报价文件）所有内容真实、有效，不存在虚假响应、资料造假等行为。如有虚假，采购人可取消我方任何资格（投标/谈判/中标（成交）/签订合同），我方对此无任何异议，并愿意承担一切后果和责任。</w:t>
      </w:r>
    </w:p>
    <w:p w14:paraId="2E8354C7">
      <w:pPr>
        <w:autoSpaceDN w:val="0"/>
        <w:spacing w:line="360" w:lineRule="auto"/>
        <w:ind w:firstLine="560" w:firstLineChars="200"/>
        <w:rPr>
          <w:rFonts w:ascii="仿宋" w:hAnsi="仿宋" w:eastAsia="仿宋" w:cs="Arial"/>
          <w:color w:val="auto"/>
          <w:kern w:val="0"/>
          <w:sz w:val="28"/>
          <w:highlight w:val="none"/>
        </w:rPr>
      </w:pPr>
    </w:p>
    <w:p w14:paraId="4AFD40E9">
      <w:pPr>
        <w:autoSpaceDN w:val="0"/>
        <w:spacing w:line="360" w:lineRule="auto"/>
        <w:ind w:firstLine="560" w:firstLineChars="200"/>
        <w:rPr>
          <w:rFonts w:ascii="仿宋" w:hAnsi="仿宋" w:eastAsia="仿宋" w:cs="Arial"/>
          <w:color w:val="auto"/>
          <w:kern w:val="0"/>
          <w:sz w:val="22"/>
          <w:highlight w:val="none"/>
        </w:rPr>
      </w:pPr>
      <w:r>
        <w:rPr>
          <w:rFonts w:hint="eastAsia" w:ascii="仿宋" w:hAnsi="仿宋" w:eastAsia="仿宋" w:cs="Arial"/>
          <w:color w:val="auto"/>
          <w:kern w:val="0"/>
          <w:sz w:val="28"/>
          <w:highlight w:val="none"/>
        </w:rPr>
        <w:t>特此</w:t>
      </w:r>
      <w:r>
        <w:rPr>
          <w:rFonts w:hint="eastAsia" w:ascii="仿宋" w:hAnsi="仿宋" w:eastAsia="仿宋" w:cs="Arial"/>
          <w:color w:val="auto"/>
          <w:kern w:val="0"/>
          <w:sz w:val="28"/>
          <w:szCs w:val="28"/>
          <w:highlight w:val="none"/>
        </w:rPr>
        <w:t>承诺</w:t>
      </w:r>
      <w:r>
        <w:rPr>
          <w:rFonts w:hint="eastAsia" w:ascii="仿宋" w:hAnsi="仿宋" w:eastAsia="仿宋" w:cs="Arial"/>
          <w:color w:val="auto"/>
          <w:kern w:val="0"/>
          <w:sz w:val="28"/>
          <w:highlight w:val="none"/>
        </w:rPr>
        <w:t>！</w:t>
      </w:r>
    </w:p>
    <w:p w14:paraId="7D5BEE2F">
      <w:pPr>
        <w:autoSpaceDN w:val="0"/>
        <w:spacing w:line="360" w:lineRule="auto"/>
        <w:ind w:firstLine="420" w:firstLineChars="200"/>
        <w:rPr>
          <w:rFonts w:ascii="仿宋" w:hAnsi="仿宋" w:eastAsia="仿宋" w:cs="Arial"/>
          <w:color w:val="auto"/>
          <w:kern w:val="0"/>
          <w:highlight w:val="none"/>
        </w:rPr>
      </w:pPr>
    </w:p>
    <w:p w14:paraId="78C8FCE1">
      <w:pPr>
        <w:autoSpaceDN w:val="0"/>
        <w:snapToGrid w:val="0"/>
        <w:spacing w:line="360" w:lineRule="auto"/>
        <w:ind w:left="567" w:leftChars="270"/>
        <w:rPr>
          <w:rFonts w:ascii="仿宋" w:hAnsi="仿宋" w:eastAsia="仿宋" w:cs="Arial"/>
          <w:color w:val="auto"/>
          <w:w w:val="90"/>
          <w:kern w:val="0"/>
          <w:sz w:val="28"/>
          <w:szCs w:val="28"/>
          <w:highlight w:val="none"/>
        </w:rPr>
      </w:pPr>
      <w:r>
        <w:rPr>
          <w:rFonts w:hint="eastAsia" w:ascii="仿宋" w:hAnsi="仿宋" w:eastAsia="仿宋" w:cs="Arial"/>
          <w:color w:val="auto"/>
          <w:sz w:val="28"/>
          <w:szCs w:val="28"/>
          <w:highlight w:val="none"/>
        </w:rPr>
        <w:t>投标供应商名称（盖章）：</w:t>
      </w:r>
      <w:r>
        <w:rPr>
          <w:rFonts w:hint="eastAsia" w:ascii="仿宋" w:hAnsi="仿宋" w:eastAsia="仿宋" w:cs="Arial"/>
          <w:color w:val="auto"/>
          <w:w w:val="90"/>
          <w:kern w:val="0"/>
          <w:sz w:val="28"/>
          <w:szCs w:val="28"/>
          <w:highlight w:val="none"/>
        </w:rPr>
        <w:t>__________________________________</w:t>
      </w:r>
    </w:p>
    <w:p w14:paraId="5395E5E0">
      <w:pPr>
        <w:autoSpaceDN w:val="0"/>
        <w:snapToGrid w:val="0"/>
        <w:spacing w:line="360" w:lineRule="auto"/>
        <w:ind w:left="567" w:leftChars="270"/>
        <w:rPr>
          <w:rFonts w:ascii="仿宋" w:hAnsi="仿宋" w:eastAsia="仿宋" w:cs="Arial"/>
          <w:color w:val="auto"/>
          <w:sz w:val="28"/>
          <w:szCs w:val="28"/>
          <w:highlight w:val="none"/>
        </w:rPr>
      </w:pPr>
    </w:p>
    <w:p w14:paraId="24488526">
      <w:pPr>
        <w:autoSpaceDN w:val="0"/>
        <w:snapToGrid w:val="0"/>
        <w:spacing w:line="360" w:lineRule="auto"/>
        <w:ind w:left="567" w:leftChars="270"/>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日期：________年____月____日</w:t>
      </w:r>
    </w:p>
    <w:p w14:paraId="26B7CA23">
      <w:pPr>
        <w:autoSpaceDN w:val="0"/>
        <w:snapToGrid w:val="0"/>
        <w:spacing w:line="360" w:lineRule="auto"/>
        <w:ind w:left="567" w:leftChars="270"/>
        <w:rPr>
          <w:rFonts w:ascii="仿宋" w:hAnsi="仿宋" w:eastAsia="仿宋" w:cs="Times New Roman"/>
          <w:color w:val="auto"/>
          <w:szCs w:val="24"/>
          <w:highlight w:val="none"/>
        </w:rPr>
      </w:pPr>
    </w:p>
    <w:p w14:paraId="214A6EEA">
      <w:pPr>
        <w:autoSpaceDN w:val="0"/>
        <w:spacing w:line="200" w:lineRule="exact"/>
        <w:ind w:firstLine="301"/>
        <w:rPr>
          <w:rFonts w:ascii="宋体" w:hAnsi="Courier New" w:eastAsia="宋体" w:cs="Times New Roman"/>
          <w:color w:val="auto"/>
          <w:spacing w:val="-4"/>
          <w:kern w:val="0"/>
          <w:sz w:val="18"/>
          <w:szCs w:val="20"/>
          <w:highlight w:val="none"/>
        </w:rPr>
      </w:pPr>
    </w:p>
    <w:p w14:paraId="2160B634">
      <w:pPr>
        <w:autoSpaceDN w:val="0"/>
        <w:spacing w:line="200" w:lineRule="exact"/>
        <w:ind w:firstLine="301"/>
        <w:rPr>
          <w:rFonts w:ascii="宋体" w:hAnsi="Courier New" w:eastAsia="宋体" w:cs="Times New Roman"/>
          <w:color w:val="auto"/>
          <w:spacing w:val="-4"/>
          <w:kern w:val="0"/>
          <w:sz w:val="18"/>
          <w:szCs w:val="20"/>
          <w:highlight w:val="none"/>
        </w:rPr>
      </w:pPr>
    </w:p>
    <w:p w14:paraId="3560CDFA">
      <w:pPr>
        <w:autoSpaceDN w:val="0"/>
        <w:spacing w:line="200" w:lineRule="exact"/>
        <w:ind w:firstLine="301"/>
        <w:rPr>
          <w:rFonts w:ascii="宋体" w:hAnsi="Courier New" w:eastAsia="宋体" w:cs="Times New Roman"/>
          <w:color w:val="auto"/>
          <w:spacing w:val="-4"/>
          <w:kern w:val="0"/>
          <w:sz w:val="18"/>
          <w:szCs w:val="20"/>
          <w:highlight w:val="none"/>
        </w:rPr>
      </w:pPr>
    </w:p>
    <w:p w14:paraId="1549DB5E">
      <w:pPr>
        <w:autoSpaceDN w:val="0"/>
        <w:spacing w:line="200" w:lineRule="exact"/>
        <w:ind w:firstLine="301"/>
        <w:rPr>
          <w:rFonts w:ascii="宋体" w:hAnsi="Courier New" w:eastAsia="宋体" w:cs="Times New Roman"/>
          <w:color w:val="auto"/>
          <w:spacing w:val="-4"/>
          <w:kern w:val="0"/>
          <w:sz w:val="18"/>
          <w:szCs w:val="20"/>
          <w:highlight w:val="none"/>
        </w:rPr>
      </w:pPr>
    </w:p>
    <w:p w14:paraId="5E34024B">
      <w:pPr>
        <w:autoSpaceDN w:val="0"/>
        <w:spacing w:line="200" w:lineRule="exact"/>
        <w:ind w:firstLine="301"/>
        <w:rPr>
          <w:rFonts w:ascii="宋体" w:hAnsi="Courier New" w:eastAsia="宋体" w:cs="Times New Roman"/>
          <w:color w:val="auto"/>
          <w:spacing w:val="-4"/>
          <w:kern w:val="0"/>
          <w:sz w:val="18"/>
          <w:szCs w:val="20"/>
          <w:highlight w:val="none"/>
        </w:rPr>
      </w:pPr>
    </w:p>
    <w:p w14:paraId="319D9955">
      <w:pPr>
        <w:autoSpaceDN w:val="0"/>
        <w:spacing w:line="200" w:lineRule="exact"/>
        <w:ind w:firstLine="301"/>
        <w:rPr>
          <w:rFonts w:ascii="宋体" w:hAnsi="Courier New" w:eastAsia="宋体" w:cs="Times New Roman"/>
          <w:color w:val="auto"/>
          <w:spacing w:val="-4"/>
          <w:kern w:val="0"/>
          <w:sz w:val="18"/>
          <w:szCs w:val="20"/>
          <w:highlight w:val="none"/>
        </w:rPr>
      </w:pPr>
    </w:p>
    <w:p w14:paraId="6456308B">
      <w:pPr>
        <w:autoSpaceDN w:val="0"/>
        <w:spacing w:line="200" w:lineRule="exact"/>
        <w:ind w:firstLine="301"/>
        <w:rPr>
          <w:rFonts w:ascii="宋体" w:hAnsi="Courier New" w:eastAsia="宋体" w:cs="Times New Roman"/>
          <w:color w:val="auto"/>
          <w:spacing w:val="-4"/>
          <w:kern w:val="0"/>
          <w:sz w:val="18"/>
          <w:szCs w:val="20"/>
          <w:highlight w:val="none"/>
        </w:rPr>
      </w:pPr>
    </w:p>
    <w:p w14:paraId="29174D4B">
      <w:pPr>
        <w:autoSpaceDN w:val="0"/>
        <w:spacing w:line="200" w:lineRule="exact"/>
        <w:ind w:firstLine="301"/>
        <w:rPr>
          <w:rFonts w:ascii="宋体" w:hAnsi="Courier New" w:eastAsia="宋体" w:cs="Times New Roman"/>
          <w:color w:val="auto"/>
          <w:spacing w:val="-4"/>
          <w:kern w:val="0"/>
          <w:sz w:val="18"/>
          <w:szCs w:val="20"/>
          <w:highlight w:val="none"/>
        </w:rPr>
      </w:pPr>
    </w:p>
    <w:p w14:paraId="56ADA37C">
      <w:pPr>
        <w:autoSpaceDN w:val="0"/>
        <w:spacing w:line="200" w:lineRule="exact"/>
        <w:ind w:firstLine="301"/>
        <w:rPr>
          <w:rFonts w:ascii="宋体" w:hAnsi="Courier New" w:eastAsia="宋体" w:cs="Times New Roman"/>
          <w:color w:val="auto"/>
          <w:spacing w:val="-4"/>
          <w:kern w:val="0"/>
          <w:sz w:val="18"/>
          <w:szCs w:val="20"/>
          <w:highlight w:val="none"/>
        </w:rPr>
      </w:pPr>
    </w:p>
    <w:p w14:paraId="7F3B6F00">
      <w:pPr>
        <w:autoSpaceDN w:val="0"/>
        <w:spacing w:line="200" w:lineRule="exact"/>
        <w:ind w:firstLine="301"/>
        <w:rPr>
          <w:rFonts w:ascii="宋体" w:hAnsi="Courier New" w:eastAsia="宋体" w:cs="Times New Roman"/>
          <w:color w:val="auto"/>
          <w:spacing w:val="-4"/>
          <w:kern w:val="0"/>
          <w:sz w:val="18"/>
          <w:szCs w:val="20"/>
          <w:highlight w:val="none"/>
        </w:rPr>
      </w:pPr>
    </w:p>
    <w:p w14:paraId="58F262A5">
      <w:pPr>
        <w:autoSpaceDN w:val="0"/>
        <w:spacing w:line="200" w:lineRule="exact"/>
        <w:ind w:firstLine="301"/>
        <w:rPr>
          <w:rFonts w:ascii="宋体" w:hAnsi="Courier New" w:eastAsia="宋体" w:cs="Times New Roman"/>
          <w:color w:val="auto"/>
          <w:spacing w:val="-4"/>
          <w:kern w:val="0"/>
          <w:sz w:val="18"/>
          <w:szCs w:val="20"/>
          <w:highlight w:val="none"/>
        </w:rPr>
      </w:pPr>
    </w:p>
    <w:p w14:paraId="1C5A9D41">
      <w:pPr>
        <w:autoSpaceDN w:val="0"/>
        <w:spacing w:line="200" w:lineRule="exact"/>
        <w:ind w:firstLine="301"/>
        <w:rPr>
          <w:rFonts w:ascii="宋体" w:hAnsi="Courier New" w:eastAsia="宋体" w:cs="Times New Roman"/>
          <w:color w:val="auto"/>
          <w:spacing w:val="-4"/>
          <w:kern w:val="0"/>
          <w:sz w:val="18"/>
          <w:szCs w:val="20"/>
          <w:highlight w:val="none"/>
        </w:rPr>
      </w:pPr>
    </w:p>
    <w:p w14:paraId="6D2AE141">
      <w:pPr>
        <w:autoSpaceDN w:val="0"/>
        <w:spacing w:line="200" w:lineRule="exact"/>
        <w:ind w:firstLine="301"/>
        <w:rPr>
          <w:rFonts w:ascii="宋体" w:hAnsi="Courier New" w:eastAsia="宋体" w:cs="Times New Roman"/>
          <w:color w:val="auto"/>
          <w:spacing w:val="-4"/>
          <w:kern w:val="0"/>
          <w:sz w:val="18"/>
          <w:szCs w:val="20"/>
          <w:highlight w:val="none"/>
        </w:rPr>
      </w:pPr>
    </w:p>
    <w:p w14:paraId="39405F23">
      <w:pPr>
        <w:autoSpaceDN w:val="0"/>
        <w:spacing w:line="200" w:lineRule="exact"/>
        <w:ind w:firstLine="301"/>
        <w:rPr>
          <w:rFonts w:ascii="宋体" w:hAnsi="Courier New" w:eastAsia="宋体" w:cs="Times New Roman"/>
          <w:color w:val="auto"/>
          <w:spacing w:val="-4"/>
          <w:kern w:val="0"/>
          <w:sz w:val="18"/>
          <w:szCs w:val="20"/>
          <w:highlight w:val="none"/>
        </w:rPr>
      </w:pPr>
    </w:p>
    <w:p w14:paraId="0A5C4EAF">
      <w:pPr>
        <w:autoSpaceDN w:val="0"/>
        <w:spacing w:line="200" w:lineRule="exact"/>
        <w:ind w:firstLine="301"/>
        <w:rPr>
          <w:rFonts w:ascii="宋体" w:hAnsi="Courier New" w:eastAsia="宋体" w:cs="Times New Roman"/>
          <w:color w:val="auto"/>
          <w:spacing w:val="-4"/>
          <w:kern w:val="0"/>
          <w:sz w:val="18"/>
          <w:szCs w:val="20"/>
          <w:highlight w:val="none"/>
        </w:rPr>
      </w:pPr>
    </w:p>
    <w:p w14:paraId="2EB1EBA7">
      <w:pPr>
        <w:keepNext/>
        <w:keepLines/>
        <w:autoSpaceDN w:val="0"/>
        <w:spacing w:before="260" w:after="260" w:line="415" w:lineRule="auto"/>
        <w:ind w:firstLine="280"/>
        <w:jc w:val="center"/>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 2-2.法定代表人资格证明书</w:t>
      </w:r>
    </w:p>
    <w:p w14:paraId="0C7884D9">
      <w:pPr>
        <w:autoSpaceDN w:val="0"/>
        <w:adjustRightInd w:val="0"/>
        <w:spacing w:before="120" w:beforeLines="50" w:after="120" w:afterLines="50" w:line="360" w:lineRule="auto"/>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u w:val="single"/>
        </w:rPr>
        <w:t>浙江工业大学、</w:t>
      </w:r>
      <w:r>
        <w:rPr>
          <w:rFonts w:hint="eastAsia" w:ascii="仿宋" w:hAnsi="仿宋" w:eastAsia="仿宋" w:cs="Times New Roman"/>
          <w:color w:val="auto"/>
          <w:kern w:val="0"/>
          <w:sz w:val="24"/>
          <w:szCs w:val="24"/>
          <w:highlight w:val="none"/>
          <w:u w:val="single"/>
          <w:lang w:eastAsia="zh-CN"/>
        </w:rPr>
        <w:t>华诚工程咨询集团有限公司</w:t>
      </w:r>
      <w:r>
        <w:rPr>
          <w:rFonts w:hint="eastAsia" w:ascii="仿宋" w:hAnsi="仿宋" w:eastAsia="仿宋" w:cs="Times New Roman"/>
          <w:color w:val="auto"/>
          <w:kern w:val="0"/>
          <w:sz w:val="24"/>
          <w:szCs w:val="24"/>
          <w:highlight w:val="none"/>
        </w:rPr>
        <w:t>：</w:t>
      </w:r>
    </w:p>
    <w:p w14:paraId="6AE6981B">
      <w:pPr>
        <w:autoSpaceDN w:val="0"/>
        <w:adjustRightInd w:val="0"/>
        <w:spacing w:line="360" w:lineRule="auto"/>
        <w:ind w:firstLine="549" w:firstLineChars="237"/>
        <w:rPr>
          <w:rFonts w:ascii="仿宋" w:hAnsi="仿宋" w:eastAsia="仿宋" w:cs="Times New Roman"/>
          <w:snapToGrid w:val="0"/>
          <w:color w:val="auto"/>
          <w:spacing w:val="-4"/>
          <w:kern w:val="0"/>
          <w:sz w:val="24"/>
          <w:szCs w:val="24"/>
          <w:highlight w:val="none"/>
        </w:rPr>
      </w:pPr>
      <w:r>
        <w:rPr>
          <w:rFonts w:hint="eastAsia" w:ascii="仿宋" w:hAnsi="仿宋" w:eastAsia="仿宋" w:cs="Times New Roman"/>
          <w:snapToGrid w:val="0"/>
          <w:color w:val="auto"/>
          <w:spacing w:val="-4"/>
          <w:kern w:val="0"/>
          <w:sz w:val="24"/>
          <w:szCs w:val="24"/>
          <w:highlight w:val="none"/>
          <w:u w:val="single"/>
        </w:rPr>
        <w:t>（姓名）</w:t>
      </w:r>
      <w:r>
        <w:rPr>
          <w:rFonts w:hint="eastAsia" w:ascii="仿宋" w:hAnsi="仿宋" w:eastAsia="仿宋" w:cs="Times New Roman"/>
          <w:snapToGrid w:val="0"/>
          <w:color w:val="auto"/>
          <w:spacing w:val="-4"/>
          <w:kern w:val="0"/>
          <w:sz w:val="24"/>
          <w:szCs w:val="24"/>
          <w:highlight w:val="none"/>
        </w:rPr>
        <w:t>系</w:t>
      </w:r>
      <w:r>
        <w:rPr>
          <w:rFonts w:hint="eastAsia" w:ascii="仿宋" w:hAnsi="仿宋" w:eastAsia="仿宋" w:cs="Times New Roman"/>
          <w:snapToGrid w:val="0"/>
          <w:color w:val="auto"/>
          <w:spacing w:val="-4"/>
          <w:kern w:val="0"/>
          <w:sz w:val="24"/>
          <w:szCs w:val="24"/>
          <w:highlight w:val="none"/>
          <w:u w:val="single"/>
        </w:rPr>
        <w:t>（单位名称）</w:t>
      </w:r>
      <w:r>
        <w:rPr>
          <w:rFonts w:hint="eastAsia" w:ascii="仿宋" w:hAnsi="仿宋" w:eastAsia="仿宋" w:cs="Times New Roman"/>
          <w:snapToGrid w:val="0"/>
          <w:color w:val="auto"/>
          <w:spacing w:val="-4"/>
          <w:kern w:val="0"/>
          <w:sz w:val="24"/>
          <w:szCs w:val="24"/>
          <w:highlight w:val="none"/>
        </w:rPr>
        <w:t>的法定代表人，</w:t>
      </w:r>
      <w:r>
        <w:rPr>
          <w:rFonts w:hint="eastAsia" w:ascii="仿宋" w:hAnsi="仿宋" w:eastAsia="仿宋" w:cs="Times New Roman"/>
          <w:snapToGrid w:val="0"/>
          <w:color w:val="auto"/>
          <w:spacing w:val="-4"/>
          <w:kern w:val="0"/>
          <w:sz w:val="24"/>
          <w:szCs w:val="24"/>
          <w:highlight w:val="none"/>
          <w:u w:val="single"/>
        </w:rPr>
        <w:t>（身份证号）</w:t>
      </w:r>
      <w:r>
        <w:rPr>
          <w:rFonts w:hint="eastAsia" w:ascii="仿宋" w:hAnsi="仿宋" w:eastAsia="仿宋" w:cs="Times New Roman"/>
          <w:snapToGrid w:val="0"/>
          <w:color w:val="auto"/>
          <w:spacing w:val="-4"/>
          <w:kern w:val="0"/>
          <w:sz w:val="24"/>
          <w:szCs w:val="24"/>
          <w:highlight w:val="none"/>
        </w:rPr>
        <w:t>。</w:t>
      </w:r>
    </w:p>
    <w:p w14:paraId="173F83C9">
      <w:pPr>
        <w:autoSpaceDN w:val="0"/>
        <w:adjustRightInd w:val="0"/>
        <w:spacing w:line="360" w:lineRule="auto"/>
        <w:ind w:firstLine="464" w:firstLineChars="200"/>
        <w:rPr>
          <w:rFonts w:ascii="仿宋" w:hAnsi="仿宋" w:eastAsia="仿宋" w:cs="Times New Roman"/>
          <w:snapToGrid w:val="0"/>
          <w:color w:val="auto"/>
          <w:spacing w:val="-4"/>
          <w:kern w:val="0"/>
          <w:sz w:val="24"/>
          <w:szCs w:val="24"/>
          <w:highlight w:val="none"/>
        </w:rPr>
      </w:pPr>
      <w:r>
        <w:rPr>
          <w:rFonts w:hint="eastAsia" w:ascii="仿宋" w:hAnsi="仿宋" w:eastAsia="仿宋" w:cs="Times New Roman"/>
          <w:snapToGrid w:val="0"/>
          <w:color w:val="auto"/>
          <w:spacing w:val="-4"/>
          <w:kern w:val="0"/>
          <w:sz w:val="24"/>
          <w:szCs w:val="24"/>
          <w:highlight w:val="none"/>
        </w:rPr>
        <w:t>特此证明。</w:t>
      </w:r>
    </w:p>
    <w:p w14:paraId="28423ABA">
      <w:pPr>
        <w:autoSpaceDN w:val="0"/>
        <w:adjustRightInd w:val="0"/>
        <w:spacing w:line="360" w:lineRule="auto"/>
        <w:ind w:firstLine="464" w:firstLineChars="200"/>
        <w:rPr>
          <w:rFonts w:ascii="仿宋" w:hAnsi="仿宋" w:eastAsia="仿宋" w:cs="Times New Roman"/>
          <w:snapToGrid w:val="0"/>
          <w:color w:val="auto"/>
          <w:spacing w:val="-4"/>
          <w:kern w:val="0"/>
          <w:sz w:val="24"/>
          <w:szCs w:val="24"/>
          <w:highlight w:val="none"/>
        </w:rPr>
      </w:pPr>
      <w:r>
        <w:rPr>
          <w:rFonts w:hint="eastAsia" w:ascii="仿宋" w:hAnsi="仿宋" w:eastAsia="仿宋" w:cs="Times New Roman"/>
          <w:snapToGrid w:val="0"/>
          <w:color w:val="auto"/>
          <w:spacing w:val="-4"/>
          <w:kern w:val="0"/>
          <w:sz w:val="24"/>
          <w:szCs w:val="24"/>
          <w:highlight w:val="none"/>
        </w:rPr>
        <w:t>磋商响应供应商（盖章）：</w:t>
      </w:r>
    </w:p>
    <w:p w14:paraId="708D3DEC">
      <w:pPr>
        <w:autoSpaceDN w:val="0"/>
        <w:adjustRightInd w:val="0"/>
        <w:snapToGrid w:val="0"/>
        <w:spacing w:line="360" w:lineRule="auto"/>
        <w:ind w:firstLine="480" w:firstLineChars="200"/>
        <w:rPr>
          <w:rFonts w:ascii="仿宋" w:hAnsi="仿宋" w:eastAsia="仿宋" w:cs="Times New Roman"/>
          <w:snapToGrid w:val="0"/>
          <w:color w:val="auto"/>
          <w:kern w:val="0"/>
          <w:sz w:val="24"/>
          <w:szCs w:val="24"/>
          <w:highlight w:val="none"/>
        </w:rPr>
      </w:pPr>
      <w:r>
        <w:rPr>
          <w:rFonts w:hint="eastAsia" w:ascii="仿宋" w:hAnsi="仿宋" w:eastAsia="仿宋" w:cs="Times New Roman"/>
          <w:snapToGrid w:val="0"/>
          <w:color w:val="auto"/>
          <w:kern w:val="0"/>
          <w:sz w:val="24"/>
          <w:szCs w:val="24"/>
          <w:highlight w:val="none"/>
        </w:rPr>
        <w:t>日期：</w:t>
      </w:r>
    </w:p>
    <w:p w14:paraId="3072BBE1">
      <w:pPr>
        <w:autoSpaceDN w:val="0"/>
        <w:adjustRightInd w:val="0"/>
        <w:snapToGrid w:val="0"/>
        <w:spacing w:line="360" w:lineRule="auto"/>
        <w:ind w:firstLine="480" w:firstLineChars="200"/>
        <w:rPr>
          <w:rFonts w:ascii="仿宋" w:hAnsi="仿宋" w:eastAsia="仿宋" w:cs="Times New Roman"/>
          <w:snapToGrid w:val="0"/>
          <w:color w:val="auto"/>
          <w:kern w:val="0"/>
          <w:sz w:val="24"/>
          <w:szCs w:val="24"/>
          <w:highlight w:val="none"/>
        </w:rPr>
      </w:pPr>
      <w:r>
        <w:rPr>
          <w:rFonts w:hint="eastAsia" w:ascii="仿宋" w:hAnsi="仿宋" w:eastAsia="仿宋" w:cs="Times New Roman"/>
          <w:snapToGrid w:val="0"/>
          <w:color w:val="auto"/>
          <w:kern w:val="0"/>
          <w:sz w:val="24"/>
          <w:szCs w:val="24"/>
          <w:highlight w:val="none"/>
        </w:rPr>
        <w:t>附：法定代表人联系方式及身份证扫描件</w:t>
      </w:r>
    </w:p>
    <w:p w14:paraId="6C194F8D">
      <w:pPr>
        <w:autoSpaceDN w:val="0"/>
        <w:adjustRightInd w:val="0"/>
        <w:snapToGrid w:val="0"/>
        <w:spacing w:line="360" w:lineRule="auto"/>
        <w:ind w:firstLine="482" w:firstLineChars="200"/>
        <w:rPr>
          <w:rFonts w:ascii="仿宋" w:hAnsi="仿宋" w:eastAsia="仿宋" w:cs="Times New Roman"/>
          <w:color w:val="auto"/>
          <w:sz w:val="24"/>
          <w:szCs w:val="24"/>
          <w:highlight w:val="none"/>
        </w:rPr>
      </w:pPr>
      <w:r>
        <w:rPr>
          <w:rFonts w:hint="eastAsia" w:ascii="仿宋" w:hAnsi="仿宋" w:eastAsia="仿宋" w:cs="Times New Roman"/>
          <w:b/>
          <w:snapToGrid w:val="0"/>
          <w:color w:val="auto"/>
          <w:kern w:val="0"/>
          <w:sz w:val="24"/>
          <w:szCs w:val="24"/>
          <w:highlight w:val="none"/>
        </w:rPr>
        <w:t>注：法定代表人直接签署磋商响应文件并参加投标的，在磋商响应文件中出具此资格证明书及身份证扫描件。</w:t>
      </w:r>
    </w:p>
    <w:p w14:paraId="6BF7972F">
      <w:pPr>
        <w:keepNext/>
        <w:keepLines/>
        <w:autoSpaceDN w:val="0"/>
        <w:spacing w:before="260" w:after="260" w:line="415" w:lineRule="auto"/>
        <w:ind w:firstLine="240"/>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 2-3.法定代表人授权委托书</w:t>
      </w:r>
    </w:p>
    <w:p w14:paraId="03C95746">
      <w:pPr>
        <w:autoSpaceDN w:val="0"/>
        <w:adjustRightInd w:val="0"/>
        <w:spacing w:before="120" w:beforeLines="50" w:after="120" w:afterLines="50" w:line="360" w:lineRule="auto"/>
        <w:ind w:firstLine="480" w:firstLineChars="200"/>
        <w:rPr>
          <w:rFonts w:ascii="仿宋" w:hAnsi="仿宋" w:eastAsia="仿宋" w:cs="Times New Roman"/>
          <w:color w:val="auto"/>
          <w:kern w:val="0"/>
          <w:sz w:val="24"/>
          <w:szCs w:val="24"/>
          <w:highlight w:val="none"/>
          <w:u w:val="single"/>
        </w:rPr>
      </w:pPr>
      <w:r>
        <w:rPr>
          <w:rFonts w:hint="eastAsia" w:ascii="仿宋" w:hAnsi="仿宋" w:eastAsia="仿宋" w:cs="Times New Roman"/>
          <w:color w:val="auto"/>
          <w:kern w:val="0"/>
          <w:sz w:val="24"/>
          <w:szCs w:val="24"/>
          <w:highlight w:val="none"/>
          <w:u w:val="single"/>
        </w:rPr>
        <w:t>浙江工业大学：</w:t>
      </w:r>
    </w:p>
    <w:p w14:paraId="456C94CA">
      <w:pPr>
        <w:autoSpaceDN w:val="0"/>
        <w:adjustRightInd w:val="0"/>
        <w:spacing w:before="120" w:beforeLines="50" w:after="120" w:afterLines="50"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u w:val="single"/>
        </w:rPr>
        <w:t xml:space="preserve">                                      </w:t>
      </w:r>
      <w:r>
        <w:rPr>
          <w:rFonts w:hint="eastAsia" w:ascii="仿宋" w:hAnsi="仿宋" w:eastAsia="仿宋" w:cs="Times New Roman"/>
          <w:color w:val="auto"/>
          <w:kern w:val="0"/>
          <w:sz w:val="24"/>
          <w:szCs w:val="24"/>
          <w:highlight w:val="none"/>
        </w:rPr>
        <w:t>：</w:t>
      </w:r>
    </w:p>
    <w:p w14:paraId="5E6FE1A2">
      <w:pPr>
        <w:autoSpaceDN w:val="0"/>
        <w:spacing w:before="120" w:beforeLines="50" w:after="120" w:afterLines="50"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我以</w:t>
      </w:r>
      <w:r>
        <w:rPr>
          <w:rFonts w:hint="eastAsia" w:ascii="仿宋" w:hAnsi="仿宋" w:eastAsia="仿宋" w:cs="Times New Roman"/>
          <w:color w:val="auto"/>
          <w:kern w:val="0"/>
          <w:sz w:val="24"/>
          <w:szCs w:val="24"/>
          <w:highlight w:val="none"/>
          <w:u w:val="single"/>
        </w:rPr>
        <w:t>（磋商响应供应商全称）</w:t>
      </w:r>
      <w:r>
        <w:rPr>
          <w:rFonts w:hint="eastAsia" w:ascii="仿宋" w:hAnsi="仿宋" w:eastAsia="仿宋" w:cs="Times New Roman"/>
          <w:color w:val="auto"/>
          <w:kern w:val="0"/>
          <w:sz w:val="24"/>
          <w:szCs w:val="24"/>
          <w:highlight w:val="none"/>
        </w:rPr>
        <w:t>法定代表人的身份授权</w:t>
      </w:r>
      <w:r>
        <w:rPr>
          <w:rFonts w:hint="eastAsia" w:ascii="仿宋" w:hAnsi="仿宋" w:eastAsia="仿宋" w:cs="Times New Roman"/>
          <w:color w:val="auto"/>
          <w:kern w:val="0"/>
          <w:sz w:val="24"/>
          <w:szCs w:val="24"/>
          <w:highlight w:val="none"/>
          <w:u w:val="single"/>
        </w:rPr>
        <w:t>（全权代表姓名）</w:t>
      </w:r>
      <w:r>
        <w:rPr>
          <w:rFonts w:hint="eastAsia" w:ascii="仿宋" w:hAnsi="仿宋" w:eastAsia="仿宋" w:cs="Times New Roman"/>
          <w:color w:val="auto"/>
          <w:kern w:val="0"/>
          <w:sz w:val="24"/>
          <w:szCs w:val="24"/>
          <w:highlight w:val="none"/>
        </w:rPr>
        <w:t>，为我单位的全权代表，参加贵单位组织的                                    的采购，签署本项目相关磋商响应文件并全权处理磋商活动中的一切事宜。我单位承认全权代表做出的与本项目采购活动有关的全部行为。</w:t>
      </w:r>
    </w:p>
    <w:p w14:paraId="192BFF5B">
      <w:pPr>
        <w:autoSpaceDN w:val="0"/>
        <w:spacing w:before="120" w:beforeLines="50" w:after="120" w:afterLines="50"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磋商响应供应商全称（盖单位公章）：</w:t>
      </w:r>
    </w:p>
    <w:p w14:paraId="4F900DB8">
      <w:pPr>
        <w:autoSpaceDN w:val="0"/>
        <w:spacing w:before="120" w:beforeLines="50" w:after="120" w:afterLines="50"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法定代表人（签字或盖章）：</w:t>
      </w:r>
    </w:p>
    <w:p w14:paraId="039AFA67">
      <w:pPr>
        <w:autoSpaceDN w:val="0"/>
        <w:spacing w:before="120" w:beforeLines="50" w:after="120" w:afterLines="50" w:line="360" w:lineRule="auto"/>
        <w:ind w:firstLine="48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附：</w:t>
      </w:r>
    </w:p>
    <w:p w14:paraId="070EA600">
      <w:pPr>
        <w:autoSpaceDN w:val="0"/>
        <w:spacing w:before="120" w:beforeLines="50" w:after="120" w:afterLines="50" w:line="360" w:lineRule="auto"/>
        <w:ind w:firstLine="48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全权代表姓名：职务：电话：</w:t>
      </w:r>
    </w:p>
    <w:p w14:paraId="1914337F">
      <w:pPr>
        <w:autoSpaceDN w:val="0"/>
        <w:spacing w:line="360" w:lineRule="auto"/>
        <w:ind w:firstLine="482" w:firstLineChars="200"/>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全权代表身份证扫描件：</w:t>
      </w:r>
    </w:p>
    <w:p w14:paraId="2852A1E0">
      <w:pPr>
        <w:autoSpaceDN w:val="0"/>
        <w:spacing w:line="360" w:lineRule="auto"/>
        <w:ind w:firstLine="482" w:firstLineChars="200"/>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注：法定代表人授权其公司员工签署及参加响应的，在磋商响应文件中同时出具法定代表人资格证明书及此授权书，并附身份证扫描件。</w:t>
      </w:r>
    </w:p>
    <w:p w14:paraId="3C1C1AA8">
      <w:pPr>
        <w:autoSpaceDN w:val="0"/>
        <w:spacing w:line="360" w:lineRule="auto"/>
        <w:ind w:firstLine="482" w:firstLineChars="200"/>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响应文件格式中所提到的供应商代表是指以上两文件确定的签署人员。</w:t>
      </w:r>
    </w:p>
    <w:p w14:paraId="1ED8E004">
      <w:pPr>
        <w:autoSpaceDN w:val="0"/>
        <w:spacing w:line="360" w:lineRule="auto"/>
        <w:ind w:firstLine="482" w:firstLineChars="200"/>
        <w:rPr>
          <w:rFonts w:ascii="仿宋" w:hAnsi="仿宋" w:eastAsia="仿宋" w:cs="Times New Roman"/>
          <w:color w:val="auto"/>
          <w:sz w:val="24"/>
          <w:szCs w:val="24"/>
          <w:highlight w:val="none"/>
        </w:rPr>
      </w:pPr>
      <w:r>
        <w:rPr>
          <w:rFonts w:hint="eastAsia" w:ascii="仿宋" w:hAnsi="仿宋" w:eastAsia="仿宋" w:cs="Times New Roman"/>
          <w:b/>
          <w:color w:val="auto"/>
          <w:sz w:val="24"/>
          <w:szCs w:val="24"/>
          <w:highlight w:val="none"/>
        </w:rPr>
        <w:t>如参加磋商并在磋商过程中签署文件的人员与磋商响应供应商代表不一致，须另行提供授权书。</w:t>
      </w:r>
    </w:p>
    <w:p w14:paraId="46C14B31">
      <w:pPr>
        <w:widowControl/>
        <w:spacing w:line="360" w:lineRule="auto"/>
        <w:jc w:val="left"/>
        <w:rPr>
          <w:rFonts w:ascii="仿宋" w:hAnsi="仿宋" w:eastAsia="仿宋" w:cs="Times New Roman"/>
          <w:color w:val="auto"/>
          <w:szCs w:val="21"/>
          <w:highlight w:val="none"/>
        </w:rPr>
        <w:sectPr>
          <w:pgSz w:w="11906" w:h="16838"/>
          <w:pgMar w:top="1247" w:right="1247" w:bottom="1247" w:left="1247" w:header="851" w:footer="1077" w:gutter="0"/>
          <w:cols w:space="720" w:num="1"/>
          <w:docGrid w:linePitch="286" w:charSpace="0"/>
        </w:sectPr>
      </w:pPr>
    </w:p>
    <w:p w14:paraId="7C66ED8F">
      <w:pPr>
        <w:keepNext/>
        <w:keepLines/>
        <w:autoSpaceDN w:val="0"/>
        <w:spacing w:before="260" w:after="260" w:line="415" w:lineRule="auto"/>
        <w:outlineLvl w:val="2"/>
        <w:rPr>
          <w:rFonts w:ascii="仿宋" w:hAnsi="仿宋" w:eastAsia="仿宋" w:cs="Times New Roman"/>
          <w:b/>
          <w:bCs/>
          <w:color w:val="auto"/>
          <w:kern w:val="0"/>
          <w:sz w:val="28"/>
          <w:szCs w:val="28"/>
          <w:highlight w:val="none"/>
        </w:rPr>
      </w:pPr>
      <w:bookmarkStart w:id="109" w:name="_Toc358842834"/>
      <w:r>
        <w:rPr>
          <w:rFonts w:hint="eastAsia" w:ascii="仿宋" w:hAnsi="仿宋" w:eastAsia="仿宋" w:cs="Times New Roman"/>
          <w:b/>
          <w:bCs/>
          <w:color w:val="auto"/>
          <w:kern w:val="0"/>
          <w:sz w:val="28"/>
          <w:szCs w:val="28"/>
          <w:highlight w:val="none"/>
        </w:rPr>
        <w:t>2-4.磋商响应供应商履约能力评价证明材料</w:t>
      </w:r>
    </w:p>
    <w:p w14:paraId="436A9985">
      <w:pPr>
        <w:autoSpaceDN w:val="0"/>
        <w:spacing w:line="360" w:lineRule="auto"/>
        <w:jc w:val="center"/>
        <w:rPr>
          <w:rFonts w:ascii="仿宋" w:hAnsi="仿宋" w:eastAsia="仿宋" w:cs="Times New Roman"/>
          <w:b/>
          <w:color w:val="auto"/>
          <w:kern w:val="0"/>
          <w:sz w:val="44"/>
          <w:szCs w:val="28"/>
          <w:highlight w:val="none"/>
        </w:rPr>
      </w:pPr>
      <w:r>
        <w:rPr>
          <w:rFonts w:hint="eastAsia" w:ascii="仿宋" w:hAnsi="仿宋" w:eastAsia="仿宋" w:cs="Times New Roman"/>
          <w:b/>
          <w:color w:val="auto"/>
          <w:kern w:val="0"/>
          <w:sz w:val="44"/>
          <w:szCs w:val="28"/>
          <w:highlight w:val="none"/>
        </w:rPr>
        <w:t>磋商响应供应商履约能力评价证明材料</w:t>
      </w:r>
    </w:p>
    <w:tbl>
      <w:tblPr>
        <w:tblStyle w:val="61"/>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2E264967">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9775" w:hRule="atLeast"/>
        </w:trPr>
        <w:tc>
          <w:tcPr>
            <w:tcW w:w="9037" w:type="dxa"/>
            <w:tcBorders>
              <w:top w:val="dotDash" w:color="000000" w:sz="4" w:space="0"/>
              <w:left w:val="dotDash" w:color="000000" w:sz="4" w:space="0"/>
              <w:bottom w:val="dotDash" w:color="000000" w:sz="4" w:space="0"/>
              <w:right w:val="dotDash" w:color="000000" w:sz="4" w:space="0"/>
            </w:tcBorders>
            <w:vAlign w:val="center"/>
          </w:tcPr>
          <w:p w14:paraId="62999AE4">
            <w:pPr>
              <w:autoSpaceDN w:val="0"/>
              <w:spacing w:line="360" w:lineRule="auto"/>
              <w:jc w:val="center"/>
              <w:rPr>
                <w:rFonts w:ascii="仿宋" w:hAnsi="仿宋" w:eastAsia="仿宋" w:cs="Arial"/>
                <w:i/>
                <w:color w:val="auto"/>
                <w:kern w:val="0"/>
                <w:sz w:val="36"/>
                <w:highlight w:val="none"/>
              </w:rPr>
            </w:pPr>
            <w:r>
              <w:rPr>
                <w:rFonts w:hint="eastAsia" w:ascii="仿宋" w:hAnsi="仿宋" w:eastAsia="仿宋" w:cs="Arial"/>
                <w:i/>
                <w:color w:val="auto"/>
                <w:kern w:val="0"/>
                <w:sz w:val="36"/>
                <w:highlight w:val="none"/>
              </w:rPr>
              <w:t>对照评分要求提供</w:t>
            </w:r>
          </w:p>
          <w:p w14:paraId="175D1DF8">
            <w:pPr>
              <w:autoSpaceDN w:val="0"/>
              <w:spacing w:line="360" w:lineRule="auto"/>
              <w:jc w:val="center"/>
              <w:rPr>
                <w:rFonts w:ascii="Arial" w:hAnsi="新宋体" w:eastAsia="新宋体" w:cs="Arial"/>
                <w:i/>
                <w:color w:val="auto"/>
                <w:sz w:val="32"/>
                <w:szCs w:val="21"/>
                <w:highlight w:val="none"/>
              </w:rPr>
            </w:pPr>
            <w:r>
              <w:rPr>
                <w:rFonts w:hint="eastAsia" w:ascii="仿宋" w:hAnsi="仿宋" w:eastAsia="仿宋" w:cs="Arial"/>
                <w:i/>
                <w:color w:val="auto"/>
                <w:kern w:val="0"/>
                <w:sz w:val="36"/>
                <w:highlight w:val="none"/>
              </w:rPr>
              <w:t>（加盖磋商响应供应商公章，否则视为未提供）</w:t>
            </w:r>
          </w:p>
        </w:tc>
      </w:tr>
    </w:tbl>
    <w:p w14:paraId="19EBF57F">
      <w:pPr>
        <w:tabs>
          <w:tab w:val="left" w:pos="720"/>
        </w:tabs>
        <w:autoSpaceDN w:val="0"/>
        <w:spacing w:line="440" w:lineRule="exact"/>
        <w:ind w:firstLine="420" w:firstLineChars="200"/>
        <w:rPr>
          <w:rFonts w:ascii="仿宋" w:hAnsi="仿宋" w:eastAsia="仿宋" w:cs="Times New Roman"/>
          <w:color w:val="auto"/>
          <w:szCs w:val="24"/>
          <w:highlight w:val="none"/>
        </w:rPr>
      </w:pPr>
    </w:p>
    <w:p w14:paraId="6E0F93FD">
      <w:pPr>
        <w:autoSpaceDN w:val="0"/>
        <w:spacing w:line="200" w:lineRule="exact"/>
        <w:ind w:firstLine="301"/>
        <w:rPr>
          <w:rFonts w:ascii="宋体" w:hAnsi="Courier New" w:eastAsia="宋体" w:cs="Times New Roman"/>
          <w:color w:val="auto"/>
          <w:spacing w:val="-4"/>
          <w:kern w:val="0"/>
          <w:sz w:val="18"/>
          <w:szCs w:val="20"/>
          <w:highlight w:val="none"/>
        </w:rPr>
      </w:pPr>
    </w:p>
    <w:p w14:paraId="3E1FD08F">
      <w:pPr>
        <w:keepNext/>
        <w:keepLines/>
        <w:autoSpaceDN w:val="0"/>
        <w:spacing w:before="260" w:after="260" w:line="415" w:lineRule="auto"/>
        <w:outlineLvl w:val="2"/>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2-5.磋商响应供应商类似项目业绩情况</w:t>
      </w:r>
    </w:p>
    <w:p w14:paraId="16FC7B63">
      <w:pPr>
        <w:autoSpaceDN w:val="0"/>
        <w:spacing w:line="360" w:lineRule="auto"/>
        <w:jc w:val="center"/>
        <w:rPr>
          <w:rFonts w:ascii="仿宋" w:hAnsi="仿宋" w:eastAsia="仿宋" w:cs="Times New Roman"/>
          <w:b/>
          <w:color w:val="auto"/>
          <w:kern w:val="0"/>
          <w:sz w:val="32"/>
          <w:szCs w:val="32"/>
          <w:highlight w:val="none"/>
        </w:rPr>
      </w:pPr>
      <w:r>
        <w:rPr>
          <w:rFonts w:hint="eastAsia" w:ascii="仿宋" w:hAnsi="仿宋" w:eastAsia="仿宋" w:cs="Times New Roman"/>
          <w:b/>
          <w:color w:val="auto"/>
          <w:kern w:val="0"/>
          <w:sz w:val="32"/>
          <w:szCs w:val="32"/>
          <w:highlight w:val="none"/>
        </w:rPr>
        <w:t>磋商响应供应商类似业绩表及证明材料</w:t>
      </w:r>
    </w:p>
    <w:p w14:paraId="78CCC827">
      <w:pPr>
        <w:autoSpaceDN w:val="0"/>
        <w:spacing w:line="360" w:lineRule="auto"/>
        <w:rPr>
          <w:rFonts w:ascii="仿宋" w:hAnsi="仿宋" w:eastAsia="仿宋" w:cs="Times New Roman"/>
          <w:b/>
          <w:color w:val="auto"/>
          <w:sz w:val="24"/>
          <w:szCs w:val="24"/>
          <w:highlight w:val="none"/>
          <w:u w:val="single"/>
        </w:rPr>
      </w:pPr>
      <w:r>
        <w:rPr>
          <w:rFonts w:hint="eastAsia" w:ascii="仿宋" w:hAnsi="仿宋" w:eastAsia="仿宋" w:cs="Times New Roman"/>
          <w:b/>
          <w:color w:val="auto"/>
          <w:sz w:val="24"/>
          <w:szCs w:val="24"/>
          <w:highlight w:val="none"/>
        </w:rPr>
        <w:t>项目名称：</w:t>
      </w:r>
      <w:r>
        <w:rPr>
          <w:rFonts w:hint="eastAsia" w:ascii="仿宋" w:hAnsi="仿宋" w:eastAsia="仿宋" w:cs="Times New Roman"/>
          <w:b/>
          <w:color w:val="auto"/>
          <w:sz w:val="24"/>
          <w:szCs w:val="24"/>
          <w:highlight w:val="none"/>
          <w:u w:val="single"/>
        </w:rPr>
        <w:t xml:space="preserve">                    </w:t>
      </w:r>
    </w:p>
    <w:p w14:paraId="3A1DD106">
      <w:pPr>
        <w:autoSpaceDN w:val="0"/>
        <w:spacing w:line="360" w:lineRule="auto"/>
        <w:rPr>
          <w:rFonts w:ascii="仿宋" w:hAnsi="仿宋" w:eastAsia="仿宋" w:cs="Times New Roman"/>
          <w:color w:val="auto"/>
          <w:kern w:val="0"/>
          <w:sz w:val="24"/>
          <w:szCs w:val="24"/>
          <w:highlight w:val="none"/>
          <w:u w:val="single"/>
        </w:rPr>
      </w:pPr>
      <w:r>
        <w:rPr>
          <w:rFonts w:hint="eastAsia" w:ascii="仿宋" w:hAnsi="仿宋" w:eastAsia="仿宋" w:cs="Times New Roman"/>
          <w:b/>
          <w:color w:val="auto"/>
          <w:sz w:val="24"/>
          <w:szCs w:val="24"/>
          <w:highlight w:val="none"/>
        </w:rPr>
        <w:t>项目编号：</w:t>
      </w:r>
      <w:r>
        <w:rPr>
          <w:rFonts w:hint="eastAsia" w:ascii="仿宋" w:hAnsi="仿宋" w:eastAsia="仿宋" w:cs="Times New Roman"/>
          <w:b/>
          <w:color w:val="auto"/>
          <w:sz w:val="24"/>
          <w:szCs w:val="24"/>
          <w:highlight w:val="none"/>
          <w:u w:val="single"/>
        </w:rPr>
        <w:t xml:space="preserve">                   </w:t>
      </w:r>
    </w:p>
    <w:tbl>
      <w:tblPr>
        <w:tblStyle w:val="61"/>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1559"/>
        <w:gridCol w:w="1275"/>
        <w:gridCol w:w="1134"/>
        <w:gridCol w:w="1134"/>
        <w:gridCol w:w="993"/>
        <w:gridCol w:w="1134"/>
      </w:tblGrid>
      <w:tr w14:paraId="7148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0059453E">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序号</w:t>
            </w:r>
          </w:p>
        </w:tc>
        <w:tc>
          <w:tcPr>
            <w:tcW w:w="2127" w:type="dxa"/>
            <w:tcBorders>
              <w:top w:val="single" w:color="auto" w:sz="4" w:space="0"/>
              <w:left w:val="single" w:color="auto" w:sz="4" w:space="0"/>
              <w:bottom w:val="single" w:color="auto" w:sz="4" w:space="0"/>
              <w:right w:val="single" w:color="auto" w:sz="4" w:space="0"/>
            </w:tcBorders>
            <w:noWrap/>
            <w:vAlign w:val="center"/>
          </w:tcPr>
          <w:p w14:paraId="09EAA84C">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甲方单位</w:t>
            </w:r>
          </w:p>
        </w:tc>
        <w:tc>
          <w:tcPr>
            <w:tcW w:w="1559" w:type="dxa"/>
            <w:tcBorders>
              <w:top w:val="single" w:color="auto" w:sz="4" w:space="0"/>
              <w:left w:val="single" w:color="auto" w:sz="4" w:space="0"/>
              <w:bottom w:val="single" w:color="auto" w:sz="4" w:space="0"/>
              <w:right w:val="single" w:color="auto" w:sz="4" w:space="0"/>
            </w:tcBorders>
            <w:noWrap/>
            <w:vAlign w:val="center"/>
          </w:tcPr>
          <w:p w14:paraId="462F169D">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项目名称</w:t>
            </w:r>
          </w:p>
        </w:tc>
        <w:tc>
          <w:tcPr>
            <w:tcW w:w="1275" w:type="dxa"/>
            <w:tcBorders>
              <w:top w:val="single" w:color="auto" w:sz="4" w:space="0"/>
              <w:left w:val="single" w:color="auto" w:sz="4" w:space="0"/>
              <w:bottom w:val="single" w:color="auto" w:sz="4" w:space="0"/>
              <w:right w:val="single" w:color="auto" w:sz="4" w:space="0"/>
            </w:tcBorders>
            <w:noWrap/>
            <w:vAlign w:val="center"/>
          </w:tcPr>
          <w:p w14:paraId="3C28E604">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合同金额</w:t>
            </w:r>
          </w:p>
        </w:tc>
        <w:tc>
          <w:tcPr>
            <w:tcW w:w="1134" w:type="dxa"/>
            <w:tcBorders>
              <w:top w:val="single" w:color="auto" w:sz="4" w:space="0"/>
              <w:left w:val="single" w:color="auto" w:sz="4" w:space="0"/>
              <w:bottom w:val="single" w:color="auto" w:sz="4" w:space="0"/>
              <w:right w:val="single" w:color="auto" w:sz="4" w:space="0"/>
            </w:tcBorders>
            <w:noWrap/>
            <w:vAlign w:val="center"/>
          </w:tcPr>
          <w:p w14:paraId="6923CCF8">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合同主要内容</w:t>
            </w:r>
          </w:p>
        </w:tc>
        <w:tc>
          <w:tcPr>
            <w:tcW w:w="1134" w:type="dxa"/>
            <w:tcBorders>
              <w:top w:val="single" w:color="auto" w:sz="4" w:space="0"/>
              <w:left w:val="single" w:color="auto" w:sz="4" w:space="0"/>
              <w:bottom w:val="single" w:color="auto" w:sz="4" w:space="0"/>
              <w:right w:val="single" w:color="auto" w:sz="4" w:space="0"/>
            </w:tcBorders>
            <w:noWrap/>
            <w:vAlign w:val="center"/>
          </w:tcPr>
          <w:p w14:paraId="12EE867E">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合同签订时间</w:t>
            </w:r>
          </w:p>
        </w:tc>
        <w:tc>
          <w:tcPr>
            <w:tcW w:w="993" w:type="dxa"/>
            <w:tcBorders>
              <w:top w:val="single" w:color="auto" w:sz="4" w:space="0"/>
              <w:left w:val="single" w:color="auto" w:sz="4" w:space="0"/>
              <w:bottom w:val="single" w:color="auto" w:sz="4" w:space="0"/>
              <w:right w:val="single" w:color="auto" w:sz="4" w:space="0"/>
            </w:tcBorders>
            <w:noWrap/>
            <w:vAlign w:val="center"/>
          </w:tcPr>
          <w:p w14:paraId="0E40D06A">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甲方联系人</w:t>
            </w:r>
          </w:p>
        </w:tc>
        <w:tc>
          <w:tcPr>
            <w:tcW w:w="1134" w:type="dxa"/>
            <w:tcBorders>
              <w:top w:val="single" w:color="auto" w:sz="4" w:space="0"/>
              <w:left w:val="single" w:color="auto" w:sz="4" w:space="0"/>
              <w:bottom w:val="single" w:color="auto" w:sz="4" w:space="0"/>
              <w:right w:val="single" w:color="auto" w:sz="4" w:space="0"/>
            </w:tcBorders>
            <w:noWrap/>
            <w:vAlign w:val="center"/>
          </w:tcPr>
          <w:p w14:paraId="10168D07">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甲方联系电话</w:t>
            </w:r>
          </w:p>
        </w:tc>
      </w:tr>
      <w:tr w14:paraId="34B38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5E1ACFEC">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20383CDB">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3B775608">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4D48F49F">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4FE553D">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B76E1A6">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60341A26">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3A561CD">
            <w:pPr>
              <w:autoSpaceDN w:val="0"/>
              <w:rPr>
                <w:rFonts w:ascii="仿宋" w:hAnsi="仿宋" w:eastAsia="仿宋" w:cs="Times New Roman"/>
                <w:color w:val="auto"/>
                <w:sz w:val="24"/>
                <w:szCs w:val="24"/>
                <w:highlight w:val="none"/>
              </w:rPr>
            </w:pPr>
          </w:p>
        </w:tc>
      </w:tr>
      <w:tr w14:paraId="46777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5C54BB32">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1F5AA9E4">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36F78DDB">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4FF4BACC">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89C699B">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0B6C4D6">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64F78E0A">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59E75CE">
            <w:pPr>
              <w:autoSpaceDN w:val="0"/>
              <w:rPr>
                <w:rFonts w:ascii="仿宋" w:hAnsi="仿宋" w:eastAsia="仿宋" w:cs="Times New Roman"/>
                <w:color w:val="auto"/>
                <w:sz w:val="24"/>
                <w:szCs w:val="24"/>
                <w:highlight w:val="none"/>
              </w:rPr>
            </w:pPr>
          </w:p>
        </w:tc>
      </w:tr>
      <w:tr w14:paraId="397A1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264CC320">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00EB7850">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0AADAFFD">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66CAA721">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61F23C5">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D0ABE21">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776F32CC">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34B61F1">
            <w:pPr>
              <w:autoSpaceDN w:val="0"/>
              <w:rPr>
                <w:rFonts w:ascii="仿宋" w:hAnsi="仿宋" w:eastAsia="仿宋" w:cs="Times New Roman"/>
                <w:color w:val="auto"/>
                <w:sz w:val="24"/>
                <w:szCs w:val="24"/>
                <w:highlight w:val="none"/>
              </w:rPr>
            </w:pPr>
          </w:p>
        </w:tc>
      </w:tr>
      <w:tr w14:paraId="360F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2264274A">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250F38E0">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5A1C6ACA">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4B9B0421">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8458E80">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A7F1752">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4F990416">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30F942F">
            <w:pPr>
              <w:autoSpaceDN w:val="0"/>
              <w:rPr>
                <w:rFonts w:ascii="仿宋" w:hAnsi="仿宋" w:eastAsia="仿宋" w:cs="Times New Roman"/>
                <w:color w:val="auto"/>
                <w:sz w:val="24"/>
                <w:szCs w:val="24"/>
                <w:highlight w:val="none"/>
              </w:rPr>
            </w:pPr>
          </w:p>
        </w:tc>
      </w:tr>
      <w:tr w14:paraId="009E1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0FB614A5">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264BBF68">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5C7C7DC6">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5EE1068E">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1FD1E1A">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1B5D16D">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2B93BC55">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1D7ED1D">
            <w:pPr>
              <w:autoSpaceDN w:val="0"/>
              <w:rPr>
                <w:rFonts w:ascii="仿宋" w:hAnsi="仿宋" w:eastAsia="仿宋" w:cs="Times New Roman"/>
                <w:color w:val="auto"/>
                <w:sz w:val="24"/>
                <w:szCs w:val="24"/>
                <w:highlight w:val="none"/>
              </w:rPr>
            </w:pPr>
          </w:p>
        </w:tc>
      </w:tr>
      <w:tr w14:paraId="088E6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1921F404">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5EBAE414">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3EA0EB2D">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1554FA09">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2C45651">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62D2403">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4D1AE1BE">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8770EBC">
            <w:pPr>
              <w:autoSpaceDN w:val="0"/>
              <w:rPr>
                <w:rFonts w:ascii="仿宋" w:hAnsi="仿宋" w:eastAsia="仿宋" w:cs="Times New Roman"/>
                <w:color w:val="auto"/>
                <w:sz w:val="24"/>
                <w:szCs w:val="24"/>
                <w:highlight w:val="none"/>
              </w:rPr>
            </w:pPr>
          </w:p>
        </w:tc>
      </w:tr>
      <w:tr w14:paraId="42E81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65019C48">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1A1E170A">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7284CE8E">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6DFDE1D3">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2CCC0E7">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C23A15B">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5E365533">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E76C6A9">
            <w:pPr>
              <w:autoSpaceDN w:val="0"/>
              <w:rPr>
                <w:rFonts w:ascii="仿宋" w:hAnsi="仿宋" w:eastAsia="仿宋" w:cs="Times New Roman"/>
                <w:color w:val="auto"/>
                <w:sz w:val="24"/>
                <w:szCs w:val="24"/>
                <w:highlight w:val="none"/>
              </w:rPr>
            </w:pPr>
          </w:p>
        </w:tc>
      </w:tr>
    </w:tbl>
    <w:p w14:paraId="1E7BEE52">
      <w:pPr>
        <w:autoSpaceDN w:val="0"/>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备注：</w:t>
      </w:r>
    </w:p>
    <w:p w14:paraId="271A1795">
      <w:pPr>
        <w:autoSpaceDN w:val="0"/>
        <w:spacing w:line="360" w:lineRule="auto"/>
        <w:rPr>
          <w:rFonts w:ascii="仿宋" w:hAnsi="仿宋" w:eastAsia="仿宋" w:cs="Times New Roman"/>
          <w:b/>
          <w:color w:val="auto"/>
          <w:w w:val="90"/>
          <w:kern w:val="0"/>
          <w:sz w:val="24"/>
          <w:szCs w:val="24"/>
          <w:highlight w:val="none"/>
        </w:rPr>
      </w:pPr>
      <w:r>
        <w:rPr>
          <w:rFonts w:hint="eastAsia" w:ascii="仿宋" w:hAnsi="仿宋" w:eastAsia="仿宋" w:cs="Times New Roman"/>
          <w:b/>
          <w:color w:val="auto"/>
          <w:sz w:val="24"/>
          <w:szCs w:val="24"/>
          <w:highlight w:val="none"/>
        </w:rPr>
        <w:t>（1）后附证明材料，</w:t>
      </w:r>
      <w:r>
        <w:rPr>
          <w:rFonts w:hint="eastAsia" w:ascii="仿宋" w:hAnsi="仿宋" w:eastAsia="仿宋" w:cs="Times New Roman"/>
          <w:b/>
          <w:color w:val="auto"/>
          <w:w w:val="90"/>
          <w:kern w:val="0"/>
          <w:sz w:val="24"/>
          <w:szCs w:val="24"/>
          <w:highlight w:val="none"/>
        </w:rPr>
        <w:t>证明材料详见评审办法要求。</w:t>
      </w:r>
    </w:p>
    <w:p w14:paraId="4E165E44">
      <w:pPr>
        <w:autoSpaceDN w:val="0"/>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kern w:val="0"/>
          <w:sz w:val="24"/>
          <w:szCs w:val="24"/>
          <w:highlight w:val="none"/>
        </w:rPr>
        <w:t>（2）没有类似业绩的，此表可以不提供。</w:t>
      </w:r>
    </w:p>
    <w:p w14:paraId="5FA4046D">
      <w:pPr>
        <w:autoSpaceDN w:val="0"/>
        <w:spacing w:line="360" w:lineRule="auto"/>
        <w:rPr>
          <w:rFonts w:ascii="仿宋" w:hAnsi="仿宋" w:eastAsia="仿宋" w:cs="Times New Roman"/>
          <w:color w:val="auto"/>
          <w:sz w:val="24"/>
          <w:szCs w:val="24"/>
          <w:highlight w:val="none"/>
        </w:rPr>
      </w:pPr>
    </w:p>
    <w:p w14:paraId="31F1B26B">
      <w:pPr>
        <w:autoSpaceDN w:val="0"/>
        <w:snapToGrid w:val="0"/>
        <w:spacing w:line="360" w:lineRule="auto"/>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磋商响应供应商名称（盖章）：</w:t>
      </w:r>
      <w:r>
        <w:rPr>
          <w:rFonts w:hint="eastAsia" w:ascii="仿宋" w:hAnsi="仿宋" w:eastAsia="仿宋" w:cs="Times New Roman"/>
          <w:color w:val="auto"/>
          <w:w w:val="90"/>
          <w:kern w:val="0"/>
          <w:sz w:val="22"/>
          <w:highlight w:val="none"/>
        </w:rPr>
        <w:t>_______________________________</w:t>
      </w:r>
    </w:p>
    <w:p w14:paraId="01B6CAB2">
      <w:pPr>
        <w:autoSpaceDE w:val="0"/>
        <w:autoSpaceDN w:val="0"/>
        <w:adjustRightInd w:val="0"/>
        <w:spacing w:line="360" w:lineRule="auto"/>
        <w:jc w:val="left"/>
        <w:rPr>
          <w:rFonts w:ascii="仿宋" w:hAnsi="仿宋" w:eastAsia="仿宋" w:cs="Times New Roman"/>
          <w:color w:val="auto"/>
          <w:w w:val="90"/>
          <w:kern w:val="0"/>
          <w:sz w:val="22"/>
          <w:highlight w:val="none"/>
        </w:rPr>
      </w:pPr>
      <w:r>
        <w:rPr>
          <w:rFonts w:hint="eastAsia" w:ascii="仿宋" w:hAnsi="仿宋" w:eastAsia="仿宋" w:cs="Times New Roman"/>
          <w:color w:val="auto"/>
          <w:sz w:val="24"/>
          <w:szCs w:val="28"/>
          <w:highlight w:val="none"/>
        </w:rPr>
        <w:t>日期：</w:t>
      </w:r>
      <w:r>
        <w:rPr>
          <w:rFonts w:hint="eastAsia" w:ascii="仿宋" w:hAnsi="仿宋" w:eastAsia="仿宋" w:cs="Times New Roman"/>
          <w:color w:val="auto"/>
          <w:w w:val="90"/>
          <w:kern w:val="0"/>
          <w:sz w:val="22"/>
          <w:highlight w:val="none"/>
        </w:rPr>
        <w:t>_______________________________</w:t>
      </w:r>
    </w:p>
    <w:p w14:paraId="00B7B687">
      <w:pPr>
        <w:widowControl/>
        <w:spacing w:line="360" w:lineRule="auto"/>
        <w:jc w:val="left"/>
        <w:rPr>
          <w:rFonts w:ascii="仿宋" w:hAnsi="仿宋" w:eastAsia="仿宋" w:cs="Times New Roman"/>
          <w:color w:val="auto"/>
          <w:w w:val="90"/>
          <w:kern w:val="0"/>
          <w:sz w:val="22"/>
          <w:highlight w:val="none"/>
        </w:rPr>
        <w:sectPr>
          <w:pgSz w:w="11906" w:h="16838"/>
          <w:pgMar w:top="1440" w:right="1416" w:bottom="1440" w:left="1560" w:header="851" w:footer="1077" w:gutter="0"/>
          <w:cols w:space="720" w:num="1"/>
          <w:docGrid w:linePitch="286" w:charSpace="0"/>
        </w:sectPr>
      </w:pPr>
    </w:p>
    <w:p w14:paraId="37AF893D">
      <w:pPr>
        <w:keepNext/>
        <w:keepLines/>
        <w:autoSpaceDN w:val="0"/>
        <w:spacing w:before="260" w:after="260" w:line="415" w:lineRule="auto"/>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2-6.拟派项目经理类似项目业绩情况</w:t>
      </w:r>
    </w:p>
    <w:p w14:paraId="33AFFFF3">
      <w:pPr>
        <w:autoSpaceDN w:val="0"/>
        <w:spacing w:line="360" w:lineRule="auto"/>
        <w:jc w:val="center"/>
        <w:rPr>
          <w:rFonts w:ascii="仿宋" w:hAnsi="仿宋" w:eastAsia="仿宋" w:cs="Times New Roman"/>
          <w:b/>
          <w:color w:val="auto"/>
          <w:kern w:val="0"/>
          <w:sz w:val="44"/>
          <w:szCs w:val="28"/>
          <w:highlight w:val="none"/>
        </w:rPr>
      </w:pPr>
      <w:r>
        <w:rPr>
          <w:rFonts w:hint="eastAsia" w:ascii="仿宋" w:hAnsi="仿宋" w:eastAsia="仿宋" w:cs="Times New Roman"/>
          <w:b/>
          <w:color w:val="auto"/>
          <w:kern w:val="0"/>
          <w:sz w:val="44"/>
          <w:szCs w:val="28"/>
          <w:highlight w:val="none"/>
        </w:rPr>
        <w:t>拟派项目经理类似业绩表及证明材料</w:t>
      </w:r>
    </w:p>
    <w:p w14:paraId="0F392AD4">
      <w:pPr>
        <w:autoSpaceDN w:val="0"/>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项目名称：</w:t>
      </w:r>
      <w:r>
        <w:rPr>
          <w:rFonts w:hint="eastAsia" w:ascii="仿宋" w:hAnsi="仿宋" w:eastAsia="仿宋" w:cs="Times New Roman"/>
          <w:b/>
          <w:color w:val="auto"/>
          <w:sz w:val="24"/>
          <w:szCs w:val="24"/>
          <w:highlight w:val="none"/>
          <w:u w:val="single"/>
        </w:rPr>
        <w:t xml:space="preserve">                                </w:t>
      </w:r>
    </w:p>
    <w:p w14:paraId="22059ED4">
      <w:pPr>
        <w:autoSpaceDN w:val="0"/>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项目编号：</w:t>
      </w:r>
      <w:r>
        <w:rPr>
          <w:rFonts w:hint="eastAsia" w:ascii="仿宋" w:hAnsi="仿宋" w:eastAsia="仿宋" w:cs="Times New Roman"/>
          <w:b/>
          <w:color w:val="auto"/>
          <w:sz w:val="24"/>
          <w:szCs w:val="24"/>
          <w:highlight w:val="none"/>
          <w:u w:val="single"/>
        </w:rPr>
        <w:t xml:space="preserve">                                  </w:t>
      </w:r>
    </w:p>
    <w:tbl>
      <w:tblPr>
        <w:tblStyle w:val="61"/>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1559"/>
        <w:gridCol w:w="1275"/>
        <w:gridCol w:w="1134"/>
        <w:gridCol w:w="1134"/>
        <w:gridCol w:w="993"/>
        <w:gridCol w:w="1134"/>
      </w:tblGrid>
      <w:tr w14:paraId="75EC4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6775493F">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序号</w:t>
            </w:r>
          </w:p>
        </w:tc>
        <w:tc>
          <w:tcPr>
            <w:tcW w:w="2127" w:type="dxa"/>
            <w:tcBorders>
              <w:top w:val="single" w:color="auto" w:sz="4" w:space="0"/>
              <w:left w:val="single" w:color="auto" w:sz="4" w:space="0"/>
              <w:bottom w:val="single" w:color="auto" w:sz="4" w:space="0"/>
              <w:right w:val="single" w:color="auto" w:sz="4" w:space="0"/>
            </w:tcBorders>
            <w:noWrap/>
            <w:vAlign w:val="center"/>
          </w:tcPr>
          <w:p w14:paraId="74EB9545">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甲方单位</w:t>
            </w:r>
          </w:p>
        </w:tc>
        <w:tc>
          <w:tcPr>
            <w:tcW w:w="1559" w:type="dxa"/>
            <w:tcBorders>
              <w:top w:val="single" w:color="auto" w:sz="4" w:space="0"/>
              <w:left w:val="single" w:color="auto" w:sz="4" w:space="0"/>
              <w:bottom w:val="single" w:color="auto" w:sz="4" w:space="0"/>
              <w:right w:val="single" w:color="auto" w:sz="4" w:space="0"/>
            </w:tcBorders>
            <w:noWrap/>
            <w:vAlign w:val="center"/>
          </w:tcPr>
          <w:p w14:paraId="27A382D0">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项目名称</w:t>
            </w:r>
          </w:p>
        </w:tc>
        <w:tc>
          <w:tcPr>
            <w:tcW w:w="1275" w:type="dxa"/>
            <w:tcBorders>
              <w:top w:val="single" w:color="auto" w:sz="4" w:space="0"/>
              <w:left w:val="single" w:color="auto" w:sz="4" w:space="0"/>
              <w:bottom w:val="single" w:color="auto" w:sz="4" w:space="0"/>
              <w:right w:val="single" w:color="auto" w:sz="4" w:space="0"/>
            </w:tcBorders>
            <w:noWrap/>
            <w:vAlign w:val="center"/>
          </w:tcPr>
          <w:p w14:paraId="7520555A">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合同金额</w:t>
            </w:r>
          </w:p>
        </w:tc>
        <w:tc>
          <w:tcPr>
            <w:tcW w:w="1134" w:type="dxa"/>
            <w:tcBorders>
              <w:top w:val="single" w:color="auto" w:sz="4" w:space="0"/>
              <w:left w:val="single" w:color="auto" w:sz="4" w:space="0"/>
              <w:bottom w:val="single" w:color="auto" w:sz="4" w:space="0"/>
              <w:right w:val="single" w:color="auto" w:sz="4" w:space="0"/>
            </w:tcBorders>
            <w:noWrap/>
            <w:vAlign w:val="center"/>
          </w:tcPr>
          <w:p w14:paraId="37559E77">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合同主要内容</w:t>
            </w:r>
          </w:p>
        </w:tc>
        <w:tc>
          <w:tcPr>
            <w:tcW w:w="1134" w:type="dxa"/>
            <w:tcBorders>
              <w:top w:val="single" w:color="auto" w:sz="4" w:space="0"/>
              <w:left w:val="single" w:color="auto" w:sz="4" w:space="0"/>
              <w:bottom w:val="single" w:color="auto" w:sz="4" w:space="0"/>
              <w:right w:val="single" w:color="auto" w:sz="4" w:space="0"/>
            </w:tcBorders>
            <w:noWrap/>
            <w:vAlign w:val="center"/>
          </w:tcPr>
          <w:p w14:paraId="6193D2E0">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合同签订时间</w:t>
            </w:r>
          </w:p>
        </w:tc>
        <w:tc>
          <w:tcPr>
            <w:tcW w:w="993" w:type="dxa"/>
            <w:tcBorders>
              <w:top w:val="single" w:color="auto" w:sz="4" w:space="0"/>
              <w:left w:val="single" w:color="auto" w:sz="4" w:space="0"/>
              <w:bottom w:val="single" w:color="auto" w:sz="4" w:space="0"/>
              <w:right w:val="single" w:color="auto" w:sz="4" w:space="0"/>
            </w:tcBorders>
            <w:noWrap/>
            <w:vAlign w:val="center"/>
          </w:tcPr>
          <w:p w14:paraId="26543708">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甲方联系人</w:t>
            </w:r>
          </w:p>
        </w:tc>
        <w:tc>
          <w:tcPr>
            <w:tcW w:w="1134" w:type="dxa"/>
            <w:tcBorders>
              <w:top w:val="single" w:color="auto" w:sz="4" w:space="0"/>
              <w:left w:val="single" w:color="auto" w:sz="4" w:space="0"/>
              <w:bottom w:val="single" w:color="auto" w:sz="4" w:space="0"/>
              <w:right w:val="single" w:color="auto" w:sz="4" w:space="0"/>
            </w:tcBorders>
            <w:noWrap/>
            <w:vAlign w:val="center"/>
          </w:tcPr>
          <w:p w14:paraId="3FB94A6C">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甲方联系电话</w:t>
            </w:r>
          </w:p>
        </w:tc>
      </w:tr>
      <w:tr w14:paraId="546E4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7A165B94">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1D29DA74">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061E840B">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7AFF7C5D">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879E6C3">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40110C6">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7F82BE9B">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C569D60">
            <w:pPr>
              <w:autoSpaceDN w:val="0"/>
              <w:rPr>
                <w:rFonts w:ascii="仿宋" w:hAnsi="仿宋" w:eastAsia="仿宋" w:cs="Times New Roman"/>
                <w:color w:val="auto"/>
                <w:sz w:val="24"/>
                <w:szCs w:val="24"/>
                <w:highlight w:val="none"/>
              </w:rPr>
            </w:pPr>
          </w:p>
        </w:tc>
      </w:tr>
      <w:tr w14:paraId="305DB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635CA5A5">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1CF9B3D8">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372ACFA0">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6206203F">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CCB5F43">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A79D4AC">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11CB3FEB">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1F39F69">
            <w:pPr>
              <w:autoSpaceDN w:val="0"/>
              <w:rPr>
                <w:rFonts w:ascii="仿宋" w:hAnsi="仿宋" w:eastAsia="仿宋" w:cs="Times New Roman"/>
                <w:color w:val="auto"/>
                <w:sz w:val="24"/>
                <w:szCs w:val="24"/>
                <w:highlight w:val="none"/>
              </w:rPr>
            </w:pPr>
          </w:p>
        </w:tc>
      </w:tr>
      <w:tr w14:paraId="2F74D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3215AE3F">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49378D31">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7E774B87">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45B79CC7">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247159C">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FAE6385">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6FBB4855">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AB8307A">
            <w:pPr>
              <w:autoSpaceDN w:val="0"/>
              <w:rPr>
                <w:rFonts w:ascii="仿宋" w:hAnsi="仿宋" w:eastAsia="仿宋" w:cs="Times New Roman"/>
                <w:color w:val="auto"/>
                <w:sz w:val="24"/>
                <w:szCs w:val="24"/>
                <w:highlight w:val="none"/>
              </w:rPr>
            </w:pPr>
          </w:p>
        </w:tc>
      </w:tr>
      <w:tr w14:paraId="3E547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400B7996">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131A5D3F">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3C669E71">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06A4C1B3">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82E4B11">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EBA94C1">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42D51303">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E88ABDC">
            <w:pPr>
              <w:autoSpaceDN w:val="0"/>
              <w:rPr>
                <w:rFonts w:ascii="仿宋" w:hAnsi="仿宋" w:eastAsia="仿宋" w:cs="Times New Roman"/>
                <w:color w:val="auto"/>
                <w:sz w:val="24"/>
                <w:szCs w:val="24"/>
                <w:highlight w:val="none"/>
              </w:rPr>
            </w:pPr>
          </w:p>
        </w:tc>
      </w:tr>
      <w:tr w14:paraId="4B091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3A213D9F">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59A4C5AA">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36D6EDB4">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392244A0">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BAB4BE3">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B1A2FC0">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567B955E">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E5D2444">
            <w:pPr>
              <w:autoSpaceDN w:val="0"/>
              <w:rPr>
                <w:rFonts w:ascii="仿宋" w:hAnsi="仿宋" w:eastAsia="仿宋" w:cs="Times New Roman"/>
                <w:color w:val="auto"/>
                <w:sz w:val="24"/>
                <w:szCs w:val="24"/>
                <w:highlight w:val="none"/>
              </w:rPr>
            </w:pPr>
          </w:p>
        </w:tc>
      </w:tr>
      <w:tr w14:paraId="38703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133D7A73">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298712A5">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00D92AB6">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2F739927">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A6CB6C9">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862B963">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15FB7071">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7DCAC83">
            <w:pPr>
              <w:autoSpaceDN w:val="0"/>
              <w:rPr>
                <w:rFonts w:ascii="仿宋" w:hAnsi="仿宋" w:eastAsia="仿宋" w:cs="Times New Roman"/>
                <w:color w:val="auto"/>
                <w:sz w:val="24"/>
                <w:szCs w:val="24"/>
                <w:highlight w:val="none"/>
              </w:rPr>
            </w:pPr>
          </w:p>
        </w:tc>
      </w:tr>
      <w:tr w14:paraId="226DF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5501212E">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28A172B1">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1673AC9B">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277E2466">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72FE931">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7F9E45A">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6E5A2AE1">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F8F427C">
            <w:pPr>
              <w:autoSpaceDN w:val="0"/>
              <w:rPr>
                <w:rFonts w:ascii="仿宋" w:hAnsi="仿宋" w:eastAsia="仿宋" w:cs="Times New Roman"/>
                <w:color w:val="auto"/>
                <w:sz w:val="24"/>
                <w:szCs w:val="24"/>
                <w:highlight w:val="none"/>
              </w:rPr>
            </w:pPr>
          </w:p>
        </w:tc>
      </w:tr>
    </w:tbl>
    <w:p w14:paraId="04AC2FDA">
      <w:pPr>
        <w:autoSpaceDN w:val="0"/>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备注：</w:t>
      </w:r>
    </w:p>
    <w:p w14:paraId="2ECF1A74">
      <w:pPr>
        <w:autoSpaceDN w:val="0"/>
        <w:spacing w:line="360" w:lineRule="auto"/>
        <w:rPr>
          <w:rFonts w:ascii="仿宋" w:hAnsi="仿宋" w:eastAsia="仿宋" w:cs="Times New Roman"/>
          <w:b/>
          <w:color w:val="auto"/>
          <w:w w:val="90"/>
          <w:kern w:val="0"/>
          <w:sz w:val="24"/>
          <w:szCs w:val="24"/>
          <w:highlight w:val="none"/>
        </w:rPr>
      </w:pPr>
      <w:r>
        <w:rPr>
          <w:rFonts w:hint="eastAsia" w:ascii="仿宋" w:hAnsi="仿宋" w:eastAsia="仿宋" w:cs="Times New Roman"/>
          <w:b/>
          <w:color w:val="auto"/>
          <w:sz w:val="24"/>
          <w:szCs w:val="24"/>
          <w:highlight w:val="none"/>
        </w:rPr>
        <w:t>（1）后附证明材料，</w:t>
      </w:r>
      <w:r>
        <w:rPr>
          <w:rFonts w:hint="eastAsia" w:ascii="仿宋" w:hAnsi="仿宋" w:eastAsia="仿宋" w:cs="Times New Roman"/>
          <w:b/>
          <w:color w:val="auto"/>
          <w:w w:val="90"/>
          <w:kern w:val="0"/>
          <w:sz w:val="24"/>
          <w:szCs w:val="24"/>
          <w:highlight w:val="none"/>
        </w:rPr>
        <w:t>证明材料详见评审办法要求。</w:t>
      </w:r>
    </w:p>
    <w:p w14:paraId="30076330">
      <w:pPr>
        <w:autoSpaceDN w:val="0"/>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kern w:val="0"/>
          <w:sz w:val="24"/>
          <w:szCs w:val="24"/>
          <w:highlight w:val="none"/>
        </w:rPr>
        <w:t>（2）没有类似业绩的，此表可以不提供。</w:t>
      </w:r>
    </w:p>
    <w:p w14:paraId="164505D7">
      <w:pPr>
        <w:autoSpaceDN w:val="0"/>
        <w:spacing w:line="360" w:lineRule="auto"/>
        <w:rPr>
          <w:rFonts w:ascii="仿宋" w:hAnsi="仿宋" w:eastAsia="仿宋" w:cs="Times New Roman"/>
          <w:color w:val="auto"/>
          <w:sz w:val="24"/>
          <w:szCs w:val="24"/>
          <w:highlight w:val="none"/>
        </w:rPr>
      </w:pPr>
    </w:p>
    <w:p w14:paraId="6B12F298">
      <w:pPr>
        <w:autoSpaceDN w:val="0"/>
        <w:snapToGrid w:val="0"/>
        <w:spacing w:line="360" w:lineRule="auto"/>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磋商响应供应商名称（盖章）：</w:t>
      </w:r>
      <w:r>
        <w:rPr>
          <w:rFonts w:hint="eastAsia" w:ascii="仿宋" w:hAnsi="仿宋" w:eastAsia="仿宋" w:cs="Times New Roman"/>
          <w:color w:val="auto"/>
          <w:w w:val="90"/>
          <w:kern w:val="0"/>
          <w:sz w:val="22"/>
          <w:highlight w:val="none"/>
        </w:rPr>
        <w:t>_______________________________</w:t>
      </w:r>
    </w:p>
    <w:p w14:paraId="6487B4A3">
      <w:pPr>
        <w:autoSpaceDE w:val="0"/>
        <w:autoSpaceDN w:val="0"/>
        <w:adjustRightInd w:val="0"/>
        <w:spacing w:line="360" w:lineRule="auto"/>
        <w:jc w:val="left"/>
        <w:rPr>
          <w:rFonts w:ascii="仿宋" w:hAnsi="仿宋" w:eastAsia="仿宋" w:cs="Times New Roman"/>
          <w:color w:val="auto"/>
          <w:w w:val="90"/>
          <w:kern w:val="0"/>
          <w:sz w:val="22"/>
          <w:highlight w:val="none"/>
        </w:rPr>
      </w:pPr>
      <w:r>
        <w:rPr>
          <w:rFonts w:hint="eastAsia" w:ascii="仿宋" w:hAnsi="仿宋" w:eastAsia="仿宋" w:cs="Times New Roman"/>
          <w:color w:val="auto"/>
          <w:sz w:val="24"/>
          <w:szCs w:val="28"/>
          <w:highlight w:val="none"/>
        </w:rPr>
        <w:t>日期：</w:t>
      </w:r>
      <w:r>
        <w:rPr>
          <w:rFonts w:hint="eastAsia" w:ascii="仿宋" w:hAnsi="仿宋" w:eastAsia="仿宋" w:cs="Times New Roman"/>
          <w:color w:val="auto"/>
          <w:w w:val="90"/>
          <w:kern w:val="0"/>
          <w:sz w:val="22"/>
          <w:highlight w:val="none"/>
        </w:rPr>
        <w:t>_______________________________</w:t>
      </w:r>
    </w:p>
    <w:p w14:paraId="1D97C069">
      <w:pPr>
        <w:autoSpaceDE w:val="0"/>
        <w:autoSpaceDN w:val="0"/>
        <w:adjustRightInd w:val="0"/>
        <w:spacing w:line="360" w:lineRule="auto"/>
        <w:ind w:firstLine="420"/>
        <w:jc w:val="left"/>
        <w:rPr>
          <w:rFonts w:ascii="仿宋" w:hAnsi="仿宋" w:eastAsia="仿宋" w:cs="Times New Roman"/>
          <w:color w:val="auto"/>
          <w:w w:val="90"/>
          <w:kern w:val="0"/>
          <w:sz w:val="22"/>
          <w:highlight w:val="none"/>
        </w:rPr>
      </w:pPr>
    </w:p>
    <w:p w14:paraId="034C3B21">
      <w:pPr>
        <w:widowControl/>
        <w:spacing w:line="360" w:lineRule="auto"/>
        <w:jc w:val="left"/>
        <w:rPr>
          <w:rFonts w:ascii="仿宋" w:hAnsi="仿宋" w:eastAsia="仿宋" w:cs="Times New Roman"/>
          <w:color w:val="auto"/>
          <w:w w:val="90"/>
          <w:kern w:val="0"/>
          <w:sz w:val="22"/>
          <w:highlight w:val="none"/>
        </w:rPr>
        <w:sectPr>
          <w:pgSz w:w="11906" w:h="16838"/>
          <w:pgMar w:top="1440" w:right="1416" w:bottom="1440" w:left="1560" w:header="851" w:footer="1077" w:gutter="0"/>
          <w:pgNumType w:chapStyle="1"/>
          <w:cols w:space="720" w:num="1"/>
          <w:docGrid w:linePitch="286" w:charSpace="0"/>
        </w:sectPr>
      </w:pPr>
    </w:p>
    <w:p w14:paraId="3785B5ED">
      <w:pPr>
        <w:keepNext/>
        <w:keepLines/>
        <w:autoSpaceDN w:val="0"/>
        <w:spacing w:before="260" w:after="260" w:line="415" w:lineRule="auto"/>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2-7.商务技术偏离表</w:t>
      </w:r>
    </w:p>
    <w:p w14:paraId="0AFF3ACD">
      <w:pPr>
        <w:autoSpaceDN w:val="0"/>
        <w:spacing w:line="360" w:lineRule="auto"/>
        <w:jc w:val="center"/>
        <w:rPr>
          <w:rFonts w:ascii="仿宋" w:hAnsi="仿宋" w:eastAsia="仿宋" w:cs="Times New Roman"/>
          <w:color w:val="auto"/>
          <w:szCs w:val="24"/>
          <w:highlight w:val="none"/>
        </w:rPr>
      </w:pPr>
      <w:r>
        <w:rPr>
          <w:rFonts w:hint="eastAsia" w:ascii="仿宋" w:hAnsi="仿宋" w:eastAsia="仿宋" w:cs="Times New Roman"/>
          <w:b/>
          <w:color w:val="auto"/>
          <w:kern w:val="0"/>
          <w:sz w:val="44"/>
          <w:szCs w:val="28"/>
          <w:highlight w:val="none"/>
        </w:rPr>
        <w:t>商务技术偏离表</w:t>
      </w:r>
    </w:p>
    <w:tbl>
      <w:tblPr>
        <w:tblStyle w:val="61"/>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565"/>
        <w:gridCol w:w="2606"/>
        <w:gridCol w:w="1437"/>
        <w:gridCol w:w="1857"/>
      </w:tblGrid>
      <w:tr w14:paraId="2EDB939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21" w:type="dxa"/>
            <w:tcBorders>
              <w:top w:val="single" w:color="auto" w:sz="2" w:space="0"/>
              <w:left w:val="single" w:color="auto" w:sz="2" w:space="0"/>
              <w:bottom w:val="single" w:color="auto" w:sz="4" w:space="0"/>
              <w:right w:val="single" w:color="auto" w:sz="4" w:space="0"/>
            </w:tcBorders>
            <w:noWrap/>
            <w:vAlign w:val="center"/>
          </w:tcPr>
          <w:p w14:paraId="43391D70">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序号</w:t>
            </w:r>
          </w:p>
        </w:tc>
        <w:tc>
          <w:tcPr>
            <w:tcW w:w="2565" w:type="dxa"/>
            <w:tcBorders>
              <w:top w:val="single" w:color="auto" w:sz="2" w:space="0"/>
              <w:left w:val="single" w:color="auto" w:sz="4" w:space="0"/>
              <w:bottom w:val="single" w:color="auto" w:sz="4" w:space="0"/>
              <w:right w:val="single" w:color="auto" w:sz="4" w:space="0"/>
            </w:tcBorders>
            <w:noWrap/>
            <w:vAlign w:val="center"/>
          </w:tcPr>
          <w:p w14:paraId="36137E3D">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磋商文件要求</w:t>
            </w:r>
          </w:p>
        </w:tc>
        <w:tc>
          <w:tcPr>
            <w:tcW w:w="2606" w:type="dxa"/>
            <w:tcBorders>
              <w:top w:val="single" w:color="auto" w:sz="2" w:space="0"/>
              <w:left w:val="single" w:color="auto" w:sz="4" w:space="0"/>
              <w:bottom w:val="single" w:color="auto" w:sz="4" w:space="0"/>
              <w:right w:val="single" w:color="auto" w:sz="4" w:space="0"/>
            </w:tcBorders>
            <w:noWrap/>
            <w:vAlign w:val="center"/>
          </w:tcPr>
          <w:p w14:paraId="00939970">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响应情况</w:t>
            </w:r>
          </w:p>
        </w:tc>
        <w:tc>
          <w:tcPr>
            <w:tcW w:w="1437" w:type="dxa"/>
            <w:tcBorders>
              <w:top w:val="single" w:color="auto" w:sz="2" w:space="0"/>
              <w:left w:val="single" w:color="auto" w:sz="4" w:space="0"/>
              <w:bottom w:val="single" w:color="auto" w:sz="4" w:space="0"/>
              <w:right w:val="single" w:color="auto" w:sz="4" w:space="0"/>
            </w:tcBorders>
            <w:noWrap/>
            <w:vAlign w:val="center"/>
          </w:tcPr>
          <w:p w14:paraId="0A21F59D">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正/负偏离</w:t>
            </w:r>
          </w:p>
        </w:tc>
        <w:tc>
          <w:tcPr>
            <w:tcW w:w="1857" w:type="dxa"/>
            <w:tcBorders>
              <w:top w:val="single" w:color="auto" w:sz="2" w:space="0"/>
              <w:left w:val="single" w:color="auto" w:sz="4" w:space="0"/>
              <w:bottom w:val="single" w:color="auto" w:sz="4" w:space="0"/>
              <w:right w:val="single" w:color="auto" w:sz="2" w:space="0"/>
            </w:tcBorders>
            <w:noWrap/>
            <w:vAlign w:val="center"/>
          </w:tcPr>
          <w:p w14:paraId="7CFF3C81">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理由</w:t>
            </w:r>
          </w:p>
        </w:tc>
      </w:tr>
      <w:tr w14:paraId="1FBDF65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100461E4">
            <w:pPr>
              <w:autoSpaceDN w:val="0"/>
              <w:spacing w:line="400" w:lineRule="exact"/>
              <w:jc w:val="center"/>
              <w:rPr>
                <w:rFonts w:ascii="仿宋" w:hAnsi="仿宋" w:eastAsia="仿宋" w:cs="Times New Roman"/>
                <w:bCs/>
                <w:color w:val="auto"/>
                <w:kern w:val="0"/>
                <w:sz w:val="24"/>
                <w:szCs w:val="24"/>
                <w:highlight w:val="none"/>
              </w:rPr>
            </w:pPr>
            <w:r>
              <w:rPr>
                <w:rFonts w:hint="eastAsia" w:ascii="仿宋" w:hAnsi="仿宋" w:eastAsia="仿宋" w:cs="Times New Roman"/>
                <w:bCs/>
                <w:color w:val="auto"/>
                <w:kern w:val="0"/>
                <w:sz w:val="24"/>
                <w:szCs w:val="24"/>
                <w:highlight w:val="none"/>
              </w:rPr>
              <w:t>1</w:t>
            </w:r>
          </w:p>
        </w:tc>
        <w:tc>
          <w:tcPr>
            <w:tcW w:w="2565" w:type="dxa"/>
            <w:tcBorders>
              <w:top w:val="single" w:color="auto" w:sz="4" w:space="0"/>
              <w:left w:val="single" w:color="auto" w:sz="4" w:space="0"/>
              <w:bottom w:val="single" w:color="auto" w:sz="4" w:space="0"/>
              <w:right w:val="single" w:color="auto" w:sz="4" w:space="0"/>
            </w:tcBorders>
            <w:noWrap/>
            <w:vAlign w:val="center"/>
          </w:tcPr>
          <w:p w14:paraId="672A3A2E">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6A5D0D43">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51134C5B">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600E41A5">
            <w:pPr>
              <w:autoSpaceDN w:val="0"/>
              <w:spacing w:line="400" w:lineRule="exact"/>
              <w:jc w:val="center"/>
              <w:rPr>
                <w:rFonts w:ascii="仿宋" w:hAnsi="仿宋" w:eastAsia="仿宋" w:cs="Times New Roman"/>
                <w:b/>
                <w:color w:val="auto"/>
                <w:kern w:val="0"/>
                <w:sz w:val="24"/>
                <w:szCs w:val="24"/>
                <w:highlight w:val="none"/>
              </w:rPr>
            </w:pPr>
          </w:p>
        </w:tc>
      </w:tr>
      <w:tr w14:paraId="33C0D1D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46CA6549">
            <w:pPr>
              <w:autoSpaceDN w:val="0"/>
              <w:spacing w:line="400" w:lineRule="exact"/>
              <w:jc w:val="center"/>
              <w:rPr>
                <w:rFonts w:ascii="仿宋" w:hAnsi="仿宋" w:eastAsia="仿宋" w:cs="Times New Roman"/>
                <w:bCs/>
                <w:color w:val="auto"/>
                <w:kern w:val="0"/>
                <w:sz w:val="24"/>
                <w:szCs w:val="24"/>
                <w:highlight w:val="none"/>
              </w:rPr>
            </w:pPr>
            <w:r>
              <w:rPr>
                <w:rFonts w:hint="eastAsia" w:ascii="仿宋" w:hAnsi="仿宋" w:eastAsia="仿宋" w:cs="Times New Roman"/>
                <w:bCs/>
                <w:color w:val="auto"/>
                <w:kern w:val="0"/>
                <w:sz w:val="24"/>
                <w:szCs w:val="24"/>
                <w:highlight w:val="none"/>
              </w:rPr>
              <w:t>2</w:t>
            </w:r>
          </w:p>
        </w:tc>
        <w:tc>
          <w:tcPr>
            <w:tcW w:w="2565" w:type="dxa"/>
            <w:tcBorders>
              <w:top w:val="single" w:color="auto" w:sz="4" w:space="0"/>
              <w:left w:val="single" w:color="auto" w:sz="4" w:space="0"/>
              <w:bottom w:val="single" w:color="auto" w:sz="4" w:space="0"/>
              <w:right w:val="single" w:color="auto" w:sz="4" w:space="0"/>
            </w:tcBorders>
            <w:noWrap/>
            <w:vAlign w:val="center"/>
          </w:tcPr>
          <w:p w14:paraId="12EF971A">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2884B025">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35A64CB4">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3981E204">
            <w:pPr>
              <w:autoSpaceDN w:val="0"/>
              <w:spacing w:line="400" w:lineRule="exact"/>
              <w:jc w:val="center"/>
              <w:rPr>
                <w:rFonts w:ascii="仿宋" w:hAnsi="仿宋" w:eastAsia="仿宋" w:cs="Times New Roman"/>
                <w:b/>
                <w:color w:val="auto"/>
                <w:kern w:val="0"/>
                <w:sz w:val="24"/>
                <w:szCs w:val="24"/>
                <w:highlight w:val="none"/>
              </w:rPr>
            </w:pPr>
          </w:p>
        </w:tc>
      </w:tr>
      <w:tr w14:paraId="5B8369E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27D0FC72">
            <w:pPr>
              <w:autoSpaceDN w:val="0"/>
              <w:spacing w:line="400" w:lineRule="exact"/>
              <w:jc w:val="center"/>
              <w:rPr>
                <w:rFonts w:ascii="仿宋" w:hAnsi="仿宋" w:eastAsia="仿宋" w:cs="Times New Roman"/>
                <w:bCs/>
                <w:color w:val="auto"/>
                <w:kern w:val="0"/>
                <w:sz w:val="24"/>
                <w:szCs w:val="24"/>
                <w:highlight w:val="none"/>
              </w:rPr>
            </w:pPr>
            <w:r>
              <w:rPr>
                <w:rFonts w:hint="eastAsia" w:ascii="仿宋" w:hAnsi="仿宋" w:eastAsia="仿宋" w:cs="Times New Roman"/>
                <w:bCs/>
                <w:color w:val="auto"/>
                <w:kern w:val="0"/>
                <w:sz w:val="24"/>
                <w:szCs w:val="24"/>
                <w:highlight w:val="none"/>
              </w:rPr>
              <w:t>3</w:t>
            </w:r>
          </w:p>
        </w:tc>
        <w:tc>
          <w:tcPr>
            <w:tcW w:w="2565" w:type="dxa"/>
            <w:tcBorders>
              <w:top w:val="single" w:color="auto" w:sz="4" w:space="0"/>
              <w:left w:val="single" w:color="auto" w:sz="4" w:space="0"/>
              <w:bottom w:val="single" w:color="auto" w:sz="4" w:space="0"/>
              <w:right w:val="single" w:color="auto" w:sz="4" w:space="0"/>
            </w:tcBorders>
            <w:noWrap/>
            <w:vAlign w:val="center"/>
          </w:tcPr>
          <w:p w14:paraId="06AB8418">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7F7D887D">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2AB70767">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0037A3F5">
            <w:pPr>
              <w:autoSpaceDN w:val="0"/>
              <w:spacing w:line="400" w:lineRule="exact"/>
              <w:jc w:val="center"/>
              <w:rPr>
                <w:rFonts w:ascii="仿宋" w:hAnsi="仿宋" w:eastAsia="仿宋" w:cs="Times New Roman"/>
                <w:b/>
                <w:color w:val="auto"/>
                <w:kern w:val="0"/>
                <w:sz w:val="24"/>
                <w:szCs w:val="24"/>
                <w:highlight w:val="none"/>
              </w:rPr>
            </w:pPr>
          </w:p>
        </w:tc>
      </w:tr>
      <w:tr w14:paraId="20F4C02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28BFAD7C">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2530A06E">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56826C6C">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44507E07">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274D8617">
            <w:pPr>
              <w:autoSpaceDN w:val="0"/>
              <w:spacing w:line="400" w:lineRule="exact"/>
              <w:jc w:val="center"/>
              <w:rPr>
                <w:rFonts w:ascii="仿宋" w:hAnsi="仿宋" w:eastAsia="仿宋" w:cs="Times New Roman"/>
                <w:b/>
                <w:color w:val="auto"/>
                <w:kern w:val="0"/>
                <w:sz w:val="24"/>
                <w:szCs w:val="24"/>
                <w:highlight w:val="none"/>
              </w:rPr>
            </w:pPr>
          </w:p>
        </w:tc>
      </w:tr>
      <w:tr w14:paraId="4BF058C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6D4881ED">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0B631EE7">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4513588B">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4B57BF7A">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203624E6">
            <w:pPr>
              <w:autoSpaceDN w:val="0"/>
              <w:spacing w:line="400" w:lineRule="exact"/>
              <w:jc w:val="center"/>
              <w:rPr>
                <w:rFonts w:ascii="仿宋" w:hAnsi="仿宋" w:eastAsia="仿宋" w:cs="Times New Roman"/>
                <w:b/>
                <w:color w:val="auto"/>
                <w:kern w:val="0"/>
                <w:sz w:val="24"/>
                <w:szCs w:val="24"/>
                <w:highlight w:val="none"/>
              </w:rPr>
            </w:pPr>
          </w:p>
        </w:tc>
      </w:tr>
      <w:tr w14:paraId="2EE6DFE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0F45DD39">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467A911A">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4111EA28">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0B11A005">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58E65698">
            <w:pPr>
              <w:autoSpaceDN w:val="0"/>
              <w:spacing w:line="400" w:lineRule="exact"/>
              <w:jc w:val="center"/>
              <w:rPr>
                <w:rFonts w:ascii="仿宋" w:hAnsi="仿宋" w:eastAsia="仿宋" w:cs="Times New Roman"/>
                <w:b/>
                <w:color w:val="auto"/>
                <w:kern w:val="0"/>
                <w:sz w:val="24"/>
                <w:szCs w:val="24"/>
                <w:highlight w:val="none"/>
              </w:rPr>
            </w:pPr>
          </w:p>
        </w:tc>
      </w:tr>
      <w:tr w14:paraId="7F01FE1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309CD5E7">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3AA83A34">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60BBBDD1">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2EAA508E">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48FBDD21">
            <w:pPr>
              <w:autoSpaceDN w:val="0"/>
              <w:spacing w:line="400" w:lineRule="exact"/>
              <w:jc w:val="center"/>
              <w:rPr>
                <w:rFonts w:ascii="仿宋" w:hAnsi="仿宋" w:eastAsia="仿宋" w:cs="Times New Roman"/>
                <w:b/>
                <w:color w:val="auto"/>
                <w:kern w:val="0"/>
                <w:sz w:val="24"/>
                <w:szCs w:val="24"/>
                <w:highlight w:val="none"/>
              </w:rPr>
            </w:pPr>
          </w:p>
        </w:tc>
      </w:tr>
      <w:tr w14:paraId="4C48EFB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36E0688A">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1D5BEEE1">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585A3AB5">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7EB3C44F">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642F5EF3">
            <w:pPr>
              <w:autoSpaceDN w:val="0"/>
              <w:spacing w:line="400" w:lineRule="exact"/>
              <w:jc w:val="center"/>
              <w:rPr>
                <w:rFonts w:ascii="仿宋" w:hAnsi="仿宋" w:eastAsia="仿宋" w:cs="Times New Roman"/>
                <w:b/>
                <w:color w:val="auto"/>
                <w:kern w:val="0"/>
                <w:sz w:val="24"/>
                <w:szCs w:val="24"/>
                <w:highlight w:val="none"/>
              </w:rPr>
            </w:pPr>
          </w:p>
        </w:tc>
      </w:tr>
      <w:tr w14:paraId="41E0F58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4758BDC3">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25D03C81">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56BEFEBB">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615C887C">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5B22E74B">
            <w:pPr>
              <w:autoSpaceDN w:val="0"/>
              <w:spacing w:line="400" w:lineRule="exact"/>
              <w:jc w:val="center"/>
              <w:rPr>
                <w:rFonts w:ascii="仿宋" w:hAnsi="仿宋" w:eastAsia="仿宋" w:cs="Times New Roman"/>
                <w:b/>
                <w:color w:val="auto"/>
                <w:kern w:val="0"/>
                <w:sz w:val="24"/>
                <w:szCs w:val="24"/>
                <w:highlight w:val="none"/>
              </w:rPr>
            </w:pPr>
          </w:p>
        </w:tc>
      </w:tr>
      <w:tr w14:paraId="0D8137C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2" w:space="0"/>
              <w:right w:val="single" w:color="auto" w:sz="4" w:space="0"/>
            </w:tcBorders>
            <w:noWrap/>
            <w:vAlign w:val="center"/>
          </w:tcPr>
          <w:p w14:paraId="0D2AE2D6">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2" w:space="0"/>
              <w:right w:val="single" w:color="auto" w:sz="4" w:space="0"/>
            </w:tcBorders>
            <w:noWrap/>
            <w:vAlign w:val="center"/>
          </w:tcPr>
          <w:p w14:paraId="47C52E78">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2" w:space="0"/>
              <w:right w:val="single" w:color="auto" w:sz="4" w:space="0"/>
            </w:tcBorders>
            <w:noWrap/>
            <w:vAlign w:val="center"/>
          </w:tcPr>
          <w:p w14:paraId="2ED74559">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2" w:space="0"/>
              <w:right w:val="single" w:color="auto" w:sz="4" w:space="0"/>
            </w:tcBorders>
            <w:noWrap/>
            <w:vAlign w:val="center"/>
          </w:tcPr>
          <w:p w14:paraId="2393FE2C">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2" w:space="0"/>
              <w:right w:val="single" w:color="auto" w:sz="2" w:space="0"/>
            </w:tcBorders>
            <w:noWrap/>
            <w:vAlign w:val="center"/>
          </w:tcPr>
          <w:p w14:paraId="005909A1">
            <w:pPr>
              <w:autoSpaceDN w:val="0"/>
              <w:spacing w:line="400" w:lineRule="exact"/>
              <w:jc w:val="center"/>
              <w:rPr>
                <w:rFonts w:ascii="仿宋" w:hAnsi="仿宋" w:eastAsia="仿宋" w:cs="Times New Roman"/>
                <w:b/>
                <w:color w:val="auto"/>
                <w:kern w:val="0"/>
                <w:sz w:val="24"/>
                <w:szCs w:val="24"/>
                <w:highlight w:val="none"/>
              </w:rPr>
            </w:pPr>
          </w:p>
        </w:tc>
      </w:tr>
    </w:tbl>
    <w:p w14:paraId="132CCD44">
      <w:pPr>
        <w:autoSpaceDN w:val="0"/>
        <w:spacing w:line="360" w:lineRule="auto"/>
        <w:rPr>
          <w:rFonts w:ascii="仿宋" w:hAnsi="仿宋" w:eastAsia="仿宋" w:cs="Times New Roman"/>
          <w:b/>
          <w:color w:val="auto"/>
          <w:w w:val="90"/>
          <w:kern w:val="0"/>
          <w:sz w:val="24"/>
          <w:szCs w:val="24"/>
          <w:highlight w:val="none"/>
          <w:lang w:val="zh-CN"/>
        </w:rPr>
      </w:pPr>
      <w:r>
        <w:rPr>
          <w:rFonts w:hint="eastAsia" w:ascii="仿宋" w:hAnsi="仿宋" w:eastAsia="仿宋" w:cs="Times New Roman"/>
          <w:b/>
          <w:color w:val="auto"/>
          <w:w w:val="90"/>
          <w:kern w:val="0"/>
          <w:sz w:val="24"/>
          <w:szCs w:val="24"/>
          <w:highlight w:val="none"/>
          <w:lang w:val="zh-CN"/>
        </w:rPr>
        <w:t>备注：根据磋商文件要求，如有偏离均应填写偏离表，不填写或未提供偏离表均视为无偏离且完全响应磋商文件要求。</w:t>
      </w:r>
    </w:p>
    <w:p w14:paraId="44B6EAD5">
      <w:pPr>
        <w:autoSpaceDN w:val="0"/>
        <w:rPr>
          <w:rFonts w:ascii="仿宋" w:hAnsi="仿宋" w:eastAsia="仿宋" w:cs="Times New Roman"/>
          <w:color w:val="auto"/>
          <w:szCs w:val="24"/>
          <w:highlight w:val="none"/>
        </w:rPr>
      </w:pPr>
    </w:p>
    <w:p w14:paraId="629E97E7">
      <w:pPr>
        <w:autoSpaceDE w:val="0"/>
        <w:autoSpaceDN w:val="0"/>
        <w:adjustRightInd w:val="0"/>
        <w:jc w:val="left"/>
        <w:rPr>
          <w:rFonts w:ascii="仿宋" w:hAnsi="仿宋" w:eastAsia="仿宋" w:cs="..ì."/>
          <w:color w:val="auto"/>
          <w:sz w:val="24"/>
          <w:szCs w:val="24"/>
          <w:highlight w:val="none"/>
        </w:rPr>
      </w:pPr>
    </w:p>
    <w:p w14:paraId="3A9A617F">
      <w:pPr>
        <w:autoSpaceDN w:val="0"/>
        <w:snapToGrid w:val="0"/>
        <w:spacing w:line="360" w:lineRule="auto"/>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磋商响应供应商名称（盖章）：</w:t>
      </w:r>
      <w:r>
        <w:rPr>
          <w:rFonts w:hint="eastAsia" w:ascii="仿宋" w:hAnsi="仿宋" w:eastAsia="仿宋" w:cs="Times New Roman"/>
          <w:color w:val="auto"/>
          <w:w w:val="90"/>
          <w:kern w:val="0"/>
          <w:sz w:val="22"/>
          <w:highlight w:val="none"/>
        </w:rPr>
        <w:t>_______________________________</w:t>
      </w:r>
    </w:p>
    <w:p w14:paraId="32B593A7">
      <w:pPr>
        <w:autoSpaceDE w:val="0"/>
        <w:autoSpaceDN w:val="0"/>
        <w:adjustRightInd w:val="0"/>
        <w:spacing w:line="360" w:lineRule="auto"/>
        <w:jc w:val="left"/>
        <w:rPr>
          <w:rFonts w:ascii="仿宋" w:hAnsi="仿宋" w:eastAsia="仿宋" w:cs="Times New Roman"/>
          <w:color w:val="auto"/>
          <w:w w:val="90"/>
          <w:kern w:val="0"/>
          <w:sz w:val="22"/>
          <w:highlight w:val="none"/>
        </w:rPr>
      </w:pPr>
      <w:r>
        <w:rPr>
          <w:rFonts w:hint="eastAsia" w:ascii="仿宋" w:hAnsi="仿宋" w:eastAsia="仿宋" w:cs="Times New Roman"/>
          <w:color w:val="auto"/>
          <w:sz w:val="24"/>
          <w:szCs w:val="28"/>
          <w:highlight w:val="none"/>
        </w:rPr>
        <w:t>日期：</w:t>
      </w:r>
      <w:r>
        <w:rPr>
          <w:rFonts w:hint="eastAsia" w:ascii="仿宋" w:hAnsi="仿宋" w:eastAsia="仿宋" w:cs="Times New Roman"/>
          <w:color w:val="auto"/>
          <w:w w:val="90"/>
          <w:kern w:val="0"/>
          <w:sz w:val="22"/>
          <w:highlight w:val="none"/>
        </w:rPr>
        <w:t>_______________________________</w:t>
      </w:r>
    </w:p>
    <w:p w14:paraId="4BC8BE16">
      <w:pPr>
        <w:widowControl/>
        <w:jc w:val="left"/>
        <w:rPr>
          <w:rFonts w:ascii="仿宋" w:hAnsi="仿宋" w:eastAsia="仿宋" w:cs="Times New Roman"/>
          <w:color w:val="auto"/>
          <w:kern w:val="0"/>
          <w:highlight w:val="none"/>
        </w:rPr>
        <w:sectPr>
          <w:pgSz w:w="11906" w:h="16838"/>
          <w:pgMar w:top="1440" w:right="1416" w:bottom="1440" w:left="1560" w:header="851" w:footer="1077" w:gutter="0"/>
          <w:cols w:space="720" w:num="1"/>
          <w:docGrid w:linePitch="286" w:charSpace="0"/>
        </w:sectPr>
      </w:pPr>
    </w:p>
    <w:p w14:paraId="25973545">
      <w:pPr>
        <w:keepNext/>
        <w:keepLines/>
        <w:autoSpaceDN w:val="0"/>
        <w:spacing w:before="260" w:after="260" w:line="415" w:lineRule="auto"/>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2-8.施工组织设计</w:t>
      </w:r>
    </w:p>
    <w:p w14:paraId="026D5315">
      <w:pPr>
        <w:tabs>
          <w:tab w:val="left" w:pos="720"/>
        </w:tabs>
        <w:autoSpaceDN w:val="0"/>
        <w:spacing w:line="440" w:lineRule="exact"/>
        <w:ind w:firstLine="440" w:firstLineChars="200"/>
        <w:rPr>
          <w:rFonts w:ascii="仿宋" w:hAnsi="仿宋" w:eastAsia="仿宋" w:cs="Times New Roman"/>
          <w:color w:val="auto"/>
          <w:sz w:val="22"/>
          <w:highlight w:val="none"/>
        </w:rPr>
      </w:pPr>
      <w:r>
        <w:rPr>
          <w:rFonts w:hint="eastAsia" w:ascii="仿宋" w:hAnsi="仿宋" w:eastAsia="仿宋" w:cs="Times New Roman"/>
          <w:color w:val="auto"/>
          <w:sz w:val="22"/>
          <w:highlight w:val="none"/>
        </w:rPr>
        <w:t xml:space="preserve">1. </w:t>
      </w:r>
      <w:r>
        <w:rPr>
          <w:rFonts w:hint="eastAsia" w:ascii="仿宋" w:hAnsi="仿宋" w:eastAsia="仿宋" w:cs="Times New Roman"/>
          <w:color w:val="auto"/>
          <w:sz w:val="22"/>
          <w:highlight w:val="none"/>
        </w:rPr>
        <w:tab/>
      </w:r>
      <w:r>
        <w:rPr>
          <w:rFonts w:hint="eastAsia" w:ascii="仿宋" w:hAnsi="仿宋" w:eastAsia="仿宋" w:cs="Times New Roman"/>
          <w:color w:val="auto"/>
          <w:sz w:val="22"/>
          <w:highlight w:val="none"/>
        </w:rPr>
        <w:t>磋商响应供应商编制施工组织设计的要求：编制时应采用文字并结合图表形式说明施工方法；拟投入的主要施工设备情况、拟配备的试验和检测仪器设备情况、劳动力计划等；结合工程特点提出切实可行的工程质量、安全生产、文明施工、工程进度、技术组织措施、成品保护方案（防尘、防潮措施等），同时应对关键工序、复杂环节重点提出相应技术措施，如冬雨季施工技术、减少噪音、降低环境污染、地下管线及其他地上地下设施的保护加固措施等。</w:t>
      </w:r>
    </w:p>
    <w:p w14:paraId="60A3FFF8">
      <w:pPr>
        <w:tabs>
          <w:tab w:val="left" w:pos="720"/>
        </w:tabs>
        <w:autoSpaceDN w:val="0"/>
        <w:spacing w:line="440" w:lineRule="exact"/>
        <w:ind w:firstLine="440" w:firstLineChars="200"/>
        <w:rPr>
          <w:rFonts w:ascii="仿宋" w:hAnsi="仿宋" w:eastAsia="仿宋" w:cs="Times New Roman"/>
          <w:color w:val="auto"/>
          <w:sz w:val="22"/>
          <w:highlight w:val="none"/>
        </w:rPr>
      </w:pPr>
      <w:r>
        <w:rPr>
          <w:rFonts w:hint="eastAsia" w:ascii="仿宋" w:hAnsi="仿宋" w:eastAsia="仿宋" w:cs="Times New Roman"/>
          <w:color w:val="auto"/>
          <w:sz w:val="22"/>
          <w:highlight w:val="none"/>
        </w:rPr>
        <w:t xml:space="preserve">2. </w:t>
      </w:r>
      <w:r>
        <w:rPr>
          <w:rFonts w:hint="eastAsia" w:ascii="仿宋" w:hAnsi="仿宋" w:eastAsia="仿宋" w:cs="Times New Roman"/>
          <w:color w:val="auto"/>
          <w:sz w:val="22"/>
          <w:highlight w:val="none"/>
        </w:rPr>
        <w:tab/>
      </w:r>
      <w:r>
        <w:rPr>
          <w:rFonts w:hint="eastAsia" w:ascii="仿宋" w:hAnsi="仿宋" w:eastAsia="仿宋" w:cs="Times New Roman"/>
          <w:color w:val="auto"/>
          <w:sz w:val="22"/>
          <w:highlight w:val="none"/>
        </w:rPr>
        <w:t>施工组织设计除采用文字表述外可附下列图表，图表及格式要求附后。</w:t>
      </w:r>
    </w:p>
    <w:p w14:paraId="38457643">
      <w:pPr>
        <w:tabs>
          <w:tab w:val="left" w:pos="720"/>
        </w:tabs>
        <w:autoSpaceDN w:val="0"/>
        <w:spacing w:line="440" w:lineRule="exact"/>
        <w:ind w:firstLine="792" w:firstLineChars="360"/>
        <w:rPr>
          <w:rFonts w:ascii="仿宋" w:hAnsi="仿宋" w:eastAsia="仿宋" w:cs="Times New Roman"/>
          <w:color w:val="auto"/>
          <w:sz w:val="22"/>
          <w:highlight w:val="none"/>
        </w:rPr>
      </w:pPr>
      <w:r>
        <w:rPr>
          <w:rFonts w:hint="eastAsia" w:ascii="仿宋" w:hAnsi="仿宋" w:eastAsia="仿宋" w:cs="Times New Roman"/>
          <w:color w:val="auto"/>
          <w:sz w:val="22"/>
          <w:highlight w:val="none"/>
        </w:rPr>
        <w:t>附表一</w:t>
      </w:r>
      <w:r>
        <w:rPr>
          <w:rFonts w:hint="eastAsia" w:ascii="仿宋" w:hAnsi="仿宋" w:eastAsia="仿宋" w:cs="Times New Roman"/>
          <w:color w:val="auto"/>
          <w:sz w:val="22"/>
          <w:highlight w:val="none"/>
          <w:lang w:eastAsia="zh-CN"/>
        </w:rPr>
        <w:t>：</w:t>
      </w:r>
      <w:r>
        <w:rPr>
          <w:rFonts w:hint="eastAsia" w:ascii="仿宋" w:hAnsi="仿宋" w:eastAsia="仿宋" w:cs="Times New Roman"/>
          <w:color w:val="auto"/>
          <w:sz w:val="22"/>
          <w:highlight w:val="none"/>
        </w:rPr>
        <w:t>拟投入的主要施工设备表</w:t>
      </w:r>
    </w:p>
    <w:p w14:paraId="4FAC2D2D">
      <w:pPr>
        <w:tabs>
          <w:tab w:val="left" w:pos="720"/>
        </w:tabs>
        <w:autoSpaceDN w:val="0"/>
        <w:spacing w:line="440" w:lineRule="exact"/>
        <w:ind w:firstLine="792" w:firstLineChars="360"/>
        <w:rPr>
          <w:rFonts w:ascii="仿宋" w:hAnsi="仿宋" w:eastAsia="仿宋" w:cs="Times New Roman"/>
          <w:color w:val="auto"/>
          <w:sz w:val="22"/>
          <w:highlight w:val="none"/>
        </w:rPr>
      </w:pPr>
      <w:r>
        <w:rPr>
          <w:rFonts w:hint="eastAsia" w:ascii="仿宋" w:hAnsi="仿宋" w:eastAsia="仿宋" w:cs="Times New Roman"/>
          <w:color w:val="auto"/>
          <w:sz w:val="22"/>
          <w:highlight w:val="none"/>
        </w:rPr>
        <w:t>附表二</w:t>
      </w:r>
      <w:r>
        <w:rPr>
          <w:rFonts w:hint="eastAsia" w:ascii="仿宋" w:hAnsi="仿宋" w:eastAsia="仿宋" w:cs="Times New Roman"/>
          <w:color w:val="auto"/>
          <w:sz w:val="22"/>
          <w:highlight w:val="none"/>
          <w:lang w:eastAsia="zh-CN"/>
        </w:rPr>
        <w:t>：</w:t>
      </w:r>
      <w:r>
        <w:rPr>
          <w:rFonts w:hint="eastAsia" w:ascii="仿宋" w:hAnsi="仿宋" w:eastAsia="仿宋" w:cs="Times New Roman"/>
          <w:color w:val="auto"/>
          <w:sz w:val="22"/>
          <w:highlight w:val="none"/>
        </w:rPr>
        <w:t>拟配备的试验和检测仪器设备表</w:t>
      </w:r>
    </w:p>
    <w:p w14:paraId="5CC56AA4">
      <w:pPr>
        <w:tabs>
          <w:tab w:val="left" w:pos="720"/>
        </w:tabs>
        <w:autoSpaceDN w:val="0"/>
        <w:spacing w:line="440" w:lineRule="exact"/>
        <w:ind w:firstLine="792" w:firstLineChars="360"/>
        <w:rPr>
          <w:rFonts w:ascii="仿宋" w:hAnsi="仿宋" w:eastAsia="仿宋" w:cs="Times New Roman"/>
          <w:color w:val="auto"/>
          <w:sz w:val="22"/>
          <w:highlight w:val="none"/>
        </w:rPr>
      </w:pPr>
      <w:r>
        <w:rPr>
          <w:rFonts w:hint="eastAsia" w:ascii="仿宋" w:hAnsi="仿宋" w:eastAsia="仿宋" w:cs="Times New Roman"/>
          <w:color w:val="auto"/>
          <w:sz w:val="22"/>
          <w:highlight w:val="none"/>
        </w:rPr>
        <w:t>附表三</w:t>
      </w:r>
      <w:r>
        <w:rPr>
          <w:rFonts w:hint="eastAsia" w:ascii="仿宋" w:hAnsi="仿宋" w:eastAsia="仿宋" w:cs="Times New Roman"/>
          <w:color w:val="auto"/>
          <w:sz w:val="22"/>
          <w:highlight w:val="none"/>
          <w:lang w:eastAsia="zh-CN"/>
        </w:rPr>
        <w:t>：</w:t>
      </w:r>
      <w:r>
        <w:rPr>
          <w:rFonts w:hint="eastAsia" w:ascii="仿宋" w:hAnsi="仿宋" w:eastAsia="仿宋" w:cs="Times New Roman"/>
          <w:color w:val="auto"/>
          <w:sz w:val="22"/>
          <w:highlight w:val="none"/>
        </w:rPr>
        <w:t>项目管理班子配备情况表</w:t>
      </w:r>
    </w:p>
    <w:p w14:paraId="65CFB112">
      <w:pPr>
        <w:tabs>
          <w:tab w:val="left" w:pos="720"/>
        </w:tabs>
        <w:autoSpaceDN w:val="0"/>
        <w:spacing w:line="440" w:lineRule="exact"/>
        <w:ind w:firstLine="792" w:firstLineChars="360"/>
        <w:rPr>
          <w:rFonts w:ascii="仿宋" w:hAnsi="仿宋" w:eastAsia="仿宋" w:cs="Times New Roman"/>
          <w:color w:val="auto"/>
          <w:sz w:val="22"/>
          <w:highlight w:val="none"/>
        </w:rPr>
      </w:pPr>
      <w:r>
        <w:rPr>
          <w:rFonts w:hint="eastAsia" w:ascii="仿宋" w:hAnsi="仿宋" w:eastAsia="仿宋" w:cs="Times New Roman"/>
          <w:color w:val="auto"/>
          <w:sz w:val="22"/>
          <w:highlight w:val="none"/>
        </w:rPr>
        <w:t>附表四</w:t>
      </w:r>
      <w:r>
        <w:rPr>
          <w:rFonts w:hint="eastAsia" w:ascii="仿宋" w:hAnsi="仿宋" w:eastAsia="仿宋" w:cs="Times New Roman"/>
          <w:color w:val="auto"/>
          <w:sz w:val="22"/>
          <w:highlight w:val="none"/>
          <w:lang w:eastAsia="zh-CN"/>
        </w:rPr>
        <w:t>：</w:t>
      </w:r>
      <w:r>
        <w:rPr>
          <w:rFonts w:hint="eastAsia" w:ascii="仿宋" w:hAnsi="仿宋" w:eastAsia="仿宋" w:cs="Times New Roman"/>
          <w:color w:val="auto"/>
          <w:sz w:val="22"/>
          <w:highlight w:val="none"/>
        </w:rPr>
        <w:t>项目经理简历表</w:t>
      </w:r>
    </w:p>
    <w:p w14:paraId="11A221B5">
      <w:pPr>
        <w:tabs>
          <w:tab w:val="left" w:pos="720"/>
        </w:tabs>
        <w:autoSpaceDN w:val="0"/>
        <w:spacing w:line="440" w:lineRule="exact"/>
        <w:ind w:firstLine="792" w:firstLineChars="360"/>
        <w:rPr>
          <w:rFonts w:ascii="仿宋" w:hAnsi="仿宋" w:eastAsia="仿宋" w:cs="Times New Roman"/>
          <w:color w:val="auto"/>
          <w:sz w:val="22"/>
          <w:highlight w:val="none"/>
        </w:rPr>
      </w:pPr>
      <w:r>
        <w:rPr>
          <w:rFonts w:hint="eastAsia" w:ascii="仿宋" w:hAnsi="仿宋" w:eastAsia="仿宋" w:cs="Times New Roman"/>
          <w:color w:val="auto"/>
          <w:sz w:val="22"/>
          <w:highlight w:val="none"/>
        </w:rPr>
        <w:t>附表五</w:t>
      </w:r>
      <w:r>
        <w:rPr>
          <w:rFonts w:hint="eastAsia" w:ascii="仿宋" w:hAnsi="仿宋" w:eastAsia="仿宋" w:cs="Times New Roman"/>
          <w:color w:val="auto"/>
          <w:sz w:val="22"/>
          <w:highlight w:val="none"/>
          <w:lang w:eastAsia="zh-CN"/>
        </w:rPr>
        <w:t>：</w:t>
      </w:r>
      <w:r>
        <w:rPr>
          <w:rFonts w:hint="eastAsia" w:ascii="仿宋" w:hAnsi="仿宋" w:eastAsia="仿宋" w:cs="Times New Roman"/>
          <w:color w:val="auto"/>
          <w:sz w:val="22"/>
          <w:highlight w:val="none"/>
        </w:rPr>
        <w:t>技术负责人简历表</w:t>
      </w:r>
    </w:p>
    <w:p w14:paraId="06F5E1D7">
      <w:pPr>
        <w:tabs>
          <w:tab w:val="left" w:pos="720"/>
        </w:tabs>
        <w:autoSpaceDN w:val="0"/>
        <w:spacing w:line="440" w:lineRule="exact"/>
        <w:ind w:firstLine="792" w:firstLineChars="360"/>
        <w:rPr>
          <w:rFonts w:hint="eastAsia" w:ascii="仿宋" w:hAnsi="仿宋" w:eastAsia="仿宋" w:cs="Times New Roman"/>
          <w:color w:val="auto"/>
          <w:sz w:val="22"/>
          <w:highlight w:val="none"/>
        </w:rPr>
      </w:pPr>
      <w:r>
        <w:rPr>
          <w:rFonts w:hint="eastAsia" w:ascii="仿宋" w:hAnsi="仿宋" w:eastAsia="仿宋" w:cs="Times New Roman"/>
          <w:color w:val="auto"/>
          <w:sz w:val="22"/>
          <w:highlight w:val="none"/>
        </w:rPr>
        <w:t>附表</w:t>
      </w:r>
      <w:r>
        <w:rPr>
          <w:rFonts w:hint="eastAsia" w:ascii="仿宋" w:hAnsi="仿宋" w:eastAsia="仿宋" w:cs="Times New Roman"/>
          <w:color w:val="auto"/>
          <w:sz w:val="22"/>
          <w:highlight w:val="none"/>
          <w:lang w:val="en-US" w:eastAsia="zh-CN"/>
        </w:rPr>
        <w:t>六</w:t>
      </w:r>
      <w:r>
        <w:rPr>
          <w:rFonts w:hint="eastAsia" w:ascii="仿宋" w:hAnsi="仿宋" w:eastAsia="仿宋" w:cs="Times New Roman"/>
          <w:color w:val="auto"/>
          <w:sz w:val="22"/>
          <w:highlight w:val="none"/>
          <w:lang w:eastAsia="zh-CN"/>
        </w:rPr>
        <w:t>：</w:t>
      </w:r>
      <w:r>
        <w:rPr>
          <w:rFonts w:hint="eastAsia" w:ascii="仿宋" w:hAnsi="仿宋" w:eastAsia="仿宋" w:cs="Times New Roman"/>
          <w:color w:val="auto"/>
          <w:sz w:val="22"/>
          <w:highlight w:val="none"/>
        </w:rPr>
        <w:t>劳动力计划表</w:t>
      </w:r>
    </w:p>
    <w:p w14:paraId="120C7FE5">
      <w:pPr>
        <w:tabs>
          <w:tab w:val="left" w:pos="720"/>
        </w:tabs>
        <w:autoSpaceDN w:val="0"/>
        <w:spacing w:line="440" w:lineRule="exact"/>
        <w:ind w:firstLine="792" w:firstLineChars="360"/>
        <w:rPr>
          <w:rFonts w:ascii="仿宋" w:hAnsi="仿宋" w:eastAsia="仿宋" w:cs="Times New Roman"/>
          <w:color w:val="auto"/>
          <w:sz w:val="22"/>
          <w:highlight w:val="none"/>
        </w:rPr>
      </w:pPr>
      <w:r>
        <w:rPr>
          <w:rFonts w:hint="eastAsia" w:ascii="仿宋" w:hAnsi="仿宋" w:eastAsia="仿宋" w:cs="Times New Roman"/>
          <w:color w:val="auto"/>
          <w:sz w:val="22"/>
          <w:highlight w:val="none"/>
        </w:rPr>
        <w:t>附表</w:t>
      </w:r>
      <w:r>
        <w:rPr>
          <w:rFonts w:hint="eastAsia" w:ascii="仿宋" w:hAnsi="仿宋" w:eastAsia="仿宋" w:cs="Times New Roman"/>
          <w:color w:val="auto"/>
          <w:sz w:val="22"/>
          <w:highlight w:val="none"/>
          <w:lang w:val="en-US" w:eastAsia="zh-CN"/>
        </w:rPr>
        <w:t>七</w:t>
      </w:r>
      <w:r>
        <w:rPr>
          <w:rFonts w:hint="eastAsia" w:ascii="仿宋" w:hAnsi="仿宋" w:eastAsia="仿宋" w:cs="Times New Roman"/>
          <w:color w:val="auto"/>
          <w:sz w:val="22"/>
          <w:highlight w:val="none"/>
          <w:lang w:eastAsia="zh-CN"/>
        </w:rPr>
        <w:t>：</w:t>
      </w:r>
      <w:r>
        <w:rPr>
          <w:rFonts w:hint="eastAsia" w:ascii="仿宋" w:hAnsi="仿宋" w:eastAsia="仿宋" w:cs="Times New Roman"/>
          <w:color w:val="auto"/>
          <w:sz w:val="22"/>
          <w:highlight w:val="none"/>
        </w:rPr>
        <w:t>计划开、竣工日期和施工进度网络图</w:t>
      </w:r>
    </w:p>
    <w:p w14:paraId="1E939135">
      <w:pPr>
        <w:tabs>
          <w:tab w:val="left" w:pos="720"/>
        </w:tabs>
        <w:autoSpaceDN w:val="0"/>
        <w:spacing w:line="440" w:lineRule="exact"/>
        <w:jc w:val="left"/>
        <w:rPr>
          <w:rFonts w:ascii="仿宋" w:hAnsi="仿宋" w:eastAsia="仿宋" w:cs="Times New Roman"/>
          <w:color w:val="auto"/>
          <w:sz w:val="22"/>
          <w:highlight w:val="none"/>
        </w:rPr>
      </w:pPr>
      <w:bookmarkStart w:id="110" w:name="_Toc152045797"/>
      <w:bookmarkStart w:id="111" w:name="_Toc144974865"/>
      <w:bookmarkStart w:id="112" w:name="_Toc152042586"/>
      <w:bookmarkStart w:id="113" w:name="_Toc179632817"/>
      <w:bookmarkStart w:id="114" w:name="_Toc246392155"/>
      <w:r>
        <w:rPr>
          <w:rFonts w:hint="eastAsia" w:ascii="仿宋" w:hAnsi="仿宋" w:eastAsia="仿宋" w:cs="Times New Roman"/>
          <w:b/>
          <w:bCs/>
          <w:color w:val="auto"/>
          <w:sz w:val="22"/>
          <w:highlight w:val="none"/>
        </w:rPr>
        <w:t>附表一：拟投入的主要施工设备表</w:t>
      </w:r>
      <w:bookmarkEnd w:id="110"/>
      <w:bookmarkEnd w:id="111"/>
      <w:bookmarkEnd w:id="112"/>
      <w:bookmarkEnd w:id="113"/>
      <w:bookmarkEnd w:id="114"/>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107"/>
        <w:gridCol w:w="776"/>
        <w:gridCol w:w="802"/>
        <w:gridCol w:w="684"/>
        <w:gridCol w:w="754"/>
        <w:gridCol w:w="1098"/>
        <w:gridCol w:w="892"/>
        <w:gridCol w:w="1035"/>
        <w:gridCol w:w="699"/>
      </w:tblGrid>
      <w:tr w14:paraId="3067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681" w:type="dxa"/>
            <w:tcBorders>
              <w:top w:val="single" w:color="auto" w:sz="4" w:space="0"/>
              <w:left w:val="single" w:color="auto" w:sz="4" w:space="0"/>
              <w:bottom w:val="single" w:color="auto" w:sz="4" w:space="0"/>
              <w:right w:val="single" w:color="auto" w:sz="4" w:space="0"/>
            </w:tcBorders>
            <w:noWrap/>
            <w:vAlign w:val="center"/>
          </w:tcPr>
          <w:p w14:paraId="127F9B67">
            <w:pPr>
              <w:autoSpaceDN w:val="0"/>
              <w:spacing w:line="440" w:lineRule="exact"/>
              <w:rPr>
                <w:rFonts w:ascii="仿宋" w:hAnsi="仿宋" w:eastAsia="仿宋" w:cs="Times New Roman"/>
                <w:color w:val="auto"/>
                <w:sz w:val="22"/>
                <w:highlight w:val="none"/>
              </w:rPr>
            </w:pPr>
            <w:r>
              <w:rPr>
                <w:rFonts w:hint="eastAsia" w:ascii="仿宋" w:hAnsi="仿宋" w:eastAsia="仿宋" w:cs="Times New Roman"/>
                <w:color w:val="auto"/>
                <w:sz w:val="22"/>
                <w:highlight w:val="none"/>
              </w:rPr>
              <w:t>序号</w:t>
            </w:r>
          </w:p>
        </w:tc>
        <w:tc>
          <w:tcPr>
            <w:tcW w:w="1107" w:type="dxa"/>
            <w:tcBorders>
              <w:top w:val="single" w:color="auto" w:sz="4" w:space="0"/>
              <w:left w:val="single" w:color="auto" w:sz="4" w:space="0"/>
              <w:bottom w:val="single" w:color="auto" w:sz="4" w:space="0"/>
              <w:right w:val="single" w:color="auto" w:sz="4" w:space="0"/>
            </w:tcBorders>
            <w:noWrap/>
            <w:vAlign w:val="center"/>
          </w:tcPr>
          <w:p w14:paraId="41616682">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设备名称</w:t>
            </w:r>
          </w:p>
        </w:tc>
        <w:tc>
          <w:tcPr>
            <w:tcW w:w="776" w:type="dxa"/>
            <w:tcBorders>
              <w:top w:val="single" w:color="auto" w:sz="4" w:space="0"/>
              <w:left w:val="single" w:color="auto" w:sz="4" w:space="0"/>
              <w:bottom w:val="single" w:color="auto" w:sz="4" w:space="0"/>
              <w:right w:val="single" w:color="auto" w:sz="4" w:space="0"/>
            </w:tcBorders>
            <w:noWrap/>
            <w:vAlign w:val="center"/>
          </w:tcPr>
          <w:p w14:paraId="0CBFCE48">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型号</w:t>
            </w:r>
          </w:p>
          <w:p w14:paraId="2368B70C">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规格</w:t>
            </w:r>
          </w:p>
        </w:tc>
        <w:tc>
          <w:tcPr>
            <w:tcW w:w="802" w:type="dxa"/>
            <w:tcBorders>
              <w:top w:val="single" w:color="auto" w:sz="4" w:space="0"/>
              <w:left w:val="single" w:color="auto" w:sz="4" w:space="0"/>
              <w:bottom w:val="single" w:color="auto" w:sz="4" w:space="0"/>
              <w:right w:val="single" w:color="auto" w:sz="4" w:space="0"/>
            </w:tcBorders>
            <w:noWrap/>
            <w:vAlign w:val="center"/>
          </w:tcPr>
          <w:p w14:paraId="4074C7F9">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数量</w:t>
            </w:r>
          </w:p>
        </w:tc>
        <w:tc>
          <w:tcPr>
            <w:tcW w:w="684" w:type="dxa"/>
            <w:tcBorders>
              <w:top w:val="single" w:color="auto" w:sz="4" w:space="0"/>
              <w:left w:val="single" w:color="auto" w:sz="4" w:space="0"/>
              <w:bottom w:val="single" w:color="auto" w:sz="4" w:space="0"/>
              <w:right w:val="single" w:color="auto" w:sz="4" w:space="0"/>
            </w:tcBorders>
            <w:noWrap/>
            <w:vAlign w:val="center"/>
          </w:tcPr>
          <w:p w14:paraId="14D78364">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国别</w:t>
            </w:r>
          </w:p>
          <w:p w14:paraId="4FEDB129">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产地</w:t>
            </w:r>
          </w:p>
        </w:tc>
        <w:tc>
          <w:tcPr>
            <w:tcW w:w="754" w:type="dxa"/>
            <w:tcBorders>
              <w:top w:val="single" w:color="auto" w:sz="4" w:space="0"/>
              <w:left w:val="single" w:color="auto" w:sz="4" w:space="0"/>
              <w:bottom w:val="single" w:color="auto" w:sz="4" w:space="0"/>
              <w:right w:val="single" w:color="auto" w:sz="4" w:space="0"/>
            </w:tcBorders>
            <w:noWrap/>
            <w:vAlign w:val="center"/>
          </w:tcPr>
          <w:p w14:paraId="38612720">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制造</w:t>
            </w:r>
          </w:p>
          <w:p w14:paraId="18088B61">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年份</w:t>
            </w:r>
          </w:p>
        </w:tc>
        <w:tc>
          <w:tcPr>
            <w:tcW w:w="1098" w:type="dxa"/>
            <w:tcBorders>
              <w:top w:val="single" w:color="auto" w:sz="4" w:space="0"/>
              <w:left w:val="single" w:color="auto" w:sz="4" w:space="0"/>
              <w:bottom w:val="single" w:color="auto" w:sz="4" w:space="0"/>
              <w:right w:val="single" w:color="auto" w:sz="4" w:space="0"/>
            </w:tcBorders>
            <w:noWrap/>
            <w:vAlign w:val="center"/>
          </w:tcPr>
          <w:p w14:paraId="221842C1">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额定功率（KW）</w:t>
            </w:r>
          </w:p>
        </w:tc>
        <w:tc>
          <w:tcPr>
            <w:tcW w:w="892" w:type="dxa"/>
            <w:tcBorders>
              <w:top w:val="single" w:color="auto" w:sz="4" w:space="0"/>
              <w:left w:val="single" w:color="auto" w:sz="4" w:space="0"/>
              <w:bottom w:val="single" w:color="auto" w:sz="4" w:space="0"/>
              <w:right w:val="single" w:color="auto" w:sz="4" w:space="0"/>
            </w:tcBorders>
            <w:noWrap/>
            <w:vAlign w:val="center"/>
          </w:tcPr>
          <w:p w14:paraId="15A34ACE">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生产</w:t>
            </w:r>
          </w:p>
          <w:p w14:paraId="0868C60A">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能力</w:t>
            </w:r>
          </w:p>
        </w:tc>
        <w:tc>
          <w:tcPr>
            <w:tcW w:w="1035" w:type="dxa"/>
            <w:tcBorders>
              <w:top w:val="single" w:color="auto" w:sz="4" w:space="0"/>
              <w:left w:val="single" w:color="auto" w:sz="4" w:space="0"/>
              <w:bottom w:val="single" w:color="auto" w:sz="4" w:space="0"/>
              <w:right w:val="single" w:color="auto" w:sz="4" w:space="0"/>
            </w:tcBorders>
            <w:noWrap/>
            <w:vAlign w:val="center"/>
          </w:tcPr>
          <w:p w14:paraId="1A97D331">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用于施工部位</w:t>
            </w:r>
          </w:p>
        </w:tc>
        <w:tc>
          <w:tcPr>
            <w:tcW w:w="699" w:type="dxa"/>
            <w:tcBorders>
              <w:top w:val="single" w:color="auto" w:sz="4" w:space="0"/>
              <w:left w:val="single" w:color="auto" w:sz="4" w:space="0"/>
              <w:bottom w:val="single" w:color="auto" w:sz="4" w:space="0"/>
              <w:right w:val="single" w:color="auto" w:sz="4" w:space="0"/>
            </w:tcBorders>
            <w:noWrap/>
            <w:vAlign w:val="center"/>
          </w:tcPr>
          <w:p w14:paraId="22CE1808">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备注</w:t>
            </w:r>
          </w:p>
        </w:tc>
      </w:tr>
      <w:tr w14:paraId="7D9BC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1" w:type="dxa"/>
            <w:tcBorders>
              <w:top w:val="single" w:color="auto" w:sz="4" w:space="0"/>
              <w:left w:val="single" w:color="auto" w:sz="4" w:space="0"/>
              <w:bottom w:val="single" w:color="auto" w:sz="4" w:space="0"/>
              <w:right w:val="single" w:color="auto" w:sz="4" w:space="0"/>
            </w:tcBorders>
            <w:noWrap/>
            <w:vAlign w:val="center"/>
          </w:tcPr>
          <w:p w14:paraId="15F83AFE">
            <w:pPr>
              <w:autoSpaceDN w:val="0"/>
              <w:spacing w:line="440" w:lineRule="exact"/>
              <w:jc w:val="center"/>
              <w:rPr>
                <w:rFonts w:ascii="仿宋" w:hAnsi="仿宋" w:eastAsia="仿宋" w:cs="Times New Roman"/>
                <w:color w:val="auto"/>
                <w:sz w:val="22"/>
                <w:highlight w:val="none"/>
              </w:rPr>
            </w:pPr>
          </w:p>
        </w:tc>
        <w:tc>
          <w:tcPr>
            <w:tcW w:w="1107" w:type="dxa"/>
            <w:tcBorders>
              <w:top w:val="single" w:color="auto" w:sz="4" w:space="0"/>
              <w:left w:val="single" w:color="auto" w:sz="4" w:space="0"/>
              <w:bottom w:val="single" w:color="auto" w:sz="4" w:space="0"/>
              <w:right w:val="single" w:color="auto" w:sz="4" w:space="0"/>
            </w:tcBorders>
            <w:noWrap/>
            <w:vAlign w:val="center"/>
          </w:tcPr>
          <w:p w14:paraId="1069A1B0">
            <w:pPr>
              <w:autoSpaceDN w:val="0"/>
              <w:spacing w:line="440" w:lineRule="exact"/>
              <w:jc w:val="center"/>
              <w:rPr>
                <w:rFonts w:ascii="仿宋" w:hAnsi="仿宋" w:eastAsia="仿宋" w:cs="Times New Roman"/>
                <w:color w:val="auto"/>
                <w:sz w:val="22"/>
                <w:highlight w:val="none"/>
              </w:rPr>
            </w:pPr>
          </w:p>
        </w:tc>
        <w:tc>
          <w:tcPr>
            <w:tcW w:w="776" w:type="dxa"/>
            <w:tcBorders>
              <w:top w:val="single" w:color="auto" w:sz="4" w:space="0"/>
              <w:left w:val="single" w:color="auto" w:sz="4" w:space="0"/>
              <w:bottom w:val="single" w:color="auto" w:sz="4" w:space="0"/>
              <w:right w:val="single" w:color="auto" w:sz="4" w:space="0"/>
            </w:tcBorders>
            <w:noWrap/>
            <w:vAlign w:val="center"/>
          </w:tcPr>
          <w:p w14:paraId="4A66B4F7">
            <w:pPr>
              <w:autoSpaceDN w:val="0"/>
              <w:spacing w:line="440" w:lineRule="exact"/>
              <w:jc w:val="center"/>
              <w:rPr>
                <w:rFonts w:ascii="仿宋" w:hAnsi="仿宋" w:eastAsia="仿宋" w:cs="Times New Roman"/>
                <w:color w:val="auto"/>
                <w:sz w:val="22"/>
                <w:highlight w:val="none"/>
              </w:rPr>
            </w:pPr>
          </w:p>
        </w:tc>
        <w:tc>
          <w:tcPr>
            <w:tcW w:w="802" w:type="dxa"/>
            <w:tcBorders>
              <w:top w:val="single" w:color="auto" w:sz="4" w:space="0"/>
              <w:left w:val="single" w:color="auto" w:sz="4" w:space="0"/>
              <w:bottom w:val="single" w:color="auto" w:sz="4" w:space="0"/>
              <w:right w:val="single" w:color="auto" w:sz="4" w:space="0"/>
            </w:tcBorders>
            <w:noWrap/>
            <w:vAlign w:val="center"/>
          </w:tcPr>
          <w:p w14:paraId="59E7101E">
            <w:pPr>
              <w:autoSpaceDN w:val="0"/>
              <w:spacing w:line="440" w:lineRule="exact"/>
              <w:jc w:val="center"/>
              <w:rPr>
                <w:rFonts w:ascii="仿宋" w:hAnsi="仿宋" w:eastAsia="仿宋" w:cs="Times New Roman"/>
                <w:color w:val="auto"/>
                <w:sz w:val="22"/>
                <w:highlight w:val="none"/>
              </w:rPr>
            </w:pPr>
          </w:p>
        </w:tc>
        <w:tc>
          <w:tcPr>
            <w:tcW w:w="684" w:type="dxa"/>
            <w:tcBorders>
              <w:top w:val="single" w:color="auto" w:sz="4" w:space="0"/>
              <w:left w:val="single" w:color="auto" w:sz="4" w:space="0"/>
              <w:bottom w:val="single" w:color="auto" w:sz="4" w:space="0"/>
              <w:right w:val="single" w:color="auto" w:sz="4" w:space="0"/>
            </w:tcBorders>
            <w:noWrap/>
            <w:vAlign w:val="center"/>
          </w:tcPr>
          <w:p w14:paraId="680BCF7E">
            <w:pPr>
              <w:autoSpaceDN w:val="0"/>
              <w:spacing w:line="440" w:lineRule="exact"/>
              <w:jc w:val="center"/>
              <w:rPr>
                <w:rFonts w:ascii="仿宋" w:hAnsi="仿宋" w:eastAsia="仿宋" w:cs="Times New Roman"/>
                <w:color w:val="auto"/>
                <w:sz w:val="22"/>
                <w:highlight w:val="none"/>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4944809C">
            <w:pPr>
              <w:autoSpaceDN w:val="0"/>
              <w:spacing w:line="440" w:lineRule="exact"/>
              <w:jc w:val="center"/>
              <w:rPr>
                <w:rFonts w:ascii="仿宋" w:hAnsi="仿宋" w:eastAsia="仿宋" w:cs="Times New Roman"/>
                <w:color w:val="auto"/>
                <w:sz w:val="22"/>
                <w:highlight w:val="none"/>
              </w:rPr>
            </w:pPr>
          </w:p>
        </w:tc>
        <w:tc>
          <w:tcPr>
            <w:tcW w:w="1098" w:type="dxa"/>
            <w:tcBorders>
              <w:top w:val="single" w:color="auto" w:sz="4" w:space="0"/>
              <w:left w:val="single" w:color="auto" w:sz="4" w:space="0"/>
              <w:bottom w:val="single" w:color="auto" w:sz="4" w:space="0"/>
              <w:right w:val="single" w:color="auto" w:sz="4" w:space="0"/>
            </w:tcBorders>
            <w:noWrap/>
            <w:vAlign w:val="center"/>
          </w:tcPr>
          <w:p w14:paraId="675315AE">
            <w:pPr>
              <w:autoSpaceDN w:val="0"/>
              <w:spacing w:line="440" w:lineRule="exact"/>
              <w:jc w:val="center"/>
              <w:rPr>
                <w:rFonts w:ascii="仿宋" w:hAnsi="仿宋" w:eastAsia="仿宋" w:cs="Times New Roman"/>
                <w:color w:val="auto"/>
                <w:sz w:val="22"/>
                <w:highlight w:val="none"/>
              </w:rPr>
            </w:pPr>
          </w:p>
        </w:tc>
        <w:tc>
          <w:tcPr>
            <w:tcW w:w="892" w:type="dxa"/>
            <w:tcBorders>
              <w:top w:val="single" w:color="auto" w:sz="4" w:space="0"/>
              <w:left w:val="single" w:color="auto" w:sz="4" w:space="0"/>
              <w:bottom w:val="single" w:color="auto" w:sz="4" w:space="0"/>
              <w:right w:val="single" w:color="auto" w:sz="4" w:space="0"/>
            </w:tcBorders>
            <w:noWrap/>
            <w:vAlign w:val="center"/>
          </w:tcPr>
          <w:p w14:paraId="4B538BE8">
            <w:pPr>
              <w:autoSpaceDN w:val="0"/>
              <w:spacing w:line="440" w:lineRule="exact"/>
              <w:jc w:val="center"/>
              <w:rPr>
                <w:rFonts w:ascii="仿宋" w:hAnsi="仿宋" w:eastAsia="仿宋" w:cs="Times New Roman"/>
                <w:color w:val="auto"/>
                <w:sz w:val="22"/>
                <w:highlight w:val="none"/>
              </w:rPr>
            </w:pPr>
          </w:p>
        </w:tc>
        <w:tc>
          <w:tcPr>
            <w:tcW w:w="1035" w:type="dxa"/>
            <w:tcBorders>
              <w:top w:val="single" w:color="auto" w:sz="4" w:space="0"/>
              <w:left w:val="single" w:color="auto" w:sz="4" w:space="0"/>
              <w:bottom w:val="single" w:color="auto" w:sz="4" w:space="0"/>
              <w:right w:val="single" w:color="auto" w:sz="4" w:space="0"/>
            </w:tcBorders>
            <w:noWrap/>
            <w:vAlign w:val="center"/>
          </w:tcPr>
          <w:p w14:paraId="17FE4174">
            <w:pPr>
              <w:autoSpaceDN w:val="0"/>
              <w:spacing w:line="440" w:lineRule="exact"/>
              <w:jc w:val="center"/>
              <w:rPr>
                <w:rFonts w:ascii="仿宋" w:hAnsi="仿宋" w:eastAsia="仿宋" w:cs="Times New Roman"/>
                <w:color w:val="auto"/>
                <w:sz w:val="22"/>
                <w:highlight w:val="none"/>
              </w:rPr>
            </w:pPr>
          </w:p>
        </w:tc>
        <w:tc>
          <w:tcPr>
            <w:tcW w:w="699" w:type="dxa"/>
            <w:tcBorders>
              <w:top w:val="single" w:color="auto" w:sz="4" w:space="0"/>
              <w:left w:val="single" w:color="auto" w:sz="4" w:space="0"/>
              <w:bottom w:val="single" w:color="auto" w:sz="4" w:space="0"/>
              <w:right w:val="single" w:color="auto" w:sz="4" w:space="0"/>
            </w:tcBorders>
            <w:noWrap/>
            <w:vAlign w:val="center"/>
          </w:tcPr>
          <w:p w14:paraId="75B96BF3">
            <w:pPr>
              <w:autoSpaceDN w:val="0"/>
              <w:spacing w:line="440" w:lineRule="exact"/>
              <w:jc w:val="center"/>
              <w:rPr>
                <w:rFonts w:ascii="仿宋" w:hAnsi="仿宋" w:eastAsia="仿宋" w:cs="Times New Roman"/>
                <w:color w:val="auto"/>
                <w:sz w:val="22"/>
                <w:highlight w:val="none"/>
              </w:rPr>
            </w:pPr>
          </w:p>
        </w:tc>
      </w:tr>
      <w:tr w14:paraId="275D8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1" w:type="dxa"/>
            <w:tcBorders>
              <w:top w:val="single" w:color="auto" w:sz="4" w:space="0"/>
              <w:left w:val="single" w:color="auto" w:sz="4" w:space="0"/>
              <w:bottom w:val="single" w:color="auto" w:sz="4" w:space="0"/>
              <w:right w:val="single" w:color="auto" w:sz="4" w:space="0"/>
            </w:tcBorders>
            <w:noWrap/>
            <w:vAlign w:val="center"/>
          </w:tcPr>
          <w:p w14:paraId="2CC7C12C">
            <w:pPr>
              <w:autoSpaceDN w:val="0"/>
              <w:spacing w:line="440" w:lineRule="exact"/>
              <w:jc w:val="center"/>
              <w:rPr>
                <w:rFonts w:ascii="仿宋" w:hAnsi="仿宋" w:eastAsia="仿宋" w:cs="Times New Roman"/>
                <w:color w:val="auto"/>
                <w:sz w:val="22"/>
                <w:highlight w:val="none"/>
              </w:rPr>
            </w:pPr>
          </w:p>
        </w:tc>
        <w:tc>
          <w:tcPr>
            <w:tcW w:w="1107" w:type="dxa"/>
            <w:tcBorders>
              <w:top w:val="single" w:color="auto" w:sz="4" w:space="0"/>
              <w:left w:val="single" w:color="auto" w:sz="4" w:space="0"/>
              <w:bottom w:val="single" w:color="auto" w:sz="4" w:space="0"/>
              <w:right w:val="single" w:color="auto" w:sz="4" w:space="0"/>
            </w:tcBorders>
            <w:noWrap/>
            <w:vAlign w:val="center"/>
          </w:tcPr>
          <w:p w14:paraId="5D85E8CF">
            <w:pPr>
              <w:autoSpaceDN w:val="0"/>
              <w:spacing w:line="440" w:lineRule="exact"/>
              <w:jc w:val="center"/>
              <w:rPr>
                <w:rFonts w:ascii="仿宋" w:hAnsi="仿宋" w:eastAsia="仿宋" w:cs="Times New Roman"/>
                <w:color w:val="auto"/>
                <w:sz w:val="22"/>
                <w:highlight w:val="none"/>
              </w:rPr>
            </w:pPr>
          </w:p>
        </w:tc>
        <w:tc>
          <w:tcPr>
            <w:tcW w:w="776" w:type="dxa"/>
            <w:tcBorders>
              <w:top w:val="single" w:color="auto" w:sz="4" w:space="0"/>
              <w:left w:val="single" w:color="auto" w:sz="4" w:space="0"/>
              <w:bottom w:val="single" w:color="auto" w:sz="4" w:space="0"/>
              <w:right w:val="single" w:color="auto" w:sz="4" w:space="0"/>
            </w:tcBorders>
            <w:noWrap/>
            <w:vAlign w:val="center"/>
          </w:tcPr>
          <w:p w14:paraId="7A613087">
            <w:pPr>
              <w:autoSpaceDN w:val="0"/>
              <w:spacing w:line="440" w:lineRule="exact"/>
              <w:jc w:val="center"/>
              <w:rPr>
                <w:rFonts w:ascii="仿宋" w:hAnsi="仿宋" w:eastAsia="仿宋" w:cs="Times New Roman"/>
                <w:color w:val="auto"/>
                <w:sz w:val="22"/>
                <w:highlight w:val="none"/>
              </w:rPr>
            </w:pPr>
          </w:p>
        </w:tc>
        <w:tc>
          <w:tcPr>
            <w:tcW w:w="802" w:type="dxa"/>
            <w:tcBorders>
              <w:top w:val="single" w:color="auto" w:sz="4" w:space="0"/>
              <w:left w:val="single" w:color="auto" w:sz="4" w:space="0"/>
              <w:bottom w:val="single" w:color="auto" w:sz="4" w:space="0"/>
              <w:right w:val="single" w:color="auto" w:sz="4" w:space="0"/>
            </w:tcBorders>
            <w:noWrap/>
            <w:vAlign w:val="center"/>
          </w:tcPr>
          <w:p w14:paraId="5AC6BF24">
            <w:pPr>
              <w:autoSpaceDN w:val="0"/>
              <w:spacing w:line="440" w:lineRule="exact"/>
              <w:jc w:val="center"/>
              <w:rPr>
                <w:rFonts w:ascii="仿宋" w:hAnsi="仿宋" w:eastAsia="仿宋" w:cs="Times New Roman"/>
                <w:color w:val="auto"/>
                <w:sz w:val="22"/>
                <w:highlight w:val="none"/>
              </w:rPr>
            </w:pPr>
          </w:p>
        </w:tc>
        <w:tc>
          <w:tcPr>
            <w:tcW w:w="684" w:type="dxa"/>
            <w:tcBorders>
              <w:top w:val="single" w:color="auto" w:sz="4" w:space="0"/>
              <w:left w:val="single" w:color="auto" w:sz="4" w:space="0"/>
              <w:bottom w:val="single" w:color="auto" w:sz="4" w:space="0"/>
              <w:right w:val="single" w:color="auto" w:sz="4" w:space="0"/>
            </w:tcBorders>
            <w:noWrap/>
            <w:vAlign w:val="center"/>
          </w:tcPr>
          <w:p w14:paraId="1EFE6024">
            <w:pPr>
              <w:autoSpaceDN w:val="0"/>
              <w:spacing w:line="440" w:lineRule="exact"/>
              <w:jc w:val="center"/>
              <w:rPr>
                <w:rFonts w:ascii="仿宋" w:hAnsi="仿宋" w:eastAsia="仿宋" w:cs="Times New Roman"/>
                <w:color w:val="auto"/>
                <w:sz w:val="22"/>
                <w:highlight w:val="none"/>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04CF81A7">
            <w:pPr>
              <w:autoSpaceDN w:val="0"/>
              <w:spacing w:line="440" w:lineRule="exact"/>
              <w:jc w:val="center"/>
              <w:rPr>
                <w:rFonts w:ascii="仿宋" w:hAnsi="仿宋" w:eastAsia="仿宋" w:cs="Times New Roman"/>
                <w:color w:val="auto"/>
                <w:sz w:val="22"/>
                <w:highlight w:val="none"/>
              </w:rPr>
            </w:pPr>
          </w:p>
        </w:tc>
        <w:tc>
          <w:tcPr>
            <w:tcW w:w="1098" w:type="dxa"/>
            <w:tcBorders>
              <w:top w:val="single" w:color="auto" w:sz="4" w:space="0"/>
              <w:left w:val="single" w:color="auto" w:sz="4" w:space="0"/>
              <w:bottom w:val="single" w:color="auto" w:sz="4" w:space="0"/>
              <w:right w:val="single" w:color="auto" w:sz="4" w:space="0"/>
            </w:tcBorders>
            <w:noWrap/>
            <w:vAlign w:val="center"/>
          </w:tcPr>
          <w:p w14:paraId="5F107A5D">
            <w:pPr>
              <w:autoSpaceDN w:val="0"/>
              <w:spacing w:line="440" w:lineRule="exact"/>
              <w:jc w:val="center"/>
              <w:rPr>
                <w:rFonts w:ascii="仿宋" w:hAnsi="仿宋" w:eastAsia="仿宋" w:cs="Times New Roman"/>
                <w:color w:val="auto"/>
                <w:sz w:val="22"/>
                <w:highlight w:val="none"/>
              </w:rPr>
            </w:pPr>
          </w:p>
        </w:tc>
        <w:tc>
          <w:tcPr>
            <w:tcW w:w="892" w:type="dxa"/>
            <w:tcBorders>
              <w:top w:val="single" w:color="auto" w:sz="4" w:space="0"/>
              <w:left w:val="single" w:color="auto" w:sz="4" w:space="0"/>
              <w:bottom w:val="single" w:color="auto" w:sz="4" w:space="0"/>
              <w:right w:val="single" w:color="auto" w:sz="4" w:space="0"/>
            </w:tcBorders>
            <w:noWrap/>
            <w:vAlign w:val="center"/>
          </w:tcPr>
          <w:p w14:paraId="275BE17C">
            <w:pPr>
              <w:autoSpaceDN w:val="0"/>
              <w:spacing w:line="440" w:lineRule="exact"/>
              <w:jc w:val="center"/>
              <w:rPr>
                <w:rFonts w:ascii="仿宋" w:hAnsi="仿宋" w:eastAsia="仿宋" w:cs="Times New Roman"/>
                <w:color w:val="auto"/>
                <w:sz w:val="22"/>
                <w:highlight w:val="none"/>
              </w:rPr>
            </w:pPr>
          </w:p>
        </w:tc>
        <w:tc>
          <w:tcPr>
            <w:tcW w:w="1035" w:type="dxa"/>
            <w:tcBorders>
              <w:top w:val="single" w:color="auto" w:sz="4" w:space="0"/>
              <w:left w:val="single" w:color="auto" w:sz="4" w:space="0"/>
              <w:bottom w:val="single" w:color="auto" w:sz="4" w:space="0"/>
              <w:right w:val="single" w:color="auto" w:sz="4" w:space="0"/>
            </w:tcBorders>
            <w:noWrap/>
            <w:vAlign w:val="center"/>
          </w:tcPr>
          <w:p w14:paraId="67B1E728">
            <w:pPr>
              <w:autoSpaceDN w:val="0"/>
              <w:spacing w:line="440" w:lineRule="exact"/>
              <w:jc w:val="center"/>
              <w:rPr>
                <w:rFonts w:ascii="仿宋" w:hAnsi="仿宋" w:eastAsia="仿宋" w:cs="Times New Roman"/>
                <w:color w:val="auto"/>
                <w:sz w:val="22"/>
                <w:highlight w:val="none"/>
              </w:rPr>
            </w:pPr>
          </w:p>
        </w:tc>
        <w:tc>
          <w:tcPr>
            <w:tcW w:w="699" w:type="dxa"/>
            <w:tcBorders>
              <w:top w:val="single" w:color="auto" w:sz="4" w:space="0"/>
              <w:left w:val="single" w:color="auto" w:sz="4" w:space="0"/>
              <w:bottom w:val="single" w:color="auto" w:sz="4" w:space="0"/>
              <w:right w:val="single" w:color="auto" w:sz="4" w:space="0"/>
            </w:tcBorders>
            <w:noWrap/>
            <w:vAlign w:val="center"/>
          </w:tcPr>
          <w:p w14:paraId="2C614F20">
            <w:pPr>
              <w:autoSpaceDN w:val="0"/>
              <w:spacing w:line="440" w:lineRule="exact"/>
              <w:jc w:val="center"/>
              <w:rPr>
                <w:rFonts w:ascii="仿宋" w:hAnsi="仿宋" w:eastAsia="仿宋" w:cs="Times New Roman"/>
                <w:color w:val="auto"/>
                <w:sz w:val="22"/>
                <w:highlight w:val="none"/>
              </w:rPr>
            </w:pPr>
          </w:p>
        </w:tc>
      </w:tr>
      <w:tr w14:paraId="562AF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1" w:type="dxa"/>
            <w:tcBorders>
              <w:top w:val="single" w:color="auto" w:sz="4" w:space="0"/>
              <w:left w:val="single" w:color="auto" w:sz="4" w:space="0"/>
              <w:bottom w:val="single" w:color="auto" w:sz="4" w:space="0"/>
              <w:right w:val="single" w:color="auto" w:sz="4" w:space="0"/>
            </w:tcBorders>
            <w:noWrap/>
          </w:tcPr>
          <w:p w14:paraId="7D1BBC9C">
            <w:pPr>
              <w:autoSpaceDN w:val="0"/>
              <w:spacing w:line="440" w:lineRule="exact"/>
              <w:jc w:val="center"/>
              <w:rPr>
                <w:rFonts w:ascii="仿宋" w:hAnsi="仿宋" w:eastAsia="仿宋" w:cs="Times New Roman"/>
                <w:color w:val="auto"/>
                <w:sz w:val="22"/>
                <w:highlight w:val="none"/>
              </w:rPr>
            </w:pPr>
          </w:p>
        </w:tc>
        <w:tc>
          <w:tcPr>
            <w:tcW w:w="1107" w:type="dxa"/>
            <w:tcBorders>
              <w:top w:val="single" w:color="auto" w:sz="4" w:space="0"/>
              <w:left w:val="single" w:color="auto" w:sz="4" w:space="0"/>
              <w:bottom w:val="single" w:color="auto" w:sz="4" w:space="0"/>
              <w:right w:val="single" w:color="auto" w:sz="4" w:space="0"/>
            </w:tcBorders>
            <w:noWrap/>
          </w:tcPr>
          <w:p w14:paraId="2BB33887">
            <w:pPr>
              <w:autoSpaceDN w:val="0"/>
              <w:spacing w:line="440" w:lineRule="exact"/>
              <w:jc w:val="center"/>
              <w:rPr>
                <w:rFonts w:ascii="仿宋" w:hAnsi="仿宋" w:eastAsia="仿宋" w:cs="Times New Roman"/>
                <w:color w:val="auto"/>
                <w:sz w:val="22"/>
                <w:highlight w:val="none"/>
              </w:rPr>
            </w:pPr>
          </w:p>
        </w:tc>
        <w:tc>
          <w:tcPr>
            <w:tcW w:w="776" w:type="dxa"/>
            <w:tcBorders>
              <w:top w:val="single" w:color="auto" w:sz="4" w:space="0"/>
              <w:left w:val="single" w:color="auto" w:sz="4" w:space="0"/>
              <w:bottom w:val="single" w:color="auto" w:sz="4" w:space="0"/>
              <w:right w:val="single" w:color="auto" w:sz="4" w:space="0"/>
            </w:tcBorders>
            <w:noWrap/>
          </w:tcPr>
          <w:p w14:paraId="1B7BC77F">
            <w:pPr>
              <w:autoSpaceDN w:val="0"/>
              <w:spacing w:line="440" w:lineRule="exact"/>
              <w:jc w:val="center"/>
              <w:rPr>
                <w:rFonts w:ascii="仿宋" w:hAnsi="仿宋" w:eastAsia="仿宋" w:cs="Times New Roman"/>
                <w:color w:val="auto"/>
                <w:sz w:val="22"/>
                <w:highlight w:val="none"/>
              </w:rPr>
            </w:pPr>
          </w:p>
        </w:tc>
        <w:tc>
          <w:tcPr>
            <w:tcW w:w="802" w:type="dxa"/>
            <w:tcBorders>
              <w:top w:val="single" w:color="auto" w:sz="4" w:space="0"/>
              <w:left w:val="single" w:color="auto" w:sz="4" w:space="0"/>
              <w:bottom w:val="single" w:color="auto" w:sz="4" w:space="0"/>
              <w:right w:val="single" w:color="auto" w:sz="4" w:space="0"/>
            </w:tcBorders>
            <w:noWrap/>
          </w:tcPr>
          <w:p w14:paraId="466EEC76">
            <w:pPr>
              <w:autoSpaceDN w:val="0"/>
              <w:spacing w:line="440" w:lineRule="exact"/>
              <w:jc w:val="center"/>
              <w:rPr>
                <w:rFonts w:ascii="仿宋" w:hAnsi="仿宋" w:eastAsia="仿宋" w:cs="Times New Roman"/>
                <w:color w:val="auto"/>
                <w:sz w:val="22"/>
                <w:highlight w:val="none"/>
              </w:rPr>
            </w:pPr>
          </w:p>
        </w:tc>
        <w:tc>
          <w:tcPr>
            <w:tcW w:w="684" w:type="dxa"/>
            <w:tcBorders>
              <w:top w:val="single" w:color="auto" w:sz="4" w:space="0"/>
              <w:left w:val="single" w:color="auto" w:sz="4" w:space="0"/>
              <w:bottom w:val="single" w:color="auto" w:sz="4" w:space="0"/>
              <w:right w:val="single" w:color="auto" w:sz="4" w:space="0"/>
            </w:tcBorders>
            <w:noWrap/>
          </w:tcPr>
          <w:p w14:paraId="6761B1B5">
            <w:pPr>
              <w:autoSpaceDN w:val="0"/>
              <w:spacing w:line="440" w:lineRule="exact"/>
              <w:jc w:val="center"/>
              <w:rPr>
                <w:rFonts w:ascii="仿宋" w:hAnsi="仿宋" w:eastAsia="仿宋" w:cs="Times New Roman"/>
                <w:color w:val="auto"/>
                <w:sz w:val="22"/>
                <w:highlight w:val="none"/>
              </w:rPr>
            </w:pPr>
          </w:p>
        </w:tc>
        <w:tc>
          <w:tcPr>
            <w:tcW w:w="754" w:type="dxa"/>
            <w:tcBorders>
              <w:top w:val="single" w:color="auto" w:sz="4" w:space="0"/>
              <w:left w:val="single" w:color="auto" w:sz="4" w:space="0"/>
              <w:bottom w:val="single" w:color="auto" w:sz="4" w:space="0"/>
              <w:right w:val="single" w:color="auto" w:sz="4" w:space="0"/>
            </w:tcBorders>
            <w:noWrap/>
          </w:tcPr>
          <w:p w14:paraId="67D5D61D">
            <w:pPr>
              <w:autoSpaceDN w:val="0"/>
              <w:spacing w:line="440" w:lineRule="exact"/>
              <w:jc w:val="center"/>
              <w:rPr>
                <w:rFonts w:ascii="仿宋" w:hAnsi="仿宋" w:eastAsia="仿宋" w:cs="Times New Roman"/>
                <w:color w:val="auto"/>
                <w:sz w:val="22"/>
                <w:highlight w:val="none"/>
              </w:rPr>
            </w:pPr>
          </w:p>
        </w:tc>
        <w:tc>
          <w:tcPr>
            <w:tcW w:w="1098" w:type="dxa"/>
            <w:tcBorders>
              <w:top w:val="single" w:color="auto" w:sz="4" w:space="0"/>
              <w:left w:val="single" w:color="auto" w:sz="4" w:space="0"/>
              <w:bottom w:val="single" w:color="auto" w:sz="4" w:space="0"/>
              <w:right w:val="single" w:color="auto" w:sz="4" w:space="0"/>
            </w:tcBorders>
            <w:noWrap/>
          </w:tcPr>
          <w:p w14:paraId="1D3A7323">
            <w:pPr>
              <w:autoSpaceDN w:val="0"/>
              <w:spacing w:line="440" w:lineRule="exact"/>
              <w:jc w:val="center"/>
              <w:rPr>
                <w:rFonts w:ascii="仿宋" w:hAnsi="仿宋" w:eastAsia="仿宋" w:cs="Times New Roman"/>
                <w:color w:val="auto"/>
                <w:sz w:val="22"/>
                <w:highlight w:val="none"/>
              </w:rPr>
            </w:pPr>
          </w:p>
        </w:tc>
        <w:tc>
          <w:tcPr>
            <w:tcW w:w="892" w:type="dxa"/>
            <w:tcBorders>
              <w:top w:val="single" w:color="auto" w:sz="4" w:space="0"/>
              <w:left w:val="single" w:color="auto" w:sz="4" w:space="0"/>
              <w:bottom w:val="single" w:color="auto" w:sz="4" w:space="0"/>
              <w:right w:val="single" w:color="auto" w:sz="4" w:space="0"/>
            </w:tcBorders>
            <w:noWrap/>
          </w:tcPr>
          <w:p w14:paraId="33C3B7C3">
            <w:pPr>
              <w:autoSpaceDN w:val="0"/>
              <w:spacing w:line="440" w:lineRule="exact"/>
              <w:jc w:val="center"/>
              <w:rPr>
                <w:rFonts w:ascii="仿宋" w:hAnsi="仿宋" w:eastAsia="仿宋" w:cs="Times New Roman"/>
                <w:color w:val="auto"/>
                <w:sz w:val="22"/>
                <w:highlight w:val="none"/>
              </w:rPr>
            </w:pPr>
          </w:p>
        </w:tc>
        <w:tc>
          <w:tcPr>
            <w:tcW w:w="1035" w:type="dxa"/>
            <w:tcBorders>
              <w:top w:val="single" w:color="auto" w:sz="4" w:space="0"/>
              <w:left w:val="single" w:color="auto" w:sz="4" w:space="0"/>
              <w:bottom w:val="single" w:color="auto" w:sz="4" w:space="0"/>
              <w:right w:val="single" w:color="auto" w:sz="4" w:space="0"/>
            </w:tcBorders>
            <w:noWrap/>
          </w:tcPr>
          <w:p w14:paraId="1DE9010A">
            <w:pPr>
              <w:autoSpaceDN w:val="0"/>
              <w:spacing w:line="440" w:lineRule="exact"/>
              <w:jc w:val="center"/>
              <w:rPr>
                <w:rFonts w:ascii="仿宋" w:hAnsi="仿宋" w:eastAsia="仿宋" w:cs="Times New Roman"/>
                <w:color w:val="auto"/>
                <w:sz w:val="22"/>
                <w:highlight w:val="none"/>
              </w:rPr>
            </w:pPr>
          </w:p>
        </w:tc>
        <w:tc>
          <w:tcPr>
            <w:tcW w:w="699" w:type="dxa"/>
            <w:tcBorders>
              <w:top w:val="single" w:color="auto" w:sz="4" w:space="0"/>
              <w:left w:val="single" w:color="auto" w:sz="4" w:space="0"/>
              <w:bottom w:val="single" w:color="auto" w:sz="4" w:space="0"/>
              <w:right w:val="single" w:color="auto" w:sz="4" w:space="0"/>
            </w:tcBorders>
            <w:noWrap/>
          </w:tcPr>
          <w:p w14:paraId="5774D149">
            <w:pPr>
              <w:autoSpaceDN w:val="0"/>
              <w:spacing w:line="440" w:lineRule="exact"/>
              <w:jc w:val="center"/>
              <w:rPr>
                <w:rFonts w:ascii="仿宋" w:hAnsi="仿宋" w:eastAsia="仿宋" w:cs="Times New Roman"/>
                <w:color w:val="auto"/>
                <w:sz w:val="22"/>
                <w:highlight w:val="none"/>
              </w:rPr>
            </w:pPr>
          </w:p>
        </w:tc>
      </w:tr>
    </w:tbl>
    <w:p w14:paraId="22FE5B57">
      <w:pPr>
        <w:autoSpaceDN w:val="0"/>
        <w:spacing w:line="440" w:lineRule="exact"/>
        <w:rPr>
          <w:rFonts w:ascii="仿宋" w:hAnsi="仿宋" w:eastAsia="仿宋" w:cs="Times New Roman"/>
          <w:color w:val="auto"/>
          <w:sz w:val="22"/>
          <w:highlight w:val="none"/>
        </w:rPr>
      </w:pPr>
    </w:p>
    <w:p w14:paraId="68E3D18B">
      <w:pPr>
        <w:tabs>
          <w:tab w:val="left" w:pos="720"/>
        </w:tabs>
        <w:autoSpaceDN w:val="0"/>
        <w:spacing w:line="440" w:lineRule="exact"/>
        <w:jc w:val="left"/>
        <w:rPr>
          <w:rFonts w:ascii="仿宋" w:hAnsi="仿宋" w:eastAsia="仿宋" w:cs="Times New Roman"/>
          <w:b/>
          <w:bCs/>
          <w:color w:val="auto"/>
          <w:sz w:val="22"/>
          <w:highlight w:val="none"/>
        </w:rPr>
      </w:pPr>
      <w:bookmarkStart w:id="115" w:name="_Toc152045798"/>
      <w:bookmarkStart w:id="116" w:name="_Toc246392156"/>
      <w:bookmarkStart w:id="117" w:name="_Toc179632818"/>
      <w:bookmarkStart w:id="118" w:name="_Toc144974866"/>
      <w:bookmarkStart w:id="119" w:name="_Toc152042587"/>
      <w:r>
        <w:rPr>
          <w:rFonts w:hint="eastAsia" w:ascii="仿宋" w:hAnsi="仿宋" w:eastAsia="仿宋" w:cs="Times New Roman"/>
          <w:b/>
          <w:bCs/>
          <w:color w:val="auto"/>
          <w:sz w:val="22"/>
          <w:highlight w:val="none"/>
        </w:rPr>
        <w:t>附表二：拟配备的试验和检测仪器设备表</w:t>
      </w:r>
      <w:bookmarkEnd w:id="115"/>
      <w:bookmarkEnd w:id="116"/>
      <w:bookmarkEnd w:id="117"/>
      <w:bookmarkEnd w:id="118"/>
      <w:bookmarkEnd w:id="119"/>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77"/>
        <w:gridCol w:w="822"/>
        <w:gridCol w:w="1073"/>
        <w:gridCol w:w="727"/>
        <w:gridCol w:w="800"/>
        <w:gridCol w:w="1312"/>
        <w:gridCol w:w="1151"/>
        <w:gridCol w:w="742"/>
      </w:tblGrid>
      <w:tr w14:paraId="42DAA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14:paraId="5D863D13">
            <w:pPr>
              <w:autoSpaceDN w:val="0"/>
              <w:spacing w:line="440" w:lineRule="exact"/>
              <w:rPr>
                <w:rFonts w:ascii="仿宋" w:hAnsi="仿宋" w:eastAsia="仿宋" w:cs="Times New Roman"/>
                <w:color w:val="auto"/>
                <w:sz w:val="22"/>
                <w:highlight w:val="none"/>
              </w:rPr>
            </w:pPr>
            <w:r>
              <w:rPr>
                <w:rFonts w:hint="eastAsia" w:ascii="仿宋" w:hAnsi="仿宋" w:eastAsia="仿宋" w:cs="Times New Roman"/>
                <w:color w:val="auto"/>
                <w:sz w:val="22"/>
                <w:highlight w:val="none"/>
              </w:rPr>
              <w:t>序号</w:t>
            </w:r>
          </w:p>
        </w:tc>
        <w:tc>
          <w:tcPr>
            <w:tcW w:w="1177" w:type="dxa"/>
            <w:tcBorders>
              <w:top w:val="single" w:color="auto" w:sz="4" w:space="0"/>
              <w:left w:val="single" w:color="auto" w:sz="4" w:space="0"/>
              <w:bottom w:val="single" w:color="auto" w:sz="4" w:space="0"/>
              <w:right w:val="single" w:color="auto" w:sz="4" w:space="0"/>
            </w:tcBorders>
            <w:noWrap/>
            <w:vAlign w:val="center"/>
          </w:tcPr>
          <w:p w14:paraId="3A36F836">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仪器设备名称</w:t>
            </w:r>
          </w:p>
        </w:tc>
        <w:tc>
          <w:tcPr>
            <w:tcW w:w="822" w:type="dxa"/>
            <w:tcBorders>
              <w:top w:val="single" w:color="auto" w:sz="4" w:space="0"/>
              <w:left w:val="single" w:color="auto" w:sz="4" w:space="0"/>
              <w:bottom w:val="single" w:color="auto" w:sz="4" w:space="0"/>
              <w:right w:val="single" w:color="auto" w:sz="4" w:space="0"/>
            </w:tcBorders>
            <w:noWrap/>
            <w:vAlign w:val="center"/>
          </w:tcPr>
          <w:p w14:paraId="53D06C8B">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型号</w:t>
            </w:r>
          </w:p>
          <w:p w14:paraId="76074AC6">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规格</w:t>
            </w:r>
          </w:p>
        </w:tc>
        <w:tc>
          <w:tcPr>
            <w:tcW w:w="1073" w:type="dxa"/>
            <w:tcBorders>
              <w:top w:val="single" w:color="auto" w:sz="4" w:space="0"/>
              <w:left w:val="single" w:color="auto" w:sz="4" w:space="0"/>
              <w:bottom w:val="single" w:color="auto" w:sz="4" w:space="0"/>
              <w:right w:val="single" w:color="auto" w:sz="4" w:space="0"/>
            </w:tcBorders>
            <w:noWrap/>
            <w:vAlign w:val="center"/>
          </w:tcPr>
          <w:p w14:paraId="1197A6E0">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数量</w:t>
            </w:r>
          </w:p>
        </w:tc>
        <w:tc>
          <w:tcPr>
            <w:tcW w:w="727" w:type="dxa"/>
            <w:tcBorders>
              <w:top w:val="single" w:color="auto" w:sz="4" w:space="0"/>
              <w:left w:val="single" w:color="auto" w:sz="4" w:space="0"/>
              <w:bottom w:val="single" w:color="auto" w:sz="4" w:space="0"/>
              <w:right w:val="single" w:color="auto" w:sz="4" w:space="0"/>
            </w:tcBorders>
            <w:noWrap/>
            <w:vAlign w:val="center"/>
          </w:tcPr>
          <w:p w14:paraId="7E88DD1D">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国别</w:t>
            </w:r>
          </w:p>
          <w:p w14:paraId="7A090E90">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产地</w:t>
            </w:r>
          </w:p>
        </w:tc>
        <w:tc>
          <w:tcPr>
            <w:tcW w:w="800" w:type="dxa"/>
            <w:tcBorders>
              <w:top w:val="single" w:color="auto" w:sz="4" w:space="0"/>
              <w:left w:val="single" w:color="auto" w:sz="4" w:space="0"/>
              <w:bottom w:val="single" w:color="auto" w:sz="4" w:space="0"/>
              <w:right w:val="single" w:color="auto" w:sz="4" w:space="0"/>
            </w:tcBorders>
            <w:noWrap/>
            <w:vAlign w:val="center"/>
          </w:tcPr>
          <w:p w14:paraId="2D0A87AD">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制造</w:t>
            </w:r>
          </w:p>
          <w:p w14:paraId="0B58AA8E">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年份</w:t>
            </w:r>
          </w:p>
        </w:tc>
        <w:tc>
          <w:tcPr>
            <w:tcW w:w="1312" w:type="dxa"/>
            <w:tcBorders>
              <w:top w:val="single" w:color="auto" w:sz="4" w:space="0"/>
              <w:left w:val="single" w:color="auto" w:sz="4" w:space="0"/>
              <w:bottom w:val="single" w:color="auto" w:sz="4" w:space="0"/>
              <w:right w:val="single" w:color="auto" w:sz="4" w:space="0"/>
            </w:tcBorders>
            <w:noWrap/>
            <w:vAlign w:val="center"/>
          </w:tcPr>
          <w:p w14:paraId="18E12C78">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已使用台时数</w:t>
            </w:r>
          </w:p>
        </w:tc>
        <w:tc>
          <w:tcPr>
            <w:tcW w:w="1151" w:type="dxa"/>
            <w:tcBorders>
              <w:top w:val="single" w:color="auto" w:sz="4" w:space="0"/>
              <w:left w:val="single" w:color="auto" w:sz="4" w:space="0"/>
              <w:bottom w:val="single" w:color="auto" w:sz="4" w:space="0"/>
              <w:right w:val="single" w:color="auto" w:sz="4" w:space="0"/>
            </w:tcBorders>
            <w:noWrap/>
            <w:vAlign w:val="center"/>
          </w:tcPr>
          <w:p w14:paraId="16D7F1C4">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用途</w:t>
            </w:r>
          </w:p>
        </w:tc>
        <w:tc>
          <w:tcPr>
            <w:tcW w:w="742" w:type="dxa"/>
            <w:tcBorders>
              <w:top w:val="single" w:color="auto" w:sz="4" w:space="0"/>
              <w:left w:val="single" w:color="auto" w:sz="4" w:space="0"/>
              <w:bottom w:val="single" w:color="auto" w:sz="4" w:space="0"/>
              <w:right w:val="single" w:color="auto" w:sz="4" w:space="0"/>
            </w:tcBorders>
            <w:noWrap/>
            <w:vAlign w:val="center"/>
          </w:tcPr>
          <w:p w14:paraId="68B03E38">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备注</w:t>
            </w:r>
          </w:p>
        </w:tc>
      </w:tr>
      <w:tr w14:paraId="3E6F6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14:paraId="5ED234E0">
            <w:pPr>
              <w:autoSpaceDN w:val="0"/>
              <w:spacing w:line="440" w:lineRule="exact"/>
              <w:jc w:val="center"/>
              <w:rPr>
                <w:rFonts w:ascii="仿宋" w:hAnsi="仿宋" w:eastAsia="仿宋" w:cs="Times New Roman"/>
                <w:color w:val="auto"/>
                <w:sz w:val="22"/>
                <w:highlight w:val="none"/>
              </w:rPr>
            </w:pPr>
          </w:p>
        </w:tc>
        <w:tc>
          <w:tcPr>
            <w:tcW w:w="1177" w:type="dxa"/>
            <w:tcBorders>
              <w:top w:val="single" w:color="auto" w:sz="4" w:space="0"/>
              <w:left w:val="single" w:color="auto" w:sz="4" w:space="0"/>
              <w:bottom w:val="single" w:color="auto" w:sz="4" w:space="0"/>
              <w:right w:val="single" w:color="auto" w:sz="4" w:space="0"/>
            </w:tcBorders>
            <w:noWrap/>
            <w:vAlign w:val="center"/>
          </w:tcPr>
          <w:p w14:paraId="14B95F26">
            <w:pPr>
              <w:autoSpaceDN w:val="0"/>
              <w:spacing w:line="440" w:lineRule="exact"/>
              <w:jc w:val="center"/>
              <w:rPr>
                <w:rFonts w:ascii="仿宋" w:hAnsi="仿宋" w:eastAsia="仿宋" w:cs="Times New Roman"/>
                <w:color w:val="auto"/>
                <w:sz w:val="22"/>
                <w:highlight w:val="none"/>
              </w:rPr>
            </w:pPr>
          </w:p>
        </w:tc>
        <w:tc>
          <w:tcPr>
            <w:tcW w:w="822" w:type="dxa"/>
            <w:tcBorders>
              <w:top w:val="single" w:color="auto" w:sz="4" w:space="0"/>
              <w:left w:val="single" w:color="auto" w:sz="4" w:space="0"/>
              <w:bottom w:val="single" w:color="auto" w:sz="4" w:space="0"/>
              <w:right w:val="single" w:color="auto" w:sz="4" w:space="0"/>
            </w:tcBorders>
            <w:noWrap/>
            <w:vAlign w:val="center"/>
          </w:tcPr>
          <w:p w14:paraId="0D8C0822">
            <w:pPr>
              <w:autoSpaceDN w:val="0"/>
              <w:spacing w:line="440" w:lineRule="exact"/>
              <w:jc w:val="center"/>
              <w:rPr>
                <w:rFonts w:ascii="仿宋" w:hAnsi="仿宋" w:eastAsia="仿宋" w:cs="Times New Roman"/>
                <w:color w:val="auto"/>
                <w:sz w:val="22"/>
                <w:highlight w:val="none"/>
              </w:rPr>
            </w:pPr>
          </w:p>
        </w:tc>
        <w:tc>
          <w:tcPr>
            <w:tcW w:w="1073" w:type="dxa"/>
            <w:tcBorders>
              <w:top w:val="single" w:color="auto" w:sz="4" w:space="0"/>
              <w:left w:val="single" w:color="auto" w:sz="4" w:space="0"/>
              <w:bottom w:val="single" w:color="auto" w:sz="4" w:space="0"/>
              <w:right w:val="single" w:color="auto" w:sz="4" w:space="0"/>
            </w:tcBorders>
            <w:noWrap/>
            <w:vAlign w:val="center"/>
          </w:tcPr>
          <w:p w14:paraId="5BC311BE">
            <w:pPr>
              <w:autoSpaceDN w:val="0"/>
              <w:spacing w:line="440" w:lineRule="exact"/>
              <w:jc w:val="center"/>
              <w:rPr>
                <w:rFonts w:ascii="仿宋" w:hAnsi="仿宋" w:eastAsia="仿宋" w:cs="Times New Roman"/>
                <w:color w:val="auto"/>
                <w:sz w:val="22"/>
                <w:highlight w:val="none"/>
              </w:rPr>
            </w:pPr>
          </w:p>
        </w:tc>
        <w:tc>
          <w:tcPr>
            <w:tcW w:w="727" w:type="dxa"/>
            <w:tcBorders>
              <w:top w:val="single" w:color="auto" w:sz="4" w:space="0"/>
              <w:left w:val="single" w:color="auto" w:sz="4" w:space="0"/>
              <w:bottom w:val="single" w:color="auto" w:sz="4" w:space="0"/>
              <w:right w:val="single" w:color="auto" w:sz="4" w:space="0"/>
            </w:tcBorders>
            <w:noWrap/>
            <w:vAlign w:val="center"/>
          </w:tcPr>
          <w:p w14:paraId="3D81408F">
            <w:pPr>
              <w:autoSpaceDN w:val="0"/>
              <w:spacing w:line="440" w:lineRule="exact"/>
              <w:jc w:val="center"/>
              <w:rPr>
                <w:rFonts w:ascii="仿宋" w:hAnsi="仿宋" w:eastAsia="仿宋" w:cs="Times New Roman"/>
                <w:color w:val="auto"/>
                <w:sz w:val="22"/>
                <w:highlight w:val="none"/>
              </w:rPr>
            </w:pPr>
          </w:p>
        </w:tc>
        <w:tc>
          <w:tcPr>
            <w:tcW w:w="800" w:type="dxa"/>
            <w:tcBorders>
              <w:top w:val="single" w:color="auto" w:sz="4" w:space="0"/>
              <w:left w:val="single" w:color="auto" w:sz="4" w:space="0"/>
              <w:bottom w:val="single" w:color="auto" w:sz="4" w:space="0"/>
              <w:right w:val="single" w:color="auto" w:sz="4" w:space="0"/>
            </w:tcBorders>
            <w:noWrap/>
            <w:vAlign w:val="center"/>
          </w:tcPr>
          <w:p w14:paraId="289D4F6F">
            <w:pPr>
              <w:autoSpaceDN w:val="0"/>
              <w:spacing w:line="440" w:lineRule="exact"/>
              <w:jc w:val="center"/>
              <w:rPr>
                <w:rFonts w:ascii="仿宋" w:hAnsi="仿宋" w:eastAsia="仿宋" w:cs="Times New Roman"/>
                <w:color w:val="auto"/>
                <w:sz w:val="22"/>
                <w:highlight w:val="none"/>
              </w:rPr>
            </w:pPr>
          </w:p>
        </w:tc>
        <w:tc>
          <w:tcPr>
            <w:tcW w:w="1312" w:type="dxa"/>
            <w:tcBorders>
              <w:top w:val="single" w:color="auto" w:sz="4" w:space="0"/>
              <w:left w:val="single" w:color="auto" w:sz="4" w:space="0"/>
              <w:bottom w:val="single" w:color="auto" w:sz="4" w:space="0"/>
              <w:right w:val="single" w:color="auto" w:sz="4" w:space="0"/>
            </w:tcBorders>
            <w:noWrap/>
            <w:vAlign w:val="center"/>
          </w:tcPr>
          <w:p w14:paraId="68E7F2A3">
            <w:pPr>
              <w:autoSpaceDN w:val="0"/>
              <w:spacing w:line="440" w:lineRule="exact"/>
              <w:jc w:val="center"/>
              <w:rPr>
                <w:rFonts w:ascii="仿宋" w:hAnsi="仿宋" w:eastAsia="仿宋" w:cs="Times New Roman"/>
                <w:color w:val="auto"/>
                <w:sz w:val="22"/>
                <w:highlight w:val="none"/>
              </w:rPr>
            </w:pPr>
          </w:p>
        </w:tc>
        <w:tc>
          <w:tcPr>
            <w:tcW w:w="1151" w:type="dxa"/>
            <w:tcBorders>
              <w:top w:val="single" w:color="auto" w:sz="4" w:space="0"/>
              <w:left w:val="single" w:color="auto" w:sz="4" w:space="0"/>
              <w:bottom w:val="single" w:color="auto" w:sz="4" w:space="0"/>
              <w:right w:val="single" w:color="auto" w:sz="4" w:space="0"/>
            </w:tcBorders>
            <w:noWrap/>
            <w:vAlign w:val="center"/>
          </w:tcPr>
          <w:p w14:paraId="509A7B29">
            <w:pPr>
              <w:autoSpaceDN w:val="0"/>
              <w:spacing w:line="440" w:lineRule="exact"/>
              <w:jc w:val="center"/>
              <w:rPr>
                <w:rFonts w:ascii="仿宋" w:hAnsi="仿宋" w:eastAsia="仿宋" w:cs="Times New Roman"/>
                <w:color w:val="auto"/>
                <w:sz w:val="22"/>
                <w:highlight w:val="none"/>
              </w:rPr>
            </w:pPr>
          </w:p>
        </w:tc>
        <w:tc>
          <w:tcPr>
            <w:tcW w:w="742" w:type="dxa"/>
            <w:tcBorders>
              <w:top w:val="single" w:color="auto" w:sz="4" w:space="0"/>
              <w:left w:val="single" w:color="auto" w:sz="4" w:space="0"/>
              <w:bottom w:val="single" w:color="auto" w:sz="4" w:space="0"/>
              <w:right w:val="single" w:color="auto" w:sz="4" w:space="0"/>
            </w:tcBorders>
            <w:noWrap/>
            <w:vAlign w:val="center"/>
          </w:tcPr>
          <w:p w14:paraId="3F7E0570">
            <w:pPr>
              <w:autoSpaceDN w:val="0"/>
              <w:spacing w:line="440" w:lineRule="exact"/>
              <w:jc w:val="center"/>
              <w:rPr>
                <w:rFonts w:ascii="仿宋" w:hAnsi="仿宋" w:eastAsia="仿宋" w:cs="Times New Roman"/>
                <w:color w:val="auto"/>
                <w:sz w:val="22"/>
                <w:highlight w:val="none"/>
              </w:rPr>
            </w:pPr>
          </w:p>
        </w:tc>
      </w:tr>
      <w:tr w14:paraId="7F4D3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14:paraId="54FE55F7">
            <w:pPr>
              <w:autoSpaceDN w:val="0"/>
              <w:spacing w:line="440" w:lineRule="exact"/>
              <w:jc w:val="center"/>
              <w:rPr>
                <w:rFonts w:ascii="仿宋" w:hAnsi="仿宋" w:eastAsia="仿宋" w:cs="Times New Roman"/>
                <w:color w:val="auto"/>
                <w:sz w:val="22"/>
                <w:highlight w:val="none"/>
              </w:rPr>
            </w:pPr>
          </w:p>
        </w:tc>
        <w:tc>
          <w:tcPr>
            <w:tcW w:w="1177" w:type="dxa"/>
            <w:tcBorders>
              <w:top w:val="single" w:color="auto" w:sz="4" w:space="0"/>
              <w:left w:val="single" w:color="auto" w:sz="4" w:space="0"/>
              <w:bottom w:val="single" w:color="auto" w:sz="4" w:space="0"/>
              <w:right w:val="single" w:color="auto" w:sz="4" w:space="0"/>
            </w:tcBorders>
            <w:noWrap/>
            <w:vAlign w:val="center"/>
          </w:tcPr>
          <w:p w14:paraId="08FAF21E">
            <w:pPr>
              <w:autoSpaceDN w:val="0"/>
              <w:spacing w:line="440" w:lineRule="exact"/>
              <w:jc w:val="center"/>
              <w:rPr>
                <w:rFonts w:ascii="仿宋" w:hAnsi="仿宋" w:eastAsia="仿宋" w:cs="Times New Roman"/>
                <w:color w:val="auto"/>
                <w:sz w:val="22"/>
                <w:highlight w:val="none"/>
              </w:rPr>
            </w:pPr>
          </w:p>
        </w:tc>
        <w:tc>
          <w:tcPr>
            <w:tcW w:w="822" w:type="dxa"/>
            <w:tcBorders>
              <w:top w:val="single" w:color="auto" w:sz="4" w:space="0"/>
              <w:left w:val="single" w:color="auto" w:sz="4" w:space="0"/>
              <w:bottom w:val="single" w:color="auto" w:sz="4" w:space="0"/>
              <w:right w:val="single" w:color="auto" w:sz="4" w:space="0"/>
            </w:tcBorders>
            <w:noWrap/>
            <w:vAlign w:val="center"/>
          </w:tcPr>
          <w:p w14:paraId="700B4C5A">
            <w:pPr>
              <w:autoSpaceDN w:val="0"/>
              <w:spacing w:line="440" w:lineRule="exact"/>
              <w:jc w:val="center"/>
              <w:rPr>
                <w:rFonts w:ascii="仿宋" w:hAnsi="仿宋" w:eastAsia="仿宋" w:cs="Times New Roman"/>
                <w:color w:val="auto"/>
                <w:sz w:val="22"/>
                <w:highlight w:val="none"/>
              </w:rPr>
            </w:pPr>
          </w:p>
        </w:tc>
        <w:tc>
          <w:tcPr>
            <w:tcW w:w="1073" w:type="dxa"/>
            <w:tcBorders>
              <w:top w:val="single" w:color="auto" w:sz="4" w:space="0"/>
              <w:left w:val="single" w:color="auto" w:sz="4" w:space="0"/>
              <w:bottom w:val="single" w:color="auto" w:sz="4" w:space="0"/>
              <w:right w:val="single" w:color="auto" w:sz="4" w:space="0"/>
            </w:tcBorders>
            <w:noWrap/>
            <w:vAlign w:val="center"/>
          </w:tcPr>
          <w:p w14:paraId="3C2E5761">
            <w:pPr>
              <w:autoSpaceDN w:val="0"/>
              <w:spacing w:line="440" w:lineRule="exact"/>
              <w:jc w:val="center"/>
              <w:rPr>
                <w:rFonts w:ascii="仿宋" w:hAnsi="仿宋" w:eastAsia="仿宋" w:cs="Times New Roman"/>
                <w:color w:val="auto"/>
                <w:sz w:val="22"/>
                <w:highlight w:val="none"/>
              </w:rPr>
            </w:pPr>
          </w:p>
        </w:tc>
        <w:tc>
          <w:tcPr>
            <w:tcW w:w="727" w:type="dxa"/>
            <w:tcBorders>
              <w:top w:val="single" w:color="auto" w:sz="4" w:space="0"/>
              <w:left w:val="single" w:color="auto" w:sz="4" w:space="0"/>
              <w:bottom w:val="single" w:color="auto" w:sz="4" w:space="0"/>
              <w:right w:val="single" w:color="auto" w:sz="4" w:space="0"/>
            </w:tcBorders>
            <w:noWrap/>
            <w:vAlign w:val="center"/>
          </w:tcPr>
          <w:p w14:paraId="6A4C2B1D">
            <w:pPr>
              <w:autoSpaceDN w:val="0"/>
              <w:spacing w:line="440" w:lineRule="exact"/>
              <w:jc w:val="center"/>
              <w:rPr>
                <w:rFonts w:ascii="仿宋" w:hAnsi="仿宋" w:eastAsia="仿宋" w:cs="Times New Roman"/>
                <w:color w:val="auto"/>
                <w:sz w:val="22"/>
                <w:highlight w:val="none"/>
              </w:rPr>
            </w:pPr>
          </w:p>
        </w:tc>
        <w:tc>
          <w:tcPr>
            <w:tcW w:w="800" w:type="dxa"/>
            <w:tcBorders>
              <w:top w:val="single" w:color="auto" w:sz="4" w:space="0"/>
              <w:left w:val="single" w:color="auto" w:sz="4" w:space="0"/>
              <w:bottom w:val="single" w:color="auto" w:sz="4" w:space="0"/>
              <w:right w:val="single" w:color="auto" w:sz="4" w:space="0"/>
            </w:tcBorders>
            <w:noWrap/>
            <w:vAlign w:val="center"/>
          </w:tcPr>
          <w:p w14:paraId="6DF3A440">
            <w:pPr>
              <w:autoSpaceDN w:val="0"/>
              <w:spacing w:line="440" w:lineRule="exact"/>
              <w:jc w:val="center"/>
              <w:rPr>
                <w:rFonts w:ascii="仿宋" w:hAnsi="仿宋" w:eastAsia="仿宋" w:cs="Times New Roman"/>
                <w:color w:val="auto"/>
                <w:sz w:val="22"/>
                <w:highlight w:val="none"/>
              </w:rPr>
            </w:pPr>
          </w:p>
        </w:tc>
        <w:tc>
          <w:tcPr>
            <w:tcW w:w="1312" w:type="dxa"/>
            <w:tcBorders>
              <w:top w:val="single" w:color="auto" w:sz="4" w:space="0"/>
              <w:left w:val="single" w:color="auto" w:sz="4" w:space="0"/>
              <w:bottom w:val="single" w:color="auto" w:sz="4" w:space="0"/>
              <w:right w:val="single" w:color="auto" w:sz="4" w:space="0"/>
            </w:tcBorders>
            <w:noWrap/>
            <w:vAlign w:val="center"/>
          </w:tcPr>
          <w:p w14:paraId="7EFE0E6C">
            <w:pPr>
              <w:autoSpaceDN w:val="0"/>
              <w:spacing w:line="440" w:lineRule="exact"/>
              <w:jc w:val="center"/>
              <w:rPr>
                <w:rFonts w:ascii="仿宋" w:hAnsi="仿宋" w:eastAsia="仿宋" w:cs="Times New Roman"/>
                <w:color w:val="auto"/>
                <w:sz w:val="22"/>
                <w:highlight w:val="none"/>
              </w:rPr>
            </w:pPr>
          </w:p>
        </w:tc>
        <w:tc>
          <w:tcPr>
            <w:tcW w:w="1151" w:type="dxa"/>
            <w:tcBorders>
              <w:top w:val="single" w:color="auto" w:sz="4" w:space="0"/>
              <w:left w:val="single" w:color="auto" w:sz="4" w:space="0"/>
              <w:bottom w:val="single" w:color="auto" w:sz="4" w:space="0"/>
              <w:right w:val="single" w:color="auto" w:sz="4" w:space="0"/>
            </w:tcBorders>
            <w:noWrap/>
            <w:vAlign w:val="center"/>
          </w:tcPr>
          <w:p w14:paraId="784385FE">
            <w:pPr>
              <w:autoSpaceDN w:val="0"/>
              <w:spacing w:line="440" w:lineRule="exact"/>
              <w:jc w:val="center"/>
              <w:rPr>
                <w:rFonts w:ascii="仿宋" w:hAnsi="仿宋" w:eastAsia="仿宋" w:cs="Times New Roman"/>
                <w:color w:val="auto"/>
                <w:sz w:val="22"/>
                <w:highlight w:val="none"/>
              </w:rPr>
            </w:pPr>
          </w:p>
        </w:tc>
        <w:tc>
          <w:tcPr>
            <w:tcW w:w="742" w:type="dxa"/>
            <w:tcBorders>
              <w:top w:val="single" w:color="auto" w:sz="4" w:space="0"/>
              <w:left w:val="single" w:color="auto" w:sz="4" w:space="0"/>
              <w:bottom w:val="single" w:color="auto" w:sz="4" w:space="0"/>
              <w:right w:val="single" w:color="auto" w:sz="4" w:space="0"/>
            </w:tcBorders>
            <w:noWrap/>
            <w:vAlign w:val="center"/>
          </w:tcPr>
          <w:p w14:paraId="3C5C06E7">
            <w:pPr>
              <w:autoSpaceDN w:val="0"/>
              <w:spacing w:line="440" w:lineRule="exact"/>
              <w:jc w:val="center"/>
              <w:rPr>
                <w:rFonts w:ascii="仿宋" w:hAnsi="仿宋" w:eastAsia="仿宋" w:cs="Times New Roman"/>
                <w:color w:val="auto"/>
                <w:sz w:val="22"/>
                <w:highlight w:val="none"/>
              </w:rPr>
            </w:pPr>
          </w:p>
        </w:tc>
      </w:tr>
      <w:tr w14:paraId="7ACA5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tcBorders>
              <w:top w:val="single" w:color="auto" w:sz="4" w:space="0"/>
              <w:left w:val="single" w:color="auto" w:sz="4" w:space="0"/>
              <w:bottom w:val="single" w:color="auto" w:sz="4" w:space="0"/>
              <w:right w:val="single" w:color="auto" w:sz="4" w:space="0"/>
            </w:tcBorders>
            <w:noWrap/>
          </w:tcPr>
          <w:p w14:paraId="0F8A1E64">
            <w:pPr>
              <w:autoSpaceDN w:val="0"/>
              <w:spacing w:line="440" w:lineRule="exact"/>
              <w:jc w:val="center"/>
              <w:rPr>
                <w:rFonts w:ascii="仿宋" w:hAnsi="仿宋" w:eastAsia="仿宋" w:cs="Times New Roman"/>
                <w:color w:val="auto"/>
                <w:sz w:val="22"/>
                <w:highlight w:val="none"/>
              </w:rPr>
            </w:pPr>
          </w:p>
        </w:tc>
        <w:tc>
          <w:tcPr>
            <w:tcW w:w="1177" w:type="dxa"/>
            <w:tcBorders>
              <w:top w:val="single" w:color="auto" w:sz="4" w:space="0"/>
              <w:left w:val="single" w:color="auto" w:sz="4" w:space="0"/>
              <w:bottom w:val="single" w:color="auto" w:sz="4" w:space="0"/>
              <w:right w:val="single" w:color="auto" w:sz="4" w:space="0"/>
            </w:tcBorders>
            <w:noWrap/>
          </w:tcPr>
          <w:p w14:paraId="36462DDF">
            <w:pPr>
              <w:autoSpaceDN w:val="0"/>
              <w:spacing w:line="440" w:lineRule="exact"/>
              <w:jc w:val="center"/>
              <w:rPr>
                <w:rFonts w:ascii="仿宋" w:hAnsi="仿宋" w:eastAsia="仿宋" w:cs="Times New Roman"/>
                <w:color w:val="auto"/>
                <w:sz w:val="22"/>
                <w:highlight w:val="none"/>
              </w:rPr>
            </w:pPr>
          </w:p>
        </w:tc>
        <w:tc>
          <w:tcPr>
            <w:tcW w:w="822" w:type="dxa"/>
            <w:tcBorders>
              <w:top w:val="single" w:color="auto" w:sz="4" w:space="0"/>
              <w:left w:val="single" w:color="auto" w:sz="4" w:space="0"/>
              <w:bottom w:val="single" w:color="auto" w:sz="4" w:space="0"/>
              <w:right w:val="single" w:color="auto" w:sz="4" w:space="0"/>
            </w:tcBorders>
            <w:noWrap/>
          </w:tcPr>
          <w:p w14:paraId="32471C41">
            <w:pPr>
              <w:autoSpaceDN w:val="0"/>
              <w:spacing w:line="440" w:lineRule="exact"/>
              <w:jc w:val="center"/>
              <w:rPr>
                <w:rFonts w:ascii="仿宋" w:hAnsi="仿宋" w:eastAsia="仿宋" w:cs="Times New Roman"/>
                <w:color w:val="auto"/>
                <w:sz w:val="22"/>
                <w:highlight w:val="none"/>
              </w:rPr>
            </w:pPr>
          </w:p>
        </w:tc>
        <w:tc>
          <w:tcPr>
            <w:tcW w:w="1073" w:type="dxa"/>
            <w:tcBorders>
              <w:top w:val="single" w:color="auto" w:sz="4" w:space="0"/>
              <w:left w:val="single" w:color="auto" w:sz="4" w:space="0"/>
              <w:bottom w:val="single" w:color="auto" w:sz="4" w:space="0"/>
              <w:right w:val="single" w:color="auto" w:sz="4" w:space="0"/>
            </w:tcBorders>
            <w:noWrap/>
          </w:tcPr>
          <w:p w14:paraId="4D38B109">
            <w:pPr>
              <w:autoSpaceDN w:val="0"/>
              <w:spacing w:line="440" w:lineRule="exact"/>
              <w:jc w:val="center"/>
              <w:rPr>
                <w:rFonts w:ascii="仿宋" w:hAnsi="仿宋" w:eastAsia="仿宋" w:cs="Times New Roman"/>
                <w:color w:val="auto"/>
                <w:sz w:val="22"/>
                <w:highlight w:val="none"/>
              </w:rPr>
            </w:pPr>
          </w:p>
        </w:tc>
        <w:tc>
          <w:tcPr>
            <w:tcW w:w="727" w:type="dxa"/>
            <w:tcBorders>
              <w:top w:val="single" w:color="auto" w:sz="4" w:space="0"/>
              <w:left w:val="single" w:color="auto" w:sz="4" w:space="0"/>
              <w:bottom w:val="single" w:color="auto" w:sz="4" w:space="0"/>
              <w:right w:val="single" w:color="auto" w:sz="4" w:space="0"/>
            </w:tcBorders>
            <w:noWrap/>
          </w:tcPr>
          <w:p w14:paraId="617BCD2B">
            <w:pPr>
              <w:autoSpaceDN w:val="0"/>
              <w:spacing w:line="440" w:lineRule="exact"/>
              <w:jc w:val="center"/>
              <w:rPr>
                <w:rFonts w:ascii="仿宋" w:hAnsi="仿宋" w:eastAsia="仿宋" w:cs="Times New Roman"/>
                <w:color w:val="auto"/>
                <w:sz w:val="22"/>
                <w:highlight w:val="none"/>
              </w:rPr>
            </w:pPr>
          </w:p>
        </w:tc>
        <w:tc>
          <w:tcPr>
            <w:tcW w:w="800" w:type="dxa"/>
            <w:tcBorders>
              <w:top w:val="single" w:color="auto" w:sz="4" w:space="0"/>
              <w:left w:val="single" w:color="auto" w:sz="4" w:space="0"/>
              <w:bottom w:val="single" w:color="auto" w:sz="4" w:space="0"/>
              <w:right w:val="single" w:color="auto" w:sz="4" w:space="0"/>
            </w:tcBorders>
            <w:noWrap/>
          </w:tcPr>
          <w:p w14:paraId="6F44EB54">
            <w:pPr>
              <w:autoSpaceDN w:val="0"/>
              <w:spacing w:line="440" w:lineRule="exact"/>
              <w:jc w:val="center"/>
              <w:rPr>
                <w:rFonts w:ascii="仿宋" w:hAnsi="仿宋" w:eastAsia="仿宋" w:cs="Times New Roman"/>
                <w:color w:val="auto"/>
                <w:sz w:val="22"/>
                <w:highlight w:val="none"/>
              </w:rPr>
            </w:pPr>
          </w:p>
        </w:tc>
        <w:tc>
          <w:tcPr>
            <w:tcW w:w="1312" w:type="dxa"/>
            <w:tcBorders>
              <w:top w:val="single" w:color="auto" w:sz="4" w:space="0"/>
              <w:left w:val="single" w:color="auto" w:sz="4" w:space="0"/>
              <w:bottom w:val="single" w:color="auto" w:sz="4" w:space="0"/>
              <w:right w:val="single" w:color="auto" w:sz="4" w:space="0"/>
            </w:tcBorders>
            <w:noWrap/>
          </w:tcPr>
          <w:p w14:paraId="5919EC2A">
            <w:pPr>
              <w:autoSpaceDN w:val="0"/>
              <w:spacing w:line="440" w:lineRule="exact"/>
              <w:jc w:val="center"/>
              <w:rPr>
                <w:rFonts w:ascii="仿宋" w:hAnsi="仿宋" w:eastAsia="仿宋" w:cs="Times New Roman"/>
                <w:color w:val="auto"/>
                <w:sz w:val="22"/>
                <w:highlight w:val="none"/>
              </w:rPr>
            </w:pPr>
          </w:p>
        </w:tc>
        <w:tc>
          <w:tcPr>
            <w:tcW w:w="1151" w:type="dxa"/>
            <w:tcBorders>
              <w:top w:val="single" w:color="auto" w:sz="4" w:space="0"/>
              <w:left w:val="single" w:color="auto" w:sz="4" w:space="0"/>
              <w:bottom w:val="single" w:color="auto" w:sz="4" w:space="0"/>
              <w:right w:val="single" w:color="auto" w:sz="4" w:space="0"/>
            </w:tcBorders>
            <w:noWrap/>
          </w:tcPr>
          <w:p w14:paraId="0EF37562">
            <w:pPr>
              <w:autoSpaceDN w:val="0"/>
              <w:spacing w:line="440" w:lineRule="exact"/>
              <w:jc w:val="center"/>
              <w:rPr>
                <w:rFonts w:ascii="仿宋" w:hAnsi="仿宋" w:eastAsia="仿宋" w:cs="Times New Roman"/>
                <w:color w:val="auto"/>
                <w:sz w:val="22"/>
                <w:highlight w:val="none"/>
              </w:rPr>
            </w:pPr>
          </w:p>
        </w:tc>
        <w:tc>
          <w:tcPr>
            <w:tcW w:w="742" w:type="dxa"/>
            <w:tcBorders>
              <w:top w:val="single" w:color="auto" w:sz="4" w:space="0"/>
              <w:left w:val="single" w:color="auto" w:sz="4" w:space="0"/>
              <w:bottom w:val="single" w:color="auto" w:sz="4" w:space="0"/>
              <w:right w:val="single" w:color="auto" w:sz="4" w:space="0"/>
            </w:tcBorders>
            <w:noWrap/>
          </w:tcPr>
          <w:p w14:paraId="7F8434E0">
            <w:pPr>
              <w:autoSpaceDN w:val="0"/>
              <w:spacing w:line="440" w:lineRule="exact"/>
              <w:jc w:val="center"/>
              <w:rPr>
                <w:rFonts w:ascii="仿宋" w:hAnsi="仿宋" w:eastAsia="仿宋" w:cs="Times New Roman"/>
                <w:color w:val="auto"/>
                <w:sz w:val="22"/>
                <w:highlight w:val="none"/>
              </w:rPr>
            </w:pPr>
          </w:p>
        </w:tc>
      </w:tr>
      <w:tr w14:paraId="43DE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4" w:type="dxa"/>
            <w:tcBorders>
              <w:top w:val="single" w:color="auto" w:sz="4" w:space="0"/>
              <w:left w:val="single" w:color="auto" w:sz="4" w:space="0"/>
              <w:bottom w:val="single" w:color="auto" w:sz="4" w:space="0"/>
              <w:right w:val="single" w:color="auto" w:sz="4" w:space="0"/>
            </w:tcBorders>
            <w:noWrap/>
          </w:tcPr>
          <w:p w14:paraId="12CFDFDF">
            <w:pPr>
              <w:autoSpaceDN w:val="0"/>
              <w:spacing w:line="440" w:lineRule="exact"/>
              <w:jc w:val="center"/>
              <w:rPr>
                <w:rFonts w:ascii="仿宋" w:hAnsi="仿宋" w:eastAsia="仿宋" w:cs="Times New Roman"/>
                <w:color w:val="auto"/>
                <w:sz w:val="22"/>
                <w:highlight w:val="none"/>
              </w:rPr>
            </w:pPr>
          </w:p>
        </w:tc>
        <w:tc>
          <w:tcPr>
            <w:tcW w:w="1177" w:type="dxa"/>
            <w:tcBorders>
              <w:top w:val="single" w:color="auto" w:sz="4" w:space="0"/>
              <w:left w:val="single" w:color="auto" w:sz="4" w:space="0"/>
              <w:bottom w:val="single" w:color="auto" w:sz="4" w:space="0"/>
              <w:right w:val="single" w:color="auto" w:sz="4" w:space="0"/>
            </w:tcBorders>
            <w:noWrap/>
          </w:tcPr>
          <w:p w14:paraId="65C5BE61">
            <w:pPr>
              <w:autoSpaceDN w:val="0"/>
              <w:spacing w:line="440" w:lineRule="exact"/>
              <w:jc w:val="center"/>
              <w:rPr>
                <w:rFonts w:ascii="仿宋" w:hAnsi="仿宋" w:eastAsia="仿宋" w:cs="Times New Roman"/>
                <w:color w:val="auto"/>
                <w:sz w:val="22"/>
                <w:highlight w:val="none"/>
              </w:rPr>
            </w:pPr>
          </w:p>
        </w:tc>
        <w:tc>
          <w:tcPr>
            <w:tcW w:w="822" w:type="dxa"/>
            <w:tcBorders>
              <w:top w:val="single" w:color="auto" w:sz="4" w:space="0"/>
              <w:left w:val="single" w:color="auto" w:sz="4" w:space="0"/>
              <w:bottom w:val="single" w:color="auto" w:sz="4" w:space="0"/>
              <w:right w:val="single" w:color="auto" w:sz="4" w:space="0"/>
            </w:tcBorders>
            <w:noWrap/>
          </w:tcPr>
          <w:p w14:paraId="1259A780">
            <w:pPr>
              <w:autoSpaceDN w:val="0"/>
              <w:spacing w:line="440" w:lineRule="exact"/>
              <w:jc w:val="center"/>
              <w:rPr>
                <w:rFonts w:ascii="仿宋" w:hAnsi="仿宋" w:eastAsia="仿宋" w:cs="Times New Roman"/>
                <w:color w:val="auto"/>
                <w:sz w:val="22"/>
                <w:highlight w:val="none"/>
              </w:rPr>
            </w:pPr>
          </w:p>
        </w:tc>
        <w:tc>
          <w:tcPr>
            <w:tcW w:w="1073" w:type="dxa"/>
            <w:tcBorders>
              <w:top w:val="single" w:color="auto" w:sz="4" w:space="0"/>
              <w:left w:val="single" w:color="auto" w:sz="4" w:space="0"/>
              <w:bottom w:val="single" w:color="auto" w:sz="4" w:space="0"/>
              <w:right w:val="single" w:color="auto" w:sz="4" w:space="0"/>
            </w:tcBorders>
            <w:noWrap/>
          </w:tcPr>
          <w:p w14:paraId="11847F54">
            <w:pPr>
              <w:autoSpaceDN w:val="0"/>
              <w:spacing w:line="440" w:lineRule="exact"/>
              <w:jc w:val="center"/>
              <w:rPr>
                <w:rFonts w:ascii="仿宋" w:hAnsi="仿宋" w:eastAsia="仿宋" w:cs="Times New Roman"/>
                <w:color w:val="auto"/>
                <w:sz w:val="22"/>
                <w:highlight w:val="none"/>
              </w:rPr>
            </w:pPr>
          </w:p>
        </w:tc>
        <w:tc>
          <w:tcPr>
            <w:tcW w:w="727" w:type="dxa"/>
            <w:tcBorders>
              <w:top w:val="single" w:color="auto" w:sz="4" w:space="0"/>
              <w:left w:val="single" w:color="auto" w:sz="4" w:space="0"/>
              <w:bottom w:val="single" w:color="auto" w:sz="4" w:space="0"/>
              <w:right w:val="single" w:color="auto" w:sz="4" w:space="0"/>
            </w:tcBorders>
            <w:noWrap/>
          </w:tcPr>
          <w:p w14:paraId="72BD34BC">
            <w:pPr>
              <w:autoSpaceDN w:val="0"/>
              <w:spacing w:line="440" w:lineRule="exact"/>
              <w:jc w:val="center"/>
              <w:rPr>
                <w:rFonts w:ascii="仿宋" w:hAnsi="仿宋" w:eastAsia="仿宋" w:cs="Times New Roman"/>
                <w:color w:val="auto"/>
                <w:sz w:val="22"/>
                <w:highlight w:val="none"/>
              </w:rPr>
            </w:pPr>
          </w:p>
        </w:tc>
        <w:tc>
          <w:tcPr>
            <w:tcW w:w="800" w:type="dxa"/>
            <w:tcBorders>
              <w:top w:val="single" w:color="auto" w:sz="4" w:space="0"/>
              <w:left w:val="single" w:color="auto" w:sz="4" w:space="0"/>
              <w:bottom w:val="single" w:color="auto" w:sz="4" w:space="0"/>
              <w:right w:val="single" w:color="auto" w:sz="4" w:space="0"/>
            </w:tcBorders>
            <w:noWrap/>
          </w:tcPr>
          <w:p w14:paraId="50276803">
            <w:pPr>
              <w:autoSpaceDN w:val="0"/>
              <w:spacing w:line="440" w:lineRule="exact"/>
              <w:jc w:val="center"/>
              <w:rPr>
                <w:rFonts w:ascii="仿宋" w:hAnsi="仿宋" w:eastAsia="仿宋" w:cs="Times New Roman"/>
                <w:color w:val="auto"/>
                <w:sz w:val="22"/>
                <w:highlight w:val="none"/>
              </w:rPr>
            </w:pPr>
          </w:p>
        </w:tc>
        <w:tc>
          <w:tcPr>
            <w:tcW w:w="1312" w:type="dxa"/>
            <w:tcBorders>
              <w:top w:val="single" w:color="auto" w:sz="4" w:space="0"/>
              <w:left w:val="single" w:color="auto" w:sz="4" w:space="0"/>
              <w:bottom w:val="single" w:color="auto" w:sz="4" w:space="0"/>
              <w:right w:val="single" w:color="auto" w:sz="4" w:space="0"/>
            </w:tcBorders>
            <w:noWrap/>
          </w:tcPr>
          <w:p w14:paraId="1C19B952">
            <w:pPr>
              <w:autoSpaceDN w:val="0"/>
              <w:spacing w:line="440" w:lineRule="exact"/>
              <w:jc w:val="center"/>
              <w:rPr>
                <w:rFonts w:ascii="仿宋" w:hAnsi="仿宋" w:eastAsia="仿宋" w:cs="Times New Roman"/>
                <w:color w:val="auto"/>
                <w:sz w:val="22"/>
                <w:highlight w:val="none"/>
              </w:rPr>
            </w:pPr>
          </w:p>
        </w:tc>
        <w:tc>
          <w:tcPr>
            <w:tcW w:w="1151" w:type="dxa"/>
            <w:tcBorders>
              <w:top w:val="single" w:color="auto" w:sz="4" w:space="0"/>
              <w:left w:val="single" w:color="auto" w:sz="4" w:space="0"/>
              <w:bottom w:val="single" w:color="auto" w:sz="4" w:space="0"/>
              <w:right w:val="single" w:color="auto" w:sz="4" w:space="0"/>
            </w:tcBorders>
            <w:noWrap/>
          </w:tcPr>
          <w:p w14:paraId="3B29833F">
            <w:pPr>
              <w:autoSpaceDN w:val="0"/>
              <w:spacing w:line="440" w:lineRule="exact"/>
              <w:jc w:val="center"/>
              <w:rPr>
                <w:rFonts w:ascii="仿宋" w:hAnsi="仿宋" w:eastAsia="仿宋" w:cs="Times New Roman"/>
                <w:color w:val="auto"/>
                <w:sz w:val="22"/>
                <w:highlight w:val="none"/>
              </w:rPr>
            </w:pPr>
          </w:p>
        </w:tc>
        <w:tc>
          <w:tcPr>
            <w:tcW w:w="742" w:type="dxa"/>
            <w:tcBorders>
              <w:top w:val="single" w:color="auto" w:sz="4" w:space="0"/>
              <w:left w:val="single" w:color="auto" w:sz="4" w:space="0"/>
              <w:bottom w:val="single" w:color="auto" w:sz="4" w:space="0"/>
              <w:right w:val="single" w:color="auto" w:sz="4" w:space="0"/>
            </w:tcBorders>
            <w:noWrap/>
          </w:tcPr>
          <w:p w14:paraId="6409A262">
            <w:pPr>
              <w:autoSpaceDN w:val="0"/>
              <w:spacing w:line="440" w:lineRule="exact"/>
              <w:jc w:val="center"/>
              <w:rPr>
                <w:rFonts w:ascii="仿宋" w:hAnsi="仿宋" w:eastAsia="仿宋" w:cs="Times New Roman"/>
                <w:color w:val="auto"/>
                <w:sz w:val="22"/>
                <w:highlight w:val="none"/>
              </w:rPr>
            </w:pPr>
          </w:p>
        </w:tc>
      </w:tr>
    </w:tbl>
    <w:p w14:paraId="64BFCC81">
      <w:pPr>
        <w:autoSpaceDN w:val="0"/>
        <w:spacing w:line="440" w:lineRule="exact"/>
        <w:rPr>
          <w:rFonts w:ascii="仿宋" w:hAnsi="仿宋" w:eastAsia="仿宋" w:cs="Times New Roman"/>
          <w:color w:val="auto"/>
          <w:sz w:val="22"/>
          <w:highlight w:val="none"/>
        </w:rPr>
      </w:pPr>
    </w:p>
    <w:p w14:paraId="55BD0C8D">
      <w:pPr>
        <w:autoSpaceDN w:val="0"/>
        <w:spacing w:line="440" w:lineRule="exact"/>
        <w:rPr>
          <w:rFonts w:ascii="仿宋" w:hAnsi="仿宋" w:eastAsia="仿宋" w:cs="Times New Roman"/>
          <w:b/>
          <w:bCs/>
          <w:color w:val="auto"/>
          <w:sz w:val="22"/>
          <w:highlight w:val="none"/>
        </w:rPr>
      </w:pPr>
      <w:r>
        <w:rPr>
          <w:rFonts w:hint="eastAsia" w:ascii="仿宋" w:hAnsi="仿宋" w:eastAsia="仿宋" w:cs="Times New Roman"/>
          <w:b/>
          <w:bCs/>
          <w:color w:val="auto"/>
          <w:sz w:val="22"/>
          <w:highlight w:val="none"/>
        </w:rPr>
        <w:br w:type="page"/>
      </w:r>
      <w:r>
        <w:rPr>
          <w:rFonts w:hint="eastAsia" w:ascii="仿宋" w:hAnsi="仿宋" w:eastAsia="仿宋" w:cs="Times New Roman"/>
          <w:b/>
          <w:bCs/>
          <w:color w:val="auto"/>
          <w:sz w:val="22"/>
          <w:highlight w:val="none"/>
        </w:rPr>
        <w:t>附表三、</w:t>
      </w:r>
      <w:r>
        <w:rPr>
          <w:rFonts w:hint="eastAsia" w:ascii="仿宋" w:hAnsi="仿宋" w:eastAsia="仿宋" w:cs="Times New Roman"/>
          <w:b/>
          <w:bCs/>
          <w:color w:val="auto"/>
          <w:kern w:val="0"/>
          <w:sz w:val="22"/>
          <w:highlight w:val="none"/>
        </w:rPr>
        <w:t>项目管理班子配备情况表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720"/>
        <w:gridCol w:w="888"/>
        <w:gridCol w:w="888"/>
        <w:gridCol w:w="888"/>
        <w:gridCol w:w="888"/>
        <w:gridCol w:w="1488"/>
        <w:gridCol w:w="889"/>
        <w:gridCol w:w="911"/>
      </w:tblGrid>
      <w:tr w14:paraId="6820F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tcBorders>
              <w:top w:val="single" w:color="auto" w:sz="4" w:space="0"/>
              <w:left w:val="single" w:color="auto" w:sz="4" w:space="0"/>
              <w:bottom w:val="single" w:color="auto" w:sz="4" w:space="0"/>
              <w:right w:val="single" w:color="auto" w:sz="4" w:space="0"/>
            </w:tcBorders>
            <w:noWrap/>
            <w:vAlign w:val="center"/>
          </w:tcPr>
          <w:p w14:paraId="0D03483D">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职务</w:t>
            </w:r>
          </w:p>
        </w:tc>
        <w:tc>
          <w:tcPr>
            <w:tcW w:w="720" w:type="dxa"/>
            <w:vMerge w:val="restart"/>
            <w:tcBorders>
              <w:top w:val="single" w:color="auto" w:sz="4" w:space="0"/>
              <w:left w:val="single" w:color="auto" w:sz="4" w:space="0"/>
              <w:bottom w:val="single" w:color="auto" w:sz="4" w:space="0"/>
              <w:right w:val="single" w:color="auto" w:sz="4" w:space="0"/>
            </w:tcBorders>
            <w:noWrap/>
            <w:vAlign w:val="center"/>
          </w:tcPr>
          <w:p w14:paraId="6F8F76BD">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姓名</w:t>
            </w:r>
          </w:p>
        </w:tc>
        <w:tc>
          <w:tcPr>
            <w:tcW w:w="720" w:type="dxa"/>
            <w:vMerge w:val="restart"/>
            <w:tcBorders>
              <w:top w:val="single" w:color="auto" w:sz="4" w:space="0"/>
              <w:left w:val="single" w:color="auto" w:sz="4" w:space="0"/>
              <w:bottom w:val="single" w:color="auto" w:sz="4" w:space="0"/>
              <w:right w:val="single" w:color="auto" w:sz="4" w:space="0"/>
            </w:tcBorders>
            <w:noWrap/>
            <w:vAlign w:val="center"/>
          </w:tcPr>
          <w:p w14:paraId="1A4B3A39">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职称</w:t>
            </w:r>
          </w:p>
        </w:tc>
        <w:tc>
          <w:tcPr>
            <w:tcW w:w="5040" w:type="dxa"/>
            <w:gridSpan w:val="5"/>
            <w:tcBorders>
              <w:top w:val="single" w:color="auto" w:sz="4" w:space="0"/>
              <w:left w:val="single" w:color="auto" w:sz="4" w:space="0"/>
              <w:bottom w:val="single" w:color="auto" w:sz="4" w:space="0"/>
              <w:right w:val="single" w:color="auto" w:sz="4" w:space="0"/>
            </w:tcBorders>
            <w:noWrap/>
            <w:vAlign w:val="center"/>
          </w:tcPr>
          <w:p w14:paraId="3349C70A">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上岗资格证明</w:t>
            </w:r>
          </w:p>
        </w:tc>
        <w:tc>
          <w:tcPr>
            <w:tcW w:w="1800" w:type="dxa"/>
            <w:gridSpan w:val="2"/>
            <w:tcBorders>
              <w:top w:val="single" w:color="auto" w:sz="4" w:space="0"/>
              <w:left w:val="single" w:color="auto" w:sz="4" w:space="0"/>
              <w:bottom w:val="single" w:color="auto" w:sz="4" w:space="0"/>
              <w:right w:val="single" w:color="auto" w:sz="4" w:space="0"/>
            </w:tcBorders>
            <w:noWrap/>
            <w:vAlign w:val="center"/>
          </w:tcPr>
          <w:p w14:paraId="3E2446AB">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已承担在建工程情况</w:t>
            </w:r>
          </w:p>
        </w:tc>
      </w:tr>
      <w:tr w14:paraId="3CDC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8" w:type="dxa"/>
            <w:vMerge w:val="continue"/>
            <w:tcBorders>
              <w:top w:val="single" w:color="auto" w:sz="4" w:space="0"/>
              <w:left w:val="single" w:color="auto" w:sz="4" w:space="0"/>
              <w:bottom w:val="single" w:color="auto" w:sz="4" w:space="0"/>
              <w:right w:val="single" w:color="auto" w:sz="4" w:space="0"/>
            </w:tcBorders>
            <w:vAlign w:val="center"/>
          </w:tcPr>
          <w:p w14:paraId="1619B931">
            <w:pPr>
              <w:widowControl/>
              <w:jc w:val="left"/>
              <w:rPr>
                <w:rFonts w:ascii="仿宋" w:hAnsi="仿宋" w:eastAsia="仿宋" w:cs="Times New Roman"/>
                <w:color w:val="auto"/>
                <w:kern w:val="0"/>
                <w:sz w:val="22"/>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3E7C244F">
            <w:pPr>
              <w:widowControl/>
              <w:jc w:val="left"/>
              <w:rPr>
                <w:rFonts w:ascii="仿宋" w:hAnsi="仿宋" w:eastAsia="仿宋" w:cs="Times New Roman"/>
                <w:color w:val="auto"/>
                <w:kern w:val="0"/>
                <w:sz w:val="22"/>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1521C904">
            <w:pPr>
              <w:widowControl/>
              <w:jc w:val="left"/>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vAlign w:val="center"/>
          </w:tcPr>
          <w:p w14:paraId="08476ADE">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证书</w:t>
            </w:r>
          </w:p>
          <w:p w14:paraId="091FC055">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名称</w:t>
            </w:r>
          </w:p>
        </w:tc>
        <w:tc>
          <w:tcPr>
            <w:tcW w:w="888" w:type="dxa"/>
            <w:tcBorders>
              <w:top w:val="single" w:color="auto" w:sz="4" w:space="0"/>
              <w:left w:val="single" w:color="auto" w:sz="4" w:space="0"/>
              <w:bottom w:val="single" w:color="auto" w:sz="4" w:space="0"/>
              <w:right w:val="single" w:color="auto" w:sz="4" w:space="0"/>
            </w:tcBorders>
            <w:noWrap/>
            <w:vAlign w:val="center"/>
          </w:tcPr>
          <w:p w14:paraId="6C712EE3">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级别</w:t>
            </w:r>
          </w:p>
        </w:tc>
        <w:tc>
          <w:tcPr>
            <w:tcW w:w="888" w:type="dxa"/>
            <w:tcBorders>
              <w:top w:val="single" w:color="auto" w:sz="4" w:space="0"/>
              <w:left w:val="single" w:color="auto" w:sz="4" w:space="0"/>
              <w:bottom w:val="single" w:color="auto" w:sz="4" w:space="0"/>
              <w:right w:val="single" w:color="auto" w:sz="4" w:space="0"/>
            </w:tcBorders>
            <w:noWrap/>
            <w:vAlign w:val="center"/>
          </w:tcPr>
          <w:p w14:paraId="60EDED88">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证号</w:t>
            </w:r>
          </w:p>
        </w:tc>
        <w:tc>
          <w:tcPr>
            <w:tcW w:w="888" w:type="dxa"/>
            <w:tcBorders>
              <w:top w:val="single" w:color="auto" w:sz="4" w:space="0"/>
              <w:left w:val="single" w:color="auto" w:sz="4" w:space="0"/>
              <w:bottom w:val="single" w:color="auto" w:sz="4" w:space="0"/>
              <w:right w:val="single" w:color="auto" w:sz="4" w:space="0"/>
            </w:tcBorders>
            <w:noWrap/>
            <w:vAlign w:val="center"/>
          </w:tcPr>
          <w:p w14:paraId="48985286">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专业</w:t>
            </w:r>
          </w:p>
        </w:tc>
        <w:tc>
          <w:tcPr>
            <w:tcW w:w="1488" w:type="dxa"/>
            <w:tcBorders>
              <w:top w:val="single" w:color="auto" w:sz="4" w:space="0"/>
              <w:left w:val="single" w:color="auto" w:sz="4" w:space="0"/>
              <w:bottom w:val="single" w:color="auto" w:sz="4" w:space="0"/>
              <w:right w:val="single" w:color="auto" w:sz="4" w:space="0"/>
            </w:tcBorders>
            <w:noWrap/>
            <w:vAlign w:val="center"/>
          </w:tcPr>
          <w:p w14:paraId="6887E70E">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原服务单位</w:t>
            </w:r>
          </w:p>
        </w:tc>
        <w:tc>
          <w:tcPr>
            <w:tcW w:w="889" w:type="dxa"/>
            <w:tcBorders>
              <w:top w:val="single" w:color="auto" w:sz="4" w:space="0"/>
              <w:left w:val="single" w:color="auto" w:sz="4" w:space="0"/>
              <w:bottom w:val="single" w:color="auto" w:sz="4" w:space="0"/>
              <w:right w:val="single" w:color="auto" w:sz="4" w:space="0"/>
            </w:tcBorders>
            <w:noWrap/>
            <w:vAlign w:val="center"/>
          </w:tcPr>
          <w:p w14:paraId="1D3A35C3">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项目数</w:t>
            </w:r>
          </w:p>
        </w:tc>
        <w:tc>
          <w:tcPr>
            <w:tcW w:w="911" w:type="dxa"/>
            <w:tcBorders>
              <w:top w:val="single" w:color="auto" w:sz="4" w:space="0"/>
              <w:left w:val="single" w:color="auto" w:sz="4" w:space="0"/>
              <w:bottom w:val="single" w:color="auto" w:sz="4" w:space="0"/>
              <w:right w:val="single" w:color="auto" w:sz="4" w:space="0"/>
            </w:tcBorders>
            <w:noWrap/>
            <w:vAlign w:val="center"/>
          </w:tcPr>
          <w:p w14:paraId="212AB76C">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主要项目名称</w:t>
            </w:r>
          </w:p>
        </w:tc>
      </w:tr>
      <w:tr w14:paraId="666D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14:paraId="67B738A5">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14:paraId="2E7BF36A">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14:paraId="2F4F76DB">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7E98AAEB">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0A7F7F2D">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2FA84DBD">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771363AF">
            <w:pPr>
              <w:autoSpaceDN w:val="0"/>
              <w:spacing w:line="360" w:lineRule="auto"/>
              <w:rPr>
                <w:rFonts w:ascii="仿宋" w:hAnsi="仿宋" w:eastAsia="仿宋" w:cs="Times New Roman"/>
                <w:color w:val="auto"/>
                <w:kern w:val="0"/>
                <w:sz w:val="22"/>
                <w:highlight w:val="none"/>
              </w:rPr>
            </w:pPr>
          </w:p>
        </w:tc>
        <w:tc>
          <w:tcPr>
            <w:tcW w:w="1488" w:type="dxa"/>
            <w:tcBorders>
              <w:top w:val="single" w:color="auto" w:sz="4" w:space="0"/>
              <w:left w:val="single" w:color="auto" w:sz="4" w:space="0"/>
              <w:bottom w:val="single" w:color="auto" w:sz="4" w:space="0"/>
              <w:right w:val="single" w:color="auto" w:sz="4" w:space="0"/>
            </w:tcBorders>
            <w:noWrap/>
          </w:tcPr>
          <w:p w14:paraId="69DCE6A7">
            <w:pPr>
              <w:autoSpaceDN w:val="0"/>
              <w:spacing w:line="360" w:lineRule="auto"/>
              <w:rPr>
                <w:rFonts w:ascii="仿宋" w:hAnsi="仿宋" w:eastAsia="仿宋" w:cs="Times New Roman"/>
                <w:color w:val="auto"/>
                <w:kern w:val="0"/>
                <w:sz w:val="22"/>
                <w:highlight w:val="none"/>
              </w:rPr>
            </w:pPr>
          </w:p>
        </w:tc>
        <w:tc>
          <w:tcPr>
            <w:tcW w:w="889" w:type="dxa"/>
            <w:tcBorders>
              <w:top w:val="single" w:color="auto" w:sz="4" w:space="0"/>
              <w:left w:val="single" w:color="auto" w:sz="4" w:space="0"/>
              <w:bottom w:val="single" w:color="auto" w:sz="4" w:space="0"/>
              <w:right w:val="single" w:color="auto" w:sz="4" w:space="0"/>
            </w:tcBorders>
            <w:noWrap/>
          </w:tcPr>
          <w:p w14:paraId="65696E89">
            <w:pPr>
              <w:autoSpaceDN w:val="0"/>
              <w:spacing w:line="360" w:lineRule="auto"/>
              <w:rPr>
                <w:rFonts w:ascii="仿宋" w:hAnsi="仿宋" w:eastAsia="仿宋" w:cs="Times New Roman"/>
                <w:color w:val="auto"/>
                <w:kern w:val="0"/>
                <w:sz w:val="22"/>
                <w:highlight w:val="none"/>
              </w:rPr>
            </w:pPr>
          </w:p>
        </w:tc>
        <w:tc>
          <w:tcPr>
            <w:tcW w:w="911" w:type="dxa"/>
            <w:tcBorders>
              <w:top w:val="single" w:color="auto" w:sz="4" w:space="0"/>
              <w:left w:val="single" w:color="auto" w:sz="4" w:space="0"/>
              <w:bottom w:val="single" w:color="auto" w:sz="4" w:space="0"/>
              <w:right w:val="single" w:color="auto" w:sz="4" w:space="0"/>
            </w:tcBorders>
            <w:noWrap/>
          </w:tcPr>
          <w:p w14:paraId="3924C391">
            <w:pPr>
              <w:autoSpaceDN w:val="0"/>
              <w:spacing w:line="360" w:lineRule="auto"/>
              <w:rPr>
                <w:rFonts w:ascii="仿宋" w:hAnsi="仿宋" w:eastAsia="仿宋" w:cs="Times New Roman"/>
                <w:color w:val="auto"/>
                <w:kern w:val="0"/>
                <w:sz w:val="22"/>
                <w:highlight w:val="none"/>
              </w:rPr>
            </w:pPr>
          </w:p>
        </w:tc>
      </w:tr>
      <w:tr w14:paraId="7EAA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14:paraId="14A357EE">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14:paraId="0DBE899C">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14:paraId="1F8875B5">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2D48503C">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73F445C1">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08F1054F">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7847BBD7">
            <w:pPr>
              <w:autoSpaceDN w:val="0"/>
              <w:spacing w:line="360" w:lineRule="auto"/>
              <w:rPr>
                <w:rFonts w:ascii="仿宋" w:hAnsi="仿宋" w:eastAsia="仿宋" w:cs="Times New Roman"/>
                <w:color w:val="auto"/>
                <w:kern w:val="0"/>
                <w:sz w:val="22"/>
                <w:highlight w:val="none"/>
              </w:rPr>
            </w:pPr>
          </w:p>
        </w:tc>
        <w:tc>
          <w:tcPr>
            <w:tcW w:w="1488" w:type="dxa"/>
            <w:tcBorders>
              <w:top w:val="single" w:color="auto" w:sz="4" w:space="0"/>
              <w:left w:val="single" w:color="auto" w:sz="4" w:space="0"/>
              <w:bottom w:val="single" w:color="auto" w:sz="4" w:space="0"/>
              <w:right w:val="single" w:color="auto" w:sz="4" w:space="0"/>
            </w:tcBorders>
            <w:noWrap/>
          </w:tcPr>
          <w:p w14:paraId="444D29B3">
            <w:pPr>
              <w:autoSpaceDN w:val="0"/>
              <w:spacing w:line="360" w:lineRule="auto"/>
              <w:rPr>
                <w:rFonts w:ascii="仿宋" w:hAnsi="仿宋" w:eastAsia="仿宋" w:cs="Times New Roman"/>
                <w:color w:val="auto"/>
                <w:kern w:val="0"/>
                <w:sz w:val="22"/>
                <w:highlight w:val="none"/>
              </w:rPr>
            </w:pPr>
          </w:p>
        </w:tc>
        <w:tc>
          <w:tcPr>
            <w:tcW w:w="889" w:type="dxa"/>
            <w:tcBorders>
              <w:top w:val="single" w:color="auto" w:sz="4" w:space="0"/>
              <w:left w:val="single" w:color="auto" w:sz="4" w:space="0"/>
              <w:bottom w:val="single" w:color="auto" w:sz="4" w:space="0"/>
              <w:right w:val="single" w:color="auto" w:sz="4" w:space="0"/>
            </w:tcBorders>
            <w:noWrap/>
          </w:tcPr>
          <w:p w14:paraId="1C728796">
            <w:pPr>
              <w:autoSpaceDN w:val="0"/>
              <w:spacing w:line="360" w:lineRule="auto"/>
              <w:rPr>
                <w:rFonts w:ascii="仿宋" w:hAnsi="仿宋" w:eastAsia="仿宋" w:cs="Times New Roman"/>
                <w:color w:val="auto"/>
                <w:kern w:val="0"/>
                <w:sz w:val="22"/>
                <w:highlight w:val="none"/>
              </w:rPr>
            </w:pPr>
          </w:p>
        </w:tc>
        <w:tc>
          <w:tcPr>
            <w:tcW w:w="911" w:type="dxa"/>
            <w:tcBorders>
              <w:top w:val="single" w:color="auto" w:sz="4" w:space="0"/>
              <w:left w:val="single" w:color="auto" w:sz="4" w:space="0"/>
              <w:bottom w:val="single" w:color="auto" w:sz="4" w:space="0"/>
              <w:right w:val="single" w:color="auto" w:sz="4" w:space="0"/>
            </w:tcBorders>
            <w:noWrap/>
          </w:tcPr>
          <w:p w14:paraId="48977BC8">
            <w:pPr>
              <w:autoSpaceDN w:val="0"/>
              <w:spacing w:line="360" w:lineRule="auto"/>
              <w:rPr>
                <w:rFonts w:ascii="仿宋" w:hAnsi="仿宋" w:eastAsia="仿宋" w:cs="Times New Roman"/>
                <w:color w:val="auto"/>
                <w:kern w:val="0"/>
                <w:sz w:val="22"/>
                <w:highlight w:val="none"/>
              </w:rPr>
            </w:pPr>
          </w:p>
        </w:tc>
      </w:tr>
      <w:tr w14:paraId="651C9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14:paraId="71E7C2C1">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14:paraId="5939CE9F">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14:paraId="513B6AB7">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2A7B7FCD">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0108EFE3">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713A3089">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6819CC84">
            <w:pPr>
              <w:autoSpaceDN w:val="0"/>
              <w:spacing w:line="360" w:lineRule="auto"/>
              <w:rPr>
                <w:rFonts w:ascii="仿宋" w:hAnsi="仿宋" w:eastAsia="仿宋" w:cs="Times New Roman"/>
                <w:color w:val="auto"/>
                <w:kern w:val="0"/>
                <w:sz w:val="22"/>
                <w:highlight w:val="none"/>
              </w:rPr>
            </w:pPr>
          </w:p>
        </w:tc>
        <w:tc>
          <w:tcPr>
            <w:tcW w:w="1488" w:type="dxa"/>
            <w:tcBorders>
              <w:top w:val="single" w:color="auto" w:sz="4" w:space="0"/>
              <w:left w:val="single" w:color="auto" w:sz="4" w:space="0"/>
              <w:bottom w:val="single" w:color="auto" w:sz="4" w:space="0"/>
              <w:right w:val="single" w:color="auto" w:sz="4" w:space="0"/>
            </w:tcBorders>
            <w:noWrap/>
          </w:tcPr>
          <w:p w14:paraId="3168290F">
            <w:pPr>
              <w:autoSpaceDN w:val="0"/>
              <w:spacing w:line="360" w:lineRule="auto"/>
              <w:rPr>
                <w:rFonts w:ascii="仿宋" w:hAnsi="仿宋" w:eastAsia="仿宋" w:cs="Times New Roman"/>
                <w:color w:val="auto"/>
                <w:kern w:val="0"/>
                <w:sz w:val="22"/>
                <w:highlight w:val="none"/>
              </w:rPr>
            </w:pPr>
          </w:p>
        </w:tc>
        <w:tc>
          <w:tcPr>
            <w:tcW w:w="889" w:type="dxa"/>
            <w:tcBorders>
              <w:top w:val="single" w:color="auto" w:sz="4" w:space="0"/>
              <w:left w:val="single" w:color="auto" w:sz="4" w:space="0"/>
              <w:bottom w:val="single" w:color="auto" w:sz="4" w:space="0"/>
              <w:right w:val="single" w:color="auto" w:sz="4" w:space="0"/>
            </w:tcBorders>
            <w:noWrap/>
          </w:tcPr>
          <w:p w14:paraId="447264F0">
            <w:pPr>
              <w:autoSpaceDN w:val="0"/>
              <w:spacing w:line="360" w:lineRule="auto"/>
              <w:rPr>
                <w:rFonts w:ascii="仿宋" w:hAnsi="仿宋" w:eastAsia="仿宋" w:cs="Times New Roman"/>
                <w:color w:val="auto"/>
                <w:kern w:val="0"/>
                <w:sz w:val="22"/>
                <w:highlight w:val="none"/>
              </w:rPr>
            </w:pPr>
          </w:p>
        </w:tc>
        <w:tc>
          <w:tcPr>
            <w:tcW w:w="911" w:type="dxa"/>
            <w:tcBorders>
              <w:top w:val="single" w:color="auto" w:sz="4" w:space="0"/>
              <w:left w:val="single" w:color="auto" w:sz="4" w:space="0"/>
              <w:bottom w:val="single" w:color="auto" w:sz="4" w:space="0"/>
              <w:right w:val="single" w:color="auto" w:sz="4" w:space="0"/>
            </w:tcBorders>
            <w:noWrap/>
          </w:tcPr>
          <w:p w14:paraId="321B2E9A">
            <w:pPr>
              <w:autoSpaceDN w:val="0"/>
              <w:spacing w:line="360" w:lineRule="auto"/>
              <w:rPr>
                <w:rFonts w:ascii="仿宋" w:hAnsi="仿宋" w:eastAsia="仿宋" w:cs="Times New Roman"/>
                <w:color w:val="auto"/>
                <w:kern w:val="0"/>
                <w:sz w:val="22"/>
                <w:highlight w:val="none"/>
              </w:rPr>
            </w:pPr>
          </w:p>
        </w:tc>
      </w:tr>
      <w:tr w14:paraId="5D826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14:paraId="79E1607D">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14:paraId="11A2A708">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14:paraId="4037995F">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23A28307">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441BF383">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74B63ADF">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63F7BE76">
            <w:pPr>
              <w:autoSpaceDN w:val="0"/>
              <w:spacing w:line="360" w:lineRule="auto"/>
              <w:rPr>
                <w:rFonts w:ascii="仿宋" w:hAnsi="仿宋" w:eastAsia="仿宋" w:cs="Times New Roman"/>
                <w:color w:val="auto"/>
                <w:kern w:val="0"/>
                <w:sz w:val="22"/>
                <w:highlight w:val="none"/>
              </w:rPr>
            </w:pPr>
          </w:p>
        </w:tc>
        <w:tc>
          <w:tcPr>
            <w:tcW w:w="1488" w:type="dxa"/>
            <w:tcBorders>
              <w:top w:val="single" w:color="auto" w:sz="4" w:space="0"/>
              <w:left w:val="single" w:color="auto" w:sz="4" w:space="0"/>
              <w:bottom w:val="single" w:color="auto" w:sz="4" w:space="0"/>
              <w:right w:val="single" w:color="auto" w:sz="4" w:space="0"/>
            </w:tcBorders>
            <w:noWrap/>
          </w:tcPr>
          <w:p w14:paraId="511B4D4B">
            <w:pPr>
              <w:autoSpaceDN w:val="0"/>
              <w:spacing w:line="360" w:lineRule="auto"/>
              <w:rPr>
                <w:rFonts w:ascii="仿宋" w:hAnsi="仿宋" w:eastAsia="仿宋" w:cs="Times New Roman"/>
                <w:color w:val="auto"/>
                <w:kern w:val="0"/>
                <w:sz w:val="22"/>
                <w:highlight w:val="none"/>
              </w:rPr>
            </w:pPr>
          </w:p>
        </w:tc>
        <w:tc>
          <w:tcPr>
            <w:tcW w:w="889" w:type="dxa"/>
            <w:tcBorders>
              <w:top w:val="single" w:color="auto" w:sz="4" w:space="0"/>
              <w:left w:val="single" w:color="auto" w:sz="4" w:space="0"/>
              <w:bottom w:val="single" w:color="auto" w:sz="4" w:space="0"/>
              <w:right w:val="single" w:color="auto" w:sz="4" w:space="0"/>
            </w:tcBorders>
            <w:noWrap/>
          </w:tcPr>
          <w:p w14:paraId="6A49C9AF">
            <w:pPr>
              <w:autoSpaceDN w:val="0"/>
              <w:spacing w:line="360" w:lineRule="auto"/>
              <w:rPr>
                <w:rFonts w:ascii="仿宋" w:hAnsi="仿宋" w:eastAsia="仿宋" w:cs="Times New Roman"/>
                <w:color w:val="auto"/>
                <w:kern w:val="0"/>
                <w:sz w:val="22"/>
                <w:highlight w:val="none"/>
              </w:rPr>
            </w:pPr>
          </w:p>
        </w:tc>
        <w:tc>
          <w:tcPr>
            <w:tcW w:w="911" w:type="dxa"/>
            <w:tcBorders>
              <w:top w:val="single" w:color="auto" w:sz="4" w:space="0"/>
              <w:left w:val="single" w:color="auto" w:sz="4" w:space="0"/>
              <w:bottom w:val="single" w:color="auto" w:sz="4" w:space="0"/>
              <w:right w:val="single" w:color="auto" w:sz="4" w:space="0"/>
            </w:tcBorders>
            <w:noWrap/>
          </w:tcPr>
          <w:p w14:paraId="02D6E3B4">
            <w:pPr>
              <w:autoSpaceDN w:val="0"/>
              <w:spacing w:line="360" w:lineRule="auto"/>
              <w:rPr>
                <w:rFonts w:ascii="仿宋" w:hAnsi="仿宋" w:eastAsia="仿宋" w:cs="Times New Roman"/>
                <w:color w:val="auto"/>
                <w:kern w:val="0"/>
                <w:sz w:val="22"/>
                <w:highlight w:val="none"/>
              </w:rPr>
            </w:pPr>
          </w:p>
        </w:tc>
      </w:tr>
      <w:tr w14:paraId="1EE10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atLeast"/>
        </w:trPr>
        <w:tc>
          <w:tcPr>
            <w:tcW w:w="8928" w:type="dxa"/>
            <w:gridSpan w:val="10"/>
            <w:tcBorders>
              <w:top w:val="single" w:color="auto" w:sz="4" w:space="0"/>
              <w:left w:val="single" w:color="auto" w:sz="4" w:space="0"/>
              <w:bottom w:val="single" w:color="auto" w:sz="4" w:space="0"/>
              <w:right w:val="single" w:color="auto" w:sz="4" w:space="0"/>
            </w:tcBorders>
            <w:noWrap/>
          </w:tcPr>
          <w:p w14:paraId="669C330B">
            <w:pPr>
              <w:autoSpaceDN w:val="0"/>
              <w:spacing w:line="360" w:lineRule="auto"/>
              <w:ind w:firstLine="495" w:firstLineChars="225"/>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本工程一旦我单位成交，将实行项目经理负责制，并配备上述项目管理班子。上述填报内容真实，若不真实，愿按有关规定接受处理。项目管理班子机构设置、职责分工等情况另附资料说明。</w:t>
            </w:r>
          </w:p>
        </w:tc>
      </w:tr>
    </w:tbl>
    <w:p w14:paraId="65EEF060">
      <w:pPr>
        <w:autoSpaceDN w:val="0"/>
        <w:spacing w:line="440" w:lineRule="exact"/>
        <w:rPr>
          <w:rFonts w:ascii="仿宋" w:hAnsi="仿宋" w:eastAsia="仿宋" w:cs="Times New Roman"/>
          <w:b/>
          <w:bCs/>
          <w:color w:val="auto"/>
          <w:sz w:val="22"/>
          <w:highlight w:val="none"/>
        </w:rPr>
      </w:pPr>
    </w:p>
    <w:p w14:paraId="449DFA26">
      <w:pPr>
        <w:autoSpaceDN w:val="0"/>
        <w:spacing w:line="440" w:lineRule="exact"/>
        <w:rPr>
          <w:rFonts w:ascii="仿宋" w:hAnsi="仿宋" w:eastAsia="仿宋" w:cs="Times New Roman"/>
          <w:b/>
          <w:bCs/>
          <w:color w:val="auto"/>
          <w:sz w:val="22"/>
          <w:highlight w:val="none"/>
        </w:rPr>
      </w:pPr>
      <w:r>
        <w:rPr>
          <w:rFonts w:hint="eastAsia" w:ascii="仿宋" w:hAnsi="仿宋" w:eastAsia="仿宋" w:cs="Times New Roman"/>
          <w:b/>
          <w:bCs/>
          <w:color w:val="auto"/>
          <w:sz w:val="22"/>
          <w:highlight w:val="none"/>
        </w:rPr>
        <w:t>附表四、</w:t>
      </w:r>
      <w:r>
        <w:rPr>
          <w:rFonts w:hint="eastAsia" w:ascii="仿宋" w:hAnsi="仿宋" w:eastAsia="仿宋" w:cs="Times New Roman"/>
          <w:b/>
          <w:bCs/>
          <w:color w:val="auto"/>
          <w:kern w:val="0"/>
          <w:sz w:val="22"/>
          <w:highlight w:val="none"/>
        </w:rPr>
        <w:t>项目经理简历表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14:paraId="3C48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14:paraId="0CD87293">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姓名</w:t>
            </w:r>
          </w:p>
        </w:tc>
        <w:tc>
          <w:tcPr>
            <w:tcW w:w="1480" w:type="dxa"/>
            <w:tcBorders>
              <w:top w:val="single" w:color="auto" w:sz="4" w:space="0"/>
              <w:left w:val="single" w:color="auto" w:sz="4" w:space="0"/>
              <w:bottom w:val="single" w:color="auto" w:sz="4" w:space="0"/>
              <w:right w:val="single" w:color="auto" w:sz="4" w:space="0"/>
            </w:tcBorders>
            <w:noWrap/>
          </w:tcPr>
          <w:p w14:paraId="72670B93">
            <w:pPr>
              <w:autoSpaceDN w:val="0"/>
              <w:spacing w:line="360" w:lineRule="auto"/>
              <w:jc w:val="center"/>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03510C17">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性别</w:t>
            </w:r>
          </w:p>
        </w:tc>
        <w:tc>
          <w:tcPr>
            <w:tcW w:w="1608" w:type="dxa"/>
            <w:tcBorders>
              <w:top w:val="single" w:color="auto" w:sz="4" w:space="0"/>
              <w:left w:val="single" w:color="auto" w:sz="4" w:space="0"/>
              <w:bottom w:val="single" w:color="auto" w:sz="4" w:space="0"/>
              <w:right w:val="single" w:color="auto" w:sz="4" w:space="0"/>
            </w:tcBorders>
            <w:noWrap/>
          </w:tcPr>
          <w:p w14:paraId="07E587C6">
            <w:pPr>
              <w:autoSpaceDN w:val="0"/>
              <w:spacing w:line="360" w:lineRule="auto"/>
              <w:jc w:val="center"/>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195954DC">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年龄</w:t>
            </w:r>
          </w:p>
        </w:tc>
        <w:tc>
          <w:tcPr>
            <w:tcW w:w="1481" w:type="dxa"/>
            <w:tcBorders>
              <w:top w:val="single" w:color="auto" w:sz="4" w:space="0"/>
              <w:left w:val="single" w:color="auto" w:sz="4" w:space="0"/>
              <w:bottom w:val="single" w:color="auto" w:sz="4" w:space="0"/>
              <w:right w:val="single" w:color="auto" w:sz="4" w:space="0"/>
            </w:tcBorders>
            <w:noWrap/>
          </w:tcPr>
          <w:p w14:paraId="0B9E30A5">
            <w:pPr>
              <w:autoSpaceDN w:val="0"/>
              <w:spacing w:line="360" w:lineRule="auto"/>
              <w:jc w:val="center"/>
              <w:rPr>
                <w:rFonts w:ascii="仿宋" w:hAnsi="仿宋" w:eastAsia="仿宋" w:cs="Times New Roman"/>
                <w:color w:val="auto"/>
                <w:kern w:val="0"/>
                <w:sz w:val="22"/>
                <w:highlight w:val="none"/>
              </w:rPr>
            </w:pPr>
          </w:p>
        </w:tc>
      </w:tr>
      <w:tr w14:paraId="01325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14:paraId="7F9826F4">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职务</w:t>
            </w:r>
          </w:p>
        </w:tc>
        <w:tc>
          <w:tcPr>
            <w:tcW w:w="1480" w:type="dxa"/>
            <w:tcBorders>
              <w:top w:val="single" w:color="auto" w:sz="4" w:space="0"/>
              <w:left w:val="single" w:color="auto" w:sz="4" w:space="0"/>
              <w:bottom w:val="single" w:color="auto" w:sz="4" w:space="0"/>
              <w:right w:val="single" w:color="auto" w:sz="4" w:space="0"/>
            </w:tcBorders>
            <w:noWrap/>
          </w:tcPr>
          <w:p w14:paraId="194EC363">
            <w:pPr>
              <w:autoSpaceDN w:val="0"/>
              <w:spacing w:line="360" w:lineRule="auto"/>
              <w:jc w:val="center"/>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3BDC23FC">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职称</w:t>
            </w:r>
          </w:p>
        </w:tc>
        <w:tc>
          <w:tcPr>
            <w:tcW w:w="1608" w:type="dxa"/>
            <w:tcBorders>
              <w:top w:val="single" w:color="auto" w:sz="4" w:space="0"/>
              <w:left w:val="single" w:color="auto" w:sz="4" w:space="0"/>
              <w:bottom w:val="single" w:color="auto" w:sz="4" w:space="0"/>
              <w:right w:val="single" w:color="auto" w:sz="4" w:space="0"/>
            </w:tcBorders>
            <w:noWrap/>
          </w:tcPr>
          <w:p w14:paraId="1F911E22">
            <w:pPr>
              <w:autoSpaceDN w:val="0"/>
              <w:spacing w:line="360" w:lineRule="auto"/>
              <w:jc w:val="center"/>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35C677FC">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学历</w:t>
            </w:r>
          </w:p>
        </w:tc>
        <w:tc>
          <w:tcPr>
            <w:tcW w:w="1481" w:type="dxa"/>
            <w:tcBorders>
              <w:top w:val="single" w:color="auto" w:sz="4" w:space="0"/>
              <w:left w:val="single" w:color="auto" w:sz="4" w:space="0"/>
              <w:bottom w:val="single" w:color="auto" w:sz="4" w:space="0"/>
              <w:right w:val="single" w:color="auto" w:sz="4" w:space="0"/>
            </w:tcBorders>
            <w:noWrap/>
          </w:tcPr>
          <w:p w14:paraId="04A6703F">
            <w:pPr>
              <w:autoSpaceDN w:val="0"/>
              <w:spacing w:line="360" w:lineRule="auto"/>
              <w:jc w:val="center"/>
              <w:rPr>
                <w:rFonts w:ascii="仿宋" w:hAnsi="仿宋" w:eastAsia="仿宋" w:cs="Times New Roman"/>
                <w:color w:val="auto"/>
                <w:kern w:val="0"/>
                <w:sz w:val="22"/>
                <w:highlight w:val="none"/>
              </w:rPr>
            </w:pPr>
          </w:p>
        </w:tc>
      </w:tr>
      <w:tr w14:paraId="3A405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14:paraId="219F148F">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参加工作时间</w:t>
            </w:r>
          </w:p>
        </w:tc>
        <w:tc>
          <w:tcPr>
            <w:tcW w:w="1480" w:type="dxa"/>
            <w:tcBorders>
              <w:top w:val="single" w:color="auto" w:sz="4" w:space="0"/>
              <w:left w:val="single" w:color="auto" w:sz="4" w:space="0"/>
              <w:bottom w:val="single" w:color="auto" w:sz="4" w:space="0"/>
              <w:right w:val="single" w:color="auto" w:sz="4" w:space="0"/>
            </w:tcBorders>
            <w:noWrap/>
          </w:tcPr>
          <w:p w14:paraId="003D2F6D">
            <w:pPr>
              <w:autoSpaceDN w:val="0"/>
              <w:spacing w:line="360" w:lineRule="auto"/>
              <w:jc w:val="center"/>
              <w:rPr>
                <w:rFonts w:ascii="仿宋" w:hAnsi="仿宋" w:eastAsia="仿宋" w:cs="Times New Roman"/>
                <w:color w:val="auto"/>
                <w:kern w:val="0"/>
                <w:sz w:val="22"/>
                <w:highlight w:val="none"/>
              </w:rPr>
            </w:pPr>
          </w:p>
        </w:tc>
        <w:tc>
          <w:tcPr>
            <w:tcW w:w="3089" w:type="dxa"/>
            <w:gridSpan w:val="2"/>
            <w:tcBorders>
              <w:top w:val="single" w:color="auto" w:sz="4" w:space="0"/>
              <w:left w:val="single" w:color="auto" w:sz="4" w:space="0"/>
              <w:bottom w:val="single" w:color="auto" w:sz="4" w:space="0"/>
              <w:right w:val="single" w:color="auto" w:sz="4" w:space="0"/>
            </w:tcBorders>
            <w:noWrap/>
          </w:tcPr>
          <w:p w14:paraId="4E92B5C7">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从事项目经理年限</w:t>
            </w:r>
          </w:p>
        </w:tc>
        <w:tc>
          <w:tcPr>
            <w:tcW w:w="1481" w:type="dxa"/>
            <w:tcBorders>
              <w:top w:val="single" w:color="auto" w:sz="4" w:space="0"/>
              <w:left w:val="single" w:color="auto" w:sz="4" w:space="0"/>
              <w:bottom w:val="single" w:color="auto" w:sz="4" w:space="0"/>
              <w:right w:val="single" w:color="auto" w:sz="4" w:space="0"/>
            </w:tcBorders>
            <w:noWrap/>
          </w:tcPr>
          <w:p w14:paraId="0723FD8D">
            <w:pPr>
              <w:autoSpaceDN w:val="0"/>
              <w:spacing w:line="360" w:lineRule="auto"/>
              <w:jc w:val="center"/>
              <w:rPr>
                <w:rFonts w:ascii="仿宋" w:hAnsi="仿宋" w:eastAsia="仿宋" w:cs="Times New Roman"/>
                <w:color w:val="auto"/>
                <w:kern w:val="0"/>
                <w:sz w:val="22"/>
                <w:highlight w:val="none"/>
              </w:rPr>
            </w:pPr>
          </w:p>
        </w:tc>
      </w:tr>
      <w:tr w14:paraId="6C5A8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14:paraId="1B673069">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项目经理资格证书编号</w:t>
            </w:r>
          </w:p>
        </w:tc>
        <w:tc>
          <w:tcPr>
            <w:tcW w:w="6050" w:type="dxa"/>
            <w:gridSpan w:val="4"/>
            <w:tcBorders>
              <w:top w:val="single" w:color="auto" w:sz="4" w:space="0"/>
              <w:left w:val="single" w:color="auto" w:sz="4" w:space="0"/>
              <w:bottom w:val="single" w:color="auto" w:sz="4" w:space="0"/>
              <w:right w:val="single" w:color="auto" w:sz="4" w:space="0"/>
            </w:tcBorders>
            <w:noWrap/>
          </w:tcPr>
          <w:p w14:paraId="5BE94256">
            <w:pPr>
              <w:autoSpaceDN w:val="0"/>
              <w:spacing w:line="360" w:lineRule="auto"/>
              <w:jc w:val="center"/>
              <w:rPr>
                <w:rFonts w:ascii="仿宋" w:hAnsi="仿宋" w:eastAsia="仿宋" w:cs="Times New Roman"/>
                <w:color w:val="auto"/>
                <w:kern w:val="0"/>
                <w:sz w:val="22"/>
                <w:highlight w:val="none"/>
              </w:rPr>
            </w:pPr>
          </w:p>
        </w:tc>
      </w:tr>
      <w:tr w14:paraId="51210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tcBorders>
              <w:top w:val="single" w:color="auto" w:sz="4" w:space="0"/>
              <w:left w:val="single" w:color="auto" w:sz="4" w:space="0"/>
              <w:bottom w:val="single" w:color="auto" w:sz="4" w:space="0"/>
              <w:right w:val="single" w:color="auto" w:sz="4" w:space="0"/>
            </w:tcBorders>
            <w:noWrap/>
          </w:tcPr>
          <w:p w14:paraId="6A63C287">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在建和已完工程项目情况</w:t>
            </w:r>
          </w:p>
        </w:tc>
      </w:tr>
      <w:tr w14:paraId="4773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14:paraId="332462AD">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建设单位</w:t>
            </w:r>
          </w:p>
        </w:tc>
        <w:tc>
          <w:tcPr>
            <w:tcW w:w="1480" w:type="dxa"/>
            <w:tcBorders>
              <w:top w:val="single" w:color="auto" w:sz="4" w:space="0"/>
              <w:left w:val="single" w:color="auto" w:sz="4" w:space="0"/>
              <w:bottom w:val="single" w:color="auto" w:sz="4" w:space="0"/>
              <w:right w:val="single" w:color="auto" w:sz="4" w:space="0"/>
            </w:tcBorders>
            <w:noWrap/>
          </w:tcPr>
          <w:p w14:paraId="231D1AA4">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项目名称</w:t>
            </w:r>
          </w:p>
        </w:tc>
        <w:tc>
          <w:tcPr>
            <w:tcW w:w="1480" w:type="dxa"/>
            <w:tcBorders>
              <w:top w:val="single" w:color="auto" w:sz="4" w:space="0"/>
              <w:left w:val="single" w:color="auto" w:sz="4" w:space="0"/>
              <w:bottom w:val="single" w:color="auto" w:sz="4" w:space="0"/>
              <w:right w:val="single" w:color="auto" w:sz="4" w:space="0"/>
            </w:tcBorders>
            <w:noWrap/>
          </w:tcPr>
          <w:p w14:paraId="12E33564">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建设规模</w:t>
            </w:r>
          </w:p>
        </w:tc>
        <w:tc>
          <w:tcPr>
            <w:tcW w:w="1608" w:type="dxa"/>
            <w:tcBorders>
              <w:top w:val="single" w:color="auto" w:sz="4" w:space="0"/>
              <w:left w:val="single" w:color="auto" w:sz="4" w:space="0"/>
              <w:bottom w:val="single" w:color="auto" w:sz="4" w:space="0"/>
              <w:right w:val="single" w:color="auto" w:sz="4" w:space="0"/>
            </w:tcBorders>
            <w:noWrap/>
          </w:tcPr>
          <w:p w14:paraId="319C972F">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开、竣工日期</w:t>
            </w:r>
          </w:p>
        </w:tc>
        <w:tc>
          <w:tcPr>
            <w:tcW w:w="1481" w:type="dxa"/>
            <w:tcBorders>
              <w:top w:val="single" w:color="auto" w:sz="4" w:space="0"/>
              <w:left w:val="single" w:color="auto" w:sz="4" w:space="0"/>
              <w:bottom w:val="single" w:color="auto" w:sz="4" w:space="0"/>
              <w:right w:val="single" w:color="auto" w:sz="4" w:space="0"/>
            </w:tcBorders>
            <w:noWrap/>
          </w:tcPr>
          <w:p w14:paraId="0EE517E9">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在建或已完</w:t>
            </w:r>
          </w:p>
        </w:tc>
        <w:tc>
          <w:tcPr>
            <w:tcW w:w="1481" w:type="dxa"/>
            <w:tcBorders>
              <w:top w:val="single" w:color="auto" w:sz="4" w:space="0"/>
              <w:left w:val="single" w:color="auto" w:sz="4" w:space="0"/>
              <w:bottom w:val="single" w:color="auto" w:sz="4" w:space="0"/>
              <w:right w:val="single" w:color="auto" w:sz="4" w:space="0"/>
            </w:tcBorders>
            <w:noWrap/>
          </w:tcPr>
          <w:p w14:paraId="64837AC1">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工程质量</w:t>
            </w:r>
          </w:p>
        </w:tc>
      </w:tr>
      <w:tr w14:paraId="6963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14:paraId="53C31445">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71578DED">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5EA67783">
            <w:pPr>
              <w:autoSpaceDN w:val="0"/>
              <w:spacing w:line="360" w:lineRule="auto"/>
              <w:rPr>
                <w:rFonts w:ascii="仿宋" w:hAnsi="仿宋" w:eastAsia="仿宋" w:cs="Times New Roman"/>
                <w:color w:val="auto"/>
                <w:kern w:val="0"/>
                <w:sz w:val="22"/>
                <w:highlight w:val="none"/>
              </w:rPr>
            </w:pPr>
          </w:p>
        </w:tc>
        <w:tc>
          <w:tcPr>
            <w:tcW w:w="1608" w:type="dxa"/>
            <w:tcBorders>
              <w:top w:val="single" w:color="auto" w:sz="4" w:space="0"/>
              <w:left w:val="single" w:color="auto" w:sz="4" w:space="0"/>
              <w:bottom w:val="single" w:color="auto" w:sz="4" w:space="0"/>
              <w:right w:val="single" w:color="auto" w:sz="4" w:space="0"/>
            </w:tcBorders>
            <w:noWrap/>
          </w:tcPr>
          <w:p w14:paraId="0BB9BDC5">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27A97100">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08E17405">
            <w:pPr>
              <w:autoSpaceDN w:val="0"/>
              <w:spacing w:line="360" w:lineRule="auto"/>
              <w:rPr>
                <w:rFonts w:ascii="仿宋" w:hAnsi="仿宋" w:eastAsia="仿宋" w:cs="Times New Roman"/>
                <w:color w:val="auto"/>
                <w:kern w:val="0"/>
                <w:sz w:val="22"/>
                <w:highlight w:val="none"/>
              </w:rPr>
            </w:pPr>
          </w:p>
        </w:tc>
      </w:tr>
      <w:tr w14:paraId="564D2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14:paraId="71784341">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1BCE4B95">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68B3EC23">
            <w:pPr>
              <w:autoSpaceDN w:val="0"/>
              <w:spacing w:line="360" w:lineRule="auto"/>
              <w:rPr>
                <w:rFonts w:ascii="仿宋" w:hAnsi="仿宋" w:eastAsia="仿宋" w:cs="Times New Roman"/>
                <w:color w:val="auto"/>
                <w:kern w:val="0"/>
                <w:sz w:val="22"/>
                <w:highlight w:val="none"/>
              </w:rPr>
            </w:pPr>
          </w:p>
        </w:tc>
        <w:tc>
          <w:tcPr>
            <w:tcW w:w="1608" w:type="dxa"/>
            <w:tcBorders>
              <w:top w:val="single" w:color="auto" w:sz="4" w:space="0"/>
              <w:left w:val="single" w:color="auto" w:sz="4" w:space="0"/>
              <w:bottom w:val="single" w:color="auto" w:sz="4" w:space="0"/>
              <w:right w:val="single" w:color="auto" w:sz="4" w:space="0"/>
            </w:tcBorders>
            <w:noWrap/>
          </w:tcPr>
          <w:p w14:paraId="1701906E">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3529296F">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620C6B79">
            <w:pPr>
              <w:autoSpaceDN w:val="0"/>
              <w:spacing w:line="360" w:lineRule="auto"/>
              <w:rPr>
                <w:rFonts w:ascii="仿宋" w:hAnsi="仿宋" w:eastAsia="仿宋" w:cs="Times New Roman"/>
                <w:color w:val="auto"/>
                <w:kern w:val="0"/>
                <w:sz w:val="22"/>
                <w:highlight w:val="none"/>
              </w:rPr>
            </w:pPr>
          </w:p>
        </w:tc>
      </w:tr>
      <w:tr w14:paraId="12D9A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14:paraId="71276A84">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26F0B98F">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3EB8C291">
            <w:pPr>
              <w:autoSpaceDN w:val="0"/>
              <w:spacing w:line="360" w:lineRule="auto"/>
              <w:rPr>
                <w:rFonts w:ascii="仿宋" w:hAnsi="仿宋" w:eastAsia="仿宋" w:cs="Times New Roman"/>
                <w:color w:val="auto"/>
                <w:kern w:val="0"/>
                <w:sz w:val="22"/>
                <w:highlight w:val="none"/>
              </w:rPr>
            </w:pPr>
          </w:p>
        </w:tc>
        <w:tc>
          <w:tcPr>
            <w:tcW w:w="1608" w:type="dxa"/>
            <w:tcBorders>
              <w:top w:val="single" w:color="auto" w:sz="4" w:space="0"/>
              <w:left w:val="single" w:color="auto" w:sz="4" w:space="0"/>
              <w:bottom w:val="single" w:color="auto" w:sz="4" w:space="0"/>
              <w:right w:val="single" w:color="auto" w:sz="4" w:space="0"/>
            </w:tcBorders>
            <w:noWrap/>
          </w:tcPr>
          <w:p w14:paraId="1A1B4E0E">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2269FB17">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0DCB5B4E">
            <w:pPr>
              <w:autoSpaceDN w:val="0"/>
              <w:spacing w:line="360" w:lineRule="auto"/>
              <w:rPr>
                <w:rFonts w:ascii="仿宋" w:hAnsi="仿宋" w:eastAsia="仿宋" w:cs="Times New Roman"/>
                <w:color w:val="auto"/>
                <w:kern w:val="0"/>
                <w:sz w:val="22"/>
                <w:highlight w:val="none"/>
              </w:rPr>
            </w:pPr>
          </w:p>
        </w:tc>
      </w:tr>
    </w:tbl>
    <w:p w14:paraId="6FDBB1C7">
      <w:pPr>
        <w:autoSpaceDN w:val="0"/>
        <w:spacing w:line="360" w:lineRule="auto"/>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备注：后附项目经理注册证书、B证、职称证等</w:t>
      </w:r>
    </w:p>
    <w:p w14:paraId="6B555A9E">
      <w:pPr>
        <w:autoSpaceDN w:val="0"/>
        <w:spacing w:line="360" w:lineRule="auto"/>
        <w:jc w:val="left"/>
        <w:rPr>
          <w:rFonts w:ascii="仿宋" w:hAnsi="仿宋" w:eastAsia="仿宋" w:cs="Times New Roman"/>
          <w:b/>
          <w:bCs/>
          <w:color w:val="auto"/>
          <w:kern w:val="0"/>
          <w:sz w:val="22"/>
          <w:highlight w:val="none"/>
        </w:rPr>
      </w:pPr>
      <w:r>
        <w:rPr>
          <w:rFonts w:hint="eastAsia" w:ascii="仿宋" w:hAnsi="仿宋" w:eastAsia="仿宋" w:cs="Times New Roman"/>
          <w:color w:val="auto"/>
          <w:sz w:val="22"/>
          <w:highlight w:val="none"/>
        </w:rPr>
        <w:br w:type="page"/>
      </w:r>
      <w:r>
        <w:rPr>
          <w:rFonts w:hint="eastAsia" w:ascii="仿宋" w:hAnsi="仿宋" w:eastAsia="仿宋" w:cs="Times New Roman"/>
          <w:b/>
          <w:bCs/>
          <w:color w:val="auto"/>
          <w:sz w:val="22"/>
          <w:highlight w:val="none"/>
        </w:rPr>
        <w:t>附表五、</w:t>
      </w:r>
      <w:r>
        <w:rPr>
          <w:rFonts w:hint="eastAsia" w:ascii="仿宋" w:hAnsi="仿宋" w:eastAsia="仿宋" w:cs="Times New Roman"/>
          <w:b/>
          <w:bCs/>
          <w:color w:val="auto"/>
          <w:kern w:val="0"/>
          <w:sz w:val="22"/>
          <w:highlight w:val="none"/>
        </w:rPr>
        <w:t>技术负责人简历表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14:paraId="3C2EF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14:paraId="27BF0C30">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姓名</w:t>
            </w:r>
          </w:p>
        </w:tc>
        <w:tc>
          <w:tcPr>
            <w:tcW w:w="1480" w:type="dxa"/>
            <w:tcBorders>
              <w:top w:val="single" w:color="auto" w:sz="4" w:space="0"/>
              <w:left w:val="single" w:color="auto" w:sz="4" w:space="0"/>
              <w:bottom w:val="single" w:color="auto" w:sz="4" w:space="0"/>
              <w:right w:val="single" w:color="auto" w:sz="4" w:space="0"/>
            </w:tcBorders>
            <w:noWrap/>
          </w:tcPr>
          <w:p w14:paraId="08BAE82C">
            <w:pPr>
              <w:autoSpaceDN w:val="0"/>
              <w:spacing w:line="360" w:lineRule="auto"/>
              <w:jc w:val="center"/>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6072DA66">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性别</w:t>
            </w:r>
          </w:p>
        </w:tc>
        <w:tc>
          <w:tcPr>
            <w:tcW w:w="1608" w:type="dxa"/>
            <w:tcBorders>
              <w:top w:val="single" w:color="auto" w:sz="4" w:space="0"/>
              <w:left w:val="single" w:color="auto" w:sz="4" w:space="0"/>
              <w:bottom w:val="single" w:color="auto" w:sz="4" w:space="0"/>
              <w:right w:val="single" w:color="auto" w:sz="4" w:space="0"/>
            </w:tcBorders>
            <w:noWrap/>
          </w:tcPr>
          <w:p w14:paraId="15322C76">
            <w:pPr>
              <w:autoSpaceDN w:val="0"/>
              <w:spacing w:line="360" w:lineRule="auto"/>
              <w:jc w:val="center"/>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49D89325">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年龄</w:t>
            </w:r>
          </w:p>
        </w:tc>
        <w:tc>
          <w:tcPr>
            <w:tcW w:w="1481" w:type="dxa"/>
            <w:tcBorders>
              <w:top w:val="single" w:color="auto" w:sz="4" w:space="0"/>
              <w:left w:val="single" w:color="auto" w:sz="4" w:space="0"/>
              <w:bottom w:val="single" w:color="auto" w:sz="4" w:space="0"/>
              <w:right w:val="single" w:color="auto" w:sz="4" w:space="0"/>
            </w:tcBorders>
            <w:noWrap/>
          </w:tcPr>
          <w:p w14:paraId="7CB5ED87">
            <w:pPr>
              <w:autoSpaceDN w:val="0"/>
              <w:spacing w:line="360" w:lineRule="auto"/>
              <w:jc w:val="center"/>
              <w:rPr>
                <w:rFonts w:ascii="仿宋" w:hAnsi="仿宋" w:eastAsia="仿宋" w:cs="Times New Roman"/>
                <w:color w:val="auto"/>
                <w:kern w:val="0"/>
                <w:sz w:val="22"/>
                <w:highlight w:val="none"/>
              </w:rPr>
            </w:pPr>
          </w:p>
        </w:tc>
      </w:tr>
      <w:tr w14:paraId="41842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14:paraId="024C21FC">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职务</w:t>
            </w:r>
          </w:p>
        </w:tc>
        <w:tc>
          <w:tcPr>
            <w:tcW w:w="1480" w:type="dxa"/>
            <w:tcBorders>
              <w:top w:val="single" w:color="auto" w:sz="4" w:space="0"/>
              <w:left w:val="single" w:color="auto" w:sz="4" w:space="0"/>
              <w:bottom w:val="single" w:color="auto" w:sz="4" w:space="0"/>
              <w:right w:val="single" w:color="auto" w:sz="4" w:space="0"/>
            </w:tcBorders>
            <w:noWrap/>
          </w:tcPr>
          <w:p w14:paraId="2B137062">
            <w:pPr>
              <w:autoSpaceDN w:val="0"/>
              <w:spacing w:line="360" w:lineRule="auto"/>
              <w:jc w:val="center"/>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6987CECE">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职称</w:t>
            </w:r>
          </w:p>
        </w:tc>
        <w:tc>
          <w:tcPr>
            <w:tcW w:w="1608" w:type="dxa"/>
            <w:tcBorders>
              <w:top w:val="single" w:color="auto" w:sz="4" w:space="0"/>
              <w:left w:val="single" w:color="auto" w:sz="4" w:space="0"/>
              <w:bottom w:val="single" w:color="auto" w:sz="4" w:space="0"/>
              <w:right w:val="single" w:color="auto" w:sz="4" w:space="0"/>
            </w:tcBorders>
            <w:noWrap/>
          </w:tcPr>
          <w:p w14:paraId="237BC5DC">
            <w:pPr>
              <w:autoSpaceDN w:val="0"/>
              <w:spacing w:line="360" w:lineRule="auto"/>
              <w:jc w:val="center"/>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235714B0">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学历</w:t>
            </w:r>
          </w:p>
        </w:tc>
        <w:tc>
          <w:tcPr>
            <w:tcW w:w="1481" w:type="dxa"/>
            <w:tcBorders>
              <w:top w:val="single" w:color="auto" w:sz="4" w:space="0"/>
              <w:left w:val="single" w:color="auto" w:sz="4" w:space="0"/>
              <w:bottom w:val="single" w:color="auto" w:sz="4" w:space="0"/>
              <w:right w:val="single" w:color="auto" w:sz="4" w:space="0"/>
            </w:tcBorders>
            <w:noWrap/>
          </w:tcPr>
          <w:p w14:paraId="1EA872D4">
            <w:pPr>
              <w:autoSpaceDN w:val="0"/>
              <w:spacing w:line="360" w:lineRule="auto"/>
              <w:jc w:val="center"/>
              <w:rPr>
                <w:rFonts w:ascii="仿宋" w:hAnsi="仿宋" w:eastAsia="仿宋" w:cs="Times New Roman"/>
                <w:color w:val="auto"/>
                <w:kern w:val="0"/>
                <w:sz w:val="22"/>
                <w:highlight w:val="none"/>
              </w:rPr>
            </w:pPr>
          </w:p>
        </w:tc>
      </w:tr>
      <w:tr w14:paraId="580B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14:paraId="4C016418">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参加工作时间</w:t>
            </w:r>
          </w:p>
        </w:tc>
        <w:tc>
          <w:tcPr>
            <w:tcW w:w="1480" w:type="dxa"/>
            <w:tcBorders>
              <w:top w:val="single" w:color="auto" w:sz="4" w:space="0"/>
              <w:left w:val="single" w:color="auto" w:sz="4" w:space="0"/>
              <w:bottom w:val="single" w:color="auto" w:sz="4" w:space="0"/>
              <w:right w:val="single" w:color="auto" w:sz="4" w:space="0"/>
            </w:tcBorders>
            <w:noWrap/>
          </w:tcPr>
          <w:p w14:paraId="3B6F1E67">
            <w:pPr>
              <w:autoSpaceDN w:val="0"/>
              <w:spacing w:line="360" w:lineRule="auto"/>
              <w:jc w:val="center"/>
              <w:rPr>
                <w:rFonts w:ascii="仿宋" w:hAnsi="仿宋" w:eastAsia="仿宋" w:cs="Times New Roman"/>
                <w:color w:val="auto"/>
                <w:kern w:val="0"/>
                <w:sz w:val="22"/>
                <w:highlight w:val="none"/>
              </w:rPr>
            </w:pPr>
          </w:p>
        </w:tc>
        <w:tc>
          <w:tcPr>
            <w:tcW w:w="3089" w:type="dxa"/>
            <w:gridSpan w:val="2"/>
            <w:tcBorders>
              <w:top w:val="single" w:color="auto" w:sz="4" w:space="0"/>
              <w:left w:val="single" w:color="auto" w:sz="4" w:space="0"/>
              <w:bottom w:val="single" w:color="auto" w:sz="4" w:space="0"/>
              <w:right w:val="single" w:color="auto" w:sz="4" w:space="0"/>
            </w:tcBorders>
            <w:noWrap/>
          </w:tcPr>
          <w:p w14:paraId="05D3FDA1">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从事技术负责人年限</w:t>
            </w:r>
          </w:p>
        </w:tc>
        <w:tc>
          <w:tcPr>
            <w:tcW w:w="1481" w:type="dxa"/>
            <w:tcBorders>
              <w:top w:val="single" w:color="auto" w:sz="4" w:space="0"/>
              <w:left w:val="single" w:color="auto" w:sz="4" w:space="0"/>
              <w:bottom w:val="single" w:color="auto" w:sz="4" w:space="0"/>
              <w:right w:val="single" w:color="auto" w:sz="4" w:space="0"/>
            </w:tcBorders>
            <w:noWrap/>
          </w:tcPr>
          <w:p w14:paraId="0A66F119">
            <w:pPr>
              <w:autoSpaceDN w:val="0"/>
              <w:spacing w:line="360" w:lineRule="auto"/>
              <w:jc w:val="center"/>
              <w:rPr>
                <w:rFonts w:ascii="仿宋" w:hAnsi="仿宋" w:eastAsia="仿宋" w:cs="Times New Roman"/>
                <w:color w:val="auto"/>
                <w:kern w:val="0"/>
                <w:sz w:val="22"/>
                <w:highlight w:val="none"/>
              </w:rPr>
            </w:pPr>
          </w:p>
        </w:tc>
      </w:tr>
      <w:tr w14:paraId="06408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14:paraId="0BBF83D1">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资格证书名称及编号</w:t>
            </w:r>
          </w:p>
        </w:tc>
        <w:tc>
          <w:tcPr>
            <w:tcW w:w="6050" w:type="dxa"/>
            <w:gridSpan w:val="4"/>
            <w:tcBorders>
              <w:top w:val="single" w:color="auto" w:sz="4" w:space="0"/>
              <w:left w:val="single" w:color="auto" w:sz="4" w:space="0"/>
              <w:bottom w:val="single" w:color="auto" w:sz="4" w:space="0"/>
              <w:right w:val="single" w:color="auto" w:sz="4" w:space="0"/>
            </w:tcBorders>
            <w:noWrap/>
          </w:tcPr>
          <w:p w14:paraId="0F96C7CD">
            <w:pPr>
              <w:autoSpaceDN w:val="0"/>
              <w:spacing w:line="360" w:lineRule="auto"/>
              <w:jc w:val="center"/>
              <w:rPr>
                <w:rFonts w:ascii="仿宋" w:hAnsi="仿宋" w:eastAsia="仿宋" w:cs="Times New Roman"/>
                <w:color w:val="auto"/>
                <w:kern w:val="0"/>
                <w:sz w:val="22"/>
                <w:highlight w:val="none"/>
              </w:rPr>
            </w:pPr>
          </w:p>
        </w:tc>
      </w:tr>
      <w:tr w14:paraId="0663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tcBorders>
              <w:top w:val="single" w:color="auto" w:sz="4" w:space="0"/>
              <w:left w:val="single" w:color="auto" w:sz="4" w:space="0"/>
              <w:bottom w:val="single" w:color="auto" w:sz="4" w:space="0"/>
              <w:right w:val="single" w:color="auto" w:sz="4" w:space="0"/>
            </w:tcBorders>
            <w:noWrap/>
          </w:tcPr>
          <w:p w14:paraId="77DAC2A3">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在建和已完工程项目情况</w:t>
            </w:r>
          </w:p>
        </w:tc>
      </w:tr>
      <w:tr w14:paraId="13A4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14:paraId="6C960F58">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建设单位</w:t>
            </w:r>
          </w:p>
        </w:tc>
        <w:tc>
          <w:tcPr>
            <w:tcW w:w="1480" w:type="dxa"/>
            <w:tcBorders>
              <w:top w:val="single" w:color="auto" w:sz="4" w:space="0"/>
              <w:left w:val="single" w:color="auto" w:sz="4" w:space="0"/>
              <w:bottom w:val="single" w:color="auto" w:sz="4" w:space="0"/>
              <w:right w:val="single" w:color="auto" w:sz="4" w:space="0"/>
            </w:tcBorders>
            <w:noWrap/>
          </w:tcPr>
          <w:p w14:paraId="091C06D4">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项目名称</w:t>
            </w:r>
          </w:p>
        </w:tc>
        <w:tc>
          <w:tcPr>
            <w:tcW w:w="1480" w:type="dxa"/>
            <w:tcBorders>
              <w:top w:val="single" w:color="auto" w:sz="4" w:space="0"/>
              <w:left w:val="single" w:color="auto" w:sz="4" w:space="0"/>
              <w:bottom w:val="single" w:color="auto" w:sz="4" w:space="0"/>
              <w:right w:val="single" w:color="auto" w:sz="4" w:space="0"/>
            </w:tcBorders>
            <w:noWrap/>
          </w:tcPr>
          <w:p w14:paraId="3E8F210D">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建设规模</w:t>
            </w:r>
          </w:p>
        </w:tc>
        <w:tc>
          <w:tcPr>
            <w:tcW w:w="1608" w:type="dxa"/>
            <w:tcBorders>
              <w:top w:val="single" w:color="auto" w:sz="4" w:space="0"/>
              <w:left w:val="single" w:color="auto" w:sz="4" w:space="0"/>
              <w:bottom w:val="single" w:color="auto" w:sz="4" w:space="0"/>
              <w:right w:val="single" w:color="auto" w:sz="4" w:space="0"/>
            </w:tcBorders>
            <w:noWrap/>
          </w:tcPr>
          <w:p w14:paraId="18F1A4BC">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开、竣工日期</w:t>
            </w:r>
          </w:p>
        </w:tc>
        <w:tc>
          <w:tcPr>
            <w:tcW w:w="1481" w:type="dxa"/>
            <w:tcBorders>
              <w:top w:val="single" w:color="auto" w:sz="4" w:space="0"/>
              <w:left w:val="single" w:color="auto" w:sz="4" w:space="0"/>
              <w:bottom w:val="single" w:color="auto" w:sz="4" w:space="0"/>
              <w:right w:val="single" w:color="auto" w:sz="4" w:space="0"/>
            </w:tcBorders>
            <w:noWrap/>
          </w:tcPr>
          <w:p w14:paraId="51D1AE6B">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在建或已完</w:t>
            </w:r>
          </w:p>
        </w:tc>
        <w:tc>
          <w:tcPr>
            <w:tcW w:w="1481" w:type="dxa"/>
            <w:tcBorders>
              <w:top w:val="single" w:color="auto" w:sz="4" w:space="0"/>
              <w:left w:val="single" w:color="auto" w:sz="4" w:space="0"/>
              <w:bottom w:val="single" w:color="auto" w:sz="4" w:space="0"/>
              <w:right w:val="single" w:color="auto" w:sz="4" w:space="0"/>
            </w:tcBorders>
            <w:noWrap/>
          </w:tcPr>
          <w:p w14:paraId="38207310">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工程质量</w:t>
            </w:r>
          </w:p>
        </w:tc>
      </w:tr>
      <w:tr w14:paraId="7E3E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14:paraId="7CF382FE">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3A59E332">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01068FBF">
            <w:pPr>
              <w:autoSpaceDN w:val="0"/>
              <w:spacing w:line="360" w:lineRule="auto"/>
              <w:rPr>
                <w:rFonts w:ascii="仿宋" w:hAnsi="仿宋" w:eastAsia="仿宋" w:cs="Times New Roman"/>
                <w:color w:val="auto"/>
                <w:kern w:val="0"/>
                <w:sz w:val="22"/>
                <w:highlight w:val="none"/>
              </w:rPr>
            </w:pPr>
          </w:p>
        </w:tc>
        <w:tc>
          <w:tcPr>
            <w:tcW w:w="1608" w:type="dxa"/>
            <w:tcBorders>
              <w:top w:val="single" w:color="auto" w:sz="4" w:space="0"/>
              <w:left w:val="single" w:color="auto" w:sz="4" w:space="0"/>
              <w:bottom w:val="single" w:color="auto" w:sz="4" w:space="0"/>
              <w:right w:val="single" w:color="auto" w:sz="4" w:space="0"/>
            </w:tcBorders>
            <w:noWrap/>
          </w:tcPr>
          <w:p w14:paraId="634289D6">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240CD15B">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41475BF2">
            <w:pPr>
              <w:autoSpaceDN w:val="0"/>
              <w:spacing w:line="360" w:lineRule="auto"/>
              <w:rPr>
                <w:rFonts w:ascii="仿宋" w:hAnsi="仿宋" w:eastAsia="仿宋" w:cs="Times New Roman"/>
                <w:color w:val="auto"/>
                <w:kern w:val="0"/>
                <w:sz w:val="22"/>
                <w:highlight w:val="none"/>
              </w:rPr>
            </w:pPr>
          </w:p>
        </w:tc>
      </w:tr>
      <w:tr w14:paraId="39683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14:paraId="149D5EAC">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2D6F2662">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410CE542">
            <w:pPr>
              <w:autoSpaceDN w:val="0"/>
              <w:spacing w:line="360" w:lineRule="auto"/>
              <w:rPr>
                <w:rFonts w:ascii="仿宋" w:hAnsi="仿宋" w:eastAsia="仿宋" w:cs="Times New Roman"/>
                <w:color w:val="auto"/>
                <w:kern w:val="0"/>
                <w:sz w:val="22"/>
                <w:highlight w:val="none"/>
              </w:rPr>
            </w:pPr>
          </w:p>
        </w:tc>
        <w:tc>
          <w:tcPr>
            <w:tcW w:w="1608" w:type="dxa"/>
            <w:tcBorders>
              <w:top w:val="single" w:color="auto" w:sz="4" w:space="0"/>
              <w:left w:val="single" w:color="auto" w:sz="4" w:space="0"/>
              <w:bottom w:val="single" w:color="auto" w:sz="4" w:space="0"/>
              <w:right w:val="single" w:color="auto" w:sz="4" w:space="0"/>
            </w:tcBorders>
            <w:noWrap/>
          </w:tcPr>
          <w:p w14:paraId="0484F769">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3B66B22F">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7EB1767D">
            <w:pPr>
              <w:autoSpaceDN w:val="0"/>
              <w:spacing w:line="360" w:lineRule="auto"/>
              <w:rPr>
                <w:rFonts w:ascii="仿宋" w:hAnsi="仿宋" w:eastAsia="仿宋" w:cs="Times New Roman"/>
                <w:color w:val="auto"/>
                <w:kern w:val="0"/>
                <w:sz w:val="22"/>
                <w:highlight w:val="none"/>
              </w:rPr>
            </w:pPr>
          </w:p>
        </w:tc>
      </w:tr>
      <w:tr w14:paraId="62DE4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14:paraId="053225EC">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1F39D80A">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799287C1">
            <w:pPr>
              <w:autoSpaceDN w:val="0"/>
              <w:spacing w:line="360" w:lineRule="auto"/>
              <w:rPr>
                <w:rFonts w:ascii="仿宋" w:hAnsi="仿宋" w:eastAsia="仿宋" w:cs="Times New Roman"/>
                <w:color w:val="auto"/>
                <w:kern w:val="0"/>
                <w:sz w:val="22"/>
                <w:highlight w:val="none"/>
              </w:rPr>
            </w:pPr>
          </w:p>
        </w:tc>
        <w:tc>
          <w:tcPr>
            <w:tcW w:w="1608" w:type="dxa"/>
            <w:tcBorders>
              <w:top w:val="single" w:color="auto" w:sz="4" w:space="0"/>
              <w:left w:val="single" w:color="auto" w:sz="4" w:space="0"/>
              <w:bottom w:val="single" w:color="auto" w:sz="4" w:space="0"/>
              <w:right w:val="single" w:color="auto" w:sz="4" w:space="0"/>
            </w:tcBorders>
            <w:noWrap/>
          </w:tcPr>
          <w:p w14:paraId="488C0EDA">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02DD8959">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28E13BEE">
            <w:pPr>
              <w:autoSpaceDN w:val="0"/>
              <w:spacing w:line="360" w:lineRule="auto"/>
              <w:rPr>
                <w:rFonts w:ascii="仿宋" w:hAnsi="仿宋" w:eastAsia="仿宋" w:cs="Times New Roman"/>
                <w:color w:val="auto"/>
                <w:kern w:val="0"/>
                <w:sz w:val="22"/>
                <w:highlight w:val="none"/>
              </w:rPr>
            </w:pPr>
          </w:p>
        </w:tc>
      </w:tr>
    </w:tbl>
    <w:p w14:paraId="22DF4709">
      <w:pPr>
        <w:autoSpaceDN w:val="0"/>
        <w:spacing w:line="360" w:lineRule="auto"/>
        <w:rPr>
          <w:rFonts w:ascii="仿宋" w:hAnsi="仿宋" w:eastAsia="仿宋" w:cs="Times New Roman"/>
          <w:b/>
          <w:bCs/>
          <w:color w:val="auto"/>
          <w:kern w:val="0"/>
          <w:sz w:val="22"/>
          <w:highlight w:val="none"/>
        </w:rPr>
      </w:pPr>
    </w:p>
    <w:p w14:paraId="64EAD412">
      <w:pPr>
        <w:tabs>
          <w:tab w:val="left" w:pos="720"/>
        </w:tabs>
        <w:autoSpaceDN w:val="0"/>
        <w:spacing w:line="440" w:lineRule="exact"/>
        <w:jc w:val="left"/>
        <w:rPr>
          <w:rFonts w:ascii="仿宋" w:hAnsi="仿宋" w:eastAsia="仿宋" w:cs="Times New Roman"/>
          <w:b/>
          <w:bCs/>
          <w:color w:val="auto"/>
          <w:sz w:val="22"/>
          <w:highlight w:val="none"/>
        </w:rPr>
      </w:pPr>
      <w:bookmarkStart w:id="120" w:name="_Toc179632819"/>
      <w:bookmarkStart w:id="121" w:name="_Toc144974867"/>
      <w:bookmarkStart w:id="122" w:name="_Toc152042588"/>
      <w:bookmarkStart w:id="123" w:name="_Toc152045799"/>
      <w:bookmarkStart w:id="124" w:name="_Toc246392157"/>
      <w:r>
        <w:rPr>
          <w:rFonts w:hint="eastAsia" w:ascii="仿宋" w:hAnsi="仿宋" w:eastAsia="仿宋" w:cs="Times New Roman"/>
          <w:b/>
          <w:bCs/>
          <w:color w:val="auto"/>
          <w:sz w:val="22"/>
          <w:highlight w:val="none"/>
        </w:rPr>
        <w:t>附表</w:t>
      </w:r>
      <w:r>
        <w:rPr>
          <w:rFonts w:hint="eastAsia" w:ascii="仿宋" w:hAnsi="仿宋" w:eastAsia="仿宋" w:cs="Times New Roman"/>
          <w:b/>
          <w:bCs/>
          <w:color w:val="auto"/>
          <w:sz w:val="22"/>
          <w:highlight w:val="none"/>
          <w:lang w:val="en-US" w:eastAsia="zh-CN"/>
        </w:rPr>
        <w:t>六</w:t>
      </w:r>
      <w:r>
        <w:rPr>
          <w:rFonts w:hint="eastAsia" w:ascii="仿宋" w:hAnsi="仿宋" w:eastAsia="仿宋" w:cs="Times New Roman"/>
          <w:b/>
          <w:bCs/>
          <w:color w:val="auto"/>
          <w:sz w:val="22"/>
          <w:highlight w:val="none"/>
        </w:rPr>
        <w:t>：劳动力计划表</w:t>
      </w:r>
      <w:bookmarkEnd w:id="120"/>
      <w:bookmarkEnd w:id="121"/>
      <w:bookmarkEnd w:id="122"/>
      <w:bookmarkEnd w:id="123"/>
      <w:bookmarkEnd w:id="124"/>
    </w:p>
    <w:p w14:paraId="47EE661B">
      <w:pPr>
        <w:autoSpaceDN w:val="0"/>
        <w:spacing w:line="440" w:lineRule="exact"/>
        <w:ind w:right="410"/>
        <w:jc w:val="right"/>
        <w:rPr>
          <w:rFonts w:ascii="仿宋" w:hAnsi="仿宋" w:eastAsia="仿宋" w:cs="Times New Roman"/>
          <w:color w:val="auto"/>
          <w:sz w:val="22"/>
          <w:highlight w:val="none"/>
        </w:rPr>
      </w:pPr>
      <w:r>
        <w:rPr>
          <w:rFonts w:hint="eastAsia" w:ascii="仿宋" w:hAnsi="仿宋" w:eastAsia="仿宋" w:cs="Times New Roman"/>
          <w:color w:val="auto"/>
          <w:sz w:val="22"/>
          <w:highlight w:val="none"/>
        </w:rPr>
        <w:t>单位：人</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872"/>
        <w:gridCol w:w="1133"/>
        <w:gridCol w:w="1133"/>
        <w:gridCol w:w="875"/>
        <w:gridCol w:w="1133"/>
        <w:gridCol w:w="1133"/>
        <w:gridCol w:w="1343"/>
      </w:tblGrid>
      <w:tr w14:paraId="19795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vAlign w:val="center"/>
          </w:tcPr>
          <w:p w14:paraId="6C086847">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工种</w:t>
            </w:r>
          </w:p>
        </w:tc>
        <w:tc>
          <w:tcPr>
            <w:tcW w:w="7622" w:type="dxa"/>
            <w:gridSpan w:val="7"/>
            <w:tcBorders>
              <w:top w:val="single" w:color="auto" w:sz="4" w:space="0"/>
              <w:left w:val="single" w:color="auto" w:sz="4" w:space="0"/>
              <w:bottom w:val="single" w:color="auto" w:sz="4" w:space="0"/>
              <w:right w:val="single" w:color="auto" w:sz="4" w:space="0"/>
            </w:tcBorders>
            <w:noWrap/>
            <w:vAlign w:val="center"/>
          </w:tcPr>
          <w:p w14:paraId="2E2F07F4">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按工程施工阶段投入劳动力情况</w:t>
            </w:r>
          </w:p>
        </w:tc>
      </w:tr>
      <w:tr w14:paraId="1B042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vAlign w:val="center"/>
          </w:tcPr>
          <w:p w14:paraId="6C4CB100">
            <w:pPr>
              <w:autoSpaceDN w:val="0"/>
              <w:spacing w:line="440" w:lineRule="exact"/>
              <w:jc w:val="center"/>
              <w:rPr>
                <w:rFonts w:ascii="仿宋" w:hAnsi="仿宋" w:eastAsia="仿宋" w:cs="Times New Roman"/>
                <w:color w:val="auto"/>
                <w:sz w:val="22"/>
                <w:highlight w:val="none"/>
              </w:rPr>
            </w:pPr>
          </w:p>
        </w:tc>
        <w:tc>
          <w:tcPr>
            <w:tcW w:w="872" w:type="dxa"/>
            <w:tcBorders>
              <w:top w:val="single" w:color="auto" w:sz="4" w:space="0"/>
              <w:left w:val="single" w:color="auto" w:sz="4" w:space="0"/>
              <w:bottom w:val="single" w:color="auto" w:sz="4" w:space="0"/>
              <w:right w:val="single" w:color="auto" w:sz="4" w:space="0"/>
            </w:tcBorders>
            <w:noWrap/>
            <w:vAlign w:val="center"/>
          </w:tcPr>
          <w:p w14:paraId="381A567D">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2CEE7377">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143FDC5C">
            <w:pPr>
              <w:autoSpaceDN w:val="0"/>
              <w:spacing w:line="440" w:lineRule="exact"/>
              <w:jc w:val="center"/>
              <w:rPr>
                <w:rFonts w:ascii="仿宋" w:hAnsi="仿宋" w:eastAsia="仿宋" w:cs="Times New Roman"/>
                <w:color w:val="auto"/>
                <w:sz w:val="22"/>
                <w:highlight w:val="none"/>
              </w:rPr>
            </w:pPr>
          </w:p>
        </w:tc>
        <w:tc>
          <w:tcPr>
            <w:tcW w:w="875" w:type="dxa"/>
            <w:tcBorders>
              <w:top w:val="single" w:color="auto" w:sz="4" w:space="0"/>
              <w:left w:val="single" w:color="auto" w:sz="4" w:space="0"/>
              <w:bottom w:val="single" w:color="auto" w:sz="4" w:space="0"/>
              <w:right w:val="single" w:color="auto" w:sz="4" w:space="0"/>
            </w:tcBorders>
            <w:noWrap/>
            <w:vAlign w:val="center"/>
          </w:tcPr>
          <w:p w14:paraId="2B37CFDF">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023B0097">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1BD03BD9">
            <w:pPr>
              <w:autoSpaceDN w:val="0"/>
              <w:spacing w:line="440" w:lineRule="exact"/>
              <w:jc w:val="center"/>
              <w:rPr>
                <w:rFonts w:ascii="仿宋" w:hAnsi="仿宋" w:eastAsia="仿宋" w:cs="Times New Roman"/>
                <w:color w:val="auto"/>
                <w:sz w:val="22"/>
                <w:highlight w:val="none"/>
              </w:rPr>
            </w:pPr>
          </w:p>
        </w:tc>
        <w:tc>
          <w:tcPr>
            <w:tcW w:w="1343" w:type="dxa"/>
            <w:tcBorders>
              <w:top w:val="single" w:color="auto" w:sz="4" w:space="0"/>
              <w:left w:val="single" w:color="auto" w:sz="4" w:space="0"/>
              <w:bottom w:val="single" w:color="auto" w:sz="4" w:space="0"/>
              <w:right w:val="single" w:color="auto" w:sz="4" w:space="0"/>
            </w:tcBorders>
            <w:noWrap/>
            <w:vAlign w:val="center"/>
          </w:tcPr>
          <w:p w14:paraId="67DB281C">
            <w:pPr>
              <w:autoSpaceDN w:val="0"/>
              <w:spacing w:line="440" w:lineRule="exact"/>
              <w:jc w:val="center"/>
              <w:rPr>
                <w:rFonts w:ascii="仿宋" w:hAnsi="仿宋" w:eastAsia="仿宋" w:cs="Times New Roman"/>
                <w:color w:val="auto"/>
                <w:sz w:val="22"/>
                <w:highlight w:val="none"/>
              </w:rPr>
            </w:pPr>
          </w:p>
        </w:tc>
      </w:tr>
      <w:tr w14:paraId="3E4B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vAlign w:val="center"/>
          </w:tcPr>
          <w:p w14:paraId="31D0DDAB">
            <w:pPr>
              <w:autoSpaceDN w:val="0"/>
              <w:spacing w:line="440" w:lineRule="exact"/>
              <w:jc w:val="center"/>
              <w:rPr>
                <w:rFonts w:ascii="仿宋" w:hAnsi="仿宋" w:eastAsia="仿宋" w:cs="Times New Roman"/>
                <w:color w:val="auto"/>
                <w:sz w:val="22"/>
                <w:highlight w:val="none"/>
              </w:rPr>
            </w:pPr>
          </w:p>
        </w:tc>
        <w:tc>
          <w:tcPr>
            <w:tcW w:w="872" w:type="dxa"/>
            <w:tcBorders>
              <w:top w:val="single" w:color="auto" w:sz="4" w:space="0"/>
              <w:left w:val="single" w:color="auto" w:sz="4" w:space="0"/>
              <w:bottom w:val="single" w:color="auto" w:sz="4" w:space="0"/>
              <w:right w:val="single" w:color="auto" w:sz="4" w:space="0"/>
            </w:tcBorders>
            <w:noWrap/>
            <w:vAlign w:val="center"/>
          </w:tcPr>
          <w:p w14:paraId="164A2F7D">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01CEBC71">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37B0AF2F">
            <w:pPr>
              <w:autoSpaceDN w:val="0"/>
              <w:spacing w:line="440" w:lineRule="exact"/>
              <w:jc w:val="center"/>
              <w:rPr>
                <w:rFonts w:ascii="仿宋" w:hAnsi="仿宋" w:eastAsia="仿宋" w:cs="Times New Roman"/>
                <w:color w:val="auto"/>
                <w:sz w:val="22"/>
                <w:highlight w:val="none"/>
              </w:rPr>
            </w:pPr>
          </w:p>
        </w:tc>
        <w:tc>
          <w:tcPr>
            <w:tcW w:w="875" w:type="dxa"/>
            <w:tcBorders>
              <w:top w:val="single" w:color="auto" w:sz="4" w:space="0"/>
              <w:left w:val="single" w:color="auto" w:sz="4" w:space="0"/>
              <w:bottom w:val="single" w:color="auto" w:sz="4" w:space="0"/>
              <w:right w:val="single" w:color="auto" w:sz="4" w:space="0"/>
            </w:tcBorders>
            <w:noWrap/>
            <w:vAlign w:val="center"/>
          </w:tcPr>
          <w:p w14:paraId="16FD49FF">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7BD477C5">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5C33A584">
            <w:pPr>
              <w:autoSpaceDN w:val="0"/>
              <w:spacing w:line="440" w:lineRule="exact"/>
              <w:jc w:val="center"/>
              <w:rPr>
                <w:rFonts w:ascii="仿宋" w:hAnsi="仿宋" w:eastAsia="仿宋" w:cs="Times New Roman"/>
                <w:color w:val="auto"/>
                <w:sz w:val="22"/>
                <w:highlight w:val="none"/>
              </w:rPr>
            </w:pPr>
          </w:p>
        </w:tc>
        <w:tc>
          <w:tcPr>
            <w:tcW w:w="1343" w:type="dxa"/>
            <w:tcBorders>
              <w:top w:val="single" w:color="auto" w:sz="4" w:space="0"/>
              <w:left w:val="single" w:color="auto" w:sz="4" w:space="0"/>
              <w:bottom w:val="single" w:color="auto" w:sz="4" w:space="0"/>
              <w:right w:val="single" w:color="auto" w:sz="4" w:space="0"/>
            </w:tcBorders>
            <w:noWrap/>
            <w:vAlign w:val="center"/>
          </w:tcPr>
          <w:p w14:paraId="6E3BB3BB">
            <w:pPr>
              <w:autoSpaceDN w:val="0"/>
              <w:spacing w:line="440" w:lineRule="exact"/>
              <w:jc w:val="center"/>
              <w:rPr>
                <w:rFonts w:ascii="仿宋" w:hAnsi="仿宋" w:eastAsia="仿宋" w:cs="Times New Roman"/>
                <w:color w:val="auto"/>
                <w:sz w:val="22"/>
                <w:highlight w:val="none"/>
              </w:rPr>
            </w:pPr>
          </w:p>
        </w:tc>
      </w:tr>
      <w:tr w14:paraId="43A9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tcPr>
          <w:p w14:paraId="4D8BF6B2">
            <w:pPr>
              <w:autoSpaceDN w:val="0"/>
              <w:spacing w:line="440" w:lineRule="exact"/>
              <w:jc w:val="center"/>
              <w:rPr>
                <w:rFonts w:ascii="仿宋" w:hAnsi="仿宋" w:eastAsia="仿宋" w:cs="Times New Roman"/>
                <w:color w:val="auto"/>
                <w:sz w:val="22"/>
                <w:highlight w:val="none"/>
              </w:rPr>
            </w:pPr>
          </w:p>
        </w:tc>
        <w:tc>
          <w:tcPr>
            <w:tcW w:w="872" w:type="dxa"/>
            <w:tcBorders>
              <w:top w:val="single" w:color="auto" w:sz="4" w:space="0"/>
              <w:left w:val="single" w:color="auto" w:sz="4" w:space="0"/>
              <w:bottom w:val="single" w:color="auto" w:sz="4" w:space="0"/>
              <w:right w:val="single" w:color="auto" w:sz="4" w:space="0"/>
            </w:tcBorders>
            <w:noWrap/>
          </w:tcPr>
          <w:p w14:paraId="1629F957">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14:paraId="1D2098F1">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14:paraId="36A01AD0">
            <w:pPr>
              <w:autoSpaceDN w:val="0"/>
              <w:spacing w:line="440" w:lineRule="exact"/>
              <w:jc w:val="center"/>
              <w:rPr>
                <w:rFonts w:ascii="仿宋" w:hAnsi="仿宋" w:eastAsia="仿宋" w:cs="Times New Roman"/>
                <w:color w:val="auto"/>
                <w:sz w:val="22"/>
                <w:highlight w:val="none"/>
              </w:rPr>
            </w:pPr>
          </w:p>
        </w:tc>
        <w:tc>
          <w:tcPr>
            <w:tcW w:w="875" w:type="dxa"/>
            <w:tcBorders>
              <w:top w:val="single" w:color="auto" w:sz="4" w:space="0"/>
              <w:left w:val="single" w:color="auto" w:sz="4" w:space="0"/>
              <w:bottom w:val="single" w:color="auto" w:sz="4" w:space="0"/>
              <w:right w:val="single" w:color="auto" w:sz="4" w:space="0"/>
            </w:tcBorders>
            <w:noWrap/>
          </w:tcPr>
          <w:p w14:paraId="4A6515A2">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14:paraId="26DD35F4">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14:paraId="4F1C0EC0">
            <w:pPr>
              <w:autoSpaceDN w:val="0"/>
              <w:spacing w:line="440" w:lineRule="exact"/>
              <w:jc w:val="center"/>
              <w:rPr>
                <w:rFonts w:ascii="仿宋" w:hAnsi="仿宋" w:eastAsia="仿宋" w:cs="Times New Roman"/>
                <w:color w:val="auto"/>
                <w:sz w:val="22"/>
                <w:highlight w:val="none"/>
              </w:rPr>
            </w:pPr>
          </w:p>
        </w:tc>
        <w:tc>
          <w:tcPr>
            <w:tcW w:w="1343" w:type="dxa"/>
            <w:tcBorders>
              <w:top w:val="single" w:color="auto" w:sz="4" w:space="0"/>
              <w:left w:val="single" w:color="auto" w:sz="4" w:space="0"/>
              <w:bottom w:val="single" w:color="auto" w:sz="4" w:space="0"/>
              <w:right w:val="single" w:color="auto" w:sz="4" w:space="0"/>
            </w:tcBorders>
            <w:noWrap/>
          </w:tcPr>
          <w:p w14:paraId="39CABE3E">
            <w:pPr>
              <w:autoSpaceDN w:val="0"/>
              <w:spacing w:line="440" w:lineRule="exact"/>
              <w:jc w:val="center"/>
              <w:rPr>
                <w:rFonts w:ascii="仿宋" w:hAnsi="仿宋" w:eastAsia="仿宋" w:cs="Times New Roman"/>
                <w:color w:val="auto"/>
                <w:sz w:val="22"/>
                <w:highlight w:val="none"/>
              </w:rPr>
            </w:pPr>
          </w:p>
        </w:tc>
      </w:tr>
      <w:tr w14:paraId="2C8A9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tcPr>
          <w:p w14:paraId="39446596">
            <w:pPr>
              <w:autoSpaceDN w:val="0"/>
              <w:spacing w:line="440" w:lineRule="exact"/>
              <w:jc w:val="center"/>
              <w:rPr>
                <w:rFonts w:ascii="仿宋" w:hAnsi="仿宋" w:eastAsia="仿宋" w:cs="Times New Roman"/>
                <w:color w:val="auto"/>
                <w:sz w:val="22"/>
                <w:highlight w:val="none"/>
              </w:rPr>
            </w:pPr>
          </w:p>
        </w:tc>
        <w:tc>
          <w:tcPr>
            <w:tcW w:w="872" w:type="dxa"/>
            <w:tcBorders>
              <w:top w:val="single" w:color="auto" w:sz="4" w:space="0"/>
              <w:left w:val="single" w:color="auto" w:sz="4" w:space="0"/>
              <w:bottom w:val="single" w:color="auto" w:sz="4" w:space="0"/>
              <w:right w:val="single" w:color="auto" w:sz="4" w:space="0"/>
            </w:tcBorders>
            <w:noWrap/>
          </w:tcPr>
          <w:p w14:paraId="5D222621">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14:paraId="4FC21453">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14:paraId="2690600E">
            <w:pPr>
              <w:autoSpaceDN w:val="0"/>
              <w:spacing w:line="440" w:lineRule="exact"/>
              <w:jc w:val="center"/>
              <w:rPr>
                <w:rFonts w:ascii="仿宋" w:hAnsi="仿宋" w:eastAsia="仿宋" w:cs="Times New Roman"/>
                <w:color w:val="auto"/>
                <w:sz w:val="22"/>
                <w:highlight w:val="none"/>
              </w:rPr>
            </w:pPr>
          </w:p>
        </w:tc>
        <w:tc>
          <w:tcPr>
            <w:tcW w:w="875" w:type="dxa"/>
            <w:tcBorders>
              <w:top w:val="single" w:color="auto" w:sz="4" w:space="0"/>
              <w:left w:val="single" w:color="auto" w:sz="4" w:space="0"/>
              <w:bottom w:val="single" w:color="auto" w:sz="4" w:space="0"/>
              <w:right w:val="single" w:color="auto" w:sz="4" w:space="0"/>
            </w:tcBorders>
            <w:noWrap/>
          </w:tcPr>
          <w:p w14:paraId="0B13175F">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14:paraId="476A4DA5">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14:paraId="44955987">
            <w:pPr>
              <w:autoSpaceDN w:val="0"/>
              <w:spacing w:line="440" w:lineRule="exact"/>
              <w:jc w:val="center"/>
              <w:rPr>
                <w:rFonts w:ascii="仿宋" w:hAnsi="仿宋" w:eastAsia="仿宋" w:cs="Times New Roman"/>
                <w:color w:val="auto"/>
                <w:sz w:val="22"/>
                <w:highlight w:val="none"/>
              </w:rPr>
            </w:pPr>
          </w:p>
        </w:tc>
        <w:tc>
          <w:tcPr>
            <w:tcW w:w="1343" w:type="dxa"/>
            <w:tcBorders>
              <w:top w:val="single" w:color="auto" w:sz="4" w:space="0"/>
              <w:left w:val="single" w:color="auto" w:sz="4" w:space="0"/>
              <w:bottom w:val="single" w:color="auto" w:sz="4" w:space="0"/>
              <w:right w:val="single" w:color="auto" w:sz="4" w:space="0"/>
            </w:tcBorders>
            <w:noWrap/>
          </w:tcPr>
          <w:p w14:paraId="5DF1D5DD">
            <w:pPr>
              <w:autoSpaceDN w:val="0"/>
              <w:spacing w:line="440" w:lineRule="exact"/>
              <w:jc w:val="center"/>
              <w:rPr>
                <w:rFonts w:ascii="仿宋" w:hAnsi="仿宋" w:eastAsia="仿宋" w:cs="Times New Roman"/>
                <w:color w:val="auto"/>
                <w:sz w:val="22"/>
                <w:highlight w:val="none"/>
              </w:rPr>
            </w:pPr>
          </w:p>
        </w:tc>
      </w:tr>
      <w:tr w14:paraId="3F13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tcPr>
          <w:p w14:paraId="7A0583FC">
            <w:pPr>
              <w:autoSpaceDN w:val="0"/>
              <w:spacing w:line="440" w:lineRule="exact"/>
              <w:jc w:val="center"/>
              <w:rPr>
                <w:rFonts w:ascii="仿宋" w:hAnsi="仿宋" w:eastAsia="仿宋" w:cs="Times New Roman"/>
                <w:color w:val="auto"/>
                <w:sz w:val="22"/>
                <w:highlight w:val="none"/>
              </w:rPr>
            </w:pPr>
          </w:p>
        </w:tc>
        <w:tc>
          <w:tcPr>
            <w:tcW w:w="872" w:type="dxa"/>
            <w:tcBorders>
              <w:top w:val="single" w:color="auto" w:sz="4" w:space="0"/>
              <w:left w:val="single" w:color="auto" w:sz="4" w:space="0"/>
              <w:bottom w:val="single" w:color="auto" w:sz="4" w:space="0"/>
              <w:right w:val="single" w:color="auto" w:sz="4" w:space="0"/>
            </w:tcBorders>
            <w:noWrap/>
          </w:tcPr>
          <w:p w14:paraId="70D214E1">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14:paraId="59DB8998">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14:paraId="7AF7335F">
            <w:pPr>
              <w:autoSpaceDN w:val="0"/>
              <w:spacing w:line="440" w:lineRule="exact"/>
              <w:jc w:val="center"/>
              <w:rPr>
                <w:rFonts w:ascii="仿宋" w:hAnsi="仿宋" w:eastAsia="仿宋" w:cs="Times New Roman"/>
                <w:color w:val="auto"/>
                <w:sz w:val="22"/>
                <w:highlight w:val="none"/>
              </w:rPr>
            </w:pPr>
          </w:p>
        </w:tc>
        <w:tc>
          <w:tcPr>
            <w:tcW w:w="875" w:type="dxa"/>
            <w:tcBorders>
              <w:top w:val="single" w:color="auto" w:sz="4" w:space="0"/>
              <w:left w:val="single" w:color="auto" w:sz="4" w:space="0"/>
              <w:bottom w:val="single" w:color="auto" w:sz="4" w:space="0"/>
              <w:right w:val="single" w:color="auto" w:sz="4" w:space="0"/>
            </w:tcBorders>
            <w:noWrap/>
          </w:tcPr>
          <w:p w14:paraId="33D33693">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14:paraId="2E572F8C">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14:paraId="5BF70449">
            <w:pPr>
              <w:autoSpaceDN w:val="0"/>
              <w:spacing w:line="440" w:lineRule="exact"/>
              <w:jc w:val="center"/>
              <w:rPr>
                <w:rFonts w:ascii="仿宋" w:hAnsi="仿宋" w:eastAsia="仿宋" w:cs="Times New Roman"/>
                <w:color w:val="auto"/>
                <w:sz w:val="22"/>
                <w:highlight w:val="none"/>
              </w:rPr>
            </w:pPr>
          </w:p>
        </w:tc>
        <w:tc>
          <w:tcPr>
            <w:tcW w:w="1343" w:type="dxa"/>
            <w:tcBorders>
              <w:top w:val="single" w:color="auto" w:sz="4" w:space="0"/>
              <w:left w:val="single" w:color="auto" w:sz="4" w:space="0"/>
              <w:bottom w:val="single" w:color="auto" w:sz="4" w:space="0"/>
              <w:right w:val="single" w:color="auto" w:sz="4" w:space="0"/>
            </w:tcBorders>
            <w:noWrap/>
          </w:tcPr>
          <w:p w14:paraId="41E6EE87">
            <w:pPr>
              <w:autoSpaceDN w:val="0"/>
              <w:spacing w:line="440" w:lineRule="exact"/>
              <w:jc w:val="center"/>
              <w:rPr>
                <w:rFonts w:ascii="仿宋" w:hAnsi="仿宋" w:eastAsia="仿宋" w:cs="Times New Roman"/>
                <w:color w:val="auto"/>
                <w:sz w:val="22"/>
                <w:highlight w:val="none"/>
              </w:rPr>
            </w:pPr>
          </w:p>
        </w:tc>
      </w:tr>
    </w:tbl>
    <w:p w14:paraId="3B6B452B">
      <w:pPr>
        <w:topLinePunct/>
        <w:autoSpaceDN w:val="0"/>
        <w:spacing w:line="440" w:lineRule="exact"/>
        <w:jc w:val="center"/>
        <w:rPr>
          <w:rFonts w:ascii="仿宋" w:hAnsi="仿宋" w:eastAsia="仿宋" w:cs="Times New Roman"/>
          <w:color w:val="auto"/>
          <w:sz w:val="22"/>
          <w:highlight w:val="none"/>
        </w:rPr>
      </w:pPr>
    </w:p>
    <w:p w14:paraId="2112A27A">
      <w:pPr>
        <w:tabs>
          <w:tab w:val="left" w:pos="720"/>
        </w:tabs>
        <w:autoSpaceDN w:val="0"/>
        <w:spacing w:line="440" w:lineRule="exact"/>
        <w:jc w:val="left"/>
        <w:rPr>
          <w:rFonts w:ascii="仿宋" w:hAnsi="仿宋" w:eastAsia="仿宋" w:cs="Times New Roman"/>
          <w:b/>
          <w:bCs/>
          <w:color w:val="auto"/>
          <w:sz w:val="22"/>
          <w:highlight w:val="none"/>
        </w:rPr>
      </w:pPr>
      <w:bookmarkStart w:id="125" w:name="_Toc152042589"/>
      <w:bookmarkStart w:id="126" w:name="_Toc152045800"/>
      <w:bookmarkStart w:id="127" w:name="_Toc179632820"/>
      <w:bookmarkStart w:id="128" w:name="_Toc144974868"/>
      <w:bookmarkStart w:id="129" w:name="_Toc246392158"/>
      <w:r>
        <w:rPr>
          <w:rFonts w:hint="eastAsia" w:ascii="仿宋" w:hAnsi="仿宋" w:eastAsia="仿宋" w:cs="Times New Roman"/>
          <w:b/>
          <w:bCs/>
          <w:color w:val="auto"/>
          <w:sz w:val="22"/>
          <w:highlight w:val="none"/>
        </w:rPr>
        <w:t>附表</w:t>
      </w:r>
      <w:r>
        <w:rPr>
          <w:rFonts w:hint="eastAsia" w:ascii="仿宋" w:hAnsi="仿宋" w:eastAsia="仿宋" w:cs="Times New Roman"/>
          <w:b/>
          <w:bCs/>
          <w:color w:val="auto"/>
          <w:sz w:val="22"/>
          <w:highlight w:val="none"/>
          <w:lang w:val="en-US" w:eastAsia="zh-CN"/>
        </w:rPr>
        <w:t>七</w:t>
      </w:r>
      <w:r>
        <w:rPr>
          <w:rFonts w:hint="eastAsia" w:ascii="仿宋" w:hAnsi="仿宋" w:eastAsia="仿宋" w:cs="Times New Roman"/>
          <w:b/>
          <w:bCs/>
          <w:color w:val="auto"/>
          <w:sz w:val="22"/>
          <w:highlight w:val="none"/>
        </w:rPr>
        <w:t>：计划开、竣工日期和施工进度网络图</w:t>
      </w:r>
      <w:bookmarkEnd w:id="125"/>
      <w:bookmarkEnd w:id="126"/>
      <w:bookmarkEnd w:id="127"/>
      <w:bookmarkEnd w:id="128"/>
      <w:bookmarkEnd w:id="129"/>
    </w:p>
    <w:p w14:paraId="18263962">
      <w:pPr>
        <w:autoSpaceDN w:val="0"/>
        <w:spacing w:line="440" w:lineRule="exact"/>
        <w:rPr>
          <w:rFonts w:ascii="仿宋" w:hAnsi="仿宋" w:eastAsia="仿宋" w:cs="Times New Roman"/>
          <w:color w:val="auto"/>
          <w:sz w:val="22"/>
          <w:highlight w:val="none"/>
        </w:rPr>
      </w:pPr>
    </w:p>
    <w:p w14:paraId="58662C45">
      <w:pPr>
        <w:autoSpaceDN w:val="0"/>
        <w:spacing w:line="440" w:lineRule="exact"/>
        <w:ind w:firstLine="440" w:firstLineChars="200"/>
        <w:rPr>
          <w:rFonts w:ascii="仿宋" w:hAnsi="仿宋" w:eastAsia="仿宋" w:cs="Times New Roman"/>
          <w:color w:val="auto"/>
          <w:sz w:val="22"/>
          <w:highlight w:val="none"/>
        </w:rPr>
      </w:pPr>
      <w:r>
        <w:rPr>
          <w:rFonts w:hint="eastAsia" w:ascii="仿宋" w:hAnsi="仿宋" w:eastAsia="仿宋" w:cs="Times New Roman"/>
          <w:color w:val="auto"/>
          <w:sz w:val="22"/>
          <w:highlight w:val="none"/>
        </w:rPr>
        <w:t>1. 磋商响应供应商应递交施工进度网络图或施工进度表，说明按磋商文件要求的计划工期进行施工的各个关键日期。</w:t>
      </w:r>
    </w:p>
    <w:p w14:paraId="48D42717">
      <w:pPr>
        <w:autoSpaceDN w:val="0"/>
        <w:spacing w:line="440" w:lineRule="exact"/>
        <w:ind w:firstLine="440" w:firstLineChars="200"/>
        <w:rPr>
          <w:rFonts w:ascii="仿宋" w:hAnsi="仿宋" w:eastAsia="仿宋" w:cs="Times New Roman"/>
          <w:color w:val="auto"/>
          <w:sz w:val="22"/>
          <w:highlight w:val="none"/>
        </w:rPr>
      </w:pPr>
      <w:r>
        <w:rPr>
          <w:rFonts w:hint="eastAsia" w:ascii="仿宋" w:hAnsi="仿宋" w:eastAsia="仿宋" w:cs="Times New Roman"/>
          <w:color w:val="auto"/>
          <w:sz w:val="22"/>
          <w:highlight w:val="none"/>
        </w:rPr>
        <w:t>2. 施工进度表可采用网络图（或横道图）表示。</w:t>
      </w:r>
    </w:p>
    <w:p w14:paraId="3EEA819C">
      <w:pPr>
        <w:widowControl/>
        <w:spacing w:line="415" w:lineRule="auto"/>
        <w:jc w:val="left"/>
        <w:rPr>
          <w:rFonts w:ascii="仿宋" w:hAnsi="仿宋" w:eastAsia="仿宋" w:cs="Times New Roman"/>
          <w:b/>
          <w:bCs/>
          <w:color w:val="auto"/>
          <w:kern w:val="0"/>
          <w:sz w:val="22"/>
          <w:highlight w:val="none"/>
        </w:rPr>
        <w:sectPr>
          <w:pgSz w:w="11906" w:h="16838"/>
          <w:pgMar w:top="1440" w:right="1416" w:bottom="1440" w:left="1560" w:header="851" w:footer="1077" w:gutter="0"/>
          <w:cols w:space="720" w:num="1"/>
          <w:docGrid w:linePitch="286" w:charSpace="0"/>
        </w:sectPr>
      </w:pPr>
    </w:p>
    <w:p w14:paraId="281089AC">
      <w:pPr>
        <w:keepNext/>
        <w:keepLines/>
        <w:autoSpaceDN w:val="0"/>
        <w:spacing w:before="260" w:after="260" w:line="415" w:lineRule="auto"/>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2-9. 技术（服务）方案</w:t>
      </w:r>
    </w:p>
    <w:p w14:paraId="2E941AB9">
      <w:pPr>
        <w:autoSpaceDN w:val="0"/>
        <w:spacing w:line="360" w:lineRule="auto"/>
        <w:jc w:val="center"/>
        <w:rPr>
          <w:rFonts w:ascii="仿宋" w:hAnsi="仿宋" w:eastAsia="仿宋" w:cs="Times New Roman"/>
          <w:b/>
          <w:color w:val="auto"/>
          <w:kern w:val="0"/>
          <w:sz w:val="32"/>
          <w:szCs w:val="32"/>
          <w:highlight w:val="none"/>
        </w:rPr>
      </w:pPr>
      <w:r>
        <w:rPr>
          <w:rFonts w:hint="eastAsia" w:ascii="仿宋" w:hAnsi="仿宋" w:eastAsia="仿宋" w:cs="Times New Roman"/>
          <w:b/>
          <w:color w:val="auto"/>
          <w:kern w:val="0"/>
          <w:sz w:val="32"/>
          <w:szCs w:val="32"/>
          <w:highlight w:val="none"/>
        </w:rPr>
        <w:t>技术（服务）方案</w:t>
      </w:r>
    </w:p>
    <w:p w14:paraId="3897FF1A">
      <w:pPr>
        <w:autoSpaceDN w:val="0"/>
        <w:spacing w:line="360" w:lineRule="auto"/>
        <w:rPr>
          <w:rFonts w:ascii="Times New Roman" w:hAnsi="Times New Roman" w:eastAsia="仿宋" w:cs="Times New Roman"/>
          <w:b/>
          <w:color w:val="auto"/>
          <w:sz w:val="24"/>
          <w:szCs w:val="24"/>
          <w:highlight w:val="none"/>
          <w:u w:val="single"/>
        </w:rPr>
      </w:pPr>
      <w:r>
        <w:rPr>
          <w:rFonts w:hint="eastAsia" w:ascii="Times New Roman" w:hAnsi="Times New Roman" w:eastAsia="仿宋" w:cs="Times New Roman"/>
          <w:b/>
          <w:color w:val="auto"/>
          <w:sz w:val="24"/>
          <w:szCs w:val="24"/>
          <w:highlight w:val="none"/>
        </w:rPr>
        <w:t>项目名称：</w:t>
      </w:r>
      <w:r>
        <w:rPr>
          <w:rFonts w:hint="eastAsia" w:ascii="仿宋" w:hAnsi="仿宋" w:eastAsia="仿宋" w:cs="Arial"/>
          <w:b/>
          <w:color w:val="auto"/>
          <w:sz w:val="24"/>
          <w:szCs w:val="24"/>
          <w:highlight w:val="none"/>
          <w:u w:val="single"/>
        </w:rPr>
        <w:t xml:space="preserve">                             </w:t>
      </w:r>
    </w:p>
    <w:p w14:paraId="6EB3DC9C">
      <w:pPr>
        <w:autoSpaceDN w:val="0"/>
        <w:spacing w:line="360" w:lineRule="auto"/>
        <w:rPr>
          <w:rFonts w:ascii="Times New Roman" w:hAnsi="Times New Roman" w:eastAsia="仿宋" w:cs="Times New Roman"/>
          <w:color w:val="auto"/>
          <w:sz w:val="24"/>
          <w:szCs w:val="24"/>
          <w:highlight w:val="none"/>
        </w:rPr>
      </w:pPr>
      <w:r>
        <w:rPr>
          <w:rFonts w:hint="eastAsia" w:ascii="Times New Roman" w:hAnsi="Times New Roman" w:eastAsia="仿宋" w:cs="Times New Roman"/>
          <w:b/>
          <w:color w:val="auto"/>
          <w:sz w:val="24"/>
          <w:szCs w:val="24"/>
          <w:highlight w:val="none"/>
        </w:rPr>
        <w:t>项目编号：</w:t>
      </w:r>
      <w:r>
        <w:rPr>
          <w:rFonts w:hint="eastAsia" w:ascii="仿宋" w:hAnsi="仿宋" w:eastAsia="仿宋" w:cs="Arial"/>
          <w:b/>
          <w:color w:val="auto"/>
          <w:sz w:val="24"/>
          <w:szCs w:val="24"/>
          <w:highlight w:val="none"/>
          <w:u w:val="single"/>
        </w:rPr>
        <w:t xml:space="preserve">                            </w:t>
      </w:r>
    </w:p>
    <w:tbl>
      <w:tblPr>
        <w:tblStyle w:val="61"/>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42C4EA51">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994" w:hRule="atLeast"/>
        </w:trPr>
        <w:tc>
          <w:tcPr>
            <w:tcW w:w="9145" w:type="dxa"/>
            <w:tcBorders>
              <w:top w:val="dotDash" w:color="D9D9D9" w:sz="4" w:space="0"/>
              <w:left w:val="dotDash" w:color="D9D9D9" w:sz="4" w:space="0"/>
              <w:bottom w:val="dotDash" w:color="D9D9D9" w:sz="4" w:space="0"/>
              <w:right w:val="dotDash" w:color="D9D9D9" w:sz="4" w:space="0"/>
            </w:tcBorders>
            <w:noWrap/>
          </w:tcPr>
          <w:p w14:paraId="71E49485">
            <w:pPr>
              <w:autoSpaceDN w:val="0"/>
              <w:spacing w:line="360" w:lineRule="auto"/>
              <w:rPr>
                <w:rFonts w:ascii="Times New Roman" w:hAnsi="Times New Roman" w:eastAsia="仿宋" w:cs="Times New Roman"/>
                <w:color w:val="auto"/>
                <w:sz w:val="24"/>
                <w:szCs w:val="24"/>
                <w:highlight w:val="none"/>
              </w:rPr>
            </w:pPr>
            <w:r>
              <w:rPr>
                <w:rFonts w:hint="eastAsia" w:ascii="仿宋" w:hAnsi="仿宋" w:eastAsia="仿宋" w:cs="Times New Roman"/>
                <w:b/>
                <w:color w:val="auto"/>
                <w:sz w:val="24"/>
                <w:szCs w:val="24"/>
                <w:highlight w:val="none"/>
              </w:rPr>
              <w:t>自行对照评审细则，但不仅限于。</w:t>
            </w:r>
          </w:p>
        </w:tc>
      </w:tr>
    </w:tbl>
    <w:p w14:paraId="57814D8C">
      <w:pPr>
        <w:autoSpaceDN w:val="0"/>
        <w:spacing w:line="360" w:lineRule="auto"/>
        <w:rPr>
          <w:rFonts w:ascii="仿宋" w:hAnsi="仿宋" w:eastAsia="仿宋" w:cs="Times New Roman"/>
          <w:color w:val="auto"/>
          <w:szCs w:val="24"/>
          <w:highlight w:val="none"/>
        </w:rPr>
      </w:pPr>
    </w:p>
    <w:p w14:paraId="422141B7">
      <w:pPr>
        <w:autoSpaceDN w:val="0"/>
        <w:spacing w:line="200" w:lineRule="exact"/>
        <w:ind w:firstLine="301"/>
        <w:rPr>
          <w:rFonts w:ascii="宋体" w:hAnsi="Courier New" w:eastAsia="宋体" w:cs="Times New Roman"/>
          <w:color w:val="auto"/>
          <w:spacing w:val="-4"/>
          <w:kern w:val="0"/>
          <w:sz w:val="18"/>
          <w:szCs w:val="20"/>
          <w:highlight w:val="none"/>
        </w:rPr>
      </w:pPr>
    </w:p>
    <w:p w14:paraId="53CFB338">
      <w:pPr>
        <w:autoSpaceDN w:val="0"/>
        <w:spacing w:line="200" w:lineRule="exact"/>
        <w:ind w:firstLine="301"/>
        <w:rPr>
          <w:rFonts w:ascii="宋体" w:hAnsi="Courier New" w:eastAsia="宋体" w:cs="Times New Roman"/>
          <w:color w:val="auto"/>
          <w:spacing w:val="-4"/>
          <w:kern w:val="0"/>
          <w:sz w:val="18"/>
          <w:szCs w:val="20"/>
          <w:highlight w:val="none"/>
        </w:rPr>
      </w:pPr>
    </w:p>
    <w:p w14:paraId="17E27263">
      <w:pPr>
        <w:autoSpaceDN w:val="0"/>
        <w:spacing w:line="200" w:lineRule="exact"/>
        <w:ind w:firstLine="301"/>
        <w:rPr>
          <w:rFonts w:ascii="宋体" w:hAnsi="Courier New" w:eastAsia="宋体" w:cs="Times New Roman"/>
          <w:color w:val="auto"/>
          <w:spacing w:val="-4"/>
          <w:kern w:val="0"/>
          <w:sz w:val="18"/>
          <w:szCs w:val="20"/>
          <w:highlight w:val="none"/>
        </w:rPr>
      </w:pPr>
    </w:p>
    <w:p w14:paraId="27AB2E4E">
      <w:pPr>
        <w:keepNext/>
        <w:keepLines/>
        <w:autoSpaceDN w:val="0"/>
        <w:spacing w:before="260" w:after="260" w:line="415" w:lineRule="auto"/>
        <w:outlineLvl w:val="2"/>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2-10. 节能、环保产品证明材料</w:t>
      </w:r>
    </w:p>
    <w:p w14:paraId="69787828">
      <w:pPr>
        <w:autoSpaceDN w:val="0"/>
        <w:spacing w:line="360" w:lineRule="auto"/>
        <w:jc w:val="center"/>
        <w:rPr>
          <w:rFonts w:ascii="仿宋" w:hAnsi="仿宋" w:eastAsia="仿宋" w:cs="Times New Roman"/>
          <w:b/>
          <w:color w:val="auto"/>
          <w:sz w:val="32"/>
          <w:szCs w:val="32"/>
          <w:highlight w:val="none"/>
        </w:rPr>
      </w:pPr>
      <w:r>
        <w:rPr>
          <w:rFonts w:hint="eastAsia" w:ascii="仿宋" w:hAnsi="仿宋" w:eastAsia="仿宋" w:cs="Times New Roman"/>
          <w:b/>
          <w:color w:val="auto"/>
          <w:sz w:val="32"/>
          <w:szCs w:val="32"/>
          <w:highlight w:val="none"/>
        </w:rPr>
        <w:t>节能、环保产品证明材料</w:t>
      </w:r>
    </w:p>
    <w:p w14:paraId="00BCAA43">
      <w:pPr>
        <w:autoSpaceDN w:val="0"/>
        <w:spacing w:line="360" w:lineRule="auto"/>
        <w:rPr>
          <w:rFonts w:ascii="仿宋" w:hAnsi="仿宋" w:eastAsia="仿宋" w:cs="Times New Roman"/>
          <w:color w:val="auto"/>
          <w:sz w:val="24"/>
          <w:highlight w:val="none"/>
        </w:rPr>
      </w:pPr>
      <w:r>
        <w:rPr>
          <w:rFonts w:hint="eastAsia" w:ascii="仿宋" w:hAnsi="仿宋" w:eastAsia="仿宋" w:cs="Times New Roman"/>
          <w:color w:val="auto"/>
          <w:sz w:val="24"/>
          <w:highlight w:val="none"/>
        </w:rPr>
        <w:t>项目名称：</w:t>
      </w:r>
      <w:r>
        <w:rPr>
          <w:rFonts w:hint="eastAsia" w:ascii="仿宋" w:hAnsi="仿宋" w:eastAsia="仿宋" w:cs="Times New Roman"/>
          <w:color w:val="auto"/>
          <w:sz w:val="24"/>
          <w:highlight w:val="none"/>
          <w:u w:val="single"/>
        </w:rPr>
        <w:t xml:space="preserve">                                </w:t>
      </w:r>
    </w:p>
    <w:p w14:paraId="3E98D2B6">
      <w:pPr>
        <w:autoSpaceDN w:val="0"/>
        <w:spacing w:line="360" w:lineRule="auto"/>
        <w:rPr>
          <w:rFonts w:ascii="仿宋" w:hAnsi="仿宋" w:eastAsia="仿宋" w:cs="Times New Roman"/>
          <w:color w:val="auto"/>
          <w:kern w:val="0"/>
          <w:sz w:val="24"/>
          <w:highlight w:val="none"/>
          <w:u w:val="single"/>
        </w:rPr>
      </w:pPr>
      <w:r>
        <w:rPr>
          <w:rFonts w:hint="eastAsia" w:ascii="仿宋" w:hAnsi="仿宋" w:eastAsia="仿宋" w:cs="Times New Roman"/>
          <w:color w:val="auto"/>
          <w:sz w:val="24"/>
          <w:highlight w:val="none"/>
        </w:rPr>
        <w:t>项目编号：</w:t>
      </w:r>
      <w:r>
        <w:rPr>
          <w:rFonts w:hint="eastAsia" w:ascii="仿宋" w:hAnsi="仿宋" w:eastAsia="仿宋" w:cs="Times New Roman"/>
          <w:color w:val="auto"/>
          <w:kern w:val="0"/>
          <w:sz w:val="24"/>
          <w:highlight w:val="none"/>
          <w:u w:val="single"/>
        </w:rPr>
        <w:t xml:space="preserve">                                 </w:t>
      </w:r>
    </w:p>
    <w:p w14:paraId="79D20279">
      <w:pPr>
        <w:autoSpaceDN w:val="0"/>
        <w:spacing w:line="360" w:lineRule="auto"/>
        <w:rPr>
          <w:rFonts w:ascii="仿宋" w:hAnsi="仿宋" w:eastAsia="仿宋" w:cs="Times New Roman"/>
          <w:color w:val="auto"/>
          <w:sz w:val="24"/>
          <w:highlight w:val="none"/>
        </w:rPr>
      </w:pPr>
    </w:p>
    <w:p w14:paraId="09409F03">
      <w:pPr>
        <w:autoSpaceDN w:val="0"/>
        <w:spacing w:line="360" w:lineRule="auto"/>
        <w:rPr>
          <w:rFonts w:ascii="仿宋" w:hAnsi="仿宋" w:eastAsia="仿宋" w:cs="Times New Roman"/>
          <w:color w:val="auto"/>
          <w:sz w:val="24"/>
          <w:highlight w:val="none"/>
        </w:rPr>
      </w:pPr>
    </w:p>
    <w:p w14:paraId="0784523B">
      <w:pPr>
        <w:autoSpaceDN w:val="0"/>
        <w:spacing w:line="360" w:lineRule="auto"/>
        <w:rPr>
          <w:rFonts w:ascii="仿宋" w:hAnsi="仿宋" w:eastAsia="仿宋" w:cs="Times New Roman"/>
          <w:color w:val="auto"/>
          <w:sz w:val="24"/>
          <w:highlight w:val="none"/>
        </w:rPr>
      </w:pPr>
    </w:p>
    <w:p w14:paraId="324839E9">
      <w:pPr>
        <w:autoSpaceDN w:val="0"/>
        <w:spacing w:line="360" w:lineRule="auto"/>
        <w:rPr>
          <w:rFonts w:ascii="仿宋" w:hAnsi="仿宋" w:eastAsia="仿宋" w:cs="Times New Roman"/>
          <w:color w:val="auto"/>
          <w:sz w:val="24"/>
          <w:highlight w:val="none"/>
        </w:rPr>
      </w:pPr>
    </w:p>
    <w:p w14:paraId="538C056A">
      <w:pPr>
        <w:autoSpaceDN w:val="0"/>
        <w:spacing w:line="200" w:lineRule="exact"/>
        <w:ind w:firstLine="301"/>
        <w:rPr>
          <w:rFonts w:ascii="宋体" w:hAnsi="Courier New" w:eastAsia="宋体" w:cs="Times New Roman"/>
          <w:color w:val="auto"/>
          <w:spacing w:val="-4"/>
          <w:kern w:val="0"/>
          <w:sz w:val="18"/>
          <w:szCs w:val="20"/>
          <w:highlight w:val="none"/>
        </w:rPr>
      </w:pPr>
    </w:p>
    <w:p w14:paraId="22503AF2">
      <w:pPr>
        <w:autoSpaceDN w:val="0"/>
        <w:spacing w:line="200" w:lineRule="exact"/>
        <w:ind w:firstLine="301"/>
        <w:rPr>
          <w:rFonts w:ascii="宋体" w:hAnsi="Courier New" w:eastAsia="宋体" w:cs="Times New Roman"/>
          <w:color w:val="auto"/>
          <w:spacing w:val="-4"/>
          <w:kern w:val="0"/>
          <w:sz w:val="18"/>
          <w:szCs w:val="20"/>
          <w:highlight w:val="none"/>
        </w:rPr>
      </w:pPr>
    </w:p>
    <w:p w14:paraId="6C6CB3CA">
      <w:pPr>
        <w:autoSpaceDN w:val="0"/>
        <w:spacing w:line="200" w:lineRule="exact"/>
        <w:ind w:firstLine="301"/>
        <w:rPr>
          <w:rFonts w:ascii="宋体" w:hAnsi="Courier New" w:eastAsia="宋体" w:cs="Times New Roman"/>
          <w:color w:val="auto"/>
          <w:spacing w:val="-4"/>
          <w:kern w:val="0"/>
          <w:sz w:val="18"/>
          <w:szCs w:val="20"/>
          <w:highlight w:val="none"/>
        </w:rPr>
      </w:pPr>
    </w:p>
    <w:p w14:paraId="61304F8A">
      <w:pPr>
        <w:autoSpaceDN w:val="0"/>
        <w:spacing w:line="200" w:lineRule="exact"/>
        <w:ind w:firstLine="301"/>
        <w:rPr>
          <w:rFonts w:ascii="宋体" w:hAnsi="Courier New" w:eastAsia="宋体" w:cs="Times New Roman"/>
          <w:color w:val="auto"/>
          <w:spacing w:val="-4"/>
          <w:kern w:val="0"/>
          <w:sz w:val="18"/>
          <w:szCs w:val="20"/>
          <w:highlight w:val="none"/>
        </w:rPr>
      </w:pPr>
    </w:p>
    <w:p w14:paraId="367CA154">
      <w:pPr>
        <w:autoSpaceDN w:val="0"/>
        <w:spacing w:line="200" w:lineRule="exact"/>
        <w:ind w:firstLine="301"/>
        <w:rPr>
          <w:rFonts w:ascii="宋体" w:hAnsi="Courier New" w:eastAsia="宋体" w:cs="Times New Roman"/>
          <w:color w:val="auto"/>
          <w:spacing w:val="-4"/>
          <w:kern w:val="0"/>
          <w:sz w:val="18"/>
          <w:szCs w:val="20"/>
          <w:highlight w:val="none"/>
        </w:rPr>
      </w:pPr>
    </w:p>
    <w:p w14:paraId="57E29FFD">
      <w:pPr>
        <w:autoSpaceDN w:val="0"/>
        <w:spacing w:line="200" w:lineRule="exact"/>
        <w:ind w:firstLine="301"/>
        <w:rPr>
          <w:rFonts w:ascii="宋体" w:hAnsi="Courier New" w:eastAsia="宋体" w:cs="Times New Roman"/>
          <w:color w:val="auto"/>
          <w:spacing w:val="-4"/>
          <w:kern w:val="0"/>
          <w:sz w:val="18"/>
          <w:szCs w:val="20"/>
          <w:highlight w:val="none"/>
        </w:rPr>
      </w:pPr>
    </w:p>
    <w:p w14:paraId="61838AA5">
      <w:pPr>
        <w:autoSpaceDN w:val="0"/>
        <w:spacing w:line="200" w:lineRule="exact"/>
        <w:ind w:firstLine="301"/>
        <w:rPr>
          <w:rFonts w:ascii="宋体" w:hAnsi="Courier New" w:eastAsia="宋体" w:cs="Times New Roman"/>
          <w:color w:val="auto"/>
          <w:spacing w:val="-4"/>
          <w:kern w:val="0"/>
          <w:sz w:val="18"/>
          <w:szCs w:val="20"/>
          <w:highlight w:val="none"/>
        </w:rPr>
      </w:pPr>
    </w:p>
    <w:p w14:paraId="754C18D4">
      <w:pPr>
        <w:autoSpaceDN w:val="0"/>
        <w:spacing w:line="200" w:lineRule="exact"/>
        <w:ind w:firstLine="301"/>
        <w:rPr>
          <w:rFonts w:ascii="宋体" w:hAnsi="Courier New" w:eastAsia="宋体" w:cs="Times New Roman"/>
          <w:color w:val="auto"/>
          <w:spacing w:val="-4"/>
          <w:kern w:val="0"/>
          <w:sz w:val="18"/>
          <w:szCs w:val="20"/>
          <w:highlight w:val="none"/>
        </w:rPr>
      </w:pPr>
    </w:p>
    <w:p w14:paraId="69EBA13D">
      <w:pPr>
        <w:autoSpaceDN w:val="0"/>
        <w:spacing w:line="200" w:lineRule="exact"/>
        <w:ind w:firstLine="301"/>
        <w:rPr>
          <w:rFonts w:ascii="宋体" w:hAnsi="Courier New" w:eastAsia="宋体" w:cs="Times New Roman"/>
          <w:color w:val="auto"/>
          <w:spacing w:val="-4"/>
          <w:kern w:val="0"/>
          <w:sz w:val="18"/>
          <w:szCs w:val="20"/>
          <w:highlight w:val="none"/>
        </w:rPr>
      </w:pPr>
    </w:p>
    <w:p w14:paraId="292223A5">
      <w:pPr>
        <w:autoSpaceDN w:val="0"/>
        <w:spacing w:line="200" w:lineRule="exact"/>
        <w:ind w:firstLine="301"/>
        <w:rPr>
          <w:rFonts w:ascii="宋体" w:hAnsi="Courier New" w:eastAsia="宋体" w:cs="Times New Roman"/>
          <w:color w:val="auto"/>
          <w:spacing w:val="-4"/>
          <w:kern w:val="0"/>
          <w:sz w:val="18"/>
          <w:szCs w:val="20"/>
          <w:highlight w:val="none"/>
        </w:rPr>
      </w:pPr>
    </w:p>
    <w:p w14:paraId="26D2F91C">
      <w:pPr>
        <w:autoSpaceDN w:val="0"/>
        <w:spacing w:line="200" w:lineRule="exact"/>
        <w:ind w:firstLine="301"/>
        <w:rPr>
          <w:rFonts w:ascii="宋体" w:hAnsi="Courier New" w:eastAsia="宋体" w:cs="Times New Roman"/>
          <w:color w:val="auto"/>
          <w:spacing w:val="-4"/>
          <w:kern w:val="0"/>
          <w:sz w:val="18"/>
          <w:szCs w:val="20"/>
          <w:highlight w:val="none"/>
        </w:rPr>
      </w:pPr>
    </w:p>
    <w:p w14:paraId="027FBC01">
      <w:pPr>
        <w:autoSpaceDN w:val="0"/>
        <w:spacing w:line="200" w:lineRule="exact"/>
        <w:ind w:firstLine="301"/>
        <w:rPr>
          <w:rFonts w:ascii="宋体" w:hAnsi="Courier New" w:eastAsia="宋体" w:cs="Times New Roman"/>
          <w:color w:val="auto"/>
          <w:spacing w:val="-4"/>
          <w:kern w:val="0"/>
          <w:sz w:val="18"/>
          <w:szCs w:val="20"/>
          <w:highlight w:val="none"/>
        </w:rPr>
      </w:pPr>
    </w:p>
    <w:p w14:paraId="7436A8F1">
      <w:pPr>
        <w:autoSpaceDN w:val="0"/>
        <w:spacing w:line="200" w:lineRule="exact"/>
        <w:ind w:firstLine="301"/>
        <w:rPr>
          <w:rFonts w:ascii="宋体" w:hAnsi="Courier New" w:eastAsia="宋体" w:cs="Times New Roman"/>
          <w:color w:val="auto"/>
          <w:spacing w:val="-4"/>
          <w:kern w:val="0"/>
          <w:sz w:val="18"/>
          <w:szCs w:val="20"/>
          <w:highlight w:val="none"/>
        </w:rPr>
      </w:pPr>
    </w:p>
    <w:p w14:paraId="3D4D8D97">
      <w:pPr>
        <w:autoSpaceDN w:val="0"/>
        <w:spacing w:line="200" w:lineRule="exact"/>
        <w:ind w:firstLine="301"/>
        <w:rPr>
          <w:rFonts w:ascii="宋体" w:hAnsi="Courier New" w:eastAsia="宋体" w:cs="Times New Roman"/>
          <w:color w:val="auto"/>
          <w:spacing w:val="-4"/>
          <w:kern w:val="0"/>
          <w:sz w:val="18"/>
          <w:szCs w:val="20"/>
          <w:highlight w:val="none"/>
        </w:rPr>
      </w:pPr>
    </w:p>
    <w:p w14:paraId="450B1E0F">
      <w:pPr>
        <w:autoSpaceDN w:val="0"/>
        <w:snapToGrid w:val="0"/>
        <w:spacing w:line="360" w:lineRule="auto"/>
        <w:ind w:firstLine="1920" w:firstLineChars="800"/>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磋商响应供应商名称（盖章）：</w:t>
      </w:r>
      <w:r>
        <w:rPr>
          <w:rFonts w:hint="eastAsia" w:ascii="仿宋" w:hAnsi="仿宋" w:eastAsia="仿宋" w:cs="Times New Roman"/>
          <w:color w:val="auto"/>
          <w:w w:val="90"/>
          <w:kern w:val="0"/>
          <w:sz w:val="22"/>
          <w:highlight w:val="none"/>
        </w:rPr>
        <w:t>_______________________________</w:t>
      </w:r>
    </w:p>
    <w:p w14:paraId="35BF935C">
      <w:pPr>
        <w:autoSpaceDN w:val="0"/>
        <w:spacing w:line="360" w:lineRule="auto"/>
        <w:ind w:firstLine="1920" w:firstLineChars="800"/>
        <w:rPr>
          <w:rFonts w:ascii="仿宋" w:hAnsi="仿宋" w:eastAsia="仿宋" w:cs="Times New Roman"/>
          <w:color w:val="auto"/>
          <w:sz w:val="22"/>
          <w:highlight w:val="none"/>
        </w:rPr>
      </w:pPr>
      <w:r>
        <w:rPr>
          <w:rFonts w:hint="eastAsia" w:ascii="仿宋" w:hAnsi="仿宋" w:eastAsia="仿宋" w:cs="Times New Roman"/>
          <w:color w:val="auto"/>
          <w:sz w:val="24"/>
          <w:szCs w:val="28"/>
          <w:highlight w:val="none"/>
        </w:rPr>
        <w:t>日期：</w:t>
      </w:r>
      <w:r>
        <w:rPr>
          <w:rFonts w:hint="eastAsia" w:ascii="仿宋" w:hAnsi="仿宋" w:eastAsia="仿宋" w:cs="Times New Roman"/>
          <w:color w:val="auto"/>
          <w:w w:val="90"/>
          <w:kern w:val="0"/>
          <w:sz w:val="22"/>
          <w:highlight w:val="none"/>
        </w:rPr>
        <w:t>_______________________________</w:t>
      </w:r>
    </w:p>
    <w:p w14:paraId="1A899716">
      <w:pPr>
        <w:keepNext/>
        <w:keepLines/>
        <w:autoSpaceDN w:val="0"/>
        <w:snapToGrid w:val="0"/>
        <w:spacing w:line="412" w:lineRule="auto"/>
        <w:outlineLvl w:val="2"/>
        <w:rPr>
          <w:rFonts w:ascii="仿宋" w:hAnsi="仿宋" w:eastAsia="仿宋" w:cs="Times New Roman"/>
          <w:b/>
          <w:bCs/>
          <w:color w:val="auto"/>
          <w:kern w:val="0"/>
          <w:sz w:val="28"/>
          <w:szCs w:val="28"/>
          <w:highlight w:val="none"/>
        </w:rPr>
      </w:pPr>
      <w:r>
        <w:rPr>
          <w:rFonts w:hint="eastAsia" w:ascii="仿宋" w:hAnsi="仿宋" w:eastAsia="仿宋" w:cs="Times New Roman"/>
          <w:color w:val="auto"/>
          <w:kern w:val="0"/>
          <w:sz w:val="22"/>
          <w:highlight w:val="none"/>
        </w:rPr>
        <w:br w:type="page"/>
      </w:r>
      <w:bookmarkEnd w:id="109"/>
      <w:r>
        <w:rPr>
          <w:rFonts w:hint="eastAsia" w:ascii="仿宋" w:hAnsi="仿宋" w:eastAsia="仿宋" w:cs="Times New Roman"/>
          <w:b/>
          <w:bCs/>
          <w:color w:val="auto"/>
          <w:kern w:val="0"/>
          <w:sz w:val="28"/>
          <w:szCs w:val="28"/>
          <w:highlight w:val="none"/>
        </w:rPr>
        <w:t>2-11.主要材料推荐品牌（如有）</w:t>
      </w:r>
    </w:p>
    <w:p w14:paraId="16CE1E35">
      <w:pPr>
        <w:autoSpaceDN w:val="0"/>
        <w:adjustRightInd w:val="0"/>
        <w:snapToGrid w:val="0"/>
        <w:spacing w:line="324" w:lineRule="auto"/>
        <w:jc w:val="center"/>
        <w:rPr>
          <w:rFonts w:ascii="仿宋" w:hAnsi="仿宋" w:eastAsia="仿宋" w:cs="Times New Roman"/>
          <w:b/>
          <w:color w:val="auto"/>
          <w:sz w:val="32"/>
          <w:szCs w:val="32"/>
          <w:highlight w:val="none"/>
        </w:rPr>
      </w:pPr>
      <w:r>
        <w:rPr>
          <w:rFonts w:hint="eastAsia" w:ascii="仿宋" w:hAnsi="仿宋" w:eastAsia="仿宋" w:cs="Times New Roman"/>
          <w:b/>
          <w:color w:val="auto"/>
          <w:sz w:val="32"/>
          <w:szCs w:val="32"/>
          <w:highlight w:val="none"/>
        </w:rPr>
        <w:t>主要材料推荐品牌</w:t>
      </w:r>
    </w:p>
    <w:p w14:paraId="58733A6E">
      <w:pPr>
        <w:autoSpaceDN w:val="0"/>
        <w:spacing w:line="324" w:lineRule="auto"/>
        <w:rPr>
          <w:rFonts w:ascii="仿宋" w:hAnsi="仿宋" w:eastAsia="仿宋" w:cs="Times New Roman"/>
          <w:color w:val="auto"/>
          <w:sz w:val="24"/>
          <w:highlight w:val="none"/>
        </w:rPr>
      </w:pPr>
      <w:r>
        <w:rPr>
          <w:rFonts w:hint="eastAsia" w:ascii="仿宋" w:hAnsi="仿宋" w:eastAsia="仿宋" w:cs="Times New Roman"/>
          <w:color w:val="auto"/>
          <w:sz w:val="24"/>
          <w:highlight w:val="none"/>
        </w:rPr>
        <w:t>项目名称：</w:t>
      </w:r>
      <w:r>
        <w:rPr>
          <w:rFonts w:hint="eastAsia" w:ascii="仿宋" w:hAnsi="仿宋" w:eastAsia="仿宋" w:cs="Times New Roman"/>
          <w:color w:val="auto"/>
          <w:sz w:val="24"/>
          <w:highlight w:val="none"/>
          <w:u w:val="single"/>
        </w:rPr>
        <w:t xml:space="preserve">                                </w:t>
      </w:r>
    </w:p>
    <w:p w14:paraId="0E1FA9EE">
      <w:pPr>
        <w:autoSpaceDN w:val="0"/>
        <w:spacing w:line="324" w:lineRule="auto"/>
        <w:rPr>
          <w:rFonts w:ascii="仿宋" w:hAnsi="仿宋" w:eastAsia="仿宋" w:cs="Times New Roman"/>
          <w:color w:val="auto"/>
          <w:kern w:val="0"/>
          <w:sz w:val="24"/>
          <w:highlight w:val="none"/>
          <w:u w:val="single"/>
        </w:rPr>
      </w:pPr>
      <w:r>
        <w:rPr>
          <w:rFonts w:hint="eastAsia" w:ascii="仿宋" w:hAnsi="仿宋" w:eastAsia="仿宋" w:cs="Times New Roman"/>
          <w:color w:val="auto"/>
          <w:sz w:val="24"/>
          <w:highlight w:val="none"/>
        </w:rPr>
        <w:t>项目编号：</w:t>
      </w:r>
      <w:r>
        <w:rPr>
          <w:rFonts w:hint="eastAsia" w:ascii="仿宋" w:hAnsi="仿宋" w:eastAsia="仿宋" w:cs="Times New Roman"/>
          <w:color w:val="auto"/>
          <w:kern w:val="0"/>
          <w:sz w:val="24"/>
          <w:highlight w:val="none"/>
          <w:u w:val="single"/>
        </w:rPr>
        <w:t xml:space="preserve">                                </w:t>
      </w:r>
    </w:p>
    <w:tbl>
      <w:tblPr>
        <w:tblStyle w:val="61"/>
        <w:tblW w:w="8789" w:type="dxa"/>
        <w:jc w:val="center"/>
        <w:tblLayout w:type="fixed"/>
        <w:tblCellMar>
          <w:top w:w="0" w:type="dxa"/>
          <w:left w:w="10" w:type="dxa"/>
          <w:bottom w:w="0" w:type="dxa"/>
          <w:right w:w="10" w:type="dxa"/>
        </w:tblCellMar>
      </w:tblPr>
      <w:tblGrid>
        <w:gridCol w:w="846"/>
        <w:gridCol w:w="1984"/>
        <w:gridCol w:w="3124"/>
        <w:gridCol w:w="2835"/>
      </w:tblGrid>
      <w:tr w14:paraId="2FC9A8A1">
        <w:tblPrEx>
          <w:tblCellMar>
            <w:top w:w="0" w:type="dxa"/>
            <w:left w:w="10" w:type="dxa"/>
            <w:bottom w:w="0" w:type="dxa"/>
            <w:right w:w="10" w:type="dxa"/>
          </w:tblCellMar>
        </w:tblPrEx>
        <w:trPr>
          <w:trHeight w:val="625"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20B76">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6EF76AE">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材料名称</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79C589F">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推荐品牌或制造商</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1189CB6">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4A567C57">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6B8E9">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F9866B8">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AF0E5E0">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4976CEA">
            <w:pPr>
              <w:snapToGrid w:val="0"/>
              <w:jc w:val="center"/>
              <w:rPr>
                <w:rFonts w:ascii="仿宋" w:hAnsi="仿宋" w:eastAsia="仿宋" w:cs="仿宋"/>
                <w:color w:val="auto"/>
                <w:szCs w:val="21"/>
                <w:highlight w:val="none"/>
              </w:rPr>
            </w:pPr>
          </w:p>
        </w:tc>
      </w:tr>
      <w:tr w14:paraId="0BC56D03">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40439">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DF3CFB3">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DE3578F">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4539EB1">
            <w:pPr>
              <w:snapToGrid w:val="0"/>
              <w:jc w:val="center"/>
              <w:rPr>
                <w:rFonts w:ascii="仿宋" w:hAnsi="仿宋" w:eastAsia="仿宋" w:cs="仿宋"/>
                <w:color w:val="auto"/>
                <w:szCs w:val="21"/>
                <w:highlight w:val="none"/>
              </w:rPr>
            </w:pPr>
          </w:p>
        </w:tc>
      </w:tr>
      <w:tr w14:paraId="6C5F6B86">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9835D">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295FE95">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340B635">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EFAFC55">
            <w:pPr>
              <w:snapToGrid w:val="0"/>
              <w:jc w:val="center"/>
              <w:rPr>
                <w:rFonts w:ascii="仿宋" w:hAnsi="仿宋" w:eastAsia="仿宋" w:cs="仿宋"/>
                <w:color w:val="auto"/>
                <w:szCs w:val="21"/>
                <w:highlight w:val="none"/>
              </w:rPr>
            </w:pPr>
          </w:p>
        </w:tc>
      </w:tr>
      <w:tr w14:paraId="2BEED73C">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73637">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CF31C7F">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DDC2C85">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A8FDED0">
            <w:pPr>
              <w:snapToGrid w:val="0"/>
              <w:jc w:val="center"/>
              <w:rPr>
                <w:rFonts w:ascii="仿宋" w:hAnsi="仿宋" w:eastAsia="仿宋" w:cs="仿宋"/>
                <w:color w:val="auto"/>
                <w:szCs w:val="21"/>
                <w:highlight w:val="none"/>
              </w:rPr>
            </w:pPr>
          </w:p>
        </w:tc>
      </w:tr>
      <w:tr w14:paraId="102C367E">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B9A5C">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87F606D">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90BC563">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497E6BA">
            <w:pPr>
              <w:snapToGrid w:val="0"/>
              <w:jc w:val="center"/>
              <w:rPr>
                <w:rFonts w:ascii="仿宋" w:hAnsi="仿宋" w:eastAsia="仿宋" w:cs="仿宋"/>
                <w:color w:val="auto"/>
                <w:szCs w:val="21"/>
                <w:highlight w:val="none"/>
              </w:rPr>
            </w:pPr>
          </w:p>
        </w:tc>
      </w:tr>
      <w:tr w14:paraId="3CE15511">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2E8B5">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475B3F2">
            <w:pPr>
              <w:widowControl/>
              <w:snapToGrid w:val="0"/>
              <w:jc w:val="center"/>
              <w:textAlignment w:val="center"/>
              <w:rPr>
                <w:rFonts w:ascii="仿宋" w:hAnsi="仿宋" w:eastAsia="仿宋" w:cs="仿宋"/>
                <w:bCs/>
                <w:color w:val="auto"/>
                <w:sz w:val="24"/>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9965BE9">
            <w:pPr>
              <w:widowControl/>
              <w:snapToGrid w:val="0"/>
              <w:jc w:val="center"/>
              <w:textAlignment w:val="center"/>
              <w:rPr>
                <w:rFonts w:ascii="仿宋" w:hAnsi="仿宋" w:eastAsia="仿宋" w:cs="仿宋"/>
                <w:bCs/>
                <w:color w:val="auto"/>
                <w:sz w:val="24"/>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3F80DE1">
            <w:pPr>
              <w:snapToGrid w:val="0"/>
              <w:jc w:val="center"/>
              <w:rPr>
                <w:rFonts w:ascii="仿宋" w:hAnsi="仿宋" w:eastAsia="仿宋" w:cs="仿宋"/>
                <w:color w:val="auto"/>
                <w:szCs w:val="21"/>
                <w:highlight w:val="none"/>
              </w:rPr>
            </w:pPr>
          </w:p>
        </w:tc>
      </w:tr>
      <w:tr w14:paraId="2B710751">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E600D">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F0EB0EF">
            <w:pPr>
              <w:widowControl/>
              <w:snapToGrid w:val="0"/>
              <w:jc w:val="center"/>
              <w:textAlignment w:val="center"/>
              <w:rPr>
                <w:rFonts w:ascii="仿宋" w:hAnsi="仿宋" w:eastAsia="仿宋" w:cs="仿宋"/>
                <w:bCs/>
                <w:color w:val="auto"/>
                <w:kern w:val="0"/>
                <w:sz w:val="24"/>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02C0B24">
            <w:pPr>
              <w:widowControl/>
              <w:snapToGrid w:val="0"/>
              <w:jc w:val="center"/>
              <w:textAlignment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A89A5CE">
            <w:pPr>
              <w:snapToGrid w:val="0"/>
              <w:jc w:val="center"/>
              <w:rPr>
                <w:rFonts w:ascii="仿宋" w:hAnsi="仿宋" w:eastAsia="仿宋" w:cs="仿宋"/>
                <w:color w:val="auto"/>
                <w:szCs w:val="21"/>
                <w:highlight w:val="none"/>
              </w:rPr>
            </w:pPr>
          </w:p>
        </w:tc>
      </w:tr>
      <w:tr w14:paraId="538801E5">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79B1E">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E428F9B">
            <w:pPr>
              <w:widowControl/>
              <w:snapToGrid w:val="0"/>
              <w:jc w:val="center"/>
              <w:textAlignment w:val="center"/>
              <w:rPr>
                <w:rFonts w:ascii="仿宋" w:hAnsi="仿宋" w:eastAsia="仿宋" w:cs="仿宋"/>
                <w:bCs/>
                <w:color w:val="auto"/>
                <w:kern w:val="0"/>
                <w:sz w:val="24"/>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B77EB37">
            <w:pPr>
              <w:widowControl/>
              <w:snapToGrid w:val="0"/>
              <w:jc w:val="center"/>
              <w:textAlignment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8F74E35">
            <w:pPr>
              <w:snapToGrid w:val="0"/>
              <w:jc w:val="center"/>
              <w:rPr>
                <w:rFonts w:ascii="仿宋" w:hAnsi="仿宋" w:eastAsia="仿宋" w:cs="仿宋"/>
                <w:color w:val="auto"/>
                <w:szCs w:val="21"/>
                <w:highlight w:val="none"/>
              </w:rPr>
            </w:pPr>
          </w:p>
        </w:tc>
      </w:tr>
      <w:tr w14:paraId="14CF7BEC">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BAD77">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A608450">
            <w:pPr>
              <w:widowControl/>
              <w:snapToGrid w:val="0"/>
              <w:jc w:val="center"/>
              <w:textAlignment w:val="center"/>
              <w:rPr>
                <w:rFonts w:ascii="仿宋" w:hAnsi="仿宋" w:eastAsia="仿宋" w:cs="仿宋"/>
                <w:bCs/>
                <w:color w:val="auto"/>
                <w:kern w:val="0"/>
                <w:sz w:val="24"/>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A22326F">
            <w:pPr>
              <w:widowControl/>
              <w:snapToGrid w:val="0"/>
              <w:jc w:val="center"/>
              <w:textAlignment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23AD32E">
            <w:pPr>
              <w:snapToGrid w:val="0"/>
              <w:jc w:val="center"/>
              <w:rPr>
                <w:rFonts w:ascii="仿宋" w:hAnsi="仿宋" w:eastAsia="仿宋" w:cs="仿宋"/>
                <w:color w:val="auto"/>
                <w:szCs w:val="21"/>
                <w:highlight w:val="none"/>
              </w:rPr>
            </w:pPr>
          </w:p>
        </w:tc>
      </w:tr>
      <w:tr w14:paraId="6A09C748">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9E5A4">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ABFA611">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F18E825">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78554E3">
            <w:pPr>
              <w:snapToGrid w:val="0"/>
              <w:jc w:val="center"/>
              <w:rPr>
                <w:rFonts w:ascii="仿宋" w:hAnsi="仿宋" w:eastAsia="仿宋" w:cs="仿宋"/>
                <w:color w:val="auto"/>
                <w:szCs w:val="21"/>
                <w:highlight w:val="none"/>
              </w:rPr>
            </w:pPr>
          </w:p>
        </w:tc>
      </w:tr>
      <w:tr w14:paraId="7DFA270F">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B4788">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73A9851">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B81B04C">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5A7CDD3">
            <w:pPr>
              <w:snapToGrid w:val="0"/>
              <w:jc w:val="center"/>
              <w:rPr>
                <w:rFonts w:ascii="仿宋" w:hAnsi="仿宋" w:eastAsia="仿宋" w:cs="仿宋"/>
                <w:color w:val="auto"/>
                <w:szCs w:val="21"/>
                <w:highlight w:val="none"/>
              </w:rPr>
            </w:pPr>
          </w:p>
        </w:tc>
      </w:tr>
      <w:tr w14:paraId="0722C6FF">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D36C9">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66FC278">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1FACE87">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49B0999">
            <w:pPr>
              <w:snapToGrid w:val="0"/>
              <w:jc w:val="center"/>
              <w:rPr>
                <w:rFonts w:ascii="仿宋" w:hAnsi="仿宋" w:eastAsia="仿宋" w:cs="仿宋"/>
                <w:color w:val="auto"/>
                <w:szCs w:val="21"/>
                <w:highlight w:val="none"/>
              </w:rPr>
            </w:pPr>
          </w:p>
        </w:tc>
      </w:tr>
      <w:tr w14:paraId="41FE20DF">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989D2">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4DCAE1E">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841DE6B">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5FA63D1">
            <w:pPr>
              <w:snapToGrid w:val="0"/>
              <w:jc w:val="center"/>
              <w:rPr>
                <w:rFonts w:ascii="仿宋" w:hAnsi="仿宋" w:eastAsia="仿宋" w:cs="仿宋"/>
                <w:color w:val="auto"/>
                <w:szCs w:val="21"/>
                <w:highlight w:val="none"/>
              </w:rPr>
            </w:pPr>
          </w:p>
        </w:tc>
      </w:tr>
      <w:tr w14:paraId="54AC4E28">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C6669">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1D1FC68">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E93B474">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F1C5E6B">
            <w:pPr>
              <w:snapToGrid w:val="0"/>
              <w:jc w:val="center"/>
              <w:rPr>
                <w:rFonts w:ascii="仿宋" w:hAnsi="仿宋" w:eastAsia="仿宋" w:cs="仿宋"/>
                <w:color w:val="auto"/>
                <w:szCs w:val="21"/>
                <w:highlight w:val="none"/>
              </w:rPr>
            </w:pPr>
          </w:p>
        </w:tc>
      </w:tr>
      <w:tr w14:paraId="48209218">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6FBC1">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09F0A65">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77853EA">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404B5CA">
            <w:pPr>
              <w:snapToGrid w:val="0"/>
              <w:jc w:val="center"/>
              <w:rPr>
                <w:rFonts w:ascii="仿宋" w:hAnsi="仿宋" w:eastAsia="仿宋" w:cs="仿宋"/>
                <w:color w:val="auto"/>
                <w:szCs w:val="21"/>
                <w:highlight w:val="none"/>
              </w:rPr>
            </w:pPr>
          </w:p>
        </w:tc>
      </w:tr>
      <w:tr w14:paraId="20D54648">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7CEB5">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2103BEF">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00C2CDD">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97FD3E0">
            <w:pPr>
              <w:snapToGrid w:val="0"/>
              <w:jc w:val="center"/>
              <w:rPr>
                <w:rFonts w:ascii="仿宋" w:hAnsi="仿宋" w:eastAsia="仿宋" w:cs="仿宋"/>
                <w:color w:val="auto"/>
                <w:szCs w:val="21"/>
                <w:highlight w:val="none"/>
              </w:rPr>
            </w:pPr>
          </w:p>
        </w:tc>
      </w:tr>
    </w:tbl>
    <w:p w14:paraId="59134C35">
      <w:pPr>
        <w:snapToGrid w:val="0"/>
        <w:spacing w:line="360" w:lineRule="auto"/>
        <w:jc w:val="left"/>
        <w:rPr>
          <w:rFonts w:ascii="宋体" w:hAnsi="宋体" w:eastAsia="宋体" w:cs="Times New Roman"/>
          <w:color w:val="auto"/>
          <w:sz w:val="24"/>
          <w:szCs w:val="24"/>
          <w:highlight w:val="none"/>
          <w:u w:val="single"/>
        </w:rPr>
      </w:pPr>
    </w:p>
    <w:p w14:paraId="50847F8B">
      <w:pPr>
        <w:autoSpaceDN w:val="0"/>
        <w:adjustRightInd w:val="0"/>
        <w:snapToGrid w:val="0"/>
        <w:spacing w:line="324" w:lineRule="auto"/>
        <w:ind w:left="-283" w:leftChars="-135" w:right="-334" w:rightChars="-159"/>
        <w:rPr>
          <w:rFonts w:ascii="仿宋" w:hAnsi="仿宋" w:eastAsia="仿宋" w:cs="仿宋"/>
          <w:b/>
          <w:color w:val="auto"/>
          <w:sz w:val="22"/>
          <w:highlight w:val="none"/>
        </w:rPr>
      </w:pPr>
      <w:r>
        <w:rPr>
          <w:rFonts w:hint="eastAsia" w:ascii="仿宋" w:hAnsi="仿宋" w:eastAsia="仿宋" w:cs="仿宋"/>
          <w:color w:val="auto"/>
          <w:kern w:val="0"/>
          <w:sz w:val="22"/>
          <w:highlight w:val="none"/>
        </w:rPr>
        <w:t>注：</w:t>
      </w:r>
      <w:r>
        <w:rPr>
          <w:rFonts w:hint="eastAsia" w:ascii="仿宋" w:hAnsi="仿宋" w:eastAsia="仿宋" w:cs="仿宋"/>
          <w:b/>
          <w:color w:val="auto"/>
          <w:kern w:val="0"/>
          <w:sz w:val="22"/>
          <w:highlight w:val="none"/>
        </w:rPr>
        <w:t>①磋商响应供应商可在“备选品牌、厂家”选择一项填写在“投标品牌”一栏中，如在此表“备选品牌、厂家”之外选择的，需要在“投标品牌”一栏中注明所选品牌</w:t>
      </w:r>
      <w:r>
        <w:rPr>
          <w:rFonts w:hint="eastAsia" w:ascii="仿宋" w:hAnsi="仿宋" w:eastAsia="仿宋" w:cs="仿宋"/>
          <w:b/>
          <w:color w:val="auto"/>
          <w:sz w:val="22"/>
          <w:highlight w:val="none"/>
        </w:rPr>
        <w:t>。</w:t>
      </w:r>
    </w:p>
    <w:p w14:paraId="253C31B3">
      <w:pPr>
        <w:autoSpaceDN w:val="0"/>
        <w:adjustRightInd w:val="0"/>
        <w:snapToGrid w:val="0"/>
        <w:spacing w:line="324" w:lineRule="auto"/>
        <w:ind w:left="-283" w:leftChars="-135" w:right="-334" w:rightChars="-159" w:firstLine="330" w:firstLineChars="150"/>
        <w:rPr>
          <w:rFonts w:ascii="仿宋" w:hAnsi="仿宋" w:eastAsia="仿宋" w:cs="仿宋"/>
          <w:b/>
          <w:color w:val="auto"/>
          <w:sz w:val="22"/>
          <w:highlight w:val="none"/>
        </w:rPr>
      </w:pPr>
      <w:r>
        <w:rPr>
          <w:rFonts w:hint="eastAsia" w:ascii="仿宋" w:hAnsi="仿宋" w:eastAsia="仿宋" w:cs="仿宋"/>
          <w:color w:val="auto"/>
          <w:sz w:val="22"/>
          <w:highlight w:val="none"/>
        </w:rPr>
        <w:t>②</w:t>
      </w:r>
      <w:r>
        <w:rPr>
          <w:rFonts w:hint="eastAsia" w:ascii="仿宋" w:hAnsi="仿宋" w:eastAsia="仿宋" w:cs="仿宋"/>
          <w:b/>
          <w:color w:val="auto"/>
          <w:sz w:val="22"/>
          <w:highlight w:val="none"/>
          <w:u w:val="single"/>
        </w:rPr>
        <w:t>磋商文件中对主要材料设备品牌、厂家、规格、型号有推荐的，磋商响应供应商应采用并选用其中高档产品，或选用与采购人推荐的品牌相当及以上的中高档产品，如磋商响应供应商所选材料设备的材质、规格、颜色、档次与磋商文件及施工图纸要求的存在明显差别，或虽按磋商文件推荐的材料品牌选择但该材料因某种原因停产或其他原因而不能供应的，则实际施工过程中采购人有权在磋商文件推荐的材料品牌中自行确定，且投标价格不予调整</w:t>
      </w:r>
      <w:r>
        <w:rPr>
          <w:rFonts w:hint="eastAsia" w:ascii="仿宋" w:hAnsi="仿宋" w:eastAsia="仿宋" w:cs="仿宋"/>
          <w:b/>
          <w:color w:val="auto"/>
          <w:sz w:val="22"/>
          <w:highlight w:val="none"/>
        </w:rPr>
        <w:t>。</w:t>
      </w:r>
    </w:p>
    <w:p w14:paraId="3607E6CD">
      <w:pPr>
        <w:tabs>
          <w:tab w:val="left" w:pos="0"/>
        </w:tabs>
        <w:autoSpaceDN w:val="0"/>
        <w:spacing w:before="120" w:after="120" w:line="324" w:lineRule="auto"/>
        <w:ind w:left="-283" w:leftChars="-135" w:right="-334" w:rightChars="-159" w:firstLine="330" w:firstLineChars="150"/>
        <w:rPr>
          <w:rFonts w:ascii="仿宋" w:hAnsi="仿宋" w:eastAsia="仿宋" w:cs="仿宋"/>
          <w:b/>
          <w:color w:val="auto"/>
          <w:kern w:val="0"/>
          <w:sz w:val="22"/>
          <w:highlight w:val="none"/>
        </w:rPr>
      </w:pPr>
      <w:r>
        <w:rPr>
          <w:rFonts w:hint="eastAsia" w:ascii="仿宋" w:hAnsi="仿宋" w:eastAsia="仿宋" w:cs="仿宋"/>
          <w:color w:val="auto"/>
          <w:kern w:val="0"/>
          <w:sz w:val="22"/>
          <w:highlight w:val="none"/>
        </w:rPr>
        <w:t>③</w:t>
      </w:r>
      <w:r>
        <w:rPr>
          <w:rFonts w:hint="eastAsia" w:ascii="仿宋" w:hAnsi="仿宋" w:eastAsia="仿宋" w:cs="仿宋"/>
          <w:b/>
          <w:color w:val="auto"/>
          <w:kern w:val="0"/>
          <w:sz w:val="22"/>
          <w:highlight w:val="none"/>
        </w:rPr>
        <w:t>磋商文件中对材料的品牌、规格、型号没有具体规定的，由磋商响应供应商按磋商文件及施工图的要求按中高档进行磋商报价，并在“表1-6 主要材料价格表“的备注一栏里注明所选材料设备的品牌、规格、型号，若磋商响应供应商没有进行注明的，则采购人有权指定品牌，磋商价格不调整。</w:t>
      </w:r>
    </w:p>
    <w:p w14:paraId="347B56D8">
      <w:pPr>
        <w:tabs>
          <w:tab w:val="left" w:pos="0"/>
        </w:tabs>
        <w:autoSpaceDN w:val="0"/>
        <w:spacing w:before="120" w:after="120" w:line="324" w:lineRule="auto"/>
        <w:ind w:left="-283" w:leftChars="-135" w:right="-334" w:rightChars="-159" w:firstLine="331" w:firstLineChars="150"/>
        <w:rPr>
          <w:rFonts w:ascii="仿宋" w:hAnsi="仿宋" w:eastAsia="仿宋" w:cs="仿宋"/>
          <w:color w:val="auto"/>
          <w:kern w:val="0"/>
          <w:sz w:val="22"/>
          <w:highlight w:val="none"/>
        </w:rPr>
      </w:pPr>
      <w:r>
        <w:rPr>
          <w:rFonts w:hint="eastAsia" w:ascii="仿宋" w:hAnsi="仿宋" w:eastAsia="仿宋" w:cs="仿宋"/>
          <w:b/>
          <w:color w:val="auto"/>
          <w:kern w:val="0"/>
          <w:sz w:val="22"/>
          <w:highlight w:val="none"/>
        </w:rPr>
        <w:t>④发包人有权根据实际情况在发包人推荐的供应商（厂家）或品牌范围内进行调整，承包人须接受调整，并不得因此而要求调价</w:t>
      </w:r>
      <w:r>
        <w:rPr>
          <w:rFonts w:hint="eastAsia" w:ascii="仿宋" w:hAnsi="仿宋" w:eastAsia="仿宋" w:cs="仿宋"/>
          <w:color w:val="auto"/>
          <w:kern w:val="0"/>
          <w:sz w:val="22"/>
          <w:highlight w:val="none"/>
        </w:rPr>
        <w:t>。</w:t>
      </w:r>
    </w:p>
    <w:p w14:paraId="61477237">
      <w:pPr>
        <w:tabs>
          <w:tab w:val="left" w:pos="0"/>
        </w:tabs>
        <w:autoSpaceDN w:val="0"/>
        <w:spacing w:before="120" w:after="120" w:line="324" w:lineRule="auto"/>
        <w:ind w:left="-283" w:leftChars="-135" w:right="-334" w:rightChars="-159" w:firstLine="331" w:firstLineChars="150"/>
        <w:rPr>
          <w:rFonts w:ascii="仿宋" w:hAnsi="仿宋" w:eastAsia="仿宋" w:cs="仿宋"/>
          <w:b/>
          <w:color w:val="auto"/>
          <w:kern w:val="0"/>
          <w:sz w:val="22"/>
          <w:highlight w:val="none"/>
        </w:rPr>
      </w:pPr>
      <w:r>
        <w:rPr>
          <w:rFonts w:hint="eastAsia" w:ascii="仿宋" w:hAnsi="仿宋" w:eastAsia="仿宋" w:cs="仿宋"/>
          <w:b/>
          <w:color w:val="auto"/>
          <w:kern w:val="0"/>
          <w:sz w:val="22"/>
          <w:highlight w:val="none"/>
        </w:rPr>
        <w:t>⑤若磋商响应供应商未明确品牌，采购人将在此表 “推荐品牌或厂家”中指定品牌及型号，磋商报价不予调整。</w:t>
      </w:r>
    </w:p>
    <w:p w14:paraId="5D15AE24">
      <w:pPr>
        <w:shd w:val="clear" w:color="auto" w:fill="FFFFFF"/>
        <w:autoSpaceDN w:val="0"/>
        <w:spacing w:line="324" w:lineRule="auto"/>
        <w:ind w:left="-283" w:leftChars="-135" w:right="-334" w:rightChars="-159" w:firstLine="331" w:firstLineChars="150"/>
        <w:rPr>
          <w:rFonts w:ascii="仿宋" w:hAnsi="仿宋" w:eastAsia="仿宋" w:cs="仿宋"/>
          <w:color w:val="auto"/>
          <w:szCs w:val="24"/>
          <w:highlight w:val="none"/>
        </w:rPr>
      </w:pPr>
      <w:r>
        <w:rPr>
          <w:rFonts w:hint="eastAsia" w:ascii="仿宋" w:hAnsi="仿宋" w:eastAsia="仿宋" w:cs="仿宋"/>
          <w:b/>
          <w:color w:val="auto"/>
          <w:kern w:val="0"/>
          <w:sz w:val="22"/>
          <w:highlight w:val="none"/>
        </w:rPr>
        <w:t>⑥</w:t>
      </w:r>
      <w:r>
        <w:rPr>
          <w:rFonts w:hint="eastAsia" w:ascii="仿宋" w:hAnsi="仿宋" w:eastAsia="仿宋" w:cs="仿宋"/>
          <w:b/>
          <w:color w:val="auto"/>
          <w:kern w:val="0"/>
          <w:sz w:val="22"/>
          <w:highlight w:val="none"/>
          <w:u w:val="single"/>
        </w:rPr>
        <w:t>请将本表放置在商务技术文件中最后一页。若磋商响应文件未按要求放置或未填写，磋商小组可能做出不利于该磋商响应供应商的评审。</w:t>
      </w:r>
    </w:p>
    <w:p w14:paraId="6E6BCB2A">
      <w:pPr>
        <w:widowControl/>
        <w:spacing w:line="415" w:lineRule="auto"/>
        <w:jc w:val="left"/>
        <w:rPr>
          <w:rFonts w:ascii="仿宋" w:hAnsi="仿宋" w:eastAsia="仿宋" w:cs="仿宋"/>
          <w:b/>
          <w:bCs/>
          <w:color w:val="auto"/>
          <w:sz w:val="32"/>
          <w:szCs w:val="32"/>
          <w:highlight w:val="none"/>
        </w:rPr>
        <w:sectPr>
          <w:pgSz w:w="11906" w:h="16838"/>
          <w:pgMar w:top="1440" w:right="1416" w:bottom="1440" w:left="1560" w:header="851" w:footer="1077" w:gutter="0"/>
          <w:cols w:space="720" w:num="1"/>
          <w:docGrid w:linePitch="286" w:charSpace="0"/>
        </w:sectPr>
      </w:pPr>
    </w:p>
    <w:p w14:paraId="61DAE9C8">
      <w:pPr>
        <w:keepNext/>
        <w:keepLines/>
        <w:autoSpaceDN w:val="0"/>
        <w:spacing w:before="260" w:after="260" w:line="415" w:lineRule="auto"/>
        <w:outlineLvl w:val="2"/>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2-12.其他资料</w:t>
      </w:r>
    </w:p>
    <w:p w14:paraId="0016573F">
      <w:pPr>
        <w:autoSpaceDN w:val="0"/>
        <w:spacing w:line="360" w:lineRule="auto"/>
        <w:jc w:val="center"/>
        <w:rPr>
          <w:rFonts w:ascii="仿宋" w:hAnsi="仿宋" w:eastAsia="仿宋" w:cs="Times New Roman"/>
          <w:b/>
          <w:color w:val="auto"/>
          <w:sz w:val="32"/>
          <w:szCs w:val="32"/>
          <w:highlight w:val="none"/>
        </w:rPr>
      </w:pPr>
      <w:r>
        <w:rPr>
          <w:rFonts w:hint="eastAsia" w:ascii="仿宋" w:hAnsi="仿宋" w:eastAsia="仿宋" w:cs="Times New Roman"/>
          <w:b/>
          <w:color w:val="auto"/>
          <w:sz w:val="32"/>
          <w:szCs w:val="32"/>
          <w:highlight w:val="none"/>
        </w:rPr>
        <w:t>其他资料</w:t>
      </w:r>
    </w:p>
    <w:p w14:paraId="0116E235">
      <w:pPr>
        <w:autoSpaceDN w:val="0"/>
        <w:spacing w:line="360" w:lineRule="auto"/>
        <w:rPr>
          <w:rFonts w:ascii="仿宋" w:hAnsi="仿宋" w:eastAsia="仿宋" w:cs="Times New Roman"/>
          <w:color w:val="auto"/>
          <w:kern w:val="0"/>
          <w:sz w:val="22"/>
          <w:highlight w:val="none"/>
          <w:u w:val="single"/>
        </w:rPr>
      </w:pPr>
      <w:r>
        <w:rPr>
          <w:rFonts w:hint="eastAsia" w:ascii="仿宋" w:hAnsi="仿宋" w:eastAsia="仿宋" w:cs="Times New Roman"/>
          <w:color w:val="auto"/>
          <w:sz w:val="24"/>
          <w:highlight w:val="none"/>
        </w:rPr>
        <w:t>项目名称：</w:t>
      </w:r>
      <w:r>
        <w:rPr>
          <w:rFonts w:hint="eastAsia" w:ascii="仿宋" w:hAnsi="仿宋" w:eastAsia="仿宋" w:cs="Times New Roman"/>
          <w:color w:val="auto"/>
          <w:kern w:val="0"/>
          <w:sz w:val="22"/>
          <w:highlight w:val="none"/>
          <w:u w:val="single"/>
        </w:rPr>
        <w:t xml:space="preserve">                                                </w:t>
      </w:r>
    </w:p>
    <w:p w14:paraId="1B92C900">
      <w:pPr>
        <w:autoSpaceDN w:val="0"/>
        <w:spacing w:line="360" w:lineRule="auto"/>
        <w:rPr>
          <w:rFonts w:ascii="仿宋" w:hAnsi="仿宋" w:eastAsia="仿宋" w:cs="Times New Roman"/>
          <w:color w:val="auto"/>
          <w:kern w:val="0"/>
          <w:sz w:val="24"/>
          <w:highlight w:val="none"/>
          <w:u w:val="single"/>
        </w:rPr>
      </w:pPr>
      <w:r>
        <w:rPr>
          <w:rFonts w:hint="eastAsia" w:ascii="仿宋" w:hAnsi="仿宋" w:eastAsia="仿宋" w:cs="Times New Roman"/>
          <w:color w:val="auto"/>
          <w:sz w:val="24"/>
          <w:highlight w:val="none"/>
        </w:rPr>
        <w:t>项目编号：</w:t>
      </w:r>
      <w:r>
        <w:rPr>
          <w:rFonts w:hint="eastAsia" w:ascii="仿宋" w:hAnsi="仿宋" w:eastAsia="仿宋" w:cs="Times New Roman"/>
          <w:color w:val="auto"/>
          <w:kern w:val="0"/>
          <w:sz w:val="24"/>
          <w:highlight w:val="none"/>
          <w:u w:val="single"/>
        </w:rPr>
        <w:t xml:space="preserve">                               </w:t>
      </w:r>
    </w:p>
    <w:tbl>
      <w:tblPr>
        <w:tblStyle w:val="61"/>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76E2EC96">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834" w:hRule="atLeast"/>
        </w:trPr>
        <w:tc>
          <w:tcPr>
            <w:tcW w:w="9145" w:type="dxa"/>
            <w:tcBorders>
              <w:top w:val="dotDash" w:color="D9D9D9" w:sz="4" w:space="0"/>
              <w:left w:val="dotDash" w:color="D9D9D9" w:sz="4" w:space="0"/>
              <w:bottom w:val="dotDash" w:color="D9D9D9" w:sz="4" w:space="0"/>
              <w:right w:val="dotDash" w:color="D9D9D9" w:sz="4" w:space="0"/>
            </w:tcBorders>
            <w:noWrap/>
          </w:tcPr>
          <w:p w14:paraId="2EBA84C6">
            <w:pPr>
              <w:autoSpaceDN w:val="0"/>
              <w:spacing w:line="360" w:lineRule="auto"/>
              <w:rPr>
                <w:rFonts w:ascii="仿宋" w:hAnsi="仿宋" w:eastAsia="仿宋" w:cs="Times New Roman"/>
                <w:color w:val="auto"/>
                <w:sz w:val="22"/>
                <w:szCs w:val="21"/>
                <w:highlight w:val="none"/>
              </w:rPr>
            </w:pPr>
          </w:p>
        </w:tc>
      </w:tr>
    </w:tbl>
    <w:p w14:paraId="2B4A048D">
      <w:pPr>
        <w:autoSpaceDN w:val="0"/>
        <w:snapToGrid w:val="0"/>
        <w:spacing w:line="360" w:lineRule="auto"/>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磋商响应供应商名称（盖章）：</w:t>
      </w:r>
      <w:r>
        <w:rPr>
          <w:rFonts w:hint="eastAsia" w:ascii="仿宋" w:hAnsi="仿宋" w:eastAsia="仿宋" w:cs="Times New Roman"/>
          <w:color w:val="auto"/>
          <w:w w:val="90"/>
          <w:kern w:val="0"/>
          <w:sz w:val="22"/>
          <w:highlight w:val="none"/>
        </w:rPr>
        <w:t>_______________________________</w:t>
      </w:r>
    </w:p>
    <w:p w14:paraId="3BDE1182">
      <w:pPr>
        <w:autoSpaceDN w:val="0"/>
        <w:spacing w:line="360" w:lineRule="auto"/>
        <w:rPr>
          <w:rFonts w:ascii="仿宋" w:hAnsi="仿宋" w:eastAsia="仿宋" w:cs="Times New Roman"/>
          <w:color w:val="auto"/>
          <w:w w:val="90"/>
          <w:kern w:val="0"/>
          <w:sz w:val="22"/>
          <w:highlight w:val="none"/>
        </w:rPr>
      </w:pPr>
      <w:r>
        <w:rPr>
          <w:rFonts w:hint="eastAsia" w:ascii="仿宋" w:hAnsi="仿宋" w:eastAsia="仿宋" w:cs="Times New Roman"/>
          <w:color w:val="auto"/>
          <w:sz w:val="24"/>
          <w:szCs w:val="28"/>
          <w:highlight w:val="none"/>
        </w:rPr>
        <w:t>日期：</w:t>
      </w:r>
      <w:r>
        <w:rPr>
          <w:rFonts w:hint="eastAsia" w:ascii="仿宋" w:hAnsi="仿宋" w:eastAsia="仿宋" w:cs="Times New Roman"/>
          <w:color w:val="auto"/>
          <w:w w:val="90"/>
          <w:kern w:val="0"/>
          <w:sz w:val="22"/>
          <w:highlight w:val="none"/>
        </w:rPr>
        <w:t>_______________________________</w:t>
      </w:r>
    </w:p>
    <w:p w14:paraId="69B9D1D1">
      <w:pPr>
        <w:autoSpaceDN w:val="0"/>
        <w:rPr>
          <w:rFonts w:ascii="Times New Roman" w:hAnsi="Times New Roman" w:eastAsia="宋体" w:cs="Times New Roman"/>
          <w:color w:val="auto"/>
          <w:szCs w:val="24"/>
          <w:highlight w:val="none"/>
        </w:rPr>
      </w:pPr>
    </w:p>
    <w:p w14:paraId="5C777BF3">
      <w:pPr>
        <w:autoSpaceDN w:val="0"/>
        <w:rPr>
          <w:rFonts w:ascii="Times New Roman" w:hAnsi="Times New Roman" w:eastAsia="宋体" w:cs="Times New Roman"/>
          <w:color w:val="auto"/>
          <w:szCs w:val="24"/>
          <w:highlight w:val="none"/>
        </w:rPr>
      </w:pPr>
    </w:p>
    <w:p w14:paraId="1030B18D">
      <w:pPr>
        <w:rPr>
          <w:color w:val="auto"/>
          <w:highlight w:val="none"/>
        </w:rPr>
      </w:pPr>
    </w:p>
    <w:p w14:paraId="2707C802">
      <w:pPr>
        <w:autoSpaceDN w:val="0"/>
        <w:rPr>
          <w:rFonts w:ascii="Times New Roman" w:hAnsi="Times New Roman" w:eastAsia="宋体" w:cs="Times New Roman"/>
          <w:color w:val="auto"/>
          <w:szCs w:val="24"/>
          <w:highlight w:val="none"/>
        </w:rPr>
      </w:pPr>
    </w:p>
    <w:p w14:paraId="1A01C26A">
      <w:pPr>
        <w:keepNext/>
        <w:keepLines/>
        <w:autoSpaceDN w:val="0"/>
        <w:spacing w:before="260" w:after="260" w:line="415" w:lineRule="auto"/>
        <w:outlineLvl w:val="1"/>
        <w:rPr>
          <w:rFonts w:ascii="仿宋" w:hAnsi="仿宋" w:eastAsia="仿宋" w:cs="Times New Roman"/>
          <w:b/>
          <w:bCs/>
          <w:color w:val="auto"/>
          <w:sz w:val="32"/>
          <w:szCs w:val="32"/>
          <w:highlight w:val="none"/>
        </w:rPr>
      </w:pPr>
      <w:bookmarkStart w:id="130" w:name="_Toc96947081"/>
      <w:bookmarkStart w:id="131" w:name="_Toc11526"/>
      <w:r>
        <w:rPr>
          <w:rFonts w:hint="eastAsia" w:ascii="仿宋" w:hAnsi="仿宋" w:eastAsia="仿宋" w:cs="Times New Roman"/>
          <w:b/>
          <w:bCs/>
          <w:color w:val="auto"/>
          <w:sz w:val="32"/>
          <w:szCs w:val="32"/>
          <w:highlight w:val="none"/>
        </w:rPr>
        <w:t>三、报价文件部分格式</w:t>
      </w:r>
      <w:bookmarkEnd w:id="130"/>
      <w:bookmarkEnd w:id="131"/>
    </w:p>
    <w:p w14:paraId="47729BAD">
      <w:pPr>
        <w:autoSpaceDN w:val="0"/>
        <w:rPr>
          <w:rFonts w:ascii="Times New Roman" w:hAnsi="Times New Roman" w:eastAsia="宋体" w:cs="Times New Roman"/>
          <w:color w:val="auto"/>
          <w:szCs w:val="24"/>
          <w:highlight w:val="none"/>
        </w:rPr>
      </w:pPr>
    </w:p>
    <w:p w14:paraId="6EE70D2D">
      <w:pPr>
        <w:autoSpaceDN w:val="0"/>
        <w:adjustRightInd w:val="0"/>
        <w:snapToGrid w:val="0"/>
        <w:spacing w:line="480" w:lineRule="auto"/>
        <w:ind w:left="2345" w:leftChars="450" w:hanging="1400" w:hangingChars="500"/>
        <w:jc w:val="left"/>
        <w:rPr>
          <w:rFonts w:ascii="仿宋" w:hAnsi="仿宋" w:eastAsia="仿宋" w:cs="Times New Roman"/>
          <w:color w:val="auto"/>
          <w:kern w:val="0"/>
          <w:sz w:val="28"/>
          <w:szCs w:val="28"/>
          <w:highlight w:val="none"/>
        </w:rPr>
      </w:pPr>
    </w:p>
    <w:p w14:paraId="1342A90A">
      <w:pPr>
        <w:autoSpaceDN w:val="0"/>
        <w:adjustRightInd w:val="0"/>
        <w:snapToGrid w:val="0"/>
        <w:spacing w:line="480" w:lineRule="auto"/>
        <w:ind w:left="2345" w:leftChars="450" w:hanging="1400" w:hangingChars="500"/>
        <w:jc w:val="left"/>
        <w:rPr>
          <w:rFonts w:ascii="仿宋" w:hAnsi="仿宋" w:eastAsia="仿宋" w:cs="Times New Roman"/>
          <w:color w:val="auto"/>
          <w:kern w:val="0"/>
          <w:sz w:val="28"/>
          <w:szCs w:val="28"/>
          <w:highlight w:val="none"/>
        </w:rPr>
      </w:pPr>
    </w:p>
    <w:p w14:paraId="60B330F6">
      <w:pPr>
        <w:autoSpaceDN w:val="0"/>
        <w:adjustRightInd w:val="0"/>
        <w:snapToGrid w:val="0"/>
        <w:spacing w:line="480" w:lineRule="auto"/>
        <w:ind w:left="2345" w:leftChars="450" w:hanging="1400" w:hangingChars="500"/>
        <w:jc w:val="left"/>
        <w:rPr>
          <w:rFonts w:hint="eastAsia" w:ascii="仿宋" w:hAnsi="仿宋" w:eastAsia="仿宋" w:cs="Times New Roman"/>
          <w:bCs/>
          <w:color w:val="auto"/>
          <w:sz w:val="28"/>
          <w:szCs w:val="28"/>
          <w:highlight w:val="none"/>
          <w:lang w:eastAsia="zh-CN"/>
        </w:rPr>
      </w:pPr>
      <w:r>
        <w:rPr>
          <w:rFonts w:hint="eastAsia" w:ascii="仿宋" w:hAnsi="仿宋" w:eastAsia="仿宋" w:cs="Times New Roman"/>
          <w:color w:val="auto"/>
          <w:kern w:val="0"/>
          <w:sz w:val="28"/>
          <w:szCs w:val="28"/>
          <w:highlight w:val="none"/>
        </w:rPr>
        <w:t>项目名称：</w:t>
      </w:r>
      <w:r>
        <w:rPr>
          <w:rFonts w:hint="eastAsia" w:ascii="仿宋" w:hAnsi="仿宋" w:eastAsia="仿宋" w:cs="Times New Roman"/>
          <w:bCs/>
          <w:color w:val="auto"/>
          <w:sz w:val="28"/>
          <w:szCs w:val="28"/>
          <w:highlight w:val="none"/>
          <w:lang w:eastAsia="zh-CN"/>
        </w:rPr>
        <w:t>浙江工业大学屏峰校区学生宿舍建设工程项目施工用电工程</w:t>
      </w:r>
    </w:p>
    <w:p w14:paraId="06CD3BC9">
      <w:pPr>
        <w:tabs>
          <w:tab w:val="left" w:pos="2580"/>
          <w:tab w:val="left" w:pos="5940"/>
        </w:tabs>
        <w:autoSpaceDE w:val="0"/>
        <w:autoSpaceDN w:val="0"/>
        <w:adjustRightInd w:val="0"/>
        <w:snapToGrid w:val="0"/>
        <w:spacing w:line="360" w:lineRule="auto"/>
        <w:ind w:right="-20" w:firstLine="980" w:firstLineChars="350"/>
        <w:rPr>
          <w:rFonts w:ascii="仿宋" w:hAnsi="仿宋" w:eastAsia="仿宋" w:cs="Times New Roman"/>
          <w:b/>
          <w:bCs/>
          <w:color w:val="auto"/>
          <w:kern w:val="0"/>
          <w:sz w:val="28"/>
          <w:szCs w:val="28"/>
          <w:highlight w:val="none"/>
          <w:u w:val="single"/>
        </w:rPr>
      </w:pPr>
      <w:r>
        <w:rPr>
          <w:rFonts w:hint="eastAsia" w:ascii="仿宋" w:hAnsi="仿宋" w:eastAsia="仿宋" w:cs="Times New Roman"/>
          <w:color w:val="auto"/>
          <w:kern w:val="0"/>
          <w:sz w:val="28"/>
          <w:szCs w:val="28"/>
          <w:highlight w:val="none"/>
        </w:rPr>
        <w:t>项目编号：</w:t>
      </w:r>
    </w:p>
    <w:p w14:paraId="1F624F13">
      <w:pPr>
        <w:autoSpaceDE w:val="0"/>
        <w:autoSpaceDN w:val="0"/>
        <w:adjustRightInd w:val="0"/>
        <w:snapToGrid w:val="0"/>
        <w:spacing w:line="360" w:lineRule="auto"/>
        <w:jc w:val="left"/>
        <w:rPr>
          <w:rFonts w:ascii="仿宋" w:hAnsi="仿宋" w:eastAsia="仿宋" w:cs="Times New Roman"/>
          <w:color w:val="auto"/>
          <w:kern w:val="0"/>
          <w:sz w:val="28"/>
          <w:szCs w:val="28"/>
          <w:highlight w:val="none"/>
        </w:rPr>
      </w:pPr>
    </w:p>
    <w:p w14:paraId="53BE162D">
      <w:pPr>
        <w:autoSpaceDE w:val="0"/>
        <w:autoSpaceDN w:val="0"/>
        <w:adjustRightInd w:val="0"/>
        <w:snapToGrid w:val="0"/>
        <w:spacing w:line="360" w:lineRule="auto"/>
        <w:jc w:val="left"/>
        <w:rPr>
          <w:rFonts w:ascii="仿宋" w:hAnsi="仿宋" w:eastAsia="仿宋" w:cs="Times New Roman"/>
          <w:color w:val="auto"/>
          <w:kern w:val="0"/>
          <w:sz w:val="24"/>
          <w:szCs w:val="24"/>
          <w:highlight w:val="none"/>
        </w:rPr>
      </w:pPr>
    </w:p>
    <w:p w14:paraId="512686ED">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auto"/>
          <w:kern w:val="0"/>
          <w:sz w:val="72"/>
          <w:szCs w:val="24"/>
          <w:highlight w:val="none"/>
        </w:rPr>
      </w:pPr>
      <w:r>
        <w:rPr>
          <w:rFonts w:hint="eastAsia" w:ascii="仿宋" w:hAnsi="仿宋" w:eastAsia="仿宋" w:cs="Times New Roman"/>
          <w:color w:val="auto"/>
          <w:kern w:val="0"/>
          <w:sz w:val="72"/>
          <w:szCs w:val="24"/>
          <w:highlight w:val="none"/>
        </w:rPr>
        <w:t>响应文件</w:t>
      </w:r>
    </w:p>
    <w:p w14:paraId="0AF8F5F3">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auto"/>
          <w:kern w:val="0"/>
          <w:sz w:val="16"/>
          <w:szCs w:val="24"/>
          <w:highlight w:val="none"/>
        </w:rPr>
      </w:pPr>
      <w:r>
        <w:rPr>
          <w:rFonts w:hint="eastAsia" w:ascii="仿宋" w:hAnsi="仿宋" w:eastAsia="仿宋" w:cs="Times New Roman"/>
          <w:color w:val="auto"/>
          <w:kern w:val="0"/>
          <w:sz w:val="72"/>
          <w:szCs w:val="24"/>
          <w:highlight w:val="none"/>
        </w:rPr>
        <w:t>（报价文件）</w:t>
      </w:r>
    </w:p>
    <w:p w14:paraId="3B424EE7">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14:paraId="7B61D00D">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14:paraId="4442A49E">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14:paraId="18FD805C">
      <w:pPr>
        <w:autoSpaceDE w:val="0"/>
        <w:autoSpaceDN w:val="0"/>
        <w:adjustRightInd w:val="0"/>
        <w:spacing w:line="360" w:lineRule="auto"/>
        <w:ind w:firstLine="840" w:firstLineChars="300"/>
        <w:jc w:val="left"/>
        <w:rPr>
          <w:rFonts w:ascii="仿宋" w:hAnsi="仿宋" w:eastAsia="仿宋" w:cs="..ì."/>
          <w:color w:val="auto"/>
          <w:kern w:val="0"/>
          <w:sz w:val="28"/>
          <w:szCs w:val="24"/>
          <w:highlight w:val="none"/>
        </w:rPr>
      </w:pPr>
      <w:r>
        <w:rPr>
          <w:rFonts w:hint="eastAsia" w:ascii="仿宋" w:hAnsi="仿宋" w:eastAsia="仿宋" w:cs="..ì."/>
          <w:color w:val="auto"/>
          <w:sz w:val="28"/>
          <w:szCs w:val="24"/>
          <w:highlight w:val="none"/>
        </w:rPr>
        <w:t>磋商响应供应商（盖章）：</w:t>
      </w:r>
    </w:p>
    <w:p w14:paraId="397B7617">
      <w:pPr>
        <w:autoSpaceDE w:val="0"/>
        <w:autoSpaceDN w:val="0"/>
        <w:adjustRightInd w:val="0"/>
        <w:spacing w:line="360" w:lineRule="auto"/>
        <w:ind w:firstLine="840" w:firstLineChars="300"/>
        <w:jc w:val="left"/>
        <w:rPr>
          <w:rFonts w:ascii="仿宋" w:hAnsi="仿宋" w:eastAsia="仿宋" w:cs="..ì."/>
          <w:color w:val="auto"/>
          <w:sz w:val="28"/>
          <w:szCs w:val="24"/>
          <w:highlight w:val="none"/>
        </w:rPr>
      </w:pPr>
      <w:r>
        <w:rPr>
          <w:rFonts w:hint="eastAsia" w:ascii="仿宋" w:hAnsi="仿宋" w:eastAsia="仿宋" w:cs="..ì."/>
          <w:color w:val="auto"/>
          <w:sz w:val="28"/>
          <w:szCs w:val="24"/>
          <w:highlight w:val="none"/>
        </w:rPr>
        <w:t>磋商响应供应商地址：</w:t>
      </w:r>
    </w:p>
    <w:p w14:paraId="236FABD8">
      <w:pPr>
        <w:autoSpaceDE w:val="0"/>
        <w:autoSpaceDN w:val="0"/>
        <w:adjustRightInd w:val="0"/>
        <w:spacing w:line="360" w:lineRule="auto"/>
        <w:ind w:firstLine="840" w:firstLineChars="300"/>
        <w:jc w:val="left"/>
        <w:rPr>
          <w:rFonts w:ascii="仿宋" w:hAnsi="仿宋" w:eastAsia="仿宋" w:cs="..ì."/>
          <w:color w:val="auto"/>
          <w:sz w:val="28"/>
          <w:szCs w:val="24"/>
          <w:highlight w:val="none"/>
          <w:u w:val="single"/>
        </w:rPr>
      </w:pPr>
      <w:r>
        <w:rPr>
          <w:rFonts w:hint="eastAsia" w:ascii="仿宋" w:hAnsi="仿宋" w:eastAsia="仿宋" w:cs="..ì."/>
          <w:color w:val="auto"/>
          <w:sz w:val="28"/>
          <w:szCs w:val="24"/>
          <w:highlight w:val="none"/>
        </w:rPr>
        <w:t>磋商响应供应商联系电话：</w:t>
      </w:r>
    </w:p>
    <w:p w14:paraId="412CA51A">
      <w:pPr>
        <w:tabs>
          <w:tab w:val="left" w:pos="6080"/>
          <w:tab w:val="left" w:pos="6640"/>
        </w:tabs>
        <w:autoSpaceDE w:val="0"/>
        <w:autoSpaceDN w:val="0"/>
        <w:adjustRightInd w:val="0"/>
        <w:snapToGrid w:val="0"/>
        <w:spacing w:line="360" w:lineRule="auto"/>
        <w:ind w:left="774" w:right="403"/>
        <w:jc w:val="left"/>
        <w:rPr>
          <w:rFonts w:ascii="仿宋" w:hAnsi="仿宋" w:eastAsia="仿宋" w:cs="Times New Roman"/>
          <w:color w:val="auto"/>
          <w:kern w:val="0"/>
          <w:sz w:val="28"/>
          <w:szCs w:val="24"/>
          <w:highlight w:val="none"/>
        </w:rPr>
      </w:pPr>
    </w:p>
    <w:p w14:paraId="124D7E73">
      <w:pPr>
        <w:tabs>
          <w:tab w:val="left" w:pos="3280"/>
          <w:tab w:val="left" w:pos="4680"/>
          <w:tab w:val="left" w:pos="6080"/>
        </w:tabs>
        <w:autoSpaceDE w:val="0"/>
        <w:autoSpaceDN w:val="0"/>
        <w:adjustRightInd w:val="0"/>
        <w:snapToGrid w:val="0"/>
        <w:spacing w:line="360" w:lineRule="auto"/>
        <w:ind w:right="-20"/>
        <w:jc w:val="center"/>
        <w:rPr>
          <w:rFonts w:ascii="仿宋" w:hAnsi="仿宋" w:eastAsia="仿宋" w:cs="Times New Roman"/>
          <w:color w:val="auto"/>
          <w:kern w:val="0"/>
          <w:sz w:val="28"/>
          <w:szCs w:val="24"/>
          <w:highlight w:val="none"/>
        </w:rPr>
      </w:pPr>
      <w:r>
        <w:rPr>
          <w:rFonts w:hint="eastAsia" w:ascii="仿宋" w:hAnsi="仿宋" w:eastAsia="仿宋" w:cs="Times New Roman"/>
          <w:color w:val="auto"/>
          <w:kern w:val="0"/>
          <w:sz w:val="28"/>
          <w:szCs w:val="24"/>
          <w:highlight w:val="none"/>
        </w:rPr>
        <w:t>年 月 日</w:t>
      </w:r>
    </w:p>
    <w:p w14:paraId="1F29F3D3">
      <w:pPr>
        <w:widowControl/>
        <w:jc w:val="left"/>
        <w:rPr>
          <w:rFonts w:ascii="仿宋" w:hAnsi="仿宋" w:eastAsia="仿宋" w:cs="Times New Roman"/>
          <w:color w:val="auto"/>
          <w:szCs w:val="24"/>
          <w:highlight w:val="none"/>
        </w:rPr>
        <w:sectPr>
          <w:pgSz w:w="11906" w:h="16838"/>
          <w:pgMar w:top="1440" w:right="1416" w:bottom="1440" w:left="1560" w:header="851" w:footer="1077" w:gutter="0"/>
          <w:cols w:space="720" w:num="1"/>
          <w:docGrid w:linePitch="286" w:charSpace="0"/>
        </w:sectPr>
      </w:pPr>
    </w:p>
    <w:p w14:paraId="7A4903D2">
      <w:pPr>
        <w:keepNext/>
        <w:keepLines/>
        <w:autoSpaceDN w:val="0"/>
        <w:spacing w:before="260" w:after="260" w:line="415" w:lineRule="auto"/>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28"/>
          <w:highlight w:val="none"/>
        </w:rPr>
        <w:t>（1）▲投标函</w:t>
      </w:r>
    </w:p>
    <w:p w14:paraId="75E173BD">
      <w:pPr>
        <w:keepNext/>
        <w:keepLines/>
        <w:autoSpaceDN w:val="0"/>
        <w:spacing w:before="260" w:after="260" w:line="415" w:lineRule="auto"/>
        <w:jc w:val="center"/>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▲投标函</w:t>
      </w:r>
    </w:p>
    <w:p w14:paraId="043E648A">
      <w:pPr>
        <w:autoSpaceDN w:val="0"/>
        <w:spacing w:after="312" w:afterLines="10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浙江工业大学 </w:t>
      </w:r>
      <w:r>
        <w:rPr>
          <w:rFonts w:hint="eastAsia" w:ascii="仿宋" w:hAnsi="仿宋" w:eastAsia="仿宋" w:cs="仿宋"/>
          <w:color w:val="auto"/>
          <w:sz w:val="24"/>
          <w:szCs w:val="24"/>
          <w:highlight w:val="none"/>
        </w:rPr>
        <w:t>：</w:t>
      </w:r>
    </w:p>
    <w:p w14:paraId="1F1D8AF6">
      <w:pPr>
        <w:autoSpaceDE w:val="0"/>
        <w:autoSpaceDN w:val="0"/>
        <w:adjustRightInd w:val="0"/>
        <w:spacing w:line="480" w:lineRule="auto"/>
        <w:ind w:firstLine="480" w:firstLineChars="200"/>
        <w:jc w:val="lef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1．我方已仔细研究了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施工磋商文件的全部内容，愿意以人民币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（大写）元（</w:t>
      </w:r>
      <w:r>
        <w:rPr>
          <w:rFonts w:ascii="Calibri" w:hAnsi="..ì." w:eastAsia="仿宋" w:cs="Calibri"/>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）的磋商总报价，工期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日历天， 项目经理：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，按合同约定实施和完成承包工程，修补工程中的任何缺陷，工程质量达到。</w:t>
      </w:r>
    </w:p>
    <w:p w14:paraId="0BB4738B">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2．我方承诺磋商响应文件有效期</w:t>
      </w:r>
      <w:r>
        <w:rPr>
          <w:rFonts w:hint="eastAsia" w:ascii="仿宋" w:hAnsi="仿宋" w:eastAsia="仿宋" w:cs="仿宋"/>
          <w:color w:val="auto"/>
          <w:sz w:val="24"/>
          <w:szCs w:val="24"/>
          <w:highlight w:val="none"/>
          <w:lang w:val="en-US" w:eastAsia="zh-CN"/>
        </w:rPr>
        <w:t>为</w:t>
      </w:r>
      <w:r>
        <w:rPr>
          <w:rFonts w:hint="eastAsia" w:ascii="仿宋" w:hAnsi="仿宋" w:eastAsia="仿宋" w:cs="宋体"/>
          <w:color w:val="auto"/>
          <w:sz w:val="24"/>
          <w:szCs w:val="24"/>
          <w:highlight w:val="none"/>
        </w:rPr>
        <w:t>自响应文件递交截止时间起</w:t>
      </w:r>
      <w:r>
        <w:rPr>
          <w:rFonts w:hint="eastAsia" w:ascii="仿宋" w:hAnsi="仿宋" w:eastAsia="仿宋" w:cs="宋体"/>
          <w:color w:val="auto"/>
          <w:sz w:val="24"/>
          <w:szCs w:val="24"/>
          <w:highlight w:val="none"/>
          <w:u w:val="single"/>
        </w:rPr>
        <w:t>90</w:t>
      </w:r>
      <w:r>
        <w:rPr>
          <w:rFonts w:hint="eastAsia" w:ascii="仿宋" w:hAnsi="仿宋" w:eastAsia="仿宋" w:cs="宋体"/>
          <w:color w:val="auto"/>
          <w:sz w:val="24"/>
          <w:szCs w:val="24"/>
          <w:highlight w:val="none"/>
        </w:rPr>
        <w:t>天</w:t>
      </w:r>
      <w:r>
        <w:rPr>
          <w:rFonts w:hint="eastAsia" w:ascii="仿宋" w:hAnsi="仿宋" w:eastAsia="仿宋" w:cs="宋体"/>
          <w:color w:val="auto"/>
          <w:sz w:val="24"/>
          <w:szCs w:val="24"/>
          <w:highlight w:val="none"/>
          <w:lang w:eastAsia="zh-CN"/>
        </w:rPr>
        <w:t>，</w:t>
      </w:r>
      <w:r>
        <w:rPr>
          <w:rFonts w:hint="eastAsia" w:ascii="仿宋" w:hAnsi="仿宋" w:eastAsia="仿宋" w:cs="仿宋"/>
          <w:color w:val="auto"/>
          <w:sz w:val="24"/>
          <w:szCs w:val="24"/>
          <w:highlight w:val="none"/>
        </w:rPr>
        <w:t>在竞争性磋商有效期内不修改、撤销磋商响应文件。</w:t>
      </w:r>
    </w:p>
    <w:p w14:paraId="317B1157">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3．如我方成交：</w:t>
      </w:r>
    </w:p>
    <w:p w14:paraId="6E921832">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（1）我方承诺在收到成交通知书后，在成交通知书规定的期限内与你方签订合同。</w:t>
      </w:r>
    </w:p>
    <w:p w14:paraId="4792D8A8">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（2）我方承诺按照磋商文件规定向你方递交预付款担保。</w:t>
      </w:r>
    </w:p>
    <w:p w14:paraId="16567FBE">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（3）我方承诺在合同约定的期限内完成并移交全部合同工程。</w:t>
      </w:r>
    </w:p>
    <w:p w14:paraId="7D59843B">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4．我方在此声明，所递交的磋商响应文件及有关资料内容完整、真实和准确。</w:t>
      </w:r>
    </w:p>
    <w:p w14:paraId="07A5FAF3">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5．（其他补充说明）。</w:t>
      </w:r>
    </w:p>
    <w:p w14:paraId="6BC83A33">
      <w:pPr>
        <w:autoSpaceDN w:val="0"/>
        <w:spacing w:line="360" w:lineRule="auto"/>
        <w:ind w:firstLine="480" w:firstLineChars="200"/>
        <w:rPr>
          <w:rFonts w:ascii="仿宋" w:hAnsi="仿宋" w:eastAsia="仿宋" w:cs="Arial"/>
          <w:color w:val="auto"/>
          <w:kern w:val="0"/>
          <w:sz w:val="24"/>
          <w:szCs w:val="24"/>
          <w:highlight w:val="none"/>
        </w:rPr>
      </w:pPr>
      <w:r>
        <w:rPr>
          <w:rFonts w:hint="eastAsia" w:ascii="仿宋" w:hAnsi="仿宋" w:eastAsia="仿宋" w:cs="仿宋"/>
          <w:b/>
          <w:color w:val="auto"/>
          <w:sz w:val="24"/>
          <w:szCs w:val="24"/>
          <w:highlight w:val="none"/>
        </w:rPr>
        <w:t>说明：</w:t>
      </w:r>
      <w:r>
        <w:rPr>
          <w:rFonts w:hint="eastAsia" w:ascii="仿宋" w:hAnsi="仿宋" w:eastAsia="仿宋" w:cs="Arial"/>
          <w:b/>
          <w:color w:val="auto"/>
          <w:kern w:val="0"/>
          <w:sz w:val="24"/>
          <w:szCs w:val="24"/>
          <w:highlight w:val="none"/>
          <w:u w:val="single"/>
        </w:rPr>
        <w:t>磋商响应供应商在“政府采购云平台”进行标书关联时，在政采云系统上填报的投标报价（总价，元）金额与加密的报价文件中所列的投标报价（总价，元）金额不一致时，以加密的报价文件中所列的金额为准进行修正</w:t>
      </w:r>
      <w:r>
        <w:rPr>
          <w:rFonts w:hint="eastAsia" w:ascii="仿宋" w:hAnsi="仿宋" w:eastAsia="仿宋" w:cs="Arial"/>
          <w:b/>
          <w:color w:val="auto"/>
          <w:kern w:val="0"/>
          <w:sz w:val="24"/>
          <w:szCs w:val="24"/>
          <w:highlight w:val="none"/>
        </w:rPr>
        <w:t>。</w:t>
      </w:r>
    </w:p>
    <w:p w14:paraId="556107B1">
      <w:pPr>
        <w:autoSpaceDN w:val="0"/>
        <w:spacing w:line="360" w:lineRule="auto"/>
        <w:rPr>
          <w:rFonts w:ascii="仿宋" w:hAnsi="仿宋" w:eastAsia="仿宋" w:cs="仿宋"/>
          <w:color w:val="auto"/>
          <w:sz w:val="24"/>
          <w:szCs w:val="24"/>
          <w:highlight w:val="none"/>
        </w:rPr>
      </w:pPr>
    </w:p>
    <w:p w14:paraId="24EC6340">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磋商响应供应商（盖章）：</w:t>
      </w:r>
    </w:p>
    <w:p w14:paraId="789E160E">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59FF410C">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14:paraId="54EA9E83">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p w14:paraId="3FCF38F6">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p w14:paraId="65C14627">
      <w:pPr>
        <w:autoSpaceDN w:val="0"/>
        <w:spacing w:line="360" w:lineRule="auto"/>
        <w:ind w:firstLine="7800" w:firstLineChars="3250"/>
        <w:jc w:val="left"/>
        <w:rPr>
          <w:rFonts w:ascii="仿宋" w:hAnsi="仿宋" w:eastAsia="仿宋" w:cs="Times New Roman"/>
          <w:b/>
          <w:bCs/>
          <w:color w:val="auto"/>
          <w:sz w:val="22"/>
          <w:highlight w:val="none"/>
        </w:rPr>
      </w:pPr>
      <w:r>
        <w:rPr>
          <w:rFonts w:hint="eastAsia" w:ascii="仿宋" w:hAnsi="仿宋" w:eastAsia="仿宋" w:cs="仿宋"/>
          <w:color w:val="auto"/>
          <w:sz w:val="24"/>
          <w:szCs w:val="24"/>
          <w:highlight w:val="none"/>
        </w:rPr>
        <w:t>年 月 日</w:t>
      </w:r>
    </w:p>
    <w:p w14:paraId="09B3CFC1">
      <w:pPr>
        <w:autoSpaceDN w:val="0"/>
        <w:spacing w:line="360" w:lineRule="auto"/>
        <w:ind w:firstLine="440" w:firstLineChars="200"/>
        <w:rPr>
          <w:rFonts w:ascii="仿宋" w:hAnsi="仿宋" w:eastAsia="仿宋" w:cs="Times New Roman"/>
          <w:b/>
          <w:bCs/>
          <w:color w:val="auto"/>
          <w:sz w:val="22"/>
          <w:highlight w:val="none"/>
        </w:rPr>
      </w:pPr>
    </w:p>
    <w:p w14:paraId="63401069">
      <w:pPr>
        <w:tabs>
          <w:tab w:val="center" w:pos="4755"/>
          <w:tab w:val="right" w:pos="9070"/>
        </w:tabs>
        <w:autoSpaceDN w:val="0"/>
        <w:spacing w:line="440" w:lineRule="exact"/>
        <w:ind w:firstLine="160" w:firstLineChars="50"/>
        <w:rPr>
          <w:rFonts w:ascii="仿宋" w:hAnsi="仿宋" w:eastAsia="仿宋" w:cs="Times New Roman"/>
          <w:b/>
          <w:bCs/>
          <w:color w:val="auto"/>
          <w:sz w:val="22"/>
          <w:highlight w:val="none"/>
        </w:rPr>
      </w:pPr>
      <w:r>
        <w:rPr>
          <w:rFonts w:hint="eastAsia" w:ascii="仿宋" w:hAnsi="仿宋" w:eastAsia="仿宋" w:cs="Times New Roman"/>
          <w:b/>
          <w:bCs/>
          <w:color w:val="auto"/>
          <w:kern w:val="0"/>
          <w:sz w:val="32"/>
          <w:szCs w:val="24"/>
          <w:highlight w:val="none"/>
        </w:rPr>
        <w:t>（2）工程量清单及计价表式</w:t>
      </w:r>
    </w:p>
    <w:p w14:paraId="6096DB60">
      <w:pPr>
        <w:tabs>
          <w:tab w:val="center" w:pos="4755"/>
          <w:tab w:val="right" w:pos="9070"/>
        </w:tabs>
        <w:autoSpaceDN w:val="0"/>
        <w:spacing w:line="440" w:lineRule="exact"/>
        <w:ind w:firstLine="110" w:firstLineChars="50"/>
        <w:rPr>
          <w:rFonts w:ascii="仿宋" w:hAnsi="仿宋" w:eastAsia="仿宋" w:cs="Times New Roman"/>
          <w:color w:val="auto"/>
          <w:kern w:val="0"/>
          <w:sz w:val="22"/>
          <w:highlight w:val="none"/>
        </w:rPr>
      </w:pPr>
      <w:r>
        <w:rPr>
          <w:rFonts w:hint="eastAsia" w:ascii="仿宋" w:hAnsi="仿宋" w:eastAsia="仿宋" w:cs="Times New Roman"/>
          <w:b/>
          <w:bCs/>
          <w:color w:val="auto"/>
          <w:sz w:val="22"/>
          <w:highlight w:val="none"/>
        </w:rPr>
        <w:t>格式一：</w:t>
      </w:r>
    </w:p>
    <w:p w14:paraId="72897D97">
      <w:pPr>
        <w:tabs>
          <w:tab w:val="right" w:pos="0"/>
          <w:tab w:val="center" w:pos="4755"/>
        </w:tabs>
        <w:autoSpaceDN w:val="0"/>
        <w:spacing w:before="100" w:beforeAutospacing="1" w:after="100" w:afterAutospacing="1" w:line="440" w:lineRule="exact"/>
        <w:ind w:firstLine="220" w:firstLineChars="100"/>
        <w:rPr>
          <w:rFonts w:ascii="仿宋" w:hAnsi="仿宋" w:eastAsia="仿宋" w:cs="Times New Roman"/>
          <w:color w:val="auto"/>
          <w:kern w:val="0"/>
          <w:sz w:val="22"/>
          <w:highlight w:val="none"/>
        </w:rPr>
      </w:pPr>
    </w:p>
    <w:p w14:paraId="5D3CCF82">
      <w:pPr>
        <w:keepNext/>
        <w:keepLines/>
        <w:autoSpaceDN w:val="0"/>
        <w:spacing w:before="280" w:after="290" w:line="374" w:lineRule="auto"/>
        <w:jc w:val="center"/>
        <w:outlineLvl w:val="3"/>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磋商总价</w:t>
      </w:r>
    </w:p>
    <w:p w14:paraId="24F6477F">
      <w:pPr>
        <w:widowControl/>
        <w:tabs>
          <w:tab w:val="center" w:pos="4755"/>
          <w:tab w:val="right" w:pos="9070"/>
        </w:tabs>
        <w:autoSpaceDN w:val="0"/>
        <w:spacing w:before="100" w:beforeAutospacing="1" w:after="100" w:afterAutospacing="1"/>
        <w:ind w:firstLine="220" w:firstLineChars="100"/>
        <w:jc w:val="center"/>
        <w:rPr>
          <w:rFonts w:ascii="仿宋" w:hAnsi="仿宋" w:eastAsia="仿宋" w:cs="Times New Roman"/>
          <w:color w:val="auto"/>
          <w:kern w:val="0"/>
          <w:sz w:val="22"/>
          <w:highlight w:val="none"/>
        </w:rPr>
      </w:pPr>
    </w:p>
    <w:p w14:paraId="0E98608F">
      <w:pPr>
        <w:widowControl/>
        <w:tabs>
          <w:tab w:val="center" w:pos="4755"/>
          <w:tab w:val="right" w:pos="9070"/>
        </w:tabs>
        <w:autoSpaceDN w:val="0"/>
        <w:spacing w:after="100" w:afterAutospacing="1"/>
        <w:ind w:left="1260" w:leftChars="600"/>
        <w:jc w:val="left"/>
        <w:rPr>
          <w:rFonts w:ascii="仿宋" w:hAnsi="仿宋" w:eastAsia="仿宋" w:cs="Times New Roman"/>
          <w:color w:val="auto"/>
          <w:kern w:val="0"/>
          <w:sz w:val="28"/>
          <w:szCs w:val="28"/>
          <w:highlight w:val="none"/>
          <w:u w:val="single"/>
        </w:rPr>
      </w:pPr>
      <w:r>
        <w:rPr>
          <w:rFonts w:hint="eastAsia" w:ascii="仿宋" w:hAnsi="仿宋" w:eastAsia="仿宋" w:cs="Times New Roman"/>
          <w:color w:val="auto"/>
          <w:kern w:val="0"/>
          <w:sz w:val="28"/>
          <w:szCs w:val="28"/>
          <w:highlight w:val="none"/>
        </w:rPr>
        <w:t>采 购 人：</w:t>
      </w:r>
      <w:r>
        <w:rPr>
          <w:rFonts w:hint="eastAsia" w:ascii="仿宋" w:hAnsi="仿宋" w:eastAsia="仿宋" w:cs="Times New Roman"/>
          <w:color w:val="auto"/>
          <w:kern w:val="0"/>
          <w:sz w:val="28"/>
          <w:szCs w:val="28"/>
          <w:highlight w:val="none"/>
          <w:u w:val="single"/>
        </w:rPr>
        <w:t xml:space="preserve">                                </w:t>
      </w:r>
    </w:p>
    <w:p w14:paraId="02231B77">
      <w:pPr>
        <w:widowControl/>
        <w:tabs>
          <w:tab w:val="center" w:pos="4755"/>
          <w:tab w:val="right" w:pos="9070"/>
        </w:tabs>
        <w:autoSpaceDN w:val="0"/>
        <w:spacing w:after="100" w:afterAutospacing="1"/>
        <w:ind w:left="1260" w:leftChars="600"/>
        <w:jc w:val="left"/>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8"/>
          <w:szCs w:val="28"/>
          <w:highlight w:val="none"/>
        </w:rPr>
        <w:t>项目名称：</w:t>
      </w:r>
      <w:r>
        <w:rPr>
          <w:rFonts w:hint="eastAsia" w:ascii="仿宋" w:hAnsi="仿宋" w:eastAsia="仿宋" w:cs="Times New Roman"/>
          <w:color w:val="auto"/>
          <w:kern w:val="0"/>
          <w:sz w:val="28"/>
          <w:szCs w:val="28"/>
          <w:highlight w:val="none"/>
          <w:u w:val="single"/>
        </w:rPr>
        <w:t xml:space="preserve">                                </w:t>
      </w:r>
    </w:p>
    <w:p w14:paraId="4EE2ECDD">
      <w:pPr>
        <w:widowControl/>
        <w:tabs>
          <w:tab w:val="center" w:pos="4755"/>
          <w:tab w:val="right" w:pos="9070"/>
        </w:tabs>
        <w:autoSpaceDN w:val="0"/>
        <w:spacing w:after="100" w:afterAutospacing="1"/>
        <w:ind w:left="1260" w:leftChars="600"/>
        <w:jc w:val="left"/>
        <w:rPr>
          <w:rFonts w:ascii="仿宋" w:hAnsi="仿宋" w:eastAsia="仿宋" w:cs="Times New Roman"/>
          <w:color w:val="auto"/>
          <w:kern w:val="0"/>
          <w:sz w:val="28"/>
          <w:szCs w:val="28"/>
          <w:highlight w:val="none"/>
          <w:u w:val="single"/>
        </w:rPr>
      </w:pPr>
      <w:r>
        <w:rPr>
          <w:rFonts w:hint="eastAsia" w:ascii="仿宋" w:hAnsi="仿宋" w:eastAsia="仿宋" w:cs="Times New Roman"/>
          <w:color w:val="auto"/>
          <w:kern w:val="0"/>
          <w:sz w:val="28"/>
          <w:szCs w:val="28"/>
          <w:highlight w:val="none"/>
        </w:rPr>
        <w:t>磋商总价（小写）：</w:t>
      </w:r>
      <w:r>
        <w:rPr>
          <w:rFonts w:hint="eastAsia" w:ascii="仿宋" w:hAnsi="仿宋" w:eastAsia="仿宋" w:cs="Times New Roman"/>
          <w:color w:val="auto"/>
          <w:kern w:val="0"/>
          <w:sz w:val="28"/>
          <w:szCs w:val="28"/>
          <w:highlight w:val="none"/>
          <w:u w:val="single"/>
        </w:rPr>
        <w:t xml:space="preserve">                        </w:t>
      </w:r>
    </w:p>
    <w:p w14:paraId="09B6E3F7">
      <w:pPr>
        <w:widowControl/>
        <w:tabs>
          <w:tab w:val="center" w:pos="4755"/>
          <w:tab w:val="right" w:pos="9070"/>
        </w:tabs>
        <w:autoSpaceDN w:val="0"/>
        <w:spacing w:after="100" w:afterAutospacing="1"/>
        <w:ind w:left="2415" w:leftChars="1150"/>
        <w:jc w:val="left"/>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8"/>
          <w:szCs w:val="28"/>
          <w:highlight w:val="none"/>
        </w:rPr>
        <w:t>（大写）：</w:t>
      </w:r>
      <w:r>
        <w:rPr>
          <w:rFonts w:hint="eastAsia" w:ascii="仿宋" w:hAnsi="仿宋" w:eastAsia="仿宋" w:cs="Times New Roman"/>
          <w:color w:val="auto"/>
          <w:kern w:val="0"/>
          <w:sz w:val="28"/>
          <w:szCs w:val="28"/>
          <w:highlight w:val="none"/>
          <w:u w:val="single"/>
        </w:rPr>
        <w:t xml:space="preserve">                        </w:t>
      </w:r>
    </w:p>
    <w:p w14:paraId="2FD77C0D">
      <w:pPr>
        <w:widowControl/>
        <w:tabs>
          <w:tab w:val="center" w:pos="4755"/>
          <w:tab w:val="right" w:pos="9070"/>
        </w:tabs>
        <w:autoSpaceDN w:val="0"/>
        <w:spacing w:after="100" w:afterAutospacing="1"/>
        <w:ind w:left="1260" w:leftChars="600"/>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8"/>
          <w:szCs w:val="28"/>
          <w:highlight w:val="none"/>
        </w:rPr>
        <w:t>供应商：</w:t>
      </w:r>
      <w:r>
        <w:rPr>
          <w:rFonts w:hint="eastAsia" w:ascii="仿宋" w:hAnsi="仿宋" w:eastAsia="仿宋" w:cs="Times New Roman"/>
          <w:color w:val="auto"/>
          <w:kern w:val="0"/>
          <w:sz w:val="28"/>
          <w:szCs w:val="28"/>
          <w:highlight w:val="none"/>
          <w:u w:val="single"/>
        </w:rPr>
        <w:t xml:space="preserve">                                  </w:t>
      </w:r>
      <w:r>
        <w:rPr>
          <w:rFonts w:hint="eastAsia" w:ascii="仿宋" w:hAnsi="仿宋" w:eastAsia="仿宋" w:cs="Times New Roman"/>
          <w:color w:val="auto"/>
          <w:kern w:val="0"/>
          <w:sz w:val="28"/>
          <w:szCs w:val="28"/>
          <w:highlight w:val="none"/>
        </w:rPr>
        <w:t>（单位盖章）</w:t>
      </w:r>
    </w:p>
    <w:p w14:paraId="27A9FBC0">
      <w:pPr>
        <w:widowControl/>
        <w:autoSpaceDN w:val="0"/>
        <w:spacing w:after="100" w:line="720" w:lineRule="auto"/>
        <w:ind w:left="1260" w:leftChars="600"/>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8"/>
          <w:szCs w:val="28"/>
          <w:highlight w:val="none"/>
        </w:rPr>
        <w:t>法定代表人：</w:t>
      </w:r>
      <w:r>
        <w:rPr>
          <w:rFonts w:hint="eastAsia" w:ascii="仿宋" w:hAnsi="仿宋" w:eastAsia="仿宋" w:cs="Times New Roman"/>
          <w:color w:val="auto"/>
          <w:kern w:val="0"/>
          <w:sz w:val="28"/>
          <w:szCs w:val="28"/>
          <w:highlight w:val="none"/>
          <w:u w:val="single"/>
        </w:rPr>
        <w:t xml:space="preserve">                              </w:t>
      </w:r>
      <w:r>
        <w:rPr>
          <w:rFonts w:hint="eastAsia" w:ascii="仿宋" w:hAnsi="仿宋" w:eastAsia="仿宋" w:cs="Times New Roman"/>
          <w:color w:val="auto"/>
          <w:kern w:val="0"/>
          <w:sz w:val="28"/>
          <w:szCs w:val="28"/>
          <w:highlight w:val="none"/>
        </w:rPr>
        <w:t>（签字或盖章）</w:t>
      </w:r>
    </w:p>
    <w:p w14:paraId="364F0133">
      <w:pPr>
        <w:widowControl/>
        <w:tabs>
          <w:tab w:val="center" w:pos="4755"/>
          <w:tab w:val="right" w:pos="9070"/>
        </w:tabs>
        <w:autoSpaceDN w:val="0"/>
        <w:spacing w:after="100" w:afterAutospacing="1" w:line="720" w:lineRule="auto"/>
        <w:ind w:left="1260" w:leftChars="600"/>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8"/>
          <w:szCs w:val="28"/>
          <w:highlight w:val="none"/>
        </w:rPr>
        <w:t>编制人员：</w:t>
      </w:r>
      <w:r>
        <w:rPr>
          <w:rFonts w:ascii="Calibri" w:hAnsi="Calibri" w:eastAsia="仿宋" w:cs="Calibri"/>
          <w:color w:val="auto"/>
          <w:sz w:val="28"/>
          <w:szCs w:val="28"/>
          <w:highlight w:val="none"/>
          <w:u w:val="single"/>
        </w:rPr>
        <w:t>                       </w:t>
      </w:r>
      <w:r>
        <w:rPr>
          <w:rFonts w:hint="eastAsia" w:ascii="仿宋" w:hAnsi="仿宋" w:eastAsia="仿宋" w:cs="Times New Roman"/>
          <w:color w:val="auto"/>
          <w:sz w:val="28"/>
          <w:szCs w:val="28"/>
          <w:highlight w:val="none"/>
          <w:u w:val="single"/>
        </w:rPr>
        <w:t xml:space="preserve">                    </w:t>
      </w:r>
      <w:r>
        <w:rPr>
          <w:rFonts w:ascii="Calibri" w:hAnsi="Calibri" w:eastAsia="仿宋" w:cs="Calibri"/>
          <w:color w:val="auto"/>
          <w:sz w:val="28"/>
          <w:szCs w:val="28"/>
          <w:highlight w:val="none"/>
          <w:u w:val="single"/>
        </w:rPr>
        <w:t>  </w:t>
      </w:r>
      <w:r>
        <w:rPr>
          <w:rFonts w:hint="eastAsia" w:ascii="仿宋" w:hAnsi="仿宋" w:eastAsia="仿宋" w:cs="Times New Roman"/>
          <w:color w:val="auto"/>
          <w:kern w:val="0"/>
          <w:sz w:val="28"/>
          <w:szCs w:val="28"/>
          <w:highlight w:val="none"/>
        </w:rPr>
        <w:t>（签字或盖章）</w:t>
      </w:r>
    </w:p>
    <w:p w14:paraId="5F37BDED">
      <w:pPr>
        <w:widowControl/>
        <w:tabs>
          <w:tab w:val="center" w:pos="4755"/>
          <w:tab w:val="right" w:pos="9070"/>
        </w:tabs>
        <w:autoSpaceDN w:val="0"/>
        <w:spacing w:line="400" w:lineRule="exact"/>
        <w:ind w:left="1260" w:leftChars="600"/>
        <w:rPr>
          <w:rFonts w:ascii="仿宋" w:hAnsi="仿宋" w:eastAsia="仿宋" w:cs="Times New Roman"/>
          <w:b/>
          <w:color w:val="auto"/>
          <w:kern w:val="0"/>
          <w:sz w:val="28"/>
          <w:szCs w:val="28"/>
          <w:highlight w:val="none"/>
        </w:rPr>
      </w:pPr>
      <w:r>
        <w:rPr>
          <w:rFonts w:hint="eastAsia" w:ascii="仿宋" w:hAnsi="仿宋" w:eastAsia="仿宋" w:cs="Times New Roman"/>
          <w:color w:val="auto"/>
          <w:kern w:val="0"/>
          <w:sz w:val="28"/>
          <w:szCs w:val="28"/>
          <w:highlight w:val="none"/>
        </w:rPr>
        <w:t>编制时间：</w:t>
      </w:r>
      <w:r>
        <w:rPr>
          <w:rFonts w:ascii="Calibri" w:hAnsi="Calibri" w:eastAsia="仿宋" w:cs="Calibri"/>
          <w:color w:val="auto"/>
          <w:sz w:val="28"/>
          <w:szCs w:val="28"/>
          <w:highlight w:val="none"/>
          <w:u w:val="single"/>
        </w:rPr>
        <w:t>              </w:t>
      </w:r>
      <w:r>
        <w:rPr>
          <w:rFonts w:hint="eastAsia" w:ascii="仿宋" w:hAnsi="仿宋" w:eastAsia="仿宋" w:cs="Times New Roman"/>
          <w:color w:val="auto"/>
          <w:sz w:val="28"/>
          <w:szCs w:val="28"/>
          <w:highlight w:val="none"/>
          <w:u w:val="single"/>
        </w:rPr>
        <w:t xml:space="preserve">                </w:t>
      </w:r>
      <w:r>
        <w:rPr>
          <w:rFonts w:ascii="Calibri" w:hAnsi="Calibri" w:eastAsia="仿宋" w:cs="Calibri"/>
          <w:color w:val="auto"/>
          <w:sz w:val="28"/>
          <w:szCs w:val="28"/>
          <w:highlight w:val="none"/>
          <w:u w:val="single"/>
        </w:rPr>
        <w:t>     </w:t>
      </w:r>
      <w:r>
        <w:rPr>
          <w:rFonts w:hint="eastAsia" w:ascii="仿宋" w:hAnsi="仿宋" w:eastAsia="仿宋" w:cs="Times New Roman"/>
          <w:color w:val="auto"/>
          <w:sz w:val="28"/>
          <w:szCs w:val="28"/>
          <w:highlight w:val="none"/>
          <w:u w:val="single"/>
        </w:rPr>
        <w:t xml:space="preserve">   </w:t>
      </w:r>
      <w:r>
        <w:rPr>
          <w:rFonts w:ascii="Calibri" w:hAnsi="Calibri" w:eastAsia="仿宋" w:cs="Calibri"/>
          <w:color w:val="auto"/>
          <w:sz w:val="28"/>
          <w:szCs w:val="28"/>
          <w:highlight w:val="none"/>
          <w:u w:val="single"/>
        </w:rPr>
        <w:t>  </w:t>
      </w:r>
      <w:r>
        <w:rPr>
          <w:rFonts w:hint="eastAsia" w:ascii="仿宋" w:hAnsi="仿宋" w:eastAsia="仿宋" w:cs="Times New Roman"/>
          <w:color w:val="auto"/>
          <w:kern w:val="0"/>
          <w:sz w:val="28"/>
          <w:szCs w:val="28"/>
          <w:highlight w:val="none"/>
          <w:u w:val="single"/>
        </w:rPr>
        <w:t xml:space="preserve"> </w:t>
      </w:r>
      <w:r>
        <w:rPr>
          <w:rFonts w:ascii="Calibri" w:hAnsi="Calibri" w:eastAsia="仿宋" w:cs="Calibri"/>
          <w:color w:val="auto"/>
          <w:sz w:val="28"/>
          <w:szCs w:val="28"/>
          <w:highlight w:val="none"/>
          <w:u w:val="single"/>
        </w:rPr>
        <w:t>      </w:t>
      </w:r>
    </w:p>
    <w:p w14:paraId="0877878E">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工程量清单报价说明</w:t>
      </w:r>
    </w:p>
    <w:p w14:paraId="573EFDC6">
      <w:pPr>
        <w:autoSpaceDN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4890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49" w:hRule="atLeast"/>
          <w:jc w:val="center"/>
        </w:trPr>
        <w:tc>
          <w:tcPr>
            <w:tcW w:w="9286" w:type="dxa"/>
            <w:tcBorders>
              <w:top w:val="single" w:color="auto" w:sz="4" w:space="0"/>
              <w:left w:val="single" w:color="auto" w:sz="4" w:space="0"/>
              <w:bottom w:val="single" w:color="auto" w:sz="4" w:space="0"/>
              <w:right w:val="single" w:color="auto" w:sz="4" w:space="0"/>
            </w:tcBorders>
            <w:noWrap/>
          </w:tcPr>
          <w:p w14:paraId="48FA0E89">
            <w:pPr>
              <w:autoSpaceDN w:val="0"/>
              <w:rPr>
                <w:rFonts w:ascii="仿宋" w:hAnsi="仿宋" w:eastAsia="仿宋" w:cs="Times New Roman"/>
                <w:color w:val="auto"/>
                <w:sz w:val="24"/>
                <w:szCs w:val="24"/>
                <w:highlight w:val="none"/>
              </w:rPr>
            </w:pPr>
          </w:p>
        </w:tc>
      </w:tr>
    </w:tbl>
    <w:p w14:paraId="51380952">
      <w:pPr>
        <w:autoSpaceDN w:val="0"/>
        <w:ind w:firstLine="240" w:firstLineChars="1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磋商响应供应商：（盖章）</w:t>
      </w:r>
    </w:p>
    <w:p w14:paraId="08CDAB0C">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表1-1-1  工程项目报价汇总表</w:t>
      </w:r>
    </w:p>
    <w:p w14:paraId="0FC4AAF9">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300"/>
        <w:gridCol w:w="1978"/>
      </w:tblGrid>
      <w:tr w14:paraId="76F5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32D5CFFB">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6300" w:type="dxa"/>
            <w:tcBorders>
              <w:top w:val="single" w:color="auto" w:sz="4" w:space="0"/>
              <w:left w:val="single" w:color="auto" w:sz="4" w:space="0"/>
              <w:bottom w:val="single" w:color="auto" w:sz="4" w:space="0"/>
              <w:right w:val="single" w:color="auto" w:sz="4" w:space="0"/>
            </w:tcBorders>
            <w:noWrap/>
            <w:vAlign w:val="center"/>
          </w:tcPr>
          <w:p w14:paraId="776370BA">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内容</w:t>
            </w:r>
          </w:p>
        </w:tc>
        <w:tc>
          <w:tcPr>
            <w:tcW w:w="1978" w:type="dxa"/>
            <w:tcBorders>
              <w:top w:val="single" w:color="auto" w:sz="4" w:space="0"/>
              <w:left w:val="single" w:color="auto" w:sz="4" w:space="0"/>
              <w:bottom w:val="single" w:color="auto" w:sz="4" w:space="0"/>
              <w:right w:val="single" w:color="auto" w:sz="4" w:space="0"/>
            </w:tcBorders>
            <w:noWrap/>
            <w:vAlign w:val="center"/>
          </w:tcPr>
          <w:p w14:paraId="446619EE">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报价（元）</w:t>
            </w:r>
          </w:p>
        </w:tc>
      </w:tr>
      <w:tr w14:paraId="2196E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7205D19C">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14:paraId="055B01A7">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单位工程费合计</w:t>
            </w:r>
          </w:p>
        </w:tc>
        <w:tc>
          <w:tcPr>
            <w:tcW w:w="1978" w:type="dxa"/>
            <w:tcBorders>
              <w:top w:val="single" w:color="auto" w:sz="4" w:space="0"/>
              <w:left w:val="single" w:color="auto" w:sz="4" w:space="0"/>
              <w:bottom w:val="single" w:color="auto" w:sz="4" w:space="0"/>
              <w:right w:val="single" w:color="auto" w:sz="4" w:space="0"/>
            </w:tcBorders>
            <w:noWrap/>
            <w:vAlign w:val="center"/>
          </w:tcPr>
          <w:p w14:paraId="46DD23A2">
            <w:pPr>
              <w:autoSpaceDN w:val="0"/>
              <w:rPr>
                <w:rFonts w:ascii="仿宋" w:hAnsi="仿宋" w:eastAsia="仿宋" w:cs="仿宋"/>
                <w:color w:val="auto"/>
                <w:sz w:val="24"/>
                <w:szCs w:val="24"/>
                <w:highlight w:val="none"/>
              </w:rPr>
            </w:pPr>
          </w:p>
        </w:tc>
      </w:tr>
      <w:tr w14:paraId="7838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1FDDA959">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300" w:type="dxa"/>
            <w:tcBorders>
              <w:top w:val="single" w:color="auto" w:sz="4" w:space="0"/>
              <w:left w:val="single" w:color="auto" w:sz="4" w:space="0"/>
              <w:bottom w:val="single" w:color="auto" w:sz="4" w:space="0"/>
              <w:right w:val="single" w:color="auto" w:sz="4" w:space="0"/>
            </w:tcBorders>
            <w:noWrap/>
            <w:vAlign w:val="center"/>
          </w:tcPr>
          <w:p w14:paraId="356CEBD1">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（单位工程1，如1号楼）</w:t>
            </w:r>
          </w:p>
        </w:tc>
        <w:tc>
          <w:tcPr>
            <w:tcW w:w="1978" w:type="dxa"/>
            <w:tcBorders>
              <w:top w:val="single" w:color="auto" w:sz="4" w:space="0"/>
              <w:left w:val="single" w:color="auto" w:sz="4" w:space="0"/>
              <w:bottom w:val="single" w:color="auto" w:sz="4" w:space="0"/>
              <w:right w:val="single" w:color="auto" w:sz="4" w:space="0"/>
            </w:tcBorders>
            <w:noWrap/>
            <w:vAlign w:val="center"/>
          </w:tcPr>
          <w:p w14:paraId="0614FFF7">
            <w:pPr>
              <w:autoSpaceDN w:val="0"/>
              <w:rPr>
                <w:rFonts w:ascii="仿宋" w:hAnsi="仿宋" w:eastAsia="仿宋" w:cs="仿宋"/>
                <w:color w:val="auto"/>
                <w:sz w:val="24"/>
                <w:szCs w:val="24"/>
                <w:highlight w:val="none"/>
              </w:rPr>
            </w:pPr>
          </w:p>
        </w:tc>
      </w:tr>
      <w:tr w14:paraId="2BEE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A508166">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300" w:type="dxa"/>
            <w:tcBorders>
              <w:top w:val="single" w:color="auto" w:sz="4" w:space="0"/>
              <w:left w:val="single" w:color="auto" w:sz="4" w:space="0"/>
              <w:bottom w:val="single" w:color="auto" w:sz="4" w:space="0"/>
              <w:right w:val="single" w:color="auto" w:sz="4" w:space="0"/>
            </w:tcBorders>
            <w:noWrap/>
            <w:vAlign w:val="center"/>
          </w:tcPr>
          <w:p w14:paraId="5EED52FC">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（单位工程2）</w:t>
            </w:r>
          </w:p>
        </w:tc>
        <w:tc>
          <w:tcPr>
            <w:tcW w:w="1978" w:type="dxa"/>
            <w:tcBorders>
              <w:top w:val="single" w:color="auto" w:sz="4" w:space="0"/>
              <w:left w:val="single" w:color="auto" w:sz="4" w:space="0"/>
              <w:bottom w:val="single" w:color="auto" w:sz="4" w:space="0"/>
              <w:right w:val="single" w:color="auto" w:sz="4" w:space="0"/>
            </w:tcBorders>
            <w:noWrap/>
            <w:vAlign w:val="center"/>
          </w:tcPr>
          <w:p w14:paraId="61D942F0">
            <w:pPr>
              <w:autoSpaceDN w:val="0"/>
              <w:rPr>
                <w:rFonts w:ascii="仿宋" w:hAnsi="仿宋" w:eastAsia="仿宋" w:cs="仿宋"/>
                <w:color w:val="auto"/>
                <w:sz w:val="24"/>
                <w:szCs w:val="24"/>
                <w:highlight w:val="none"/>
              </w:rPr>
            </w:pPr>
          </w:p>
        </w:tc>
      </w:tr>
      <w:tr w14:paraId="2DC87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307D157">
            <w:pPr>
              <w:tabs>
                <w:tab w:val="left" w:pos="3780"/>
              </w:tabs>
              <w:autoSpaceDN w:val="0"/>
              <w:jc w:val="center"/>
              <w:rPr>
                <w:rFonts w:ascii="仿宋" w:hAnsi="仿宋" w:eastAsia="仿宋" w:cs="仿宋"/>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5F670F10">
            <w:pPr>
              <w:tabs>
                <w:tab w:val="left" w:pos="3780"/>
              </w:tabs>
              <w:autoSpaceDN w:val="0"/>
              <w:rPr>
                <w:rFonts w:ascii="仿宋" w:hAnsi="仿宋" w:eastAsia="仿宋" w:cs="仿宋"/>
                <w:color w:val="auto"/>
                <w:sz w:val="24"/>
                <w:szCs w:val="24"/>
                <w:highlight w:val="none"/>
              </w:rPr>
            </w:pPr>
          </w:p>
        </w:tc>
        <w:tc>
          <w:tcPr>
            <w:tcW w:w="1978" w:type="dxa"/>
            <w:tcBorders>
              <w:top w:val="single" w:color="auto" w:sz="4" w:space="0"/>
              <w:left w:val="single" w:color="auto" w:sz="4" w:space="0"/>
              <w:bottom w:val="single" w:color="auto" w:sz="4" w:space="0"/>
              <w:right w:val="single" w:color="auto" w:sz="4" w:space="0"/>
            </w:tcBorders>
            <w:noWrap/>
            <w:vAlign w:val="center"/>
          </w:tcPr>
          <w:p w14:paraId="0F1621FC">
            <w:pPr>
              <w:autoSpaceDN w:val="0"/>
              <w:rPr>
                <w:rFonts w:ascii="仿宋" w:hAnsi="仿宋" w:eastAsia="仿宋" w:cs="仿宋"/>
                <w:color w:val="auto"/>
                <w:sz w:val="24"/>
                <w:szCs w:val="24"/>
                <w:highlight w:val="none"/>
              </w:rPr>
            </w:pPr>
          </w:p>
        </w:tc>
      </w:tr>
      <w:tr w14:paraId="0F6BF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7379D24">
            <w:pPr>
              <w:tabs>
                <w:tab w:val="left" w:pos="3780"/>
              </w:tabs>
              <w:autoSpaceDN w:val="0"/>
              <w:jc w:val="center"/>
              <w:rPr>
                <w:rFonts w:ascii="仿宋" w:hAnsi="仿宋" w:eastAsia="仿宋" w:cs="仿宋"/>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2F42F68C">
            <w:pPr>
              <w:tabs>
                <w:tab w:val="left" w:pos="3780"/>
              </w:tabs>
              <w:autoSpaceDN w:val="0"/>
              <w:rPr>
                <w:rFonts w:ascii="仿宋" w:hAnsi="仿宋" w:eastAsia="仿宋" w:cs="仿宋"/>
                <w:color w:val="auto"/>
                <w:sz w:val="24"/>
                <w:szCs w:val="24"/>
                <w:highlight w:val="none"/>
              </w:rPr>
            </w:pPr>
          </w:p>
        </w:tc>
        <w:tc>
          <w:tcPr>
            <w:tcW w:w="1978" w:type="dxa"/>
            <w:tcBorders>
              <w:top w:val="single" w:color="auto" w:sz="4" w:space="0"/>
              <w:left w:val="single" w:color="auto" w:sz="4" w:space="0"/>
              <w:bottom w:val="single" w:color="auto" w:sz="4" w:space="0"/>
              <w:right w:val="single" w:color="auto" w:sz="4" w:space="0"/>
            </w:tcBorders>
            <w:noWrap/>
            <w:vAlign w:val="center"/>
          </w:tcPr>
          <w:p w14:paraId="6537EF48">
            <w:pPr>
              <w:autoSpaceDN w:val="0"/>
              <w:rPr>
                <w:rFonts w:ascii="仿宋" w:hAnsi="仿宋" w:eastAsia="仿宋" w:cs="仿宋"/>
                <w:color w:val="auto"/>
                <w:sz w:val="24"/>
                <w:szCs w:val="24"/>
                <w:highlight w:val="none"/>
              </w:rPr>
            </w:pPr>
          </w:p>
        </w:tc>
      </w:tr>
      <w:tr w14:paraId="663B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77722B56">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14:paraId="50C98C03">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未纳入单位工程费的其他费用[（一）+（二）+（三）+（四）]</w:t>
            </w:r>
          </w:p>
        </w:tc>
        <w:tc>
          <w:tcPr>
            <w:tcW w:w="1978" w:type="dxa"/>
            <w:tcBorders>
              <w:top w:val="single" w:color="auto" w:sz="4" w:space="0"/>
              <w:left w:val="single" w:color="auto" w:sz="4" w:space="0"/>
              <w:bottom w:val="single" w:color="auto" w:sz="4" w:space="0"/>
              <w:right w:val="single" w:color="auto" w:sz="4" w:space="0"/>
            </w:tcBorders>
            <w:noWrap/>
            <w:vAlign w:val="center"/>
          </w:tcPr>
          <w:p w14:paraId="4B17943A">
            <w:pPr>
              <w:autoSpaceDN w:val="0"/>
              <w:rPr>
                <w:rFonts w:ascii="仿宋" w:hAnsi="仿宋" w:eastAsia="仿宋" w:cs="仿宋"/>
                <w:color w:val="auto"/>
                <w:sz w:val="24"/>
                <w:szCs w:val="24"/>
                <w:highlight w:val="none"/>
              </w:rPr>
            </w:pPr>
          </w:p>
        </w:tc>
      </w:tr>
      <w:tr w14:paraId="0E8C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80AF20A">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14:paraId="110B8E44">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整体措施项目清单（1+2）</w:t>
            </w:r>
          </w:p>
        </w:tc>
        <w:tc>
          <w:tcPr>
            <w:tcW w:w="1978" w:type="dxa"/>
            <w:tcBorders>
              <w:top w:val="single" w:color="auto" w:sz="4" w:space="0"/>
              <w:left w:val="single" w:color="auto" w:sz="4" w:space="0"/>
              <w:bottom w:val="single" w:color="auto" w:sz="4" w:space="0"/>
              <w:right w:val="single" w:color="auto" w:sz="4" w:space="0"/>
            </w:tcBorders>
            <w:noWrap/>
            <w:vAlign w:val="center"/>
          </w:tcPr>
          <w:p w14:paraId="1A5A93A6">
            <w:pPr>
              <w:autoSpaceDN w:val="0"/>
              <w:rPr>
                <w:rFonts w:ascii="仿宋" w:hAnsi="仿宋" w:eastAsia="仿宋" w:cs="仿宋"/>
                <w:color w:val="auto"/>
                <w:sz w:val="24"/>
                <w:szCs w:val="24"/>
                <w:highlight w:val="none"/>
              </w:rPr>
            </w:pPr>
          </w:p>
        </w:tc>
      </w:tr>
      <w:tr w14:paraId="0A13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4622947B">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300" w:type="dxa"/>
            <w:tcBorders>
              <w:top w:val="single" w:color="auto" w:sz="4" w:space="0"/>
              <w:left w:val="single" w:color="auto" w:sz="4" w:space="0"/>
              <w:bottom w:val="single" w:color="auto" w:sz="4" w:space="0"/>
              <w:right w:val="single" w:color="auto" w:sz="4" w:space="0"/>
            </w:tcBorders>
            <w:noWrap/>
            <w:vAlign w:val="center"/>
          </w:tcPr>
          <w:p w14:paraId="07AA32F6">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组织措施项目清单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0FA35FED">
            <w:pPr>
              <w:autoSpaceDN w:val="0"/>
              <w:rPr>
                <w:rFonts w:ascii="仿宋" w:hAnsi="仿宋" w:eastAsia="仿宋" w:cs="仿宋"/>
                <w:color w:val="auto"/>
                <w:sz w:val="24"/>
                <w:szCs w:val="24"/>
                <w:highlight w:val="none"/>
              </w:rPr>
            </w:pPr>
          </w:p>
        </w:tc>
      </w:tr>
      <w:tr w14:paraId="04CD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6ED4E4AE">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300" w:type="dxa"/>
            <w:tcBorders>
              <w:top w:val="single" w:color="auto" w:sz="4" w:space="0"/>
              <w:left w:val="single" w:color="auto" w:sz="4" w:space="0"/>
              <w:bottom w:val="single" w:color="auto" w:sz="4" w:space="0"/>
              <w:right w:val="single" w:color="auto" w:sz="4" w:space="0"/>
            </w:tcBorders>
            <w:noWrap/>
            <w:vAlign w:val="center"/>
          </w:tcPr>
          <w:p w14:paraId="34D84E99">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技术措施项目清单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661D1489">
            <w:pPr>
              <w:autoSpaceDN w:val="0"/>
              <w:rPr>
                <w:rFonts w:ascii="仿宋" w:hAnsi="仿宋" w:eastAsia="仿宋" w:cs="仿宋"/>
                <w:color w:val="auto"/>
                <w:sz w:val="24"/>
                <w:szCs w:val="24"/>
                <w:highlight w:val="none"/>
              </w:rPr>
            </w:pPr>
          </w:p>
        </w:tc>
      </w:tr>
      <w:tr w14:paraId="1B4F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B2C3BA2">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14:paraId="46A2343F">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整体其他项目清单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7748D6A7">
            <w:pPr>
              <w:autoSpaceDN w:val="0"/>
              <w:rPr>
                <w:rFonts w:ascii="仿宋" w:hAnsi="仿宋" w:eastAsia="仿宋" w:cs="仿宋"/>
                <w:color w:val="auto"/>
                <w:sz w:val="24"/>
                <w:szCs w:val="24"/>
                <w:highlight w:val="none"/>
              </w:rPr>
            </w:pPr>
          </w:p>
        </w:tc>
      </w:tr>
      <w:tr w14:paraId="241EF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66563D9E">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6300" w:type="dxa"/>
            <w:tcBorders>
              <w:top w:val="single" w:color="auto" w:sz="4" w:space="0"/>
              <w:left w:val="single" w:color="auto" w:sz="4" w:space="0"/>
              <w:bottom w:val="single" w:color="auto" w:sz="4" w:space="0"/>
              <w:right w:val="single" w:color="auto" w:sz="4" w:space="0"/>
            </w:tcBorders>
            <w:noWrap/>
            <w:vAlign w:val="center"/>
          </w:tcPr>
          <w:p w14:paraId="180E72B3">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整体措施项目规费</w:t>
            </w:r>
          </w:p>
        </w:tc>
        <w:tc>
          <w:tcPr>
            <w:tcW w:w="1978" w:type="dxa"/>
            <w:tcBorders>
              <w:top w:val="single" w:color="auto" w:sz="4" w:space="0"/>
              <w:left w:val="single" w:color="auto" w:sz="4" w:space="0"/>
              <w:bottom w:val="single" w:color="auto" w:sz="4" w:space="0"/>
              <w:right w:val="single" w:color="auto" w:sz="4" w:space="0"/>
            </w:tcBorders>
            <w:noWrap/>
            <w:vAlign w:val="center"/>
          </w:tcPr>
          <w:p w14:paraId="7422FF26">
            <w:pPr>
              <w:autoSpaceDN w:val="0"/>
              <w:rPr>
                <w:rFonts w:ascii="仿宋" w:hAnsi="仿宋" w:eastAsia="仿宋" w:cs="仿宋"/>
                <w:color w:val="auto"/>
                <w:sz w:val="24"/>
                <w:szCs w:val="24"/>
                <w:highlight w:val="none"/>
              </w:rPr>
            </w:pPr>
          </w:p>
        </w:tc>
      </w:tr>
      <w:tr w14:paraId="3E79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2C34CD3">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p>
        </w:tc>
        <w:tc>
          <w:tcPr>
            <w:tcW w:w="6300" w:type="dxa"/>
            <w:tcBorders>
              <w:top w:val="single" w:color="auto" w:sz="4" w:space="0"/>
              <w:left w:val="single" w:color="auto" w:sz="4" w:space="0"/>
              <w:bottom w:val="single" w:color="auto" w:sz="4" w:space="0"/>
              <w:right w:val="single" w:color="auto" w:sz="4" w:space="0"/>
            </w:tcBorders>
            <w:noWrap/>
            <w:vAlign w:val="center"/>
          </w:tcPr>
          <w:p w14:paraId="4FEB606A">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税金 {[（一）+（二）+（三）]*费率}</w:t>
            </w:r>
          </w:p>
        </w:tc>
        <w:tc>
          <w:tcPr>
            <w:tcW w:w="1978" w:type="dxa"/>
            <w:tcBorders>
              <w:top w:val="single" w:color="auto" w:sz="4" w:space="0"/>
              <w:left w:val="single" w:color="auto" w:sz="4" w:space="0"/>
              <w:bottom w:val="single" w:color="auto" w:sz="4" w:space="0"/>
              <w:right w:val="single" w:color="auto" w:sz="4" w:space="0"/>
            </w:tcBorders>
            <w:noWrap/>
            <w:vAlign w:val="center"/>
          </w:tcPr>
          <w:p w14:paraId="3E373C81">
            <w:pPr>
              <w:autoSpaceDN w:val="0"/>
              <w:rPr>
                <w:rFonts w:ascii="仿宋" w:hAnsi="仿宋" w:eastAsia="仿宋" w:cs="仿宋"/>
                <w:color w:val="auto"/>
                <w:sz w:val="24"/>
                <w:szCs w:val="24"/>
                <w:highlight w:val="none"/>
              </w:rPr>
            </w:pPr>
          </w:p>
        </w:tc>
      </w:tr>
      <w:tr w14:paraId="57C3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tcPr>
          <w:p w14:paraId="08A7DB4F">
            <w:pPr>
              <w:widowControl/>
              <w:tabs>
                <w:tab w:val="center" w:pos="4755"/>
                <w:tab w:val="right" w:pos="9070"/>
              </w:tabs>
              <w:autoSpaceDN w:val="0"/>
              <w:spacing w:before="100" w:beforeAutospacing="1" w:after="100" w:afterAutospacing="1"/>
              <w:jc w:val="left"/>
              <w:rPr>
                <w:rFonts w:ascii="仿宋" w:hAnsi="仿宋" w:eastAsia="仿宋" w:cs="仿宋"/>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281A2B9B">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总报价 [一 + 二 ]</w:t>
            </w:r>
          </w:p>
        </w:tc>
        <w:tc>
          <w:tcPr>
            <w:tcW w:w="1978" w:type="dxa"/>
            <w:tcBorders>
              <w:top w:val="single" w:color="auto" w:sz="4" w:space="0"/>
              <w:left w:val="single" w:color="auto" w:sz="4" w:space="0"/>
              <w:bottom w:val="single" w:color="auto" w:sz="4" w:space="0"/>
              <w:right w:val="single" w:color="auto" w:sz="4" w:space="0"/>
            </w:tcBorders>
            <w:noWrap/>
            <w:vAlign w:val="center"/>
          </w:tcPr>
          <w:p w14:paraId="4F80B92C">
            <w:pPr>
              <w:autoSpaceDN w:val="0"/>
              <w:rPr>
                <w:rFonts w:ascii="仿宋" w:hAnsi="仿宋" w:eastAsia="仿宋" w:cs="仿宋"/>
                <w:color w:val="auto"/>
                <w:sz w:val="24"/>
                <w:szCs w:val="24"/>
                <w:highlight w:val="none"/>
              </w:rPr>
            </w:pPr>
          </w:p>
        </w:tc>
      </w:tr>
      <w:tr w14:paraId="0322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noWrap/>
            <w:vAlign w:val="center"/>
          </w:tcPr>
          <w:p w14:paraId="79785362">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总报价（大写）：</w:t>
            </w:r>
          </w:p>
        </w:tc>
      </w:tr>
    </w:tbl>
    <w:p w14:paraId="27D2A667">
      <w:pPr>
        <w:widowControl/>
        <w:tabs>
          <w:tab w:val="center" w:pos="4755"/>
          <w:tab w:val="right" w:pos="9070"/>
        </w:tabs>
        <w:autoSpaceDN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注：1.本表适用于：（1）有2个及以上单位工程的群体项目的总报价汇总；（2）单位工程发包且有2个及以上专业工程分部分项工程量清单的采购项目总报价汇总。本表应在表1-1-2基础上汇总。</w:t>
      </w:r>
    </w:p>
    <w:p w14:paraId="290CF834">
      <w:pPr>
        <w:widowControl/>
        <w:tabs>
          <w:tab w:val="center" w:pos="4755"/>
          <w:tab w:val="right" w:pos="9070"/>
        </w:tabs>
        <w:autoSpaceDN w:val="0"/>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2．本表中的整体项目措施清单报价指根据采购人要求和项目特点应从采购项目整体上考虑的措施项目报价。</w:t>
      </w:r>
    </w:p>
    <w:p w14:paraId="14AC264F">
      <w:pPr>
        <w:widowControl/>
        <w:tabs>
          <w:tab w:val="center" w:pos="4755"/>
          <w:tab w:val="right" w:pos="9070"/>
        </w:tabs>
        <w:autoSpaceDN w:val="0"/>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3．本表中的整体其他项目清单报价指根据采购人要求需按采购项目整体考虑的其他项目清单报价。</w:t>
      </w:r>
    </w:p>
    <w:p w14:paraId="4FF7E887">
      <w:pPr>
        <w:widowControl/>
        <w:tabs>
          <w:tab w:val="center" w:pos="4755"/>
          <w:tab w:val="right" w:pos="9070"/>
        </w:tabs>
        <w:autoSpaceDN w:val="0"/>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4．本表中的规费指整体措施清单项目应计取的规费。</w:t>
      </w:r>
    </w:p>
    <w:p w14:paraId="0701D53F">
      <w:pPr>
        <w:widowControl/>
        <w:tabs>
          <w:tab w:val="center" w:pos="4755"/>
          <w:tab w:val="right" w:pos="9070"/>
        </w:tabs>
        <w:autoSpaceDN w:val="0"/>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5．本表中的税金指未纳入单位工程费的整体措施项目清单、其他项目清单以及相应规费等费用应计取的税金。</w:t>
      </w:r>
    </w:p>
    <w:p w14:paraId="030EBCDB">
      <w:pPr>
        <w:autoSpaceDN w:val="0"/>
        <w:rPr>
          <w:rFonts w:ascii="仿宋" w:hAnsi="仿宋" w:eastAsia="仿宋" w:cs="仿宋"/>
          <w:color w:val="auto"/>
          <w:sz w:val="24"/>
          <w:szCs w:val="24"/>
          <w:highlight w:val="none"/>
        </w:rPr>
      </w:pPr>
    </w:p>
    <w:p w14:paraId="3F9D910C">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磋商响应供应商（盖章）：</w:t>
      </w:r>
    </w:p>
    <w:p w14:paraId="257B1CFC">
      <w:pPr>
        <w:widowControl/>
        <w:spacing w:beforeAutospacing="1" w:afterAutospacing="1"/>
        <w:jc w:val="left"/>
        <w:rPr>
          <w:rFonts w:ascii="仿宋" w:hAnsi="仿宋" w:eastAsia="仿宋" w:cs="Times New Roman"/>
          <w:color w:val="auto"/>
          <w:sz w:val="22"/>
          <w:highlight w:val="none"/>
        </w:rPr>
        <w:sectPr>
          <w:headerReference r:id="rId11" w:type="default"/>
          <w:footerReference r:id="rId12" w:type="default"/>
          <w:pgSz w:w="11906" w:h="16838"/>
          <w:pgMar w:top="1361" w:right="1191" w:bottom="1361" w:left="1411" w:header="851" w:footer="1077" w:gutter="0"/>
          <w:cols w:space="720" w:num="1"/>
          <w:docGrid w:type="linesAndChars" w:linePitch="312" w:charSpace="0"/>
        </w:sectPr>
      </w:pPr>
    </w:p>
    <w:p w14:paraId="6CEDC97C">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表1-1-2 单位工程报价汇总表</w:t>
      </w:r>
    </w:p>
    <w:p w14:paraId="22740626">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2DFF0CE3">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单位项目名称：</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601"/>
        <w:gridCol w:w="1441"/>
        <w:gridCol w:w="1912"/>
        <w:gridCol w:w="38"/>
        <w:gridCol w:w="1749"/>
      </w:tblGrid>
      <w:tr w14:paraId="70941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vMerge w:val="restart"/>
            <w:tcBorders>
              <w:top w:val="single" w:color="auto" w:sz="4" w:space="0"/>
              <w:left w:val="single" w:color="auto" w:sz="4" w:space="0"/>
              <w:bottom w:val="single" w:color="auto" w:sz="4" w:space="0"/>
              <w:right w:val="single" w:color="auto" w:sz="4" w:space="0"/>
            </w:tcBorders>
            <w:vAlign w:val="center"/>
          </w:tcPr>
          <w:p w14:paraId="23C1DC89">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601" w:type="dxa"/>
            <w:vMerge w:val="restart"/>
            <w:tcBorders>
              <w:top w:val="single" w:color="auto" w:sz="4" w:space="0"/>
              <w:left w:val="single" w:color="auto" w:sz="4" w:space="0"/>
              <w:bottom w:val="single" w:color="auto" w:sz="4" w:space="0"/>
              <w:right w:val="single" w:color="auto" w:sz="4" w:space="0"/>
            </w:tcBorders>
            <w:vAlign w:val="center"/>
          </w:tcPr>
          <w:p w14:paraId="5FEABA0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内     容</w:t>
            </w:r>
          </w:p>
        </w:tc>
        <w:tc>
          <w:tcPr>
            <w:tcW w:w="1441" w:type="dxa"/>
            <w:vMerge w:val="restart"/>
            <w:tcBorders>
              <w:top w:val="single" w:color="auto" w:sz="4" w:space="0"/>
              <w:left w:val="single" w:color="auto" w:sz="4" w:space="0"/>
              <w:bottom w:val="single" w:color="auto" w:sz="4" w:space="0"/>
              <w:right w:val="single" w:color="auto" w:sz="4" w:space="0"/>
            </w:tcBorders>
            <w:vAlign w:val="center"/>
          </w:tcPr>
          <w:p w14:paraId="380A63F3">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报价合计</w:t>
            </w:r>
          </w:p>
          <w:p w14:paraId="09CC3A4A">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4BED44CC">
            <w:pPr>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（清单号）</w:t>
            </w:r>
          </w:p>
        </w:tc>
        <w:tc>
          <w:tcPr>
            <w:tcW w:w="1749" w:type="dxa"/>
            <w:tcBorders>
              <w:top w:val="single" w:color="auto" w:sz="4" w:space="0"/>
              <w:left w:val="single" w:color="auto" w:sz="4" w:space="0"/>
              <w:bottom w:val="single" w:color="auto" w:sz="4" w:space="0"/>
              <w:right w:val="single" w:color="auto" w:sz="4" w:space="0"/>
            </w:tcBorders>
            <w:vAlign w:val="center"/>
          </w:tcPr>
          <w:p w14:paraId="5CC09E48">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（清单号）</w:t>
            </w:r>
          </w:p>
        </w:tc>
      </w:tr>
      <w:tr w14:paraId="6F7A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vMerge w:val="continue"/>
            <w:tcBorders>
              <w:top w:val="single" w:color="auto" w:sz="4" w:space="0"/>
              <w:left w:val="single" w:color="auto" w:sz="4" w:space="0"/>
              <w:bottom w:val="single" w:color="auto" w:sz="4" w:space="0"/>
              <w:right w:val="single" w:color="auto" w:sz="4" w:space="0"/>
            </w:tcBorders>
            <w:vAlign w:val="center"/>
          </w:tcPr>
          <w:p w14:paraId="26DEEFAE">
            <w:pPr>
              <w:widowControl/>
              <w:jc w:val="left"/>
              <w:rPr>
                <w:rFonts w:ascii="仿宋" w:hAnsi="仿宋" w:eastAsia="仿宋" w:cs="仿宋"/>
                <w:color w:val="auto"/>
                <w:sz w:val="24"/>
                <w:szCs w:val="24"/>
                <w:highlight w:val="none"/>
              </w:rPr>
            </w:pPr>
          </w:p>
        </w:tc>
        <w:tc>
          <w:tcPr>
            <w:tcW w:w="3601" w:type="dxa"/>
            <w:vMerge w:val="continue"/>
            <w:tcBorders>
              <w:top w:val="single" w:color="auto" w:sz="4" w:space="0"/>
              <w:left w:val="single" w:color="auto" w:sz="4" w:space="0"/>
              <w:bottom w:val="single" w:color="auto" w:sz="4" w:space="0"/>
              <w:right w:val="single" w:color="auto" w:sz="4" w:space="0"/>
            </w:tcBorders>
            <w:vAlign w:val="center"/>
          </w:tcPr>
          <w:p w14:paraId="5DBEBFE7">
            <w:pPr>
              <w:widowControl/>
              <w:jc w:val="left"/>
              <w:rPr>
                <w:rFonts w:ascii="仿宋" w:hAnsi="仿宋" w:eastAsia="仿宋" w:cs="仿宋"/>
                <w:color w:val="auto"/>
                <w:sz w:val="24"/>
                <w:szCs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14:paraId="0DE82DFC">
            <w:pPr>
              <w:widowControl/>
              <w:jc w:val="left"/>
              <w:rPr>
                <w:rFonts w:ascii="仿宋" w:hAnsi="仿宋" w:eastAsia="仿宋" w:cs="仿宋"/>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7E0684B0">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(专业工程1)</w:t>
            </w:r>
          </w:p>
        </w:tc>
        <w:tc>
          <w:tcPr>
            <w:tcW w:w="1749" w:type="dxa"/>
            <w:tcBorders>
              <w:top w:val="single" w:color="auto" w:sz="4" w:space="0"/>
              <w:left w:val="single" w:color="auto" w:sz="4" w:space="0"/>
              <w:bottom w:val="single" w:color="auto" w:sz="4" w:space="0"/>
              <w:right w:val="single" w:color="auto" w:sz="4" w:space="0"/>
            </w:tcBorders>
            <w:vAlign w:val="center"/>
          </w:tcPr>
          <w:p w14:paraId="32271D7D">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(专业工程2)</w:t>
            </w:r>
          </w:p>
        </w:tc>
      </w:tr>
      <w:tr w14:paraId="7BFA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2161C5F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3601" w:type="dxa"/>
            <w:tcBorders>
              <w:top w:val="single" w:color="auto" w:sz="4" w:space="0"/>
              <w:left w:val="single" w:color="auto" w:sz="4" w:space="0"/>
              <w:bottom w:val="single" w:color="auto" w:sz="4" w:space="0"/>
              <w:right w:val="single" w:color="auto" w:sz="4" w:space="0"/>
            </w:tcBorders>
            <w:vAlign w:val="center"/>
          </w:tcPr>
          <w:p w14:paraId="08C81A87">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分部分项工程量清单</w:t>
            </w:r>
          </w:p>
        </w:tc>
        <w:tc>
          <w:tcPr>
            <w:tcW w:w="1441" w:type="dxa"/>
            <w:tcBorders>
              <w:top w:val="single" w:color="auto" w:sz="4" w:space="0"/>
              <w:left w:val="single" w:color="auto" w:sz="4" w:space="0"/>
              <w:bottom w:val="single" w:color="auto" w:sz="4" w:space="0"/>
              <w:right w:val="single" w:color="auto" w:sz="4" w:space="0"/>
            </w:tcBorders>
            <w:vAlign w:val="center"/>
          </w:tcPr>
          <w:p w14:paraId="5476D8AE">
            <w:pPr>
              <w:widowControl/>
              <w:tabs>
                <w:tab w:val="center" w:pos="4755"/>
                <w:tab w:val="right" w:pos="9070"/>
              </w:tabs>
              <w:autoSpaceDN w:val="0"/>
              <w:jc w:val="center"/>
              <w:rPr>
                <w:rFonts w:ascii="仿宋" w:hAnsi="仿宋" w:eastAsia="仿宋" w:cs="仿宋"/>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7976CE14">
            <w:pPr>
              <w:widowControl/>
              <w:tabs>
                <w:tab w:val="center" w:pos="4755"/>
                <w:tab w:val="right" w:pos="9070"/>
              </w:tabs>
              <w:autoSpaceDN w:val="0"/>
              <w:jc w:val="center"/>
              <w:rPr>
                <w:rFonts w:ascii="仿宋" w:hAnsi="仿宋" w:eastAsia="仿宋" w:cs="仿宋"/>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7454A8F0">
            <w:pPr>
              <w:widowControl/>
              <w:tabs>
                <w:tab w:val="center" w:pos="4755"/>
                <w:tab w:val="right" w:pos="9070"/>
              </w:tabs>
              <w:autoSpaceDN w:val="0"/>
              <w:jc w:val="center"/>
              <w:rPr>
                <w:rFonts w:ascii="仿宋" w:hAnsi="仿宋" w:eastAsia="仿宋" w:cs="仿宋"/>
                <w:color w:val="auto"/>
                <w:sz w:val="24"/>
                <w:szCs w:val="24"/>
                <w:highlight w:val="none"/>
              </w:rPr>
            </w:pPr>
          </w:p>
        </w:tc>
      </w:tr>
      <w:tr w14:paraId="52CF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477F9810">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3601" w:type="dxa"/>
            <w:tcBorders>
              <w:top w:val="single" w:color="auto" w:sz="4" w:space="0"/>
              <w:left w:val="single" w:color="auto" w:sz="4" w:space="0"/>
              <w:bottom w:val="single" w:color="auto" w:sz="4" w:space="0"/>
              <w:right w:val="single" w:color="auto" w:sz="4" w:space="0"/>
            </w:tcBorders>
            <w:vAlign w:val="center"/>
          </w:tcPr>
          <w:p w14:paraId="0F817C1E">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措施项目清单（1+2）</w:t>
            </w:r>
          </w:p>
        </w:tc>
        <w:tc>
          <w:tcPr>
            <w:tcW w:w="1441" w:type="dxa"/>
            <w:tcBorders>
              <w:top w:val="single" w:color="auto" w:sz="4" w:space="0"/>
              <w:left w:val="single" w:color="auto" w:sz="4" w:space="0"/>
              <w:bottom w:val="single" w:color="auto" w:sz="4" w:space="0"/>
              <w:right w:val="single" w:color="auto" w:sz="4" w:space="0"/>
            </w:tcBorders>
            <w:vAlign w:val="center"/>
          </w:tcPr>
          <w:p w14:paraId="7F141529">
            <w:pPr>
              <w:widowControl/>
              <w:tabs>
                <w:tab w:val="center" w:pos="4755"/>
                <w:tab w:val="right" w:pos="9070"/>
              </w:tabs>
              <w:autoSpaceDN w:val="0"/>
              <w:jc w:val="center"/>
              <w:rPr>
                <w:rFonts w:ascii="仿宋" w:hAnsi="仿宋" w:eastAsia="仿宋" w:cs="仿宋"/>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2FFDCBAC">
            <w:pPr>
              <w:widowControl/>
              <w:tabs>
                <w:tab w:val="center" w:pos="4755"/>
                <w:tab w:val="right" w:pos="9070"/>
              </w:tabs>
              <w:autoSpaceDN w:val="0"/>
              <w:jc w:val="center"/>
              <w:rPr>
                <w:rFonts w:ascii="仿宋" w:hAnsi="仿宋" w:eastAsia="仿宋" w:cs="仿宋"/>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4E8B7808">
            <w:pPr>
              <w:widowControl/>
              <w:tabs>
                <w:tab w:val="center" w:pos="4755"/>
                <w:tab w:val="right" w:pos="9070"/>
              </w:tabs>
              <w:autoSpaceDN w:val="0"/>
              <w:jc w:val="center"/>
              <w:rPr>
                <w:rFonts w:ascii="仿宋" w:hAnsi="仿宋" w:eastAsia="仿宋" w:cs="仿宋"/>
                <w:color w:val="auto"/>
                <w:sz w:val="24"/>
                <w:szCs w:val="24"/>
                <w:highlight w:val="none"/>
              </w:rPr>
            </w:pPr>
          </w:p>
        </w:tc>
      </w:tr>
      <w:tr w14:paraId="07214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5D293EBF">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601" w:type="dxa"/>
            <w:tcBorders>
              <w:top w:val="single" w:color="auto" w:sz="4" w:space="0"/>
              <w:left w:val="single" w:color="auto" w:sz="4" w:space="0"/>
              <w:bottom w:val="single" w:color="auto" w:sz="4" w:space="0"/>
              <w:right w:val="single" w:color="auto" w:sz="4" w:space="0"/>
            </w:tcBorders>
            <w:vAlign w:val="center"/>
          </w:tcPr>
          <w:p w14:paraId="39941B53">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组织措施项目清单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78E0E65A">
            <w:pPr>
              <w:widowControl/>
              <w:tabs>
                <w:tab w:val="center" w:pos="4755"/>
                <w:tab w:val="right" w:pos="9070"/>
              </w:tabs>
              <w:autoSpaceDN w:val="0"/>
              <w:jc w:val="center"/>
              <w:rPr>
                <w:rFonts w:ascii="仿宋" w:hAnsi="仿宋" w:eastAsia="仿宋" w:cs="仿宋"/>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49BA4447">
            <w:pPr>
              <w:widowControl/>
              <w:tabs>
                <w:tab w:val="center" w:pos="4755"/>
                <w:tab w:val="right" w:pos="9070"/>
              </w:tabs>
              <w:autoSpaceDN w:val="0"/>
              <w:jc w:val="center"/>
              <w:rPr>
                <w:rFonts w:ascii="仿宋" w:hAnsi="仿宋" w:eastAsia="仿宋" w:cs="仿宋"/>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265B0EF1">
            <w:pPr>
              <w:widowControl/>
              <w:tabs>
                <w:tab w:val="center" w:pos="4755"/>
                <w:tab w:val="right" w:pos="9070"/>
              </w:tabs>
              <w:autoSpaceDN w:val="0"/>
              <w:jc w:val="center"/>
              <w:rPr>
                <w:rFonts w:ascii="仿宋" w:hAnsi="仿宋" w:eastAsia="仿宋" w:cs="仿宋"/>
                <w:color w:val="auto"/>
                <w:sz w:val="24"/>
                <w:szCs w:val="24"/>
                <w:highlight w:val="none"/>
              </w:rPr>
            </w:pPr>
          </w:p>
        </w:tc>
      </w:tr>
      <w:tr w14:paraId="46C09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1A460047">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601" w:type="dxa"/>
            <w:tcBorders>
              <w:top w:val="single" w:color="auto" w:sz="4" w:space="0"/>
              <w:left w:val="single" w:color="auto" w:sz="4" w:space="0"/>
              <w:bottom w:val="single" w:color="auto" w:sz="4" w:space="0"/>
              <w:right w:val="single" w:color="auto" w:sz="4" w:space="0"/>
            </w:tcBorders>
            <w:vAlign w:val="center"/>
          </w:tcPr>
          <w:p w14:paraId="7FDCAC81">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技术措施项目清单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535AE149">
            <w:pPr>
              <w:widowControl/>
              <w:tabs>
                <w:tab w:val="center" w:pos="4755"/>
                <w:tab w:val="right" w:pos="9070"/>
              </w:tabs>
              <w:autoSpaceDN w:val="0"/>
              <w:jc w:val="center"/>
              <w:rPr>
                <w:rFonts w:ascii="仿宋" w:hAnsi="仿宋" w:eastAsia="仿宋" w:cs="仿宋"/>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402FB9D6">
            <w:pPr>
              <w:widowControl/>
              <w:tabs>
                <w:tab w:val="center" w:pos="4755"/>
                <w:tab w:val="right" w:pos="9070"/>
              </w:tabs>
              <w:autoSpaceDN w:val="0"/>
              <w:jc w:val="center"/>
              <w:rPr>
                <w:rFonts w:ascii="仿宋" w:hAnsi="仿宋" w:eastAsia="仿宋" w:cs="仿宋"/>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1C03CBDB">
            <w:pPr>
              <w:widowControl/>
              <w:tabs>
                <w:tab w:val="center" w:pos="4755"/>
                <w:tab w:val="right" w:pos="9070"/>
              </w:tabs>
              <w:autoSpaceDN w:val="0"/>
              <w:jc w:val="center"/>
              <w:rPr>
                <w:rFonts w:ascii="仿宋" w:hAnsi="仿宋" w:eastAsia="仿宋" w:cs="仿宋"/>
                <w:color w:val="auto"/>
                <w:sz w:val="24"/>
                <w:szCs w:val="24"/>
                <w:highlight w:val="none"/>
              </w:rPr>
            </w:pPr>
          </w:p>
        </w:tc>
      </w:tr>
      <w:tr w14:paraId="3880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5402D7F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3601" w:type="dxa"/>
            <w:tcBorders>
              <w:top w:val="single" w:color="auto" w:sz="4" w:space="0"/>
              <w:left w:val="single" w:color="auto" w:sz="4" w:space="0"/>
              <w:bottom w:val="single" w:color="auto" w:sz="4" w:space="0"/>
              <w:right w:val="single" w:color="auto" w:sz="4" w:space="0"/>
            </w:tcBorders>
            <w:vAlign w:val="center"/>
          </w:tcPr>
          <w:p w14:paraId="24EC7872">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其他项目清单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0316D12A">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Times New Roman" w:hAnsi="Times New Roman" w:eastAsia="宋体" w:cs="Times New Roman"/>
                <w:color w:val="auto"/>
                <w:szCs w:val="24"/>
                <w:highlight w:val="none"/>
              </w:rPr>
              <mc:AlternateContent>
                <mc:Choice Requires="wps">
                  <w:drawing>
                    <wp:anchor distT="0" distB="0" distL="114300" distR="114300" simplePos="0" relativeHeight="251659264" behindDoc="0" locked="0" layoutInCell="1" allowOverlap="1">
                      <wp:simplePos x="0" y="0"/>
                      <wp:positionH relativeFrom="column">
                        <wp:posOffset>822960</wp:posOffset>
                      </wp:positionH>
                      <wp:positionV relativeFrom="paragraph">
                        <wp:posOffset>6985</wp:posOffset>
                      </wp:positionV>
                      <wp:extent cx="2355850" cy="284480"/>
                      <wp:effectExtent l="0" t="0" r="25400" b="2032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H="1">
                                <a:off x="0" y="0"/>
                                <a:ext cx="2355850" cy="284480"/>
                              </a:xfrm>
                              <a:prstGeom prst="line">
                                <a:avLst/>
                              </a:prstGeom>
                              <a:noFill/>
                              <a:ln w="6350">
                                <a:solidFill>
                                  <a:srgbClr val="000000"/>
                                </a:solidFill>
                                <a:round/>
                              </a:ln>
                            </wps:spPr>
                            <wps:bodyPr/>
                          </wps:wsp>
                        </a:graphicData>
                      </a:graphic>
                    </wp:anchor>
                  </w:drawing>
                </mc:Choice>
                <mc:Fallback>
                  <w:pict>
                    <v:line id="_x0000_s1026" o:spid="_x0000_s1026" o:spt="20" style="position:absolute;left:0pt;flip:x;margin-left:64.8pt;margin-top:0.55pt;height:22.4pt;width:185.5pt;z-index:251659264;mso-width-relative:page;mso-height-relative:page;" filled="f" stroked="t" coordsize="21600,21600" o:gfxdata="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DyAznYAAAACAEAAA8AAAAAAAAAAQAgAAAAIgAAAGRycy9kb3ducmV2LnhtbFBLAQIUABQA&#10;AAAIAIdO4kBtruHv8AEAALkDAAAOAAAAAAAAAAEAIAAAACcBAABkcnMvZTJvRG9jLnhtbFBLBQYA&#10;AAAABgAGAFkBAACJBQAAAAA=&#10;">
                      <v:fill on="f" focussize="0,0"/>
                      <v:stroke weight="0.5pt" color="#000000" joinstyle="round"/>
                      <v:imagedata o:title=""/>
                      <o:lock v:ext="edit" aspectratio="f"/>
                    </v:line>
                  </w:pict>
                </mc:Fallback>
              </mc:AlternateContent>
            </w:r>
          </w:p>
        </w:tc>
        <w:tc>
          <w:tcPr>
            <w:tcW w:w="3699" w:type="dxa"/>
            <w:gridSpan w:val="3"/>
            <w:tcBorders>
              <w:top w:val="single" w:color="auto" w:sz="4" w:space="0"/>
              <w:left w:val="single" w:color="auto" w:sz="4" w:space="0"/>
              <w:bottom w:val="single" w:color="auto" w:sz="4" w:space="0"/>
              <w:right w:val="single" w:color="auto" w:sz="4" w:space="0"/>
            </w:tcBorders>
            <w:vAlign w:val="center"/>
          </w:tcPr>
          <w:p w14:paraId="28413865">
            <w:pPr>
              <w:widowControl/>
              <w:tabs>
                <w:tab w:val="center" w:pos="4755"/>
                <w:tab w:val="right" w:pos="9070"/>
              </w:tabs>
              <w:autoSpaceDN w:val="0"/>
              <w:jc w:val="center"/>
              <w:rPr>
                <w:rFonts w:ascii="仿宋" w:hAnsi="仿宋" w:eastAsia="仿宋" w:cs="仿宋"/>
                <w:color w:val="auto"/>
                <w:sz w:val="24"/>
                <w:szCs w:val="24"/>
                <w:highlight w:val="none"/>
              </w:rPr>
            </w:pPr>
          </w:p>
        </w:tc>
      </w:tr>
      <w:tr w14:paraId="45BDC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6DED0066">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p>
        </w:tc>
        <w:tc>
          <w:tcPr>
            <w:tcW w:w="3601" w:type="dxa"/>
            <w:tcBorders>
              <w:top w:val="single" w:color="auto" w:sz="4" w:space="0"/>
              <w:left w:val="single" w:color="auto" w:sz="4" w:space="0"/>
              <w:bottom w:val="single" w:color="auto" w:sz="4" w:space="0"/>
              <w:right w:val="single" w:color="auto" w:sz="4" w:space="0"/>
            </w:tcBorders>
            <w:vAlign w:val="center"/>
          </w:tcPr>
          <w:p w14:paraId="69B422C7">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规费</w:t>
            </w:r>
          </w:p>
        </w:tc>
        <w:tc>
          <w:tcPr>
            <w:tcW w:w="1441" w:type="dxa"/>
            <w:tcBorders>
              <w:top w:val="single" w:color="auto" w:sz="4" w:space="0"/>
              <w:left w:val="single" w:color="auto" w:sz="4" w:space="0"/>
              <w:bottom w:val="single" w:color="auto" w:sz="4" w:space="0"/>
              <w:right w:val="single" w:color="auto" w:sz="4" w:space="0"/>
            </w:tcBorders>
            <w:vAlign w:val="center"/>
          </w:tcPr>
          <w:p w14:paraId="65A68C25">
            <w:pPr>
              <w:widowControl/>
              <w:tabs>
                <w:tab w:val="center" w:pos="4755"/>
                <w:tab w:val="right" w:pos="9070"/>
              </w:tabs>
              <w:autoSpaceDN w:val="0"/>
              <w:jc w:val="center"/>
              <w:rPr>
                <w:rFonts w:ascii="仿宋" w:hAnsi="仿宋" w:eastAsia="仿宋" w:cs="仿宋"/>
                <w:color w:val="auto"/>
                <w:sz w:val="24"/>
                <w:szCs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7F28B189">
            <w:pPr>
              <w:widowControl/>
              <w:tabs>
                <w:tab w:val="center" w:pos="4755"/>
                <w:tab w:val="right" w:pos="9070"/>
              </w:tabs>
              <w:autoSpaceDN w:val="0"/>
              <w:jc w:val="center"/>
              <w:rPr>
                <w:rFonts w:ascii="仿宋" w:hAnsi="仿宋" w:eastAsia="仿宋" w:cs="仿宋"/>
                <w:color w:val="auto"/>
                <w:sz w:val="24"/>
                <w:szCs w:val="24"/>
                <w:highlight w:val="none"/>
              </w:rPr>
            </w:pPr>
          </w:p>
        </w:tc>
        <w:tc>
          <w:tcPr>
            <w:tcW w:w="1787" w:type="dxa"/>
            <w:gridSpan w:val="2"/>
            <w:tcBorders>
              <w:top w:val="single" w:color="auto" w:sz="4" w:space="0"/>
              <w:left w:val="single" w:color="auto" w:sz="4" w:space="0"/>
              <w:bottom w:val="single" w:color="auto" w:sz="4" w:space="0"/>
              <w:right w:val="single" w:color="auto" w:sz="4" w:space="0"/>
            </w:tcBorders>
            <w:vAlign w:val="center"/>
          </w:tcPr>
          <w:p w14:paraId="33AD53FE">
            <w:pPr>
              <w:widowControl/>
              <w:tabs>
                <w:tab w:val="center" w:pos="4755"/>
                <w:tab w:val="right" w:pos="9070"/>
              </w:tabs>
              <w:autoSpaceDN w:val="0"/>
              <w:jc w:val="center"/>
              <w:rPr>
                <w:rFonts w:ascii="仿宋" w:hAnsi="仿宋" w:eastAsia="仿宋" w:cs="仿宋"/>
                <w:color w:val="auto"/>
                <w:sz w:val="24"/>
                <w:szCs w:val="24"/>
                <w:highlight w:val="none"/>
              </w:rPr>
            </w:pPr>
          </w:p>
        </w:tc>
      </w:tr>
      <w:tr w14:paraId="080F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3BEA34F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五</w:t>
            </w:r>
          </w:p>
        </w:tc>
        <w:tc>
          <w:tcPr>
            <w:tcW w:w="3601" w:type="dxa"/>
            <w:tcBorders>
              <w:top w:val="single" w:color="auto" w:sz="4" w:space="0"/>
              <w:left w:val="single" w:color="auto" w:sz="4" w:space="0"/>
              <w:bottom w:val="single" w:color="auto" w:sz="4" w:space="0"/>
              <w:right w:val="single" w:color="auto" w:sz="4" w:space="0"/>
            </w:tcBorders>
            <w:vAlign w:val="center"/>
          </w:tcPr>
          <w:p w14:paraId="0CC821EE">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税金[（一+二+三+四）*费率]</w:t>
            </w:r>
          </w:p>
        </w:tc>
        <w:tc>
          <w:tcPr>
            <w:tcW w:w="1441" w:type="dxa"/>
            <w:tcBorders>
              <w:top w:val="single" w:color="auto" w:sz="4" w:space="0"/>
              <w:left w:val="single" w:color="auto" w:sz="4" w:space="0"/>
              <w:bottom w:val="single" w:color="auto" w:sz="4" w:space="0"/>
              <w:right w:val="single" w:color="auto" w:sz="4" w:space="0"/>
            </w:tcBorders>
            <w:vAlign w:val="center"/>
          </w:tcPr>
          <w:p w14:paraId="6DA5CFA0">
            <w:pPr>
              <w:widowControl/>
              <w:tabs>
                <w:tab w:val="center" w:pos="4755"/>
                <w:tab w:val="right" w:pos="9070"/>
              </w:tabs>
              <w:autoSpaceDN w:val="0"/>
              <w:jc w:val="center"/>
              <w:rPr>
                <w:rFonts w:ascii="仿宋" w:hAnsi="仿宋" w:eastAsia="仿宋" w:cs="仿宋"/>
                <w:color w:val="auto"/>
                <w:sz w:val="24"/>
                <w:szCs w:val="24"/>
                <w:highlight w:val="none"/>
              </w:rPr>
            </w:pPr>
          </w:p>
        </w:tc>
        <w:tc>
          <w:tcPr>
            <w:tcW w:w="3699" w:type="dxa"/>
            <w:gridSpan w:val="3"/>
            <w:vMerge w:val="restart"/>
            <w:tcBorders>
              <w:top w:val="single" w:color="auto" w:sz="4" w:space="0"/>
              <w:left w:val="single" w:color="auto" w:sz="4" w:space="0"/>
              <w:bottom w:val="single" w:color="auto" w:sz="4" w:space="0"/>
              <w:right w:val="single" w:color="auto" w:sz="4" w:space="0"/>
            </w:tcBorders>
            <w:vAlign w:val="center"/>
          </w:tcPr>
          <w:p w14:paraId="358F83B0">
            <w:pPr>
              <w:widowControl/>
              <w:tabs>
                <w:tab w:val="center" w:pos="4755"/>
                <w:tab w:val="right" w:pos="9070"/>
              </w:tabs>
              <w:autoSpaceDN w:val="0"/>
              <w:jc w:val="center"/>
              <w:rPr>
                <w:rFonts w:ascii="仿宋" w:hAnsi="仿宋" w:eastAsia="仿宋" w:cs="仿宋"/>
                <w:color w:val="auto"/>
                <w:sz w:val="24"/>
                <w:szCs w:val="24"/>
                <w:highlight w:val="none"/>
              </w:rPr>
            </w:pPr>
          </w:p>
        </w:tc>
      </w:tr>
      <w:tr w14:paraId="6BDB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6B7DB61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六</w:t>
            </w:r>
          </w:p>
        </w:tc>
        <w:tc>
          <w:tcPr>
            <w:tcW w:w="3601" w:type="dxa"/>
            <w:tcBorders>
              <w:top w:val="single" w:color="auto" w:sz="4" w:space="0"/>
              <w:left w:val="single" w:color="auto" w:sz="4" w:space="0"/>
              <w:bottom w:val="single" w:color="auto" w:sz="4" w:space="0"/>
              <w:right w:val="single" w:color="auto" w:sz="4" w:space="0"/>
            </w:tcBorders>
            <w:vAlign w:val="center"/>
          </w:tcPr>
          <w:p w14:paraId="2CD7FC5F">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总报价（一+二+三+四+五）</w:t>
            </w:r>
          </w:p>
        </w:tc>
        <w:tc>
          <w:tcPr>
            <w:tcW w:w="1441" w:type="dxa"/>
            <w:tcBorders>
              <w:top w:val="single" w:color="auto" w:sz="4" w:space="0"/>
              <w:left w:val="single" w:color="auto" w:sz="4" w:space="0"/>
              <w:bottom w:val="single" w:color="auto" w:sz="4" w:space="0"/>
              <w:right w:val="single" w:color="auto" w:sz="4" w:space="0"/>
            </w:tcBorders>
            <w:vAlign w:val="center"/>
          </w:tcPr>
          <w:p w14:paraId="73F89452">
            <w:pPr>
              <w:widowControl/>
              <w:tabs>
                <w:tab w:val="center" w:pos="4755"/>
                <w:tab w:val="right" w:pos="9070"/>
              </w:tabs>
              <w:autoSpaceDN w:val="0"/>
              <w:jc w:val="center"/>
              <w:rPr>
                <w:rFonts w:ascii="仿宋" w:hAnsi="仿宋" w:eastAsia="仿宋" w:cs="仿宋"/>
                <w:color w:val="auto"/>
                <w:sz w:val="24"/>
                <w:szCs w:val="24"/>
                <w:highlight w:val="none"/>
              </w:rPr>
            </w:pPr>
          </w:p>
        </w:tc>
        <w:tc>
          <w:tcPr>
            <w:tcW w:w="7235" w:type="dxa"/>
            <w:gridSpan w:val="3"/>
            <w:vMerge w:val="continue"/>
            <w:tcBorders>
              <w:top w:val="single" w:color="auto" w:sz="4" w:space="0"/>
              <w:left w:val="single" w:color="auto" w:sz="4" w:space="0"/>
              <w:bottom w:val="single" w:color="auto" w:sz="4" w:space="0"/>
              <w:right w:val="single" w:color="auto" w:sz="4" w:space="0"/>
            </w:tcBorders>
            <w:vAlign w:val="center"/>
          </w:tcPr>
          <w:p w14:paraId="6367D5B7">
            <w:pPr>
              <w:widowControl/>
              <w:jc w:val="left"/>
              <w:rPr>
                <w:rFonts w:ascii="仿宋" w:hAnsi="仿宋" w:eastAsia="仿宋" w:cs="仿宋"/>
                <w:color w:val="auto"/>
                <w:sz w:val="24"/>
                <w:szCs w:val="24"/>
                <w:highlight w:val="none"/>
              </w:rPr>
            </w:pPr>
          </w:p>
        </w:tc>
      </w:tr>
      <w:tr w14:paraId="2E56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gridSpan w:val="6"/>
            <w:tcBorders>
              <w:top w:val="single" w:color="auto" w:sz="4" w:space="0"/>
              <w:left w:val="single" w:color="auto" w:sz="4" w:space="0"/>
              <w:bottom w:val="single" w:color="auto" w:sz="4" w:space="0"/>
              <w:right w:val="single" w:color="auto" w:sz="4" w:space="0"/>
            </w:tcBorders>
            <w:vAlign w:val="center"/>
          </w:tcPr>
          <w:p w14:paraId="5F17FC6A">
            <w:pPr>
              <w:widowControl/>
              <w:tabs>
                <w:tab w:val="center" w:pos="4755"/>
                <w:tab w:val="right" w:pos="9070"/>
              </w:tabs>
              <w:autoSpaceDN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总报价(大写):</w:t>
            </w:r>
          </w:p>
        </w:tc>
      </w:tr>
    </w:tbl>
    <w:p w14:paraId="261C8F56">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注:本表适用于：</w:t>
      </w:r>
    </w:p>
    <w:p w14:paraId="7EAA31F9">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（1）只有1个专业工程分部分项工程量清单的单位工程发包项目的报价汇总；</w:t>
      </w:r>
    </w:p>
    <w:p w14:paraId="58EEB9F4">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（2）其余采购项目的单位工程报价汇总。</w:t>
      </w:r>
    </w:p>
    <w:p w14:paraId="39F3C6C3">
      <w:pPr>
        <w:autoSpaceDN w:val="0"/>
        <w:rPr>
          <w:rFonts w:ascii="仿宋" w:hAnsi="仿宋" w:eastAsia="仿宋" w:cs="仿宋"/>
          <w:color w:val="auto"/>
          <w:sz w:val="24"/>
          <w:szCs w:val="24"/>
          <w:highlight w:val="none"/>
        </w:rPr>
      </w:pPr>
    </w:p>
    <w:p w14:paraId="03D8A08D">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磋商响应供应商（盖章）：</w:t>
      </w:r>
    </w:p>
    <w:p w14:paraId="7B0E2991">
      <w:pPr>
        <w:widowControl/>
        <w:spacing w:beforeAutospacing="1" w:afterAutospacing="1"/>
        <w:jc w:val="left"/>
        <w:rPr>
          <w:rFonts w:ascii="仿宋" w:hAnsi="仿宋" w:eastAsia="仿宋" w:cs="仿宋"/>
          <w:color w:val="auto"/>
          <w:sz w:val="24"/>
          <w:szCs w:val="24"/>
          <w:highlight w:val="none"/>
        </w:rPr>
        <w:sectPr>
          <w:pgSz w:w="11906" w:h="16838"/>
          <w:pgMar w:top="1614" w:right="1191" w:bottom="1361" w:left="1191" w:header="851" w:footer="1134" w:gutter="0"/>
          <w:cols w:space="720" w:num="1"/>
          <w:docGrid w:type="linesAndChars" w:linePitch="312" w:charSpace="0"/>
        </w:sectPr>
      </w:pPr>
    </w:p>
    <w:p w14:paraId="2723466F">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表1-2  分部分项工程量清单及计价表(  号清单)</w:t>
      </w:r>
    </w:p>
    <w:p w14:paraId="409E0D68">
      <w:pPr>
        <w:autoSpaceDN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4"/>
        <w:gridCol w:w="1341"/>
        <w:gridCol w:w="1450"/>
        <w:gridCol w:w="1450"/>
        <w:gridCol w:w="1450"/>
        <w:gridCol w:w="1270"/>
        <w:gridCol w:w="983"/>
        <w:gridCol w:w="834"/>
        <w:gridCol w:w="1227"/>
        <w:gridCol w:w="1227"/>
        <w:gridCol w:w="1230"/>
        <w:gridCol w:w="1035"/>
      </w:tblGrid>
      <w:tr w14:paraId="6FA93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21" w:type="dxa"/>
            <w:vMerge w:val="restart"/>
            <w:tcBorders>
              <w:top w:val="single" w:color="auto" w:sz="4" w:space="0"/>
              <w:left w:val="single" w:color="auto" w:sz="4" w:space="0"/>
              <w:bottom w:val="single" w:color="auto" w:sz="4" w:space="0"/>
              <w:right w:val="single" w:color="auto" w:sz="4" w:space="0"/>
            </w:tcBorders>
            <w:vAlign w:val="center"/>
          </w:tcPr>
          <w:p w14:paraId="35AD3855">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355" w:type="dxa"/>
            <w:gridSpan w:val="2"/>
            <w:vMerge w:val="restart"/>
            <w:tcBorders>
              <w:top w:val="single" w:color="auto" w:sz="4" w:space="0"/>
              <w:left w:val="single" w:color="auto" w:sz="4" w:space="0"/>
              <w:bottom w:val="single" w:color="auto" w:sz="4" w:space="0"/>
              <w:right w:val="single" w:color="auto" w:sz="4" w:space="0"/>
            </w:tcBorders>
            <w:vAlign w:val="center"/>
          </w:tcPr>
          <w:p w14:paraId="4512FA4D">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项目编码</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249DACA4">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15D3B397">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项目特征</w:t>
            </w:r>
          </w:p>
          <w:p w14:paraId="515B52AF">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描述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0AE1D7DA">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计量单位</w:t>
            </w:r>
          </w:p>
        </w:tc>
        <w:tc>
          <w:tcPr>
            <w:tcW w:w="1270" w:type="dxa"/>
            <w:vMerge w:val="restart"/>
            <w:tcBorders>
              <w:top w:val="single" w:color="auto" w:sz="4" w:space="0"/>
              <w:left w:val="single" w:color="auto" w:sz="4" w:space="0"/>
              <w:bottom w:val="single" w:color="auto" w:sz="4" w:space="0"/>
              <w:right w:val="single" w:color="auto" w:sz="4" w:space="0"/>
            </w:tcBorders>
            <w:vAlign w:val="center"/>
          </w:tcPr>
          <w:p w14:paraId="49DD6563">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工程量</w:t>
            </w:r>
          </w:p>
        </w:tc>
        <w:tc>
          <w:tcPr>
            <w:tcW w:w="983" w:type="dxa"/>
            <w:vMerge w:val="restart"/>
            <w:tcBorders>
              <w:top w:val="single" w:color="auto" w:sz="4" w:space="0"/>
              <w:left w:val="single" w:color="auto" w:sz="4" w:space="0"/>
              <w:bottom w:val="single" w:color="auto" w:sz="4" w:space="0"/>
              <w:right w:val="single" w:color="auto" w:sz="4" w:space="0"/>
            </w:tcBorders>
            <w:vAlign w:val="center"/>
          </w:tcPr>
          <w:p w14:paraId="53D9D9F5">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w:t>
            </w:r>
          </w:p>
          <w:p w14:paraId="09A8FADA">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834" w:type="dxa"/>
            <w:vMerge w:val="restart"/>
            <w:tcBorders>
              <w:top w:val="single" w:color="auto" w:sz="4" w:space="0"/>
              <w:left w:val="single" w:color="auto" w:sz="4" w:space="0"/>
              <w:bottom w:val="single" w:color="auto" w:sz="4" w:space="0"/>
              <w:right w:val="single" w:color="auto" w:sz="4" w:space="0"/>
            </w:tcBorders>
            <w:vAlign w:val="center"/>
          </w:tcPr>
          <w:p w14:paraId="7D0C8F05">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合价</w:t>
            </w:r>
          </w:p>
          <w:p w14:paraId="0FE53709">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3684" w:type="dxa"/>
            <w:gridSpan w:val="3"/>
            <w:tcBorders>
              <w:top w:val="single" w:color="auto" w:sz="4" w:space="0"/>
              <w:left w:val="single" w:color="auto" w:sz="4" w:space="0"/>
              <w:bottom w:val="single" w:color="auto" w:sz="4" w:space="0"/>
              <w:right w:val="single" w:color="auto" w:sz="4" w:space="0"/>
            </w:tcBorders>
            <w:vAlign w:val="center"/>
          </w:tcPr>
          <w:p w14:paraId="410F718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其中</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14:paraId="7025E26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27067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779" w:type="dxa"/>
            <w:vMerge w:val="continue"/>
            <w:tcBorders>
              <w:top w:val="single" w:color="auto" w:sz="4" w:space="0"/>
              <w:left w:val="single" w:color="auto" w:sz="4" w:space="0"/>
              <w:bottom w:val="single" w:color="auto" w:sz="4" w:space="0"/>
              <w:right w:val="single" w:color="auto" w:sz="4" w:space="0"/>
            </w:tcBorders>
            <w:vAlign w:val="center"/>
          </w:tcPr>
          <w:p w14:paraId="061196D6">
            <w:pPr>
              <w:widowControl/>
              <w:jc w:val="left"/>
              <w:rPr>
                <w:rFonts w:ascii="仿宋" w:hAnsi="仿宋" w:eastAsia="仿宋" w:cs="仿宋"/>
                <w:color w:val="auto"/>
                <w:sz w:val="24"/>
                <w:szCs w:val="24"/>
                <w:highlight w:val="none"/>
              </w:rPr>
            </w:pPr>
          </w:p>
        </w:tc>
        <w:tc>
          <w:tcPr>
            <w:tcW w:w="2696" w:type="dxa"/>
            <w:gridSpan w:val="2"/>
            <w:vMerge w:val="continue"/>
            <w:tcBorders>
              <w:top w:val="single" w:color="auto" w:sz="4" w:space="0"/>
              <w:left w:val="single" w:color="auto" w:sz="4" w:space="0"/>
              <w:bottom w:val="single" w:color="auto" w:sz="4" w:space="0"/>
              <w:right w:val="single" w:color="auto" w:sz="4" w:space="0"/>
            </w:tcBorders>
            <w:vAlign w:val="center"/>
          </w:tcPr>
          <w:p w14:paraId="0FA38D12">
            <w:pPr>
              <w:widowControl/>
              <w:jc w:val="left"/>
              <w:rPr>
                <w:rFonts w:ascii="仿宋" w:hAnsi="仿宋" w:eastAsia="仿宋" w:cs="仿宋"/>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4FDE8086">
            <w:pPr>
              <w:widowControl/>
              <w:jc w:val="left"/>
              <w:rPr>
                <w:rFonts w:ascii="仿宋" w:hAnsi="仿宋" w:eastAsia="仿宋" w:cs="仿宋"/>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5943AA0C">
            <w:pPr>
              <w:widowControl/>
              <w:jc w:val="left"/>
              <w:rPr>
                <w:rFonts w:ascii="仿宋" w:hAnsi="仿宋" w:eastAsia="仿宋" w:cs="仿宋"/>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23C71DEA">
            <w:pPr>
              <w:widowControl/>
              <w:jc w:val="left"/>
              <w:rPr>
                <w:rFonts w:ascii="仿宋" w:hAnsi="仿宋" w:eastAsia="仿宋" w:cs="仿宋"/>
                <w:color w:val="auto"/>
                <w:sz w:val="24"/>
                <w:szCs w:val="24"/>
                <w:highlight w:val="none"/>
              </w:rPr>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14:paraId="2C2E23E6">
            <w:pPr>
              <w:widowControl/>
              <w:jc w:val="left"/>
              <w:rPr>
                <w:rFonts w:ascii="仿宋" w:hAnsi="仿宋" w:eastAsia="仿宋" w:cs="仿宋"/>
                <w:color w:val="auto"/>
                <w:sz w:val="24"/>
                <w:szCs w:val="24"/>
                <w:highlight w:val="none"/>
              </w:rPr>
            </w:pPr>
          </w:p>
        </w:tc>
        <w:tc>
          <w:tcPr>
            <w:tcW w:w="983" w:type="dxa"/>
            <w:vMerge w:val="continue"/>
            <w:tcBorders>
              <w:top w:val="single" w:color="auto" w:sz="4" w:space="0"/>
              <w:left w:val="single" w:color="auto" w:sz="4" w:space="0"/>
              <w:bottom w:val="single" w:color="auto" w:sz="4" w:space="0"/>
              <w:right w:val="single" w:color="auto" w:sz="4" w:space="0"/>
            </w:tcBorders>
            <w:vAlign w:val="center"/>
          </w:tcPr>
          <w:p w14:paraId="4BC03059">
            <w:pPr>
              <w:widowControl/>
              <w:jc w:val="left"/>
              <w:rPr>
                <w:rFonts w:ascii="仿宋" w:hAnsi="仿宋" w:eastAsia="仿宋" w:cs="仿宋"/>
                <w:color w:val="auto"/>
                <w:sz w:val="24"/>
                <w:szCs w:val="24"/>
                <w:highlight w:val="none"/>
              </w:rPr>
            </w:pPr>
          </w:p>
        </w:tc>
        <w:tc>
          <w:tcPr>
            <w:tcW w:w="834" w:type="dxa"/>
            <w:vMerge w:val="continue"/>
            <w:tcBorders>
              <w:top w:val="single" w:color="auto" w:sz="4" w:space="0"/>
              <w:left w:val="single" w:color="auto" w:sz="4" w:space="0"/>
              <w:bottom w:val="single" w:color="auto" w:sz="4" w:space="0"/>
              <w:right w:val="single" w:color="auto" w:sz="4" w:space="0"/>
            </w:tcBorders>
            <w:vAlign w:val="center"/>
          </w:tcPr>
          <w:p w14:paraId="77E10BE0">
            <w:pPr>
              <w:widowControl/>
              <w:jc w:val="left"/>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637204FF">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人工费</w:t>
            </w:r>
          </w:p>
        </w:tc>
        <w:tc>
          <w:tcPr>
            <w:tcW w:w="1227" w:type="dxa"/>
            <w:tcBorders>
              <w:top w:val="single" w:color="auto" w:sz="4" w:space="0"/>
              <w:left w:val="single" w:color="auto" w:sz="4" w:space="0"/>
              <w:bottom w:val="single" w:color="auto" w:sz="4" w:space="0"/>
              <w:right w:val="single" w:color="auto" w:sz="4" w:space="0"/>
            </w:tcBorders>
            <w:vAlign w:val="center"/>
          </w:tcPr>
          <w:p w14:paraId="5FCD2D8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机械费</w:t>
            </w:r>
          </w:p>
        </w:tc>
        <w:tc>
          <w:tcPr>
            <w:tcW w:w="1230" w:type="dxa"/>
            <w:tcBorders>
              <w:top w:val="single" w:color="auto" w:sz="4" w:space="0"/>
              <w:left w:val="single" w:color="auto" w:sz="4" w:space="0"/>
              <w:bottom w:val="single" w:color="auto" w:sz="4" w:space="0"/>
              <w:right w:val="single" w:color="auto" w:sz="4" w:space="0"/>
            </w:tcBorders>
            <w:vAlign w:val="center"/>
          </w:tcPr>
          <w:p w14:paraId="11F58D26">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管理费</w:t>
            </w:r>
          </w:p>
        </w:tc>
        <w:tc>
          <w:tcPr>
            <w:tcW w:w="1035" w:type="dxa"/>
            <w:vMerge w:val="continue"/>
            <w:tcBorders>
              <w:top w:val="single" w:color="auto" w:sz="4" w:space="0"/>
              <w:left w:val="single" w:color="auto" w:sz="4" w:space="0"/>
              <w:bottom w:val="single" w:color="auto" w:sz="4" w:space="0"/>
              <w:right w:val="single" w:color="auto" w:sz="4" w:space="0"/>
            </w:tcBorders>
            <w:vAlign w:val="center"/>
          </w:tcPr>
          <w:p w14:paraId="6DF11D1A">
            <w:pPr>
              <w:widowControl/>
              <w:jc w:val="left"/>
              <w:rPr>
                <w:rFonts w:ascii="仿宋" w:hAnsi="仿宋" w:eastAsia="仿宋" w:cs="仿宋"/>
                <w:color w:val="auto"/>
                <w:sz w:val="24"/>
                <w:szCs w:val="24"/>
                <w:highlight w:val="none"/>
              </w:rPr>
            </w:pPr>
          </w:p>
        </w:tc>
      </w:tr>
      <w:tr w14:paraId="4F767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42D1215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14:paraId="3225E74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450" w:type="dxa"/>
            <w:tcBorders>
              <w:top w:val="single" w:color="auto" w:sz="4" w:space="0"/>
              <w:left w:val="single" w:color="auto" w:sz="4" w:space="0"/>
              <w:bottom w:val="single" w:color="auto" w:sz="4" w:space="0"/>
              <w:right w:val="single" w:color="auto" w:sz="4" w:space="0"/>
            </w:tcBorders>
            <w:vAlign w:val="center"/>
          </w:tcPr>
          <w:p w14:paraId="6286414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450" w:type="dxa"/>
            <w:tcBorders>
              <w:top w:val="single" w:color="auto" w:sz="4" w:space="0"/>
              <w:left w:val="single" w:color="auto" w:sz="4" w:space="0"/>
              <w:bottom w:val="single" w:color="auto" w:sz="4" w:space="0"/>
              <w:right w:val="single" w:color="auto" w:sz="4" w:space="0"/>
            </w:tcBorders>
            <w:vAlign w:val="center"/>
          </w:tcPr>
          <w:p w14:paraId="725E0DE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450" w:type="dxa"/>
            <w:tcBorders>
              <w:top w:val="single" w:color="auto" w:sz="4" w:space="0"/>
              <w:left w:val="single" w:color="auto" w:sz="4" w:space="0"/>
              <w:bottom w:val="single" w:color="auto" w:sz="4" w:space="0"/>
              <w:right w:val="single" w:color="auto" w:sz="4" w:space="0"/>
            </w:tcBorders>
            <w:vAlign w:val="center"/>
          </w:tcPr>
          <w:p w14:paraId="2D160DB7">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270" w:type="dxa"/>
            <w:tcBorders>
              <w:top w:val="single" w:color="auto" w:sz="4" w:space="0"/>
              <w:left w:val="single" w:color="auto" w:sz="4" w:space="0"/>
              <w:bottom w:val="single" w:color="auto" w:sz="4" w:space="0"/>
              <w:right w:val="single" w:color="auto" w:sz="4" w:space="0"/>
            </w:tcBorders>
            <w:vAlign w:val="center"/>
          </w:tcPr>
          <w:p w14:paraId="1F84737F">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983" w:type="dxa"/>
            <w:tcBorders>
              <w:top w:val="single" w:color="auto" w:sz="4" w:space="0"/>
              <w:left w:val="single" w:color="auto" w:sz="4" w:space="0"/>
              <w:bottom w:val="single" w:color="auto" w:sz="4" w:space="0"/>
              <w:right w:val="single" w:color="auto" w:sz="4" w:space="0"/>
            </w:tcBorders>
            <w:vAlign w:val="center"/>
          </w:tcPr>
          <w:p w14:paraId="348B67D7">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572F7F19">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686E004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1F3A0A76">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0378C769">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6144C55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r>
      <w:tr w14:paraId="51FD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6F67C0A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622CC2C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E97F9D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4373BA0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2A0A03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1172E15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0A26BCC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6FFFEA4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23CF38B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7CD1E46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3779EE9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1D33DEB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14:paraId="3F4E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607DF0D1">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033CADB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A8E64B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19A9C7D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3A3F9D37">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46853A56">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4186046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3EF3707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26E501D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34716B47">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44F8FBD7">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4070AF3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14:paraId="3592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267B9BC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7542081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0BD1F3F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773EF21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6763271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762BD059">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02BE692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31ACB14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0984081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3193C49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76CFC72F">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60081347">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14:paraId="316C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1434994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5FDEE66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64130311">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97166E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409C58E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15BDDDE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1D900FD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1316748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11D1FFB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521C2D5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5EFCCE4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696F8B09">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14:paraId="28E7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79" w:type="dxa"/>
            <w:gridSpan w:val="8"/>
            <w:tcBorders>
              <w:top w:val="single" w:color="auto" w:sz="4" w:space="0"/>
              <w:left w:val="single" w:color="auto" w:sz="4" w:space="0"/>
              <w:bottom w:val="single" w:color="auto" w:sz="4" w:space="0"/>
              <w:right w:val="single" w:color="auto" w:sz="4" w:space="0"/>
            </w:tcBorders>
            <w:vAlign w:val="center"/>
          </w:tcPr>
          <w:p w14:paraId="0E398A9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    计</w:t>
            </w:r>
          </w:p>
        </w:tc>
        <w:tc>
          <w:tcPr>
            <w:tcW w:w="834" w:type="dxa"/>
            <w:tcBorders>
              <w:top w:val="single" w:color="auto" w:sz="4" w:space="0"/>
              <w:left w:val="single" w:color="auto" w:sz="4" w:space="0"/>
              <w:bottom w:val="single" w:color="auto" w:sz="4" w:space="0"/>
              <w:right w:val="single" w:color="auto" w:sz="4" w:space="0"/>
            </w:tcBorders>
            <w:vAlign w:val="center"/>
          </w:tcPr>
          <w:p w14:paraId="76C4D06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5ECBE25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5AB2694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1CD644F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14:paraId="290756C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bl>
    <w:p w14:paraId="7129FABB">
      <w:pPr>
        <w:autoSpaceDN w:val="0"/>
        <w:rPr>
          <w:rFonts w:ascii="仿宋" w:hAnsi="仿宋" w:eastAsia="仿宋" w:cs="仿宋"/>
          <w:color w:val="auto"/>
          <w:sz w:val="24"/>
          <w:szCs w:val="24"/>
          <w:highlight w:val="none"/>
        </w:rPr>
      </w:pPr>
    </w:p>
    <w:p w14:paraId="3B6262EE">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注：表中（1）～〔6）栏由采购人提供内容，（7）栏由采购人按需提出要求，如采购人需要磋商响应供应商提供清单项目综合单价的计算分析和工料机分析，请在（7）备注中明确。</w:t>
      </w:r>
    </w:p>
    <w:p w14:paraId="4ABD9465">
      <w:pPr>
        <w:widowControl/>
        <w:spacing w:beforeAutospacing="1" w:afterAutospacing="1"/>
        <w:jc w:val="left"/>
        <w:rPr>
          <w:rFonts w:ascii="仿宋" w:hAnsi="仿宋" w:eastAsia="仿宋" w:cs="仿宋"/>
          <w:color w:val="auto"/>
          <w:sz w:val="24"/>
          <w:szCs w:val="24"/>
          <w:highlight w:val="none"/>
        </w:rPr>
        <w:sectPr>
          <w:pgSz w:w="16838" w:h="11906" w:orient="landscape"/>
          <w:pgMar w:top="1191" w:right="1361" w:bottom="1191" w:left="1814" w:header="851" w:footer="1247" w:gutter="0"/>
          <w:cols w:space="720" w:num="1"/>
          <w:docGrid w:type="lines" w:linePitch="312" w:charSpace="0"/>
        </w:sectPr>
      </w:pPr>
    </w:p>
    <w:p w14:paraId="01CBAA11">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表1-3-A  组织措施项目（整体）清单及计价表</w:t>
      </w:r>
    </w:p>
    <w:p w14:paraId="26FB42D3">
      <w:pPr>
        <w:autoSpaceDN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3086"/>
        <w:gridCol w:w="1103"/>
        <w:gridCol w:w="1103"/>
        <w:gridCol w:w="1471"/>
        <w:gridCol w:w="2020"/>
      </w:tblGrid>
      <w:tr w14:paraId="16A4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7" w:type="dxa"/>
            <w:tcBorders>
              <w:top w:val="single" w:color="auto" w:sz="4" w:space="0"/>
              <w:left w:val="single" w:color="auto" w:sz="4" w:space="0"/>
              <w:bottom w:val="single" w:color="auto" w:sz="4" w:space="0"/>
              <w:right w:val="single" w:color="auto" w:sz="4" w:space="0"/>
            </w:tcBorders>
            <w:vAlign w:val="center"/>
          </w:tcPr>
          <w:p w14:paraId="43BE391D">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86" w:type="dxa"/>
            <w:tcBorders>
              <w:top w:val="single" w:color="auto" w:sz="4" w:space="0"/>
              <w:left w:val="single" w:color="auto" w:sz="4" w:space="0"/>
              <w:bottom w:val="single" w:color="auto" w:sz="4" w:space="0"/>
              <w:right w:val="single" w:color="auto" w:sz="4" w:space="0"/>
            </w:tcBorders>
            <w:vAlign w:val="center"/>
          </w:tcPr>
          <w:p w14:paraId="12776C94">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  目  名  称</w:t>
            </w:r>
          </w:p>
        </w:tc>
        <w:tc>
          <w:tcPr>
            <w:tcW w:w="1103" w:type="dxa"/>
            <w:tcBorders>
              <w:top w:val="single" w:color="auto" w:sz="4" w:space="0"/>
              <w:left w:val="single" w:color="auto" w:sz="4" w:space="0"/>
              <w:bottom w:val="single" w:color="auto" w:sz="4" w:space="0"/>
              <w:right w:val="single" w:color="auto" w:sz="4" w:space="0"/>
            </w:tcBorders>
            <w:vAlign w:val="center"/>
          </w:tcPr>
          <w:p w14:paraId="67990570">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103" w:type="dxa"/>
            <w:tcBorders>
              <w:top w:val="single" w:color="auto" w:sz="4" w:space="0"/>
              <w:left w:val="single" w:color="auto" w:sz="4" w:space="0"/>
              <w:bottom w:val="single" w:color="auto" w:sz="4" w:space="0"/>
              <w:right w:val="single" w:color="auto" w:sz="4" w:space="0"/>
            </w:tcBorders>
            <w:vAlign w:val="center"/>
          </w:tcPr>
          <w:p w14:paraId="548C922D">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471" w:type="dxa"/>
            <w:tcBorders>
              <w:top w:val="single" w:color="auto" w:sz="4" w:space="0"/>
              <w:left w:val="single" w:color="auto" w:sz="4" w:space="0"/>
              <w:bottom w:val="single" w:color="auto" w:sz="4" w:space="0"/>
              <w:right w:val="single" w:color="auto" w:sz="4" w:space="0"/>
            </w:tcBorders>
            <w:vAlign w:val="center"/>
          </w:tcPr>
          <w:p w14:paraId="4FCCC98A">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金  额(元)</w:t>
            </w:r>
          </w:p>
        </w:tc>
        <w:tc>
          <w:tcPr>
            <w:tcW w:w="2020" w:type="dxa"/>
            <w:tcBorders>
              <w:top w:val="single" w:color="auto" w:sz="4" w:space="0"/>
              <w:left w:val="single" w:color="auto" w:sz="4" w:space="0"/>
              <w:bottom w:val="single" w:color="auto" w:sz="4" w:space="0"/>
              <w:right w:val="single" w:color="auto" w:sz="4" w:space="0"/>
            </w:tcBorders>
            <w:vAlign w:val="center"/>
          </w:tcPr>
          <w:p w14:paraId="54810062">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6A49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1" w:hRule="atLeast"/>
        </w:trPr>
        <w:tc>
          <w:tcPr>
            <w:tcW w:w="957" w:type="dxa"/>
            <w:tcBorders>
              <w:top w:val="single" w:color="auto" w:sz="4" w:space="0"/>
              <w:left w:val="single" w:color="auto" w:sz="4" w:space="0"/>
              <w:bottom w:val="single" w:color="auto" w:sz="4" w:space="0"/>
              <w:right w:val="single" w:color="auto" w:sz="4" w:space="0"/>
            </w:tcBorders>
          </w:tcPr>
          <w:p w14:paraId="1453783E">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p w14:paraId="498DC07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p w14:paraId="639736D5">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二</w:t>
            </w:r>
          </w:p>
          <w:p w14:paraId="047536F6">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1</w:t>
            </w:r>
          </w:p>
          <w:p w14:paraId="7BA2F20E">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2</w:t>
            </w:r>
          </w:p>
          <w:p w14:paraId="62505F5B">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3</w:t>
            </w:r>
          </w:p>
          <w:p w14:paraId="6CB7C74B">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4</w:t>
            </w:r>
          </w:p>
        </w:tc>
        <w:tc>
          <w:tcPr>
            <w:tcW w:w="3086" w:type="dxa"/>
            <w:tcBorders>
              <w:top w:val="single" w:color="auto" w:sz="4" w:space="0"/>
              <w:left w:val="single" w:color="auto" w:sz="4" w:space="0"/>
              <w:bottom w:val="single" w:color="auto" w:sz="4" w:space="0"/>
              <w:right w:val="single" w:color="auto" w:sz="4" w:space="0"/>
            </w:tcBorders>
          </w:tcPr>
          <w:p w14:paraId="2C21E8E9">
            <w:pPr>
              <w:widowControl/>
              <w:tabs>
                <w:tab w:val="center" w:pos="4755"/>
                <w:tab w:val="right" w:pos="9070"/>
              </w:tabs>
              <w:autoSpaceDN w:val="0"/>
              <w:adjustRightInd w:val="0"/>
              <w:spacing w:before="100" w:beforeAutospacing="1" w:after="100" w:afterAutospacing="1"/>
              <w:jc w:val="center"/>
              <w:rPr>
                <w:rFonts w:ascii="仿宋" w:hAnsi="仿宋" w:eastAsia="仿宋" w:cs="仿宋"/>
                <w:color w:val="auto"/>
                <w:spacing w:val="-16"/>
                <w:sz w:val="24"/>
                <w:szCs w:val="24"/>
                <w:highlight w:val="none"/>
              </w:rPr>
            </w:pPr>
          </w:p>
          <w:p w14:paraId="3EA8223A">
            <w:pPr>
              <w:widowControl/>
              <w:tabs>
                <w:tab w:val="center" w:pos="4755"/>
                <w:tab w:val="right" w:pos="9070"/>
              </w:tabs>
              <w:autoSpaceDN w:val="0"/>
              <w:adjustRightInd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安全文明施工措施项目</w:t>
            </w:r>
          </w:p>
          <w:p w14:paraId="1F59404F">
            <w:pPr>
              <w:widowControl/>
              <w:tabs>
                <w:tab w:val="center" w:pos="4755"/>
                <w:tab w:val="right" w:pos="9070"/>
              </w:tabs>
              <w:autoSpaceDN w:val="0"/>
              <w:adjustRightInd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其他组织措施项目</w:t>
            </w:r>
          </w:p>
          <w:p w14:paraId="7E42E787">
            <w:pPr>
              <w:widowControl/>
              <w:tabs>
                <w:tab w:val="center" w:pos="4755"/>
                <w:tab w:val="right" w:pos="9070"/>
              </w:tabs>
              <w:autoSpaceDN w:val="0"/>
              <w:adjustRightInd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提前竣工增加费</w:t>
            </w:r>
          </w:p>
          <w:p w14:paraId="6D968D8D">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二次搬运费</w:t>
            </w:r>
          </w:p>
          <w:p w14:paraId="16D74915">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冬雨季施工增加费</w:t>
            </w:r>
          </w:p>
          <w:p w14:paraId="6EAFFE75">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行车、行人干扰增加费</w:t>
            </w:r>
          </w:p>
        </w:tc>
        <w:tc>
          <w:tcPr>
            <w:tcW w:w="1103" w:type="dxa"/>
            <w:tcBorders>
              <w:top w:val="single" w:color="auto" w:sz="4" w:space="0"/>
              <w:left w:val="single" w:color="auto" w:sz="4" w:space="0"/>
              <w:bottom w:val="single" w:color="auto" w:sz="4" w:space="0"/>
              <w:right w:val="single" w:color="auto" w:sz="4" w:space="0"/>
            </w:tcBorders>
          </w:tcPr>
          <w:p w14:paraId="4BEC69A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103" w:type="dxa"/>
            <w:tcBorders>
              <w:top w:val="single" w:color="auto" w:sz="4" w:space="0"/>
              <w:left w:val="single" w:color="auto" w:sz="4" w:space="0"/>
              <w:bottom w:val="single" w:color="auto" w:sz="4" w:space="0"/>
              <w:right w:val="single" w:color="auto" w:sz="4" w:space="0"/>
            </w:tcBorders>
          </w:tcPr>
          <w:p w14:paraId="556B6C7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6F193E6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2020" w:type="dxa"/>
            <w:tcBorders>
              <w:top w:val="single" w:color="auto" w:sz="4" w:space="0"/>
              <w:left w:val="single" w:color="auto" w:sz="4" w:space="0"/>
              <w:bottom w:val="single" w:color="auto" w:sz="4" w:space="0"/>
              <w:right w:val="single" w:color="auto" w:sz="4" w:space="0"/>
            </w:tcBorders>
          </w:tcPr>
          <w:p w14:paraId="439AB46B">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p w14:paraId="17B9AAF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提供分析清单（表1-3-A-1）</w:t>
            </w:r>
          </w:p>
          <w:p w14:paraId="3F02BE19">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14:paraId="086E9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249" w:type="dxa"/>
            <w:gridSpan w:val="4"/>
            <w:tcBorders>
              <w:top w:val="single" w:color="auto" w:sz="4" w:space="0"/>
              <w:left w:val="single" w:color="auto" w:sz="4" w:space="0"/>
              <w:bottom w:val="single" w:color="auto" w:sz="4" w:space="0"/>
              <w:right w:val="single" w:color="auto" w:sz="4" w:space="0"/>
            </w:tcBorders>
            <w:vAlign w:val="center"/>
          </w:tcPr>
          <w:p w14:paraId="56C3636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1471" w:type="dxa"/>
            <w:tcBorders>
              <w:top w:val="single" w:color="auto" w:sz="4" w:space="0"/>
              <w:left w:val="single" w:color="auto" w:sz="4" w:space="0"/>
              <w:bottom w:val="single" w:color="auto" w:sz="4" w:space="0"/>
              <w:right w:val="single" w:color="auto" w:sz="4" w:space="0"/>
            </w:tcBorders>
          </w:tcPr>
          <w:p w14:paraId="065558A1">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tc>
        <w:tc>
          <w:tcPr>
            <w:tcW w:w="2020" w:type="dxa"/>
            <w:tcBorders>
              <w:top w:val="single" w:color="auto" w:sz="4" w:space="0"/>
              <w:left w:val="single" w:color="auto" w:sz="4" w:space="0"/>
              <w:bottom w:val="single" w:color="auto" w:sz="4" w:space="0"/>
              <w:right w:val="single" w:color="auto" w:sz="4" w:space="0"/>
            </w:tcBorders>
          </w:tcPr>
          <w:p w14:paraId="099EE36A">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tc>
      </w:tr>
    </w:tbl>
    <w:p w14:paraId="3E3512F9">
      <w:pPr>
        <w:autoSpaceDN w:val="0"/>
        <w:rPr>
          <w:rFonts w:ascii="仿宋" w:hAnsi="仿宋" w:eastAsia="仿宋" w:cs="Times New Roman"/>
          <w:color w:val="auto"/>
          <w:sz w:val="22"/>
          <w:highlight w:val="none"/>
        </w:rPr>
      </w:pPr>
    </w:p>
    <w:p w14:paraId="1B430133">
      <w:pPr>
        <w:widowControl/>
        <w:tabs>
          <w:tab w:val="center" w:pos="4755"/>
          <w:tab w:val="right" w:pos="9070"/>
        </w:tabs>
        <w:autoSpaceDN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注：1.表中列项供参考，（1）、（2）栏由采购人提供，供应商可按工程实际作补充。</w:t>
      </w:r>
    </w:p>
    <w:p w14:paraId="7A55FE32">
      <w:pPr>
        <w:widowControl/>
        <w:tabs>
          <w:tab w:val="center" w:pos="4755"/>
          <w:tab w:val="right" w:pos="9070"/>
        </w:tabs>
        <w:autoSpaceDN w:val="0"/>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措施项目应分整体措施项目和专业工程措施项目，安全文明施工措施项目（包括环境保护、文明施工、安全施工、临时设施）以及工程定位复测费应按采购项目整体报价，其他组织措施项目由供应商根据工程实际自行决定按整体项目还是按专业工程清单报价（专业工程组织措施项目清单见表1-3-B）。</w:t>
      </w:r>
    </w:p>
    <w:p w14:paraId="09544639">
      <w:pPr>
        <w:widowControl/>
        <w:tabs>
          <w:tab w:val="center" w:pos="4755"/>
          <w:tab w:val="right" w:pos="9070"/>
        </w:tabs>
        <w:autoSpaceDN w:val="0"/>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 专业工程组织措施项目清单表1-3-B中已报价的组织措施费不得与整体组织措施项目清单表1-3-A中的其他组织措施项目重复报价。</w:t>
      </w:r>
    </w:p>
    <w:p w14:paraId="2D7C191C">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表1-3-B  组织措施项目（专业工程）清单及计价表</w:t>
      </w:r>
    </w:p>
    <w:p w14:paraId="6039BBF9">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w:t>
      </w:r>
    </w:p>
    <w:p w14:paraId="1716B7C0">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156"/>
        <w:gridCol w:w="1068"/>
        <w:gridCol w:w="929"/>
        <w:gridCol w:w="1806"/>
        <w:gridCol w:w="1831"/>
      </w:tblGrid>
      <w:tr w14:paraId="3887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0" w:type="dxa"/>
            <w:tcBorders>
              <w:top w:val="single" w:color="auto" w:sz="4" w:space="0"/>
              <w:left w:val="single" w:color="auto" w:sz="4" w:space="0"/>
              <w:bottom w:val="single" w:color="auto" w:sz="4" w:space="0"/>
              <w:right w:val="single" w:color="auto" w:sz="4" w:space="0"/>
            </w:tcBorders>
            <w:vAlign w:val="center"/>
          </w:tcPr>
          <w:p w14:paraId="6AFC5201">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156" w:type="dxa"/>
            <w:tcBorders>
              <w:top w:val="single" w:color="auto" w:sz="4" w:space="0"/>
              <w:left w:val="single" w:color="auto" w:sz="4" w:space="0"/>
              <w:bottom w:val="single" w:color="auto" w:sz="4" w:space="0"/>
              <w:right w:val="single" w:color="auto" w:sz="4" w:space="0"/>
            </w:tcBorders>
            <w:vAlign w:val="center"/>
          </w:tcPr>
          <w:p w14:paraId="1241F1E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  目  名  称</w:t>
            </w:r>
          </w:p>
        </w:tc>
        <w:tc>
          <w:tcPr>
            <w:tcW w:w="1068" w:type="dxa"/>
            <w:tcBorders>
              <w:top w:val="single" w:color="auto" w:sz="4" w:space="0"/>
              <w:left w:val="single" w:color="auto" w:sz="4" w:space="0"/>
              <w:bottom w:val="single" w:color="auto" w:sz="4" w:space="0"/>
              <w:right w:val="single" w:color="auto" w:sz="4" w:space="0"/>
            </w:tcBorders>
            <w:vAlign w:val="center"/>
          </w:tcPr>
          <w:p w14:paraId="1523CAA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929" w:type="dxa"/>
            <w:tcBorders>
              <w:top w:val="single" w:color="auto" w:sz="4" w:space="0"/>
              <w:left w:val="single" w:color="auto" w:sz="4" w:space="0"/>
              <w:bottom w:val="single" w:color="auto" w:sz="4" w:space="0"/>
              <w:right w:val="single" w:color="auto" w:sz="4" w:space="0"/>
            </w:tcBorders>
            <w:vAlign w:val="center"/>
          </w:tcPr>
          <w:p w14:paraId="52AE4DB9">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806" w:type="dxa"/>
            <w:tcBorders>
              <w:top w:val="single" w:color="auto" w:sz="4" w:space="0"/>
              <w:left w:val="single" w:color="auto" w:sz="4" w:space="0"/>
              <w:bottom w:val="single" w:color="auto" w:sz="4" w:space="0"/>
              <w:right w:val="single" w:color="auto" w:sz="4" w:space="0"/>
            </w:tcBorders>
            <w:vAlign w:val="center"/>
          </w:tcPr>
          <w:p w14:paraId="339DDC9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金  额(元)</w:t>
            </w:r>
          </w:p>
        </w:tc>
        <w:tc>
          <w:tcPr>
            <w:tcW w:w="1831" w:type="dxa"/>
            <w:tcBorders>
              <w:top w:val="single" w:color="auto" w:sz="4" w:space="0"/>
              <w:left w:val="single" w:color="auto" w:sz="4" w:space="0"/>
              <w:bottom w:val="single" w:color="auto" w:sz="4" w:space="0"/>
              <w:right w:val="single" w:color="auto" w:sz="4" w:space="0"/>
            </w:tcBorders>
            <w:vAlign w:val="center"/>
          </w:tcPr>
          <w:p w14:paraId="6F507F5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07CA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3" w:hRule="atLeast"/>
        </w:trPr>
        <w:tc>
          <w:tcPr>
            <w:tcW w:w="950" w:type="dxa"/>
            <w:tcBorders>
              <w:top w:val="single" w:color="auto" w:sz="4" w:space="0"/>
              <w:left w:val="single" w:color="auto" w:sz="4" w:space="0"/>
              <w:bottom w:val="single" w:color="auto" w:sz="4" w:space="0"/>
              <w:right w:val="single" w:color="auto" w:sz="4" w:space="0"/>
            </w:tcBorders>
          </w:tcPr>
          <w:p w14:paraId="2C3F8119">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p w14:paraId="148766F8">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1</w:t>
            </w:r>
          </w:p>
          <w:p w14:paraId="00EA2C2D">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2</w:t>
            </w:r>
          </w:p>
          <w:p w14:paraId="0BB1A193">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3</w:t>
            </w:r>
          </w:p>
          <w:p w14:paraId="45CE056E">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4</w:t>
            </w:r>
          </w:p>
          <w:p w14:paraId="3A263509">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p>
          <w:p w14:paraId="367DB38C">
            <w:pPr>
              <w:widowControl/>
              <w:tabs>
                <w:tab w:val="center" w:pos="4755"/>
                <w:tab w:val="right" w:pos="9070"/>
              </w:tabs>
              <w:autoSpaceDN w:val="0"/>
              <w:spacing w:before="100" w:beforeAutospacing="1" w:after="100" w:afterAutospacing="1"/>
              <w:rPr>
                <w:rFonts w:ascii="仿宋" w:hAnsi="仿宋" w:eastAsia="仿宋" w:cs="仿宋"/>
                <w:color w:val="auto"/>
                <w:position w:val="-6"/>
                <w:sz w:val="24"/>
                <w:szCs w:val="24"/>
                <w:highlight w:val="none"/>
              </w:rPr>
            </w:pPr>
          </w:p>
          <w:p w14:paraId="16568F45">
            <w:pPr>
              <w:widowControl/>
              <w:tabs>
                <w:tab w:val="center" w:pos="4755"/>
                <w:tab w:val="right" w:pos="9070"/>
              </w:tabs>
              <w:autoSpaceDN w:val="0"/>
              <w:spacing w:before="100" w:beforeAutospacing="1" w:after="100" w:afterAutospacing="1"/>
              <w:rPr>
                <w:rFonts w:ascii="仿宋" w:hAnsi="仿宋" w:eastAsia="仿宋" w:cs="仿宋"/>
                <w:color w:val="auto"/>
                <w:position w:val="-6"/>
                <w:sz w:val="24"/>
                <w:szCs w:val="24"/>
                <w:highlight w:val="none"/>
              </w:rPr>
            </w:pPr>
          </w:p>
          <w:p w14:paraId="6876773B">
            <w:pPr>
              <w:widowControl/>
              <w:tabs>
                <w:tab w:val="center" w:pos="4755"/>
                <w:tab w:val="right" w:pos="9070"/>
              </w:tabs>
              <w:autoSpaceDN w:val="0"/>
              <w:spacing w:before="100" w:beforeAutospacing="1" w:after="100" w:afterAutospacing="1"/>
              <w:rPr>
                <w:rFonts w:ascii="仿宋" w:hAnsi="仿宋" w:eastAsia="仿宋" w:cs="仿宋"/>
                <w:color w:val="auto"/>
                <w:position w:val="-6"/>
                <w:sz w:val="24"/>
                <w:szCs w:val="24"/>
                <w:highlight w:val="none"/>
              </w:rPr>
            </w:pPr>
          </w:p>
        </w:tc>
        <w:tc>
          <w:tcPr>
            <w:tcW w:w="3156" w:type="dxa"/>
            <w:tcBorders>
              <w:top w:val="single" w:color="auto" w:sz="4" w:space="0"/>
              <w:left w:val="single" w:color="auto" w:sz="4" w:space="0"/>
              <w:bottom w:val="single" w:color="auto" w:sz="4" w:space="0"/>
              <w:right w:val="single" w:color="auto" w:sz="4" w:space="0"/>
            </w:tcBorders>
          </w:tcPr>
          <w:p w14:paraId="1CE54AE2">
            <w:pPr>
              <w:widowControl/>
              <w:tabs>
                <w:tab w:val="center" w:pos="4755"/>
                <w:tab w:val="right" w:pos="9070"/>
              </w:tabs>
              <w:autoSpaceDN w:val="0"/>
              <w:adjustRightInd w:val="0"/>
              <w:spacing w:before="100" w:beforeAutospacing="1" w:after="100" w:afterAutospacing="1"/>
              <w:jc w:val="center"/>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（2）</w:t>
            </w:r>
          </w:p>
          <w:p w14:paraId="606A52C5">
            <w:pPr>
              <w:widowControl/>
              <w:tabs>
                <w:tab w:val="center" w:pos="4755"/>
                <w:tab w:val="right" w:pos="9070"/>
              </w:tabs>
              <w:autoSpaceDN w:val="0"/>
              <w:adjustRightInd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提前竣工增加费</w:t>
            </w:r>
          </w:p>
          <w:p w14:paraId="49B8F158">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二次搬运费</w:t>
            </w:r>
          </w:p>
          <w:p w14:paraId="0A23AA99">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冬雨季施工增加费</w:t>
            </w:r>
          </w:p>
          <w:p w14:paraId="0A7427FA">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行车、行人干扰增加费</w:t>
            </w:r>
          </w:p>
          <w:p w14:paraId="1232828E">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p>
          <w:p w14:paraId="5DA6E26B">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tcPr>
          <w:p w14:paraId="628F8BD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29" w:type="dxa"/>
            <w:tcBorders>
              <w:top w:val="single" w:color="auto" w:sz="4" w:space="0"/>
              <w:left w:val="single" w:color="auto" w:sz="4" w:space="0"/>
              <w:bottom w:val="single" w:color="auto" w:sz="4" w:space="0"/>
              <w:right w:val="single" w:color="auto" w:sz="4" w:space="0"/>
            </w:tcBorders>
          </w:tcPr>
          <w:p w14:paraId="0CB81AD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806" w:type="dxa"/>
            <w:tcBorders>
              <w:top w:val="single" w:color="auto" w:sz="4" w:space="0"/>
              <w:left w:val="single" w:color="auto" w:sz="4" w:space="0"/>
              <w:bottom w:val="single" w:color="auto" w:sz="4" w:space="0"/>
              <w:right w:val="single" w:color="auto" w:sz="4" w:space="0"/>
            </w:tcBorders>
            <w:vAlign w:val="center"/>
          </w:tcPr>
          <w:p w14:paraId="5ED92E6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tcPr>
          <w:p w14:paraId="3AF7BE01">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p w14:paraId="725DE07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p w14:paraId="2D4CC44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14:paraId="3CC9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103" w:type="dxa"/>
            <w:gridSpan w:val="4"/>
            <w:tcBorders>
              <w:top w:val="single" w:color="auto" w:sz="4" w:space="0"/>
              <w:left w:val="single" w:color="auto" w:sz="4" w:space="0"/>
              <w:bottom w:val="single" w:color="auto" w:sz="4" w:space="0"/>
              <w:right w:val="single" w:color="auto" w:sz="4" w:space="0"/>
            </w:tcBorders>
          </w:tcPr>
          <w:p w14:paraId="42148BAF">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1806" w:type="dxa"/>
            <w:tcBorders>
              <w:top w:val="single" w:color="auto" w:sz="4" w:space="0"/>
              <w:left w:val="single" w:color="auto" w:sz="4" w:space="0"/>
              <w:bottom w:val="single" w:color="auto" w:sz="4" w:space="0"/>
              <w:right w:val="single" w:color="auto" w:sz="4" w:space="0"/>
            </w:tcBorders>
          </w:tcPr>
          <w:p w14:paraId="616E99B0">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tcPr>
          <w:p w14:paraId="41DC6C89">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tc>
      </w:tr>
    </w:tbl>
    <w:p w14:paraId="3EA8958A">
      <w:pPr>
        <w:widowControl/>
        <w:tabs>
          <w:tab w:val="center" w:pos="4755"/>
          <w:tab w:val="right" w:pos="9070"/>
        </w:tabs>
        <w:autoSpaceDN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注：1.表中列项供参考，（1）、（2）栏由采购人提供，供应商可按工程实际作补充。</w:t>
      </w:r>
    </w:p>
    <w:p w14:paraId="1EF237F6">
      <w:pPr>
        <w:widowControl/>
        <w:tabs>
          <w:tab w:val="center" w:pos="4755"/>
          <w:tab w:val="right" w:pos="9070"/>
        </w:tabs>
        <w:autoSpaceDN w:val="0"/>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2．当采购项目为单位工程发包且只有1个分部分项工程量清单时，组织措施项目清单应按表1-3-A报价。</w:t>
      </w:r>
    </w:p>
    <w:p w14:paraId="5D93308C">
      <w:pPr>
        <w:widowControl/>
        <w:tabs>
          <w:tab w:val="center" w:pos="4755"/>
          <w:tab w:val="right" w:pos="9070"/>
        </w:tabs>
        <w:autoSpaceDN w:val="0"/>
        <w:rPr>
          <w:rFonts w:ascii="仿宋" w:hAnsi="仿宋" w:eastAsia="仿宋" w:cs="仿宋"/>
          <w:color w:val="auto"/>
          <w:sz w:val="24"/>
          <w:szCs w:val="24"/>
          <w:highlight w:val="none"/>
        </w:rPr>
      </w:pPr>
    </w:p>
    <w:p w14:paraId="5F1F86A2">
      <w:pPr>
        <w:widowControl/>
        <w:spacing w:beforeAutospacing="1" w:afterAutospacing="1"/>
        <w:jc w:val="left"/>
        <w:rPr>
          <w:rFonts w:ascii="仿宋" w:hAnsi="仿宋" w:eastAsia="仿宋" w:cs="Times New Roman"/>
          <w:color w:val="auto"/>
          <w:sz w:val="22"/>
          <w:highlight w:val="none"/>
        </w:rPr>
        <w:sectPr>
          <w:pgSz w:w="11906" w:h="16838"/>
          <w:pgMar w:top="1414" w:right="1191" w:bottom="1361" w:left="1191" w:header="851" w:footer="1077" w:gutter="0"/>
          <w:cols w:space="720" w:num="1"/>
          <w:docGrid w:type="lines" w:linePitch="312" w:charSpace="0"/>
        </w:sectPr>
      </w:pPr>
    </w:p>
    <w:p w14:paraId="419118BC">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表1-3-C  技术措施项目清单及计价表</w:t>
      </w:r>
    </w:p>
    <w:p w14:paraId="019D3F43">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2"/>
        <w:gridCol w:w="1440"/>
        <w:gridCol w:w="1440"/>
        <w:gridCol w:w="1260"/>
        <w:gridCol w:w="1260"/>
        <w:gridCol w:w="1236"/>
        <w:gridCol w:w="1026"/>
        <w:gridCol w:w="1260"/>
        <w:gridCol w:w="1260"/>
        <w:gridCol w:w="6"/>
        <w:gridCol w:w="921"/>
        <w:gridCol w:w="921"/>
        <w:gridCol w:w="6"/>
      </w:tblGrid>
      <w:tr w14:paraId="49A02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16" w:type="dxa"/>
            <w:vMerge w:val="restart"/>
            <w:tcBorders>
              <w:top w:val="single" w:color="auto" w:sz="4" w:space="0"/>
              <w:left w:val="single" w:color="auto" w:sz="4" w:space="0"/>
              <w:bottom w:val="single" w:color="auto" w:sz="4" w:space="0"/>
              <w:right w:val="single" w:color="auto" w:sz="4" w:space="0"/>
            </w:tcBorders>
            <w:noWrap/>
            <w:vAlign w:val="center"/>
          </w:tcPr>
          <w:p w14:paraId="5FB1481B">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72" w:type="dxa"/>
            <w:vMerge w:val="restart"/>
            <w:tcBorders>
              <w:top w:val="single" w:color="auto" w:sz="4" w:space="0"/>
              <w:left w:val="single" w:color="auto" w:sz="4" w:space="0"/>
              <w:bottom w:val="single" w:color="auto" w:sz="4" w:space="0"/>
              <w:right w:val="single" w:color="auto" w:sz="4" w:space="0"/>
            </w:tcBorders>
            <w:noWrap/>
            <w:vAlign w:val="center"/>
          </w:tcPr>
          <w:p w14:paraId="44BF3449">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项目编码</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13A63B55">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54F58EEC">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项目特征</w:t>
            </w:r>
          </w:p>
          <w:p w14:paraId="2BDF7993">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描述</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14:paraId="239ABD27">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计量单位</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14:paraId="6B543C5B">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工程量</w:t>
            </w:r>
          </w:p>
        </w:tc>
        <w:tc>
          <w:tcPr>
            <w:tcW w:w="1236" w:type="dxa"/>
            <w:vMerge w:val="restart"/>
            <w:tcBorders>
              <w:top w:val="single" w:color="auto" w:sz="4" w:space="0"/>
              <w:left w:val="single" w:color="auto" w:sz="4" w:space="0"/>
              <w:bottom w:val="single" w:color="auto" w:sz="4" w:space="0"/>
              <w:right w:val="single" w:color="auto" w:sz="4" w:space="0"/>
            </w:tcBorders>
            <w:noWrap/>
            <w:vAlign w:val="center"/>
          </w:tcPr>
          <w:p w14:paraId="151BE857">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w:t>
            </w:r>
          </w:p>
          <w:p w14:paraId="491C6BCA">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1026" w:type="dxa"/>
            <w:vMerge w:val="restart"/>
            <w:tcBorders>
              <w:top w:val="single" w:color="auto" w:sz="4" w:space="0"/>
              <w:left w:val="single" w:color="auto" w:sz="4" w:space="0"/>
              <w:bottom w:val="single" w:color="auto" w:sz="4" w:space="0"/>
              <w:right w:val="single" w:color="auto" w:sz="4" w:space="0"/>
            </w:tcBorders>
            <w:noWrap/>
            <w:vAlign w:val="center"/>
          </w:tcPr>
          <w:p w14:paraId="293B5B92">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合价</w:t>
            </w:r>
          </w:p>
          <w:p w14:paraId="0919C2D4">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3447" w:type="dxa"/>
            <w:gridSpan w:val="4"/>
            <w:tcBorders>
              <w:top w:val="single" w:color="auto" w:sz="4" w:space="0"/>
              <w:left w:val="single" w:color="auto" w:sz="4" w:space="0"/>
              <w:bottom w:val="single" w:color="auto" w:sz="4" w:space="0"/>
              <w:right w:val="single" w:color="auto" w:sz="4" w:space="0"/>
            </w:tcBorders>
            <w:noWrap/>
            <w:vAlign w:val="center"/>
          </w:tcPr>
          <w:p w14:paraId="3BA83980">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其中</w:t>
            </w:r>
          </w:p>
        </w:tc>
        <w:tc>
          <w:tcPr>
            <w:tcW w:w="927" w:type="dxa"/>
            <w:gridSpan w:val="2"/>
            <w:vMerge w:val="restart"/>
            <w:tcBorders>
              <w:top w:val="single" w:color="auto" w:sz="4" w:space="0"/>
              <w:left w:val="single" w:color="auto" w:sz="4" w:space="0"/>
              <w:bottom w:val="single" w:color="auto" w:sz="4" w:space="0"/>
              <w:right w:val="single" w:color="auto" w:sz="4" w:space="0"/>
            </w:tcBorders>
            <w:noWrap/>
            <w:vAlign w:val="center"/>
          </w:tcPr>
          <w:p w14:paraId="75F332D3">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38CD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724" w:type="dxa"/>
            <w:vMerge w:val="continue"/>
            <w:tcBorders>
              <w:top w:val="single" w:color="auto" w:sz="4" w:space="0"/>
              <w:left w:val="single" w:color="auto" w:sz="4" w:space="0"/>
              <w:bottom w:val="single" w:color="auto" w:sz="4" w:space="0"/>
              <w:right w:val="single" w:color="auto" w:sz="4" w:space="0"/>
            </w:tcBorders>
            <w:vAlign w:val="center"/>
          </w:tcPr>
          <w:p w14:paraId="6EE966A3">
            <w:pPr>
              <w:widowControl/>
              <w:jc w:val="left"/>
              <w:rPr>
                <w:rFonts w:ascii="仿宋" w:hAnsi="仿宋" w:eastAsia="仿宋" w:cs="仿宋"/>
                <w:color w:val="auto"/>
                <w:sz w:val="24"/>
                <w:szCs w:val="24"/>
                <w:highlight w:val="none"/>
              </w:rPr>
            </w:pP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57791FF1">
            <w:pPr>
              <w:widowControl/>
              <w:jc w:val="left"/>
              <w:rPr>
                <w:rFonts w:ascii="仿宋" w:hAnsi="仿宋" w:eastAsia="仿宋" w:cs="仿宋"/>
                <w:color w:val="auto"/>
                <w:sz w:val="24"/>
                <w:szCs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154C90B">
            <w:pPr>
              <w:widowControl/>
              <w:jc w:val="left"/>
              <w:rPr>
                <w:rFonts w:ascii="仿宋" w:hAnsi="仿宋" w:eastAsia="仿宋" w:cs="仿宋"/>
                <w:color w:val="auto"/>
                <w:sz w:val="24"/>
                <w:szCs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EE14AE0">
            <w:pPr>
              <w:widowControl/>
              <w:jc w:val="left"/>
              <w:rPr>
                <w:rFonts w:ascii="仿宋" w:hAnsi="仿宋" w:eastAsia="仿宋" w:cs="仿宋"/>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3579F308">
            <w:pPr>
              <w:widowControl/>
              <w:jc w:val="left"/>
              <w:rPr>
                <w:rFonts w:ascii="仿宋" w:hAnsi="仿宋" w:eastAsia="仿宋" w:cs="仿宋"/>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64D512B9">
            <w:pPr>
              <w:widowControl/>
              <w:jc w:val="left"/>
              <w:rPr>
                <w:rFonts w:ascii="仿宋" w:hAnsi="仿宋" w:eastAsia="仿宋" w:cs="仿宋"/>
                <w:color w:val="auto"/>
                <w:sz w:val="24"/>
                <w:szCs w:val="24"/>
                <w:highlight w:val="none"/>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14:paraId="7C8AA191">
            <w:pPr>
              <w:widowControl/>
              <w:jc w:val="left"/>
              <w:rPr>
                <w:rFonts w:ascii="仿宋" w:hAnsi="仿宋" w:eastAsia="仿宋" w:cs="仿宋"/>
                <w:color w:val="auto"/>
                <w:sz w:val="24"/>
                <w:szCs w:val="24"/>
                <w:highlight w:val="none"/>
              </w:rPr>
            </w:pPr>
          </w:p>
        </w:tc>
        <w:tc>
          <w:tcPr>
            <w:tcW w:w="1026" w:type="dxa"/>
            <w:vMerge w:val="continue"/>
            <w:tcBorders>
              <w:top w:val="single" w:color="auto" w:sz="4" w:space="0"/>
              <w:left w:val="single" w:color="auto" w:sz="4" w:space="0"/>
              <w:bottom w:val="single" w:color="auto" w:sz="4" w:space="0"/>
              <w:right w:val="single" w:color="auto" w:sz="4" w:space="0"/>
            </w:tcBorders>
            <w:vAlign w:val="center"/>
          </w:tcPr>
          <w:p w14:paraId="7D75565D">
            <w:pPr>
              <w:widowControl/>
              <w:jc w:val="left"/>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549A5FBA">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人工费</w:t>
            </w:r>
          </w:p>
        </w:tc>
        <w:tc>
          <w:tcPr>
            <w:tcW w:w="1260" w:type="dxa"/>
            <w:tcBorders>
              <w:top w:val="single" w:color="auto" w:sz="4" w:space="0"/>
              <w:left w:val="single" w:color="auto" w:sz="4" w:space="0"/>
              <w:bottom w:val="single" w:color="auto" w:sz="4" w:space="0"/>
              <w:right w:val="single" w:color="auto" w:sz="4" w:space="0"/>
            </w:tcBorders>
            <w:noWrap/>
            <w:vAlign w:val="center"/>
          </w:tcPr>
          <w:p w14:paraId="6A5E2508">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机械费</w:t>
            </w:r>
          </w:p>
        </w:tc>
        <w:tc>
          <w:tcPr>
            <w:tcW w:w="927" w:type="dxa"/>
            <w:gridSpan w:val="2"/>
            <w:tcBorders>
              <w:top w:val="single" w:color="auto" w:sz="4" w:space="0"/>
              <w:left w:val="single" w:color="auto" w:sz="4" w:space="0"/>
              <w:bottom w:val="single" w:color="auto" w:sz="4" w:space="0"/>
              <w:right w:val="single" w:color="auto" w:sz="4" w:space="0"/>
            </w:tcBorders>
            <w:noWrap/>
            <w:vAlign w:val="center"/>
          </w:tcPr>
          <w:p w14:paraId="43E84DCD">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管理费</w:t>
            </w:r>
          </w:p>
        </w:tc>
        <w:tc>
          <w:tcPr>
            <w:tcW w:w="1071" w:type="dxa"/>
            <w:gridSpan w:val="2"/>
            <w:vMerge w:val="continue"/>
            <w:tcBorders>
              <w:top w:val="single" w:color="auto" w:sz="4" w:space="0"/>
              <w:left w:val="single" w:color="auto" w:sz="4" w:space="0"/>
              <w:bottom w:val="single" w:color="auto" w:sz="4" w:space="0"/>
              <w:right w:val="single" w:color="auto" w:sz="4" w:space="0"/>
            </w:tcBorders>
            <w:vAlign w:val="center"/>
          </w:tcPr>
          <w:p w14:paraId="488A9216">
            <w:pPr>
              <w:widowControl/>
              <w:jc w:val="left"/>
              <w:rPr>
                <w:rFonts w:ascii="仿宋" w:hAnsi="仿宋" w:eastAsia="仿宋" w:cs="仿宋"/>
                <w:color w:val="auto"/>
                <w:sz w:val="24"/>
                <w:szCs w:val="24"/>
                <w:highlight w:val="none"/>
              </w:rPr>
            </w:pPr>
          </w:p>
        </w:tc>
      </w:tr>
      <w:tr w14:paraId="27C6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8" w:hRule="atLeast"/>
        </w:trPr>
        <w:tc>
          <w:tcPr>
            <w:tcW w:w="816" w:type="dxa"/>
            <w:tcBorders>
              <w:top w:val="single" w:color="auto" w:sz="4" w:space="0"/>
              <w:left w:val="single" w:color="auto" w:sz="4" w:space="0"/>
              <w:bottom w:val="single" w:color="auto" w:sz="4" w:space="0"/>
              <w:right w:val="single" w:color="auto" w:sz="4" w:space="0"/>
            </w:tcBorders>
            <w:noWrap/>
          </w:tcPr>
          <w:p w14:paraId="21CA6474">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72" w:type="dxa"/>
            <w:tcBorders>
              <w:top w:val="single" w:color="auto" w:sz="4" w:space="0"/>
              <w:left w:val="single" w:color="auto" w:sz="4" w:space="0"/>
              <w:bottom w:val="single" w:color="auto" w:sz="4" w:space="0"/>
              <w:right w:val="single" w:color="auto" w:sz="4" w:space="0"/>
            </w:tcBorders>
            <w:noWrap/>
          </w:tcPr>
          <w:p w14:paraId="559B8A35">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440" w:type="dxa"/>
            <w:tcBorders>
              <w:top w:val="single" w:color="auto" w:sz="4" w:space="0"/>
              <w:left w:val="single" w:color="auto" w:sz="4" w:space="0"/>
              <w:bottom w:val="single" w:color="auto" w:sz="4" w:space="0"/>
              <w:right w:val="single" w:color="auto" w:sz="4" w:space="0"/>
            </w:tcBorders>
            <w:noWrap/>
          </w:tcPr>
          <w:p w14:paraId="0842210B">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440" w:type="dxa"/>
            <w:tcBorders>
              <w:top w:val="single" w:color="auto" w:sz="4" w:space="0"/>
              <w:left w:val="single" w:color="auto" w:sz="4" w:space="0"/>
              <w:bottom w:val="single" w:color="auto" w:sz="4" w:space="0"/>
              <w:right w:val="single" w:color="auto" w:sz="4" w:space="0"/>
            </w:tcBorders>
            <w:noWrap/>
          </w:tcPr>
          <w:p w14:paraId="574A15B5">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260" w:type="dxa"/>
            <w:tcBorders>
              <w:top w:val="single" w:color="auto" w:sz="4" w:space="0"/>
              <w:left w:val="single" w:color="auto" w:sz="4" w:space="0"/>
              <w:bottom w:val="single" w:color="auto" w:sz="4" w:space="0"/>
              <w:right w:val="single" w:color="auto" w:sz="4" w:space="0"/>
            </w:tcBorders>
            <w:noWrap/>
          </w:tcPr>
          <w:p w14:paraId="7D4A2EAB">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260" w:type="dxa"/>
            <w:tcBorders>
              <w:top w:val="single" w:color="auto" w:sz="4" w:space="0"/>
              <w:left w:val="single" w:color="auto" w:sz="4" w:space="0"/>
              <w:bottom w:val="single" w:color="auto" w:sz="4" w:space="0"/>
              <w:right w:val="single" w:color="auto" w:sz="4" w:space="0"/>
            </w:tcBorders>
            <w:noWrap/>
          </w:tcPr>
          <w:p w14:paraId="58026FA1">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40AD23E6">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64A7263C">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0154CCB">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126C86D4">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030AD74E">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71CF26F2">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r>
      <w:tr w14:paraId="17CB8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01FD9C6D">
            <w:pPr>
              <w:autoSpaceDN w:val="0"/>
              <w:rPr>
                <w:rFonts w:ascii="仿宋" w:hAnsi="仿宋" w:eastAsia="仿宋" w:cs="仿宋"/>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3A5FA306">
            <w:pPr>
              <w:autoSpaceDN w:val="0"/>
              <w:rPr>
                <w:rFonts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48D50FEF">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大型机械设备进出场及安拆</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2B1A432D">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B28D8C7">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89437C4">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0ACB8660">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43566A66">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EAF0CD2">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5585314E">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655FA4FF">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328EDB68">
            <w:pPr>
              <w:autoSpaceDN w:val="0"/>
              <w:rPr>
                <w:rFonts w:ascii="仿宋" w:hAnsi="仿宋" w:eastAsia="仿宋" w:cs="仿宋"/>
                <w:color w:val="auto"/>
                <w:sz w:val="24"/>
                <w:szCs w:val="24"/>
                <w:highlight w:val="none"/>
              </w:rPr>
            </w:pPr>
          </w:p>
        </w:tc>
      </w:tr>
      <w:tr w14:paraId="1989E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22B49FFB">
            <w:pPr>
              <w:autoSpaceDN w:val="0"/>
              <w:rPr>
                <w:rFonts w:ascii="仿宋" w:hAnsi="仿宋" w:eastAsia="仿宋" w:cs="仿宋"/>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013EB6BA">
            <w:pPr>
              <w:autoSpaceDN w:val="0"/>
              <w:rPr>
                <w:rFonts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53B4C075">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施工降水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3A1DD3DF">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DCC5138">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31A8D2F">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47D08874">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32D5429B">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CB8B08A">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70D21EC2">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7EB3795E">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4EFC3D85">
            <w:pPr>
              <w:autoSpaceDN w:val="0"/>
              <w:rPr>
                <w:rFonts w:ascii="仿宋" w:hAnsi="仿宋" w:eastAsia="仿宋" w:cs="仿宋"/>
                <w:color w:val="auto"/>
                <w:sz w:val="24"/>
                <w:szCs w:val="24"/>
                <w:highlight w:val="none"/>
              </w:rPr>
            </w:pPr>
          </w:p>
        </w:tc>
      </w:tr>
      <w:tr w14:paraId="68103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0F350C25">
            <w:pPr>
              <w:autoSpaceDN w:val="0"/>
              <w:rPr>
                <w:rFonts w:ascii="仿宋" w:hAnsi="仿宋" w:eastAsia="仿宋" w:cs="仿宋"/>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00C46FB2">
            <w:pPr>
              <w:autoSpaceDN w:val="0"/>
              <w:rPr>
                <w:rFonts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24EFF376">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施工排水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58F5D713">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8604F90">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E859249">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72942792">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3B35DB70">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EC836D1">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3314BE67">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66026928">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451088D3">
            <w:pPr>
              <w:autoSpaceDN w:val="0"/>
              <w:rPr>
                <w:rFonts w:ascii="仿宋" w:hAnsi="仿宋" w:eastAsia="仿宋" w:cs="仿宋"/>
                <w:color w:val="auto"/>
                <w:sz w:val="24"/>
                <w:szCs w:val="24"/>
                <w:highlight w:val="none"/>
              </w:rPr>
            </w:pPr>
          </w:p>
        </w:tc>
      </w:tr>
      <w:tr w14:paraId="0714C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1C13AD9D">
            <w:pPr>
              <w:autoSpaceDN w:val="0"/>
              <w:rPr>
                <w:rFonts w:ascii="仿宋" w:hAnsi="仿宋" w:eastAsia="仿宋" w:cs="仿宋"/>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28A25CD2">
            <w:pPr>
              <w:autoSpaceDN w:val="0"/>
              <w:rPr>
                <w:rFonts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4677496D">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地下、地下设施或建筑物的临时保护措施</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7D4AFD37">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99FD4FB">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843860A">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20E50823">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0FA4C07F">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A53ABB6">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7E55BDA3">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7A408E99">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2B2A27DB">
            <w:pPr>
              <w:autoSpaceDN w:val="0"/>
              <w:rPr>
                <w:rFonts w:ascii="仿宋" w:hAnsi="仿宋" w:eastAsia="仿宋" w:cs="仿宋"/>
                <w:color w:val="auto"/>
                <w:sz w:val="24"/>
                <w:szCs w:val="24"/>
                <w:highlight w:val="none"/>
              </w:rPr>
            </w:pPr>
          </w:p>
        </w:tc>
      </w:tr>
      <w:tr w14:paraId="21C0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11EF127F">
            <w:pPr>
              <w:autoSpaceDN w:val="0"/>
              <w:rPr>
                <w:rFonts w:ascii="仿宋" w:hAnsi="仿宋" w:eastAsia="仿宋" w:cs="仿宋"/>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12484B67">
            <w:pPr>
              <w:autoSpaceDN w:val="0"/>
              <w:rPr>
                <w:rFonts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61FF41E7">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440" w:type="dxa"/>
            <w:tcBorders>
              <w:top w:val="single" w:color="auto" w:sz="4" w:space="0"/>
              <w:left w:val="single" w:color="auto" w:sz="4" w:space="0"/>
              <w:bottom w:val="single" w:color="auto" w:sz="4" w:space="0"/>
              <w:right w:val="single" w:color="auto" w:sz="4" w:space="0"/>
            </w:tcBorders>
            <w:noWrap/>
          </w:tcPr>
          <w:p w14:paraId="633BC60C">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DB31DD7">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8009E29">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6A2F80A5">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4EFB38BA">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E846869">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447286B9">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65A370C9">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5ADA0421">
            <w:pPr>
              <w:autoSpaceDN w:val="0"/>
              <w:rPr>
                <w:rFonts w:ascii="仿宋" w:hAnsi="仿宋" w:eastAsia="仿宋" w:cs="仿宋"/>
                <w:color w:val="auto"/>
                <w:sz w:val="24"/>
                <w:szCs w:val="24"/>
                <w:highlight w:val="none"/>
              </w:rPr>
            </w:pPr>
          </w:p>
        </w:tc>
      </w:tr>
      <w:tr w14:paraId="691F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53AA0B09">
            <w:pPr>
              <w:autoSpaceDN w:val="0"/>
              <w:rPr>
                <w:rFonts w:ascii="仿宋" w:hAnsi="仿宋" w:eastAsia="仿宋" w:cs="仿宋"/>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tcPr>
          <w:p w14:paraId="75837228">
            <w:pPr>
              <w:autoSpaceDN w:val="0"/>
              <w:rPr>
                <w:rFonts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05F8E3FA">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模板</w:t>
            </w:r>
          </w:p>
        </w:tc>
        <w:tc>
          <w:tcPr>
            <w:tcW w:w="1440" w:type="dxa"/>
            <w:tcBorders>
              <w:top w:val="single" w:color="auto" w:sz="4" w:space="0"/>
              <w:left w:val="single" w:color="auto" w:sz="4" w:space="0"/>
              <w:bottom w:val="single" w:color="auto" w:sz="4" w:space="0"/>
              <w:right w:val="single" w:color="auto" w:sz="4" w:space="0"/>
            </w:tcBorders>
            <w:noWrap/>
          </w:tcPr>
          <w:p w14:paraId="205EA8FF">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15E45D1">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0F6ACF2">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39A2428E">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626C9518">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9DFE050">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4D2808D6">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00133C5E">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1139C4F4">
            <w:pPr>
              <w:autoSpaceDN w:val="0"/>
              <w:rPr>
                <w:rFonts w:ascii="仿宋" w:hAnsi="仿宋" w:eastAsia="仿宋" w:cs="仿宋"/>
                <w:color w:val="auto"/>
                <w:sz w:val="24"/>
                <w:szCs w:val="24"/>
                <w:highlight w:val="none"/>
              </w:rPr>
            </w:pPr>
          </w:p>
        </w:tc>
      </w:tr>
      <w:tr w14:paraId="291F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724" w:type="dxa"/>
            <w:gridSpan w:val="7"/>
            <w:tcBorders>
              <w:top w:val="nil"/>
              <w:left w:val="single" w:color="auto" w:sz="4" w:space="0"/>
              <w:bottom w:val="single" w:color="auto" w:sz="4" w:space="0"/>
              <w:right w:val="single" w:color="auto" w:sz="4" w:space="0"/>
            </w:tcBorders>
            <w:noWrap/>
            <w:vAlign w:val="center"/>
          </w:tcPr>
          <w:p w14:paraId="412633EC">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1026" w:type="dxa"/>
            <w:tcBorders>
              <w:top w:val="single" w:color="auto" w:sz="4" w:space="0"/>
              <w:left w:val="single" w:color="auto" w:sz="4" w:space="0"/>
              <w:bottom w:val="single" w:color="auto" w:sz="4" w:space="0"/>
              <w:right w:val="single" w:color="auto" w:sz="4" w:space="0"/>
            </w:tcBorders>
            <w:noWrap/>
          </w:tcPr>
          <w:p w14:paraId="3C9B56C2">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0F23867">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2469422">
            <w:pPr>
              <w:autoSpaceDN w:val="0"/>
              <w:rPr>
                <w:rFonts w:ascii="仿宋" w:hAnsi="仿宋" w:eastAsia="仿宋" w:cs="仿宋"/>
                <w:color w:val="auto"/>
                <w:sz w:val="24"/>
                <w:szCs w:val="24"/>
                <w:highlight w:val="none"/>
              </w:rPr>
            </w:pPr>
          </w:p>
        </w:tc>
        <w:tc>
          <w:tcPr>
            <w:tcW w:w="927" w:type="dxa"/>
            <w:gridSpan w:val="2"/>
            <w:tcBorders>
              <w:top w:val="single" w:color="auto" w:sz="4" w:space="0"/>
              <w:left w:val="single" w:color="auto" w:sz="4" w:space="0"/>
              <w:bottom w:val="single" w:color="auto" w:sz="4" w:space="0"/>
              <w:right w:val="single" w:color="auto" w:sz="4" w:space="0"/>
            </w:tcBorders>
            <w:noWrap/>
          </w:tcPr>
          <w:p w14:paraId="3F45670C">
            <w:pPr>
              <w:autoSpaceDN w:val="0"/>
              <w:rPr>
                <w:rFonts w:ascii="仿宋" w:hAnsi="仿宋" w:eastAsia="仿宋" w:cs="仿宋"/>
                <w:color w:val="auto"/>
                <w:sz w:val="24"/>
                <w:szCs w:val="24"/>
                <w:highlight w:val="none"/>
              </w:rPr>
            </w:pPr>
          </w:p>
        </w:tc>
        <w:tc>
          <w:tcPr>
            <w:tcW w:w="927" w:type="dxa"/>
            <w:gridSpan w:val="2"/>
            <w:tcBorders>
              <w:top w:val="single" w:color="auto" w:sz="4" w:space="0"/>
              <w:left w:val="single" w:color="auto" w:sz="4" w:space="0"/>
              <w:bottom w:val="single" w:color="auto" w:sz="4" w:space="0"/>
              <w:right w:val="single" w:color="auto" w:sz="4" w:space="0"/>
            </w:tcBorders>
            <w:noWrap/>
          </w:tcPr>
          <w:p w14:paraId="4437D679">
            <w:pPr>
              <w:autoSpaceDN w:val="0"/>
              <w:rPr>
                <w:rFonts w:ascii="仿宋" w:hAnsi="仿宋" w:eastAsia="仿宋" w:cs="仿宋"/>
                <w:color w:val="auto"/>
                <w:sz w:val="24"/>
                <w:szCs w:val="24"/>
                <w:highlight w:val="none"/>
              </w:rPr>
            </w:pPr>
          </w:p>
        </w:tc>
      </w:tr>
    </w:tbl>
    <w:p w14:paraId="3118A88E">
      <w:pPr>
        <w:widowControl/>
        <w:tabs>
          <w:tab w:val="center" w:pos="4755"/>
          <w:tab w:val="right" w:pos="9070"/>
        </w:tabs>
        <w:autoSpaceDN w:val="0"/>
        <w:jc w:val="left"/>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注：1．本表适用于以“项”为单位计价和以“分部分项工程量清单项目综合单价”方式计价的技术措施项目。</w:t>
      </w:r>
    </w:p>
    <w:p w14:paraId="3822EECB">
      <w:pPr>
        <w:widowControl/>
        <w:tabs>
          <w:tab w:val="center" w:pos="4755"/>
          <w:tab w:val="right" w:pos="9070"/>
        </w:tabs>
        <w:autoSpaceDN w:val="0"/>
        <w:ind w:firstLine="300" w:firstLineChars="200"/>
        <w:jc w:val="left"/>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2．措施项目应分整体措施项目和专业工程措施项目。如应用于整体措施项目，表头中只须填报项目名称；如应用于专业工程措施项目，表头中应分别填写项目名称、单位工程及专业项目名称。</w:t>
      </w:r>
    </w:p>
    <w:p w14:paraId="4B24E23F">
      <w:pPr>
        <w:widowControl/>
        <w:tabs>
          <w:tab w:val="center" w:pos="4755"/>
          <w:tab w:val="right" w:pos="9070"/>
        </w:tabs>
        <w:autoSpaceDN w:val="0"/>
        <w:ind w:firstLine="300" w:firstLineChars="200"/>
        <w:jc w:val="left"/>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3．以“分部分项工程量清单项目综合单价”方式计价的技术措施项目，表中第（1）～（5）栏由采购人提供；以“项”为单位计价的技术措施项目，表中第（4）栏项目特征不需要提供和填写。供应商根据施工方案对具体项目可作补充。</w:t>
      </w:r>
    </w:p>
    <w:p w14:paraId="1D2159C6">
      <w:pPr>
        <w:widowControl/>
        <w:tabs>
          <w:tab w:val="center" w:pos="4755"/>
          <w:tab w:val="right" w:pos="9070"/>
        </w:tabs>
        <w:autoSpaceDN w:val="0"/>
        <w:jc w:val="left"/>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4．第（6）栏由采购人按需出要求，如采购人需要供应商提供清单项目综合单价的计算分析和工料机分析，请在备注中明确。</w:t>
      </w:r>
    </w:p>
    <w:p w14:paraId="55FA1326">
      <w:pPr>
        <w:widowControl/>
        <w:spacing w:beforeAutospacing="1" w:afterAutospacing="1"/>
        <w:jc w:val="left"/>
        <w:rPr>
          <w:rFonts w:ascii="仿宋" w:hAnsi="仿宋" w:eastAsia="仿宋" w:cs="Times New Roman"/>
          <w:color w:val="auto"/>
          <w:sz w:val="18"/>
          <w:szCs w:val="18"/>
          <w:highlight w:val="none"/>
        </w:rPr>
        <w:sectPr>
          <w:pgSz w:w="16838" w:h="11906" w:orient="landscape"/>
          <w:pgMar w:top="1191" w:right="1814" w:bottom="1191" w:left="1361" w:header="851" w:footer="1134" w:gutter="0"/>
          <w:cols w:space="720" w:num="1"/>
          <w:docGrid w:type="linesAndChars" w:linePitch="312" w:charSpace="0"/>
        </w:sectPr>
      </w:pPr>
    </w:p>
    <w:p w14:paraId="1CF956BE">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表1-3-A-1  安全文明施工措施项目清单及计价表</w:t>
      </w:r>
    </w:p>
    <w:p w14:paraId="689783D9">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61"/>
        <w:tblW w:w="8775" w:type="dxa"/>
        <w:jc w:val="center"/>
        <w:tblLayout w:type="fixed"/>
        <w:tblCellMar>
          <w:top w:w="0" w:type="dxa"/>
          <w:left w:w="108" w:type="dxa"/>
          <w:bottom w:w="0" w:type="dxa"/>
          <w:right w:w="108" w:type="dxa"/>
        </w:tblCellMar>
      </w:tblPr>
      <w:tblGrid>
        <w:gridCol w:w="900"/>
        <w:gridCol w:w="2160"/>
        <w:gridCol w:w="647"/>
        <w:gridCol w:w="877"/>
        <w:gridCol w:w="877"/>
        <w:gridCol w:w="877"/>
        <w:gridCol w:w="2437"/>
      </w:tblGrid>
      <w:tr w14:paraId="592D3327">
        <w:tblPrEx>
          <w:tblCellMar>
            <w:top w:w="0" w:type="dxa"/>
            <w:left w:w="108" w:type="dxa"/>
            <w:bottom w:w="0" w:type="dxa"/>
            <w:right w:w="108" w:type="dxa"/>
          </w:tblCellMar>
        </w:tblPrEx>
        <w:trPr>
          <w:cantSplit/>
          <w:trHeight w:val="340"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06C73F1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162" w:type="dxa"/>
            <w:tcBorders>
              <w:top w:val="single" w:color="auto" w:sz="4" w:space="0"/>
              <w:left w:val="nil"/>
              <w:bottom w:val="single" w:color="auto" w:sz="4" w:space="0"/>
              <w:right w:val="single" w:color="auto" w:sz="4" w:space="0"/>
            </w:tcBorders>
            <w:vAlign w:val="center"/>
          </w:tcPr>
          <w:p w14:paraId="4BC4238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措施项目名称</w:t>
            </w:r>
          </w:p>
        </w:tc>
        <w:tc>
          <w:tcPr>
            <w:tcW w:w="647" w:type="dxa"/>
            <w:tcBorders>
              <w:top w:val="single" w:color="auto" w:sz="4" w:space="0"/>
              <w:left w:val="nil"/>
              <w:bottom w:val="single" w:color="auto" w:sz="4" w:space="0"/>
              <w:right w:val="single" w:color="auto" w:sz="4" w:space="0"/>
            </w:tcBorders>
            <w:vAlign w:val="center"/>
          </w:tcPr>
          <w:p w14:paraId="5E26FD1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单位</w:t>
            </w:r>
          </w:p>
        </w:tc>
        <w:tc>
          <w:tcPr>
            <w:tcW w:w="878" w:type="dxa"/>
            <w:tcBorders>
              <w:top w:val="single" w:color="auto" w:sz="4" w:space="0"/>
              <w:left w:val="nil"/>
              <w:bottom w:val="single" w:color="auto" w:sz="4" w:space="0"/>
              <w:right w:val="single" w:color="auto" w:sz="4" w:space="0"/>
            </w:tcBorders>
            <w:vAlign w:val="center"/>
          </w:tcPr>
          <w:p w14:paraId="5AEEFCD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数量</w:t>
            </w:r>
          </w:p>
        </w:tc>
        <w:tc>
          <w:tcPr>
            <w:tcW w:w="878" w:type="dxa"/>
            <w:tcBorders>
              <w:top w:val="single" w:color="auto" w:sz="4" w:space="0"/>
              <w:left w:val="nil"/>
              <w:bottom w:val="single" w:color="auto" w:sz="4" w:space="0"/>
              <w:right w:val="single" w:color="auto" w:sz="4" w:space="0"/>
            </w:tcBorders>
            <w:vAlign w:val="center"/>
          </w:tcPr>
          <w:p w14:paraId="363C8935">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单价（元）</w:t>
            </w:r>
          </w:p>
        </w:tc>
        <w:tc>
          <w:tcPr>
            <w:tcW w:w="878" w:type="dxa"/>
            <w:tcBorders>
              <w:top w:val="single" w:color="auto" w:sz="4" w:space="0"/>
              <w:left w:val="nil"/>
              <w:bottom w:val="single" w:color="auto" w:sz="4" w:space="0"/>
              <w:right w:val="single" w:color="auto" w:sz="4" w:space="0"/>
            </w:tcBorders>
            <w:vAlign w:val="center"/>
          </w:tcPr>
          <w:p w14:paraId="1DB4786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合价（元）</w:t>
            </w:r>
          </w:p>
        </w:tc>
        <w:tc>
          <w:tcPr>
            <w:tcW w:w="2439" w:type="dxa"/>
            <w:tcBorders>
              <w:top w:val="single" w:color="auto" w:sz="4" w:space="0"/>
              <w:left w:val="nil"/>
              <w:bottom w:val="single" w:color="auto" w:sz="4" w:space="0"/>
              <w:right w:val="single" w:color="auto" w:sz="4" w:space="0"/>
            </w:tcBorders>
            <w:vAlign w:val="center"/>
          </w:tcPr>
          <w:p w14:paraId="29D5078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105AD8A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ECD5E2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AC1C46A">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color w:val="auto"/>
                <w:szCs w:val="21"/>
                <w:highlight w:val="none"/>
              </w:rPr>
              <w:t>（2）</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24F2AB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ED8D75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E3B069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6C8088">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6327062">
            <w:pPr>
              <w:autoSpaceDN w:val="0"/>
              <w:spacing w:line="300" w:lineRule="exact"/>
              <w:ind w:left="-53" w:leftChars="-25" w:right="-53" w:rightChars="-25"/>
              <w:jc w:val="center"/>
              <w:rPr>
                <w:rFonts w:ascii="仿宋" w:hAnsi="仿宋" w:eastAsia="仿宋" w:cs="仿宋"/>
                <w:color w:val="auto"/>
                <w:szCs w:val="21"/>
                <w:highlight w:val="none"/>
              </w:rPr>
            </w:pPr>
          </w:p>
        </w:tc>
      </w:tr>
      <w:tr w14:paraId="13721CB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A0F7762">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一</w:t>
            </w:r>
          </w:p>
        </w:tc>
        <w:tc>
          <w:tcPr>
            <w:tcW w:w="2162" w:type="dxa"/>
            <w:tcBorders>
              <w:top w:val="single" w:color="auto" w:sz="4" w:space="0"/>
              <w:left w:val="nil"/>
              <w:bottom w:val="single" w:color="auto" w:sz="4" w:space="0"/>
              <w:right w:val="single" w:color="auto" w:sz="4" w:space="0"/>
            </w:tcBorders>
            <w:vAlign w:val="center"/>
          </w:tcPr>
          <w:p w14:paraId="24FEEDB0">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安全施工措施项目</w:t>
            </w:r>
          </w:p>
        </w:tc>
        <w:tc>
          <w:tcPr>
            <w:tcW w:w="647" w:type="dxa"/>
            <w:tcBorders>
              <w:top w:val="single" w:color="auto" w:sz="4" w:space="0"/>
              <w:left w:val="nil"/>
              <w:bottom w:val="single" w:color="auto" w:sz="4" w:space="0"/>
              <w:right w:val="single" w:color="auto" w:sz="4" w:space="0"/>
            </w:tcBorders>
            <w:vAlign w:val="center"/>
          </w:tcPr>
          <w:p w14:paraId="72E0B8DC">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CCB060B">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6CA5B8F">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3CA67E5">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943E4ED">
            <w:pPr>
              <w:autoSpaceDN w:val="0"/>
              <w:spacing w:line="300" w:lineRule="exact"/>
              <w:ind w:left="-53" w:leftChars="-25" w:right="-53" w:rightChars="-25"/>
              <w:jc w:val="center"/>
              <w:rPr>
                <w:rFonts w:ascii="仿宋" w:hAnsi="仿宋" w:eastAsia="仿宋" w:cs="仿宋"/>
                <w:b/>
                <w:bCs/>
                <w:color w:val="auto"/>
                <w:szCs w:val="21"/>
                <w:highlight w:val="none"/>
              </w:rPr>
            </w:pPr>
          </w:p>
        </w:tc>
      </w:tr>
      <w:tr w14:paraId="069DA7C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DACBFA1">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（一）</w:t>
            </w:r>
          </w:p>
        </w:tc>
        <w:tc>
          <w:tcPr>
            <w:tcW w:w="2162" w:type="dxa"/>
            <w:tcBorders>
              <w:top w:val="single" w:color="auto" w:sz="4" w:space="0"/>
              <w:left w:val="nil"/>
              <w:bottom w:val="single" w:color="auto" w:sz="4" w:space="0"/>
              <w:right w:val="single" w:color="auto" w:sz="4" w:space="0"/>
            </w:tcBorders>
            <w:vAlign w:val="center"/>
          </w:tcPr>
          <w:p w14:paraId="291620CD">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基本安全防护</w:t>
            </w:r>
          </w:p>
        </w:tc>
        <w:tc>
          <w:tcPr>
            <w:tcW w:w="647" w:type="dxa"/>
            <w:tcBorders>
              <w:top w:val="single" w:color="auto" w:sz="4" w:space="0"/>
              <w:left w:val="nil"/>
              <w:bottom w:val="single" w:color="auto" w:sz="4" w:space="0"/>
              <w:right w:val="single" w:color="auto" w:sz="4" w:space="0"/>
            </w:tcBorders>
            <w:vAlign w:val="center"/>
          </w:tcPr>
          <w:p w14:paraId="25673772">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F8A83A9">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9FEE01">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164085">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D68FE6E">
            <w:pPr>
              <w:autoSpaceDN w:val="0"/>
              <w:spacing w:line="300" w:lineRule="exact"/>
              <w:ind w:left="-53" w:leftChars="-25" w:right="-53" w:rightChars="-25"/>
              <w:jc w:val="center"/>
              <w:rPr>
                <w:rFonts w:ascii="仿宋" w:hAnsi="仿宋" w:eastAsia="仿宋" w:cs="仿宋"/>
                <w:b/>
                <w:bCs/>
                <w:color w:val="auto"/>
                <w:szCs w:val="21"/>
                <w:highlight w:val="none"/>
              </w:rPr>
            </w:pPr>
          </w:p>
        </w:tc>
      </w:tr>
      <w:tr w14:paraId="4280BE4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8DABC6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E8704C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安全网</w:t>
            </w:r>
          </w:p>
        </w:tc>
        <w:tc>
          <w:tcPr>
            <w:tcW w:w="647" w:type="dxa"/>
            <w:tcBorders>
              <w:top w:val="single" w:color="auto" w:sz="4" w:space="0"/>
              <w:left w:val="nil"/>
              <w:bottom w:val="single" w:color="auto" w:sz="4" w:space="0"/>
              <w:right w:val="single" w:color="auto" w:sz="4" w:space="0"/>
            </w:tcBorders>
            <w:vAlign w:val="center"/>
          </w:tcPr>
          <w:p w14:paraId="764B182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5BFF507">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3FBC2F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1293A97">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DA07A1E">
            <w:pPr>
              <w:autoSpaceDN w:val="0"/>
              <w:spacing w:line="300" w:lineRule="exact"/>
              <w:ind w:left="-53" w:leftChars="-25" w:right="-53" w:rightChars="-25"/>
              <w:jc w:val="center"/>
              <w:rPr>
                <w:rFonts w:ascii="仿宋" w:hAnsi="仿宋" w:eastAsia="仿宋" w:cs="仿宋"/>
                <w:color w:val="auto"/>
                <w:szCs w:val="21"/>
                <w:highlight w:val="none"/>
              </w:rPr>
            </w:pPr>
          </w:p>
        </w:tc>
      </w:tr>
      <w:tr w14:paraId="43FC003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C5D29A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214240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安全平网</w:t>
            </w:r>
          </w:p>
        </w:tc>
        <w:tc>
          <w:tcPr>
            <w:tcW w:w="647" w:type="dxa"/>
            <w:tcBorders>
              <w:top w:val="single" w:color="auto" w:sz="4" w:space="0"/>
              <w:left w:val="nil"/>
              <w:bottom w:val="single" w:color="auto" w:sz="4" w:space="0"/>
              <w:right w:val="single" w:color="auto" w:sz="4" w:space="0"/>
            </w:tcBorders>
            <w:vAlign w:val="center"/>
          </w:tcPr>
          <w:p w14:paraId="24245379">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3647BB86">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45CC909">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3EDBF6B">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406CD79">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平面面积</w:t>
            </w:r>
          </w:p>
        </w:tc>
      </w:tr>
      <w:tr w14:paraId="6364F01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261D95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A2F071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密目式立网</w:t>
            </w:r>
          </w:p>
        </w:tc>
        <w:tc>
          <w:tcPr>
            <w:tcW w:w="647" w:type="dxa"/>
            <w:tcBorders>
              <w:top w:val="single" w:color="auto" w:sz="4" w:space="0"/>
              <w:left w:val="nil"/>
              <w:bottom w:val="single" w:color="auto" w:sz="4" w:space="0"/>
              <w:right w:val="single" w:color="auto" w:sz="4" w:space="0"/>
            </w:tcBorders>
            <w:vAlign w:val="center"/>
          </w:tcPr>
          <w:p w14:paraId="6E1BC39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F6C4BC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1DC24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5CFE8F1">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F53C06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垂直立面</w:t>
            </w:r>
          </w:p>
        </w:tc>
      </w:tr>
      <w:tr w14:paraId="1ED442E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AEFA699">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777AA37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防护栏杆</w:t>
            </w:r>
          </w:p>
        </w:tc>
        <w:tc>
          <w:tcPr>
            <w:tcW w:w="647" w:type="dxa"/>
            <w:tcBorders>
              <w:top w:val="single" w:color="auto" w:sz="4" w:space="0"/>
              <w:left w:val="nil"/>
              <w:bottom w:val="single" w:color="auto" w:sz="4" w:space="0"/>
              <w:right w:val="single" w:color="auto" w:sz="4" w:space="0"/>
            </w:tcBorders>
            <w:vAlign w:val="center"/>
          </w:tcPr>
          <w:p w14:paraId="64F5B16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707D7C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854FED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9C494AD">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A8D4D5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按栏杆长度</w:t>
            </w:r>
          </w:p>
        </w:tc>
      </w:tr>
      <w:tr w14:paraId="287315B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A603BC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3B455D8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高处作业临边防护栏杆</w:t>
            </w:r>
          </w:p>
        </w:tc>
        <w:tc>
          <w:tcPr>
            <w:tcW w:w="647" w:type="dxa"/>
            <w:tcBorders>
              <w:top w:val="single" w:color="auto" w:sz="4" w:space="0"/>
              <w:left w:val="nil"/>
              <w:bottom w:val="single" w:color="auto" w:sz="4" w:space="0"/>
              <w:right w:val="single" w:color="auto" w:sz="4" w:space="0"/>
            </w:tcBorders>
            <w:vAlign w:val="center"/>
          </w:tcPr>
          <w:p w14:paraId="1EADDA5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5E34380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DA5E350">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F8456BF">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F0F0284">
            <w:pPr>
              <w:autoSpaceDN w:val="0"/>
              <w:spacing w:line="300" w:lineRule="exact"/>
              <w:ind w:left="-53" w:leftChars="-25" w:right="-53" w:rightChars="-25"/>
              <w:jc w:val="center"/>
              <w:rPr>
                <w:rFonts w:ascii="仿宋" w:hAnsi="仿宋" w:eastAsia="仿宋" w:cs="仿宋"/>
                <w:color w:val="auto"/>
                <w:szCs w:val="21"/>
                <w:highlight w:val="none"/>
              </w:rPr>
            </w:pPr>
          </w:p>
        </w:tc>
      </w:tr>
      <w:tr w14:paraId="7F2F24E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A6F0AD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3FDBBE1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深基坑（槽）临边护栏</w:t>
            </w:r>
          </w:p>
        </w:tc>
        <w:tc>
          <w:tcPr>
            <w:tcW w:w="647" w:type="dxa"/>
            <w:tcBorders>
              <w:top w:val="single" w:color="auto" w:sz="4" w:space="0"/>
              <w:left w:val="nil"/>
              <w:bottom w:val="single" w:color="auto" w:sz="4" w:space="0"/>
              <w:right w:val="single" w:color="auto" w:sz="4" w:space="0"/>
            </w:tcBorders>
            <w:vAlign w:val="center"/>
          </w:tcPr>
          <w:p w14:paraId="76E0A9F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7D0961EA">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5F2C5E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E02B3CC">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81DE174">
            <w:pPr>
              <w:autoSpaceDN w:val="0"/>
              <w:spacing w:line="300" w:lineRule="exact"/>
              <w:ind w:left="-53" w:leftChars="-25" w:right="-53" w:rightChars="-25"/>
              <w:jc w:val="center"/>
              <w:rPr>
                <w:rFonts w:ascii="仿宋" w:hAnsi="仿宋" w:eastAsia="仿宋" w:cs="仿宋"/>
                <w:color w:val="auto"/>
                <w:szCs w:val="21"/>
                <w:highlight w:val="none"/>
              </w:rPr>
            </w:pPr>
          </w:p>
        </w:tc>
      </w:tr>
      <w:tr w14:paraId="5A9E471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B55B6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30FD395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其他防护栏杆</w:t>
            </w:r>
          </w:p>
        </w:tc>
        <w:tc>
          <w:tcPr>
            <w:tcW w:w="647" w:type="dxa"/>
            <w:tcBorders>
              <w:top w:val="single" w:color="auto" w:sz="4" w:space="0"/>
              <w:left w:val="nil"/>
              <w:bottom w:val="single" w:color="auto" w:sz="4" w:space="0"/>
              <w:right w:val="single" w:color="auto" w:sz="4" w:space="0"/>
            </w:tcBorders>
            <w:vAlign w:val="center"/>
          </w:tcPr>
          <w:p w14:paraId="6D22F2C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69178DE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9EA266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B163076">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F5A0D28">
            <w:pPr>
              <w:autoSpaceDN w:val="0"/>
              <w:spacing w:line="300" w:lineRule="exact"/>
              <w:ind w:left="-53" w:leftChars="-25" w:right="-53" w:rightChars="-25"/>
              <w:jc w:val="center"/>
              <w:rPr>
                <w:rFonts w:ascii="仿宋" w:hAnsi="仿宋" w:eastAsia="仿宋" w:cs="仿宋"/>
                <w:color w:val="auto"/>
                <w:szCs w:val="21"/>
                <w:highlight w:val="none"/>
              </w:rPr>
            </w:pPr>
          </w:p>
        </w:tc>
      </w:tr>
      <w:tr w14:paraId="243EB88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D611EC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438C16E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防护门</w:t>
            </w:r>
          </w:p>
        </w:tc>
        <w:tc>
          <w:tcPr>
            <w:tcW w:w="647" w:type="dxa"/>
            <w:tcBorders>
              <w:top w:val="single" w:color="auto" w:sz="4" w:space="0"/>
              <w:left w:val="nil"/>
              <w:bottom w:val="single" w:color="auto" w:sz="4" w:space="0"/>
              <w:right w:val="single" w:color="auto" w:sz="4" w:space="0"/>
            </w:tcBorders>
            <w:vAlign w:val="center"/>
          </w:tcPr>
          <w:p w14:paraId="3AE8F01C">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117B935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82DDAA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7F14291">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BCF2CE1">
            <w:pPr>
              <w:autoSpaceDN w:val="0"/>
              <w:spacing w:line="300" w:lineRule="exact"/>
              <w:ind w:left="-53" w:leftChars="-25" w:right="-53" w:rightChars="-25"/>
              <w:jc w:val="center"/>
              <w:rPr>
                <w:rFonts w:ascii="仿宋" w:hAnsi="仿宋" w:eastAsia="仿宋" w:cs="仿宋"/>
                <w:color w:val="auto"/>
                <w:szCs w:val="21"/>
                <w:highlight w:val="none"/>
              </w:rPr>
            </w:pPr>
          </w:p>
        </w:tc>
      </w:tr>
      <w:tr w14:paraId="59737FB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268A3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6EE0D05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防护棚</w:t>
            </w:r>
          </w:p>
        </w:tc>
        <w:tc>
          <w:tcPr>
            <w:tcW w:w="647" w:type="dxa"/>
            <w:tcBorders>
              <w:top w:val="single" w:color="auto" w:sz="4" w:space="0"/>
              <w:left w:val="nil"/>
              <w:bottom w:val="single" w:color="auto" w:sz="4" w:space="0"/>
              <w:right w:val="single" w:color="auto" w:sz="4" w:space="0"/>
            </w:tcBorders>
            <w:vAlign w:val="center"/>
          </w:tcPr>
          <w:p w14:paraId="3DB79697">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74EC3B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DB9669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A7670DA">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E6B89B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按防护面积</w:t>
            </w:r>
          </w:p>
        </w:tc>
      </w:tr>
      <w:tr w14:paraId="3DE230C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E37540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3D48F4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通道防护棚</w:t>
            </w:r>
          </w:p>
        </w:tc>
        <w:tc>
          <w:tcPr>
            <w:tcW w:w="647" w:type="dxa"/>
            <w:tcBorders>
              <w:top w:val="single" w:color="auto" w:sz="4" w:space="0"/>
              <w:left w:val="nil"/>
              <w:bottom w:val="single" w:color="auto" w:sz="4" w:space="0"/>
              <w:right w:val="single" w:color="auto" w:sz="4" w:space="0"/>
            </w:tcBorders>
            <w:vAlign w:val="center"/>
          </w:tcPr>
          <w:p w14:paraId="28BF97E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0DCD3CB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89B41C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0E6B96C">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F508362">
            <w:pPr>
              <w:autoSpaceDN w:val="0"/>
              <w:spacing w:line="300" w:lineRule="exact"/>
              <w:ind w:left="-53" w:leftChars="-25" w:right="-53" w:rightChars="-25"/>
              <w:jc w:val="center"/>
              <w:rPr>
                <w:rFonts w:ascii="仿宋" w:hAnsi="仿宋" w:eastAsia="仿宋" w:cs="仿宋"/>
                <w:color w:val="auto"/>
                <w:szCs w:val="21"/>
                <w:highlight w:val="none"/>
              </w:rPr>
            </w:pPr>
          </w:p>
        </w:tc>
      </w:tr>
      <w:tr w14:paraId="1174018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9756AC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72D6D2C">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井架防护棚</w:t>
            </w:r>
          </w:p>
        </w:tc>
        <w:tc>
          <w:tcPr>
            <w:tcW w:w="647" w:type="dxa"/>
            <w:tcBorders>
              <w:top w:val="single" w:color="auto" w:sz="4" w:space="0"/>
              <w:left w:val="nil"/>
              <w:bottom w:val="single" w:color="auto" w:sz="4" w:space="0"/>
              <w:right w:val="single" w:color="auto" w:sz="4" w:space="0"/>
            </w:tcBorders>
            <w:vAlign w:val="center"/>
          </w:tcPr>
          <w:p w14:paraId="2716F73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3E34D8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6325A9">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7FCCB6C">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39DDA3D">
            <w:pPr>
              <w:autoSpaceDN w:val="0"/>
              <w:spacing w:line="300" w:lineRule="exact"/>
              <w:ind w:left="-53" w:leftChars="-25" w:right="-53" w:rightChars="-25"/>
              <w:jc w:val="center"/>
              <w:rPr>
                <w:rFonts w:ascii="仿宋" w:hAnsi="仿宋" w:eastAsia="仿宋" w:cs="仿宋"/>
                <w:color w:val="auto"/>
                <w:szCs w:val="21"/>
                <w:highlight w:val="none"/>
              </w:rPr>
            </w:pPr>
          </w:p>
        </w:tc>
      </w:tr>
      <w:tr w14:paraId="66AEAD9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C28029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43D0AA2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升降机防护棚</w:t>
            </w:r>
          </w:p>
        </w:tc>
        <w:tc>
          <w:tcPr>
            <w:tcW w:w="647" w:type="dxa"/>
            <w:tcBorders>
              <w:top w:val="single" w:color="auto" w:sz="4" w:space="0"/>
              <w:left w:val="nil"/>
              <w:bottom w:val="single" w:color="auto" w:sz="4" w:space="0"/>
              <w:right w:val="single" w:color="auto" w:sz="4" w:space="0"/>
            </w:tcBorders>
            <w:vAlign w:val="center"/>
          </w:tcPr>
          <w:p w14:paraId="69592DB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06D0B0A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7FCC570">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97ACEAF">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AD20D1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含人货两用升降机、货用</w:t>
            </w:r>
          </w:p>
          <w:p w14:paraId="58F5A33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升降机</w:t>
            </w:r>
          </w:p>
        </w:tc>
      </w:tr>
      <w:tr w14:paraId="7430B75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A80D1E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71FC14A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断头路阻挡墙</w:t>
            </w:r>
          </w:p>
        </w:tc>
        <w:tc>
          <w:tcPr>
            <w:tcW w:w="647" w:type="dxa"/>
            <w:tcBorders>
              <w:top w:val="single" w:color="auto" w:sz="4" w:space="0"/>
              <w:left w:val="nil"/>
              <w:bottom w:val="single" w:color="auto" w:sz="4" w:space="0"/>
              <w:right w:val="single" w:color="auto" w:sz="4" w:space="0"/>
            </w:tcBorders>
            <w:vAlign w:val="center"/>
          </w:tcPr>
          <w:p w14:paraId="7B267C2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3</w:t>
            </w:r>
          </w:p>
        </w:tc>
        <w:tc>
          <w:tcPr>
            <w:tcW w:w="878" w:type="dxa"/>
            <w:tcBorders>
              <w:top w:val="single" w:color="auto" w:sz="4" w:space="0"/>
              <w:left w:val="nil"/>
              <w:bottom w:val="single" w:color="auto" w:sz="4" w:space="0"/>
              <w:right w:val="single" w:color="auto" w:sz="4" w:space="0"/>
            </w:tcBorders>
            <w:vAlign w:val="center"/>
          </w:tcPr>
          <w:p w14:paraId="595B1B4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BF550E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7FFAA8C">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DE52DF0">
            <w:pPr>
              <w:autoSpaceDN w:val="0"/>
              <w:spacing w:line="300" w:lineRule="exact"/>
              <w:ind w:left="-53" w:leftChars="-25" w:right="-53" w:rightChars="-25"/>
              <w:jc w:val="center"/>
              <w:rPr>
                <w:rFonts w:ascii="仿宋" w:hAnsi="仿宋" w:eastAsia="仿宋" w:cs="仿宋"/>
                <w:color w:val="auto"/>
                <w:szCs w:val="21"/>
                <w:highlight w:val="none"/>
              </w:rPr>
            </w:pPr>
          </w:p>
        </w:tc>
      </w:tr>
      <w:tr w14:paraId="79254FC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D94A80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2" w:type="dxa"/>
            <w:tcBorders>
              <w:top w:val="single" w:color="auto" w:sz="4" w:space="0"/>
              <w:left w:val="nil"/>
              <w:bottom w:val="single" w:color="auto" w:sz="4" w:space="0"/>
              <w:right w:val="single" w:color="auto" w:sz="4" w:space="0"/>
            </w:tcBorders>
            <w:vAlign w:val="center"/>
          </w:tcPr>
          <w:p w14:paraId="6AD7BBC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安全隔离网</w:t>
            </w:r>
          </w:p>
        </w:tc>
        <w:tc>
          <w:tcPr>
            <w:tcW w:w="647" w:type="dxa"/>
            <w:tcBorders>
              <w:top w:val="single" w:color="auto" w:sz="4" w:space="0"/>
              <w:left w:val="nil"/>
              <w:bottom w:val="single" w:color="auto" w:sz="4" w:space="0"/>
              <w:right w:val="single" w:color="auto" w:sz="4" w:space="0"/>
            </w:tcBorders>
            <w:vAlign w:val="center"/>
          </w:tcPr>
          <w:p w14:paraId="16D92BB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1AAA72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D96C4D7">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B96BDCA">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DD99A5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爆破工程</w:t>
            </w:r>
          </w:p>
        </w:tc>
      </w:tr>
      <w:tr w14:paraId="10757A8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EF983F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2" w:type="dxa"/>
            <w:tcBorders>
              <w:top w:val="single" w:color="auto" w:sz="4" w:space="0"/>
              <w:left w:val="nil"/>
              <w:bottom w:val="single" w:color="auto" w:sz="4" w:space="0"/>
              <w:right w:val="single" w:color="auto" w:sz="4" w:space="0"/>
            </w:tcBorders>
            <w:vAlign w:val="center"/>
          </w:tcPr>
          <w:p w14:paraId="33F815C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对讲机</w:t>
            </w:r>
          </w:p>
        </w:tc>
        <w:tc>
          <w:tcPr>
            <w:tcW w:w="647" w:type="dxa"/>
            <w:tcBorders>
              <w:top w:val="single" w:color="auto" w:sz="4" w:space="0"/>
              <w:left w:val="nil"/>
              <w:bottom w:val="single" w:color="auto" w:sz="4" w:space="0"/>
              <w:right w:val="single" w:color="auto" w:sz="4" w:space="0"/>
            </w:tcBorders>
            <w:vAlign w:val="center"/>
          </w:tcPr>
          <w:p w14:paraId="031EE61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65154B0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0A6914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031E9FC">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F593C0D">
            <w:pPr>
              <w:autoSpaceDN w:val="0"/>
              <w:spacing w:line="300" w:lineRule="exact"/>
              <w:ind w:left="-53" w:leftChars="-25" w:right="-53" w:rightChars="-25"/>
              <w:jc w:val="center"/>
              <w:rPr>
                <w:rFonts w:ascii="仿宋" w:hAnsi="仿宋" w:eastAsia="仿宋" w:cs="仿宋"/>
                <w:color w:val="auto"/>
                <w:szCs w:val="21"/>
                <w:highlight w:val="none"/>
              </w:rPr>
            </w:pPr>
          </w:p>
        </w:tc>
      </w:tr>
      <w:tr w14:paraId="3210114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813DAA4">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（二）</w:t>
            </w:r>
          </w:p>
        </w:tc>
        <w:tc>
          <w:tcPr>
            <w:tcW w:w="2162" w:type="dxa"/>
            <w:tcBorders>
              <w:top w:val="single" w:color="auto" w:sz="4" w:space="0"/>
              <w:left w:val="nil"/>
              <w:bottom w:val="single" w:color="auto" w:sz="4" w:space="0"/>
              <w:right w:val="single" w:color="auto" w:sz="4" w:space="0"/>
            </w:tcBorders>
            <w:vAlign w:val="center"/>
          </w:tcPr>
          <w:p w14:paraId="3251FFA0">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高处作业</w:t>
            </w:r>
          </w:p>
        </w:tc>
        <w:tc>
          <w:tcPr>
            <w:tcW w:w="647" w:type="dxa"/>
            <w:tcBorders>
              <w:top w:val="single" w:color="auto" w:sz="4" w:space="0"/>
              <w:left w:val="nil"/>
              <w:bottom w:val="single" w:color="auto" w:sz="4" w:space="0"/>
              <w:right w:val="single" w:color="auto" w:sz="4" w:space="0"/>
            </w:tcBorders>
            <w:vAlign w:val="center"/>
          </w:tcPr>
          <w:p w14:paraId="09916715">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E453A0">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6184EF">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5F0D4B">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FC5D6F0">
            <w:pPr>
              <w:autoSpaceDN w:val="0"/>
              <w:spacing w:line="300" w:lineRule="exact"/>
              <w:ind w:left="-53" w:leftChars="-25" w:right="-53" w:rightChars="-25"/>
              <w:jc w:val="center"/>
              <w:rPr>
                <w:rFonts w:ascii="仿宋" w:hAnsi="仿宋" w:eastAsia="仿宋" w:cs="仿宋"/>
                <w:b/>
                <w:bCs/>
                <w:color w:val="auto"/>
                <w:szCs w:val="21"/>
                <w:highlight w:val="none"/>
              </w:rPr>
            </w:pPr>
          </w:p>
        </w:tc>
      </w:tr>
      <w:tr w14:paraId="0875A87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EF0B19">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3CC545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洞口水平隔离防护</w:t>
            </w:r>
          </w:p>
        </w:tc>
        <w:tc>
          <w:tcPr>
            <w:tcW w:w="647" w:type="dxa"/>
            <w:tcBorders>
              <w:top w:val="single" w:color="auto" w:sz="4" w:space="0"/>
              <w:left w:val="nil"/>
              <w:bottom w:val="single" w:color="auto" w:sz="4" w:space="0"/>
              <w:right w:val="single" w:color="auto" w:sz="4" w:space="0"/>
            </w:tcBorders>
            <w:vAlign w:val="center"/>
          </w:tcPr>
          <w:p w14:paraId="26713FF5">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423312E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490B78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3A8F43A">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D49006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按洞口水平面积</w:t>
            </w:r>
          </w:p>
        </w:tc>
      </w:tr>
      <w:tr w14:paraId="1B5EA92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CEDBEE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0CE8D4C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高压线安全措施</w:t>
            </w:r>
          </w:p>
        </w:tc>
        <w:tc>
          <w:tcPr>
            <w:tcW w:w="647" w:type="dxa"/>
            <w:tcBorders>
              <w:top w:val="single" w:color="auto" w:sz="4" w:space="0"/>
              <w:left w:val="nil"/>
              <w:bottom w:val="single" w:color="auto" w:sz="4" w:space="0"/>
              <w:right w:val="single" w:color="auto" w:sz="4" w:space="0"/>
            </w:tcBorders>
            <w:vAlign w:val="center"/>
          </w:tcPr>
          <w:p w14:paraId="49E5172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0B1D65F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9E89D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2F7E133">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799B6D5">
            <w:pPr>
              <w:autoSpaceDN w:val="0"/>
              <w:spacing w:line="300" w:lineRule="exact"/>
              <w:ind w:left="-53" w:leftChars="-25" w:right="-53" w:rightChars="-25"/>
              <w:jc w:val="center"/>
              <w:rPr>
                <w:rFonts w:ascii="仿宋" w:hAnsi="仿宋" w:eastAsia="仿宋" w:cs="仿宋"/>
                <w:color w:val="auto"/>
                <w:szCs w:val="21"/>
                <w:highlight w:val="none"/>
              </w:rPr>
            </w:pPr>
          </w:p>
        </w:tc>
      </w:tr>
      <w:tr w14:paraId="7FB4412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912D92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24EFC7F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起重设备防护措施</w:t>
            </w:r>
          </w:p>
        </w:tc>
        <w:tc>
          <w:tcPr>
            <w:tcW w:w="647" w:type="dxa"/>
            <w:tcBorders>
              <w:top w:val="single" w:color="auto" w:sz="4" w:space="0"/>
              <w:left w:val="nil"/>
              <w:bottom w:val="single" w:color="auto" w:sz="4" w:space="0"/>
              <w:right w:val="single" w:color="auto" w:sz="4" w:space="0"/>
            </w:tcBorders>
            <w:vAlign w:val="center"/>
          </w:tcPr>
          <w:p w14:paraId="70D3B04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217531B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E09A5D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DD44F64">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E14B784">
            <w:pPr>
              <w:autoSpaceDN w:val="0"/>
              <w:spacing w:line="300" w:lineRule="exact"/>
              <w:ind w:left="-53" w:leftChars="-25" w:right="-53" w:rightChars="-25"/>
              <w:jc w:val="center"/>
              <w:rPr>
                <w:rFonts w:ascii="仿宋" w:hAnsi="仿宋" w:eastAsia="仿宋" w:cs="仿宋"/>
                <w:color w:val="auto"/>
                <w:szCs w:val="21"/>
                <w:highlight w:val="none"/>
              </w:rPr>
            </w:pPr>
          </w:p>
        </w:tc>
      </w:tr>
      <w:tr w14:paraId="2799516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C4C5D4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4E437DF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楼层呼唤器</w:t>
            </w:r>
          </w:p>
        </w:tc>
        <w:tc>
          <w:tcPr>
            <w:tcW w:w="647" w:type="dxa"/>
            <w:tcBorders>
              <w:top w:val="single" w:color="auto" w:sz="4" w:space="0"/>
              <w:left w:val="nil"/>
              <w:bottom w:val="single" w:color="auto" w:sz="4" w:space="0"/>
              <w:right w:val="single" w:color="auto" w:sz="4" w:space="0"/>
            </w:tcBorders>
            <w:vAlign w:val="center"/>
          </w:tcPr>
          <w:p w14:paraId="01159D2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72B7626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5D8B177">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9003D3F">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D2D24F6">
            <w:pPr>
              <w:autoSpaceDN w:val="0"/>
              <w:spacing w:line="300" w:lineRule="exact"/>
              <w:ind w:left="-53" w:leftChars="-25" w:right="-53" w:rightChars="-25"/>
              <w:jc w:val="center"/>
              <w:rPr>
                <w:rFonts w:ascii="仿宋" w:hAnsi="仿宋" w:eastAsia="仿宋" w:cs="仿宋"/>
                <w:color w:val="auto"/>
                <w:szCs w:val="21"/>
                <w:highlight w:val="none"/>
              </w:rPr>
            </w:pPr>
          </w:p>
        </w:tc>
      </w:tr>
      <w:tr w14:paraId="6D7BE0A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2D937D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3E06D4C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其他高处作业安全防护</w:t>
            </w:r>
          </w:p>
        </w:tc>
        <w:tc>
          <w:tcPr>
            <w:tcW w:w="647" w:type="dxa"/>
            <w:tcBorders>
              <w:top w:val="single" w:color="auto" w:sz="4" w:space="0"/>
              <w:left w:val="nil"/>
              <w:bottom w:val="single" w:color="auto" w:sz="4" w:space="0"/>
              <w:right w:val="single" w:color="auto" w:sz="4" w:space="0"/>
            </w:tcBorders>
            <w:vAlign w:val="center"/>
          </w:tcPr>
          <w:p w14:paraId="7338D586">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358D50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FE26BC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18E3EED">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DDE1036">
            <w:pPr>
              <w:autoSpaceDN w:val="0"/>
              <w:spacing w:line="300" w:lineRule="exact"/>
              <w:ind w:left="-53" w:leftChars="-25" w:right="-53" w:rightChars="-25"/>
              <w:jc w:val="center"/>
              <w:rPr>
                <w:rFonts w:ascii="仿宋" w:hAnsi="仿宋" w:eastAsia="仿宋" w:cs="仿宋"/>
                <w:color w:val="auto"/>
                <w:szCs w:val="21"/>
                <w:highlight w:val="none"/>
              </w:rPr>
            </w:pPr>
          </w:p>
        </w:tc>
      </w:tr>
      <w:tr w14:paraId="6906714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AC05D29">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（三）</w:t>
            </w:r>
          </w:p>
        </w:tc>
        <w:tc>
          <w:tcPr>
            <w:tcW w:w="2162" w:type="dxa"/>
            <w:tcBorders>
              <w:top w:val="single" w:color="auto" w:sz="4" w:space="0"/>
              <w:left w:val="nil"/>
              <w:bottom w:val="single" w:color="auto" w:sz="4" w:space="0"/>
              <w:right w:val="single" w:color="auto" w:sz="4" w:space="0"/>
            </w:tcBorders>
            <w:vAlign w:val="center"/>
          </w:tcPr>
          <w:p w14:paraId="0C6C962E">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深基坑（槽）</w:t>
            </w:r>
          </w:p>
        </w:tc>
        <w:tc>
          <w:tcPr>
            <w:tcW w:w="647" w:type="dxa"/>
            <w:tcBorders>
              <w:top w:val="single" w:color="auto" w:sz="4" w:space="0"/>
              <w:left w:val="nil"/>
              <w:bottom w:val="single" w:color="auto" w:sz="4" w:space="0"/>
              <w:right w:val="single" w:color="auto" w:sz="4" w:space="0"/>
            </w:tcBorders>
            <w:vAlign w:val="center"/>
          </w:tcPr>
          <w:p w14:paraId="00CB3C6F">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6EF25B7">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CB3608">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1505D74">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C0399B4">
            <w:pPr>
              <w:autoSpaceDN w:val="0"/>
              <w:spacing w:line="300" w:lineRule="exact"/>
              <w:ind w:left="-53" w:leftChars="-25" w:right="-53" w:rightChars="-25"/>
              <w:jc w:val="center"/>
              <w:rPr>
                <w:rFonts w:ascii="仿宋" w:hAnsi="仿宋" w:eastAsia="仿宋" w:cs="仿宋"/>
                <w:b/>
                <w:bCs/>
                <w:color w:val="auto"/>
                <w:szCs w:val="21"/>
                <w:highlight w:val="none"/>
              </w:rPr>
            </w:pPr>
          </w:p>
        </w:tc>
      </w:tr>
      <w:tr w14:paraId="5E8CAA6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6FBF4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8201EE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上下专用通道</w:t>
            </w:r>
          </w:p>
        </w:tc>
        <w:tc>
          <w:tcPr>
            <w:tcW w:w="647" w:type="dxa"/>
            <w:tcBorders>
              <w:top w:val="single" w:color="auto" w:sz="4" w:space="0"/>
              <w:left w:val="nil"/>
              <w:bottom w:val="single" w:color="auto" w:sz="4" w:space="0"/>
              <w:right w:val="single" w:color="auto" w:sz="4" w:space="0"/>
            </w:tcBorders>
            <w:vAlign w:val="center"/>
          </w:tcPr>
          <w:p w14:paraId="2092958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4EC5692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F9099AA">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8B2A09">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3462D5C">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含安全爬梯</w:t>
            </w:r>
          </w:p>
        </w:tc>
      </w:tr>
      <w:tr w14:paraId="153B3D9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91CEF1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11633FF5">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基坑支护变形监测</w:t>
            </w:r>
          </w:p>
        </w:tc>
        <w:tc>
          <w:tcPr>
            <w:tcW w:w="647" w:type="dxa"/>
            <w:tcBorders>
              <w:top w:val="single" w:color="auto" w:sz="4" w:space="0"/>
              <w:left w:val="nil"/>
              <w:bottom w:val="single" w:color="auto" w:sz="4" w:space="0"/>
              <w:right w:val="single" w:color="auto" w:sz="4" w:space="0"/>
            </w:tcBorders>
            <w:vAlign w:val="center"/>
          </w:tcPr>
          <w:p w14:paraId="067C318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72D4BBD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F18533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A59EAF5">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B01CDD5">
            <w:pPr>
              <w:autoSpaceDN w:val="0"/>
              <w:spacing w:line="300" w:lineRule="exact"/>
              <w:ind w:left="-53" w:leftChars="-25" w:right="-53" w:rightChars="-25"/>
              <w:jc w:val="center"/>
              <w:rPr>
                <w:rFonts w:ascii="仿宋" w:hAnsi="仿宋" w:eastAsia="仿宋" w:cs="仿宋"/>
                <w:color w:val="auto"/>
                <w:szCs w:val="21"/>
                <w:highlight w:val="none"/>
              </w:rPr>
            </w:pPr>
          </w:p>
        </w:tc>
      </w:tr>
      <w:tr w14:paraId="3F995CA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DE729D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1EFCDD45">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其他深基坑安全防护</w:t>
            </w:r>
          </w:p>
        </w:tc>
        <w:tc>
          <w:tcPr>
            <w:tcW w:w="647" w:type="dxa"/>
            <w:tcBorders>
              <w:top w:val="single" w:color="auto" w:sz="4" w:space="0"/>
              <w:left w:val="nil"/>
              <w:bottom w:val="single" w:color="auto" w:sz="4" w:space="0"/>
              <w:right w:val="single" w:color="auto" w:sz="4" w:space="0"/>
            </w:tcBorders>
            <w:vAlign w:val="center"/>
          </w:tcPr>
          <w:p w14:paraId="631F4CC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3E1319">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33D387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0765C3F">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CE2699D">
            <w:pPr>
              <w:autoSpaceDN w:val="0"/>
              <w:spacing w:line="300" w:lineRule="exact"/>
              <w:ind w:left="-53" w:leftChars="-25" w:right="-53" w:rightChars="-25"/>
              <w:jc w:val="center"/>
              <w:rPr>
                <w:rFonts w:ascii="仿宋" w:hAnsi="仿宋" w:eastAsia="仿宋" w:cs="仿宋"/>
                <w:color w:val="auto"/>
                <w:szCs w:val="21"/>
                <w:highlight w:val="none"/>
              </w:rPr>
            </w:pPr>
          </w:p>
        </w:tc>
      </w:tr>
      <w:tr w14:paraId="77AD449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732FA3D">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（四）</w:t>
            </w:r>
          </w:p>
        </w:tc>
        <w:tc>
          <w:tcPr>
            <w:tcW w:w="2162" w:type="dxa"/>
            <w:tcBorders>
              <w:top w:val="single" w:color="auto" w:sz="4" w:space="0"/>
              <w:left w:val="nil"/>
              <w:bottom w:val="single" w:color="auto" w:sz="4" w:space="0"/>
              <w:right w:val="single" w:color="auto" w:sz="4" w:space="0"/>
            </w:tcBorders>
            <w:vAlign w:val="center"/>
          </w:tcPr>
          <w:p w14:paraId="5435E19A">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脚手架</w:t>
            </w:r>
          </w:p>
        </w:tc>
        <w:tc>
          <w:tcPr>
            <w:tcW w:w="647" w:type="dxa"/>
            <w:tcBorders>
              <w:top w:val="single" w:color="auto" w:sz="4" w:space="0"/>
              <w:left w:val="nil"/>
              <w:bottom w:val="single" w:color="auto" w:sz="4" w:space="0"/>
              <w:right w:val="single" w:color="auto" w:sz="4" w:space="0"/>
            </w:tcBorders>
            <w:vAlign w:val="center"/>
          </w:tcPr>
          <w:p w14:paraId="098E2C28">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14872C9">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303F5D0">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B7CDF51">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8025DA2">
            <w:pPr>
              <w:autoSpaceDN w:val="0"/>
              <w:spacing w:line="300" w:lineRule="exact"/>
              <w:ind w:left="-53" w:leftChars="-25" w:right="-53" w:rightChars="-25"/>
              <w:jc w:val="center"/>
              <w:rPr>
                <w:rFonts w:ascii="仿宋" w:hAnsi="仿宋" w:eastAsia="仿宋" w:cs="仿宋"/>
                <w:b/>
                <w:bCs/>
                <w:color w:val="auto"/>
                <w:szCs w:val="21"/>
                <w:highlight w:val="none"/>
              </w:rPr>
            </w:pPr>
          </w:p>
        </w:tc>
      </w:tr>
      <w:tr w14:paraId="1FF9A55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B638B2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7797934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水平隔离封闭设施</w:t>
            </w:r>
          </w:p>
        </w:tc>
        <w:tc>
          <w:tcPr>
            <w:tcW w:w="647" w:type="dxa"/>
            <w:tcBorders>
              <w:top w:val="single" w:color="auto" w:sz="4" w:space="0"/>
              <w:left w:val="nil"/>
              <w:bottom w:val="single" w:color="auto" w:sz="4" w:space="0"/>
              <w:right w:val="single" w:color="auto" w:sz="4" w:space="0"/>
            </w:tcBorders>
            <w:vAlign w:val="center"/>
          </w:tcPr>
          <w:p w14:paraId="3967AF1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28A83819">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7A8187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8A5716F">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EA1FF8B">
            <w:pPr>
              <w:autoSpaceDN w:val="0"/>
              <w:spacing w:line="300" w:lineRule="exact"/>
              <w:ind w:left="-53" w:leftChars="-25" w:right="-53" w:rightChars="-25"/>
              <w:jc w:val="center"/>
              <w:rPr>
                <w:rFonts w:ascii="仿宋" w:hAnsi="仿宋" w:eastAsia="仿宋" w:cs="仿宋"/>
                <w:color w:val="auto"/>
                <w:szCs w:val="21"/>
                <w:highlight w:val="none"/>
              </w:rPr>
            </w:pPr>
          </w:p>
        </w:tc>
      </w:tr>
      <w:tr w14:paraId="4806B92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FA8747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71BBE23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其他脚手架安全防护</w:t>
            </w:r>
          </w:p>
        </w:tc>
        <w:tc>
          <w:tcPr>
            <w:tcW w:w="647" w:type="dxa"/>
            <w:tcBorders>
              <w:top w:val="single" w:color="auto" w:sz="4" w:space="0"/>
              <w:left w:val="nil"/>
              <w:bottom w:val="single" w:color="auto" w:sz="4" w:space="0"/>
              <w:right w:val="single" w:color="auto" w:sz="4" w:space="0"/>
            </w:tcBorders>
            <w:vAlign w:val="center"/>
          </w:tcPr>
          <w:p w14:paraId="4305AA47">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852302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ABBE29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E2CF826">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14FF76C">
            <w:pPr>
              <w:autoSpaceDN w:val="0"/>
              <w:spacing w:line="300" w:lineRule="exact"/>
              <w:ind w:left="-53" w:leftChars="-25" w:right="-53" w:rightChars="-25"/>
              <w:jc w:val="center"/>
              <w:rPr>
                <w:rFonts w:ascii="仿宋" w:hAnsi="仿宋" w:eastAsia="仿宋" w:cs="仿宋"/>
                <w:color w:val="auto"/>
                <w:szCs w:val="21"/>
                <w:highlight w:val="none"/>
              </w:rPr>
            </w:pPr>
          </w:p>
        </w:tc>
      </w:tr>
      <w:tr w14:paraId="5424601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7F5CB6">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（五）</w:t>
            </w:r>
          </w:p>
        </w:tc>
        <w:tc>
          <w:tcPr>
            <w:tcW w:w="2162" w:type="dxa"/>
            <w:tcBorders>
              <w:top w:val="single" w:color="auto" w:sz="4" w:space="0"/>
              <w:left w:val="nil"/>
              <w:bottom w:val="single" w:color="auto" w:sz="4" w:space="0"/>
              <w:right w:val="single" w:color="auto" w:sz="4" w:space="0"/>
            </w:tcBorders>
            <w:vAlign w:val="center"/>
          </w:tcPr>
          <w:p w14:paraId="79321F6C">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井架</w:t>
            </w:r>
          </w:p>
        </w:tc>
        <w:tc>
          <w:tcPr>
            <w:tcW w:w="647" w:type="dxa"/>
            <w:tcBorders>
              <w:top w:val="single" w:color="auto" w:sz="4" w:space="0"/>
              <w:left w:val="nil"/>
              <w:bottom w:val="single" w:color="auto" w:sz="4" w:space="0"/>
              <w:right w:val="single" w:color="auto" w:sz="4" w:space="0"/>
            </w:tcBorders>
            <w:vAlign w:val="center"/>
          </w:tcPr>
          <w:p w14:paraId="03F205B2">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C33C351">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A2448F6">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C5AD1E3">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0AC0845">
            <w:pPr>
              <w:autoSpaceDN w:val="0"/>
              <w:spacing w:line="300" w:lineRule="exact"/>
              <w:ind w:left="-53" w:leftChars="-25" w:right="-53" w:rightChars="-25"/>
              <w:jc w:val="center"/>
              <w:rPr>
                <w:rFonts w:ascii="仿宋" w:hAnsi="仿宋" w:eastAsia="仿宋" w:cs="仿宋"/>
                <w:b/>
                <w:bCs/>
                <w:color w:val="auto"/>
                <w:szCs w:val="21"/>
                <w:highlight w:val="none"/>
              </w:rPr>
            </w:pPr>
          </w:p>
        </w:tc>
      </w:tr>
      <w:tr w14:paraId="37B5669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A22E24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40DD255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架体围护</w:t>
            </w:r>
          </w:p>
        </w:tc>
        <w:tc>
          <w:tcPr>
            <w:tcW w:w="647" w:type="dxa"/>
            <w:tcBorders>
              <w:top w:val="single" w:color="auto" w:sz="4" w:space="0"/>
              <w:left w:val="nil"/>
              <w:bottom w:val="single" w:color="auto" w:sz="4" w:space="0"/>
              <w:right w:val="single" w:color="auto" w:sz="4" w:space="0"/>
            </w:tcBorders>
            <w:vAlign w:val="center"/>
          </w:tcPr>
          <w:p w14:paraId="2830F91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7ABD3A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68C335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FA13ABB">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80EF391">
            <w:pPr>
              <w:autoSpaceDN w:val="0"/>
              <w:spacing w:line="300" w:lineRule="exact"/>
              <w:ind w:left="-53" w:leftChars="-25" w:right="-53" w:rightChars="-25"/>
              <w:jc w:val="center"/>
              <w:rPr>
                <w:rFonts w:ascii="仿宋" w:hAnsi="仿宋" w:eastAsia="仿宋" w:cs="仿宋"/>
                <w:color w:val="auto"/>
                <w:szCs w:val="21"/>
                <w:highlight w:val="none"/>
              </w:rPr>
            </w:pPr>
          </w:p>
        </w:tc>
      </w:tr>
      <w:tr w14:paraId="5A8E41B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7269DD5">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25DCE2F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货用升降机操作室</w:t>
            </w:r>
          </w:p>
        </w:tc>
        <w:tc>
          <w:tcPr>
            <w:tcW w:w="647" w:type="dxa"/>
            <w:tcBorders>
              <w:top w:val="single" w:color="auto" w:sz="4" w:space="0"/>
              <w:left w:val="nil"/>
              <w:bottom w:val="single" w:color="auto" w:sz="4" w:space="0"/>
              <w:right w:val="single" w:color="auto" w:sz="4" w:space="0"/>
            </w:tcBorders>
            <w:vAlign w:val="center"/>
          </w:tcPr>
          <w:p w14:paraId="425E113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73C66FA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BB4001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2FC7FB7">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B0F05F7">
            <w:pPr>
              <w:autoSpaceDN w:val="0"/>
              <w:spacing w:line="300" w:lineRule="exact"/>
              <w:ind w:left="-53" w:leftChars="-25" w:right="-53" w:rightChars="-25"/>
              <w:jc w:val="center"/>
              <w:rPr>
                <w:rFonts w:ascii="仿宋" w:hAnsi="仿宋" w:eastAsia="仿宋" w:cs="仿宋"/>
                <w:color w:val="auto"/>
                <w:szCs w:val="21"/>
                <w:highlight w:val="none"/>
              </w:rPr>
            </w:pPr>
          </w:p>
        </w:tc>
      </w:tr>
      <w:tr w14:paraId="79B3DC3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473DFE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080EF05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其他井架防护</w:t>
            </w:r>
          </w:p>
        </w:tc>
        <w:tc>
          <w:tcPr>
            <w:tcW w:w="647" w:type="dxa"/>
            <w:tcBorders>
              <w:top w:val="single" w:color="auto" w:sz="4" w:space="0"/>
              <w:left w:val="nil"/>
              <w:bottom w:val="single" w:color="auto" w:sz="4" w:space="0"/>
              <w:right w:val="single" w:color="auto" w:sz="4" w:space="0"/>
            </w:tcBorders>
            <w:vAlign w:val="center"/>
          </w:tcPr>
          <w:p w14:paraId="71F4A6D0">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1A7739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82434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6C04455">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322137D">
            <w:pPr>
              <w:autoSpaceDN w:val="0"/>
              <w:spacing w:line="300" w:lineRule="exact"/>
              <w:ind w:left="-53" w:leftChars="-25" w:right="-53" w:rightChars="-25"/>
              <w:jc w:val="center"/>
              <w:rPr>
                <w:rFonts w:ascii="仿宋" w:hAnsi="仿宋" w:eastAsia="仿宋" w:cs="仿宋"/>
                <w:color w:val="auto"/>
                <w:szCs w:val="21"/>
                <w:highlight w:val="none"/>
              </w:rPr>
            </w:pPr>
          </w:p>
        </w:tc>
      </w:tr>
      <w:tr w14:paraId="0B1E0C6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9D52D5">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（六）</w:t>
            </w:r>
          </w:p>
        </w:tc>
        <w:tc>
          <w:tcPr>
            <w:tcW w:w="2162" w:type="dxa"/>
            <w:tcBorders>
              <w:top w:val="single" w:color="auto" w:sz="4" w:space="0"/>
              <w:left w:val="nil"/>
              <w:bottom w:val="single" w:color="auto" w:sz="4" w:space="0"/>
              <w:right w:val="single" w:color="auto" w:sz="4" w:space="0"/>
            </w:tcBorders>
            <w:vAlign w:val="center"/>
          </w:tcPr>
          <w:p w14:paraId="48F545C7">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消防器材、设施</w:t>
            </w:r>
          </w:p>
        </w:tc>
        <w:tc>
          <w:tcPr>
            <w:tcW w:w="647" w:type="dxa"/>
            <w:tcBorders>
              <w:top w:val="single" w:color="auto" w:sz="4" w:space="0"/>
              <w:left w:val="nil"/>
              <w:bottom w:val="single" w:color="auto" w:sz="4" w:space="0"/>
              <w:right w:val="single" w:color="auto" w:sz="4" w:space="0"/>
            </w:tcBorders>
            <w:vAlign w:val="center"/>
          </w:tcPr>
          <w:p w14:paraId="0EBFD2B8">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863B4B2">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CD52AFA">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21AB2FE">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A508D66">
            <w:pPr>
              <w:autoSpaceDN w:val="0"/>
              <w:spacing w:line="300" w:lineRule="exact"/>
              <w:ind w:left="-53" w:leftChars="-25" w:right="-53" w:rightChars="-25"/>
              <w:jc w:val="center"/>
              <w:rPr>
                <w:rFonts w:ascii="仿宋" w:hAnsi="仿宋" w:eastAsia="仿宋" w:cs="仿宋"/>
                <w:b/>
                <w:bCs/>
                <w:color w:val="auto"/>
                <w:szCs w:val="21"/>
                <w:highlight w:val="none"/>
              </w:rPr>
            </w:pPr>
          </w:p>
        </w:tc>
      </w:tr>
      <w:tr w14:paraId="408E953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5FA0B9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324959F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灭火器</w:t>
            </w:r>
          </w:p>
        </w:tc>
        <w:tc>
          <w:tcPr>
            <w:tcW w:w="647" w:type="dxa"/>
            <w:tcBorders>
              <w:top w:val="single" w:color="auto" w:sz="4" w:space="0"/>
              <w:left w:val="nil"/>
              <w:bottom w:val="single" w:color="auto" w:sz="4" w:space="0"/>
              <w:right w:val="single" w:color="auto" w:sz="4" w:space="0"/>
            </w:tcBorders>
            <w:vAlign w:val="center"/>
          </w:tcPr>
          <w:p w14:paraId="1CD520A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8" w:type="dxa"/>
            <w:tcBorders>
              <w:top w:val="single" w:color="auto" w:sz="4" w:space="0"/>
              <w:left w:val="nil"/>
              <w:bottom w:val="single" w:color="auto" w:sz="4" w:space="0"/>
              <w:right w:val="single" w:color="auto" w:sz="4" w:space="0"/>
            </w:tcBorders>
            <w:vAlign w:val="center"/>
          </w:tcPr>
          <w:p w14:paraId="7851F27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E070997">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3078398">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F8BBD0E">
            <w:pPr>
              <w:autoSpaceDN w:val="0"/>
              <w:spacing w:line="300" w:lineRule="exact"/>
              <w:ind w:left="-53" w:leftChars="-25" w:right="-53" w:rightChars="-25"/>
              <w:jc w:val="center"/>
              <w:rPr>
                <w:rFonts w:ascii="仿宋" w:hAnsi="仿宋" w:eastAsia="仿宋" w:cs="仿宋"/>
                <w:color w:val="auto"/>
                <w:szCs w:val="21"/>
                <w:highlight w:val="none"/>
              </w:rPr>
            </w:pPr>
          </w:p>
        </w:tc>
      </w:tr>
      <w:tr w14:paraId="40F70C8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F144D0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122729A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消防水泵</w:t>
            </w:r>
          </w:p>
        </w:tc>
        <w:tc>
          <w:tcPr>
            <w:tcW w:w="647" w:type="dxa"/>
            <w:tcBorders>
              <w:top w:val="single" w:color="auto" w:sz="4" w:space="0"/>
              <w:left w:val="nil"/>
              <w:bottom w:val="single" w:color="auto" w:sz="4" w:space="0"/>
              <w:right w:val="single" w:color="auto" w:sz="4" w:space="0"/>
            </w:tcBorders>
            <w:vAlign w:val="center"/>
          </w:tcPr>
          <w:p w14:paraId="435B612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78" w:type="dxa"/>
            <w:tcBorders>
              <w:top w:val="single" w:color="auto" w:sz="4" w:space="0"/>
              <w:left w:val="nil"/>
              <w:bottom w:val="single" w:color="auto" w:sz="4" w:space="0"/>
              <w:right w:val="single" w:color="auto" w:sz="4" w:space="0"/>
            </w:tcBorders>
            <w:vAlign w:val="center"/>
          </w:tcPr>
          <w:p w14:paraId="68DE811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2501C29">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A64C78F">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0940F6B">
            <w:pPr>
              <w:autoSpaceDN w:val="0"/>
              <w:spacing w:line="300" w:lineRule="exact"/>
              <w:ind w:left="-53" w:leftChars="-25" w:right="-53" w:rightChars="-25"/>
              <w:jc w:val="center"/>
              <w:rPr>
                <w:rFonts w:ascii="仿宋" w:hAnsi="仿宋" w:eastAsia="仿宋" w:cs="仿宋"/>
                <w:color w:val="auto"/>
                <w:szCs w:val="21"/>
                <w:highlight w:val="none"/>
              </w:rPr>
            </w:pPr>
          </w:p>
        </w:tc>
      </w:tr>
      <w:tr w14:paraId="742C564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38B1C5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29C1637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水枪、水带</w:t>
            </w:r>
          </w:p>
        </w:tc>
        <w:tc>
          <w:tcPr>
            <w:tcW w:w="647" w:type="dxa"/>
            <w:tcBorders>
              <w:top w:val="single" w:color="auto" w:sz="4" w:space="0"/>
              <w:left w:val="nil"/>
              <w:bottom w:val="single" w:color="auto" w:sz="4" w:space="0"/>
              <w:right w:val="single" w:color="auto" w:sz="4" w:space="0"/>
            </w:tcBorders>
            <w:vAlign w:val="center"/>
          </w:tcPr>
          <w:p w14:paraId="3EFDB9A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416D476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F46C43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4C35A39">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2668BF9">
            <w:pPr>
              <w:autoSpaceDN w:val="0"/>
              <w:spacing w:line="300" w:lineRule="exact"/>
              <w:ind w:left="-53" w:leftChars="-25" w:right="-53" w:rightChars="-25"/>
              <w:jc w:val="center"/>
              <w:rPr>
                <w:rFonts w:ascii="仿宋" w:hAnsi="仿宋" w:eastAsia="仿宋" w:cs="仿宋"/>
                <w:color w:val="auto"/>
                <w:szCs w:val="21"/>
                <w:highlight w:val="none"/>
              </w:rPr>
            </w:pPr>
          </w:p>
        </w:tc>
      </w:tr>
      <w:tr w14:paraId="20523A8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877924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5A9B380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消防箱</w:t>
            </w:r>
          </w:p>
        </w:tc>
        <w:tc>
          <w:tcPr>
            <w:tcW w:w="647" w:type="dxa"/>
            <w:tcBorders>
              <w:top w:val="single" w:color="auto" w:sz="4" w:space="0"/>
              <w:left w:val="nil"/>
              <w:bottom w:val="single" w:color="auto" w:sz="4" w:space="0"/>
              <w:right w:val="single" w:color="auto" w:sz="4" w:space="0"/>
            </w:tcBorders>
            <w:vAlign w:val="center"/>
          </w:tcPr>
          <w:p w14:paraId="7EC2018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8" w:type="dxa"/>
            <w:tcBorders>
              <w:top w:val="single" w:color="auto" w:sz="4" w:space="0"/>
              <w:left w:val="nil"/>
              <w:bottom w:val="single" w:color="auto" w:sz="4" w:space="0"/>
              <w:right w:val="single" w:color="auto" w:sz="4" w:space="0"/>
            </w:tcBorders>
            <w:vAlign w:val="center"/>
          </w:tcPr>
          <w:p w14:paraId="6C8BFF0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C2A59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B885757">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F6B3E19">
            <w:pPr>
              <w:autoSpaceDN w:val="0"/>
              <w:spacing w:line="300" w:lineRule="exact"/>
              <w:ind w:left="-53" w:leftChars="-25" w:right="-53" w:rightChars="-25"/>
              <w:jc w:val="center"/>
              <w:rPr>
                <w:rFonts w:ascii="仿宋" w:hAnsi="仿宋" w:eastAsia="仿宋" w:cs="仿宋"/>
                <w:color w:val="auto"/>
                <w:szCs w:val="21"/>
                <w:highlight w:val="none"/>
              </w:rPr>
            </w:pPr>
          </w:p>
        </w:tc>
      </w:tr>
      <w:tr w14:paraId="7A545C1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15703D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054940F5">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消防立管</w:t>
            </w:r>
          </w:p>
        </w:tc>
        <w:tc>
          <w:tcPr>
            <w:tcW w:w="647" w:type="dxa"/>
            <w:tcBorders>
              <w:top w:val="single" w:color="auto" w:sz="4" w:space="0"/>
              <w:left w:val="nil"/>
              <w:bottom w:val="single" w:color="auto" w:sz="4" w:space="0"/>
              <w:right w:val="single" w:color="auto" w:sz="4" w:space="0"/>
            </w:tcBorders>
            <w:vAlign w:val="center"/>
          </w:tcPr>
          <w:p w14:paraId="5EEC49F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32057F2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FCBD726">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4709C31">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00A787E">
            <w:pPr>
              <w:autoSpaceDN w:val="0"/>
              <w:spacing w:line="300" w:lineRule="exact"/>
              <w:ind w:left="-53" w:leftChars="-25" w:right="-53" w:rightChars="-25"/>
              <w:jc w:val="center"/>
              <w:rPr>
                <w:rFonts w:ascii="仿宋" w:hAnsi="仿宋" w:eastAsia="仿宋" w:cs="仿宋"/>
                <w:color w:val="auto"/>
                <w:szCs w:val="21"/>
                <w:highlight w:val="none"/>
              </w:rPr>
            </w:pPr>
          </w:p>
        </w:tc>
      </w:tr>
      <w:tr w14:paraId="5DE6B96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00DAC3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2" w:type="dxa"/>
            <w:tcBorders>
              <w:top w:val="single" w:color="auto" w:sz="4" w:space="0"/>
              <w:left w:val="nil"/>
              <w:bottom w:val="single" w:color="auto" w:sz="4" w:space="0"/>
              <w:right w:val="single" w:color="auto" w:sz="4" w:space="0"/>
            </w:tcBorders>
            <w:vAlign w:val="center"/>
          </w:tcPr>
          <w:p w14:paraId="15A043C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危险品仓库搭建</w:t>
            </w:r>
          </w:p>
        </w:tc>
        <w:tc>
          <w:tcPr>
            <w:tcW w:w="647" w:type="dxa"/>
            <w:tcBorders>
              <w:top w:val="single" w:color="auto" w:sz="4" w:space="0"/>
              <w:left w:val="nil"/>
              <w:bottom w:val="single" w:color="auto" w:sz="4" w:space="0"/>
              <w:right w:val="single" w:color="auto" w:sz="4" w:space="0"/>
            </w:tcBorders>
            <w:vAlign w:val="center"/>
          </w:tcPr>
          <w:p w14:paraId="05A2CEB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7EF8BD2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C694AB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B575B64">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249BB43">
            <w:pPr>
              <w:autoSpaceDN w:val="0"/>
              <w:spacing w:line="300" w:lineRule="exact"/>
              <w:ind w:left="-53" w:leftChars="-25" w:right="-53" w:rightChars="-25"/>
              <w:jc w:val="center"/>
              <w:rPr>
                <w:rFonts w:ascii="仿宋" w:hAnsi="仿宋" w:eastAsia="仿宋" w:cs="仿宋"/>
                <w:color w:val="auto"/>
                <w:szCs w:val="21"/>
                <w:highlight w:val="none"/>
              </w:rPr>
            </w:pPr>
          </w:p>
        </w:tc>
      </w:tr>
      <w:tr w14:paraId="2BE8F77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31D395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2" w:type="dxa"/>
            <w:tcBorders>
              <w:top w:val="single" w:color="auto" w:sz="4" w:space="0"/>
              <w:left w:val="nil"/>
              <w:bottom w:val="single" w:color="auto" w:sz="4" w:space="0"/>
              <w:right w:val="single" w:color="auto" w:sz="4" w:space="0"/>
            </w:tcBorders>
            <w:vAlign w:val="center"/>
          </w:tcPr>
          <w:p w14:paraId="68478ACC">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防雷设施</w:t>
            </w:r>
          </w:p>
        </w:tc>
        <w:tc>
          <w:tcPr>
            <w:tcW w:w="647" w:type="dxa"/>
            <w:tcBorders>
              <w:top w:val="single" w:color="auto" w:sz="4" w:space="0"/>
              <w:left w:val="nil"/>
              <w:bottom w:val="single" w:color="auto" w:sz="4" w:space="0"/>
              <w:right w:val="single" w:color="auto" w:sz="4" w:space="0"/>
            </w:tcBorders>
            <w:vAlign w:val="center"/>
          </w:tcPr>
          <w:p w14:paraId="17A3C46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682CA12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9DBFE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0F3A3FA">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DCBF26D">
            <w:pPr>
              <w:autoSpaceDN w:val="0"/>
              <w:spacing w:line="300" w:lineRule="exact"/>
              <w:ind w:left="-53" w:leftChars="-25" w:right="-53" w:rightChars="-25"/>
              <w:jc w:val="center"/>
              <w:rPr>
                <w:rFonts w:ascii="仿宋" w:hAnsi="仿宋" w:eastAsia="仿宋" w:cs="仿宋"/>
                <w:color w:val="auto"/>
                <w:szCs w:val="21"/>
                <w:highlight w:val="none"/>
              </w:rPr>
            </w:pPr>
          </w:p>
        </w:tc>
      </w:tr>
      <w:tr w14:paraId="6117C25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D65383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2162" w:type="dxa"/>
            <w:tcBorders>
              <w:top w:val="single" w:color="auto" w:sz="4" w:space="0"/>
              <w:left w:val="nil"/>
              <w:bottom w:val="single" w:color="auto" w:sz="4" w:space="0"/>
              <w:right w:val="single" w:color="auto" w:sz="4" w:space="0"/>
            </w:tcBorders>
            <w:vAlign w:val="center"/>
          </w:tcPr>
          <w:p w14:paraId="590C9B8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w:t>
            </w:r>
          </w:p>
        </w:tc>
        <w:tc>
          <w:tcPr>
            <w:tcW w:w="647" w:type="dxa"/>
            <w:tcBorders>
              <w:top w:val="single" w:color="auto" w:sz="4" w:space="0"/>
              <w:left w:val="nil"/>
              <w:bottom w:val="single" w:color="auto" w:sz="4" w:space="0"/>
              <w:right w:val="single" w:color="auto" w:sz="4" w:space="0"/>
            </w:tcBorders>
            <w:vAlign w:val="center"/>
          </w:tcPr>
          <w:p w14:paraId="52AB83A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DEE8E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E5D009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271025E">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0C4BFAA">
            <w:pPr>
              <w:autoSpaceDN w:val="0"/>
              <w:spacing w:line="300" w:lineRule="exact"/>
              <w:ind w:left="-53" w:leftChars="-25" w:right="-53" w:rightChars="-25"/>
              <w:jc w:val="center"/>
              <w:rPr>
                <w:rFonts w:ascii="仿宋" w:hAnsi="仿宋" w:eastAsia="仿宋" w:cs="仿宋"/>
                <w:color w:val="auto"/>
                <w:szCs w:val="21"/>
                <w:highlight w:val="none"/>
              </w:rPr>
            </w:pPr>
          </w:p>
        </w:tc>
      </w:tr>
      <w:tr w14:paraId="668FC53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AC464C3">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（七）</w:t>
            </w:r>
          </w:p>
        </w:tc>
        <w:tc>
          <w:tcPr>
            <w:tcW w:w="2162" w:type="dxa"/>
            <w:tcBorders>
              <w:top w:val="single" w:color="auto" w:sz="4" w:space="0"/>
              <w:left w:val="nil"/>
              <w:bottom w:val="single" w:color="auto" w:sz="4" w:space="0"/>
              <w:right w:val="single" w:color="auto" w:sz="4" w:space="0"/>
            </w:tcBorders>
            <w:vAlign w:val="center"/>
          </w:tcPr>
          <w:p w14:paraId="09893C08">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特殊工程安全措施</w:t>
            </w:r>
          </w:p>
        </w:tc>
        <w:tc>
          <w:tcPr>
            <w:tcW w:w="647" w:type="dxa"/>
            <w:tcBorders>
              <w:top w:val="single" w:color="auto" w:sz="4" w:space="0"/>
              <w:left w:val="nil"/>
              <w:bottom w:val="single" w:color="auto" w:sz="4" w:space="0"/>
              <w:right w:val="single" w:color="auto" w:sz="4" w:space="0"/>
            </w:tcBorders>
            <w:vAlign w:val="center"/>
          </w:tcPr>
          <w:p w14:paraId="44D64C57">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1A8CAA">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DB9A8B0">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CFEE3ED">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0CF5CCD">
            <w:pPr>
              <w:autoSpaceDN w:val="0"/>
              <w:spacing w:line="300" w:lineRule="exact"/>
              <w:ind w:left="-53" w:leftChars="-25" w:right="-53" w:rightChars="-25"/>
              <w:jc w:val="center"/>
              <w:rPr>
                <w:rFonts w:ascii="仿宋" w:hAnsi="仿宋" w:eastAsia="仿宋" w:cs="仿宋"/>
                <w:b/>
                <w:bCs/>
                <w:color w:val="auto"/>
                <w:szCs w:val="21"/>
                <w:highlight w:val="none"/>
              </w:rPr>
            </w:pPr>
          </w:p>
        </w:tc>
      </w:tr>
      <w:tr w14:paraId="32FF653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9DE06E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779E95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特殊作业防护用品</w:t>
            </w:r>
          </w:p>
        </w:tc>
        <w:tc>
          <w:tcPr>
            <w:tcW w:w="647" w:type="dxa"/>
            <w:tcBorders>
              <w:top w:val="single" w:color="auto" w:sz="4" w:space="0"/>
              <w:left w:val="nil"/>
              <w:bottom w:val="single" w:color="auto" w:sz="4" w:space="0"/>
              <w:right w:val="single" w:color="auto" w:sz="4" w:space="0"/>
            </w:tcBorders>
            <w:vAlign w:val="center"/>
          </w:tcPr>
          <w:p w14:paraId="05F6575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68CED9F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BED743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BB97AF">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948B233">
            <w:pPr>
              <w:autoSpaceDN w:val="0"/>
              <w:spacing w:line="300" w:lineRule="exact"/>
              <w:ind w:left="-53" w:leftChars="-25" w:right="-53" w:rightChars="-25"/>
              <w:jc w:val="center"/>
              <w:rPr>
                <w:rFonts w:ascii="仿宋" w:hAnsi="仿宋" w:eastAsia="仿宋" w:cs="仿宋"/>
                <w:color w:val="auto"/>
                <w:szCs w:val="21"/>
                <w:highlight w:val="none"/>
              </w:rPr>
            </w:pPr>
          </w:p>
        </w:tc>
      </w:tr>
      <w:tr w14:paraId="4C85B1C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177D685">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C869BCC">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救生设施</w:t>
            </w:r>
          </w:p>
        </w:tc>
        <w:tc>
          <w:tcPr>
            <w:tcW w:w="647" w:type="dxa"/>
            <w:tcBorders>
              <w:top w:val="single" w:color="auto" w:sz="4" w:space="0"/>
              <w:left w:val="nil"/>
              <w:bottom w:val="single" w:color="auto" w:sz="4" w:space="0"/>
              <w:right w:val="single" w:color="auto" w:sz="4" w:space="0"/>
            </w:tcBorders>
            <w:vAlign w:val="center"/>
          </w:tcPr>
          <w:p w14:paraId="240F675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3537670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D2B3B8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2054A20">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242A7D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含救生衣、救生圈等</w:t>
            </w:r>
          </w:p>
        </w:tc>
      </w:tr>
      <w:tr w14:paraId="4FD574B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C85257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75DC0A4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防毒面具</w:t>
            </w:r>
          </w:p>
        </w:tc>
        <w:tc>
          <w:tcPr>
            <w:tcW w:w="647" w:type="dxa"/>
            <w:tcBorders>
              <w:top w:val="single" w:color="auto" w:sz="4" w:space="0"/>
              <w:left w:val="nil"/>
              <w:bottom w:val="single" w:color="auto" w:sz="4" w:space="0"/>
              <w:right w:val="single" w:color="auto" w:sz="4" w:space="0"/>
            </w:tcBorders>
            <w:vAlign w:val="center"/>
          </w:tcPr>
          <w:p w14:paraId="126CF39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付</w:t>
            </w:r>
          </w:p>
        </w:tc>
        <w:tc>
          <w:tcPr>
            <w:tcW w:w="878" w:type="dxa"/>
            <w:tcBorders>
              <w:top w:val="single" w:color="auto" w:sz="4" w:space="0"/>
              <w:left w:val="nil"/>
              <w:bottom w:val="single" w:color="auto" w:sz="4" w:space="0"/>
              <w:right w:val="single" w:color="auto" w:sz="4" w:space="0"/>
            </w:tcBorders>
            <w:vAlign w:val="center"/>
          </w:tcPr>
          <w:p w14:paraId="388CCE3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52DB76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B1C94C">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DF7F865">
            <w:pPr>
              <w:autoSpaceDN w:val="0"/>
              <w:spacing w:line="300" w:lineRule="exact"/>
              <w:ind w:left="-53" w:leftChars="-25" w:right="-53" w:rightChars="-25"/>
              <w:jc w:val="center"/>
              <w:rPr>
                <w:rFonts w:ascii="仿宋" w:hAnsi="仿宋" w:eastAsia="仿宋" w:cs="仿宋"/>
                <w:color w:val="auto"/>
                <w:szCs w:val="21"/>
                <w:highlight w:val="none"/>
              </w:rPr>
            </w:pPr>
          </w:p>
        </w:tc>
      </w:tr>
      <w:tr w14:paraId="56FE54D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1C50B4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2F3938CC">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有毒气体检测仪器</w:t>
            </w:r>
          </w:p>
        </w:tc>
        <w:tc>
          <w:tcPr>
            <w:tcW w:w="647" w:type="dxa"/>
            <w:tcBorders>
              <w:top w:val="single" w:color="auto" w:sz="4" w:space="0"/>
              <w:left w:val="nil"/>
              <w:bottom w:val="single" w:color="auto" w:sz="4" w:space="0"/>
              <w:right w:val="single" w:color="auto" w:sz="4" w:space="0"/>
            </w:tcBorders>
            <w:vAlign w:val="center"/>
          </w:tcPr>
          <w:p w14:paraId="15B462D9">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643458D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3C1778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D3035D2">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E1A461C">
            <w:pPr>
              <w:autoSpaceDN w:val="0"/>
              <w:spacing w:line="300" w:lineRule="exact"/>
              <w:ind w:left="-53" w:leftChars="-25" w:right="-53" w:rightChars="-25"/>
              <w:jc w:val="center"/>
              <w:rPr>
                <w:rFonts w:ascii="仿宋" w:hAnsi="仿宋" w:eastAsia="仿宋" w:cs="仿宋"/>
                <w:color w:val="auto"/>
                <w:szCs w:val="21"/>
                <w:highlight w:val="none"/>
              </w:rPr>
            </w:pPr>
          </w:p>
        </w:tc>
      </w:tr>
      <w:tr w14:paraId="6E4357C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607BF95">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53C08AD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其他特殊安全防护</w:t>
            </w:r>
          </w:p>
        </w:tc>
        <w:tc>
          <w:tcPr>
            <w:tcW w:w="647" w:type="dxa"/>
            <w:tcBorders>
              <w:top w:val="single" w:color="auto" w:sz="4" w:space="0"/>
              <w:left w:val="nil"/>
              <w:bottom w:val="single" w:color="auto" w:sz="4" w:space="0"/>
              <w:right w:val="single" w:color="auto" w:sz="4" w:space="0"/>
            </w:tcBorders>
            <w:vAlign w:val="center"/>
          </w:tcPr>
          <w:p w14:paraId="0A8BCEA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D93012A">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2100A5A">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1EDD11">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2E5C817">
            <w:pPr>
              <w:autoSpaceDN w:val="0"/>
              <w:spacing w:line="300" w:lineRule="exact"/>
              <w:ind w:left="-53" w:leftChars="-25" w:right="-53" w:rightChars="-25"/>
              <w:jc w:val="center"/>
              <w:rPr>
                <w:rFonts w:ascii="仿宋" w:hAnsi="仿宋" w:eastAsia="仿宋" w:cs="仿宋"/>
                <w:color w:val="auto"/>
                <w:szCs w:val="21"/>
                <w:highlight w:val="none"/>
              </w:rPr>
            </w:pPr>
          </w:p>
        </w:tc>
      </w:tr>
      <w:tr w14:paraId="760D160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911D5B1">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（八）</w:t>
            </w:r>
          </w:p>
        </w:tc>
        <w:tc>
          <w:tcPr>
            <w:tcW w:w="2162" w:type="dxa"/>
            <w:tcBorders>
              <w:top w:val="single" w:color="auto" w:sz="4" w:space="0"/>
              <w:left w:val="nil"/>
              <w:bottom w:val="single" w:color="auto" w:sz="4" w:space="0"/>
              <w:right w:val="single" w:color="auto" w:sz="4" w:space="0"/>
            </w:tcBorders>
            <w:vAlign w:val="center"/>
          </w:tcPr>
          <w:p w14:paraId="50041994">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安全标志</w:t>
            </w:r>
          </w:p>
        </w:tc>
        <w:tc>
          <w:tcPr>
            <w:tcW w:w="647" w:type="dxa"/>
            <w:tcBorders>
              <w:top w:val="single" w:color="auto" w:sz="4" w:space="0"/>
              <w:left w:val="nil"/>
              <w:bottom w:val="single" w:color="auto" w:sz="4" w:space="0"/>
              <w:right w:val="single" w:color="auto" w:sz="4" w:space="0"/>
            </w:tcBorders>
            <w:vAlign w:val="center"/>
          </w:tcPr>
          <w:p w14:paraId="0939079D">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0D1631E">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AABF110">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584AFC4">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E5B9A12">
            <w:pPr>
              <w:autoSpaceDN w:val="0"/>
              <w:spacing w:line="300" w:lineRule="exact"/>
              <w:ind w:left="-53" w:leftChars="-25" w:right="-53" w:rightChars="-25"/>
              <w:jc w:val="center"/>
              <w:rPr>
                <w:rFonts w:ascii="仿宋" w:hAnsi="仿宋" w:eastAsia="仿宋" w:cs="仿宋"/>
                <w:b/>
                <w:bCs/>
                <w:color w:val="auto"/>
                <w:szCs w:val="21"/>
                <w:highlight w:val="none"/>
              </w:rPr>
            </w:pPr>
          </w:p>
        </w:tc>
      </w:tr>
      <w:tr w14:paraId="5B55B9E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807A919">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1829FC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安全警示标牌、标识</w:t>
            </w:r>
          </w:p>
        </w:tc>
        <w:tc>
          <w:tcPr>
            <w:tcW w:w="647" w:type="dxa"/>
            <w:tcBorders>
              <w:top w:val="single" w:color="auto" w:sz="4" w:space="0"/>
              <w:left w:val="nil"/>
              <w:bottom w:val="single" w:color="auto" w:sz="4" w:space="0"/>
              <w:right w:val="single" w:color="auto" w:sz="4" w:space="0"/>
            </w:tcBorders>
            <w:vAlign w:val="center"/>
          </w:tcPr>
          <w:p w14:paraId="6CBE21A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19F501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3FCF2E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0924D3">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AEF43EC">
            <w:pPr>
              <w:autoSpaceDN w:val="0"/>
              <w:spacing w:line="300" w:lineRule="exact"/>
              <w:ind w:left="-53" w:leftChars="-25" w:right="-53" w:rightChars="-25"/>
              <w:jc w:val="center"/>
              <w:rPr>
                <w:rFonts w:ascii="仿宋" w:hAnsi="仿宋" w:eastAsia="仿宋" w:cs="仿宋"/>
                <w:color w:val="auto"/>
                <w:szCs w:val="21"/>
                <w:highlight w:val="none"/>
              </w:rPr>
            </w:pPr>
          </w:p>
        </w:tc>
      </w:tr>
      <w:tr w14:paraId="4F761BF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6CA409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A168825">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警示灯</w:t>
            </w:r>
          </w:p>
        </w:tc>
        <w:tc>
          <w:tcPr>
            <w:tcW w:w="647" w:type="dxa"/>
            <w:tcBorders>
              <w:top w:val="single" w:color="auto" w:sz="4" w:space="0"/>
              <w:left w:val="nil"/>
              <w:bottom w:val="single" w:color="auto" w:sz="4" w:space="0"/>
              <w:right w:val="single" w:color="auto" w:sz="4" w:space="0"/>
            </w:tcBorders>
            <w:vAlign w:val="center"/>
          </w:tcPr>
          <w:p w14:paraId="1C8A954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处</w:t>
            </w:r>
          </w:p>
        </w:tc>
        <w:tc>
          <w:tcPr>
            <w:tcW w:w="878" w:type="dxa"/>
            <w:tcBorders>
              <w:top w:val="single" w:color="auto" w:sz="4" w:space="0"/>
              <w:left w:val="nil"/>
              <w:bottom w:val="single" w:color="auto" w:sz="4" w:space="0"/>
              <w:right w:val="single" w:color="auto" w:sz="4" w:space="0"/>
            </w:tcBorders>
            <w:vAlign w:val="center"/>
          </w:tcPr>
          <w:p w14:paraId="2D708F2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86E13F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9725865">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DBC9D86">
            <w:pPr>
              <w:autoSpaceDN w:val="0"/>
              <w:spacing w:line="300" w:lineRule="exact"/>
              <w:ind w:left="-53" w:leftChars="-25" w:right="-53" w:rightChars="-25"/>
              <w:jc w:val="center"/>
              <w:rPr>
                <w:rFonts w:ascii="仿宋" w:hAnsi="仿宋" w:eastAsia="仿宋" w:cs="仿宋"/>
                <w:color w:val="auto"/>
                <w:szCs w:val="21"/>
                <w:highlight w:val="none"/>
              </w:rPr>
            </w:pPr>
          </w:p>
        </w:tc>
      </w:tr>
      <w:tr w14:paraId="33E5890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F238DD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626238C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航标灯</w:t>
            </w:r>
          </w:p>
        </w:tc>
        <w:tc>
          <w:tcPr>
            <w:tcW w:w="647" w:type="dxa"/>
            <w:tcBorders>
              <w:top w:val="single" w:color="auto" w:sz="4" w:space="0"/>
              <w:left w:val="nil"/>
              <w:bottom w:val="single" w:color="auto" w:sz="4" w:space="0"/>
              <w:right w:val="single" w:color="auto" w:sz="4" w:space="0"/>
            </w:tcBorders>
            <w:vAlign w:val="center"/>
          </w:tcPr>
          <w:p w14:paraId="2264AD1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处</w:t>
            </w:r>
          </w:p>
        </w:tc>
        <w:tc>
          <w:tcPr>
            <w:tcW w:w="878" w:type="dxa"/>
            <w:tcBorders>
              <w:top w:val="single" w:color="auto" w:sz="4" w:space="0"/>
              <w:left w:val="nil"/>
              <w:bottom w:val="single" w:color="auto" w:sz="4" w:space="0"/>
              <w:right w:val="single" w:color="auto" w:sz="4" w:space="0"/>
            </w:tcBorders>
            <w:vAlign w:val="center"/>
          </w:tcPr>
          <w:p w14:paraId="44EEEE5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A08485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7CE3EEC">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423C84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通航要求</w:t>
            </w:r>
          </w:p>
        </w:tc>
      </w:tr>
      <w:tr w14:paraId="0C732F7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3CE7B8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09D6FD1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其他安全标志</w:t>
            </w:r>
          </w:p>
        </w:tc>
        <w:tc>
          <w:tcPr>
            <w:tcW w:w="647" w:type="dxa"/>
            <w:tcBorders>
              <w:top w:val="single" w:color="auto" w:sz="4" w:space="0"/>
              <w:left w:val="nil"/>
              <w:bottom w:val="single" w:color="auto" w:sz="4" w:space="0"/>
              <w:right w:val="single" w:color="auto" w:sz="4" w:space="0"/>
            </w:tcBorders>
            <w:vAlign w:val="center"/>
          </w:tcPr>
          <w:p w14:paraId="3A6A5E8E">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2264EB8">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6EE9A54">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7E3DF09">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805CF6A">
            <w:pPr>
              <w:autoSpaceDN w:val="0"/>
              <w:spacing w:line="300" w:lineRule="exact"/>
              <w:ind w:left="-53" w:leftChars="-25" w:right="-53" w:rightChars="-25"/>
              <w:jc w:val="center"/>
              <w:rPr>
                <w:rFonts w:ascii="仿宋" w:hAnsi="仿宋" w:eastAsia="仿宋" w:cs="仿宋"/>
                <w:b/>
                <w:bCs/>
                <w:color w:val="auto"/>
                <w:szCs w:val="21"/>
                <w:highlight w:val="none"/>
              </w:rPr>
            </w:pPr>
          </w:p>
        </w:tc>
      </w:tr>
      <w:tr w14:paraId="1194843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9391A18">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（九）</w:t>
            </w:r>
          </w:p>
        </w:tc>
        <w:tc>
          <w:tcPr>
            <w:tcW w:w="2162" w:type="dxa"/>
            <w:tcBorders>
              <w:top w:val="single" w:color="auto" w:sz="4" w:space="0"/>
              <w:left w:val="nil"/>
              <w:bottom w:val="single" w:color="auto" w:sz="4" w:space="0"/>
              <w:right w:val="single" w:color="auto" w:sz="4" w:space="0"/>
            </w:tcBorders>
            <w:vAlign w:val="center"/>
          </w:tcPr>
          <w:p w14:paraId="359AC8A0">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安全专项检测</w:t>
            </w:r>
          </w:p>
        </w:tc>
        <w:tc>
          <w:tcPr>
            <w:tcW w:w="647" w:type="dxa"/>
            <w:tcBorders>
              <w:top w:val="single" w:color="auto" w:sz="4" w:space="0"/>
              <w:left w:val="nil"/>
              <w:bottom w:val="single" w:color="auto" w:sz="4" w:space="0"/>
              <w:right w:val="single" w:color="auto" w:sz="4" w:space="0"/>
            </w:tcBorders>
            <w:vAlign w:val="center"/>
          </w:tcPr>
          <w:p w14:paraId="33F5203B">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E0E3D20">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222AFD">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B0BEA54">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1FF847E">
            <w:pPr>
              <w:autoSpaceDN w:val="0"/>
              <w:spacing w:line="300" w:lineRule="exact"/>
              <w:ind w:left="-53" w:leftChars="-25" w:right="-53" w:rightChars="-25"/>
              <w:jc w:val="center"/>
              <w:rPr>
                <w:rFonts w:ascii="仿宋" w:hAnsi="仿宋" w:eastAsia="仿宋" w:cs="仿宋"/>
                <w:b/>
                <w:bCs/>
                <w:color w:val="auto"/>
                <w:szCs w:val="21"/>
                <w:highlight w:val="none"/>
              </w:rPr>
            </w:pPr>
          </w:p>
        </w:tc>
      </w:tr>
      <w:tr w14:paraId="70DD9B1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BF7173C">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19F6A9A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起重机械检测费</w:t>
            </w:r>
          </w:p>
        </w:tc>
        <w:tc>
          <w:tcPr>
            <w:tcW w:w="647" w:type="dxa"/>
            <w:tcBorders>
              <w:top w:val="single" w:color="auto" w:sz="4" w:space="0"/>
              <w:left w:val="nil"/>
              <w:bottom w:val="single" w:color="auto" w:sz="4" w:space="0"/>
              <w:right w:val="single" w:color="auto" w:sz="4" w:space="0"/>
            </w:tcBorders>
            <w:vAlign w:val="center"/>
          </w:tcPr>
          <w:p w14:paraId="6AA979A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4360750">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91C94C9">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B965020">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675D96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塔吊、升降机等</w:t>
            </w:r>
          </w:p>
        </w:tc>
      </w:tr>
      <w:tr w14:paraId="3A8127C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AD70E3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17890E79">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钢管、扣件检测费</w:t>
            </w:r>
          </w:p>
        </w:tc>
        <w:tc>
          <w:tcPr>
            <w:tcW w:w="647" w:type="dxa"/>
            <w:tcBorders>
              <w:top w:val="single" w:color="auto" w:sz="4" w:space="0"/>
              <w:left w:val="nil"/>
              <w:bottom w:val="single" w:color="auto" w:sz="4" w:space="0"/>
              <w:right w:val="single" w:color="auto" w:sz="4" w:space="0"/>
            </w:tcBorders>
            <w:vAlign w:val="center"/>
          </w:tcPr>
          <w:p w14:paraId="504CA1A9">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B92BE6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F7E9F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C3F2AC9">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F388A46">
            <w:pPr>
              <w:autoSpaceDN w:val="0"/>
              <w:spacing w:line="300" w:lineRule="exact"/>
              <w:ind w:left="-53" w:leftChars="-25" w:right="-53" w:rightChars="-25"/>
              <w:jc w:val="center"/>
              <w:rPr>
                <w:rFonts w:ascii="仿宋" w:hAnsi="仿宋" w:eastAsia="仿宋" w:cs="仿宋"/>
                <w:color w:val="auto"/>
                <w:szCs w:val="21"/>
                <w:highlight w:val="none"/>
              </w:rPr>
            </w:pPr>
          </w:p>
        </w:tc>
      </w:tr>
      <w:tr w14:paraId="6AEFD5E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809AB5C">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7CC6F7A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高处作业吊篮检测费</w:t>
            </w:r>
          </w:p>
        </w:tc>
        <w:tc>
          <w:tcPr>
            <w:tcW w:w="647" w:type="dxa"/>
            <w:tcBorders>
              <w:top w:val="single" w:color="auto" w:sz="4" w:space="0"/>
              <w:left w:val="nil"/>
              <w:bottom w:val="single" w:color="auto" w:sz="4" w:space="0"/>
              <w:right w:val="single" w:color="auto" w:sz="4" w:space="0"/>
            </w:tcBorders>
            <w:vAlign w:val="center"/>
          </w:tcPr>
          <w:p w14:paraId="1A79623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544A1687">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AB4327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ACD88B0">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6CD2725">
            <w:pPr>
              <w:autoSpaceDN w:val="0"/>
              <w:spacing w:line="300" w:lineRule="exact"/>
              <w:ind w:left="-53" w:leftChars="-25" w:right="-53" w:rightChars="-25"/>
              <w:jc w:val="center"/>
              <w:rPr>
                <w:rFonts w:ascii="仿宋" w:hAnsi="仿宋" w:eastAsia="仿宋" w:cs="仿宋"/>
                <w:color w:val="auto"/>
                <w:szCs w:val="21"/>
                <w:highlight w:val="none"/>
              </w:rPr>
            </w:pPr>
          </w:p>
        </w:tc>
      </w:tr>
      <w:tr w14:paraId="461D5C1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AA1F40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20A2B1A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防坠器专项检测费</w:t>
            </w:r>
          </w:p>
        </w:tc>
        <w:tc>
          <w:tcPr>
            <w:tcW w:w="647" w:type="dxa"/>
            <w:tcBorders>
              <w:top w:val="single" w:color="auto" w:sz="4" w:space="0"/>
              <w:left w:val="nil"/>
              <w:bottom w:val="single" w:color="auto" w:sz="4" w:space="0"/>
              <w:right w:val="single" w:color="auto" w:sz="4" w:space="0"/>
            </w:tcBorders>
            <w:vAlign w:val="center"/>
          </w:tcPr>
          <w:p w14:paraId="5D41D40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3A5840D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AEF917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7B993E8">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712B1AA">
            <w:pPr>
              <w:autoSpaceDN w:val="0"/>
              <w:spacing w:line="300" w:lineRule="exact"/>
              <w:ind w:left="-53" w:leftChars="-25" w:right="-53" w:rightChars="-25"/>
              <w:jc w:val="center"/>
              <w:rPr>
                <w:rFonts w:ascii="仿宋" w:hAnsi="仿宋" w:eastAsia="仿宋" w:cs="仿宋"/>
                <w:color w:val="auto"/>
                <w:szCs w:val="21"/>
                <w:highlight w:val="none"/>
              </w:rPr>
            </w:pPr>
          </w:p>
        </w:tc>
      </w:tr>
      <w:tr w14:paraId="16021FD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009B6E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140C50B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其他安全检测</w:t>
            </w:r>
          </w:p>
        </w:tc>
        <w:tc>
          <w:tcPr>
            <w:tcW w:w="647" w:type="dxa"/>
            <w:tcBorders>
              <w:top w:val="single" w:color="auto" w:sz="4" w:space="0"/>
              <w:left w:val="nil"/>
              <w:bottom w:val="single" w:color="auto" w:sz="4" w:space="0"/>
              <w:right w:val="single" w:color="auto" w:sz="4" w:space="0"/>
            </w:tcBorders>
            <w:vAlign w:val="center"/>
          </w:tcPr>
          <w:p w14:paraId="698B6F2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489B1E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FB07FB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0FA22D">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2525AC4">
            <w:pPr>
              <w:autoSpaceDN w:val="0"/>
              <w:spacing w:line="300" w:lineRule="exact"/>
              <w:ind w:left="-53" w:leftChars="-25" w:right="-53" w:rightChars="-25"/>
              <w:jc w:val="center"/>
              <w:rPr>
                <w:rFonts w:ascii="仿宋" w:hAnsi="仿宋" w:eastAsia="仿宋" w:cs="仿宋"/>
                <w:color w:val="auto"/>
                <w:szCs w:val="21"/>
                <w:highlight w:val="none"/>
              </w:rPr>
            </w:pPr>
          </w:p>
        </w:tc>
      </w:tr>
      <w:tr w14:paraId="56F473E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C10B4B5">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EBA4DF7">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智慧工地</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4AF6ED0">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5C292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01F0B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945920">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47CF18">
            <w:pPr>
              <w:autoSpaceDN w:val="0"/>
              <w:spacing w:line="300" w:lineRule="exact"/>
              <w:ind w:left="-53" w:leftChars="-25" w:right="-53" w:rightChars="-25"/>
              <w:jc w:val="center"/>
              <w:rPr>
                <w:rFonts w:ascii="仿宋" w:hAnsi="仿宋" w:eastAsia="仿宋" w:cs="仿宋"/>
                <w:color w:val="auto"/>
                <w:szCs w:val="21"/>
                <w:highlight w:val="none"/>
              </w:rPr>
            </w:pPr>
          </w:p>
        </w:tc>
      </w:tr>
      <w:tr w14:paraId="7396588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C73D163">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747DBB5">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实名制信息采集及考勤设备、软件及管理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8FD624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9CCADD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DBFA7D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B98FFE">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8F084AA">
            <w:pPr>
              <w:autoSpaceDN w:val="0"/>
              <w:spacing w:line="300" w:lineRule="exact"/>
              <w:ind w:left="-53" w:leftChars="-25" w:right="-53" w:rightChars="-25"/>
              <w:jc w:val="center"/>
              <w:rPr>
                <w:rFonts w:ascii="仿宋" w:hAnsi="仿宋" w:eastAsia="仿宋" w:cs="仿宋"/>
                <w:color w:val="auto"/>
                <w:szCs w:val="21"/>
                <w:highlight w:val="none"/>
              </w:rPr>
            </w:pPr>
          </w:p>
        </w:tc>
      </w:tr>
      <w:tr w14:paraId="27F2974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9C16F0A">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011481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扬尘在线视频监测设备、软件及管理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2F113E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580FE2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A15331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D788CE8">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3430B50">
            <w:pPr>
              <w:autoSpaceDN w:val="0"/>
              <w:spacing w:line="300" w:lineRule="exact"/>
              <w:ind w:left="-53" w:leftChars="-25" w:right="-53" w:rightChars="-25"/>
              <w:jc w:val="center"/>
              <w:rPr>
                <w:rFonts w:ascii="仿宋" w:hAnsi="仿宋" w:eastAsia="仿宋" w:cs="仿宋"/>
                <w:color w:val="auto"/>
                <w:szCs w:val="21"/>
                <w:highlight w:val="none"/>
              </w:rPr>
            </w:pPr>
          </w:p>
        </w:tc>
      </w:tr>
      <w:tr w14:paraId="5651D87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A0EA03E">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18E3909">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远程高清视频监控设备、软件及管理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A0F467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3FD873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8CBC5B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1EE10A5">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BF1A282">
            <w:pPr>
              <w:autoSpaceDN w:val="0"/>
              <w:spacing w:line="300" w:lineRule="exact"/>
              <w:ind w:left="-53" w:leftChars="-25" w:right="-53" w:rightChars="-25"/>
              <w:jc w:val="center"/>
              <w:rPr>
                <w:rFonts w:ascii="仿宋" w:hAnsi="仿宋" w:eastAsia="仿宋" w:cs="仿宋"/>
                <w:color w:val="auto"/>
                <w:szCs w:val="21"/>
                <w:highlight w:val="none"/>
              </w:rPr>
            </w:pPr>
          </w:p>
        </w:tc>
      </w:tr>
      <w:tr w14:paraId="3F5E6CB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165B3A8">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48E119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起重机械安全监控设备、软件及管理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74A2C5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E1DCE30">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A65A60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3BE1AE">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45301C3">
            <w:pPr>
              <w:autoSpaceDN w:val="0"/>
              <w:spacing w:line="300" w:lineRule="exact"/>
              <w:ind w:left="-53" w:leftChars="-25" w:right="-53" w:rightChars="-25"/>
              <w:jc w:val="center"/>
              <w:rPr>
                <w:rFonts w:ascii="仿宋" w:hAnsi="仿宋" w:eastAsia="仿宋" w:cs="仿宋"/>
                <w:color w:val="auto"/>
                <w:szCs w:val="21"/>
                <w:highlight w:val="none"/>
              </w:rPr>
            </w:pPr>
          </w:p>
        </w:tc>
      </w:tr>
      <w:tr w14:paraId="5B5C421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78D4C16">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00A087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其他管理设施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EA7424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C461F1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9DBA38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82D2EF8">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5C83E2B">
            <w:pPr>
              <w:autoSpaceDN w:val="0"/>
              <w:spacing w:line="300" w:lineRule="exact"/>
              <w:ind w:left="-53" w:leftChars="-25" w:right="-53" w:rightChars="-25"/>
              <w:jc w:val="center"/>
              <w:rPr>
                <w:rFonts w:ascii="仿宋" w:hAnsi="仿宋" w:eastAsia="仿宋" w:cs="仿宋"/>
                <w:color w:val="auto"/>
                <w:szCs w:val="21"/>
                <w:highlight w:val="none"/>
              </w:rPr>
            </w:pPr>
          </w:p>
        </w:tc>
      </w:tr>
      <w:tr w14:paraId="363B959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73D2B83">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C515C31">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安全教育培训</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61D4B6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04482A7">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C19040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3177341">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79F2BC8">
            <w:pPr>
              <w:autoSpaceDN w:val="0"/>
              <w:spacing w:line="300" w:lineRule="exact"/>
              <w:ind w:left="-53" w:leftChars="-25" w:right="-53" w:rightChars="-25"/>
              <w:jc w:val="center"/>
              <w:rPr>
                <w:rFonts w:ascii="仿宋" w:hAnsi="仿宋" w:eastAsia="仿宋" w:cs="仿宋"/>
                <w:color w:val="auto"/>
                <w:szCs w:val="21"/>
                <w:highlight w:val="none"/>
              </w:rPr>
            </w:pPr>
          </w:p>
        </w:tc>
      </w:tr>
      <w:tr w14:paraId="756F71F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D88568D">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5F52731">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现场安全保卫</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280D9E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A08BC00">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DF672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3CA1A1">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CD2BFFF">
            <w:pPr>
              <w:autoSpaceDN w:val="0"/>
              <w:spacing w:line="300" w:lineRule="exact"/>
              <w:ind w:left="-53" w:leftChars="-25" w:right="-53" w:rightChars="-25"/>
              <w:jc w:val="center"/>
              <w:rPr>
                <w:rFonts w:ascii="仿宋" w:hAnsi="仿宋" w:eastAsia="仿宋" w:cs="仿宋"/>
                <w:color w:val="auto"/>
                <w:szCs w:val="21"/>
                <w:highlight w:val="none"/>
              </w:rPr>
            </w:pPr>
          </w:p>
        </w:tc>
      </w:tr>
      <w:tr w14:paraId="4EDE030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EC99C3E">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99A8D19">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其他安全施工措施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21A7FE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CB4BE46">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478F81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47455D">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903CC31">
            <w:pPr>
              <w:autoSpaceDN w:val="0"/>
              <w:spacing w:line="300" w:lineRule="exact"/>
              <w:ind w:left="-53" w:leftChars="-25" w:right="-53" w:rightChars="-25"/>
              <w:jc w:val="center"/>
              <w:rPr>
                <w:rFonts w:ascii="仿宋" w:hAnsi="仿宋" w:eastAsia="仿宋" w:cs="仿宋"/>
                <w:color w:val="auto"/>
                <w:szCs w:val="21"/>
                <w:highlight w:val="none"/>
              </w:rPr>
            </w:pPr>
          </w:p>
        </w:tc>
      </w:tr>
      <w:tr w14:paraId="7EF9FB6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D2AF589">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AC2C5D9">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文明施工措施项目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FB8855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7B7662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0B245A0">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C292503">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73B3D65">
            <w:pPr>
              <w:autoSpaceDN w:val="0"/>
              <w:spacing w:line="300" w:lineRule="exact"/>
              <w:ind w:left="-53" w:leftChars="-25" w:right="-53" w:rightChars="-25"/>
              <w:jc w:val="center"/>
              <w:rPr>
                <w:rFonts w:ascii="仿宋" w:hAnsi="仿宋" w:eastAsia="仿宋" w:cs="仿宋"/>
                <w:color w:val="auto"/>
                <w:szCs w:val="21"/>
                <w:highlight w:val="none"/>
              </w:rPr>
            </w:pPr>
          </w:p>
        </w:tc>
      </w:tr>
      <w:tr w14:paraId="74C3775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0C8B52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093181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围墙</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F5AB94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B83687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04BF7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61AF18E">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2F2CF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按标准设置</w:t>
            </w:r>
          </w:p>
        </w:tc>
      </w:tr>
      <w:tr w14:paraId="493B5C6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83A324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18FC86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大门、门楼</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D81538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131D34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71F1516">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8D317D7">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34D08E">
            <w:pPr>
              <w:autoSpaceDN w:val="0"/>
              <w:spacing w:line="300" w:lineRule="exact"/>
              <w:ind w:left="-53" w:leftChars="-25" w:right="-53" w:rightChars="-25"/>
              <w:jc w:val="center"/>
              <w:rPr>
                <w:rFonts w:ascii="仿宋" w:hAnsi="仿宋" w:eastAsia="仿宋" w:cs="仿宋"/>
                <w:color w:val="auto"/>
                <w:szCs w:val="21"/>
                <w:highlight w:val="none"/>
              </w:rPr>
            </w:pPr>
          </w:p>
        </w:tc>
      </w:tr>
      <w:tr w14:paraId="2D634C9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D9E164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9B8912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标牌</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23FAB3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2AA6EB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34927E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A16652B">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669BC93">
            <w:pPr>
              <w:autoSpaceDN w:val="0"/>
              <w:spacing w:line="300" w:lineRule="exact"/>
              <w:ind w:left="-53" w:leftChars="-25" w:right="-53" w:rightChars="-25"/>
              <w:jc w:val="center"/>
              <w:rPr>
                <w:rFonts w:ascii="仿宋" w:hAnsi="仿宋" w:eastAsia="仿宋" w:cs="仿宋"/>
                <w:color w:val="auto"/>
                <w:szCs w:val="21"/>
                <w:highlight w:val="none"/>
              </w:rPr>
            </w:pPr>
          </w:p>
        </w:tc>
      </w:tr>
      <w:tr w14:paraId="59B06EB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CE4F81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4289365">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效果图</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5095EA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B60D51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7EF6FF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8786532">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976632">
            <w:pPr>
              <w:autoSpaceDN w:val="0"/>
              <w:spacing w:line="300" w:lineRule="exact"/>
              <w:ind w:left="-53" w:leftChars="-25" w:right="-53" w:rightChars="-25"/>
              <w:jc w:val="center"/>
              <w:rPr>
                <w:rFonts w:ascii="仿宋" w:hAnsi="仿宋" w:eastAsia="仿宋" w:cs="仿宋"/>
                <w:color w:val="auto"/>
                <w:szCs w:val="21"/>
                <w:highlight w:val="none"/>
              </w:rPr>
            </w:pPr>
          </w:p>
        </w:tc>
      </w:tr>
      <w:tr w14:paraId="4925C5C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80E9E0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2947B5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彩钢板围档</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3F01ED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46C5796">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420473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6EDF749">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AD1C90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按标准设置</w:t>
            </w:r>
          </w:p>
        </w:tc>
      </w:tr>
      <w:tr w14:paraId="64B9E77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4D8062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D415A5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地坪硬化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9DC768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A91C46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403A2F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1AE5AD">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6A18D85">
            <w:pPr>
              <w:autoSpaceDN w:val="0"/>
              <w:spacing w:line="300" w:lineRule="exact"/>
              <w:ind w:left="-53" w:leftChars="-25" w:right="-53" w:rightChars="-25"/>
              <w:jc w:val="center"/>
              <w:rPr>
                <w:rFonts w:ascii="仿宋" w:hAnsi="仿宋" w:eastAsia="仿宋" w:cs="仿宋"/>
                <w:color w:val="auto"/>
                <w:szCs w:val="21"/>
                <w:highlight w:val="none"/>
              </w:rPr>
            </w:pPr>
          </w:p>
        </w:tc>
      </w:tr>
      <w:tr w14:paraId="798D17F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51A6DC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B5C017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其他文明施工措施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665A330">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9CE00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7D900C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5F6CCB4">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B284708">
            <w:pPr>
              <w:autoSpaceDN w:val="0"/>
              <w:spacing w:line="300" w:lineRule="exact"/>
              <w:ind w:left="-53" w:leftChars="-25" w:right="-53" w:rightChars="-25"/>
              <w:jc w:val="center"/>
              <w:rPr>
                <w:rFonts w:ascii="仿宋" w:hAnsi="仿宋" w:eastAsia="仿宋" w:cs="仿宋"/>
                <w:color w:val="auto"/>
                <w:szCs w:val="21"/>
                <w:highlight w:val="none"/>
              </w:rPr>
            </w:pPr>
          </w:p>
        </w:tc>
      </w:tr>
      <w:tr w14:paraId="2046454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C44C6A0">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93DA3B0">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环境保护措施项目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185AF0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099B3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A13BCA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2D1B1F">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C801B6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含扬尘污染防治措施</w:t>
            </w:r>
          </w:p>
        </w:tc>
      </w:tr>
      <w:tr w14:paraId="446ABC6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17D87C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A43B03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现场绿化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AD2C4D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566EFE0">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319F7F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ED688B">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73FB0D4">
            <w:pPr>
              <w:autoSpaceDN w:val="0"/>
              <w:spacing w:line="300" w:lineRule="exact"/>
              <w:ind w:left="-53" w:leftChars="-25" w:right="-53" w:rightChars="-25"/>
              <w:jc w:val="center"/>
              <w:rPr>
                <w:rFonts w:ascii="仿宋" w:hAnsi="仿宋" w:eastAsia="仿宋" w:cs="仿宋"/>
                <w:color w:val="auto"/>
                <w:szCs w:val="21"/>
                <w:highlight w:val="none"/>
              </w:rPr>
            </w:pPr>
          </w:p>
        </w:tc>
      </w:tr>
      <w:tr w14:paraId="41E0647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BAA636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3718005">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防尘网布</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33CE1E5">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73BD9E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7145EA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D5B617B">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921619A">
            <w:pPr>
              <w:autoSpaceDN w:val="0"/>
              <w:spacing w:line="300" w:lineRule="exact"/>
              <w:ind w:left="-53" w:leftChars="-25" w:right="-53" w:rightChars="-25"/>
              <w:jc w:val="center"/>
              <w:rPr>
                <w:rFonts w:ascii="仿宋" w:hAnsi="仿宋" w:eastAsia="仿宋" w:cs="仿宋"/>
                <w:color w:val="auto"/>
                <w:szCs w:val="21"/>
                <w:highlight w:val="none"/>
              </w:rPr>
            </w:pPr>
          </w:p>
        </w:tc>
      </w:tr>
      <w:tr w14:paraId="3876E55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748CB8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01F20EC">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车辆冲洗设施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B8CEA7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E329C0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176CFD9">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D4AF76">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D1FAEC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含洗车槽、自动冲洗或</w:t>
            </w:r>
          </w:p>
          <w:p w14:paraId="397F773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其他冲洗设备等</w:t>
            </w:r>
          </w:p>
        </w:tc>
      </w:tr>
      <w:tr w14:paraId="754D19D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DD3960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4A9BAF9">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喷淋设施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C75253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6DC9E7">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D707AF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9581405">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A4682F2">
            <w:pPr>
              <w:autoSpaceDN w:val="0"/>
              <w:spacing w:line="300" w:lineRule="exact"/>
              <w:ind w:left="-53" w:leftChars="-25" w:right="-53" w:rightChars="-25"/>
              <w:jc w:val="center"/>
              <w:rPr>
                <w:rFonts w:ascii="仿宋" w:hAnsi="仿宋" w:eastAsia="仿宋" w:cs="仿宋"/>
                <w:color w:val="auto"/>
                <w:szCs w:val="21"/>
                <w:highlight w:val="none"/>
              </w:rPr>
            </w:pPr>
          </w:p>
        </w:tc>
      </w:tr>
      <w:tr w14:paraId="15F6963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4DC8F9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8AC832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塔吊喷淋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E7787F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20E9B5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CF266C6">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96B205">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2EEB3D9">
            <w:pPr>
              <w:autoSpaceDN w:val="0"/>
              <w:spacing w:line="300" w:lineRule="exact"/>
              <w:ind w:left="-53" w:leftChars="-25" w:right="-53" w:rightChars="-25"/>
              <w:jc w:val="center"/>
              <w:rPr>
                <w:rFonts w:ascii="仿宋" w:hAnsi="仿宋" w:eastAsia="仿宋" w:cs="仿宋"/>
                <w:color w:val="auto"/>
                <w:szCs w:val="21"/>
                <w:highlight w:val="none"/>
              </w:rPr>
            </w:pPr>
          </w:p>
        </w:tc>
      </w:tr>
      <w:tr w14:paraId="090E061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EA9B6C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BC242B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外架喷淋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03C59F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1BBB519">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637493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2394B70">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5A4F116">
            <w:pPr>
              <w:autoSpaceDN w:val="0"/>
              <w:spacing w:line="300" w:lineRule="exact"/>
              <w:ind w:left="-53" w:leftChars="-25" w:right="-53" w:rightChars="-25"/>
              <w:jc w:val="center"/>
              <w:rPr>
                <w:rFonts w:ascii="仿宋" w:hAnsi="仿宋" w:eastAsia="仿宋" w:cs="仿宋"/>
                <w:color w:val="auto"/>
                <w:szCs w:val="21"/>
                <w:highlight w:val="none"/>
              </w:rPr>
            </w:pPr>
          </w:p>
        </w:tc>
      </w:tr>
      <w:tr w14:paraId="5593098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BEE8A6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5B7349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场地喷淋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53292F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04BD50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87A376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AD7D9E4">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0B19DD7">
            <w:pPr>
              <w:autoSpaceDN w:val="0"/>
              <w:spacing w:line="300" w:lineRule="exact"/>
              <w:ind w:left="-53" w:leftChars="-25" w:right="-53" w:rightChars="-25"/>
              <w:jc w:val="center"/>
              <w:rPr>
                <w:rFonts w:ascii="仿宋" w:hAnsi="仿宋" w:eastAsia="仿宋" w:cs="仿宋"/>
                <w:color w:val="auto"/>
                <w:szCs w:val="21"/>
                <w:highlight w:val="none"/>
              </w:rPr>
            </w:pPr>
          </w:p>
        </w:tc>
      </w:tr>
      <w:tr w14:paraId="3F2D197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3C9AAF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96FFD8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防尘雾炮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E0CC63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E55A0E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09360D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E86ECF">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C49FF97">
            <w:pPr>
              <w:autoSpaceDN w:val="0"/>
              <w:spacing w:line="300" w:lineRule="exact"/>
              <w:ind w:left="-53" w:leftChars="-25" w:right="-53" w:rightChars="-25"/>
              <w:jc w:val="center"/>
              <w:rPr>
                <w:rFonts w:ascii="仿宋" w:hAnsi="仿宋" w:eastAsia="仿宋" w:cs="仿宋"/>
                <w:color w:val="auto"/>
                <w:szCs w:val="21"/>
                <w:highlight w:val="none"/>
              </w:rPr>
            </w:pPr>
          </w:p>
        </w:tc>
      </w:tr>
      <w:tr w14:paraId="7855D8F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A42246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496A28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其他扬尘控制费用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954AA5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44C4E9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4CCF54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9326C6">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0E31FEE">
            <w:pPr>
              <w:autoSpaceDN w:val="0"/>
              <w:spacing w:line="300" w:lineRule="exact"/>
              <w:ind w:left="-53" w:leftChars="-25" w:right="-53" w:rightChars="-25"/>
              <w:jc w:val="center"/>
              <w:rPr>
                <w:rFonts w:ascii="仿宋" w:hAnsi="仿宋" w:eastAsia="仿宋" w:cs="仿宋"/>
                <w:color w:val="auto"/>
                <w:szCs w:val="21"/>
                <w:highlight w:val="none"/>
              </w:rPr>
            </w:pPr>
          </w:p>
        </w:tc>
      </w:tr>
      <w:tr w14:paraId="2125514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2DF13D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A7BD0B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噪声控制费用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8BD169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E4AB05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879C3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946A02">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F1A409">
            <w:pPr>
              <w:autoSpaceDN w:val="0"/>
              <w:spacing w:line="300" w:lineRule="exact"/>
              <w:ind w:left="-53" w:leftChars="-25" w:right="-53" w:rightChars="-25"/>
              <w:jc w:val="center"/>
              <w:rPr>
                <w:rFonts w:ascii="仿宋" w:hAnsi="仿宋" w:eastAsia="仿宋" w:cs="仿宋"/>
                <w:color w:val="auto"/>
                <w:szCs w:val="21"/>
                <w:highlight w:val="none"/>
              </w:rPr>
            </w:pPr>
          </w:p>
        </w:tc>
      </w:tr>
      <w:tr w14:paraId="40B0B89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CC801E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C67FAB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污水处理费用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A0DEE1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38EF7C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185757">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196DC0F">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0A230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特殊工程要求</w:t>
            </w:r>
          </w:p>
        </w:tc>
      </w:tr>
      <w:tr w14:paraId="2712C14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5EE1D0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EFA7DD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车辆密封费用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7ACE19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70EDF0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A0959E0">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AAB122">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22B760C">
            <w:pPr>
              <w:autoSpaceDN w:val="0"/>
              <w:spacing w:line="300" w:lineRule="exact"/>
              <w:ind w:left="-53" w:leftChars="-25" w:right="-53" w:rightChars="-25"/>
              <w:jc w:val="center"/>
              <w:rPr>
                <w:rFonts w:ascii="仿宋" w:hAnsi="仿宋" w:eastAsia="仿宋" w:cs="仿宋"/>
                <w:color w:val="auto"/>
                <w:szCs w:val="21"/>
                <w:highlight w:val="none"/>
              </w:rPr>
            </w:pPr>
          </w:p>
        </w:tc>
      </w:tr>
      <w:tr w14:paraId="04C7A26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8C5C56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6380F2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工地食堂油烟净化设备</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D077FB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43752B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A743297">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78F9A5D">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01FB2F4">
            <w:pPr>
              <w:autoSpaceDN w:val="0"/>
              <w:spacing w:line="300" w:lineRule="exact"/>
              <w:ind w:left="-53" w:leftChars="-25" w:right="-53" w:rightChars="-25"/>
              <w:jc w:val="center"/>
              <w:rPr>
                <w:rFonts w:ascii="仿宋" w:hAnsi="仿宋" w:eastAsia="仿宋" w:cs="仿宋"/>
                <w:color w:val="auto"/>
                <w:szCs w:val="21"/>
                <w:highlight w:val="none"/>
              </w:rPr>
            </w:pPr>
          </w:p>
        </w:tc>
      </w:tr>
      <w:tr w14:paraId="27B9143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631AC3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649736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其他环境保护措施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BA0F14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2D259E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F031C1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D36DE4">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AE52AB9">
            <w:pPr>
              <w:autoSpaceDN w:val="0"/>
              <w:spacing w:line="300" w:lineRule="exact"/>
              <w:ind w:left="-53" w:leftChars="-25" w:right="-53" w:rightChars="-25"/>
              <w:jc w:val="center"/>
              <w:rPr>
                <w:rFonts w:ascii="仿宋" w:hAnsi="仿宋" w:eastAsia="仿宋" w:cs="仿宋"/>
                <w:color w:val="auto"/>
                <w:szCs w:val="21"/>
                <w:highlight w:val="none"/>
              </w:rPr>
            </w:pPr>
          </w:p>
        </w:tc>
      </w:tr>
      <w:tr w14:paraId="1BFC890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2743776">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B407CDA">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临时设施措施项目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CA8EF8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3A75DD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1C682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F406A0">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0C23A8D">
            <w:pPr>
              <w:autoSpaceDN w:val="0"/>
              <w:spacing w:line="300" w:lineRule="exact"/>
              <w:ind w:left="-53" w:leftChars="-25" w:right="-53" w:rightChars="-25"/>
              <w:jc w:val="center"/>
              <w:rPr>
                <w:rFonts w:ascii="仿宋" w:hAnsi="仿宋" w:eastAsia="仿宋" w:cs="仿宋"/>
                <w:color w:val="auto"/>
                <w:szCs w:val="21"/>
                <w:highlight w:val="none"/>
              </w:rPr>
            </w:pPr>
          </w:p>
        </w:tc>
      </w:tr>
      <w:tr w14:paraId="6CE8E59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171E5D3">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7016B62">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办公用房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DAADD2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8B871A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D0A8A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1C4AE77">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A67DF3E">
            <w:pPr>
              <w:autoSpaceDN w:val="0"/>
              <w:spacing w:line="300" w:lineRule="exact"/>
              <w:ind w:left="-53" w:leftChars="-25" w:right="-53" w:rightChars="-25"/>
              <w:jc w:val="center"/>
              <w:rPr>
                <w:rFonts w:ascii="仿宋" w:hAnsi="仿宋" w:eastAsia="仿宋" w:cs="仿宋"/>
                <w:color w:val="auto"/>
                <w:szCs w:val="21"/>
                <w:highlight w:val="none"/>
              </w:rPr>
            </w:pPr>
          </w:p>
        </w:tc>
      </w:tr>
      <w:tr w14:paraId="1EE3D26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ECBC0CE">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9090D7D">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生活用房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E2037A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6F75E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E0A42C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D3A7E9F">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40BFF5E">
            <w:pPr>
              <w:autoSpaceDN w:val="0"/>
              <w:spacing w:line="300" w:lineRule="exact"/>
              <w:ind w:left="-53" w:leftChars="-25" w:right="-53" w:rightChars="-25"/>
              <w:jc w:val="center"/>
              <w:rPr>
                <w:rFonts w:ascii="仿宋" w:hAnsi="仿宋" w:eastAsia="仿宋" w:cs="仿宋"/>
                <w:color w:val="auto"/>
                <w:szCs w:val="21"/>
                <w:highlight w:val="none"/>
              </w:rPr>
            </w:pPr>
          </w:p>
        </w:tc>
      </w:tr>
      <w:tr w14:paraId="7B29F5E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9BC4D45">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63C436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宿舍</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2B57BF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227CE8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A6E699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094C942">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0B6F124">
            <w:pPr>
              <w:autoSpaceDN w:val="0"/>
              <w:spacing w:line="300" w:lineRule="exact"/>
              <w:ind w:left="-53" w:leftChars="-25" w:right="-53" w:rightChars="-25"/>
              <w:jc w:val="center"/>
              <w:rPr>
                <w:rFonts w:ascii="仿宋" w:hAnsi="仿宋" w:eastAsia="仿宋" w:cs="仿宋"/>
                <w:color w:val="auto"/>
                <w:szCs w:val="21"/>
                <w:highlight w:val="none"/>
              </w:rPr>
            </w:pPr>
          </w:p>
        </w:tc>
      </w:tr>
      <w:tr w14:paraId="2DE5B03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03D471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9D2C26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食堂</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50F852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A318E3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04C6C2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EC7915D">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525981B">
            <w:pPr>
              <w:autoSpaceDN w:val="0"/>
              <w:spacing w:line="300" w:lineRule="exact"/>
              <w:ind w:left="-53" w:leftChars="-25" w:right="-53" w:rightChars="-25"/>
              <w:jc w:val="center"/>
              <w:rPr>
                <w:rFonts w:ascii="仿宋" w:hAnsi="仿宋" w:eastAsia="仿宋" w:cs="仿宋"/>
                <w:color w:val="auto"/>
                <w:szCs w:val="21"/>
                <w:highlight w:val="none"/>
              </w:rPr>
            </w:pPr>
          </w:p>
        </w:tc>
      </w:tr>
      <w:tr w14:paraId="172FB6E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1C87AE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D27235C">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厕所</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443A3BC">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302C99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82EB91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FA0AFD">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121B21D">
            <w:pPr>
              <w:autoSpaceDN w:val="0"/>
              <w:spacing w:line="300" w:lineRule="exact"/>
              <w:ind w:left="-53" w:leftChars="-25" w:right="-53" w:rightChars="-25"/>
              <w:jc w:val="center"/>
              <w:rPr>
                <w:rFonts w:ascii="仿宋" w:hAnsi="仿宋" w:eastAsia="仿宋" w:cs="仿宋"/>
                <w:color w:val="auto"/>
                <w:szCs w:val="21"/>
                <w:highlight w:val="none"/>
              </w:rPr>
            </w:pPr>
          </w:p>
        </w:tc>
      </w:tr>
      <w:tr w14:paraId="5CF494D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29B171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A191E8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浴室</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33C6F5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FAF7A8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468A9B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1C4BCE3">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FB5DF67">
            <w:pPr>
              <w:autoSpaceDN w:val="0"/>
              <w:spacing w:line="300" w:lineRule="exact"/>
              <w:ind w:left="-53" w:leftChars="-25" w:right="-53" w:rightChars="-25"/>
              <w:jc w:val="center"/>
              <w:rPr>
                <w:rFonts w:ascii="仿宋" w:hAnsi="仿宋" w:eastAsia="仿宋" w:cs="仿宋"/>
                <w:color w:val="auto"/>
                <w:szCs w:val="21"/>
                <w:highlight w:val="none"/>
              </w:rPr>
            </w:pPr>
          </w:p>
        </w:tc>
      </w:tr>
      <w:tr w14:paraId="18E8CE9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FE1015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7833A2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其他生活设施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E6374C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218C1D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513EB6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E0160F">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259121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休息场所、文化娱乐设施等</w:t>
            </w:r>
          </w:p>
        </w:tc>
      </w:tr>
      <w:tr w14:paraId="726825E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30FAE8D">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83E4060">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生产用房（仓库）</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D4878F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F6257D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B6E2AD6">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28637AB">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A540481">
            <w:pPr>
              <w:autoSpaceDN w:val="0"/>
              <w:spacing w:line="300" w:lineRule="exact"/>
              <w:ind w:left="-53" w:leftChars="-25" w:right="-53" w:rightChars="-25"/>
              <w:jc w:val="center"/>
              <w:rPr>
                <w:rFonts w:ascii="仿宋" w:hAnsi="仿宋" w:eastAsia="仿宋" w:cs="仿宋"/>
                <w:color w:val="auto"/>
                <w:szCs w:val="21"/>
                <w:highlight w:val="none"/>
              </w:rPr>
            </w:pPr>
          </w:p>
        </w:tc>
      </w:tr>
      <w:tr w14:paraId="6FC9228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2B33E87">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7763FA6">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B473007">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64F7035">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95E5B8">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D7E1F2F">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91A1F99">
            <w:pPr>
              <w:autoSpaceDN w:val="0"/>
              <w:spacing w:line="300" w:lineRule="exact"/>
              <w:ind w:left="-53" w:leftChars="-25" w:right="-53" w:rightChars="-25"/>
              <w:jc w:val="center"/>
              <w:rPr>
                <w:rFonts w:ascii="仿宋" w:hAnsi="仿宋" w:eastAsia="仿宋" w:cs="仿宋"/>
                <w:color w:val="auto"/>
                <w:szCs w:val="21"/>
                <w:highlight w:val="none"/>
              </w:rPr>
            </w:pPr>
          </w:p>
        </w:tc>
      </w:tr>
      <w:tr w14:paraId="7728B6E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C3BA44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C4F66B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总配电箱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80F5ED9">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CC747F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8D189D7">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9B7353">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E392C18">
            <w:pPr>
              <w:autoSpaceDN w:val="0"/>
              <w:spacing w:line="300" w:lineRule="exact"/>
              <w:ind w:left="-53" w:leftChars="-25" w:right="-53" w:rightChars="-25"/>
              <w:jc w:val="center"/>
              <w:rPr>
                <w:rFonts w:ascii="仿宋" w:hAnsi="仿宋" w:eastAsia="仿宋" w:cs="仿宋"/>
                <w:color w:val="auto"/>
                <w:szCs w:val="21"/>
                <w:highlight w:val="none"/>
              </w:rPr>
            </w:pPr>
          </w:p>
        </w:tc>
      </w:tr>
      <w:tr w14:paraId="34AD5C8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5C144B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9F5ECB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分配电箱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E05A42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AD8F29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5970F2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BBD1350">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690CD4">
            <w:pPr>
              <w:autoSpaceDN w:val="0"/>
              <w:spacing w:line="300" w:lineRule="exact"/>
              <w:ind w:left="-53" w:leftChars="-25" w:right="-53" w:rightChars="-25"/>
              <w:jc w:val="center"/>
              <w:rPr>
                <w:rFonts w:ascii="仿宋" w:hAnsi="仿宋" w:eastAsia="仿宋" w:cs="仿宋"/>
                <w:color w:val="auto"/>
                <w:szCs w:val="21"/>
                <w:highlight w:val="none"/>
              </w:rPr>
            </w:pPr>
          </w:p>
        </w:tc>
      </w:tr>
      <w:tr w14:paraId="6AE9F96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53FEF9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CC59C1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开关箱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C49FB6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2C0F98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D3D1E4A">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A03FED3">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FCC85D2">
            <w:pPr>
              <w:autoSpaceDN w:val="0"/>
              <w:spacing w:line="300" w:lineRule="exact"/>
              <w:ind w:left="-53" w:leftChars="-25" w:right="-53" w:rightChars="-25"/>
              <w:jc w:val="center"/>
              <w:rPr>
                <w:rFonts w:ascii="仿宋" w:hAnsi="仿宋" w:eastAsia="仿宋" w:cs="仿宋"/>
                <w:color w:val="auto"/>
                <w:szCs w:val="21"/>
                <w:highlight w:val="none"/>
              </w:rPr>
            </w:pPr>
          </w:p>
        </w:tc>
      </w:tr>
      <w:tr w14:paraId="15F9903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835EF6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E05D15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临时用电线路</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2E207F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56553C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0689D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E52A54D">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EB66BD7">
            <w:pPr>
              <w:autoSpaceDN w:val="0"/>
              <w:spacing w:line="300" w:lineRule="exact"/>
              <w:ind w:left="-53" w:leftChars="-25" w:right="-53" w:rightChars="-25"/>
              <w:jc w:val="center"/>
              <w:rPr>
                <w:rFonts w:ascii="仿宋" w:hAnsi="仿宋" w:eastAsia="仿宋" w:cs="仿宋"/>
                <w:color w:val="auto"/>
                <w:szCs w:val="21"/>
                <w:highlight w:val="none"/>
              </w:rPr>
            </w:pPr>
          </w:p>
        </w:tc>
      </w:tr>
      <w:tr w14:paraId="1A49617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6C306D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2A495C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用电保护装置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8600EB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处</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5FE5E2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43D880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80CB151">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5EE17E0">
            <w:pPr>
              <w:autoSpaceDN w:val="0"/>
              <w:spacing w:line="300" w:lineRule="exact"/>
              <w:ind w:left="-53" w:leftChars="-25" w:right="-53" w:rightChars="-25"/>
              <w:jc w:val="center"/>
              <w:rPr>
                <w:rFonts w:ascii="仿宋" w:hAnsi="仿宋" w:eastAsia="仿宋" w:cs="仿宋"/>
                <w:color w:val="auto"/>
                <w:szCs w:val="21"/>
                <w:highlight w:val="none"/>
              </w:rPr>
            </w:pPr>
          </w:p>
        </w:tc>
      </w:tr>
      <w:tr w14:paraId="318EE65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619C33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F847E8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发电机</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10F471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55FA24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FD4CB0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A1C1AA">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D995D2">
            <w:pPr>
              <w:autoSpaceDN w:val="0"/>
              <w:spacing w:line="300" w:lineRule="exact"/>
              <w:ind w:left="-53" w:leftChars="-25" w:right="-53" w:rightChars="-25"/>
              <w:jc w:val="center"/>
              <w:rPr>
                <w:rFonts w:ascii="仿宋" w:hAnsi="仿宋" w:eastAsia="仿宋" w:cs="仿宋"/>
                <w:color w:val="auto"/>
                <w:szCs w:val="21"/>
                <w:highlight w:val="none"/>
              </w:rPr>
            </w:pPr>
          </w:p>
        </w:tc>
      </w:tr>
      <w:tr w14:paraId="7932FE8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7A28FE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93BB20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7753ED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495DC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CA2616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FBF5ED6">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0C74CE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附近外电线路</w:t>
            </w:r>
          </w:p>
          <w:p w14:paraId="24EF2EB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防护设施等</w:t>
            </w:r>
          </w:p>
        </w:tc>
      </w:tr>
      <w:tr w14:paraId="4F66EF3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5C0DD17">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（五）</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26C6D13">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临时供水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3812BB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CC15F0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D5B1A0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F32E89E">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0E28B5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按管道长度</w:t>
            </w:r>
          </w:p>
        </w:tc>
      </w:tr>
      <w:tr w14:paraId="65AFC32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B3DED7D">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（六）</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4235C3E">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临时排水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56D3DE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B3C0816">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3005CF9">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E6BCB16">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C3CEE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按管道长度</w:t>
            </w:r>
          </w:p>
        </w:tc>
      </w:tr>
      <w:tr w14:paraId="5F713C0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ACD0F7B">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（七）</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D0DFFF7">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其他临时设施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CFD4476">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DC002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A63673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86AAE7">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785DFCE">
            <w:pPr>
              <w:autoSpaceDN w:val="0"/>
              <w:spacing w:line="300" w:lineRule="exact"/>
              <w:ind w:left="-53" w:leftChars="-25" w:right="-53" w:rightChars="-25"/>
              <w:jc w:val="center"/>
              <w:rPr>
                <w:rFonts w:ascii="仿宋" w:hAnsi="仿宋" w:eastAsia="仿宋" w:cs="仿宋"/>
                <w:color w:val="auto"/>
                <w:szCs w:val="21"/>
                <w:highlight w:val="none"/>
              </w:rPr>
            </w:pPr>
          </w:p>
        </w:tc>
      </w:tr>
      <w:tr w14:paraId="5E19B66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53D91C8">
            <w:pPr>
              <w:autoSpaceDN w:val="0"/>
              <w:spacing w:line="300" w:lineRule="exact"/>
              <w:ind w:left="-53" w:leftChars="-25" w:right="-53" w:rightChars="-25"/>
              <w:jc w:val="center"/>
              <w:rPr>
                <w:rFonts w:ascii="仿宋" w:hAnsi="仿宋" w:eastAsia="仿宋" w:cs="仿宋"/>
                <w:b/>
                <w:bCs/>
                <w:color w:val="auto"/>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7981709A">
            <w:pPr>
              <w:autoSpaceDN w:val="0"/>
              <w:spacing w:line="300" w:lineRule="exact"/>
              <w:ind w:left="-53" w:leftChars="-25" w:right="-53" w:rightChars="-25"/>
              <w:jc w:val="center"/>
              <w:rPr>
                <w:rFonts w:ascii="仿宋" w:hAnsi="仿宋" w:eastAsia="仿宋" w:cs="仿宋"/>
                <w:b/>
                <w:bCs/>
                <w:color w:val="auto"/>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203AF9E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492630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9EAEA9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9EE39A1">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D967616">
            <w:pPr>
              <w:autoSpaceDN w:val="0"/>
              <w:spacing w:line="300" w:lineRule="exact"/>
              <w:ind w:left="-53" w:leftChars="-25" w:right="-53" w:rightChars="-25"/>
              <w:jc w:val="center"/>
              <w:rPr>
                <w:rFonts w:ascii="仿宋" w:hAnsi="仿宋" w:eastAsia="仿宋" w:cs="仿宋"/>
                <w:color w:val="auto"/>
                <w:szCs w:val="21"/>
                <w:highlight w:val="none"/>
              </w:rPr>
            </w:pPr>
          </w:p>
        </w:tc>
      </w:tr>
      <w:tr w14:paraId="72781D6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7484FD8">
            <w:pPr>
              <w:autoSpaceDN w:val="0"/>
              <w:spacing w:line="300" w:lineRule="exact"/>
              <w:ind w:left="-53" w:leftChars="-25" w:right="-53" w:rightChars="-25"/>
              <w:jc w:val="center"/>
              <w:rPr>
                <w:rFonts w:ascii="仿宋" w:hAnsi="仿宋" w:eastAsia="仿宋" w:cs="仿宋"/>
                <w:b/>
                <w:bCs/>
                <w:color w:val="auto"/>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27CB03A8">
            <w:pPr>
              <w:autoSpaceDN w:val="0"/>
              <w:spacing w:line="300" w:lineRule="exact"/>
              <w:ind w:left="-53" w:leftChars="-25" w:right="-53" w:rightChars="-25"/>
              <w:jc w:val="center"/>
              <w:rPr>
                <w:rFonts w:ascii="仿宋" w:hAnsi="仿宋" w:eastAsia="仿宋" w:cs="仿宋"/>
                <w:b/>
                <w:bCs/>
                <w:color w:val="auto"/>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34266E1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7318D2A">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593E05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CD6379B">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D359BFC">
            <w:pPr>
              <w:autoSpaceDN w:val="0"/>
              <w:spacing w:line="300" w:lineRule="exact"/>
              <w:ind w:left="-53" w:leftChars="-25" w:right="-53" w:rightChars="-25"/>
              <w:jc w:val="center"/>
              <w:rPr>
                <w:rFonts w:ascii="仿宋" w:hAnsi="仿宋" w:eastAsia="仿宋" w:cs="仿宋"/>
                <w:color w:val="auto"/>
                <w:szCs w:val="21"/>
                <w:highlight w:val="none"/>
              </w:rPr>
            </w:pPr>
          </w:p>
        </w:tc>
      </w:tr>
      <w:tr w14:paraId="6E9BC76E">
        <w:tblPrEx>
          <w:tblCellMar>
            <w:top w:w="0" w:type="dxa"/>
            <w:left w:w="108" w:type="dxa"/>
            <w:bottom w:w="0" w:type="dxa"/>
            <w:right w:w="108" w:type="dxa"/>
          </w:tblCellMar>
        </w:tblPrEx>
        <w:trPr>
          <w:cantSplit/>
          <w:trHeight w:val="340" w:hRule="atLeast"/>
          <w:jc w:val="center"/>
        </w:trPr>
        <w:tc>
          <w:tcPr>
            <w:tcW w:w="546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21489E9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合计</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0A513D8">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A9DF81">
            <w:pPr>
              <w:autoSpaceDN w:val="0"/>
              <w:spacing w:line="300" w:lineRule="exact"/>
              <w:ind w:left="-53" w:leftChars="-25" w:right="-53" w:rightChars="-25"/>
              <w:jc w:val="center"/>
              <w:rPr>
                <w:rFonts w:ascii="仿宋" w:hAnsi="仿宋" w:eastAsia="仿宋" w:cs="仿宋"/>
                <w:color w:val="auto"/>
                <w:szCs w:val="21"/>
                <w:highlight w:val="none"/>
              </w:rPr>
            </w:pPr>
          </w:p>
        </w:tc>
      </w:tr>
    </w:tbl>
    <w:p w14:paraId="5752A03A">
      <w:pPr>
        <w:autoSpaceDN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注：表中（1）～（3）栏由采购人根据具体工程特点提供，供应商可补充。安全文明施工措施项目及费用应按采购项目整体报价。</w:t>
      </w:r>
    </w:p>
    <w:p w14:paraId="12E07FC4">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1-4  其他项目清单及计价表</w:t>
      </w:r>
    </w:p>
    <w:p w14:paraId="1EDB8B2F">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w:t>
      </w:r>
    </w:p>
    <w:p w14:paraId="4F18676F">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14:paraId="2849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73F51649">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687" w:type="dxa"/>
            <w:tcBorders>
              <w:top w:val="single" w:color="auto" w:sz="4" w:space="0"/>
              <w:left w:val="single" w:color="auto" w:sz="4" w:space="0"/>
              <w:bottom w:val="single" w:color="auto" w:sz="4" w:space="0"/>
              <w:right w:val="single" w:color="auto" w:sz="4" w:space="0"/>
            </w:tcBorders>
            <w:noWrap/>
            <w:vAlign w:val="center"/>
          </w:tcPr>
          <w:p w14:paraId="4538D418">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3178" w:type="dxa"/>
            <w:tcBorders>
              <w:top w:val="single" w:color="auto" w:sz="4" w:space="0"/>
              <w:left w:val="single" w:color="auto" w:sz="4" w:space="0"/>
              <w:bottom w:val="single" w:color="auto" w:sz="4" w:space="0"/>
              <w:right w:val="single" w:color="auto" w:sz="4" w:space="0"/>
            </w:tcBorders>
            <w:noWrap/>
            <w:vAlign w:val="center"/>
          </w:tcPr>
          <w:p w14:paraId="3F831625">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金额(元)</w:t>
            </w:r>
          </w:p>
        </w:tc>
        <w:tc>
          <w:tcPr>
            <w:tcW w:w="2546" w:type="dxa"/>
            <w:tcBorders>
              <w:top w:val="single" w:color="auto" w:sz="4" w:space="0"/>
              <w:left w:val="single" w:color="auto" w:sz="4" w:space="0"/>
              <w:bottom w:val="single" w:color="auto" w:sz="4" w:space="0"/>
              <w:right w:val="single" w:color="auto" w:sz="4" w:space="0"/>
            </w:tcBorders>
            <w:noWrap/>
            <w:vAlign w:val="center"/>
          </w:tcPr>
          <w:p w14:paraId="6AED1AC2">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7A223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357416A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687" w:type="dxa"/>
            <w:tcBorders>
              <w:top w:val="single" w:color="auto" w:sz="4" w:space="0"/>
              <w:left w:val="single" w:color="auto" w:sz="4" w:space="0"/>
              <w:bottom w:val="single" w:color="auto" w:sz="4" w:space="0"/>
              <w:right w:val="single" w:color="auto" w:sz="4" w:space="0"/>
            </w:tcBorders>
            <w:noWrap/>
            <w:vAlign w:val="center"/>
          </w:tcPr>
          <w:p w14:paraId="7F1DA95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暂列金额</w:t>
            </w:r>
          </w:p>
        </w:tc>
        <w:tc>
          <w:tcPr>
            <w:tcW w:w="3178" w:type="dxa"/>
            <w:tcBorders>
              <w:top w:val="single" w:color="auto" w:sz="4" w:space="0"/>
              <w:left w:val="single" w:color="auto" w:sz="4" w:space="0"/>
              <w:bottom w:val="single" w:color="auto" w:sz="4" w:space="0"/>
              <w:right w:val="single" w:color="auto" w:sz="4" w:space="0"/>
            </w:tcBorders>
            <w:noWrap/>
            <w:vAlign w:val="center"/>
          </w:tcPr>
          <w:p w14:paraId="3831AE9C">
            <w:pPr>
              <w:widowControl/>
              <w:tabs>
                <w:tab w:val="left" w:pos="1000"/>
              </w:tabs>
              <w:autoSpaceDN w:val="0"/>
              <w:spacing w:before="100" w:beforeAutospacing="1" w:after="100" w:afterAutospacing="1"/>
              <w:jc w:val="center"/>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741DDEA6">
            <w:pPr>
              <w:widowControl/>
              <w:tabs>
                <w:tab w:val="left" w:pos="1000"/>
              </w:tabs>
              <w:autoSpaceDN w:val="0"/>
              <w:spacing w:before="100" w:beforeAutospacing="1" w:after="100" w:afterAutospacing="1"/>
              <w:jc w:val="center"/>
              <w:rPr>
                <w:rFonts w:ascii="仿宋" w:hAnsi="仿宋" w:eastAsia="仿宋" w:cs="仿宋"/>
                <w:color w:val="auto"/>
                <w:sz w:val="24"/>
                <w:szCs w:val="24"/>
                <w:highlight w:val="none"/>
              </w:rPr>
            </w:pPr>
          </w:p>
        </w:tc>
      </w:tr>
      <w:tr w14:paraId="381E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5ECB17B6">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687" w:type="dxa"/>
            <w:tcBorders>
              <w:top w:val="single" w:color="auto" w:sz="4" w:space="0"/>
              <w:left w:val="single" w:color="auto" w:sz="4" w:space="0"/>
              <w:bottom w:val="single" w:color="auto" w:sz="4" w:space="0"/>
              <w:right w:val="single" w:color="auto" w:sz="4" w:space="0"/>
            </w:tcBorders>
            <w:noWrap/>
            <w:vAlign w:val="center"/>
          </w:tcPr>
          <w:p w14:paraId="456D67B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计日工</w:t>
            </w:r>
          </w:p>
        </w:tc>
        <w:tc>
          <w:tcPr>
            <w:tcW w:w="3178" w:type="dxa"/>
            <w:tcBorders>
              <w:top w:val="single" w:color="auto" w:sz="4" w:space="0"/>
              <w:left w:val="single" w:color="auto" w:sz="4" w:space="0"/>
              <w:bottom w:val="single" w:color="auto" w:sz="4" w:space="0"/>
              <w:right w:val="single" w:color="auto" w:sz="4" w:space="0"/>
            </w:tcBorders>
            <w:noWrap/>
            <w:vAlign w:val="center"/>
          </w:tcPr>
          <w:p w14:paraId="4CFB7E3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2F7D031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明细表详见1-4-1</w:t>
            </w:r>
          </w:p>
        </w:tc>
      </w:tr>
      <w:tr w14:paraId="4925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61A3AA8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687" w:type="dxa"/>
            <w:tcBorders>
              <w:top w:val="single" w:color="auto" w:sz="4" w:space="0"/>
              <w:left w:val="single" w:color="auto" w:sz="4" w:space="0"/>
              <w:bottom w:val="single" w:color="auto" w:sz="4" w:space="0"/>
              <w:right w:val="single" w:color="auto" w:sz="4" w:space="0"/>
            </w:tcBorders>
            <w:noWrap/>
            <w:vAlign w:val="center"/>
          </w:tcPr>
          <w:p w14:paraId="7864F91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总承包服务费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123E087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625D302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明细表详见1-4-2</w:t>
            </w:r>
          </w:p>
        </w:tc>
      </w:tr>
      <w:tr w14:paraId="0B6F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04FFE2F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687" w:type="dxa"/>
            <w:tcBorders>
              <w:top w:val="single" w:color="auto" w:sz="4" w:space="0"/>
              <w:left w:val="single" w:color="auto" w:sz="4" w:space="0"/>
              <w:bottom w:val="single" w:color="auto" w:sz="4" w:space="0"/>
              <w:right w:val="single" w:color="auto" w:sz="4" w:space="0"/>
            </w:tcBorders>
            <w:noWrap/>
            <w:vAlign w:val="center"/>
          </w:tcPr>
          <w:p w14:paraId="119868DF">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标化工地增加费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37CE251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6148787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暂列费用</w:t>
            </w:r>
          </w:p>
        </w:tc>
      </w:tr>
      <w:tr w14:paraId="75B1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02CE1E4F">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687" w:type="dxa"/>
            <w:tcBorders>
              <w:top w:val="single" w:color="auto" w:sz="4" w:space="0"/>
              <w:left w:val="single" w:color="auto" w:sz="4" w:space="0"/>
              <w:bottom w:val="single" w:color="auto" w:sz="4" w:space="0"/>
              <w:right w:val="single" w:color="auto" w:sz="4" w:space="0"/>
            </w:tcBorders>
            <w:noWrap/>
            <w:vAlign w:val="center"/>
          </w:tcPr>
          <w:p w14:paraId="337FE8F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优质工程增加费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41DD05E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0BC5004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暂列费用</w:t>
            </w:r>
          </w:p>
        </w:tc>
      </w:tr>
      <w:tr w14:paraId="509D0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2DED280D">
            <w:pPr>
              <w:autoSpaceDN w:val="0"/>
              <w:rPr>
                <w:rFonts w:ascii="仿宋" w:hAnsi="仿宋" w:eastAsia="仿宋" w:cs="仿宋"/>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ign w:val="center"/>
          </w:tcPr>
          <w:p w14:paraId="1D838EEC">
            <w:pPr>
              <w:autoSpaceDN w:val="0"/>
              <w:rPr>
                <w:rFonts w:ascii="仿宋" w:hAnsi="仿宋" w:eastAsia="仿宋" w:cs="仿宋"/>
                <w:color w:val="auto"/>
                <w:sz w:val="24"/>
                <w:szCs w:val="24"/>
                <w:highlight w:val="none"/>
              </w:rPr>
            </w:pPr>
          </w:p>
        </w:tc>
        <w:tc>
          <w:tcPr>
            <w:tcW w:w="3178" w:type="dxa"/>
            <w:tcBorders>
              <w:top w:val="single" w:color="auto" w:sz="4" w:space="0"/>
              <w:left w:val="single" w:color="auto" w:sz="4" w:space="0"/>
              <w:bottom w:val="single" w:color="auto" w:sz="4" w:space="0"/>
              <w:right w:val="single" w:color="auto" w:sz="4" w:space="0"/>
            </w:tcBorders>
            <w:noWrap/>
            <w:vAlign w:val="center"/>
          </w:tcPr>
          <w:p w14:paraId="59461434">
            <w:pPr>
              <w:autoSpaceDN w:val="0"/>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22661B9E">
            <w:pPr>
              <w:autoSpaceDN w:val="0"/>
              <w:rPr>
                <w:rFonts w:ascii="仿宋" w:hAnsi="仿宋" w:eastAsia="仿宋" w:cs="仿宋"/>
                <w:color w:val="auto"/>
                <w:sz w:val="24"/>
                <w:szCs w:val="24"/>
                <w:highlight w:val="none"/>
              </w:rPr>
            </w:pPr>
          </w:p>
        </w:tc>
      </w:tr>
      <w:tr w14:paraId="2938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60C180D2">
            <w:pPr>
              <w:autoSpaceDN w:val="0"/>
              <w:rPr>
                <w:rFonts w:ascii="仿宋" w:hAnsi="仿宋" w:eastAsia="仿宋" w:cs="仿宋"/>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ign w:val="center"/>
          </w:tcPr>
          <w:p w14:paraId="34BFD27D">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3178" w:type="dxa"/>
            <w:tcBorders>
              <w:top w:val="single" w:color="auto" w:sz="4" w:space="0"/>
              <w:left w:val="single" w:color="auto" w:sz="4" w:space="0"/>
              <w:bottom w:val="single" w:color="auto" w:sz="4" w:space="0"/>
              <w:right w:val="single" w:color="auto" w:sz="4" w:space="0"/>
            </w:tcBorders>
            <w:noWrap/>
            <w:vAlign w:val="center"/>
          </w:tcPr>
          <w:p w14:paraId="5FBF0F8C">
            <w:pPr>
              <w:autoSpaceDN w:val="0"/>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652BD618">
            <w:pPr>
              <w:autoSpaceDN w:val="0"/>
              <w:rPr>
                <w:rFonts w:ascii="仿宋" w:hAnsi="仿宋" w:eastAsia="仿宋" w:cs="仿宋"/>
                <w:color w:val="auto"/>
                <w:sz w:val="24"/>
                <w:szCs w:val="24"/>
                <w:highlight w:val="none"/>
              </w:rPr>
            </w:pPr>
          </w:p>
        </w:tc>
      </w:tr>
    </w:tbl>
    <w:p w14:paraId="31E4DFF5">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表1-4-1  计日工表</w:t>
      </w:r>
    </w:p>
    <w:p w14:paraId="18C6974A">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w:t>
      </w:r>
    </w:p>
    <w:p w14:paraId="02746FE9">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9"/>
        <w:gridCol w:w="2957"/>
        <w:gridCol w:w="1293"/>
        <w:gridCol w:w="1547"/>
        <w:gridCol w:w="1547"/>
        <w:gridCol w:w="1547"/>
      </w:tblGrid>
      <w:tr w14:paraId="2A42842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8" w:space="0"/>
              <w:left w:val="single" w:color="auto" w:sz="8" w:space="0"/>
              <w:bottom w:val="single" w:color="auto" w:sz="6" w:space="0"/>
              <w:right w:val="single" w:color="auto" w:sz="6" w:space="0"/>
            </w:tcBorders>
            <w:vAlign w:val="center"/>
          </w:tcPr>
          <w:p w14:paraId="2DC68736">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编号</w:t>
            </w:r>
          </w:p>
        </w:tc>
        <w:tc>
          <w:tcPr>
            <w:tcW w:w="2957" w:type="dxa"/>
            <w:tcBorders>
              <w:top w:val="single" w:color="auto" w:sz="8" w:space="0"/>
              <w:left w:val="single" w:color="auto" w:sz="6" w:space="0"/>
              <w:bottom w:val="single" w:color="auto" w:sz="6" w:space="0"/>
              <w:right w:val="single" w:color="auto" w:sz="6" w:space="0"/>
            </w:tcBorders>
            <w:vAlign w:val="center"/>
          </w:tcPr>
          <w:p w14:paraId="77E7E8F1">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 目 名 称</w:t>
            </w:r>
          </w:p>
        </w:tc>
        <w:tc>
          <w:tcPr>
            <w:tcW w:w="1293" w:type="dxa"/>
            <w:tcBorders>
              <w:top w:val="single" w:color="auto" w:sz="8" w:space="0"/>
              <w:left w:val="single" w:color="auto" w:sz="6" w:space="0"/>
              <w:bottom w:val="single" w:color="auto" w:sz="6" w:space="0"/>
              <w:right w:val="single" w:color="auto" w:sz="6" w:space="0"/>
            </w:tcBorders>
            <w:vAlign w:val="center"/>
          </w:tcPr>
          <w:p w14:paraId="607C9B7C">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547" w:type="dxa"/>
            <w:tcBorders>
              <w:top w:val="single" w:color="auto" w:sz="8" w:space="0"/>
              <w:left w:val="single" w:color="auto" w:sz="6" w:space="0"/>
              <w:bottom w:val="single" w:color="auto" w:sz="6" w:space="0"/>
              <w:right w:val="single" w:color="auto" w:sz="6" w:space="0"/>
            </w:tcBorders>
            <w:vAlign w:val="center"/>
          </w:tcPr>
          <w:p w14:paraId="5966A250">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547" w:type="dxa"/>
            <w:tcBorders>
              <w:top w:val="single" w:color="auto" w:sz="8" w:space="0"/>
              <w:left w:val="single" w:color="auto" w:sz="6" w:space="0"/>
              <w:bottom w:val="single" w:color="auto" w:sz="6" w:space="0"/>
              <w:right w:val="single" w:color="auto" w:sz="6" w:space="0"/>
            </w:tcBorders>
            <w:vAlign w:val="center"/>
          </w:tcPr>
          <w:p w14:paraId="5102904F">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综合单价（元）</w:t>
            </w:r>
          </w:p>
        </w:tc>
        <w:tc>
          <w:tcPr>
            <w:tcW w:w="1547" w:type="dxa"/>
            <w:tcBorders>
              <w:top w:val="single" w:color="auto" w:sz="8" w:space="0"/>
              <w:left w:val="single" w:color="auto" w:sz="6" w:space="0"/>
              <w:bottom w:val="single" w:color="auto" w:sz="6" w:space="0"/>
              <w:right w:val="single" w:color="auto" w:sz="8" w:space="0"/>
            </w:tcBorders>
            <w:vAlign w:val="center"/>
          </w:tcPr>
          <w:p w14:paraId="3BC58ED0">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合价（元）</w:t>
            </w:r>
          </w:p>
        </w:tc>
      </w:tr>
      <w:tr w14:paraId="46F5EA4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73D6AE6F">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5CD1EB9F">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293" w:type="dxa"/>
            <w:tcBorders>
              <w:top w:val="single" w:color="auto" w:sz="6" w:space="0"/>
              <w:left w:val="single" w:color="auto" w:sz="6" w:space="0"/>
              <w:bottom w:val="single" w:color="auto" w:sz="6" w:space="0"/>
              <w:right w:val="single" w:color="auto" w:sz="6" w:space="0"/>
            </w:tcBorders>
            <w:vAlign w:val="center"/>
          </w:tcPr>
          <w:p w14:paraId="411C4583">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547" w:type="dxa"/>
            <w:tcBorders>
              <w:top w:val="single" w:color="auto" w:sz="6" w:space="0"/>
              <w:left w:val="single" w:color="auto" w:sz="6" w:space="0"/>
              <w:bottom w:val="single" w:color="auto" w:sz="6" w:space="0"/>
              <w:right w:val="single" w:color="auto" w:sz="6" w:space="0"/>
            </w:tcBorders>
            <w:vAlign w:val="center"/>
          </w:tcPr>
          <w:p w14:paraId="77D12EA9">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547" w:type="dxa"/>
            <w:tcBorders>
              <w:top w:val="single" w:color="auto" w:sz="6" w:space="0"/>
              <w:left w:val="single" w:color="auto" w:sz="6" w:space="0"/>
              <w:bottom w:val="single" w:color="auto" w:sz="6" w:space="0"/>
              <w:right w:val="single" w:color="auto" w:sz="6" w:space="0"/>
            </w:tcBorders>
            <w:vAlign w:val="center"/>
          </w:tcPr>
          <w:p w14:paraId="08C7DFA5">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142884A2">
            <w:pPr>
              <w:tabs>
                <w:tab w:val="left" w:pos="3780"/>
              </w:tabs>
              <w:autoSpaceDN w:val="0"/>
              <w:jc w:val="center"/>
              <w:rPr>
                <w:rFonts w:ascii="仿宋" w:hAnsi="仿宋" w:eastAsia="仿宋" w:cs="仿宋"/>
                <w:color w:val="auto"/>
                <w:sz w:val="24"/>
                <w:szCs w:val="24"/>
                <w:highlight w:val="none"/>
              </w:rPr>
            </w:pPr>
          </w:p>
        </w:tc>
      </w:tr>
      <w:tr w14:paraId="0E0BC7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05EA3393">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2957" w:type="dxa"/>
            <w:tcBorders>
              <w:top w:val="single" w:color="auto" w:sz="6" w:space="0"/>
              <w:left w:val="single" w:color="auto" w:sz="6" w:space="0"/>
              <w:bottom w:val="single" w:color="auto" w:sz="6" w:space="0"/>
              <w:right w:val="single" w:color="auto" w:sz="6" w:space="0"/>
            </w:tcBorders>
            <w:vAlign w:val="center"/>
          </w:tcPr>
          <w:p w14:paraId="75F05E00">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    工</w:t>
            </w:r>
          </w:p>
        </w:tc>
        <w:tc>
          <w:tcPr>
            <w:tcW w:w="1293" w:type="dxa"/>
            <w:tcBorders>
              <w:top w:val="single" w:color="auto" w:sz="6" w:space="0"/>
              <w:left w:val="single" w:color="auto" w:sz="6" w:space="0"/>
              <w:bottom w:val="single" w:color="auto" w:sz="6" w:space="0"/>
              <w:right w:val="single" w:color="auto" w:sz="6" w:space="0"/>
            </w:tcBorders>
            <w:vAlign w:val="center"/>
          </w:tcPr>
          <w:p w14:paraId="2C288692">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0995112B">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11A04F1">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166CD41">
            <w:pPr>
              <w:tabs>
                <w:tab w:val="left" w:pos="3780"/>
              </w:tabs>
              <w:autoSpaceDN w:val="0"/>
              <w:jc w:val="center"/>
              <w:rPr>
                <w:rFonts w:ascii="仿宋" w:hAnsi="仿宋" w:eastAsia="仿宋" w:cs="仿宋"/>
                <w:color w:val="auto"/>
                <w:sz w:val="24"/>
                <w:szCs w:val="24"/>
                <w:highlight w:val="none"/>
              </w:rPr>
            </w:pPr>
          </w:p>
        </w:tc>
      </w:tr>
      <w:tr w14:paraId="2098EB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43C42247">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4C10199C">
            <w:pPr>
              <w:tabs>
                <w:tab w:val="left" w:pos="3780"/>
              </w:tabs>
              <w:autoSpaceDN w:val="0"/>
              <w:jc w:val="center"/>
              <w:rPr>
                <w:rFonts w:ascii="仿宋" w:hAnsi="仿宋" w:eastAsia="仿宋" w:cs="仿宋"/>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0E81BE5C">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2D019784">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0C71D95">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B6F33C0">
            <w:pPr>
              <w:tabs>
                <w:tab w:val="left" w:pos="3780"/>
              </w:tabs>
              <w:autoSpaceDN w:val="0"/>
              <w:jc w:val="center"/>
              <w:rPr>
                <w:rFonts w:ascii="仿宋" w:hAnsi="仿宋" w:eastAsia="仿宋" w:cs="仿宋"/>
                <w:color w:val="auto"/>
                <w:sz w:val="24"/>
                <w:szCs w:val="24"/>
                <w:highlight w:val="none"/>
              </w:rPr>
            </w:pPr>
          </w:p>
        </w:tc>
      </w:tr>
      <w:tr w14:paraId="101C4D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6C2C7311">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14:paraId="3DE9CC7E">
            <w:pPr>
              <w:tabs>
                <w:tab w:val="left" w:pos="3780"/>
              </w:tabs>
              <w:autoSpaceDN w:val="0"/>
              <w:jc w:val="center"/>
              <w:rPr>
                <w:rFonts w:ascii="仿宋" w:hAnsi="仿宋" w:eastAsia="仿宋" w:cs="仿宋"/>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428D85F2">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1F0A24BF">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3F237824">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7C09C670">
            <w:pPr>
              <w:tabs>
                <w:tab w:val="left" w:pos="3780"/>
              </w:tabs>
              <w:autoSpaceDN w:val="0"/>
              <w:jc w:val="center"/>
              <w:rPr>
                <w:rFonts w:ascii="仿宋" w:hAnsi="仿宋" w:eastAsia="仿宋" w:cs="仿宋"/>
                <w:color w:val="auto"/>
                <w:sz w:val="24"/>
                <w:szCs w:val="24"/>
                <w:highlight w:val="none"/>
              </w:rPr>
            </w:pPr>
          </w:p>
        </w:tc>
      </w:tr>
      <w:tr w14:paraId="467DE4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54CDC974">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 工 小 计</w:t>
            </w:r>
          </w:p>
        </w:tc>
        <w:tc>
          <w:tcPr>
            <w:tcW w:w="1547" w:type="dxa"/>
            <w:tcBorders>
              <w:top w:val="single" w:color="auto" w:sz="6" w:space="0"/>
              <w:left w:val="single" w:color="auto" w:sz="6" w:space="0"/>
              <w:bottom w:val="single" w:color="auto" w:sz="6" w:space="0"/>
              <w:right w:val="single" w:color="auto" w:sz="8" w:space="0"/>
            </w:tcBorders>
            <w:vAlign w:val="center"/>
          </w:tcPr>
          <w:p w14:paraId="3C254842">
            <w:pPr>
              <w:tabs>
                <w:tab w:val="left" w:pos="3780"/>
              </w:tabs>
              <w:autoSpaceDN w:val="0"/>
              <w:jc w:val="center"/>
              <w:rPr>
                <w:rFonts w:ascii="仿宋" w:hAnsi="仿宋" w:eastAsia="仿宋" w:cs="仿宋"/>
                <w:color w:val="auto"/>
                <w:sz w:val="24"/>
                <w:szCs w:val="24"/>
                <w:highlight w:val="none"/>
              </w:rPr>
            </w:pPr>
          </w:p>
        </w:tc>
      </w:tr>
      <w:tr w14:paraId="590232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63896C52">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2957" w:type="dxa"/>
            <w:tcBorders>
              <w:top w:val="single" w:color="auto" w:sz="6" w:space="0"/>
              <w:left w:val="single" w:color="auto" w:sz="6" w:space="0"/>
              <w:bottom w:val="single" w:color="auto" w:sz="6" w:space="0"/>
              <w:right w:val="single" w:color="auto" w:sz="6" w:space="0"/>
            </w:tcBorders>
            <w:vAlign w:val="center"/>
          </w:tcPr>
          <w:p w14:paraId="77EF515E">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    料</w:t>
            </w:r>
          </w:p>
        </w:tc>
        <w:tc>
          <w:tcPr>
            <w:tcW w:w="1293" w:type="dxa"/>
            <w:tcBorders>
              <w:top w:val="single" w:color="auto" w:sz="6" w:space="0"/>
              <w:left w:val="single" w:color="auto" w:sz="6" w:space="0"/>
              <w:bottom w:val="single" w:color="auto" w:sz="6" w:space="0"/>
              <w:right w:val="single" w:color="auto" w:sz="6" w:space="0"/>
            </w:tcBorders>
            <w:vAlign w:val="center"/>
          </w:tcPr>
          <w:p w14:paraId="3187A92C">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20AF80B8">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0FEA9611">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9A97C77">
            <w:pPr>
              <w:tabs>
                <w:tab w:val="left" w:pos="3780"/>
              </w:tabs>
              <w:autoSpaceDN w:val="0"/>
              <w:jc w:val="center"/>
              <w:rPr>
                <w:rFonts w:ascii="仿宋" w:hAnsi="仿宋" w:eastAsia="仿宋" w:cs="仿宋"/>
                <w:color w:val="auto"/>
                <w:sz w:val="24"/>
                <w:szCs w:val="24"/>
                <w:highlight w:val="none"/>
              </w:rPr>
            </w:pPr>
          </w:p>
        </w:tc>
      </w:tr>
      <w:tr w14:paraId="09BBB2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29698684">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1B991289">
            <w:pPr>
              <w:tabs>
                <w:tab w:val="left" w:pos="3780"/>
              </w:tabs>
              <w:autoSpaceDN w:val="0"/>
              <w:jc w:val="center"/>
              <w:rPr>
                <w:rFonts w:ascii="仿宋" w:hAnsi="仿宋" w:eastAsia="仿宋" w:cs="仿宋"/>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669AE68C">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4BC4DF8C">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548666B8">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319A6715">
            <w:pPr>
              <w:tabs>
                <w:tab w:val="left" w:pos="3780"/>
              </w:tabs>
              <w:autoSpaceDN w:val="0"/>
              <w:jc w:val="center"/>
              <w:rPr>
                <w:rFonts w:ascii="仿宋" w:hAnsi="仿宋" w:eastAsia="仿宋" w:cs="仿宋"/>
                <w:color w:val="auto"/>
                <w:sz w:val="24"/>
                <w:szCs w:val="24"/>
                <w:highlight w:val="none"/>
              </w:rPr>
            </w:pPr>
          </w:p>
        </w:tc>
      </w:tr>
      <w:tr w14:paraId="2401BA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5CC638D4">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14:paraId="564662CD">
            <w:pPr>
              <w:tabs>
                <w:tab w:val="left" w:pos="3780"/>
              </w:tabs>
              <w:autoSpaceDN w:val="0"/>
              <w:jc w:val="center"/>
              <w:rPr>
                <w:rFonts w:ascii="仿宋" w:hAnsi="仿宋" w:eastAsia="仿宋" w:cs="仿宋"/>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1E0131DD">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12BD7980">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70E106DD">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4898A35B">
            <w:pPr>
              <w:tabs>
                <w:tab w:val="left" w:pos="3780"/>
              </w:tabs>
              <w:autoSpaceDN w:val="0"/>
              <w:jc w:val="center"/>
              <w:rPr>
                <w:rFonts w:ascii="仿宋" w:hAnsi="仿宋" w:eastAsia="仿宋" w:cs="仿宋"/>
                <w:color w:val="auto"/>
                <w:sz w:val="24"/>
                <w:szCs w:val="24"/>
                <w:highlight w:val="none"/>
              </w:rPr>
            </w:pPr>
          </w:p>
        </w:tc>
      </w:tr>
      <w:tr w14:paraId="67D59C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3C829968">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 料 小 计</w:t>
            </w:r>
          </w:p>
        </w:tc>
        <w:tc>
          <w:tcPr>
            <w:tcW w:w="1547" w:type="dxa"/>
            <w:tcBorders>
              <w:top w:val="single" w:color="auto" w:sz="6" w:space="0"/>
              <w:left w:val="single" w:color="auto" w:sz="6" w:space="0"/>
              <w:bottom w:val="single" w:color="auto" w:sz="6" w:space="0"/>
              <w:right w:val="single" w:color="auto" w:sz="8" w:space="0"/>
            </w:tcBorders>
            <w:vAlign w:val="center"/>
          </w:tcPr>
          <w:p w14:paraId="5944483F">
            <w:pPr>
              <w:tabs>
                <w:tab w:val="left" w:pos="3780"/>
              </w:tabs>
              <w:autoSpaceDN w:val="0"/>
              <w:jc w:val="center"/>
              <w:rPr>
                <w:rFonts w:ascii="仿宋" w:hAnsi="仿宋" w:eastAsia="仿宋" w:cs="仿宋"/>
                <w:color w:val="auto"/>
                <w:sz w:val="24"/>
                <w:szCs w:val="24"/>
                <w:highlight w:val="none"/>
              </w:rPr>
            </w:pPr>
          </w:p>
        </w:tc>
      </w:tr>
      <w:tr w14:paraId="7359A0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188DF373">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2957" w:type="dxa"/>
            <w:tcBorders>
              <w:top w:val="single" w:color="auto" w:sz="6" w:space="0"/>
              <w:left w:val="single" w:color="auto" w:sz="6" w:space="0"/>
              <w:bottom w:val="single" w:color="auto" w:sz="6" w:space="0"/>
              <w:right w:val="single" w:color="auto" w:sz="6" w:space="0"/>
            </w:tcBorders>
            <w:vAlign w:val="center"/>
          </w:tcPr>
          <w:p w14:paraId="19AC5F1A">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施工机械</w:t>
            </w:r>
          </w:p>
        </w:tc>
        <w:tc>
          <w:tcPr>
            <w:tcW w:w="1293" w:type="dxa"/>
            <w:tcBorders>
              <w:top w:val="single" w:color="auto" w:sz="6" w:space="0"/>
              <w:left w:val="single" w:color="auto" w:sz="6" w:space="0"/>
              <w:bottom w:val="single" w:color="auto" w:sz="6" w:space="0"/>
              <w:right w:val="single" w:color="auto" w:sz="6" w:space="0"/>
            </w:tcBorders>
            <w:vAlign w:val="center"/>
          </w:tcPr>
          <w:p w14:paraId="2BC74BF0">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F2CCFCC">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22239DE">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4FC9B0B8">
            <w:pPr>
              <w:tabs>
                <w:tab w:val="left" w:pos="3780"/>
              </w:tabs>
              <w:autoSpaceDN w:val="0"/>
              <w:jc w:val="center"/>
              <w:rPr>
                <w:rFonts w:ascii="仿宋" w:hAnsi="仿宋" w:eastAsia="仿宋" w:cs="仿宋"/>
                <w:color w:val="auto"/>
                <w:sz w:val="24"/>
                <w:szCs w:val="24"/>
                <w:highlight w:val="none"/>
              </w:rPr>
            </w:pPr>
          </w:p>
        </w:tc>
      </w:tr>
      <w:tr w14:paraId="79F03D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520C152A">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78B5EC2D">
            <w:pPr>
              <w:tabs>
                <w:tab w:val="left" w:pos="3780"/>
              </w:tabs>
              <w:autoSpaceDN w:val="0"/>
              <w:jc w:val="center"/>
              <w:rPr>
                <w:rFonts w:ascii="仿宋" w:hAnsi="仿宋" w:eastAsia="仿宋" w:cs="仿宋"/>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52E25CC7">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4487EF16">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1C94DF77">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7A73E72F">
            <w:pPr>
              <w:tabs>
                <w:tab w:val="left" w:pos="3780"/>
              </w:tabs>
              <w:autoSpaceDN w:val="0"/>
              <w:jc w:val="center"/>
              <w:rPr>
                <w:rFonts w:ascii="仿宋" w:hAnsi="仿宋" w:eastAsia="仿宋" w:cs="仿宋"/>
                <w:color w:val="auto"/>
                <w:sz w:val="24"/>
                <w:szCs w:val="24"/>
                <w:highlight w:val="none"/>
              </w:rPr>
            </w:pPr>
          </w:p>
        </w:tc>
      </w:tr>
      <w:tr w14:paraId="1B665F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588746F7">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14:paraId="7CE78001">
            <w:pPr>
              <w:tabs>
                <w:tab w:val="left" w:pos="3780"/>
              </w:tabs>
              <w:autoSpaceDN w:val="0"/>
              <w:jc w:val="center"/>
              <w:rPr>
                <w:rFonts w:ascii="仿宋" w:hAnsi="仿宋" w:eastAsia="仿宋" w:cs="仿宋"/>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3F20F971">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07A684AB">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E7B1F28">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22CF3E6">
            <w:pPr>
              <w:tabs>
                <w:tab w:val="left" w:pos="3780"/>
              </w:tabs>
              <w:autoSpaceDN w:val="0"/>
              <w:jc w:val="center"/>
              <w:rPr>
                <w:rFonts w:ascii="仿宋" w:hAnsi="仿宋" w:eastAsia="仿宋" w:cs="仿宋"/>
                <w:color w:val="auto"/>
                <w:sz w:val="24"/>
                <w:szCs w:val="24"/>
                <w:highlight w:val="none"/>
              </w:rPr>
            </w:pPr>
          </w:p>
        </w:tc>
      </w:tr>
      <w:tr w14:paraId="065D955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24883A44">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施工机械小计</w:t>
            </w:r>
          </w:p>
        </w:tc>
        <w:tc>
          <w:tcPr>
            <w:tcW w:w="1547" w:type="dxa"/>
            <w:tcBorders>
              <w:top w:val="single" w:color="auto" w:sz="6" w:space="0"/>
              <w:left w:val="single" w:color="auto" w:sz="6" w:space="0"/>
              <w:bottom w:val="single" w:color="auto" w:sz="6" w:space="0"/>
              <w:right w:val="single" w:color="auto" w:sz="8" w:space="0"/>
            </w:tcBorders>
            <w:vAlign w:val="center"/>
          </w:tcPr>
          <w:p w14:paraId="2A0F7FC6">
            <w:pPr>
              <w:tabs>
                <w:tab w:val="left" w:pos="3780"/>
              </w:tabs>
              <w:autoSpaceDN w:val="0"/>
              <w:jc w:val="center"/>
              <w:rPr>
                <w:rFonts w:ascii="仿宋" w:hAnsi="仿宋" w:eastAsia="仿宋" w:cs="仿宋"/>
                <w:color w:val="auto"/>
                <w:sz w:val="24"/>
                <w:szCs w:val="24"/>
                <w:highlight w:val="none"/>
              </w:rPr>
            </w:pPr>
          </w:p>
        </w:tc>
      </w:tr>
      <w:tr w14:paraId="6C97D3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tcBorders>
              <w:top w:val="single" w:color="auto" w:sz="6" w:space="0"/>
              <w:left w:val="single" w:color="auto" w:sz="8" w:space="0"/>
              <w:bottom w:val="single" w:color="auto" w:sz="8" w:space="0"/>
              <w:right w:val="single" w:color="auto" w:sz="6" w:space="0"/>
            </w:tcBorders>
            <w:vAlign w:val="center"/>
          </w:tcPr>
          <w:p w14:paraId="1607CF35">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    计</w:t>
            </w:r>
          </w:p>
        </w:tc>
        <w:tc>
          <w:tcPr>
            <w:tcW w:w="1547" w:type="dxa"/>
            <w:tcBorders>
              <w:top w:val="single" w:color="auto" w:sz="6" w:space="0"/>
              <w:left w:val="single" w:color="auto" w:sz="6" w:space="0"/>
              <w:bottom w:val="single" w:color="auto" w:sz="8" w:space="0"/>
              <w:right w:val="single" w:color="auto" w:sz="8" w:space="0"/>
            </w:tcBorders>
            <w:vAlign w:val="center"/>
          </w:tcPr>
          <w:p w14:paraId="3BB07A16">
            <w:pPr>
              <w:tabs>
                <w:tab w:val="left" w:pos="3780"/>
              </w:tabs>
              <w:autoSpaceDN w:val="0"/>
              <w:jc w:val="center"/>
              <w:rPr>
                <w:rFonts w:ascii="仿宋" w:hAnsi="仿宋" w:eastAsia="仿宋" w:cs="仿宋"/>
                <w:color w:val="auto"/>
                <w:sz w:val="24"/>
                <w:szCs w:val="24"/>
                <w:highlight w:val="none"/>
              </w:rPr>
            </w:pPr>
          </w:p>
        </w:tc>
      </w:tr>
    </w:tbl>
    <w:p w14:paraId="14B939AB">
      <w:pPr>
        <w:widowControl/>
        <w:tabs>
          <w:tab w:val="center" w:pos="4755"/>
          <w:tab w:val="right" w:pos="9070"/>
        </w:tabs>
        <w:autoSpaceDN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注：表中（1）～（4）由采购人按需要提出，其中第（4）栏数量为暂定。</w:t>
      </w:r>
    </w:p>
    <w:p w14:paraId="0C90D2DA">
      <w:pPr>
        <w:keepNext/>
        <w:keepLines/>
        <w:autoSpaceDN w:val="0"/>
        <w:spacing w:before="280" w:after="290" w:line="374" w:lineRule="auto"/>
        <w:jc w:val="center"/>
        <w:outlineLvl w:val="3"/>
        <w:rPr>
          <w:rFonts w:ascii="仿宋" w:hAnsi="仿宋" w:eastAsia="仿宋" w:cs="Times New Roman"/>
          <w:b/>
          <w:bCs/>
          <w:color w:val="auto"/>
          <w:kern w:val="0"/>
          <w:sz w:val="22"/>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1-4-2   总承包服务费项目及计价表</w:t>
      </w:r>
    </w:p>
    <w:p w14:paraId="0D1C9DBF">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620"/>
        <w:gridCol w:w="1440"/>
        <w:gridCol w:w="1440"/>
        <w:gridCol w:w="1440"/>
      </w:tblGrid>
      <w:tr w14:paraId="239FF43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8" w:space="0"/>
              <w:left w:val="single" w:color="auto" w:sz="8" w:space="0"/>
              <w:bottom w:val="single" w:color="auto" w:sz="6" w:space="0"/>
              <w:right w:val="single" w:color="auto" w:sz="6" w:space="0"/>
            </w:tcBorders>
            <w:noWrap/>
            <w:vAlign w:val="center"/>
          </w:tcPr>
          <w:p w14:paraId="270142F0">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709" w:type="dxa"/>
            <w:tcBorders>
              <w:top w:val="single" w:color="auto" w:sz="8" w:space="0"/>
              <w:left w:val="single" w:color="auto" w:sz="6" w:space="0"/>
              <w:bottom w:val="single" w:color="auto" w:sz="6" w:space="0"/>
              <w:right w:val="single" w:color="auto" w:sz="6" w:space="0"/>
            </w:tcBorders>
            <w:noWrap/>
            <w:vAlign w:val="center"/>
          </w:tcPr>
          <w:p w14:paraId="6FA56D8A">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620" w:type="dxa"/>
            <w:tcBorders>
              <w:top w:val="single" w:color="auto" w:sz="8" w:space="0"/>
              <w:left w:val="single" w:color="auto" w:sz="6" w:space="0"/>
              <w:bottom w:val="single" w:color="auto" w:sz="6" w:space="0"/>
              <w:right w:val="single" w:color="auto" w:sz="6" w:space="0"/>
            </w:tcBorders>
            <w:noWrap/>
            <w:vAlign w:val="center"/>
          </w:tcPr>
          <w:p w14:paraId="1582BE0F">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项目价值（元）</w:t>
            </w:r>
          </w:p>
        </w:tc>
        <w:tc>
          <w:tcPr>
            <w:tcW w:w="1440" w:type="dxa"/>
            <w:tcBorders>
              <w:top w:val="single" w:color="auto" w:sz="8" w:space="0"/>
              <w:left w:val="single" w:color="auto" w:sz="6" w:space="0"/>
              <w:bottom w:val="single" w:color="auto" w:sz="6" w:space="0"/>
              <w:right w:val="single" w:color="auto" w:sz="6" w:space="0"/>
            </w:tcBorders>
            <w:noWrap/>
            <w:vAlign w:val="center"/>
          </w:tcPr>
          <w:p w14:paraId="2466DDAB">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服务内容</w:t>
            </w:r>
          </w:p>
        </w:tc>
        <w:tc>
          <w:tcPr>
            <w:tcW w:w="1440" w:type="dxa"/>
            <w:tcBorders>
              <w:top w:val="single" w:color="auto" w:sz="8" w:space="0"/>
              <w:left w:val="single" w:color="auto" w:sz="6" w:space="0"/>
              <w:bottom w:val="single" w:color="auto" w:sz="6" w:space="0"/>
              <w:right w:val="single" w:color="auto" w:sz="6" w:space="0"/>
            </w:tcBorders>
            <w:noWrap/>
            <w:vAlign w:val="center"/>
          </w:tcPr>
          <w:p w14:paraId="47196CB9">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费率（%）</w:t>
            </w:r>
          </w:p>
        </w:tc>
        <w:tc>
          <w:tcPr>
            <w:tcW w:w="1440" w:type="dxa"/>
            <w:tcBorders>
              <w:top w:val="single" w:color="auto" w:sz="8" w:space="0"/>
              <w:left w:val="single" w:color="auto" w:sz="6" w:space="0"/>
              <w:bottom w:val="single" w:color="auto" w:sz="6" w:space="0"/>
              <w:right w:val="single" w:color="auto" w:sz="8" w:space="0"/>
            </w:tcBorders>
            <w:noWrap/>
            <w:vAlign w:val="center"/>
          </w:tcPr>
          <w:p w14:paraId="4BD1545C">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金额（元）</w:t>
            </w:r>
          </w:p>
        </w:tc>
      </w:tr>
      <w:tr w14:paraId="216B56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2D8E5E9">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709" w:type="dxa"/>
            <w:tcBorders>
              <w:top w:val="single" w:color="auto" w:sz="6" w:space="0"/>
              <w:left w:val="single" w:color="auto" w:sz="6" w:space="0"/>
              <w:bottom w:val="single" w:color="auto" w:sz="6" w:space="0"/>
              <w:right w:val="single" w:color="auto" w:sz="6" w:space="0"/>
            </w:tcBorders>
            <w:noWrap/>
            <w:vAlign w:val="center"/>
          </w:tcPr>
          <w:p w14:paraId="157B8930">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20" w:type="dxa"/>
            <w:tcBorders>
              <w:top w:val="single" w:color="auto" w:sz="6" w:space="0"/>
              <w:left w:val="single" w:color="auto" w:sz="6" w:space="0"/>
              <w:bottom w:val="single" w:color="auto" w:sz="6" w:space="0"/>
              <w:right w:val="single" w:color="auto" w:sz="6" w:space="0"/>
            </w:tcBorders>
            <w:noWrap/>
            <w:vAlign w:val="center"/>
          </w:tcPr>
          <w:p w14:paraId="62B42639">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440" w:type="dxa"/>
            <w:tcBorders>
              <w:top w:val="single" w:color="auto" w:sz="6" w:space="0"/>
              <w:left w:val="single" w:color="auto" w:sz="6" w:space="0"/>
              <w:bottom w:val="single" w:color="auto" w:sz="6" w:space="0"/>
              <w:right w:val="single" w:color="auto" w:sz="6" w:space="0"/>
            </w:tcBorders>
            <w:noWrap/>
            <w:vAlign w:val="center"/>
          </w:tcPr>
          <w:p w14:paraId="5FEFB11A">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440" w:type="dxa"/>
            <w:tcBorders>
              <w:top w:val="single" w:color="auto" w:sz="6" w:space="0"/>
              <w:left w:val="single" w:color="auto" w:sz="6" w:space="0"/>
              <w:bottom w:val="single" w:color="auto" w:sz="6" w:space="0"/>
              <w:right w:val="single" w:color="auto" w:sz="6" w:space="0"/>
            </w:tcBorders>
            <w:noWrap/>
            <w:vAlign w:val="center"/>
          </w:tcPr>
          <w:p w14:paraId="63ADFEA1">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D55ED1E">
            <w:pPr>
              <w:autoSpaceDN w:val="0"/>
              <w:rPr>
                <w:rFonts w:ascii="仿宋" w:hAnsi="仿宋" w:eastAsia="仿宋" w:cs="仿宋"/>
                <w:color w:val="auto"/>
                <w:sz w:val="24"/>
                <w:szCs w:val="24"/>
                <w:highlight w:val="none"/>
              </w:rPr>
            </w:pPr>
          </w:p>
        </w:tc>
      </w:tr>
      <w:tr w14:paraId="67B81FE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168AC944">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709" w:type="dxa"/>
            <w:tcBorders>
              <w:top w:val="single" w:color="auto" w:sz="6" w:space="0"/>
              <w:left w:val="single" w:color="auto" w:sz="6" w:space="0"/>
              <w:bottom w:val="single" w:color="auto" w:sz="6" w:space="0"/>
              <w:right w:val="single" w:color="auto" w:sz="6" w:space="0"/>
            </w:tcBorders>
            <w:noWrap/>
            <w:vAlign w:val="center"/>
          </w:tcPr>
          <w:p w14:paraId="5C7B32E8">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发包人分包专业工程</w:t>
            </w:r>
          </w:p>
        </w:tc>
        <w:tc>
          <w:tcPr>
            <w:tcW w:w="1620" w:type="dxa"/>
            <w:tcBorders>
              <w:top w:val="single" w:color="auto" w:sz="6" w:space="0"/>
              <w:left w:val="single" w:color="auto" w:sz="6" w:space="0"/>
              <w:bottom w:val="single" w:color="auto" w:sz="6" w:space="0"/>
              <w:right w:val="single" w:color="auto" w:sz="6" w:space="0"/>
            </w:tcBorders>
            <w:noWrap/>
            <w:vAlign w:val="center"/>
          </w:tcPr>
          <w:p w14:paraId="1B3DA755">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0CEF73C">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875ACC0">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511ED1E0">
            <w:pPr>
              <w:autoSpaceDN w:val="0"/>
              <w:rPr>
                <w:rFonts w:ascii="仿宋" w:hAnsi="仿宋" w:eastAsia="仿宋" w:cs="仿宋"/>
                <w:color w:val="auto"/>
                <w:sz w:val="24"/>
                <w:szCs w:val="24"/>
                <w:highlight w:val="none"/>
              </w:rPr>
            </w:pPr>
          </w:p>
        </w:tc>
      </w:tr>
      <w:tr w14:paraId="5EB8479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2DE7F70D">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709" w:type="dxa"/>
            <w:tcBorders>
              <w:top w:val="single" w:color="auto" w:sz="6" w:space="0"/>
              <w:left w:val="single" w:color="auto" w:sz="6" w:space="0"/>
              <w:bottom w:val="single" w:color="auto" w:sz="6" w:space="0"/>
              <w:right w:val="single" w:color="auto" w:sz="6" w:space="0"/>
            </w:tcBorders>
            <w:noWrap/>
            <w:vAlign w:val="center"/>
          </w:tcPr>
          <w:p w14:paraId="0C17EC73">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发包人供应材料</w:t>
            </w:r>
          </w:p>
        </w:tc>
        <w:tc>
          <w:tcPr>
            <w:tcW w:w="1620" w:type="dxa"/>
            <w:tcBorders>
              <w:top w:val="single" w:color="auto" w:sz="6" w:space="0"/>
              <w:left w:val="single" w:color="auto" w:sz="6" w:space="0"/>
              <w:bottom w:val="single" w:color="auto" w:sz="6" w:space="0"/>
              <w:right w:val="single" w:color="auto" w:sz="6" w:space="0"/>
            </w:tcBorders>
            <w:noWrap/>
            <w:vAlign w:val="center"/>
          </w:tcPr>
          <w:p w14:paraId="3D04D940">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CF2D179">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5ECD532">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1D0D8091">
            <w:pPr>
              <w:autoSpaceDN w:val="0"/>
              <w:rPr>
                <w:rFonts w:ascii="仿宋" w:hAnsi="仿宋" w:eastAsia="仿宋" w:cs="仿宋"/>
                <w:color w:val="auto"/>
                <w:sz w:val="24"/>
                <w:szCs w:val="24"/>
                <w:highlight w:val="none"/>
              </w:rPr>
            </w:pPr>
          </w:p>
        </w:tc>
      </w:tr>
      <w:tr w14:paraId="61AED84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17145104">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508EAB41">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3FFC8FDA">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37A57FE2">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04C8CFDC">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3ACDDB85">
            <w:pPr>
              <w:autoSpaceDN w:val="0"/>
              <w:rPr>
                <w:rFonts w:ascii="仿宋" w:hAnsi="仿宋" w:eastAsia="仿宋" w:cs="仿宋"/>
                <w:color w:val="auto"/>
                <w:sz w:val="24"/>
                <w:szCs w:val="24"/>
                <w:highlight w:val="none"/>
              </w:rPr>
            </w:pPr>
          </w:p>
        </w:tc>
      </w:tr>
      <w:tr w14:paraId="77F086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311EEF5E">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2EA46264">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582A243F">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D802B2A">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74F2271">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028BCDF9">
            <w:pPr>
              <w:autoSpaceDN w:val="0"/>
              <w:rPr>
                <w:rFonts w:ascii="仿宋" w:hAnsi="仿宋" w:eastAsia="仿宋" w:cs="仿宋"/>
                <w:color w:val="auto"/>
                <w:sz w:val="24"/>
                <w:szCs w:val="24"/>
                <w:highlight w:val="none"/>
              </w:rPr>
            </w:pPr>
          </w:p>
        </w:tc>
      </w:tr>
      <w:tr w14:paraId="037C99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23C25267">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3F83555A">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3936B5A8">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B523DB4">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FADF27E">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3C7FDACC">
            <w:pPr>
              <w:autoSpaceDN w:val="0"/>
              <w:rPr>
                <w:rFonts w:ascii="仿宋" w:hAnsi="仿宋" w:eastAsia="仿宋" w:cs="仿宋"/>
                <w:color w:val="auto"/>
                <w:sz w:val="24"/>
                <w:szCs w:val="24"/>
                <w:highlight w:val="none"/>
              </w:rPr>
            </w:pPr>
          </w:p>
        </w:tc>
      </w:tr>
      <w:tr w14:paraId="32BA4D2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E0374C9">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6BA4404E">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1AA0918C">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A3C2382">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CA56AB8">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55A8D672">
            <w:pPr>
              <w:autoSpaceDN w:val="0"/>
              <w:rPr>
                <w:rFonts w:ascii="仿宋" w:hAnsi="仿宋" w:eastAsia="仿宋" w:cs="仿宋"/>
                <w:color w:val="auto"/>
                <w:sz w:val="24"/>
                <w:szCs w:val="24"/>
                <w:highlight w:val="none"/>
              </w:rPr>
            </w:pPr>
          </w:p>
        </w:tc>
      </w:tr>
      <w:tr w14:paraId="3AA30A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44E4EB6C">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2363B0FA">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2743AA9F">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3D04257E">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83A7837">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A3D8966">
            <w:pPr>
              <w:autoSpaceDN w:val="0"/>
              <w:rPr>
                <w:rFonts w:ascii="仿宋" w:hAnsi="仿宋" w:eastAsia="仿宋" w:cs="仿宋"/>
                <w:color w:val="auto"/>
                <w:sz w:val="24"/>
                <w:szCs w:val="24"/>
                <w:highlight w:val="none"/>
              </w:rPr>
            </w:pPr>
          </w:p>
        </w:tc>
      </w:tr>
      <w:tr w14:paraId="28B0EAE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2D6D5059">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588D182D">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191149E0">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FE3252A">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CD6AFFC">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A74BF84">
            <w:pPr>
              <w:autoSpaceDN w:val="0"/>
              <w:rPr>
                <w:rFonts w:ascii="仿宋" w:hAnsi="仿宋" w:eastAsia="仿宋" w:cs="仿宋"/>
                <w:color w:val="auto"/>
                <w:sz w:val="24"/>
                <w:szCs w:val="24"/>
                <w:highlight w:val="none"/>
              </w:rPr>
            </w:pPr>
          </w:p>
        </w:tc>
      </w:tr>
      <w:tr w14:paraId="3C5864D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8750805">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32472D19">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1E739AD3">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FD2FCF3">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FADECB6">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5F843393">
            <w:pPr>
              <w:autoSpaceDN w:val="0"/>
              <w:rPr>
                <w:rFonts w:ascii="仿宋" w:hAnsi="仿宋" w:eastAsia="仿宋" w:cs="仿宋"/>
                <w:color w:val="auto"/>
                <w:sz w:val="24"/>
                <w:szCs w:val="24"/>
                <w:highlight w:val="none"/>
              </w:rPr>
            </w:pPr>
          </w:p>
        </w:tc>
      </w:tr>
      <w:tr w14:paraId="799EDB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753DF457">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11E8747B">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751779C0">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0CF7AF95">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2E050C40">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2DC469A">
            <w:pPr>
              <w:autoSpaceDN w:val="0"/>
              <w:rPr>
                <w:rFonts w:ascii="仿宋" w:hAnsi="仿宋" w:eastAsia="仿宋" w:cs="仿宋"/>
                <w:color w:val="auto"/>
                <w:sz w:val="24"/>
                <w:szCs w:val="24"/>
                <w:highlight w:val="none"/>
              </w:rPr>
            </w:pPr>
          </w:p>
        </w:tc>
      </w:tr>
      <w:tr w14:paraId="38AB70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22D621E">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74B7F3F5">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4F481E2F">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4C81AE7">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608AFCB">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0B7F1C7B">
            <w:pPr>
              <w:autoSpaceDN w:val="0"/>
              <w:rPr>
                <w:rFonts w:ascii="仿宋" w:hAnsi="仿宋" w:eastAsia="仿宋" w:cs="仿宋"/>
                <w:color w:val="auto"/>
                <w:sz w:val="24"/>
                <w:szCs w:val="24"/>
                <w:highlight w:val="none"/>
              </w:rPr>
            </w:pPr>
          </w:p>
        </w:tc>
      </w:tr>
      <w:tr w14:paraId="71930F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028" w:type="dxa"/>
            <w:gridSpan w:val="5"/>
            <w:tcBorders>
              <w:top w:val="single" w:color="auto" w:sz="6" w:space="0"/>
              <w:left w:val="single" w:color="auto" w:sz="8" w:space="0"/>
              <w:bottom w:val="single" w:color="auto" w:sz="8" w:space="0"/>
              <w:right w:val="single" w:color="auto" w:sz="6" w:space="0"/>
            </w:tcBorders>
            <w:noWrap/>
            <w:vAlign w:val="center"/>
          </w:tcPr>
          <w:p w14:paraId="33ECC8B8">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1440" w:type="dxa"/>
            <w:tcBorders>
              <w:top w:val="single" w:color="auto" w:sz="6" w:space="0"/>
              <w:left w:val="single" w:color="auto" w:sz="6" w:space="0"/>
              <w:bottom w:val="single" w:color="auto" w:sz="8" w:space="0"/>
              <w:right w:val="single" w:color="auto" w:sz="8" w:space="0"/>
            </w:tcBorders>
            <w:noWrap/>
            <w:vAlign w:val="center"/>
          </w:tcPr>
          <w:p w14:paraId="503A6568">
            <w:pPr>
              <w:autoSpaceDN w:val="0"/>
              <w:rPr>
                <w:rFonts w:ascii="仿宋" w:hAnsi="仿宋" w:eastAsia="仿宋" w:cs="仿宋"/>
                <w:color w:val="auto"/>
                <w:sz w:val="24"/>
                <w:szCs w:val="24"/>
                <w:highlight w:val="none"/>
              </w:rPr>
            </w:pPr>
          </w:p>
        </w:tc>
      </w:tr>
    </w:tbl>
    <w:p w14:paraId="556C2AFC">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注：表中（1）～（4）由采购人按需要提出。</w:t>
      </w:r>
    </w:p>
    <w:p w14:paraId="6FD4E87D">
      <w:pPr>
        <w:autoSpaceDN w:val="0"/>
        <w:rPr>
          <w:rFonts w:ascii="仿宋" w:hAnsi="仿宋" w:eastAsia="仿宋" w:cs="Times New Roman"/>
          <w:color w:val="auto"/>
          <w:sz w:val="22"/>
          <w:highlight w:val="none"/>
        </w:rPr>
      </w:pPr>
    </w:p>
    <w:p w14:paraId="5CCAC4C7">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表1-5  主要工日价格表</w:t>
      </w:r>
    </w:p>
    <w:p w14:paraId="10D3A98B">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3068"/>
        <w:gridCol w:w="1323"/>
        <w:gridCol w:w="1764"/>
        <w:gridCol w:w="2425"/>
      </w:tblGrid>
      <w:tr w14:paraId="50E5A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vAlign w:val="center"/>
          </w:tcPr>
          <w:p w14:paraId="0C0C6DB4">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68" w:type="dxa"/>
            <w:tcBorders>
              <w:top w:val="single" w:color="auto" w:sz="4" w:space="0"/>
              <w:left w:val="single" w:color="auto" w:sz="4" w:space="0"/>
              <w:bottom w:val="single" w:color="auto" w:sz="4" w:space="0"/>
              <w:right w:val="single" w:color="auto" w:sz="4" w:space="0"/>
            </w:tcBorders>
            <w:noWrap/>
            <w:vAlign w:val="center"/>
          </w:tcPr>
          <w:p w14:paraId="70BE57C1">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工种</w:t>
            </w:r>
          </w:p>
        </w:tc>
        <w:tc>
          <w:tcPr>
            <w:tcW w:w="1323" w:type="dxa"/>
            <w:tcBorders>
              <w:top w:val="single" w:color="auto" w:sz="4" w:space="0"/>
              <w:left w:val="single" w:color="auto" w:sz="4" w:space="0"/>
              <w:bottom w:val="single" w:color="auto" w:sz="4" w:space="0"/>
              <w:right w:val="single" w:color="auto" w:sz="4" w:space="0"/>
            </w:tcBorders>
            <w:noWrap/>
            <w:vAlign w:val="center"/>
          </w:tcPr>
          <w:p w14:paraId="5C4ABF04">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764" w:type="dxa"/>
            <w:tcBorders>
              <w:top w:val="single" w:color="auto" w:sz="4" w:space="0"/>
              <w:left w:val="single" w:color="auto" w:sz="4" w:space="0"/>
              <w:bottom w:val="single" w:color="auto" w:sz="4" w:space="0"/>
              <w:right w:val="single" w:color="auto" w:sz="4" w:space="0"/>
            </w:tcBorders>
            <w:noWrap/>
            <w:vAlign w:val="center"/>
          </w:tcPr>
          <w:p w14:paraId="2CBE74C6">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2425" w:type="dxa"/>
            <w:tcBorders>
              <w:top w:val="single" w:color="auto" w:sz="4" w:space="0"/>
              <w:left w:val="single" w:color="auto" w:sz="4" w:space="0"/>
              <w:bottom w:val="single" w:color="auto" w:sz="4" w:space="0"/>
              <w:right w:val="single" w:color="auto" w:sz="4" w:space="0"/>
            </w:tcBorders>
            <w:noWrap/>
            <w:vAlign w:val="center"/>
          </w:tcPr>
          <w:p w14:paraId="23219342">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r>
      <w:tr w14:paraId="7FF96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33883003">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068" w:type="dxa"/>
            <w:tcBorders>
              <w:top w:val="single" w:color="auto" w:sz="4" w:space="0"/>
              <w:left w:val="single" w:color="auto" w:sz="4" w:space="0"/>
              <w:bottom w:val="single" w:color="auto" w:sz="4" w:space="0"/>
              <w:right w:val="single" w:color="auto" w:sz="4" w:space="0"/>
            </w:tcBorders>
            <w:noWrap/>
          </w:tcPr>
          <w:p w14:paraId="2D2E272C">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323" w:type="dxa"/>
            <w:tcBorders>
              <w:top w:val="single" w:color="auto" w:sz="4" w:space="0"/>
              <w:left w:val="single" w:color="auto" w:sz="4" w:space="0"/>
              <w:bottom w:val="single" w:color="auto" w:sz="4" w:space="0"/>
              <w:right w:val="single" w:color="auto" w:sz="4" w:space="0"/>
            </w:tcBorders>
            <w:noWrap/>
          </w:tcPr>
          <w:p w14:paraId="042C4B55">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工日</w:t>
            </w:r>
          </w:p>
        </w:tc>
        <w:tc>
          <w:tcPr>
            <w:tcW w:w="1764" w:type="dxa"/>
            <w:tcBorders>
              <w:top w:val="single" w:color="auto" w:sz="4" w:space="0"/>
              <w:left w:val="single" w:color="auto" w:sz="4" w:space="0"/>
              <w:bottom w:val="single" w:color="auto" w:sz="4" w:space="0"/>
              <w:right w:val="single" w:color="auto" w:sz="4" w:space="0"/>
            </w:tcBorders>
            <w:noWrap/>
          </w:tcPr>
          <w:p w14:paraId="00B41136">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2FB4388D">
            <w:pPr>
              <w:autoSpaceDN w:val="0"/>
              <w:rPr>
                <w:rFonts w:ascii="仿宋" w:hAnsi="仿宋" w:eastAsia="仿宋" w:cs="仿宋"/>
                <w:color w:val="auto"/>
                <w:sz w:val="24"/>
                <w:szCs w:val="24"/>
                <w:highlight w:val="none"/>
              </w:rPr>
            </w:pPr>
          </w:p>
        </w:tc>
      </w:tr>
      <w:tr w14:paraId="2131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2B501F03">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7D61CE06">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1C4BC876">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564DAF50">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1A90F1D3">
            <w:pPr>
              <w:autoSpaceDN w:val="0"/>
              <w:rPr>
                <w:rFonts w:ascii="仿宋" w:hAnsi="仿宋" w:eastAsia="仿宋" w:cs="仿宋"/>
                <w:color w:val="auto"/>
                <w:sz w:val="24"/>
                <w:szCs w:val="24"/>
                <w:highlight w:val="none"/>
              </w:rPr>
            </w:pPr>
          </w:p>
        </w:tc>
      </w:tr>
      <w:tr w14:paraId="69C6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27121F90">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45697699">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72CB54F8">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57462F44">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33FD96F3">
            <w:pPr>
              <w:autoSpaceDN w:val="0"/>
              <w:rPr>
                <w:rFonts w:ascii="仿宋" w:hAnsi="仿宋" w:eastAsia="仿宋" w:cs="仿宋"/>
                <w:color w:val="auto"/>
                <w:sz w:val="24"/>
                <w:szCs w:val="24"/>
                <w:highlight w:val="none"/>
              </w:rPr>
            </w:pPr>
          </w:p>
        </w:tc>
      </w:tr>
      <w:tr w14:paraId="4084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6D155943">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6B60F1C0">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5E5BE82A">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073A5F58">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536C188B">
            <w:pPr>
              <w:autoSpaceDN w:val="0"/>
              <w:rPr>
                <w:rFonts w:ascii="仿宋" w:hAnsi="仿宋" w:eastAsia="仿宋" w:cs="仿宋"/>
                <w:color w:val="auto"/>
                <w:sz w:val="24"/>
                <w:szCs w:val="24"/>
                <w:highlight w:val="none"/>
              </w:rPr>
            </w:pPr>
          </w:p>
        </w:tc>
      </w:tr>
      <w:tr w14:paraId="2DA5C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1423CB05">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707F5140">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64B01F55">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1C29A8DD">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76C1B19F">
            <w:pPr>
              <w:autoSpaceDN w:val="0"/>
              <w:rPr>
                <w:rFonts w:ascii="仿宋" w:hAnsi="仿宋" w:eastAsia="仿宋" w:cs="仿宋"/>
                <w:color w:val="auto"/>
                <w:sz w:val="24"/>
                <w:szCs w:val="24"/>
                <w:highlight w:val="none"/>
              </w:rPr>
            </w:pPr>
          </w:p>
        </w:tc>
      </w:tr>
      <w:tr w14:paraId="1570B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16B5D084">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0B38B016">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2765A207">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0323C9CB">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2ECEA826">
            <w:pPr>
              <w:autoSpaceDN w:val="0"/>
              <w:rPr>
                <w:rFonts w:ascii="仿宋" w:hAnsi="仿宋" w:eastAsia="仿宋" w:cs="仿宋"/>
                <w:color w:val="auto"/>
                <w:sz w:val="24"/>
                <w:szCs w:val="24"/>
                <w:highlight w:val="none"/>
              </w:rPr>
            </w:pPr>
          </w:p>
        </w:tc>
      </w:tr>
      <w:tr w14:paraId="6647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5A568CF1">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773076A7">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649CB207">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08C7C244">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565159D5">
            <w:pPr>
              <w:autoSpaceDN w:val="0"/>
              <w:rPr>
                <w:rFonts w:ascii="仿宋" w:hAnsi="仿宋" w:eastAsia="仿宋" w:cs="仿宋"/>
                <w:color w:val="auto"/>
                <w:sz w:val="24"/>
                <w:szCs w:val="24"/>
                <w:highlight w:val="none"/>
              </w:rPr>
            </w:pPr>
          </w:p>
        </w:tc>
      </w:tr>
      <w:tr w14:paraId="07224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48867BEC">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0DE1DBF7">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75D88FC4">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4CC00DFD">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1FC127D1">
            <w:pPr>
              <w:autoSpaceDN w:val="0"/>
              <w:rPr>
                <w:rFonts w:ascii="仿宋" w:hAnsi="仿宋" w:eastAsia="仿宋" w:cs="仿宋"/>
                <w:color w:val="auto"/>
                <w:sz w:val="24"/>
                <w:szCs w:val="24"/>
                <w:highlight w:val="none"/>
              </w:rPr>
            </w:pPr>
          </w:p>
        </w:tc>
      </w:tr>
      <w:tr w14:paraId="0B790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30BAB264">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0017CBB1">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2AE63915">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6B3118DE">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05C44D80">
            <w:pPr>
              <w:autoSpaceDN w:val="0"/>
              <w:rPr>
                <w:rFonts w:ascii="仿宋" w:hAnsi="仿宋" w:eastAsia="仿宋" w:cs="仿宋"/>
                <w:color w:val="auto"/>
                <w:sz w:val="24"/>
                <w:szCs w:val="24"/>
                <w:highlight w:val="none"/>
              </w:rPr>
            </w:pPr>
          </w:p>
        </w:tc>
      </w:tr>
      <w:tr w14:paraId="7B5C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1BC24096">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58CAF7C9">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7CDD6ED1">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4A0C99E2">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133B436C">
            <w:pPr>
              <w:autoSpaceDN w:val="0"/>
              <w:rPr>
                <w:rFonts w:ascii="仿宋" w:hAnsi="仿宋" w:eastAsia="仿宋" w:cs="仿宋"/>
                <w:color w:val="auto"/>
                <w:sz w:val="24"/>
                <w:szCs w:val="24"/>
                <w:highlight w:val="none"/>
              </w:rPr>
            </w:pPr>
          </w:p>
        </w:tc>
      </w:tr>
      <w:tr w14:paraId="7948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449E9251">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23728A33">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57A442AD">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17DA5729">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2A075B3A">
            <w:pPr>
              <w:autoSpaceDN w:val="0"/>
              <w:rPr>
                <w:rFonts w:ascii="仿宋" w:hAnsi="仿宋" w:eastAsia="仿宋" w:cs="仿宋"/>
                <w:color w:val="auto"/>
                <w:sz w:val="24"/>
                <w:szCs w:val="24"/>
                <w:highlight w:val="none"/>
              </w:rPr>
            </w:pPr>
          </w:p>
        </w:tc>
      </w:tr>
    </w:tbl>
    <w:p w14:paraId="29FF5A5D">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注：本表（1）、（2）栏由采购人按需要提出。</w:t>
      </w:r>
    </w:p>
    <w:p w14:paraId="19E005F6">
      <w:pPr>
        <w:autoSpaceDN w:val="0"/>
        <w:rPr>
          <w:rFonts w:ascii="仿宋" w:hAnsi="仿宋" w:eastAsia="仿宋" w:cs="仿宋"/>
          <w:color w:val="auto"/>
          <w:sz w:val="24"/>
          <w:szCs w:val="24"/>
          <w:highlight w:val="none"/>
        </w:rPr>
      </w:pPr>
    </w:p>
    <w:p w14:paraId="775B1D3B">
      <w:pPr>
        <w:autoSpaceDN w:val="0"/>
        <w:rPr>
          <w:rFonts w:ascii="仿宋" w:hAnsi="仿宋" w:eastAsia="仿宋" w:cs="仿宋"/>
          <w:color w:val="auto"/>
          <w:sz w:val="24"/>
          <w:szCs w:val="24"/>
          <w:highlight w:val="none"/>
        </w:rPr>
      </w:pPr>
    </w:p>
    <w:p w14:paraId="447413DC">
      <w:pPr>
        <w:widowControl/>
        <w:spacing w:beforeAutospacing="1" w:afterAutospacing="1"/>
        <w:jc w:val="left"/>
        <w:rPr>
          <w:rFonts w:ascii="仿宋" w:hAnsi="仿宋" w:eastAsia="仿宋" w:cs="Times New Roman"/>
          <w:color w:val="auto"/>
          <w:sz w:val="22"/>
          <w:highlight w:val="none"/>
        </w:rPr>
        <w:sectPr>
          <w:pgSz w:w="11906" w:h="16838"/>
          <w:pgMar w:top="1361" w:right="1191" w:bottom="1361" w:left="1191" w:header="851" w:footer="1077" w:gutter="0"/>
          <w:cols w:space="720" w:num="1"/>
          <w:docGrid w:type="lines" w:linePitch="312" w:charSpace="0"/>
        </w:sectPr>
      </w:pPr>
    </w:p>
    <w:p w14:paraId="1FDBFC05">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表1-6  主要材料及设备价格表</w:t>
      </w:r>
    </w:p>
    <w:p w14:paraId="14A6C178">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1260"/>
        <w:gridCol w:w="1260"/>
        <w:gridCol w:w="1044"/>
        <w:gridCol w:w="1260"/>
        <w:gridCol w:w="1260"/>
      </w:tblGrid>
      <w:tr w14:paraId="45B8B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14:paraId="38D754A2">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080" w:type="dxa"/>
            <w:tcBorders>
              <w:top w:val="single" w:color="auto" w:sz="4" w:space="0"/>
              <w:left w:val="single" w:color="auto" w:sz="4" w:space="0"/>
              <w:bottom w:val="single" w:color="auto" w:sz="4" w:space="0"/>
              <w:right w:val="single" w:color="auto" w:sz="4" w:space="0"/>
            </w:tcBorders>
            <w:noWrap/>
            <w:vAlign w:val="center"/>
          </w:tcPr>
          <w:p w14:paraId="19843F08">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编码</w:t>
            </w:r>
          </w:p>
        </w:tc>
        <w:tc>
          <w:tcPr>
            <w:tcW w:w="1800" w:type="dxa"/>
            <w:tcBorders>
              <w:top w:val="single" w:color="auto" w:sz="4" w:space="0"/>
              <w:left w:val="single" w:color="auto" w:sz="4" w:space="0"/>
              <w:bottom w:val="single" w:color="auto" w:sz="4" w:space="0"/>
              <w:right w:val="single" w:color="auto" w:sz="4" w:space="0"/>
            </w:tcBorders>
            <w:noWrap/>
            <w:vAlign w:val="center"/>
          </w:tcPr>
          <w:p w14:paraId="6C02F8CE">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材料或设备名称</w:t>
            </w:r>
          </w:p>
        </w:tc>
        <w:tc>
          <w:tcPr>
            <w:tcW w:w="1260" w:type="dxa"/>
            <w:tcBorders>
              <w:top w:val="single" w:color="auto" w:sz="4" w:space="0"/>
              <w:left w:val="single" w:color="auto" w:sz="4" w:space="0"/>
              <w:bottom w:val="single" w:color="auto" w:sz="4" w:space="0"/>
              <w:right w:val="single" w:color="auto" w:sz="4" w:space="0"/>
            </w:tcBorders>
            <w:noWrap/>
            <w:vAlign w:val="center"/>
          </w:tcPr>
          <w:p w14:paraId="64C1E2B5">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1260" w:type="dxa"/>
            <w:tcBorders>
              <w:top w:val="single" w:color="auto" w:sz="4" w:space="0"/>
              <w:left w:val="single" w:color="auto" w:sz="4" w:space="0"/>
              <w:bottom w:val="single" w:color="auto" w:sz="4" w:space="0"/>
              <w:right w:val="single" w:color="auto" w:sz="4" w:space="0"/>
            </w:tcBorders>
            <w:noWrap/>
            <w:vAlign w:val="center"/>
          </w:tcPr>
          <w:p w14:paraId="55F4C4FC">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044" w:type="dxa"/>
            <w:tcBorders>
              <w:top w:val="single" w:color="auto" w:sz="4" w:space="0"/>
              <w:left w:val="single" w:color="auto" w:sz="4" w:space="0"/>
              <w:bottom w:val="single" w:color="auto" w:sz="4" w:space="0"/>
              <w:right w:val="single" w:color="auto" w:sz="4" w:space="0"/>
            </w:tcBorders>
            <w:noWrap/>
            <w:vAlign w:val="center"/>
          </w:tcPr>
          <w:p w14:paraId="76BF5D27">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4979C336">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c>
          <w:tcPr>
            <w:tcW w:w="1260" w:type="dxa"/>
            <w:tcBorders>
              <w:top w:val="single" w:color="auto" w:sz="4" w:space="0"/>
              <w:left w:val="single" w:color="auto" w:sz="4" w:space="0"/>
              <w:bottom w:val="single" w:color="auto" w:sz="4" w:space="0"/>
              <w:right w:val="single" w:color="auto" w:sz="4" w:space="0"/>
            </w:tcBorders>
            <w:noWrap/>
            <w:vAlign w:val="center"/>
          </w:tcPr>
          <w:p w14:paraId="2199359C">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4413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14:paraId="4E862B49">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80" w:type="dxa"/>
            <w:tcBorders>
              <w:top w:val="single" w:color="auto" w:sz="4" w:space="0"/>
              <w:left w:val="single" w:color="auto" w:sz="4" w:space="0"/>
              <w:bottom w:val="single" w:color="auto" w:sz="4" w:space="0"/>
              <w:right w:val="single" w:color="auto" w:sz="4" w:space="0"/>
            </w:tcBorders>
            <w:noWrap/>
            <w:vAlign w:val="center"/>
          </w:tcPr>
          <w:p w14:paraId="751B8080">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00" w:type="dxa"/>
            <w:tcBorders>
              <w:top w:val="single" w:color="auto" w:sz="4" w:space="0"/>
              <w:left w:val="single" w:color="auto" w:sz="4" w:space="0"/>
              <w:bottom w:val="single" w:color="auto" w:sz="4" w:space="0"/>
              <w:right w:val="single" w:color="auto" w:sz="4" w:space="0"/>
            </w:tcBorders>
            <w:noWrap/>
            <w:vAlign w:val="center"/>
          </w:tcPr>
          <w:p w14:paraId="577F4905">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260" w:type="dxa"/>
            <w:tcBorders>
              <w:top w:val="single" w:color="auto" w:sz="4" w:space="0"/>
              <w:left w:val="single" w:color="auto" w:sz="4" w:space="0"/>
              <w:bottom w:val="single" w:color="auto" w:sz="4" w:space="0"/>
              <w:right w:val="single" w:color="auto" w:sz="4" w:space="0"/>
            </w:tcBorders>
            <w:noWrap/>
            <w:vAlign w:val="center"/>
          </w:tcPr>
          <w:p w14:paraId="7CB436C4">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260" w:type="dxa"/>
            <w:tcBorders>
              <w:top w:val="single" w:color="auto" w:sz="4" w:space="0"/>
              <w:left w:val="single" w:color="auto" w:sz="4" w:space="0"/>
              <w:bottom w:val="single" w:color="auto" w:sz="4" w:space="0"/>
              <w:right w:val="single" w:color="auto" w:sz="4" w:space="0"/>
            </w:tcBorders>
            <w:noWrap/>
            <w:vAlign w:val="center"/>
          </w:tcPr>
          <w:p w14:paraId="6D85517D">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044" w:type="dxa"/>
            <w:tcBorders>
              <w:top w:val="single" w:color="auto" w:sz="4" w:space="0"/>
              <w:left w:val="single" w:color="auto" w:sz="4" w:space="0"/>
              <w:bottom w:val="single" w:color="auto" w:sz="4" w:space="0"/>
              <w:right w:val="single" w:color="auto" w:sz="4" w:space="0"/>
            </w:tcBorders>
            <w:noWrap/>
            <w:vAlign w:val="center"/>
          </w:tcPr>
          <w:p w14:paraId="6A345643">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1550B1F5">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3F65A806">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r>
      <w:tr w14:paraId="04EB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75434D03">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14AC9C81">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5266D9CC">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E2717B7">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F00882E">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28971E1E">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C62D2D2">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AD4CCE4">
            <w:pPr>
              <w:autoSpaceDN w:val="0"/>
              <w:rPr>
                <w:rFonts w:ascii="仿宋" w:hAnsi="仿宋" w:eastAsia="仿宋" w:cs="仿宋"/>
                <w:color w:val="auto"/>
                <w:sz w:val="24"/>
                <w:szCs w:val="24"/>
                <w:highlight w:val="none"/>
              </w:rPr>
            </w:pPr>
          </w:p>
        </w:tc>
      </w:tr>
      <w:tr w14:paraId="308B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72CAEA1F">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3DFFB707">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5C378BE2">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3CA67C9">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30B7A8F">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514F54EC">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5E03631">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2C9702E">
            <w:pPr>
              <w:autoSpaceDN w:val="0"/>
              <w:rPr>
                <w:rFonts w:ascii="仿宋" w:hAnsi="仿宋" w:eastAsia="仿宋" w:cs="仿宋"/>
                <w:color w:val="auto"/>
                <w:sz w:val="24"/>
                <w:szCs w:val="24"/>
                <w:highlight w:val="none"/>
              </w:rPr>
            </w:pPr>
          </w:p>
        </w:tc>
      </w:tr>
      <w:tr w14:paraId="21A9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7F1D5173">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647B67E">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621FB0E1">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CB9535C">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1B63E0E">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11C01A92">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042C3D0">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7520830">
            <w:pPr>
              <w:autoSpaceDN w:val="0"/>
              <w:rPr>
                <w:rFonts w:ascii="仿宋" w:hAnsi="仿宋" w:eastAsia="仿宋" w:cs="仿宋"/>
                <w:color w:val="auto"/>
                <w:sz w:val="24"/>
                <w:szCs w:val="24"/>
                <w:highlight w:val="none"/>
              </w:rPr>
            </w:pPr>
          </w:p>
        </w:tc>
      </w:tr>
      <w:tr w14:paraId="282E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158FC9F9">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3A136235">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401CCAF4">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EBFA7AD">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E37B4F2">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0AB28459">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AE5A925">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343A140">
            <w:pPr>
              <w:autoSpaceDN w:val="0"/>
              <w:rPr>
                <w:rFonts w:ascii="仿宋" w:hAnsi="仿宋" w:eastAsia="仿宋" w:cs="仿宋"/>
                <w:color w:val="auto"/>
                <w:sz w:val="24"/>
                <w:szCs w:val="24"/>
                <w:highlight w:val="none"/>
              </w:rPr>
            </w:pPr>
          </w:p>
        </w:tc>
      </w:tr>
      <w:tr w14:paraId="5F4D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5A672AE0">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C39655E">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0B29A2FE">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C69B909">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F3C2C09">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61E842F1">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11E94F2">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5A052F5">
            <w:pPr>
              <w:autoSpaceDN w:val="0"/>
              <w:rPr>
                <w:rFonts w:ascii="仿宋" w:hAnsi="仿宋" w:eastAsia="仿宋" w:cs="仿宋"/>
                <w:color w:val="auto"/>
                <w:sz w:val="24"/>
                <w:szCs w:val="24"/>
                <w:highlight w:val="none"/>
              </w:rPr>
            </w:pPr>
          </w:p>
        </w:tc>
      </w:tr>
      <w:tr w14:paraId="0B61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1EEB87EF">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6C13CEC">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72A36F8">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6F3F252">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FB5D368">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579B3581">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02308C5">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C08034B">
            <w:pPr>
              <w:autoSpaceDN w:val="0"/>
              <w:rPr>
                <w:rFonts w:ascii="仿宋" w:hAnsi="仿宋" w:eastAsia="仿宋" w:cs="仿宋"/>
                <w:color w:val="auto"/>
                <w:sz w:val="24"/>
                <w:szCs w:val="24"/>
                <w:highlight w:val="none"/>
              </w:rPr>
            </w:pPr>
          </w:p>
        </w:tc>
      </w:tr>
      <w:tr w14:paraId="3AEA8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4400810A">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5A360EFF">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3958947">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8584FF2">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5957C0C">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4995934">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5DA7048">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D7BDFDC">
            <w:pPr>
              <w:autoSpaceDN w:val="0"/>
              <w:rPr>
                <w:rFonts w:ascii="仿宋" w:hAnsi="仿宋" w:eastAsia="仿宋" w:cs="仿宋"/>
                <w:color w:val="auto"/>
                <w:sz w:val="24"/>
                <w:szCs w:val="24"/>
                <w:highlight w:val="none"/>
              </w:rPr>
            </w:pPr>
          </w:p>
        </w:tc>
      </w:tr>
      <w:tr w14:paraId="49717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505AE4B2">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0467CCF">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C82EBF6">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0978210">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35A8DA6">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C808B76">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151F892">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6CA6FD5">
            <w:pPr>
              <w:autoSpaceDN w:val="0"/>
              <w:rPr>
                <w:rFonts w:ascii="仿宋" w:hAnsi="仿宋" w:eastAsia="仿宋" w:cs="仿宋"/>
                <w:color w:val="auto"/>
                <w:sz w:val="24"/>
                <w:szCs w:val="24"/>
                <w:highlight w:val="none"/>
              </w:rPr>
            </w:pPr>
          </w:p>
        </w:tc>
      </w:tr>
      <w:tr w14:paraId="5B67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64F83979">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00F10C43">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0A5C5F1">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99C69FF">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7048C06">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4D45D789">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121D347">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533BCDF">
            <w:pPr>
              <w:autoSpaceDN w:val="0"/>
              <w:rPr>
                <w:rFonts w:ascii="仿宋" w:hAnsi="仿宋" w:eastAsia="仿宋" w:cs="仿宋"/>
                <w:color w:val="auto"/>
                <w:sz w:val="24"/>
                <w:szCs w:val="24"/>
                <w:highlight w:val="none"/>
              </w:rPr>
            </w:pPr>
          </w:p>
        </w:tc>
      </w:tr>
      <w:tr w14:paraId="2021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6D84FFF4">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4ACCD359">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76D6EF3F">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64BD05E">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67BE7E5">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A26DCB9">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8CBE5FF">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A37DBB0">
            <w:pPr>
              <w:autoSpaceDN w:val="0"/>
              <w:rPr>
                <w:rFonts w:ascii="仿宋" w:hAnsi="仿宋" w:eastAsia="仿宋" w:cs="仿宋"/>
                <w:color w:val="auto"/>
                <w:sz w:val="24"/>
                <w:szCs w:val="24"/>
                <w:highlight w:val="none"/>
              </w:rPr>
            </w:pPr>
          </w:p>
        </w:tc>
      </w:tr>
      <w:tr w14:paraId="11121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253AC652">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72CE2AC0">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7C6DA37C">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6D750F6">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5553C89">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A2FF82E">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693F90C">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2E3FCBC">
            <w:pPr>
              <w:autoSpaceDN w:val="0"/>
              <w:rPr>
                <w:rFonts w:ascii="仿宋" w:hAnsi="仿宋" w:eastAsia="仿宋" w:cs="仿宋"/>
                <w:color w:val="auto"/>
                <w:sz w:val="24"/>
                <w:szCs w:val="24"/>
                <w:highlight w:val="none"/>
              </w:rPr>
            </w:pPr>
          </w:p>
        </w:tc>
      </w:tr>
    </w:tbl>
    <w:p w14:paraId="58B74A8A">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注：1、表（1）（2）（3）（5）（6）栏由采购人按需要提出，磋商响应供应商可补充。</w:t>
      </w:r>
    </w:p>
    <w:p w14:paraId="78A04477">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2、本表的材料及设备包括原材料、燃料、构配件以及按规定应计入建筑安装工程造价的设备。</w:t>
      </w:r>
    </w:p>
    <w:p w14:paraId="379081BB">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3、采购人指定、提供或暂定的材料和设备，按杭州市工程量清单计价实施细则的规定填写。</w:t>
      </w:r>
    </w:p>
    <w:p w14:paraId="49EA1B2E">
      <w:pPr>
        <w:widowControl/>
        <w:spacing w:beforeAutospacing="1" w:afterAutospacing="1"/>
        <w:jc w:val="left"/>
        <w:rPr>
          <w:rFonts w:ascii="仿宋" w:hAnsi="仿宋" w:eastAsia="仿宋" w:cs="仿宋"/>
          <w:color w:val="auto"/>
          <w:sz w:val="24"/>
          <w:szCs w:val="24"/>
          <w:highlight w:val="none"/>
        </w:rPr>
        <w:sectPr>
          <w:pgSz w:w="11906" w:h="16838"/>
          <w:pgMar w:top="1614" w:right="1191" w:bottom="1361" w:left="1191" w:header="851" w:footer="1077" w:gutter="0"/>
          <w:cols w:space="720" w:num="1"/>
          <w:docGrid w:type="linesAndChars" w:linePitch="312" w:charSpace="0"/>
        </w:sectPr>
      </w:pPr>
    </w:p>
    <w:p w14:paraId="5181FF56">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表1-7  主要机械台班价格表</w:t>
      </w:r>
    </w:p>
    <w:p w14:paraId="7517F2D6">
      <w:pPr>
        <w:autoSpaceDN w:val="0"/>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6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60"/>
        <w:gridCol w:w="1244"/>
        <w:gridCol w:w="1260"/>
        <w:gridCol w:w="2340"/>
      </w:tblGrid>
      <w:tr w14:paraId="0DA3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14:paraId="1BB5B233">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60" w:type="dxa"/>
            <w:tcBorders>
              <w:top w:val="single" w:color="auto" w:sz="4" w:space="0"/>
              <w:left w:val="single" w:color="auto" w:sz="4" w:space="0"/>
              <w:bottom w:val="single" w:color="auto" w:sz="4" w:space="0"/>
              <w:right w:val="single" w:color="auto" w:sz="4" w:space="0"/>
            </w:tcBorders>
            <w:noWrap/>
            <w:vAlign w:val="center"/>
          </w:tcPr>
          <w:p w14:paraId="1E1F8C35">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机械设备名称</w:t>
            </w:r>
          </w:p>
        </w:tc>
        <w:tc>
          <w:tcPr>
            <w:tcW w:w="1244" w:type="dxa"/>
            <w:tcBorders>
              <w:top w:val="single" w:color="auto" w:sz="4" w:space="0"/>
              <w:left w:val="single" w:color="auto" w:sz="4" w:space="0"/>
              <w:bottom w:val="single" w:color="auto" w:sz="4" w:space="0"/>
              <w:right w:val="single" w:color="auto" w:sz="4" w:space="0"/>
            </w:tcBorders>
            <w:noWrap/>
            <w:vAlign w:val="center"/>
          </w:tcPr>
          <w:p w14:paraId="059CA988">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260" w:type="dxa"/>
            <w:tcBorders>
              <w:top w:val="single" w:color="auto" w:sz="4" w:space="0"/>
              <w:left w:val="single" w:color="auto" w:sz="4" w:space="0"/>
              <w:bottom w:val="single" w:color="auto" w:sz="4" w:space="0"/>
              <w:right w:val="single" w:color="auto" w:sz="4" w:space="0"/>
            </w:tcBorders>
            <w:noWrap/>
            <w:vAlign w:val="center"/>
          </w:tcPr>
          <w:p w14:paraId="50CDF922">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2340" w:type="dxa"/>
            <w:tcBorders>
              <w:top w:val="single" w:color="auto" w:sz="4" w:space="0"/>
              <w:left w:val="single" w:color="auto" w:sz="4" w:space="0"/>
              <w:bottom w:val="single" w:color="auto" w:sz="4" w:space="0"/>
              <w:right w:val="single" w:color="auto" w:sz="4" w:space="0"/>
            </w:tcBorders>
            <w:noWrap/>
            <w:vAlign w:val="center"/>
          </w:tcPr>
          <w:p w14:paraId="1CEE9797">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r>
      <w:tr w14:paraId="56EE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14:paraId="6F0D185D">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060" w:type="dxa"/>
            <w:tcBorders>
              <w:top w:val="single" w:color="auto" w:sz="4" w:space="0"/>
              <w:left w:val="single" w:color="auto" w:sz="4" w:space="0"/>
              <w:bottom w:val="single" w:color="auto" w:sz="4" w:space="0"/>
              <w:right w:val="single" w:color="auto" w:sz="4" w:space="0"/>
            </w:tcBorders>
            <w:noWrap/>
            <w:vAlign w:val="center"/>
          </w:tcPr>
          <w:p w14:paraId="78988568">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244" w:type="dxa"/>
            <w:tcBorders>
              <w:top w:val="single" w:color="auto" w:sz="4" w:space="0"/>
              <w:left w:val="single" w:color="auto" w:sz="4" w:space="0"/>
              <w:bottom w:val="single" w:color="auto" w:sz="4" w:space="0"/>
              <w:right w:val="single" w:color="auto" w:sz="4" w:space="0"/>
            </w:tcBorders>
            <w:noWrap/>
            <w:vAlign w:val="center"/>
          </w:tcPr>
          <w:p w14:paraId="51BC9D1A">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台班</w:t>
            </w:r>
          </w:p>
        </w:tc>
        <w:tc>
          <w:tcPr>
            <w:tcW w:w="1260" w:type="dxa"/>
            <w:tcBorders>
              <w:top w:val="single" w:color="auto" w:sz="4" w:space="0"/>
              <w:left w:val="single" w:color="auto" w:sz="4" w:space="0"/>
              <w:bottom w:val="single" w:color="auto" w:sz="4" w:space="0"/>
              <w:right w:val="single" w:color="auto" w:sz="4" w:space="0"/>
            </w:tcBorders>
            <w:noWrap/>
          </w:tcPr>
          <w:p w14:paraId="61CE2D50">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68470478">
            <w:pPr>
              <w:autoSpaceDN w:val="0"/>
              <w:rPr>
                <w:rFonts w:ascii="仿宋" w:hAnsi="仿宋" w:eastAsia="仿宋" w:cs="仿宋"/>
                <w:color w:val="auto"/>
                <w:sz w:val="24"/>
                <w:szCs w:val="24"/>
                <w:highlight w:val="none"/>
              </w:rPr>
            </w:pPr>
          </w:p>
        </w:tc>
      </w:tr>
      <w:tr w14:paraId="275E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13092853">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AB57FDC">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8896EA1">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939B858">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7C54DE5B">
            <w:pPr>
              <w:autoSpaceDN w:val="0"/>
              <w:rPr>
                <w:rFonts w:ascii="仿宋" w:hAnsi="仿宋" w:eastAsia="仿宋" w:cs="仿宋"/>
                <w:color w:val="auto"/>
                <w:sz w:val="24"/>
                <w:szCs w:val="24"/>
                <w:highlight w:val="none"/>
              </w:rPr>
            </w:pPr>
          </w:p>
        </w:tc>
      </w:tr>
      <w:tr w14:paraId="54427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76600CCB">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47301E2B">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299C9812">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61DD629">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54B4C7AB">
            <w:pPr>
              <w:autoSpaceDN w:val="0"/>
              <w:rPr>
                <w:rFonts w:ascii="仿宋" w:hAnsi="仿宋" w:eastAsia="仿宋" w:cs="仿宋"/>
                <w:color w:val="auto"/>
                <w:sz w:val="24"/>
                <w:szCs w:val="24"/>
                <w:highlight w:val="none"/>
              </w:rPr>
            </w:pPr>
          </w:p>
        </w:tc>
      </w:tr>
      <w:tr w14:paraId="3E1FE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6C0A5D18">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1285142B">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2035CBF8">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970924E">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EF05C13">
            <w:pPr>
              <w:autoSpaceDN w:val="0"/>
              <w:rPr>
                <w:rFonts w:ascii="仿宋" w:hAnsi="仿宋" w:eastAsia="仿宋" w:cs="仿宋"/>
                <w:color w:val="auto"/>
                <w:sz w:val="24"/>
                <w:szCs w:val="24"/>
                <w:highlight w:val="none"/>
              </w:rPr>
            </w:pPr>
          </w:p>
        </w:tc>
      </w:tr>
      <w:tr w14:paraId="156A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56B527E5">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0C003DEB">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7227459B">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E111890">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32D7E5A2">
            <w:pPr>
              <w:autoSpaceDN w:val="0"/>
              <w:rPr>
                <w:rFonts w:ascii="仿宋" w:hAnsi="仿宋" w:eastAsia="仿宋" w:cs="仿宋"/>
                <w:color w:val="auto"/>
                <w:sz w:val="24"/>
                <w:szCs w:val="24"/>
                <w:highlight w:val="none"/>
              </w:rPr>
            </w:pPr>
          </w:p>
        </w:tc>
      </w:tr>
      <w:tr w14:paraId="115D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0D6DA118">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5973B68">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655689AA">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5B9EC1C">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72562F53">
            <w:pPr>
              <w:autoSpaceDN w:val="0"/>
              <w:rPr>
                <w:rFonts w:ascii="仿宋" w:hAnsi="仿宋" w:eastAsia="仿宋" w:cs="仿宋"/>
                <w:color w:val="auto"/>
                <w:sz w:val="24"/>
                <w:szCs w:val="24"/>
                <w:highlight w:val="none"/>
              </w:rPr>
            </w:pPr>
          </w:p>
        </w:tc>
      </w:tr>
      <w:tr w14:paraId="7559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1FA75B9E">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093DD18C">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7219AFD6">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53B8C2D">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361E57A7">
            <w:pPr>
              <w:autoSpaceDN w:val="0"/>
              <w:rPr>
                <w:rFonts w:ascii="仿宋" w:hAnsi="仿宋" w:eastAsia="仿宋" w:cs="仿宋"/>
                <w:color w:val="auto"/>
                <w:sz w:val="24"/>
                <w:szCs w:val="24"/>
                <w:highlight w:val="none"/>
              </w:rPr>
            </w:pPr>
          </w:p>
        </w:tc>
      </w:tr>
      <w:tr w14:paraId="2F1D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53DF89D0">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15CBB8E4">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45F44E68">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126B918">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10FBCCEC">
            <w:pPr>
              <w:autoSpaceDN w:val="0"/>
              <w:rPr>
                <w:rFonts w:ascii="仿宋" w:hAnsi="仿宋" w:eastAsia="仿宋" w:cs="仿宋"/>
                <w:color w:val="auto"/>
                <w:sz w:val="24"/>
                <w:szCs w:val="24"/>
                <w:highlight w:val="none"/>
              </w:rPr>
            </w:pPr>
          </w:p>
        </w:tc>
      </w:tr>
      <w:tr w14:paraId="5D40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7C0905E4">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308A77B3">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63E537E">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526069F">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5064BF82">
            <w:pPr>
              <w:autoSpaceDN w:val="0"/>
              <w:rPr>
                <w:rFonts w:ascii="仿宋" w:hAnsi="仿宋" w:eastAsia="仿宋" w:cs="仿宋"/>
                <w:color w:val="auto"/>
                <w:sz w:val="24"/>
                <w:szCs w:val="24"/>
                <w:highlight w:val="none"/>
              </w:rPr>
            </w:pPr>
          </w:p>
        </w:tc>
      </w:tr>
      <w:tr w14:paraId="61A5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6C53E425">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1868F2B">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92A5A19">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D27024D">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5DBB8E41">
            <w:pPr>
              <w:autoSpaceDN w:val="0"/>
              <w:rPr>
                <w:rFonts w:ascii="仿宋" w:hAnsi="仿宋" w:eastAsia="仿宋" w:cs="仿宋"/>
                <w:color w:val="auto"/>
                <w:sz w:val="24"/>
                <w:szCs w:val="24"/>
                <w:highlight w:val="none"/>
              </w:rPr>
            </w:pPr>
          </w:p>
        </w:tc>
      </w:tr>
      <w:tr w14:paraId="75FA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2A37B13A">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5CD42052">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13D333EA">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1A50C5D">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B89FE68">
            <w:pPr>
              <w:autoSpaceDN w:val="0"/>
              <w:rPr>
                <w:rFonts w:ascii="仿宋" w:hAnsi="仿宋" w:eastAsia="仿宋" w:cs="仿宋"/>
                <w:color w:val="auto"/>
                <w:sz w:val="24"/>
                <w:szCs w:val="24"/>
                <w:highlight w:val="none"/>
              </w:rPr>
            </w:pPr>
          </w:p>
        </w:tc>
      </w:tr>
      <w:tr w14:paraId="600E7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3CD873B7">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532B32C">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274506DC">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48EC0A8">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1632A215">
            <w:pPr>
              <w:autoSpaceDN w:val="0"/>
              <w:rPr>
                <w:rFonts w:ascii="仿宋" w:hAnsi="仿宋" w:eastAsia="仿宋" w:cs="仿宋"/>
                <w:color w:val="auto"/>
                <w:sz w:val="24"/>
                <w:szCs w:val="24"/>
                <w:highlight w:val="none"/>
              </w:rPr>
            </w:pPr>
          </w:p>
        </w:tc>
      </w:tr>
      <w:tr w14:paraId="3C46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3017CBB2">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3FA24FFF">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679EE7DA">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77C5F91">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36BD0F8">
            <w:pPr>
              <w:autoSpaceDN w:val="0"/>
              <w:rPr>
                <w:rFonts w:ascii="仿宋" w:hAnsi="仿宋" w:eastAsia="仿宋" w:cs="仿宋"/>
                <w:color w:val="auto"/>
                <w:sz w:val="24"/>
                <w:szCs w:val="24"/>
                <w:highlight w:val="none"/>
              </w:rPr>
            </w:pPr>
          </w:p>
        </w:tc>
      </w:tr>
      <w:tr w14:paraId="2A9E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010C62BE">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15BFE5CE">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62EB75A">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47AD742">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687E3DC">
            <w:pPr>
              <w:autoSpaceDN w:val="0"/>
              <w:rPr>
                <w:rFonts w:ascii="仿宋" w:hAnsi="仿宋" w:eastAsia="仿宋" w:cs="仿宋"/>
                <w:color w:val="auto"/>
                <w:sz w:val="24"/>
                <w:szCs w:val="24"/>
                <w:highlight w:val="none"/>
              </w:rPr>
            </w:pPr>
          </w:p>
        </w:tc>
      </w:tr>
    </w:tbl>
    <w:p w14:paraId="2FA8A082">
      <w:pPr>
        <w:autoSpaceDN w:val="0"/>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注：表（1）（2）由采购人按需要提出，磋商响应供应商可补充。</w:t>
      </w:r>
    </w:p>
    <w:p w14:paraId="41BBB1C3">
      <w:pPr>
        <w:autoSpaceDN w:val="0"/>
        <w:rPr>
          <w:rFonts w:ascii="仿宋" w:hAnsi="仿宋" w:eastAsia="仿宋" w:cs="Times New Roman"/>
          <w:color w:val="auto"/>
          <w:sz w:val="22"/>
          <w:highlight w:val="none"/>
        </w:rPr>
      </w:pPr>
    </w:p>
    <w:p w14:paraId="69C2B04E">
      <w:pPr>
        <w:autoSpaceDN w:val="0"/>
        <w:rPr>
          <w:rFonts w:ascii="仿宋" w:hAnsi="仿宋" w:eastAsia="仿宋" w:cs="Times New Roman"/>
          <w:color w:val="auto"/>
          <w:sz w:val="22"/>
          <w:highlight w:val="none"/>
        </w:rPr>
      </w:pPr>
    </w:p>
    <w:p w14:paraId="08FAB888">
      <w:pPr>
        <w:autoSpaceDN w:val="0"/>
        <w:rPr>
          <w:rFonts w:ascii="仿宋" w:hAnsi="仿宋" w:eastAsia="仿宋" w:cs="Times New Roman"/>
          <w:color w:val="auto"/>
          <w:sz w:val="22"/>
          <w:highlight w:val="none"/>
        </w:rPr>
      </w:pPr>
    </w:p>
    <w:p w14:paraId="0FD13E53">
      <w:pPr>
        <w:widowControl/>
        <w:spacing w:beforeAutospacing="1" w:afterAutospacing="1"/>
        <w:jc w:val="left"/>
        <w:rPr>
          <w:rFonts w:ascii="仿宋" w:hAnsi="仿宋" w:eastAsia="仿宋" w:cs="Times New Roman"/>
          <w:color w:val="auto"/>
          <w:sz w:val="22"/>
          <w:highlight w:val="none"/>
        </w:rPr>
        <w:sectPr>
          <w:pgSz w:w="11906" w:h="16838"/>
          <w:pgMar w:top="1614" w:right="1191" w:bottom="1361" w:left="1191" w:header="851" w:footer="1077" w:gutter="0"/>
          <w:cols w:space="720" w:num="1"/>
          <w:docGrid w:type="lines" w:linePitch="312" w:charSpace="0"/>
        </w:sectPr>
      </w:pPr>
    </w:p>
    <w:p w14:paraId="5B65E67C">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表2-1  分部分项工程量清单综合单价分析表</w:t>
      </w:r>
    </w:p>
    <w:p w14:paraId="23487608">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清单号：                                        第页共页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34"/>
        <w:gridCol w:w="1634"/>
        <w:gridCol w:w="909"/>
        <w:gridCol w:w="909"/>
        <w:gridCol w:w="1089"/>
        <w:gridCol w:w="1089"/>
        <w:gridCol w:w="1089"/>
        <w:gridCol w:w="1089"/>
        <w:gridCol w:w="909"/>
        <w:gridCol w:w="995"/>
        <w:gridCol w:w="909"/>
        <w:gridCol w:w="1353"/>
      </w:tblGrid>
      <w:tr w14:paraId="3B5E7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4" w:type="dxa"/>
            <w:vMerge w:val="restart"/>
            <w:tcBorders>
              <w:top w:val="single" w:color="auto" w:sz="4" w:space="0"/>
              <w:left w:val="single" w:color="auto" w:sz="4" w:space="0"/>
              <w:bottom w:val="single" w:color="auto" w:sz="4" w:space="0"/>
              <w:right w:val="single" w:color="auto" w:sz="4" w:space="0"/>
            </w:tcBorders>
            <w:vAlign w:val="center"/>
          </w:tcPr>
          <w:p w14:paraId="44EC570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14:paraId="5BF1AAA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编号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14:paraId="0BE9705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14:paraId="74CF0DF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计量单位</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14:paraId="0BB8CD7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7169" w:type="dxa"/>
            <w:gridSpan w:val="7"/>
            <w:tcBorders>
              <w:top w:val="single" w:color="auto" w:sz="4" w:space="0"/>
              <w:left w:val="single" w:color="auto" w:sz="4" w:space="0"/>
              <w:bottom w:val="single" w:color="auto" w:sz="4" w:space="0"/>
              <w:right w:val="single" w:color="auto" w:sz="4" w:space="0"/>
            </w:tcBorders>
            <w:vAlign w:val="center"/>
          </w:tcPr>
          <w:p w14:paraId="1C6627A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  合  单  价（元）</w:t>
            </w:r>
          </w:p>
        </w:tc>
        <w:tc>
          <w:tcPr>
            <w:tcW w:w="1353" w:type="dxa"/>
            <w:vMerge w:val="restart"/>
            <w:tcBorders>
              <w:top w:val="single" w:color="auto" w:sz="4" w:space="0"/>
              <w:left w:val="single" w:color="auto" w:sz="4" w:space="0"/>
              <w:bottom w:val="single" w:color="auto" w:sz="4" w:space="0"/>
              <w:right w:val="single" w:color="auto" w:sz="4" w:space="0"/>
            </w:tcBorders>
            <w:vAlign w:val="center"/>
          </w:tcPr>
          <w:p w14:paraId="7171613C">
            <w:pPr>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合计(元)</w:t>
            </w:r>
          </w:p>
        </w:tc>
      </w:tr>
      <w:tr w14:paraId="08BB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62143D7">
            <w:pPr>
              <w:widowControl/>
              <w:jc w:val="left"/>
              <w:rPr>
                <w:rFonts w:ascii="仿宋" w:hAnsi="仿宋" w:eastAsia="仿宋" w:cs="仿宋"/>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860FADE">
            <w:pPr>
              <w:widowControl/>
              <w:jc w:val="left"/>
              <w:rPr>
                <w:rFonts w:ascii="仿宋" w:hAnsi="仿宋" w:eastAsia="仿宋" w:cs="仿宋"/>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483E619">
            <w:pPr>
              <w:widowControl/>
              <w:jc w:val="left"/>
              <w:rPr>
                <w:rFonts w:ascii="仿宋" w:hAnsi="仿宋" w:eastAsia="仿宋" w:cs="仿宋"/>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615C0AF">
            <w:pPr>
              <w:widowControl/>
              <w:jc w:val="left"/>
              <w:rPr>
                <w:rFonts w:ascii="仿宋" w:hAnsi="仿宋" w:eastAsia="仿宋" w:cs="仿宋"/>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75F0C7D">
            <w:pPr>
              <w:widowControl/>
              <w:jc w:val="left"/>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14:paraId="6CEAC63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人工费</w:t>
            </w:r>
          </w:p>
        </w:tc>
        <w:tc>
          <w:tcPr>
            <w:tcW w:w="1089" w:type="dxa"/>
            <w:tcBorders>
              <w:top w:val="single" w:color="auto" w:sz="4" w:space="0"/>
              <w:left w:val="single" w:color="auto" w:sz="4" w:space="0"/>
              <w:bottom w:val="single" w:color="auto" w:sz="4" w:space="0"/>
              <w:right w:val="single" w:color="auto" w:sz="4" w:space="0"/>
            </w:tcBorders>
            <w:vAlign w:val="center"/>
          </w:tcPr>
          <w:p w14:paraId="5E544A19">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材料费</w:t>
            </w:r>
          </w:p>
        </w:tc>
        <w:tc>
          <w:tcPr>
            <w:tcW w:w="1089" w:type="dxa"/>
            <w:tcBorders>
              <w:top w:val="single" w:color="auto" w:sz="4" w:space="0"/>
              <w:left w:val="single" w:color="auto" w:sz="4" w:space="0"/>
              <w:bottom w:val="single" w:color="auto" w:sz="4" w:space="0"/>
              <w:right w:val="single" w:color="auto" w:sz="4" w:space="0"/>
            </w:tcBorders>
            <w:vAlign w:val="center"/>
          </w:tcPr>
          <w:p w14:paraId="7D0CECC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机械费</w:t>
            </w:r>
          </w:p>
        </w:tc>
        <w:tc>
          <w:tcPr>
            <w:tcW w:w="1089" w:type="dxa"/>
            <w:tcBorders>
              <w:top w:val="single" w:color="auto" w:sz="4" w:space="0"/>
              <w:left w:val="single" w:color="auto" w:sz="4" w:space="0"/>
              <w:bottom w:val="single" w:color="auto" w:sz="4" w:space="0"/>
              <w:right w:val="single" w:color="auto" w:sz="4" w:space="0"/>
            </w:tcBorders>
            <w:vAlign w:val="center"/>
          </w:tcPr>
          <w:p w14:paraId="43B5D6B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管理费</w:t>
            </w:r>
          </w:p>
        </w:tc>
        <w:tc>
          <w:tcPr>
            <w:tcW w:w="909" w:type="dxa"/>
            <w:tcBorders>
              <w:top w:val="single" w:color="auto" w:sz="4" w:space="0"/>
              <w:left w:val="single" w:color="auto" w:sz="4" w:space="0"/>
              <w:bottom w:val="single" w:color="auto" w:sz="4" w:space="0"/>
              <w:right w:val="single" w:color="auto" w:sz="4" w:space="0"/>
            </w:tcBorders>
            <w:vAlign w:val="center"/>
          </w:tcPr>
          <w:p w14:paraId="49E1D346">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利润</w:t>
            </w:r>
          </w:p>
        </w:tc>
        <w:tc>
          <w:tcPr>
            <w:tcW w:w="995" w:type="dxa"/>
            <w:tcBorders>
              <w:top w:val="single" w:color="auto" w:sz="4" w:space="0"/>
              <w:left w:val="single" w:color="auto" w:sz="4" w:space="0"/>
              <w:bottom w:val="single" w:color="auto" w:sz="4" w:space="0"/>
              <w:right w:val="single" w:color="auto" w:sz="4" w:space="0"/>
            </w:tcBorders>
            <w:vAlign w:val="center"/>
          </w:tcPr>
          <w:p w14:paraId="7A68F79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风险费用</w:t>
            </w:r>
          </w:p>
        </w:tc>
        <w:tc>
          <w:tcPr>
            <w:tcW w:w="909" w:type="dxa"/>
            <w:tcBorders>
              <w:top w:val="single" w:color="auto" w:sz="4" w:space="0"/>
              <w:left w:val="single" w:color="auto" w:sz="4" w:space="0"/>
              <w:bottom w:val="single" w:color="auto" w:sz="4" w:space="0"/>
              <w:right w:val="single" w:color="auto" w:sz="4" w:space="0"/>
            </w:tcBorders>
            <w:vAlign w:val="center"/>
          </w:tcPr>
          <w:p w14:paraId="6CC9CCE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小计</w:t>
            </w:r>
          </w:p>
        </w:tc>
        <w:tc>
          <w:tcPr>
            <w:tcW w:w="1653" w:type="dxa"/>
            <w:vMerge w:val="continue"/>
            <w:tcBorders>
              <w:top w:val="single" w:color="auto" w:sz="4" w:space="0"/>
              <w:left w:val="single" w:color="auto" w:sz="4" w:space="0"/>
              <w:bottom w:val="single" w:color="auto" w:sz="4" w:space="0"/>
              <w:right w:val="single" w:color="auto" w:sz="4" w:space="0"/>
            </w:tcBorders>
            <w:vAlign w:val="center"/>
          </w:tcPr>
          <w:p w14:paraId="0B0EF44A">
            <w:pPr>
              <w:widowControl/>
              <w:jc w:val="left"/>
              <w:rPr>
                <w:rFonts w:ascii="仿宋" w:hAnsi="仿宋" w:eastAsia="仿宋" w:cs="仿宋"/>
                <w:color w:val="auto"/>
                <w:sz w:val="24"/>
                <w:szCs w:val="24"/>
                <w:highlight w:val="none"/>
              </w:rPr>
            </w:pPr>
          </w:p>
        </w:tc>
      </w:tr>
      <w:tr w14:paraId="4B10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4" w:type="dxa"/>
            <w:tcBorders>
              <w:top w:val="single" w:color="auto" w:sz="4" w:space="0"/>
              <w:left w:val="single" w:color="auto" w:sz="4" w:space="0"/>
              <w:bottom w:val="single" w:color="auto" w:sz="4" w:space="0"/>
              <w:right w:val="single" w:color="auto" w:sz="4" w:space="0"/>
            </w:tcBorders>
            <w:vAlign w:val="center"/>
          </w:tcPr>
          <w:p w14:paraId="6066641C">
            <w:pPr>
              <w:widowControl/>
              <w:tabs>
                <w:tab w:val="center" w:pos="4755"/>
                <w:tab w:val="right" w:pos="9070"/>
              </w:tabs>
              <w:autoSpaceDN w:val="0"/>
              <w:spacing w:before="100" w:beforeAutospacing="1" w:after="100" w:afterAutospacing="1"/>
              <w:ind w:firstLine="360" w:firstLineChars="150"/>
              <w:jc w:val="center"/>
              <w:rPr>
                <w:rFonts w:ascii="仿宋" w:hAnsi="仿宋" w:eastAsia="仿宋" w:cs="仿宋"/>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476446D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34" w:type="dxa"/>
            <w:tcBorders>
              <w:top w:val="single" w:color="auto" w:sz="4" w:space="0"/>
              <w:left w:val="single" w:color="auto" w:sz="4" w:space="0"/>
              <w:bottom w:val="single" w:color="auto" w:sz="4" w:space="0"/>
              <w:right w:val="single" w:color="auto" w:sz="4" w:space="0"/>
            </w:tcBorders>
            <w:vAlign w:val="center"/>
          </w:tcPr>
          <w:p w14:paraId="1C3E1A8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09" w:type="dxa"/>
            <w:tcBorders>
              <w:top w:val="single" w:color="auto" w:sz="4" w:space="0"/>
              <w:left w:val="single" w:color="auto" w:sz="4" w:space="0"/>
              <w:bottom w:val="single" w:color="auto" w:sz="4" w:space="0"/>
              <w:right w:val="single" w:color="auto" w:sz="4" w:space="0"/>
            </w:tcBorders>
            <w:vAlign w:val="center"/>
          </w:tcPr>
          <w:p w14:paraId="7EF57B87">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909" w:type="dxa"/>
            <w:tcBorders>
              <w:top w:val="single" w:color="auto" w:sz="4" w:space="0"/>
              <w:left w:val="single" w:color="auto" w:sz="4" w:space="0"/>
              <w:bottom w:val="single" w:color="auto" w:sz="4" w:space="0"/>
              <w:right w:val="single" w:color="auto" w:sz="4" w:space="0"/>
            </w:tcBorders>
            <w:vAlign w:val="center"/>
          </w:tcPr>
          <w:p w14:paraId="4BCB3BA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089" w:type="dxa"/>
            <w:tcBorders>
              <w:top w:val="single" w:color="auto" w:sz="4" w:space="0"/>
              <w:left w:val="single" w:color="auto" w:sz="4" w:space="0"/>
              <w:bottom w:val="single" w:color="auto" w:sz="4" w:space="0"/>
              <w:right w:val="single" w:color="auto" w:sz="4" w:space="0"/>
            </w:tcBorders>
            <w:vAlign w:val="center"/>
          </w:tcPr>
          <w:p w14:paraId="46991A7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089" w:type="dxa"/>
            <w:tcBorders>
              <w:top w:val="single" w:color="auto" w:sz="4" w:space="0"/>
              <w:left w:val="single" w:color="auto" w:sz="4" w:space="0"/>
              <w:bottom w:val="single" w:color="auto" w:sz="4" w:space="0"/>
              <w:right w:val="single" w:color="auto" w:sz="4" w:space="0"/>
            </w:tcBorders>
            <w:vAlign w:val="center"/>
          </w:tcPr>
          <w:p w14:paraId="7B0239F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089" w:type="dxa"/>
            <w:tcBorders>
              <w:top w:val="single" w:color="auto" w:sz="4" w:space="0"/>
              <w:left w:val="single" w:color="auto" w:sz="4" w:space="0"/>
              <w:bottom w:val="single" w:color="auto" w:sz="4" w:space="0"/>
              <w:right w:val="single" w:color="auto" w:sz="4" w:space="0"/>
            </w:tcBorders>
            <w:vAlign w:val="center"/>
          </w:tcPr>
          <w:p w14:paraId="6D69106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089" w:type="dxa"/>
            <w:tcBorders>
              <w:top w:val="single" w:color="auto" w:sz="4" w:space="0"/>
              <w:left w:val="single" w:color="auto" w:sz="4" w:space="0"/>
              <w:bottom w:val="single" w:color="auto" w:sz="4" w:space="0"/>
              <w:right w:val="single" w:color="auto" w:sz="4" w:space="0"/>
            </w:tcBorders>
            <w:vAlign w:val="center"/>
          </w:tcPr>
          <w:p w14:paraId="35595D1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09" w:type="dxa"/>
            <w:tcBorders>
              <w:top w:val="single" w:color="auto" w:sz="4" w:space="0"/>
              <w:left w:val="single" w:color="auto" w:sz="4" w:space="0"/>
              <w:bottom w:val="single" w:color="auto" w:sz="4" w:space="0"/>
              <w:right w:val="single" w:color="auto" w:sz="4" w:space="0"/>
            </w:tcBorders>
            <w:vAlign w:val="center"/>
          </w:tcPr>
          <w:p w14:paraId="61FE042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995" w:type="dxa"/>
            <w:tcBorders>
              <w:top w:val="single" w:color="auto" w:sz="4" w:space="0"/>
              <w:left w:val="single" w:color="auto" w:sz="4" w:space="0"/>
              <w:bottom w:val="single" w:color="auto" w:sz="4" w:space="0"/>
              <w:right w:val="single" w:color="auto" w:sz="4" w:space="0"/>
            </w:tcBorders>
            <w:vAlign w:val="center"/>
          </w:tcPr>
          <w:p w14:paraId="1CA3C61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09" w:type="dxa"/>
            <w:tcBorders>
              <w:top w:val="single" w:color="auto" w:sz="4" w:space="0"/>
              <w:left w:val="single" w:color="auto" w:sz="4" w:space="0"/>
              <w:bottom w:val="single" w:color="auto" w:sz="4" w:space="0"/>
              <w:right w:val="single" w:color="auto" w:sz="4" w:space="0"/>
            </w:tcBorders>
            <w:vAlign w:val="center"/>
          </w:tcPr>
          <w:p w14:paraId="52AB075A">
            <w:pPr>
              <w:widowControl/>
              <w:tabs>
                <w:tab w:val="center" w:pos="4755"/>
                <w:tab w:val="right" w:pos="9070"/>
              </w:tabs>
              <w:autoSpaceDN w:val="0"/>
              <w:spacing w:before="100" w:beforeAutospacing="1" w:after="100" w:afterAutospacing="1"/>
              <w:ind w:firstLine="120" w:firstLine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353" w:type="dxa"/>
            <w:tcBorders>
              <w:top w:val="single" w:color="auto" w:sz="4" w:space="0"/>
              <w:left w:val="single" w:color="auto" w:sz="4" w:space="0"/>
              <w:bottom w:val="single" w:color="auto" w:sz="4" w:space="0"/>
              <w:right w:val="single" w:color="auto" w:sz="4" w:space="0"/>
            </w:tcBorders>
            <w:vAlign w:val="center"/>
          </w:tcPr>
          <w:p w14:paraId="25B4FF1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(4）*(11）</w:t>
            </w:r>
          </w:p>
        </w:tc>
      </w:tr>
      <w:tr w14:paraId="08D6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24" w:type="dxa"/>
            <w:tcBorders>
              <w:top w:val="single" w:color="auto" w:sz="4" w:space="0"/>
              <w:left w:val="single" w:color="auto" w:sz="4" w:space="0"/>
              <w:bottom w:val="single" w:color="auto" w:sz="4" w:space="0"/>
              <w:right w:val="single" w:color="auto" w:sz="4" w:space="0"/>
            </w:tcBorders>
            <w:vAlign w:val="center"/>
          </w:tcPr>
          <w:p w14:paraId="7820066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34" w:type="dxa"/>
            <w:tcBorders>
              <w:top w:val="single" w:color="auto" w:sz="4" w:space="0"/>
              <w:left w:val="single" w:color="auto" w:sz="4" w:space="0"/>
              <w:bottom w:val="single" w:color="auto" w:sz="4" w:space="0"/>
              <w:right w:val="single" w:color="auto" w:sz="4" w:space="0"/>
            </w:tcBorders>
            <w:vAlign w:val="center"/>
          </w:tcPr>
          <w:p w14:paraId="6C80F55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14:paraId="3E2AD8E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(清单名称)</w:t>
            </w:r>
          </w:p>
        </w:tc>
        <w:tc>
          <w:tcPr>
            <w:tcW w:w="909" w:type="dxa"/>
            <w:tcBorders>
              <w:top w:val="single" w:color="auto" w:sz="4" w:space="0"/>
              <w:left w:val="single" w:color="auto" w:sz="4" w:space="0"/>
              <w:bottom w:val="single" w:color="auto" w:sz="4" w:space="0"/>
              <w:right w:val="single" w:color="auto" w:sz="4" w:space="0"/>
            </w:tcBorders>
          </w:tcPr>
          <w:p w14:paraId="77DDBB3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50487DB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B409CA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252AA46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7EDFCF0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E93AEE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84DBC4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120E049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B51FE0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36E64CB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14:paraId="59AB6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525DFEC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289F0F6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14:paraId="11A251E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（定额名称）</w:t>
            </w:r>
          </w:p>
        </w:tc>
        <w:tc>
          <w:tcPr>
            <w:tcW w:w="909" w:type="dxa"/>
            <w:tcBorders>
              <w:top w:val="single" w:color="auto" w:sz="4" w:space="0"/>
              <w:left w:val="single" w:color="auto" w:sz="4" w:space="0"/>
              <w:bottom w:val="single" w:color="auto" w:sz="4" w:space="0"/>
              <w:right w:val="single" w:color="auto" w:sz="4" w:space="0"/>
            </w:tcBorders>
          </w:tcPr>
          <w:p w14:paraId="3D08326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85E3A9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13707799">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11558E1">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522702F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650632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61879B9">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7E248ED6">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2F8ACCF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00B42B8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14:paraId="0593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24" w:type="dxa"/>
            <w:tcBorders>
              <w:top w:val="single" w:color="auto" w:sz="4" w:space="0"/>
              <w:left w:val="single" w:color="auto" w:sz="4" w:space="0"/>
              <w:bottom w:val="single" w:color="auto" w:sz="4" w:space="0"/>
              <w:right w:val="single" w:color="auto" w:sz="4" w:space="0"/>
            </w:tcBorders>
            <w:vAlign w:val="center"/>
          </w:tcPr>
          <w:p w14:paraId="15C7F22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463EFB3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634" w:type="dxa"/>
            <w:tcBorders>
              <w:top w:val="single" w:color="auto" w:sz="4" w:space="0"/>
              <w:left w:val="single" w:color="auto" w:sz="4" w:space="0"/>
              <w:bottom w:val="single" w:color="auto" w:sz="4" w:space="0"/>
              <w:right w:val="single" w:color="auto" w:sz="4" w:space="0"/>
            </w:tcBorders>
            <w:vAlign w:val="center"/>
          </w:tcPr>
          <w:p w14:paraId="2A0D24D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909" w:type="dxa"/>
            <w:tcBorders>
              <w:top w:val="single" w:color="auto" w:sz="4" w:space="0"/>
              <w:left w:val="single" w:color="auto" w:sz="4" w:space="0"/>
              <w:bottom w:val="single" w:color="auto" w:sz="4" w:space="0"/>
              <w:right w:val="single" w:color="auto" w:sz="4" w:space="0"/>
            </w:tcBorders>
          </w:tcPr>
          <w:p w14:paraId="6BAF08E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5E90197">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6E7AD99">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1B1E8BAF">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6A2F5E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31C8E39">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93967E1">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10600649">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B38142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2600C61F">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14:paraId="41BC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646D32A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34" w:type="dxa"/>
            <w:tcBorders>
              <w:top w:val="single" w:color="auto" w:sz="4" w:space="0"/>
              <w:left w:val="single" w:color="auto" w:sz="4" w:space="0"/>
              <w:bottom w:val="single" w:color="auto" w:sz="4" w:space="0"/>
              <w:right w:val="single" w:color="auto" w:sz="4" w:space="0"/>
            </w:tcBorders>
            <w:vAlign w:val="center"/>
          </w:tcPr>
          <w:p w14:paraId="6F42FB2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14:paraId="56CEB74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(清单名称)</w:t>
            </w:r>
          </w:p>
        </w:tc>
        <w:tc>
          <w:tcPr>
            <w:tcW w:w="909" w:type="dxa"/>
            <w:tcBorders>
              <w:top w:val="single" w:color="auto" w:sz="4" w:space="0"/>
              <w:left w:val="single" w:color="auto" w:sz="4" w:space="0"/>
              <w:bottom w:val="single" w:color="auto" w:sz="4" w:space="0"/>
              <w:right w:val="single" w:color="auto" w:sz="4" w:space="0"/>
            </w:tcBorders>
          </w:tcPr>
          <w:p w14:paraId="408E289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61F726A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C46FCF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4A32E9D6">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38991B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F5096F7">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4D514F07">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127C130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CCD901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4487A6A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14:paraId="68EC2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43895BB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3D06AC5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14:paraId="0981E4F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（定额名称）</w:t>
            </w:r>
          </w:p>
        </w:tc>
        <w:tc>
          <w:tcPr>
            <w:tcW w:w="909" w:type="dxa"/>
            <w:tcBorders>
              <w:top w:val="single" w:color="auto" w:sz="4" w:space="0"/>
              <w:left w:val="single" w:color="auto" w:sz="4" w:space="0"/>
              <w:bottom w:val="single" w:color="auto" w:sz="4" w:space="0"/>
              <w:right w:val="single" w:color="auto" w:sz="4" w:space="0"/>
            </w:tcBorders>
          </w:tcPr>
          <w:p w14:paraId="5BD7F0B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0F66E809">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26B8BE9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7B7F58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4AC4525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4942A9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4DA037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48971EB1">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784C9B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32CB9681">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14:paraId="76EF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17CEDCE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12EE6F6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634" w:type="dxa"/>
            <w:tcBorders>
              <w:top w:val="single" w:color="auto" w:sz="4" w:space="0"/>
              <w:left w:val="single" w:color="auto" w:sz="4" w:space="0"/>
              <w:bottom w:val="single" w:color="auto" w:sz="4" w:space="0"/>
              <w:right w:val="single" w:color="auto" w:sz="4" w:space="0"/>
            </w:tcBorders>
            <w:vAlign w:val="center"/>
          </w:tcPr>
          <w:p w14:paraId="0205F4EF">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909" w:type="dxa"/>
            <w:tcBorders>
              <w:top w:val="single" w:color="auto" w:sz="4" w:space="0"/>
              <w:left w:val="single" w:color="auto" w:sz="4" w:space="0"/>
              <w:bottom w:val="single" w:color="auto" w:sz="4" w:space="0"/>
              <w:right w:val="single" w:color="auto" w:sz="4" w:space="0"/>
            </w:tcBorders>
          </w:tcPr>
          <w:p w14:paraId="42DC2AD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65A924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4D99B37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C11A3C1">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5822077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771B3A2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364DBC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6B824A37">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6DEBCC17">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2753665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14:paraId="47A3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2979" w:type="dxa"/>
            <w:gridSpan w:val="12"/>
            <w:tcBorders>
              <w:top w:val="single" w:color="auto" w:sz="4" w:space="0"/>
              <w:left w:val="single" w:color="auto" w:sz="4" w:space="0"/>
              <w:bottom w:val="single" w:color="auto" w:sz="4" w:space="0"/>
              <w:right w:val="single" w:color="auto" w:sz="4" w:space="0"/>
            </w:tcBorders>
            <w:vAlign w:val="center"/>
          </w:tcPr>
          <w:p w14:paraId="7FA6C22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  计</w:t>
            </w:r>
          </w:p>
        </w:tc>
        <w:tc>
          <w:tcPr>
            <w:tcW w:w="1353" w:type="dxa"/>
            <w:tcBorders>
              <w:top w:val="single" w:color="auto" w:sz="4" w:space="0"/>
              <w:left w:val="single" w:color="auto" w:sz="4" w:space="0"/>
              <w:bottom w:val="single" w:color="auto" w:sz="4" w:space="0"/>
              <w:right w:val="single" w:color="auto" w:sz="4" w:space="0"/>
            </w:tcBorders>
          </w:tcPr>
          <w:p w14:paraId="299F678E">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tc>
      </w:tr>
    </w:tbl>
    <w:p w14:paraId="79324BDD">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仿宋"/>
          <w:color w:val="auto"/>
          <w:kern w:val="0"/>
          <w:sz w:val="24"/>
          <w:szCs w:val="24"/>
          <w:highlight w:val="none"/>
        </w:rPr>
        <w:t>注：表（1）～（4）栏中的清单编号、清单名称、清单计量单位和数量由采购人按需要提出。</w:t>
      </w:r>
      <w:r>
        <w:rPr>
          <w:rFonts w:hint="eastAsia" w:ascii="仿宋" w:hAnsi="仿宋" w:eastAsia="仿宋" w:cs="仿宋"/>
          <w:b/>
          <w:bCs/>
          <w:color w:val="auto"/>
          <w:kern w:val="0"/>
          <w:sz w:val="24"/>
          <w:szCs w:val="24"/>
          <w:highlight w:val="none"/>
        </w:rPr>
        <w:br w:type="page"/>
      </w:r>
      <w:r>
        <w:rPr>
          <w:rFonts w:hint="eastAsia" w:ascii="仿宋" w:hAnsi="仿宋" w:eastAsia="仿宋" w:cs="Times New Roman"/>
          <w:b/>
          <w:bCs/>
          <w:color w:val="auto"/>
          <w:kern w:val="0"/>
          <w:sz w:val="28"/>
          <w:szCs w:val="28"/>
          <w:highlight w:val="none"/>
        </w:rPr>
        <w:t>表2-2  措施项目清单分析表</w:t>
      </w:r>
    </w:p>
    <w:p w14:paraId="356C5191">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5CF2A52F">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634"/>
        <w:gridCol w:w="1634"/>
        <w:gridCol w:w="857"/>
        <w:gridCol w:w="857"/>
        <w:gridCol w:w="1190"/>
        <w:gridCol w:w="1124"/>
        <w:gridCol w:w="1238"/>
        <w:gridCol w:w="1172"/>
        <w:gridCol w:w="820"/>
        <w:gridCol w:w="972"/>
        <w:gridCol w:w="843"/>
        <w:gridCol w:w="1267"/>
      </w:tblGrid>
      <w:tr w14:paraId="4996B58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24" w:type="dxa"/>
            <w:vMerge w:val="restart"/>
            <w:tcBorders>
              <w:top w:val="single" w:color="auto" w:sz="8" w:space="0"/>
              <w:left w:val="single" w:color="auto" w:sz="8" w:space="0"/>
              <w:bottom w:val="single" w:color="auto" w:sz="6" w:space="0"/>
              <w:right w:val="single" w:color="auto" w:sz="6" w:space="0"/>
            </w:tcBorders>
            <w:vAlign w:val="center"/>
          </w:tcPr>
          <w:p w14:paraId="48F3FC88">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14:paraId="7B04E603">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编号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14:paraId="7A0E00F3">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14:paraId="7A226D7A">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计量</w:t>
            </w:r>
          </w:p>
          <w:p w14:paraId="602DB9C1">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14:paraId="6B8A332C">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7359" w:type="dxa"/>
            <w:gridSpan w:val="7"/>
            <w:tcBorders>
              <w:top w:val="single" w:color="auto" w:sz="8" w:space="0"/>
              <w:left w:val="single" w:color="auto" w:sz="6" w:space="0"/>
              <w:bottom w:val="single" w:color="auto" w:sz="6" w:space="0"/>
              <w:right w:val="single" w:color="auto" w:sz="4" w:space="0"/>
            </w:tcBorders>
            <w:vAlign w:val="center"/>
          </w:tcPr>
          <w:p w14:paraId="48C5523F">
            <w:pPr>
              <w:tabs>
                <w:tab w:val="left" w:pos="3780"/>
              </w:tabs>
              <w:autoSpaceDN w:val="0"/>
              <w:ind w:firstLine="36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 合 单 价（元）</w:t>
            </w:r>
          </w:p>
        </w:tc>
        <w:tc>
          <w:tcPr>
            <w:tcW w:w="1267" w:type="dxa"/>
            <w:vMerge w:val="restart"/>
            <w:tcBorders>
              <w:top w:val="single" w:color="auto" w:sz="8" w:space="0"/>
              <w:left w:val="single" w:color="auto" w:sz="4" w:space="0"/>
              <w:bottom w:val="single" w:color="auto" w:sz="6" w:space="0"/>
              <w:right w:val="single" w:color="auto" w:sz="8" w:space="0"/>
            </w:tcBorders>
            <w:vAlign w:val="center"/>
          </w:tcPr>
          <w:p w14:paraId="6B8A41E0">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p w14:paraId="25DCEB24">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r>
      <w:tr w14:paraId="5661FA7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300" w:type="dxa"/>
            <w:vMerge w:val="continue"/>
            <w:tcBorders>
              <w:top w:val="single" w:color="auto" w:sz="8" w:space="0"/>
              <w:left w:val="single" w:color="auto" w:sz="8" w:space="0"/>
              <w:bottom w:val="single" w:color="auto" w:sz="6" w:space="0"/>
              <w:right w:val="single" w:color="auto" w:sz="6" w:space="0"/>
            </w:tcBorders>
            <w:vAlign w:val="center"/>
          </w:tcPr>
          <w:p w14:paraId="2147BCD6">
            <w:pPr>
              <w:widowControl/>
              <w:jc w:val="left"/>
              <w:rPr>
                <w:rFonts w:ascii="仿宋" w:hAnsi="仿宋" w:eastAsia="仿宋" w:cs="仿宋"/>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124C679C">
            <w:pPr>
              <w:widowControl/>
              <w:jc w:val="left"/>
              <w:rPr>
                <w:rFonts w:ascii="仿宋" w:hAnsi="仿宋" w:eastAsia="仿宋" w:cs="仿宋"/>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30717DAE">
            <w:pPr>
              <w:widowControl/>
              <w:jc w:val="left"/>
              <w:rPr>
                <w:rFonts w:ascii="仿宋" w:hAnsi="仿宋" w:eastAsia="仿宋" w:cs="仿宋"/>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39E8D938">
            <w:pPr>
              <w:widowControl/>
              <w:jc w:val="left"/>
              <w:rPr>
                <w:rFonts w:ascii="仿宋" w:hAnsi="仿宋" w:eastAsia="仿宋" w:cs="仿宋"/>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3F6A7E1E">
            <w:pPr>
              <w:widowControl/>
              <w:jc w:val="left"/>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51BD6F48">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人工费</w:t>
            </w:r>
          </w:p>
        </w:tc>
        <w:tc>
          <w:tcPr>
            <w:tcW w:w="1124" w:type="dxa"/>
            <w:tcBorders>
              <w:top w:val="single" w:color="auto" w:sz="6" w:space="0"/>
              <w:left w:val="single" w:color="auto" w:sz="6" w:space="0"/>
              <w:bottom w:val="single" w:color="auto" w:sz="6" w:space="0"/>
              <w:right w:val="single" w:color="auto" w:sz="6" w:space="0"/>
            </w:tcBorders>
            <w:vAlign w:val="center"/>
          </w:tcPr>
          <w:p w14:paraId="7065FE6E">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材料费</w:t>
            </w:r>
          </w:p>
        </w:tc>
        <w:tc>
          <w:tcPr>
            <w:tcW w:w="1238" w:type="dxa"/>
            <w:tcBorders>
              <w:top w:val="single" w:color="auto" w:sz="6" w:space="0"/>
              <w:left w:val="single" w:color="auto" w:sz="6" w:space="0"/>
              <w:bottom w:val="single" w:color="auto" w:sz="6" w:space="0"/>
              <w:right w:val="single" w:color="auto" w:sz="6" w:space="0"/>
            </w:tcBorders>
            <w:vAlign w:val="center"/>
          </w:tcPr>
          <w:p w14:paraId="5E934554">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机械费</w:t>
            </w:r>
          </w:p>
        </w:tc>
        <w:tc>
          <w:tcPr>
            <w:tcW w:w="1172" w:type="dxa"/>
            <w:tcBorders>
              <w:top w:val="single" w:color="auto" w:sz="6" w:space="0"/>
              <w:left w:val="single" w:color="auto" w:sz="6" w:space="0"/>
              <w:bottom w:val="single" w:color="auto" w:sz="6" w:space="0"/>
              <w:right w:val="single" w:color="auto" w:sz="6" w:space="0"/>
            </w:tcBorders>
            <w:vAlign w:val="center"/>
          </w:tcPr>
          <w:p w14:paraId="377F3BA2">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管理费</w:t>
            </w:r>
          </w:p>
        </w:tc>
        <w:tc>
          <w:tcPr>
            <w:tcW w:w="820" w:type="dxa"/>
            <w:tcBorders>
              <w:top w:val="single" w:color="auto" w:sz="6" w:space="0"/>
              <w:left w:val="single" w:color="auto" w:sz="6" w:space="0"/>
              <w:bottom w:val="single" w:color="auto" w:sz="6" w:space="0"/>
              <w:right w:val="single" w:color="auto" w:sz="6" w:space="0"/>
            </w:tcBorders>
            <w:vAlign w:val="center"/>
          </w:tcPr>
          <w:p w14:paraId="6E877F82">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利润</w:t>
            </w:r>
          </w:p>
        </w:tc>
        <w:tc>
          <w:tcPr>
            <w:tcW w:w="972" w:type="dxa"/>
            <w:tcBorders>
              <w:top w:val="single" w:color="auto" w:sz="6" w:space="0"/>
              <w:left w:val="single" w:color="auto" w:sz="6" w:space="0"/>
              <w:bottom w:val="single" w:color="auto" w:sz="6" w:space="0"/>
              <w:right w:val="single" w:color="auto" w:sz="6" w:space="0"/>
            </w:tcBorders>
            <w:vAlign w:val="center"/>
          </w:tcPr>
          <w:p w14:paraId="01412CEA">
            <w:pPr>
              <w:tabs>
                <w:tab w:val="left" w:pos="3780"/>
              </w:tabs>
              <w:autoSpaceDN w:val="0"/>
              <w:spacing w:line="2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风险</w:t>
            </w:r>
          </w:p>
          <w:p w14:paraId="5C4703DD">
            <w:pPr>
              <w:tabs>
                <w:tab w:val="left" w:pos="3780"/>
              </w:tabs>
              <w:autoSpaceDN w:val="0"/>
              <w:spacing w:line="2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费用</w:t>
            </w:r>
          </w:p>
        </w:tc>
        <w:tc>
          <w:tcPr>
            <w:tcW w:w="843" w:type="dxa"/>
            <w:tcBorders>
              <w:top w:val="single" w:color="auto" w:sz="6" w:space="0"/>
              <w:left w:val="single" w:color="auto" w:sz="6" w:space="0"/>
              <w:bottom w:val="single" w:color="auto" w:sz="6" w:space="0"/>
              <w:right w:val="single" w:color="auto" w:sz="4" w:space="0"/>
            </w:tcBorders>
            <w:vAlign w:val="center"/>
          </w:tcPr>
          <w:p w14:paraId="4DABC7CD">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小计</w:t>
            </w:r>
          </w:p>
        </w:tc>
        <w:tc>
          <w:tcPr>
            <w:tcW w:w="1567" w:type="dxa"/>
            <w:vMerge w:val="continue"/>
            <w:tcBorders>
              <w:top w:val="single" w:color="auto" w:sz="8" w:space="0"/>
              <w:left w:val="single" w:color="auto" w:sz="4" w:space="0"/>
              <w:bottom w:val="single" w:color="auto" w:sz="6" w:space="0"/>
              <w:right w:val="single" w:color="auto" w:sz="8" w:space="0"/>
            </w:tcBorders>
            <w:vAlign w:val="center"/>
          </w:tcPr>
          <w:p w14:paraId="67486355">
            <w:pPr>
              <w:widowControl/>
              <w:jc w:val="left"/>
              <w:rPr>
                <w:rFonts w:ascii="仿宋" w:hAnsi="仿宋" w:eastAsia="仿宋" w:cs="仿宋"/>
                <w:color w:val="auto"/>
                <w:sz w:val="24"/>
                <w:szCs w:val="24"/>
                <w:highlight w:val="none"/>
              </w:rPr>
            </w:pPr>
          </w:p>
        </w:tc>
      </w:tr>
      <w:tr w14:paraId="6B4062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14:paraId="3648AB76">
            <w:pPr>
              <w:tabs>
                <w:tab w:val="left" w:pos="3780"/>
              </w:tabs>
              <w:autoSpaceDN w:val="0"/>
              <w:ind w:firstLine="360"/>
              <w:jc w:val="center"/>
              <w:rPr>
                <w:rFonts w:ascii="仿宋" w:hAnsi="仿宋" w:eastAsia="仿宋" w:cs="仿宋"/>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2AE27C0E">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34" w:type="dxa"/>
            <w:tcBorders>
              <w:top w:val="single" w:color="auto" w:sz="6" w:space="0"/>
              <w:left w:val="single" w:color="auto" w:sz="6" w:space="0"/>
              <w:bottom w:val="single" w:color="auto" w:sz="6" w:space="0"/>
              <w:right w:val="single" w:color="auto" w:sz="6" w:space="0"/>
            </w:tcBorders>
            <w:vAlign w:val="center"/>
          </w:tcPr>
          <w:p w14:paraId="53A49597">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857" w:type="dxa"/>
            <w:tcBorders>
              <w:top w:val="single" w:color="auto" w:sz="6" w:space="0"/>
              <w:left w:val="single" w:color="auto" w:sz="6" w:space="0"/>
              <w:bottom w:val="single" w:color="auto" w:sz="6" w:space="0"/>
              <w:right w:val="single" w:color="auto" w:sz="6" w:space="0"/>
            </w:tcBorders>
            <w:vAlign w:val="center"/>
          </w:tcPr>
          <w:p w14:paraId="5A02D5C1">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857" w:type="dxa"/>
            <w:tcBorders>
              <w:top w:val="single" w:color="auto" w:sz="6" w:space="0"/>
              <w:left w:val="single" w:color="auto" w:sz="6" w:space="0"/>
              <w:bottom w:val="single" w:color="auto" w:sz="6" w:space="0"/>
              <w:right w:val="single" w:color="auto" w:sz="6" w:space="0"/>
            </w:tcBorders>
            <w:vAlign w:val="center"/>
          </w:tcPr>
          <w:p w14:paraId="7C69BFF1">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190" w:type="dxa"/>
            <w:tcBorders>
              <w:top w:val="single" w:color="auto" w:sz="6" w:space="0"/>
              <w:left w:val="single" w:color="auto" w:sz="6" w:space="0"/>
              <w:bottom w:val="single" w:color="auto" w:sz="6" w:space="0"/>
              <w:right w:val="single" w:color="auto" w:sz="6" w:space="0"/>
            </w:tcBorders>
            <w:vAlign w:val="center"/>
          </w:tcPr>
          <w:p w14:paraId="3C2A924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124" w:type="dxa"/>
            <w:tcBorders>
              <w:top w:val="single" w:color="auto" w:sz="6" w:space="0"/>
              <w:left w:val="single" w:color="auto" w:sz="6" w:space="0"/>
              <w:bottom w:val="single" w:color="auto" w:sz="6" w:space="0"/>
              <w:right w:val="single" w:color="auto" w:sz="6" w:space="0"/>
            </w:tcBorders>
            <w:vAlign w:val="center"/>
          </w:tcPr>
          <w:p w14:paraId="2B88E1A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238" w:type="dxa"/>
            <w:tcBorders>
              <w:top w:val="single" w:color="auto" w:sz="6" w:space="0"/>
              <w:left w:val="single" w:color="auto" w:sz="6" w:space="0"/>
              <w:bottom w:val="single" w:color="auto" w:sz="6" w:space="0"/>
              <w:right w:val="single" w:color="auto" w:sz="6" w:space="0"/>
            </w:tcBorders>
            <w:vAlign w:val="center"/>
          </w:tcPr>
          <w:p w14:paraId="7493E515">
            <w:pPr>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172" w:type="dxa"/>
            <w:tcBorders>
              <w:top w:val="single" w:color="auto" w:sz="6" w:space="0"/>
              <w:left w:val="single" w:color="auto" w:sz="6" w:space="0"/>
              <w:bottom w:val="single" w:color="auto" w:sz="6" w:space="0"/>
              <w:right w:val="single" w:color="auto" w:sz="6" w:space="0"/>
            </w:tcBorders>
            <w:vAlign w:val="center"/>
          </w:tcPr>
          <w:p w14:paraId="62719A0F">
            <w:pPr>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820" w:type="dxa"/>
            <w:tcBorders>
              <w:top w:val="single" w:color="auto" w:sz="6" w:space="0"/>
              <w:left w:val="single" w:color="auto" w:sz="6" w:space="0"/>
              <w:bottom w:val="single" w:color="auto" w:sz="6" w:space="0"/>
              <w:right w:val="single" w:color="auto" w:sz="6" w:space="0"/>
            </w:tcBorders>
            <w:vAlign w:val="center"/>
          </w:tcPr>
          <w:p w14:paraId="4067DEA3">
            <w:pPr>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972" w:type="dxa"/>
            <w:tcBorders>
              <w:top w:val="single" w:color="auto" w:sz="6" w:space="0"/>
              <w:left w:val="single" w:color="auto" w:sz="6" w:space="0"/>
              <w:bottom w:val="single" w:color="auto" w:sz="6" w:space="0"/>
              <w:right w:val="single" w:color="auto" w:sz="6" w:space="0"/>
            </w:tcBorders>
            <w:vAlign w:val="center"/>
          </w:tcPr>
          <w:p w14:paraId="18652B56">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843" w:type="dxa"/>
            <w:tcBorders>
              <w:top w:val="single" w:color="auto" w:sz="6" w:space="0"/>
              <w:left w:val="single" w:color="auto" w:sz="6" w:space="0"/>
              <w:bottom w:val="single" w:color="auto" w:sz="6" w:space="0"/>
              <w:right w:val="single" w:color="auto" w:sz="4" w:space="0"/>
            </w:tcBorders>
            <w:vAlign w:val="center"/>
          </w:tcPr>
          <w:p w14:paraId="7C5D3BBA">
            <w:pPr>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267" w:type="dxa"/>
            <w:tcBorders>
              <w:top w:val="single" w:color="auto" w:sz="6" w:space="0"/>
              <w:left w:val="single" w:color="auto" w:sz="4" w:space="0"/>
              <w:bottom w:val="single" w:color="auto" w:sz="6" w:space="0"/>
              <w:right w:val="single" w:color="auto" w:sz="8" w:space="0"/>
            </w:tcBorders>
            <w:vAlign w:val="center"/>
          </w:tcPr>
          <w:p w14:paraId="46145A2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(4）*(11）</w:t>
            </w:r>
          </w:p>
        </w:tc>
      </w:tr>
      <w:tr w14:paraId="290E2CF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14:paraId="7F6687EA">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34" w:type="dxa"/>
            <w:tcBorders>
              <w:top w:val="single" w:color="auto" w:sz="6" w:space="0"/>
              <w:left w:val="single" w:color="auto" w:sz="6" w:space="0"/>
              <w:bottom w:val="single" w:color="auto" w:sz="6" w:space="0"/>
              <w:right w:val="single" w:color="auto" w:sz="6" w:space="0"/>
            </w:tcBorders>
            <w:vAlign w:val="center"/>
          </w:tcPr>
          <w:p w14:paraId="37A49331">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14:paraId="448B0ECB">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14:paraId="400BEE61">
            <w:pPr>
              <w:tabs>
                <w:tab w:val="left" w:pos="3780"/>
              </w:tabs>
              <w:autoSpaceDN w:val="0"/>
              <w:ind w:firstLine="360"/>
              <w:jc w:val="center"/>
              <w:rPr>
                <w:rFonts w:ascii="仿宋" w:hAnsi="仿宋" w:eastAsia="仿宋" w:cs="仿宋"/>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0EF68F65">
            <w:pPr>
              <w:tabs>
                <w:tab w:val="left" w:pos="3780"/>
              </w:tabs>
              <w:autoSpaceDN w:val="0"/>
              <w:ind w:firstLine="360"/>
              <w:jc w:val="center"/>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1A45B350">
            <w:pPr>
              <w:tabs>
                <w:tab w:val="left" w:pos="3780"/>
              </w:tabs>
              <w:autoSpaceDN w:val="0"/>
              <w:ind w:firstLine="360"/>
              <w:jc w:val="center"/>
              <w:rPr>
                <w:rFonts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68B96793">
            <w:pPr>
              <w:tabs>
                <w:tab w:val="left" w:pos="3780"/>
              </w:tabs>
              <w:autoSpaceDN w:val="0"/>
              <w:ind w:firstLine="360"/>
              <w:jc w:val="center"/>
              <w:rPr>
                <w:rFonts w:ascii="仿宋" w:hAnsi="仿宋" w:eastAsia="仿宋" w:cs="仿宋"/>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50771B6B">
            <w:pPr>
              <w:tabs>
                <w:tab w:val="left" w:pos="3780"/>
              </w:tabs>
              <w:autoSpaceDN w:val="0"/>
              <w:ind w:firstLine="360"/>
              <w:jc w:val="center"/>
              <w:rPr>
                <w:rFonts w:ascii="仿宋" w:hAnsi="仿宋" w:eastAsia="仿宋" w:cs="仿宋"/>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145678E6">
            <w:pPr>
              <w:tabs>
                <w:tab w:val="left" w:pos="3780"/>
              </w:tabs>
              <w:autoSpaceDN w:val="0"/>
              <w:ind w:firstLine="360"/>
              <w:jc w:val="center"/>
              <w:rPr>
                <w:rFonts w:ascii="仿宋" w:hAnsi="仿宋" w:eastAsia="仿宋" w:cs="仿宋"/>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3513EFD7">
            <w:pPr>
              <w:tabs>
                <w:tab w:val="left" w:pos="3780"/>
              </w:tabs>
              <w:autoSpaceDN w:val="0"/>
              <w:ind w:firstLine="360"/>
              <w:jc w:val="center"/>
              <w:rPr>
                <w:rFonts w:ascii="仿宋" w:hAnsi="仿宋" w:eastAsia="仿宋" w:cs="仿宋"/>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0441ED3D">
            <w:pPr>
              <w:tabs>
                <w:tab w:val="left" w:pos="3780"/>
              </w:tabs>
              <w:autoSpaceDN w:val="0"/>
              <w:ind w:firstLine="360"/>
              <w:jc w:val="center"/>
              <w:rPr>
                <w:rFonts w:ascii="仿宋" w:hAnsi="仿宋" w:eastAsia="仿宋" w:cs="仿宋"/>
                <w:color w:val="auto"/>
                <w:sz w:val="24"/>
                <w:szCs w:val="24"/>
                <w:highlight w:val="none"/>
              </w:rPr>
            </w:pPr>
          </w:p>
        </w:tc>
        <w:tc>
          <w:tcPr>
            <w:tcW w:w="843" w:type="dxa"/>
            <w:tcBorders>
              <w:top w:val="single" w:color="auto" w:sz="6" w:space="0"/>
              <w:left w:val="single" w:color="auto" w:sz="6" w:space="0"/>
              <w:bottom w:val="single" w:color="auto" w:sz="6" w:space="0"/>
              <w:right w:val="single" w:color="auto" w:sz="4" w:space="0"/>
            </w:tcBorders>
            <w:vAlign w:val="center"/>
          </w:tcPr>
          <w:p w14:paraId="092DE888">
            <w:pPr>
              <w:tabs>
                <w:tab w:val="left" w:pos="3780"/>
              </w:tabs>
              <w:autoSpaceDN w:val="0"/>
              <w:ind w:firstLine="360"/>
              <w:jc w:val="center"/>
              <w:rPr>
                <w:rFonts w:ascii="仿宋" w:hAnsi="仿宋" w:eastAsia="仿宋" w:cs="仿宋"/>
                <w:color w:val="auto"/>
                <w:sz w:val="24"/>
                <w:szCs w:val="24"/>
                <w:highlight w:val="none"/>
              </w:rPr>
            </w:pPr>
          </w:p>
        </w:tc>
        <w:tc>
          <w:tcPr>
            <w:tcW w:w="1267" w:type="dxa"/>
            <w:tcBorders>
              <w:top w:val="single" w:color="auto" w:sz="6" w:space="0"/>
              <w:left w:val="single" w:color="auto" w:sz="4" w:space="0"/>
              <w:bottom w:val="single" w:color="auto" w:sz="6" w:space="0"/>
              <w:right w:val="single" w:color="auto" w:sz="8" w:space="0"/>
            </w:tcBorders>
            <w:vAlign w:val="center"/>
          </w:tcPr>
          <w:p w14:paraId="1998CE16">
            <w:pPr>
              <w:tabs>
                <w:tab w:val="left" w:pos="3780"/>
              </w:tabs>
              <w:autoSpaceDN w:val="0"/>
              <w:ind w:firstLine="360"/>
              <w:jc w:val="center"/>
              <w:rPr>
                <w:rFonts w:ascii="仿宋" w:hAnsi="仿宋" w:eastAsia="仿宋" w:cs="仿宋"/>
                <w:color w:val="auto"/>
                <w:sz w:val="24"/>
                <w:szCs w:val="24"/>
                <w:highlight w:val="none"/>
              </w:rPr>
            </w:pPr>
          </w:p>
        </w:tc>
      </w:tr>
      <w:tr w14:paraId="623863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724" w:type="dxa"/>
            <w:tcBorders>
              <w:top w:val="single" w:color="auto" w:sz="6" w:space="0"/>
              <w:left w:val="single" w:color="auto" w:sz="8" w:space="0"/>
              <w:bottom w:val="single" w:color="auto" w:sz="6" w:space="0"/>
              <w:right w:val="single" w:color="auto" w:sz="6" w:space="0"/>
            </w:tcBorders>
            <w:vAlign w:val="center"/>
          </w:tcPr>
          <w:p w14:paraId="6F874D4F">
            <w:pPr>
              <w:tabs>
                <w:tab w:val="left" w:pos="3780"/>
              </w:tabs>
              <w:autoSpaceDN w:val="0"/>
              <w:ind w:firstLine="360"/>
              <w:jc w:val="center"/>
              <w:rPr>
                <w:rFonts w:ascii="仿宋" w:hAnsi="仿宋" w:eastAsia="仿宋" w:cs="仿宋"/>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0D316E3F">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14:paraId="2034392C">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14:paraId="40EFF8C9">
            <w:pPr>
              <w:tabs>
                <w:tab w:val="left" w:pos="3780"/>
              </w:tabs>
              <w:autoSpaceDN w:val="0"/>
              <w:ind w:firstLine="360"/>
              <w:jc w:val="center"/>
              <w:rPr>
                <w:rFonts w:ascii="仿宋" w:hAnsi="仿宋" w:eastAsia="仿宋" w:cs="仿宋"/>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12E8A884">
            <w:pPr>
              <w:tabs>
                <w:tab w:val="left" w:pos="3780"/>
              </w:tabs>
              <w:autoSpaceDN w:val="0"/>
              <w:ind w:firstLine="360"/>
              <w:jc w:val="center"/>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3041EDF3">
            <w:pPr>
              <w:tabs>
                <w:tab w:val="left" w:pos="3780"/>
              </w:tabs>
              <w:autoSpaceDN w:val="0"/>
              <w:ind w:firstLine="360"/>
              <w:jc w:val="center"/>
              <w:rPr>
                <w:rFonts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5AC37F47">
            <w:pPr>
              <w:tabs>
                <w:tab w:val="left" w:pos="3780"/>
              </w:tabs>
              <w:autoSpaceDN w:val="0"/>
              <w:ind w:firstLine="360"/>
              <w:jc w:val="center"/>
              <w:rPr>
                <w:rFonts w:ascii="仿宋" w:hAnsi="仿宋" w:eastAsia="仿宋" w:cs="仿宋"/>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66C28BF5">
            <w:pPr>
              <w:tabs>
                <w:tab w:val="left" w:pos="3780"/>
              </w:tabs>
              <w:autoSpaceDN w:val="0"/>
              <w:ind w:firstLine="360"/>
              <w:jc w:val="center"/>
              <w:rPr>
                <w:rFonts w:ascii="仿宋" w:hAnsi="仿宋" w:eastAsia="仿宋" w:cs="仿宋"/>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123B6F5A">
            <w:pPr>
              <w:tabs>
                <w:tab w:val="left" w:pos="3780"/>
              </w:tabs>
              <w:autoSpaceDN w:val="0"/>
              <w:ind w:firstLine="360"/>
              <w:jc w:val="center"/>
              <w:rPr>
                <w:rFonts w:ascii="仿宋" w:hAnsi="仿宋" w:eastAsia="仿宋" w:cs="仿宋"/>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4645F384">
            <w:pPr>
              <w:tabs>
                <w:tab w:val="left" w:pos="3780"/>
              </w:tabs>
              <w:autoSpaceDN w:val="0"/>
              <w:ind w:firstLine="360"/>
              <w:jc w:val="center"/>
              <w:rPr>
                <w:rFonts w:ascii="仿宋" w:hAnsi="仿宋" w:eastAsia="仿宋" w:cs="仿宋"/>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5D1277B7">
            <w:pPr>
              <w:tabs>
                <w:tab w:val="left" w:pos="3780"/>
              </w:tabs>
              <w:autoSpaceDN w:val="0"/>
              <w:ind w:firstLine="360"/>
              <w:jc w:val="center"/>
              <w:rPr>
                <w:rFonts w:ascii="仿宋" w:hAnsi="仿宋" w:eastAsia="仿宋" w:cs="仿宋"/>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6EC45671">
            <w:pPr>
              <w:tabs>
                <w:tab w:val="left" w:pos="3780"/>
              </w:tabs>
              <w:autoSpaceDN w:val="0"/>
              <w:ind w:firstLine="360"/>
              <w:jc w:val="center"/>
              <w:rPr>
                <w:rFonts w:ascii="仿宋" w:hAnsi="仿宋" w:eastAsia="仿宋" w:cs="仿宋"/>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16CEF145">
            <w:pPr>
              <w:tabs>
                <w:tab w:val="left" w:pos="3780"/>
              </w:tabs>
              <w:autoSpaceDN w:val="0"/>
              <w:ind w:firstLine="360"/>
              <w:jc w:val="center"/>
              <w:rPr>
                <w:rFonts w:ascii="仿宋" w:hAnsi="仿宋" w:eastAsia="仿宋" w:cs="仿宋"/>
                <w:color w:val="auto"/>
                <w:sz w:val="24"/>
                <w:szCs w:val="24"/>
                <w:highlight w:val="none"/>
              </w:rPr>
            </w:pPr>
          </w:p>
        </w:tc>
      </w:tr>
      <w:tr w14:paraId="6C06C82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14:paraId="204FDE20">
            <w:pPr>
              <w:autoSpaceDN w:val="0"/>
              <w:jc w:val="center"/>
              <w:rPr>
                <w:rFonts w:ascii="仿宋" w:hAnsi="仿宋" w:eastAsia="仿宋" w:cs="仿宋"/>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6D16DFFE">
            <w:pPr>
              <w:tabs>
                <w:tab w:val="left" w:pos="3780"/>
              </w:tabs>
              <w:autoSpaceDN w:val="0"/>
              <w:ind w:firstLine="36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634" w:type="dxa"/>
            <w:tcBorders>
              <w:top w:val="single" w:color="auto" w:sz="6" w:space="0"/>
              <w:left w:val="single" w:color="auto" w:sz="6" w:space="0"/>
              <w:bottom w:val="single" w:color="auto" w:sz="6" w:space="0"/>
              <w:right w:val="single" w:color="auto" w:sz="6" w:space="0"/>
            </w:tcBorders>
            <w:vAlign w:val="center"/>
          </w:tcPr>
          <w:p w14:paraId="6B02288A">
            <w:pPr>
              <w:tabs>
                <w:tab w:val="left" w:pos="3780"/>
              </w:tabs>
              <w:autoSpaceDN w:val="0"/>
              <w:ind w:firstLine="36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857" w:type="dxa"/>
            <w:tcBorders>
              <w:top w:val="single" w:color="auto" w:sz="6" w:space="0"/>
              <w:left w:val="single" w:color="auto" w:sz="6" w:space="0"/>
              <w:bottom w:val="single" w:color="auto" w:sz="6" w:space="0"/>
              <w:right w:val="single" w:color="auto" w:sz="6" w:space="0"/>
            </w:tcBorders>
            <w:vAlign w:val="center"/>
          </w:tcPr>
          <w:p w14:paraId="5982547C">
            <w:pPr>
              <w:tabs>
                <w:tab w:val="left" w:pos="3780"/>
              </w:tabs>
              <w:autoSpaceDN w:val="0"/>
              <w:ind w:firstLine="360"/>
              <w:jc w:val="center"/>
              <w:rPr>
                <w:rFonts w:ascii="仿宋" w:hAnsi="仿宋" w:eastAsia="仿宋" w:cs="仿宋"/>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0940C1C2">
            <w:pPr>
              <w:tabs>
                <w:tab w:val="left" w:pos="3780"/>
              </w:tabs>
              <w:autoSpaceDN w:val="0"/>
              <w:ind w:firstLine="360"/>
              <w:jc w:val="center"/>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074338BA">
            <w:pPr>
              <w:tabs>
                <w:tab w:val="left" w:pos="3780"/>
              </w:tabs>
              <w:autoSpaceDN w:val="0"/>
              <w:ind w:firstLine="360"/>
              <w:jc w:val="center"/>
              <w:rPr>
                <w:rFonts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7B3D8B1F">
            <w:pPr>
              <w:tabs>
                <w:tab w:val="left" w:pos="3780"/>
              </w:tabs>
              <w:autoSpaceDN w:val="0"/>
              <w:ind w:firstLine="360"/>
              <w:jc w:val="center"/>
              <w:rPr>
                <w:rFonts w:ascii="仿宋" w:hAnsi="仿宋" w:eastAsia="仿宋" w:cs="仿宋"/>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48FB4542">
            <w:pPr>
              <w:tabs>
                <w:tab w:val="left" w:pos="3780"/>
              </w:tabs>
              <w:autoSpaceDN w:val="0"/>
              <w:ind w:firstLine="360"/>
              <w:jc w:val="center"/>
              <w:rPr>
                <w:rFonts w:ascii="仿宋" w:hAnsi="仿宋" w:eastAsia="仿宋" w:cs="仿宋"/>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10935FF0">
            <w:pPr>
              <w:tabs>
                <w:tab w:val="left" w:pos="3780"/>
              </w:tabs>
              <w:autoSpaceDN w:val="0"/>
              <w:ind w:firstLine="360"/>
              <w:jc w:val="center"/>
              <w:rPr>
                <w:rFonts w:ascii="仿宋" w:hAnsi="仿宋" w:eastAsia="仿宋" w:cs="仿宋"/>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621D49E9">
            <w:pPr>
              <w:tabs>
                <w:tab w:val="left" w:pos="3780"/>
              </w:tabs>
              <w:autoSpaceDN w:val="0"/>
              <w:ind w:firstLine="360"/>
              <w:jc w:val="center"/>
              <w:rPr>
                <w:rFonts w:ascii="仿宋" w:hAnsi="仿宋" w:eastAsia="仿宋" w:cs="仿宋"/>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32B8C32C">
            <w:pPr>
              <w:tabs>
                <w:tab w:val="left" w:pos="3780"/>
              </w:tabs>
              <w:autoSpaceDN w:val="0"/>
              <w:ind w:firstLine="360"/>
              <w:jc w:val="center"/>
              <w:rPr>
                <w:rFonts w:ascii="仿宋" w:hAnsi="仿宋" w:eastAsia="仿宋" w:cs="仿宋"/>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0539EEA2">
            <w:pPr>
              <w:tabs>
                <w:tab w:val="left" w:pos="3780"/>
              </w:tabs>
              <w:autoSpaceDN w:val="0"/>
              <w:ind w:firstLine="360"/>
              <w:jc w:val="center"/>
              <w:rPr>
                <w:rFonts w:ascii="仿宋" w:hAnsi="仿宋" w:eastAsia="仿宋" w:cs="仿宋"/>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3A4C01DA">
            <w:pPr>
              <w:tabs>
                <w:tab w:val="left" w:pos="3780"/>
              </w:tabs>
              <w:autoSpaceDN w:val="0"/>
              <w:ind w:firstLine="360"/>
              <w:jc w:val="center"/>
              <w:rPr>
                <w:rFonts w:ascii="仿宋" w:hAnsi="仿宋" w:eastAsia="仿宋" w:cs="仿宋"/>
                <w:color w:val="auto"/>
                <w:sz w:val="24"/>
                <w:szCs w:val="24"/>
                <w:highlight w:val="none"/>
              </w:rPr>
            </w:pPr>
          </w:p>
        </w:tc>
      </w:tr>
      <w:tr w14:paraId="55FC79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14:paraId="4730EF07">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34" w:type="dxa"/>
            <w:tcBorders>
              <w:top w:val="single" w:color="auto" w:sz="6" w:space="0"/>
              <w:left w:val="single" w:color="auto" w:sz="6" w:space="0"/>
              <w:bottom w:val="single" w:color="auto" w:sz="6" w:space="0"/>
              <w:right w:val="single" w:color="auto" w:sz="6" w:space="0"/>
            </w:tcBorders>
            <w:vAlign w:val="center"/>
          </w:tcPr>
          <w:p w14:paraId="58C53C4C">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14:paraId="2A8113D9">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14:paraId="65227F9C">
            <w:pPr>
              <w:tabs>
                <w:tab w:val="left" w:pos="3780"/>
              </w:tabs>
              <w:autoSpaceDN w:val="0"/>
              <w:ind w:firstLine="360"/>
              <w:jc w:val="center"/>
              <w:rPr>
                <w:rFonts w:ascii="仿宋" w:hAnsi="仿宋" w:eastAsia="仿宋" w:cs="仿宋"/>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213B576C">
            <w:pPr>
              <w:tabs>
                <w:tab w:val="left" w:pos="3780"/>
              </w:tabs>
              <w:autoSpaceDN w:val="0"/>
              <w:ind w:firstLine="360"/>
              <w:jc w:val="center"/>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0720346D">
            <w:pPr>
              <w:tabs>
                <w:tab w:val="left" w:pos="3780"/>
              </w:tabs>
              <w:autoSpaceDN w:val="0"/>
              <w:ind w:firstLine="360"/>
              <w:jc w:val="center"/>
              <w:rPr>
                <w:rFonts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01AA7A0A">
            <w:pPr>
              <w:tabs>
                <w:tab w:val="left" w:pos="3780"/>
              </w:tabs>
              <w:autoSpaceDN w:val="0"/>
              <w:ind w:firstLine="360"/>
              <w:jc w:val="center"/>
              <w:rPr>
                <w:rFonts w:ascii="仿宋" w:hAnsi="仿宋" w:eastAsia="仿宋" w:cs="仿宋"/>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09671F54">
            <w:pPr>
              <w:tabs>
                <w:tab w:val="left" w:pos="3780"/>
              </w:tabs>
              <w:autoSpaceDN w:val="0"/>
              <w:ind w:firstLine="360"/>
              <w:jc w:val="center"/>
              <w:rPr>
                <w:rFonts w:ascii="仿宋" w:hAnsi="仿宋" w:eastAsia="仿宋" w:cs="仿宋"/>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2FC5E204">
            <w:pPr>
              <w:tabs>
                <w:tab w:val="left" w:pos="3780"/>
              </w:tabs>
              <w:autoSpaceDN w:val="0"/>
              <w:ind w:firstLine="360"/>
              <w:jc w:val="center"/>
              <w:rPr>
                <w:rFonts w:ascii="仿宋" w:hAnsi="仿宋" w:eastAsia="仿宋" w:cs="仿宋"/>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633AED23">
            <w:pPr>
              <w:tabs>
                <w:tab w:val="left" w:pos="3780"/>
              </w:tabs>
              <w:autoSpaceDN w:val="0"/>
              <w:ind w:firstLine="360"/>
              <w:jc w:val="center"/>
              <w:rPr>
                <w:rFonts w:ascii="仿宋" w:hAnsi="仿宋" w:eastAsia="仿宋" w:cs="仿宋"/>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768CF870">
            <w:pPr>
              <w:tabs>
                <w:tab w:val="left" w:pos="3780"/>
              </w:tabs>
              <w:autoSpaceDN w:val="0"/>
              <w:ind w:firstLine="360"/>
              <w:jc w:val="center"/>
              <w:rPr>
                <w:rFonts w:ascii="仿宋" w:hAnsi="仿宋" w:eastAsia="仿宋" w:cs="仿宋"/>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55B3A943">
            <w:pPr>
              <w:tabs>
                <w:tab w:val="left" w:pos="3780"/>
              </w:tabs>
              <w:autoSpaceDN w:val="0"/>
              <w:ind w:firstLine="360"/>
              <w:jc w:val="center"/>
              <w:rPr>
                <w:rFonts w:ascii="仿宋" w:hAnsi="仿宋" w:eastAsia="仿宋" w:cs="仿宋"/>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27DE814D">
            <w:pPr>
              <w:tabs>
                <w:tab w:val="left" w:pos="3780"/>
              </w:tabs>
              <w:autoSpaceDN w:val="0"/>
              <w:ind w:firstLine="360"/>
              <w:jc w:val="center"/>
              <w:rPr>
                <w:rFonts w:ascii="仿宋" w:hAnsi="仿宋" w:eastAsia="仿宋" w:cs="仿宋"/>
                <w:color w:val="auto"/>
                <w:sz w:val="24"/>
                <w:szCs w:val="24"/>
                <w:highlight w:val="none"/>
              </w:rPr>
            </w:pPr>
          </w:p>
        </w:tc>
      </w:tr>
      <w:tr w14:paraId="7F2607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724" w:type="dxa"/>
            <w:tcBorders>
              <w:top w:val="single" w:color="auto" w:sz="6" w:space="0"/>
              <w:left w:val="single" w:color="auto" w:sz="8" w:space="0"/>
              <w:bottom w:val="single" w:color="auto" w:sz="6" w:space="0"/>
              <w:right w:val="single" w:color="auto" w:sz="6" w:space="0"/>
            </w:tcBorders>
            <w:vAlign w:val="center"/>
          </w:tcPr>
          <w:p w14:paraId="100B887A">
            <w:pPr>
              <w:tabs>
                <w:tab w:val="left" w:pos="3780"/>
              </w:tabs>
              <w:autoSpaceDN w:val="0"/>
              <w:ind w:firstLine="360"/>
              <w:jc w:val="center"/>
              <w:rPr>
                <w:rFonts w:ascii="仿宋" w:hAnsi="仿宋" w:eastAsia="仿宋" w:cs="仿宋"/>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5B7BCE8B">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14:paraId="631EC950">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14:paraId="185F124C">
            <w:pPr>
              <w:tabs>
                <w:tab w:val="left" w:pos="3780"/>
              </w:tabs>
              <w:autoSpaceDN w:val="0"/>
              <w:ind w:firstLine="360"/>
              <w:jc w:val="center"/>
              <w:rPr>
                <w:rFonts w:ascii="仿宋" w:hAnsi="仿宋" w:eastAsia="仿宋" w:cs="仿宋"/>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797E4954">
            <w:pPr>
              <w:tabs>
                <w:tab w:val="left" w:pos="3780"/>
              </w:tabs>
              <w:autoSpaceDN w:val="0"/>
              <w:ind w:firstLine="360"/>
              <w:jc w:val="center"/>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29BCA22C">
            <w:pPr>
              <w:tabs>
                <w:tab w:val="left" w:pos="3780"/>
              </w:tabs>
              <w:autoSpaceDN w:val="0"/>
              <w:ind w:firstLine="360"/>
              <w:jc w:val="center"/>
              <w:rPr>
                <w:rFonts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1AE4BBE8">
            <w:pPr>
              <w:tabs>
                <w:tab w:val="left" w:pos="3780"/>
              </w:tabs>
              <w:autoSpaceDN w:val="0"/>
              <w:ind w:firstLine="360"/>
              <w:jc w:val="center"/>
              <w:rPr>
                <w:rFonts w:ascii="仿宋" w:hAnsi="仿宋" w:eastAsia="仿宋" w:cs="仿宋"/>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4E076BB6">
            <w:pPr>
              <w:tabs>
                <w:tab w:val="left" w:pos="3780"/>
              </w:tabs>
              <w:autoSpaceDN w:val="0"/>
              <w:ind w:firstLine="360"/>
              <w:jc w:val="center"/>
              <w:rPr>
                <w:rFonts w:ascii="仿宋" w:hAnsi="仿宋" w:eastAsia="仿宋" w:cs="仿宋"/>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5418C54C">
            <w:pPr>
              <w:tabs>
                <w:tab w:val="left" w:pos="3780"/>
              </w:tabs>
              <w:autoSpaceDN w:val="0"/>
              <w:ind w:firstLine="360"/>
              <w:jc w:val="center"/>
              <w:rPr>
                <w:rFonts w:ascii="仿宋" w:hAnsi="仿宋" w:eastAsia="仿宋" w:cs="仿宋"/>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423BC06D">
            <w:pPr>
              <w:tabs>
                <w:tab w:val="left" w:pos="3780"/>
              </w:tabs>
              <w:autoSpaceDN w:val="0"/>
              <w:ind w:firstLine="360"/>
              <w:jc w:val="center"/>
              <w:rPr>
                <w:rFonts w:ascii="仿宋" w:hAnsi="仿宋" w:eastAsia="仿宋" w:cs="仿宋"/>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7CACA5C2">
            <w:pPr>
              <w:tabs>
                <w:tab w:val="left" w:pos="3780"/>
              </w:tabs>
              <w:autoSpaceDN w:val="0"/>
              <w:ind w:firstLine="360"/>
              <w:jc w:val="center"/>
              <w:rPr>
                <w:rFonts w:ascii="仿宋" w:hAnsi="仿宋" w:eastAsia="仿宋" w:cs="仿宋"/>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60F815A7">
            <w:pPr>
              <w:tabs>
                <w:tab w:val="left" w:pos="3780"/>
              </w:tabs>
              <w:autoSpaceDN w:val="0"/>
              <w:ind w:firstLine="360"/>
              <w:jc w:val="center"/>
              <w:rPr>
                <w:rFonts w:ascii="仿宋" w:hAnsi="仿宋" w:eastAsia="仿宋" w:cs="仿宋"/>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39CFDC40">
            <w:pPr>
              <w:tabs>
                <w:tab w:val="left" w:pos="3780"/>
              </w:tabs>
              <w:autoSpaceDN w:val="0"/>
              <w:ind w:firstLine="360"/>
              <w:jc w:val="center"/>
              <w:rPr>
                <w:rFonts w:ascii="仿宋" w:hAnsi="仿宋" w:eastAsia="仿宋" w:cs="仿宋"/>
                <w:color w:val="auto"/>
                <w:sz w:val="24"/>
                <w:szCs w:val="24"/>
                <w:highlight w:val="none"/>
              </w:rPr>
            </w:pPr>
          </w:p>
        </w:tc>
      </w:tr>
      <w:tr w14:paraId="0DC1052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724" w:type="dxa"/>
            <w:tcBorders>
              <w:top w:val="single" w:color="auto" w:sz="6" w:space="0"/>
              <w:left w:val="single" w:color="auto" w:sz="8" w:space="0"/>
              <w:bottom w:val="single" w:color="auto" w:sz="6" w:space="0"/>
              <w:right w:val="single" w:color="auto" w:sz="6" w:space="0"/>
            </w:tcBorders>
            <w:vAlign w:val="center"/>
          </w:tcPr>
          <w:p w14:paraId="6C9A8922">
            <w:pPr>
              <w:tabs>
                <w:tab w:val="left" w:pos="3780"/>
              </w:tabs>
              <w:autoSpaceDN w:val="0"/>
              <w:ind w:firstLine="360"/>
              <w:jc w:val="center"/>
              <w:rPr>
                <w:rFonts w:ascii="仿宋" w:hAnsi="仿宋" w:eastAsia="仿宋" w:cs="仿宋"/>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3E1C5D04">
            <w:pPr>
              <w:tabs>
                <w:tab w:val="left" w:pos="3780"/>
              </w:tabs>
              <w:autoSpaceDN w:val="0"/>
              <w:ind w:firstLine="36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634" w:type="dxa"/>
            <w:tcBorders>
              <w:top w:val="single" w:color="auto" w:sz="6" w:space="0"/>
              <w:left w:val="single" w:color="auto" w:sz="6" w:space="0"/>
              <w:bottom w:val="single" w:color="auto" w:sz="6" w:space="0"/>
              <w:right w:val="single" w:color="auto" w:sz="6" w:space="0"/>
            </w:tcBorders>
            <w:vAlign w:val="center"/>
          </w:tcPr>
          <w:p w14:paraId="0BCC75FB">
            <w:pPr>
              <w:tabs>
                <w:tab w:val="left" w:pos="3780"/>
              </w:tabs>
              <w:autoSpaceDN w:val="0"/>
              <w:ind w:firstLine="36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857" w:type="dxa"/>
            <w:tcBorders>
              <w:top w:val="single" w:color="auto" w:sz="6" w:space="0"/>
              <w:left w:val="single" w:color="auto" w:sz="6" w:space="0"/>
              <w:bottom w:val="single" w:color="auto" w:sz="6" w:space="0"/>
              <w:right w:val="single" w:color="auto" w:sz="6" w:space="0"/>
            </w:tcBorders>
            <w:vAlign w:val="center"/>
          </w:tcPr>
          <w:p w14:paraId="26856F3A">
            <w:pPr>
              <w:tabs>
                <w:tab w:val="left" w:pos="3780"/>
              </w:tabs>
              <w:autoSpaceDN w:val="0"/>
              <w:ind w:firstLine="360"/>
              <w:jc w:val="center"/>
              <w:rPr>
                <w:rFonts w:ascii="仿宋" w:hAnsi="仿宋" w:eastAsia="仿宋" w:cs="仿宋"/>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216B6B93">
            <w:pPr>
              <w:tabs>
                <w:tab w:val="left" w:pos="3780"/>
              </w:tabs>
              <w:autoSpaceDN w:val="0"/>
              <w:ind w:firstLine="360"/>
              <w:jc w:val="center"/>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71E56848">
            <w:pPr>
              <w:tabs>
                <w:tab w:val="left" w:pos="3780"/>
              </w:tabs>
              <w:autoSpaceDN w:val="0"/>
              <w:ind w:firstLine="360"/>
              <w:jc w:val="center"/>
              <w:rPr>
                <w:rFonts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6024B10F">
            <w:pPr>
              <w:tabs>
                <w:tab w:val="left" w:pos="3780"/>
              </w:tabs>
              <w:autoSpaceDN w:val="0"/>
              <w:ind w:firstLine="360"/>
              <w:jc w:val="center"/>
              <w:rPr>
                <w:rFonts w:ascii="仿宋" w:hAnsi="仿宋" w:eastAsia="仿宋" w:cs="仿宋"/>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4B847F86">
            <w:pPr>
              <w:tabs>
                <w:tab w:val="left" w:pos="3780"/>
              </w:tabs>
              <w:autoSpaceDN w:val="0"/>
              <w:ind w:firstLine="360"/>
              <w:jc w:val="center"/>
              <w:rPr>
                <w:rFonts w:ascii="仿宋" w:hAnsi="仿宋" w:eastAsia="仿宋" w:cs="仿宋"/>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73109477">
            <w:pPr>
              <w:tabs>
                <w:tab w:val="left" w:pos="3780"/>
              </w:tabs>
              <w:autoSpaceDN w:val="0"/>
              <w:ind w:firstLine="360"/>
              <w:jc w:val="center"/>
              <w:rPr>
                <w:rFonts w:ascii="仿宋" w:hAnsi="仿宋" w:eastAsia="仿宋" w:cs="仿宋"/>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527C22C8">
            <w:pPr>
              <w:tabs>
                <w:tab w:val="left" w:pos="3780"/>
              </w:tabs>
              <w:autoSpaceDN w:val="0"/>
              <w:ind w:firstLine="360"/>
              <w:jc w:val="center"/>
              <w:rPr>
                <w:rFonts w:ascii="仿宋" w:hAnsi="仿宋" w:eastAsia="仿宋" w:cs="仿宋"/>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2367058D">
            <w:pPr>
              <w:tabs>
                <w:tab w:val="left" w:pos="3780"/>
              </w:tabs>
              <w:autoSpaceDN w:val="0"/>
              <w:ind w:firstLine="360"/>
              <w:jc w:val="center"/>
              <w:rPr>
                <w:rFonts w:ascii="仿宋" w:hAnsi="仿宋" w:eastAsia="仿宋" w:cs="仿宋"/>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14699B22">
            <w:pPr>
              <w:tabs>
                <w:tab w:val="left" w:pos="3780"/>
              </w:tabs>
              <w:autoSpaceDN w:val="0"/>
              <w:ind w:firstLine="360"/>
              <w:jc w:val="center"/>
              <w:rPr>
                <w:rFonts w:ascii="仿宋" w:hAnsi="仿宋" w:eastAsia="仿宋" w:cs="仿宋"/>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29B7D94F">
            <w:pPr>
              <w:tabs>
                <w:tab w:val="left" w:pos="3780"/>
              </w:tabs>
              <w:autoSpaceDN w:val="0"/>
              <w:ind w:firstLine="360"/>
              <w:jc w:val="center"/>
              <w:rPr>
                <w:rFonts w:ascii="仿宋" w:hAnsi="仿宋" w:eastAsia="仿宋" w:cs="仿宋"/>
                <w:color w:val="auto"/>
                <w:sz w:val="24"/>
                <w:szCs w:val="24"/>
                <w:highlight w:val="none"/>
              </w:rPr>
            </w:pPr>
          </w:p>
        </w:tc>
      </w:tr>
      <w:tr w14:paraId="3CEA07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13065" w:type="dxa"/>
            <w:gridSpan w:val="12"/>
            <w:tcBorders>
              <w:top w:val="single" w:color="auto" w:sz="6" w:space="0"/>
              <w:left w:val="single" w:color="auto" w:sz="8" w:space="0"/>
              <w:bottom w:val="single" w:color="auto" w:sz="8" w:space="0"/>
              <w:right w:val="single" w:color="auto" w:sz="6" w:space="0"/>
            </w:tcBorders>
            <w:vAlign w:val="center"/>
          </w:tcPr>
          <w:p w14:paraId="38D97191">
            <w:pPr>
              <w:tabs>
                <w:tab w:val="left" w:pos="3780"/>
              </w:tabs>
              <w:autoSpaceDN w:val="0"/>
              <w:ind w:firstLine="36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  计：</w:t>
            </w:r>
          </w:p>
        </w:tc>
        <w:tc>
          <w:tcPr>
            <w:tcW w:w="1267" w:type="dxa"/>
            <w:tcBorders>
              <w:top w:val="single" w:color="auto" w:sz="6" w:space="0"/>
              <w:left w:val="single" w:color="auto" w:sz="6" w:space="0"/>
              <w:bottom w:val="single" w:color="auto" w:sz="8" w:space="0"/>
              <w:right w:val="single" w:color="auto" w:sz="8" w:space="0"/>
            </w:tcBorders>
            <w:vAlign w:val="center"/>
          </w:tcPr>
          <w:p w14:paraId="7E10BA5F">
            <w:pPr>
              <w:tabs>
                <w:tab w:val="left" w:pos="3780"/>
              </w:tabs>
              <w:autoSpaceDN w:val="0"/>
              <w:ind w:firstLine="360"/>
              <w:jc w:val="center"/>
              <w:rPr>
                <w:rFonts w:ascii="仿宋" w:hAnsi="仿宋" w:eastAsia="仿宋" w:cs="仿宋"/>
                <w:color w:val="auto"/>
                <w:sz w:val="24"/>
                <w:szCs w:val="24"/>
                <w:highlight w:val="none"/>
              </w:rPr>
            </w:pPr>
          </w:p>
        </w:tc>
      </w:tr>
    </w:tbl>
    <w:p w14:paraId="0B158993">
      <w:pPr>
        <w:widowControl/>
        <w:tabs>
          <w:tab w:val="center" w:pos="4755"/>
          <w:tab w:val="right" w:pos="9070"/>
        </w:tabs>
        <w:autoSpaceDN w:val="0"/>
        <w:rPr>
          <w:rFonts w:ascii="仿宋" w:hAnsi="仿宋" w:eastAsia="仿宋" w:cs="仿宋"/>
          <w:color w:val="auto"/>
          <w:sz w:val="24"/>
          <w:szCs w:val="24"/>
          <w:highlight w:val="none"/>
        </w:rPr>
      </w:pPr>
    </w:p>
    <w:p w14:paraId="165110DC">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注：表（1）、（2）栏中清单编号和措施项目清单名称由采购人按需要提出。</w:t>
      </w:r>
    </w:p>
    <w:p w14:paraId="2FB5B8B1">
      <w:pPr>
        <w:widowControl/>
        <w:spacing w:beforeAutospacing="1" w:afterAutospacing="1"/>
        <w:jc w:val="left"/>
        <w:rPr>
          <w:rFonts w:ascii="仿宋" w:hAnsi="仿宋" w:eastAsia="仿宋" w:cs="仿宋"/>
          <w:color w:val="auto"/>
          <w:sz w:val="24"/>
          <w:szCs w:val="24"/>
          <w:highlight w:val="none"/>
        </w:rPr>
        <w:sectPr>
          <w:pgSz w:w="16838" w:h="11906" w:orient="landscape"/>
          <w:pgMar w:top="1418" w:right="1440" w:bottom="1418" w:left="1440" w:header="851" w:footer="1077" w:gutter="0"/>
          <w:cols w:space="720" w:num="1"/>
          <w:docGrid w:type="linesAndChars" w:linePitch="312" w:charSpace="0"/>
        </w:sectPr>
      </w:pPr>
    </w:p>
    <w:p w14:paraId="43081504">
      <w:pPr>
        <w:widowControl/>
        <w:tabs>
          <w:tab w:val="center" w:pos="4755"/>
          <w:tab w:val="right" w:pos="9070"/>
        </w:tabs>
        <w:autoSpaceDN w:val="0"/>
        <w:rPr>
          <w:rFonts w:ascii="仿宋" w:hAnsi="仿宋" w:eastAsia="仿宋" w:cs="仿宋"/>
          <w:color w:val="auto"/>
          <w:sz w:val="24"/>
          <w:szCs w:val="24"/>
          <w:highlight w:val="none"/>
        </w:rPr>
      </w:pPr>
    </w:p>
    <w:p w14:paraId="7CEB0F44">
      <w:pPr>
        <w:widowControl/>
        <w:spacing w:beforeAutospacing="1" w:afterAutospacing="1"/>
        <w:jc w:val="left"/>
        <w:rPr>
          <w:rFonts w:ascii="仿宋" w:hAnsi="仿宋" w:eastAsia="仿宋" w:cs="Times New Roman"/>
          <w:b/>
          <w:bCs/>
          <w:color w:val="auto"/>
          <w:kern w:val="0"/>
          <w:sz w:val="24"/>
          <w:szCs w:val="24"/>
          <w:highlight w:val="none"/>
        </w:rPr>
        <w:sectPr>
          <w:type w:val="continuous"/>
          <w:pgSz w:w="16838" w:h="11906" w:orient="landscape"/>
          <w:pgMar w:top="1418" w:right="1440" w:bottom="1418" w:left="1440" w:header="851" w:footer="992" w:gutter="0"/>
          <w:cols w:space="720" w:num="1"/>
          <w:docGrid w:type="linesAndChars" w:linePitch="312" w:charSpace="0"/>
        </w:sectPr>
      </w:pPr>
    </w:p>
    <w:p w14:paraId="4077B152">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表2-3  综合单价工料机分析表</w:t>
      </w:r>
    </w:p>
    <w:p w14:paraId="41EBE9E3">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项目编码:                                             计量单位：</w:t>
      </w:r>
    </w:p>
    <w:p w14:paraId="6C9FAB82">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471"/>
        <w:gridCol w:w="1751"/>
        <w:gridCol w:w="1404"/>
        <w:gridCol w:w="1751"/>
      </w:tblGrid>
      <w:tr w14:paraId="55660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7CF200A4">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186FC300">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名称及规格</w:t>
            </w:r>
          </w:p>
        </w:tc>
        <w:tc>
          <w:tcPr>
            <w:tcW w:w="1471" w:type="dxa"/>
            <w:vMerge w:val="restart"/>
            <w:tcBorders>
              <w:top w:val="single" w:color="auto" w:sz="4" w:space="0"/>
              <w:left w:val="single" w:color="auto" w:sz="4" w:space="0"/>
              <w:bottom w:val="single" w:color="auto" w:sz="4" w:space="0"/>
              <w:right w:val="single" w:color="auto" w:sz="4" w:space="0"/>
            </w:tcBorders>
            <w:vAlign w:val="center"/>
          </w:tcPr>
          <w:p w14:paraId="39A043E8">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5D703E48">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3155" w:type="dxa"/>
            <w:gridSpan w:val="2"/>
            <w:tcBorders>
              <w:top w:val="single" w:color="auto" w:sz="4" w:space="0"/>
              <w:left w:val="single" w:color="auto" w:sz="4" w:space="0"/>
              <w:bottom w:val="single" w:color="auto" w:sz="4" w:space="0"/>
              <w:right w:val="single" w:color="auto" w:sz="4" w:space="0"/>
            </w:tcBorders>
            <w:vAlign w:val="center"/>
          </w:tcPr>
          <w:p w14:paraId="4D70B947">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金额(元)</w:t>
            </w:r>
          </w:p>
        </w:tc>
      </w:tr>
      <w:tr w14:paraId="43AA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3CE6D94">
            <w:pPr>
              <w:widowControl/>
              <w:jc w:val="left"/>
              <w:rPr>
                <w:rFonts w:ascii="仿宋" w:hAnsi="仿宋" w:eastAsia="仿宋" w:cs="仿宋"/>
                <w:color w:val="auto"/>
                <w:sz w:val="24"/>
                <w:szCs w:val="24"/>
                <w:highlight w:val="none"/>
              </w:rPr>
            </w:pPr>
          </w:p>
        </w:tc>
        <w:tc>
          <w:tcPr>
            <w:tcW w:w="7955" w:type="dxa"/>
            <w:gridSpan w:val="2"/>
            <w:vMerge w:val="continue"/>
            <w:tcBorders>
              <w:top w:val="single" w:color="auto" w:sz="4" w:space="0"/>
              <w:left w:val="single" w:color="auto" w:sz="4" w:space="0"/>
              <w:bottom w:val="single" w:color="auto" w:sz="4" w:space="0"/>
              <w:right w:val="single" w:color="auto" w:sz="4" w:space="0"/>
            </w:tcBorders>
            <w:vAlign w:val="center"/>
          </w:tcPr>
          <w:p w14:paraId="3864952C">
            <w:pPr>
              <w:widowControl/>
              <w:jc w:val="left"/>
              <w:rPr>
                <w:rFonts w:ascii="仿宋" w:hAnsi="仿宋" w:eastAsia="仿宋" w:cs="仿宋"/>
                <w:color w:val="auto"/>
                <w:sz w:val="24"/>
                <w:szCs w:val="24"/>
                <w:highlight w:val="none"/>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14:paraId="5128F7F7">
            <w:pPr>
              <w:widowControl/>
              <w:jc w:val="left"/>
              <w:rPr>
                <w:rFonts w:ascii="仿宋" w:hAnsi="仿宋" w:eastAsia="仿宋" w:cs="仿宋"/>
                <w:color w:val="auto"/>
                <w:sz w:val="24"/>
                <w:szCs w:val="24"/>
                <w:highlight w:val="none"/>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6C4D6AE2">
            <w:pPr>
              <w:widowControl/>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70F79798">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1751" w:type="dxa"/>
            <w:tcBorders>
              <w:top w:val="single" w:color="auto" w:sz="4" w:space="0"/>
              <w:left w:val="single" w:color="auto" w:sz="4" w:space="0"/>
              <w:bottom w:val="single" w:color="auto" w:sz="4" w:space="0"/>
              <w:right w:val="single" w:color="auto" w:sz="4" w:space="0"/>
            </w:tcBorders>
            <w:vAlign w:val="center"/>
          </w:tcPr>
          <w:p w14:paraId="574D704B">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合价</w:t>
            </w:r>
          </w:p>
        </w:tc>
      </w:tr>
      <w:tr w14:paraId="37FE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14:paraId="0605DFDE">
            <w:pPr>
              <w:widowControl/>
              <w:tabs>
                <w:tab w:val="center" w:pos="4755"/>
                <w:tab w:val="right" w:pos="9070"/>
              </w:tabs>
              <w:autoSpaceDN w:val="0"/>
              <w:jc w:val="left"/>
              <w:rPr>
                <w:rFonts w:ascii="仿宋" w:hAnsi="仿宋" w:eastAsia="仿宋" w:cs="仿宋"/>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7B1FC98">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4D34F7C6">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一类</w:t>
            </w:r>
          </w:p>
        </w:tc>
        <w:tc>
          <w:tcPr>
            <w:tcW w:w="1471" w:type="dxa"/>
            <w:tcBorders>
              <w:top w:val="single" w:color="auto" w:sz="4" w:space="0"/>
              <w:left w:val="single" w:color="auto" w:sz="4" w:space="0"/>
              <w:bottom w:val="single" w:color="auto" w:sz="4" w:space="0"/>
              <w:right w:val="single" w:color="auto" w:sz="4" w:space="0"/>
            </w:tcBorders>
            <w:vAlign w:val="center"/>
          </w:tcPr>
          <w:p w14:paraId="2FA6A536">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77BEC9AC">
            <w:pPr>
              <w:widowControl/>
              <w:tabs>
                <w:tab w:val="center" w:pos="4755"/>
                <w:tab w:val="right" w:pos="9070"/>
              </w:tabs>
              <w:autoSpaceDN w:val="0"/>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0ECBF877">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09C39641">
            <w:pPr>
              <w:widowControl/>
              <w:tabs>
                <w:tab w:val="center" w:pos="4755"/>
                <w:tab w:val="right" w:pos="9070"/>
              </w:tabs>
              <w:autoSpaceDN w:val="0"/>
              <w:jc w:val="left"/>
              <w:rPr>
                <w:rFonts w:ascii="仿宋" w:hAnsi="仿宋" w:eastAsia="仿宋" w:cs="仿宋"/>
                <w:color w:val="auto"/>
                <w:sz w:val="24"/>
                <w:szCs w:val="24"/>
                <w:highlight w:val="none"/>
              </w:rPr>
            </w:pPr>
          </w:p>
        </w:tc>
      </w:tr>
      <w:tr w14:paraId="568A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31A2561">
            <w:pPr>
              <w:widowControl/>
              <w:jc w:val="left"/>
              <w:rPr>
                <w:rFonts w:ascii="仿宋" w:hAnsi="仿宋" w:eastAsia="仿宋" w:cs="仿宋"/>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10694ADB">
            <w:pPr>
              <w:widowControl/>
              <w:jc w:val="left"/>
              <w:rPr>
                <w:rFonts w:ascii="仿宋" w:hAnsi="仿宋" w:eastAsia="仿宋" w:cs="仿宋"/>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755D0883">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二类</w:t>
            </w:r>
          </w:p>
        </w:tc>
        <w:tc>
          <w:tcPr>
            <w:tcW w:w="1471" w:type="dxa"/>
            <w:tcBorders>
              <w:top w:val="single" w:color="auto" w:sz="4" w:space="0"/>
              <w:left w:val="single" w:color="auto" w:sz="4" w:space="0"/>
              <w:bottom w:val="single" w:color="auto" w:sz="4" w:space="0"/>
              <w:right w:val="single" w:color="auto" w:sz="4" w:space="0"/>
            </w:tcBorders>
            <w:vAlign w:val="center"/>
          </w:tcPr>
          <w:p w14:paraId="054F877E">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58AB3735">
            <w:pPr>
              <w:widowControl/>
              <w:tabs>
                <w:tab w:val="center" w:pos="4755"/>
                <w:tab w:val="right" w:pos="9070"/>
              </w:tabs>
              <w:autoSpaceDN w:val="0"/>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0C0E314C">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7048E52B">
            <w:pPr>
              <w:widowControl/>
              <w:tabs>
                <w:tab w:val="center" w:pos="4755"/>
                <w:tab w:val="right" w:pos="9070"/>
              </w:tabs>
              <w:autoSpaceDN w:val="0"/>
              <w:jc w:val="left"/>
              <w:rPr>
                <w:rFonts w:ascii="仿宋" w:hAnsi="仿宋" w:eastAsia="仿宋" w:cs="仿宋"/>
                <w:color w:val="auto"/>
                <w:sz w:val="24"/>
                <w:szCs w:val="24"/>
                <w:highlight w:val="none"/>
              </w:rPr>
            </w:pPr>
          </w:p>
        </w:tc>
      </w:tr>
      <w:tr w14:paraId="2289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A036126">
            <w:pPr>
              <w:widowControl/>
              <w:jc w:val="left"/>
              <w:rPr>
                <w:rFonts w:ascii="仿宋" w:hAnsi="仿宋" w:eastAsia="仿宋" w:cs="仿宋"/>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2FC8C466">
            <w:pPr>
              <w:widowControl/>
              <w:jc w:val="left"/>
              <w:rPr>
                <w:rFonts w:ascii="仿宋" w:hAnsi="仿宋" w:eastAsia="仿宋" w:cs="仿宋"/>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0EF388D3">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三类</w:t>
            </w:r>
          </w:p>
        </w:tc>
        <w:tc>
          <w:tcPr>
            <w:tcW w:w="1471" w:type="dxa"/>
            <w:tcBorders>
              <w:top w:val="single" w:color="auto" w:sz="4" w:space="0"/>
              <w:left w:val="single" w:color="auto" w:sz="4" w:space="0"/>
              <w:bottom w:val="single" w:color="auto" w:sz="4" w:space="0"/>
              <w:right w:val="single" w:color="auto" w:sz="4" w:space="0"/>
            </w:tcBorders>
            <w:vAlign w:val="center"/>
          </w:tcPr>
          <w:p w14:paraId="4740B906">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4395205A">
            <w:pPr>
              <w:widowControl/>
              <w:tabs>
                <w:tab w:val="center" w:pos="4755"/>
                <w:tab w:val="right" w:pos="9070"/>
              </w:tabs>
              <w:autoSpaceDN w:val="0"/>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48B46194">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0C18AE57">
            <w:pPr>
              <w:widowControl/>
              <w:tabs>
                <w:tab w:val="center" w:pos="4755"/>
                <w:tab w:val="right" w:pos="9070"/>
              </w:tabs>
              <w:autoSpaceDN w:val="0"/>
              <w:jc w:val="left"/>
              <w:rPr>
                <w:rFonts w:ascii="仿宋" w:hAnsi="仿宋" w:eastAsia="仿宋" w:cs="仿宋"/>
                <w:color w:val="auto"/>
                <w:sz w:val="24"/>
                <w:szCs w:val="24"/>
                <w:highlight w:val="none"/>
              </w:rPr>
            </w:pPr>
          </w:p>
        </w:tc>
      </w:tr>
      <w:tr w14:paraId="6543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056EF98">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4BA0A867">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人工费小计</w:t>
            </w:r>
          </w:p>
        </w:tc>
        <w:tc>
          <w:tcPr>
            <w:tcW w:w="1751" w:type="dxa"/>
            <w:tcBorders>
              <w:top w:val="single" w:color="auto" w:sz="4" w:space="0"/>
              <w:left w:val="single" w:color="auto" w:sz="4" w:space="0"/>
              <w:bottom w:val="single" w:color="auto" w:sz="4" w:space="0"/>
              <w:right w:val="single" w:color="auto" w:sz="4" w:space="0"/>
            </w:tcBorders>
          </w:tcPr>
          <w:p w14:paraId="6160E790">
            <w:pPr>
              <w:widowControl/>
              <w:tabs>
                <w:tab w:val="center" w:pos="4755"/>
                <w:tab w:val="right" w:pos="9070"/>
              </w:tabs>
              <w:autoSpaceDN w:val="0"/>
              <w:jc w:val="left"/>
              <w:rPr>
                <w:rFonts w:ascii="仿宋" w:hAnsi="仿宋" w:eastAsia="仿宋" w:cs="仿宋"/>
                <w:color w:val="auto"/>
                <w:sz w:val="24"/>
                <w:szCs w:val="24"/>
                <w:highlight w:val="none"/>
              </w:rPr>
            </w:pPr>
          </w:p>
        </w:tc>
      </w:tr>
      <w:tr w14:paraId="4869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14:paraId="5E2DFFA0">
            <w:pPr>
              <w:widowControl/>
              <w:tabs>
                <w:tab w:val="center" w:pos="4755"/>
                <w:tab w:val="right" w:pos="9070"/>
              </w:tabs>
              <w:autoSpaceDN w:val="0"/>
              <w:jc w:val="center"/>
              <w:rPr>
                <w:rFonts w:ascii="仿宋" w:hAnsi="仿宋" w:eastAsia="仿宋" w:cs="仿宋"/>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59400781">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主要</w:t>
            </w:r>
          </w:p>
          <w:p w14:paraId="1661ED50">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w:t>
            </w:r>
          </w:p>
        </w:tc>
        <w:tc>
          <w:tcPr>
            <w:tcW w:w="1226" w:type="dxa"/>
            <w:tcBorders>
              <w:top w:val="single" w:color="auto" w:sz="4" w:space="0"/>
              <w:left w:val="single" w:color="auto" w:sz="4" w:space="0"/>
              <w:bottom w:val="single" w:color="auto" w:sz="4" w:space="0"/>
              <w:right w:val="single" w:color="auto" w:sz="4" w:space="0"/>
            </w:tcBorders>
          </w:tcPr>
          <w:p w14:paraId="38BBAA86">
            <w:pPr>
              <w:widowControl/>
              <w:tabs>
                <w:tab w:val="center" w:pos="4755"/>
                <w:tab w:val="right" w:pos="9070"/>
              </w:tabs>
              <w:autoSpaceDN w:val="0"/>
              <w:jc w:val="left"/>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632453FE">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5AAD0895">
            <w:pPr>
              <w:widowControl/>
              <w:tabs>
                <w:tab w:val="center" w:pos="4755"/>
                <w:tab w:val="right" w:pos="9070"/>
              </w:tabs>
              <w:autoSpaceDN w:val="0"/>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22000857">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101A3751">
            <w:pPr>
              <w:widowControl/>
              <w:tabs>
                <w:tab w:val="center" w:pos="4755"/>
                <w:tab w:val="right" w:pos="9070"/>
              </w:tabs>
              <w:autoSpaceDN w:val="0"/>
              <w:jc w:val="left"/>
              <w:rPr>
                <w:rFonts w:ascii="仿宋" w:hAnsi="仿宋" w:eastAsia="仿宋" w:cs="仿宋"/>
                <w:color w:val="auto"/>
                <w:sz w:val="24"/>
                <w:szCs w:val="24"/>
                <w:highlight w:val="none"/>
              </w:rPr>
            </w:pPr>
          </w:p>
        </w:tc>
      </w:tr>
      <w:tr w14:paraId="3FFE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FA7E833">
            <w:pPr>
              <w:widowControl/>
              <w:jc w:val="left"/>
              <w:rPr>
                <w:rFonts w:ascii="仿宋" w:hAnsi="仿宋" w:eastAsia="仿宋" w:cs="仿宋"/>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0E59BE66">
            <w:pPr>
              <w:widowControl/>
              <w:jc w:val="left"/>
              <w:rPr>
                <w:rFonts w:ascii="仿宋" w:hAnsi="仿宋" w:eastAsia="仿宋" w:cs="仿宋"/>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tcPr>
          <w:p w14:paraId="0F60628E">
            <w:pPr>
              <w:widowControl/>
              <w:tabs>
                <w:tab w:val="center" w:pos="4755"/>
                <w:tab w:val="right" w:pos="9070"/>
              </w:tabs>
              <w:autoSpaceDN w:val="0"/>
              <w:jc w:val="left"/>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2833BFC5">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503B8F52">
            <w:pPr>
              <w:widowControl/>
              <w:tabs>
                <w:tab w:val="center" w:pos="4755"/>
                <w:tab w:val="right" w:pos="9070"/>
              </w:tabs>
              <w:autoSpaceDN w:val="0"/>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0A96BA25">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6B4B02E1">
            <w:pPr>
              <w:widowControl/>
              <w:tabs>
                <w:tab w:val="center" w:pos="4755"/>
                <w:tab w:val="right" w:pos="9070"/>
              </w:tabs>
              <w:autoSpaceDN w:val="0"/>
              <w:jc w:val="left"/>
              <w:rPr>
                <w:rFonts w:ascii="仿宋" w:hAnsi="仿宋" w:eastAsia="仿宋" w:cs="仿宋"/>
                <w:color w:val="auto"/>
                <w:sz w:val="24"/>
                <w:szCs w:val="24"/>
                <w:highlight w:val="none"/>
              </w:rPr>
            </w:pPr>
          </w:p>
        </w:tc>
      </w:tr>
      <w:tr w14:paraId="2BB6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B03EA0F">
            <w:pPr>
              <w:widowControl/>
              <w:jc w:val="left"/>
              <w:rPr>
                <w:rFonts w:ascii="仿宋" w:hAnsi="仿宋" w:eastAsia="仿宋" w:cs="仿宋"/>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0D6682D4">
            <w:pPr>
              <w:widowControl/>
              <w:jc w:val="left"/>
              <w:rPr>
                <w:rFonts w:ascii="仿宋" w:hAnsi="仿宋" w:eastAsia="仿宋" w:cs="仿宋"/>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tcPr>
          <w:p w14:paraId="1A7BE7FE">
            <w:pPr>
              <w:widowControl/>
              <w:tabs>
                <w:tab w:val="center" w:pos="4755"/>
                <w:tab w:val="right" w:pos="9070"/>
              </w:tabs>
              <w:autoSpaceDN w:val="0"/>
              <w:jc w:val="left"/>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1D0788C7">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73B4F0B7">
            <w:pPr>
              <w:widowControl/>
              <w:tabs>
                <w:tab w:val="center" w:pos="4755"/>
                <w:tab w:val="right" w:pos="9070"/>
              </w:tabs>
              <w:autoSpaceDN w:val="0"/>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3B96BA21">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67B114BA">
            <w:pPr>
              <w:widowControl/>
              <w:tabs>
                <w:tab w:val="center" w:pos="4755"/>
                <w:tab w:val="right" w:pos="9070"/>
              </w:tabs>
              <w:autoSpaceDN w:val="0"/>
              <w:jc w:val="left"/>
              <w:rPr>
                <w:rFonts w:ascii="仿宋" w:hAnsi="仿宋" w:eastAsia="仿宋" w:cs="仿宋"/>
                <w:color w:val="auto"/>
                <w:sz w:val="24"/>
                <w:szCs w:val="24"/>
                <w:highlight w:val="none"/>
              </w:rPr>
            </w:pPr>
          </w:p>
        </w:tc>
      </w:tr>
      <w:tr w14:paraId="20A3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DD62217">
            <w:pPr>
              <w:widowControl/>
              <w:jc w:val="left"/>
              <w:rPr>
                <w:rFonts w:ascii="仿宋" w:hAnsi="仿宋" w:eastAsia="仿宋" w:cs="仿宋"/>
                <w:color w:val="auto"/>
                <w:sz w:val="24"/>
                <w:szCs w:val="24"/>
                <w:highlight w:val="none"/>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2603E055">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其他材料费</w:t>
            </w:r>
          </w:p>
        </w:tc>
        <w:tc>
          <w:tcPr>
            <w:tcW w:w="1751" w:type="dxa"/>
            <w:tcBorders>
              <w:top w:val="single" w:color="auto" w:sz="4" w:space="0"/>
              <w:left w:val="single" w:color="auto" w:sz="4" w:space="0"/>
              <w:bottom w:val="single" w:color="auto" w:sz="4" w:space="0"/>
              <w:right w:val="single" w:color="auto" w:sz="4" w:space="0"/>
            </w:tcBorders>
          </w:tcPr>
          <w:p w14:paraId="72CF0BDD">
            <w:pPr>
              <w:widowControl/>
              <w:tabs>
                <w:tab w:val="center" w:pos="4755"/>
                <w:tab w:val="right" w:pos="9070"/>
              </w:tabs>
              <w:autoSpaceDN w:val="0"/>
              <w:jc w:val="left"/>
              <w:rPr>
                <w:rFonts w:ascii="仿宋" w:hAnsi="仿宋" w:eastAsia="仿宋" w:cs="仿宋"/>
                <w:color w:val="auto"/>
                <w:sz w:val="24"/>
                <w:szCs w:val="24"/>
                <w:highlight w:val="none"/>
              </w:rPr>
            </w:pPr>
          </w:p>
        </w:tc>
      </w:tr>
      <w:tr w14:paraId="7CE4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236F5852">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64B0974E">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材料费小计</w:t>
            </w:r>
          </w:p>
        </w:tc>
        <w:tc>
          <w:tcPr>
            <w:tcW w:w="1751" w:type="dxa"/>
            <w:tcBorders>
              <w:top w:val="single" w:color="auto" w:sz="4" w:space="0"/>
              <w:left w:val="single" w:color="auto" w:sz="4" w:space="0"/>
              <w:bottom w:val="single" w:color="auto" w:sz="4" w:space="0"/>
              <w:right w:val="single" w:color="auto" w:sz="4" w:space="0"/>
            </w:tcBorders>
          </w:tcPr>
          <w:p w14:paraId="131B9D1D">
            <w:pPr>
              <w:widowControl/>
              <w:tabs>
                <w:tab w:val="center" w:pos="4755"/>
                <w:tab w:val="right" w:pos="9070"/>
              </w:tabs>
              <w:autoSpaceDN w:val="0"/>
              <w:jc w:val="left"/>
              <w:rPr>
                <w:rFonts w:ascii="仿宋" w:hAnsi="仿宋" w:eastAsia="仿宋" w:cs="仿宋"/>
                <w:color w:val="auto"/>
                <w:sz w:val="24"/>
                <w:szCs w:val="24"/>
                <w:highlight w:val="none"/>
              </w:rPr>
            </w:pPr>
          </w:p>
        </w:tc>
      </w:tr>
      <w:tr w14:paraId="6920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1ED4ED2C">
            <w:pPr>
              <w:widowControl/>
              <w:tabs>
                <w:tab w:val="center" w:pos="4755"/>
                <w:tab w:val="right" w:pos="9070"/>
              </w:tabs>
              <w:autoSpaceDN w:val="0"/>
              <w:jc w:val="center"/>
              <w:rPr>
                <w:rFonts w:ascii="仿宋" w:hAnsi="仿宋" w:eastAsia="仿宋" w:cs="仿宋"/>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A83EE49">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主要</w:t>
            </w:r>
          </w:p>
          <w:p w14:paraId="33456ABD">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w:t>
            </w:r>
          </w:p>
        </w:tc>
        <w:tc>
          <w:tcPr>
            <w:tcW w:w="1226" w:type="dxa"/>
            <w:tcBorders>
              <w:top w:val="single" w:color="auto" w:sz="4" w:space="0"/>
              <w:left w:val="single" w:color="auto" w:sz="4" w:space="0"/>
              <w:bottom w:val="single" w:color="auto" w:sz="4" w:space="0"/>
              <w:right w:val="single" w:color="auto" w:sz="4" w:space="0"/>
            </w:tcBorders>
            <w:vAlign w:val="center"/>
          </w:tcPr>
          <w:p w14:paraId="438C6D75">
            <w:pPr>
              <w:widowControl/>
              <w:tabs>
                <w:tab w:val="center" w:pos="4755"/>
                <w:tab w:val="right" w:pos="9070"/>
              </w:tabs>
              <w:autoSpaceDN w:val="0"/>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4554B476">
            <w:pPr>
              <w:widowControl/>
              <w:tabs>
                <w:tab w:val="center" w:pos="4755"/>
                <w:tab w:val="right" w:pos="9070"/>
              </w:tabs>
              <w:autoSpaceDN w:val="0"/>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745E8100">
            <w:pPr>
              <w:widowControl/>
              <w:tabs>
                <w:tab w:val="center" w:pos="4755"/>
                <w:tab w:val="right" w:pos="9070"/>
              </w:tabs>
              <w:autoSpaceDN w:val="0"/>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60D3F57E">
            <w:pPr>
              <w:widowControl/>
              <w:tabs>
                <w:tab w:val="center" w:pos="4755"/>
                <w:tab w:val="right" w:pos="9070"/>
              </w:tabs>
              <w:autoSpaceDN w:val="0"/>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44F2DBA2">
            <w:pPr>
              <w:widowControl/>
              <w:tabs>
                <w:tab w:val="center" w:pos="4755"/>
                <w:tab w:val="right" w:pos="9070"/>
              </w:tabs>
              <w:autoSpaceDN w:val="0"/>
              <w:jc w:val="left"/>
              <w:rPr>
                <w:rFonts w:ascii="仿宋" w:hAnsi="仿宋" w:eastAsia="仿宋" w:cs="仿宋"/>
                <w:color w:val="auto"/>
                <w:sz w:val="24"/>
                <w:szCs w:val="24"/>
                <w:highlight w:val="none"/>
              </w:rPr>
            </w:pPr>
          </w:p>
        </w:tc>
      </w:tr>
      <w:tr w14:paraId="222C3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3EFE506">
            <w:pPr>
              <w:widowControl/>
              <w:jc w:val="left"/>
              <w:rPr>
                <w:rFonts w:ascii="仿宋" w:hAnsi="仿宋" w:eastAsia="仿宋" w:cs="仿宋"/>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61F588DD">
            <w:pPr>
              <w:widowControl/>
              <w:jc w:val="left"/>
              <w:rPr>
                <w:rFonts w:ascii="仿宋" w:hAnsi="仿宋" w:eastAsia="仿宋" w:cs="仿宋"/>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45A4350C">
            <w:pPr>
              <w:widowControl/>
              <w:tabs>
                <w:tab w:val="center" w:pos="4755"/>
                <w:tab w:val="right" w:pos="9070"/>
              </w:tabs>
              <w:autoSpaceDN w:val="0"/>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15FAE2D8">
            <w:pPr>
              <w:widowControl/>
              <w:tabs>
                <w:tab w:val="center" w:pos="4755"/>
                <w:tab w:val="right" w:pos="9070"/>
              </w:tabs>
              <w:autoSpaceDN w:val="0"/>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3809B1DD">
            <w:pPr>
              <w:widowControl/>
              <w:tabs>
                <w:tab w:val="center" w:pos="4755"/>
                <w:tab w:val="right" w:pos="9070"/>
              </w:tabs>
              <w:autoSpaceDN w:val="0"/>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1429888B">
            <w:pPr>
              <w:widowControl/>
              <w:tabs>
                <w:tab w:val="center" w:pos="4755"/>
                <w:tab w:val="right" w:pos="9070"/>
              </w:tabs>
              <w:autoSpaceDN w:val="0"/>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63FC66DD">
            <w:pPr>
              <w:widowControl/>
              <w:tabs>
                <w:tab w:val="center" w:pos="4755"/>
                <w:tab w:val="right" w:pos="9070"/>
              </w:tabs>
              <w:autoSpaceDN w:val="0"/>
              <w:jc w:val="left"/>
              <w:rPr>
                <w:rFonts w:ascii="仿宋" w:hAnsi="仿宋" w:eastAsia="仿宋" w:cs="仿宋"/>
                <w:color w:val="auto"/>
                <w:sz w:val="24"/>
                <w:szCs w:val="24"/>
                <w:highlight w:val="none"/>
              </w:rPr>
            </w:pPr>
          </w:p>
        </w:tc>
      </w:tr>
      <w:tr w14:paraId="0C1A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B560D79">
            <w:pPr>
              <w:widowControl/>
              <w:jc w:val="left"/>
              <w:rPr>
                <w:rFonts w:ascii="仿宋" w:hAnsi="仿宋" w:eastAsia="仿宋" w:cs="仿宋"/>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49C0D730">
            <w:pPr>
              <w:widowControl/>
              <w:jc w:val="left"/>
              <w:rPr>
                <w:rFonts w:ascii="仿宋" w:hAnsi="仿宋" w:eastAsia="仿宋" w:cs="仿宋"/>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5661E8F1">
            <w:pPr>
              <w:widowControl/>
              <w:tabs>
                <w:tab w:val="center" w:pos="4755"/>
                <w:tab w:val="right" w:pos="9070"/>
              </w:tabs>
              <w:autoSpaceDN w:val="0"/>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171671B6">
            <w:pPr>
              <w:widowControl/>
              <w:tabs>
                <w:tab w:val="center" w:pos="4755"/>
                <w:tab w:val="right" w:pos="9070"/>
              </w:tabs>
              <w:autoSpaceDN w:val="0"/>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43948947">
            <w:pPr>
              <w:widowControl/>
              <w:tabs>
                <w:tab w:val="center" w:pos="4755"/>
                <w:tab w:val="right" w:pos="9070"/>
              </w:tabs>
              <w:autoSpaceDN w:val="0"/>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0907B059">
            <w:pPr>
              <w:widowControl/>
              <w:tabs>
                <w:tab w:val="center" w:pos="4755"/>
                <w:tab w:val="right" w:pos="9070"/>
              </w:tabs>
              <w:autoSpaceDN w:val="0"/>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5A9A13B2">
            <w:pPr>
              <w:widowControl/>
              <w:tabs>
                <w:tab w:val="center" w:pos="4755"/>
                <w:tab w:val="right" w:pos="9070"/>
              </w:tabs>
              <w:autoSpaceDN w:val="0"/>
              <w:jc w:val="left"/>
              <w:rPr>
                <w:rFonts w:ascii="仿宋" w:hAnsi="仿宋" w:eastAsia="仿宋" w:cs="仿宋"/>
                <w:color w:val="auto"/>
                <w:sz w:val="24"/>
                <w:szCs w:val="24"/>
                <w:highlight w:val="none"/>
              </w:rPr>
            </w:pPr>
          </w:p>
        </w:tc>
      </w:tr>
      <w:tr w14:paraId="0853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76B0F1A">
            <w:pPr>
              <w:widowControl/>
              <w:jc w:val="left"/>
              <w:rPr>
                <w:rFonts w:ascii="仿宋" w:hAnsi="仿宋" w:eastAsia="仿宋" w:cs="仿宋"/>
                <w:color w:val="auto"/>
                <w:sz w:val="24"/>
                <w:szCs w:val="24"/>
                <w:highlight w:val="none"/>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1C6AE05D">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其他机械费</w:t>
            </w:r>
          </w:p>
        </w:tc>
        <w:tc>
          <w:tcPr>
            <w:tcW w:w="1751" w:type="dxa"/>
            <w:tcBorders>
              <w:top w:val="single" w:color="auto" w:sz="4" w:space="0"/>
              <w:left w:val="single" w:color="auto" w:sz="4" w:space="0"/>
              <w:bottom w:val="single" w:color="auto" w:sz="4" w:space="0"/>
              <w:right w:val="single" w:color="auto" w:sz="4" w:space="0"/>
            </w:tcBorders>
          </w:tcPr>
          <w:p w14:paraId="380F878D">
            <w:pPr>
              <w:widowControl/>
              <w:tabs>
                <w:tab w:val="center" w:pos="4755"/>
                <w:tab w:val="right" w:pos="9070"/>
              </w:tabs>
              <w:autoSpaceDN w:val="0"/>
              <w:jc w:val="left"/>
              <w:rPr>
                <w:rFonts w:ascii="仿宋" w:hAnsi="仿宋" w:eastAsia="仿宋" w:cs="仿宋"/>
                <w:color w:val="auto"/>
                <w:sz w:val="24"/>
                <w:szCs w:val="24"/>
                <w:highlight w:val="none"/>
              </w:rPr>
            </w:pPr>
          </w:p>
        </w:tc>
      </w:tr>
      <w:tr w14:paraId="0722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5B5452B4">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4BB462FD">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机械费小计</w:t>
            </w:r>
          </w:p>
        </w:tc>
        <w:tc>
          <w:tcPr>
            <w:tcW w:w="1751" w:type="dxa"/>
            <w:tcBorders>
              <w:top w:val="single" w:color="auto" w:sz="4" w:space="0"/>
              <w:left w:val="single" w:color="auto" w:sz="4" w:space="0"/>
              <w:bottom w:val="single" w:color="auto" w:sz="4" w:space="0"/>
              <w:right w:val="single" w:color="auto" w:sz="4" w:space="0"/>
            </w:tcBorders>
          </w:tcPr>
          <w:p w14:paraId="0BACB751">
            <w:pPr>
              <w:widowControl/>
              <w:tabs>
                <w:tab w:val="center" w:pos="4755"/>
                <w:tab w:val="right" w:pos="9070"/>
              </w:tabs>
              <w:autoSpaceDN w:val="0"/>
              <w:jc w:val="left"/>
              <w:rPr>
                <w:rFonts w:ascii="仿宋" w:hAnsi="仿宋" w:eastAsia="仿宋" w:cs="仿宋"/>
                <w:color w:val="auto"/>
                <w:sz w:val="24"/>
                <w:szCs w:val="24"/>
                <w:highlight w:val="none"/>
              </w:rPr>
            </w:pPr>
          </w:p>
        </w:tc>
      </w:tr>
      <w:tr w14:paraId="4ED8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9DA7B8D">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3C098E82">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直接工程费(1+2+3)</w:t>
            </w:r>
          </w:p>
        </w:tc>
        <w:tc>
          <w:tcPr>
            <w:tcW w:w="1751" w:type="dxa"/>
            <w:tcBorders>
              <w:top w:val="single" w:color="auto" w:sz="4" w:space="0"/>
              <w:left w:val="single" w:color="auto" w:sz="4" w:space="0"/>
              <w:bottom w:val="single" w:color="auto" w:sz="4" w:space="0"/>
              <w:right w:val="single" w:color="auto" w:sz="4" w:space="0"/>
            </w:tcBorders>
          </w:tcPr>
          <w:p w14:paraId="12E82F3F">
            <w:pPr>
              <w:widowControl/>
              <w:tabs>
                <w:tab w:val="center" w:pos="4755"/>
                <w:tab w:val="right" w:pos="9070"/>
              </w:tabs>
              <w:autoSpaceDN w:val="0"/>
              <w:jc w:val="left"/>
              <w:rPr>
                <w:rFonts w:ascii="仿宋" w:hAnsi="仿宋" w:eastAsia="仿宋" w:cs="仿宋"/>
                <w:color w:val="auto"/>
                <w:sz w:val="24"/>
                <w:szCs w:val="24"/>
                <w:highlight w:val="none"/>
              </w:rPr>
            </w:pPr>
          </w:p>
        </w:tc>
      </w:tr>
      <w:tr w14:paraId="1FC2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1CC08AB">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670672B8">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管理费</w:t>
            </w:r>
          </w:p>
        </w:tc>
        <w:tc>
          <w:tcPr>
            <w:tcW w:w="1751" w:type="dxa"/>
            <w:tcBorders>
              <w:top w:val="single" w:color="auto" w:sz="4" w:space="0"/>
              <w:left w:val="single" w:color="auto" w:sz="4" w:space="0"/>
              <w:bottom w:val="single" w:color="auto" w:sz="4" w:space="0"/>
              <w:right w:val="single" w:color="auto" w:sz="4" w:space="0"/>
            </w:tcBorders>
          </w:tcPr>
          <w:p w14:paraId="2CAC95F3">
            <w:pPr>
              <w:widowControl/>
              <w:tabs>
                <w:tab w:val="center" w:pos="4755"/>
                <w:tab w:val="right" w:pos="9070"/>
              </w:tabs>
              <w:autoSpaceDN w:val="0"/>
              <w:jc w:val="left"/>
              <w:rPr>
                <w:rFonts w:ascii="仿宋" w:hAnsi="仿宋" w:eastAsia="仿宋" w:cs="仿宋"/>
                <w:color w:val="auto"/>
                <w:sz w:val="24"/>
                <w:szCs w:val="24"/>
                <w:highlight w:val="none"/>
              </w:rPr>
            </w:pPr>
          </w:p>
        </w:tc>
      </w:tr>
      <w:tr w14:paraId="34555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6CEFE0EB">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37DCA34C">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利润</w:t>
            </w:r>
          </w:p>
        </w:tc>
        <w:tc>
          <w:tcPr>
            <w:tcW w:w="1751" w:type="dxa"/>
            <w:tcBorders>
              <w:top w:val="single" w:color="auto" w:sz="4" w:space="0"/>
              <w:left w:val="single" w:color="auto" w:sz="4" w:space="0"/>
              <w:bottom w:val="single" w:color="auto" w:sz="4" w:space="0"/>
              <w:right w:val="single" w:color="auto" w:sz="4" w:space="0"/>
            </w:tcBorders>
          </w:tcPr>
          <w:p w14:paraId="21F5BCD8">
            <w:pPr>
              <w:widowControl/>
              <w:tabs>
                <w:tab w:val="center" w:pos="4755"/>
                <w:tab w:val="right" w:pos="9070"/>
              </w:tabs>
              <w:autoSpaceDN w:val="0"/>
              <w:jc w:val="left"/>
              <w:rPr>
                <w:rFonts w:ascii="仿宋" w:hAnsi="仿宋" w:eastAsia="仿宋" w:cs="仿宋"/>
                <w:color w:val="auto"/>
                <w:sz w:val="24"/>
                <w:szCs w:val="24"/>
                <w:highlight w:val="none"/>
              </w:rPr>
            </w:pPr>
          </w:p>
        </w:tc>
      </w:tr>
      <w:tr w14:paraId="5D2D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38AAB337">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14AB166F">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风险费用</w:t>
            </w:r>
          </w:p>
        </w:tc>
        <w:tc>
          <w:tcPr>
            <w:tcW w:w="1751" w:type="dxa"/>
            <w:tcBorders>
              <w:top w:val="single" w:color="auto" w:sz="4" w:space="0"/>
              <w:left w:val="single" w:color="auto" w:sz="4" w:space="0"/>
              <w:bottom w:val="single" w:color="auto" w:sz="4" w:space="0"/>
              <w:right w:val="single" w:color="auto" w:sz="4" w:space="0"/>
            </w:tcBorders>
          </w:tcPr>
          <w:p w14:paraId="47F0AB1C">
            <w:pPr>
              <w:widowControl/>
              <w:tabs>
                <w:tab w:val="center" w:pos="4755"/>
                <w:tab w:val="right" w:pos="9070"/>
              </w:tabs>
              <w:autoSpaceDN w:val="0"/>
              <w:jc w:val="left"/>
              <w:rPr>
                <w:rFonts w:ascii="仿宋" w:hAnsi="仿宋" w:eastAsia="仿宋" w:cs="仿宋"/>
                <w:color w:val="auto"/>
                <w:sz w:val="24"/>
                <w:szCs w:val="24"/>
                <w:highlight w:val="none"/>
              </w:rPr>
            </w:pPr>
          </w:p>
        </w:tc>
      </w:tr>
      <w:tr w14:paraId="0D33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16ADEA30">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52D126BE">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综合单价（4+5+6+7）</w:t>
            </w:r>
          </w:p>
        </w:tc>
        <w:tc>
          <w:tcPr>
            <w:tcW w:w="1751" w:type="dxa"/>
            <w:tcBorders>
              <w:top w:val="single" w:color="auto" w:sz="4" w:space="0"/>
              <w:left w:val="single" w:color="auto" w:sz="4" w:space="0"/>
              <w:bottom w:val="single" w:color="auto" w:sz="4" w:space="0"/>
              <w:right w:val="single" w:color="auto" w:sz="4" w:space="0"/>
            </w:tcBorders>
          </w:tcPr>
          <w:p w14:paraId="3B63DC50">
            <w:pPr>
              <w:widowControl/>
              <w:tabs>
                <w:tab w:val="center" w:pos="4755"/>
                <w:tab w:val="right" w:pos="9070"/>
              </w:tabs>
              <w:autoSpaceDN w:val="0"/>
              <w:jc w:val="left"/>
              <w:rPr>
                <w:rFonts w:ascii="仿宋" w:hAnsi="仿宋" w:eastAsia="仿宋" w:cs="仿宋"/>
                <w:color w:val="auto"/>
                <w:sz w:val="24"/>
                <w:szCs w:val="24"/>
                <w:highlight w:val="none"/>
              </w:rPr>
            </w:pPr>
          </w:p>
        </w:tc>
      </w:tr>
    </w:tbl>
    <w:p w14:paraId="512D0DD2">
      <w:pPr>
        <w:widowControl/>
        <w:tabs>
          <w:tab w:val="center" w:pos="4755"/>
          <w:tab w:val="right" w:pos="9070"/>
        </w:tabs>
        <w:autoSpaceDN w:val="0"/>
        <w:jc w:val="left"/>
        <w:rPr>
          <w:rFonts w:ascii="仿宋" w:hAnsi="仿宋" w:eastAsia="仿宋" w:cs="仿宋"/>
          <w:color w:val="auto"/>
          <w:sz w:val="24"/>
          <w:szCs w:val="24"/>
          <w:highlight w:val="none"/>
        </w:rPr>
      </w:pPr>
    </w:p>
    <w:p w14:paraId="5034CE23">
      <w:pPr>
        <w:widowControl/>
        <w:tabs>
          <w:tab w:val="center" w:pos="4755"/>
          <w:tab w:val="right" w:pos="9070"/>
        </w:tabs>
        <w:autoSpaceDN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注:本表由采购人按需要提出</w:t>
      </w:r>
    </w:p>
    <w:p w14:paraId="4F02BC8B">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color w:val="auto"/>
          <w:kern w:val="0"/>
          <w:sz w:val="24"/>
          <w:szCs w:val="28"/>
          <w:highlight w:val="none"/>
        </w:rPr>
        <w:br w:type="page"/>
      </w:r>
      <w:r>
        <w:rPr>
          <w:rFonts w:hint="eastAsia" w:ascii="仿宋" w:hAnsi="仿宋" w:eastAsia="仿宋" w:cs="Times New Roman"/>
          <w:b/>
          <w:bCs/>
          <w:color w:val="auto"/>
          <w:kern w:val="0"/>
          <w:sz w:val="28"/>
          <w:szCs w:val="28"/>
          <w:highlight w:val="none"/>
        </w:rPr>
        <w:t>表2-4  措施项目工料机分析表</w:t>
      </w:r>
    </w:p>
    <w:p w14:paraId="5B07DD56">
      <w:pPr>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项目编码:                                            计量单位：</w:t>
      </w:r>
    </w:p>
    <w:p w14:paraId="748A728F">
      <w:pPr>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577"/>
        <w:gridCol w:w="1751"/>
        <w:gridCol w:w="1402"/>
        <w:gridCol w:w="1647"/>
      </w:tblGrid>
      <w:tr w14:paraId="2151A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6491C0EB">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01978D2E">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名称及规格</w:t>
            </w:r>
          </w:p>
        </w:tc>
        <w:tc>
          <w:tcPr>
            <w:tcW w:w="1577" w:type="dxa"/>
            <w:vMerge w:val="restart"/>
            <w:tcBorders>
              <w:top w:val="single" w:color="auto" w:sz="4" w:space="0"/>
              <w:left w:val="single" w:color="auto" w:sz="4" w:space="0"/>
              <w:bottom w:val="single" w:color="auto" w:sz="4" w:space="0"/>
              <w:right w:val="single" w:color="auto" w:sz="4" w:space="0"/>
            </w:tcBorders>
            <w:vAlign w:val="center"/>
          </w:tcPr>
          <w:p w14:paraId="08A15FE0">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09EC53D6">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数量</w:t>
            </w:r>
          </w:p>
        </w:tc>
        <w:tc>
          <w:tcPr>
            <w:tcW w:w="3049" w:type="dxa"/>
            <w:gridSpan w:val="2"/>
            <w:tcBorders>
              <w:top w:val="single" w:color="auto" w:sz="4" w:space="0"/>
              <w:left w:val="single" w:color="auto" w:sz="4" w:space="0"/>
              <w:bottom w:val="single" w:color="auto" w:sz="4" w:space="0"/>
              <w:right w:val="single" w:color="auto" w:sz="4" w:space="0"/>
            </w:tcBorders>
            <w:vAlign w:val="center"/>
          </w:tcPr>
          <w:p w14:paraId="537D7D72">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金额(元)</w:t>
            </w:r>
          </w:p>
        </w:tc>
      </w:tr>
      <w:tr w14:paraId="6B679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E688006">
            <w:pPr>
              <w:widowControl/>
              <w:jc w:val="left"/>
              <w:rPr>
                <w:rFonts w:ascii="仿宋" w:hAnsi="仿宋" w:eastAsia="仿宋" w:cs="新宋体"/>
                <w:color w:val="auto"/>
                <w:sz w:val="24"/>
                <w:szCs w:val="24"/>
                <w:highlight w:val="none"/>
              </w:rPr>
            </w:pPr>
          </w:p>
        </w:tc>
        <w:tc>
          <w:tcPr>
            <w:tcW w:w="8059" w:type="dxa"/>
            <w:gridSpan w:val="2"/>
            <w:vMerge w:val="continue"/>
            <w:tcBorders>
              <w:top w:val="single" w:color="auto" w:sz="4" w:space="0"/>
              <w:left w:val="single" w:color="auto" w:sz="4" w:space="0"/>
              <w:bottom w:val="single" w:color="auto" w:sz="4" w:space="0"/>
              <w:right w:val="single" w:color="auto" w:sz="4" w:space="0"/>
            </w:tcBorders>
            <w:vAlign w:val="center"/>
          </w:tcPr>
          <w:p w14:paraId="04CA28F1">
            <w:pPr>
              <w:widowControl/>
              <w:jc w:val="left"/>
              <w:rPr>
                <w:rFonts w:ascii="仿宋" w:hAnsi="仿宋" w:eastAsia="仿宋" w:cs="新宋体"/>
                <w:color w:val="auto"/>
                <w:sz w:val="24"/>
                <w:szCs w:val="24"/>
                <w:highlight w:val="none"/>
              </w:rPr>
            </w:pPr>
          </w:p>
        </w:tc>
        <w:tc>
          <w:tcPr>
            <w:tcW w:w="1577" w:type="dxa"/>
            <w:vMerge w:val="continue"/>
            <w:tcBorders>
              <w:top w:val="single" w:color="auto" w:sz="4" w:space="0"/>
              <w:left w:val="single" w:color="auto" w:sz="4" w:space="0"/>
              <w:bottom w:val="single" w:color="auto" w:sz="4" w:space="0"/>
              <w:right w:val="single" w:color="auto" w:sz="4" w:space="0"/>
            </w:tcBorders>
            <w:vAlign w:val="center"/>
          </w:tcPr>
          <w:p w14:paraId="05777F97">
            <w:pPr>
              <w:widowControl/>
              <w:jc w:val="left"/>
              <w:rPr>
                <w:rFonts w:ascii="仿宋" w:hAnsi="仿宋" w:eastAsia="仿宋" w:cs="新宋体"/>
                <w:color w:val="auto"/>
                <w:sz w:val="24"/>
                <w:szCs w:val="24"/>
                <w:highlight w:val="none"/>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4B7CEE99">
            <w:pPr>
              <w:widowControl/>
              <w:jc w:val="left"/>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304B1427">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单价</w:t>
            </w:r>
          </w:p>
        </w:tc>
        <w:tc>
          <w:tcPr>
            <w:tcW w:w="1647" w:type="dxa"/>
            <w:tcBorders>
              <w:top w:val="single" w:color="auto" w:sz="4" w:space="0"/>
              <w:left w:val="single" w:color="auto" w:sz="4" w:space="0"/>
              <w:bottom w:val="single" w:color="auto" w:sz="4" w:space="0"/>
              <w:right w:val="single" w:color="auto" w:sz="4" w:space="0"/>
            </w:tcBorders>
            <w:vAlign w:val="center"/>
          </w:tcPr>
          <w:p w14:paraId="2BE0D536">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合价</w:t>
            </w:r>
          </w:p>
        </w:tc>
      </w:tr>
      <w:tr w14:paraId="7265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70747007">
            <w:pPr>
              <w:widowControl/>
              <w:tabs>
                <w:tab w:val="center" w:pos="4755"/>
                <w:tab w:val="right" w:pos="9070"/>
              </w:tabs>
              <w:autoSpaceDN w:val="0"/>
              <w:rPr>
                <w:rFonts w:ascii="仿宋" w:hAnsi="仿宋" w:eastAsia="仿宋" w:cs="新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133AD586">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4E6F2FE1">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一类</w:t>
            </w:r>
          </w:p>
        </w:tc>
        <w:tc>
          <w:tcPr>
            <w:tcW w:w="1577" w:type="dxa"/>
            <w:tcBorders>
              <w:top w:val="single" w:color="auto" w:sz="4" w:space="0"/>
              <w:left w:val="single" w:color="auto" w:sz="4" w:space="0"/>
              <w:bottom w:val="single" w:color="auto" w:sz="4" w:space="0"/>
              <w:right w:val="single" w:color="auto" w:sz="4" w:space="0"/>
            </w:tcBorders>
            <w:vAlign w:val="center"/>
          </w:tcPr>
          <w:p w14:paraId="034EEC01">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711FF469">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43AE256C">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0C5DCF59">
            <w:pPr>
              <w:widowControl/>
              <w:tabs>
                <w:tab w:val="center" w:pos="4755"/>
                <w:tab w:val="right" w:pos="9070"/>
              </w:tabs>
              <w:autoSpaceDN w:val="0"/>
              <w:rPr>
                <w:rFonts w:ascii="仿宋" w:hAnsi="仿宋" w:eastAsia="仿宋" w:cs="新宋体"/>
                <w:color w:val="auto"/>
                <w:sz w:val="24"/>
                <w:szCs w:val="24"/>
                <w:highlight w:val="none"/>
              </w:rPr>
            </w:pPr>
          </w:p>
        </w:tc>
      </w:tr>
      <w:tr w14:paraId="0BE0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19781CE4">
            <w:pPr>
              <w:widowControl/>
              <w:jc w:val="left"/>
              <w:rPr>
                <w:rFonts w:ascii="仿宋" w:hAnsi="仿宋" w:eastAsia="仿宋" w:cs="新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3A9EDA87">
            <w:pPr>
              <w:widowControl/>
              <w:jc w:val="left"/>
              <w:rPr>
                <w:rFonts w:ascii="仿宋" w:hAnsi="仿宋" w:eastAsia="仿宋" w:cs="新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65574906">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二类</w:t>
            </w:r>
          </w:p>
        </w:tc>
        <w:tc>
          <w:tcPr>
            <w:tcW w:w="1577" w:type="dxa"/>
            <w:tcBorders>
              <w:top w:val="single" w:color="auto" w:sz="4" w:space="0"/>
              <w:left w:val="single" w:color="auto" w:sz="4" w:space="0"/>
              <w:bottom w:val="single" w:color="auto" w:sz="4" w:space="0"/>
              <w:right w:val="single" w:color="auto" w:sz="4" w:space="0"/>
            </w:tcBorders>
            <w:vAlign w:val="center"/>
          </w:tcPr>
          <w:p w14:paraId="53B858BD">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6E6491B1">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5A32782A">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134586D3">
            <w:pPr>
              <w:widowControl/>
              <w:tabs>
                <w:tab w:val="center" w:pos="4755"/>
                <w:tab w:val="right" w:pos="9070"/>
              </w:tabs>
              <w:autoSpaceDN w:val="0"/>
              <w:rPr>
                <w:rFonts w:ascii="仿宋" w:hAnsi="仿宋" w:eastAsia="仿宋" w:cs="新宋体"/>
                <w:color w:val="auto"/>
                <w:sz w:val="24"/>
                <w:szCs w:val="24"/>
                <w:highlight w:val="none"/>
              </w:rPr>
            </w:pPr>
          </w:p>
        </w:tc>
      </w:tr>
      <w:tr w14:paraId="7B81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893C5E8">
            <w:pPr>
              <w:widowControl/>
              <w:jc w:val="left"/>
              <w:rPr>
                <w:rFonts w:ascii="仿宋" w:hAnsi="仿宋" w:eastAsia="仿宋" w:cs="新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472AA9E2">
            <w:pPr>
              <w:widowControl/>
              <w:jc w:val="left"/>
              <w:rPr>
                <w:rFonts w:ascii="仿宋" w:hAnsi="仿宋" w:eastAsia="仿宋" w:cs="新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24CBF380">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三类</w:t>
            </w:r>
          </w:p>
        </w:tc>
        <w:tc>
          <w:tcPr>
            <w:tcW w:w="1577" w:type="dxa"/>
            <w:tcBorders>
              <w:top w:val="single" w:color="auto" w:sz="4" w:space="0"/>
              <w:left w:val="single" w:color="auto" w:sz="4" w:space="0"/>
              <w:bottom w:val="single" w:color="auto" w:sz="4" w:space="0"/>
              <w:right w:val="single" w:color="auto" w:sz="4" w:space="0"/>
            </w:tcBorders>
            <w:vAlign w:val="center"/>
          </w:tcPr>
          <w:p w14:paraId="377B5D3E">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25A11195">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257B1B94">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2A928173">
            <w:pPr>
              <w:widowControl/>
              <w:tabs>
                <w:tab w:val="center" w:pos="4755"/>
                <w:tab w:val="right" w:pos="9070"/>
              </w:tabs>
              <w:autoSpaceDN w:val="0"/>
              <w:rPr>
                <w:rFonts w:ascii="仿宋" w:hAnsi="仿宋" w:eastAsia="仿宋" w:cs="新宋体"/>
                <w:color w:val="auto"/>
                <w:sz w:val="24"/>
                <w:szCs w:val="24"/>
                <w:highlight w:val="none"/>
              </w:rPr>
            </w:pPr>
          </w:p>
        </w:tc>
      </w:tr>
      <w:tr w14:paraId="584A4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12A36017">
            <w:pPr>
              <w:widowControl/>
              <w:tabs>
                <w:tab w:val="center" w:pos="4755"/>
                <w:tab w:val="right" w:pos="9070"/>
              </w:tabs>
              <w:autoSpaceDN w:val="0"/>
              <w:ind w:firstLine="240" w:firstLineChars="10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1</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4FA86CC">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人工费小计</w:t>
            </w:r>
          </w:p>
        </w:tc>
        <w:tc>
          <w:tcPr>
            <w:tcW w:w="1647" w:type="dxa"/>
            <w:tcBorders>
              <w:top w:val="single" w:color="auto" w:sz="4" w:space="0"/>
              <w:left w:val="single" w:color="auto" w:sz="4" w:space="0"/>
              <w:bottom w:val="single" w:color="auto" w:sz="4" w:space="0"/>
              <w:right w:val="single" w:color="auto" w:sz="4" w:space="0"/>
            </w:tcBorders>
            <w:vAlign w:val="center"/>
          </w:tcPr>
          <w:p w14:paraId="767A8F87">
            <w:pPr>
              <w:widowControl/>
              <w:tabs>
                <w:tab w:val="center" w:pos="4755"/>
                <w:tab w:val="right" w:pos="9070"/>
              </w:tabs>
              <w:autoSpaceDN w:val="0"/>
              <w:rPr>
                <w:rFonts w:ascii="仿宋" w:hAnsi="仿宋" w:eastAsia="仿宋" w:cs="新宋体"/>
                <w:color w:val="auto"/>
                <w:sz w:val="24"/>
                <w:szCs w:val="24"/>
                <w:highlight w:val="none"/>
              </w:rPr>
            </w:pPr>
          </w:p>
        </w:tc>
      </w:tr>
      <w:tr w14:paraId="0375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69055B58">
            <w:pPr>
              <w:widowControl/>
              <w:tabs>
                <w:tab w:val="center" w:pos="4755"/>
                <w:tab w:val="right" w:pos="9070"/>
              </w:tabs>
              <w:autoSpaceDN w:val="0"/>
              <w:rPr>
                <w:rFonts w:ascii="仿宋" w:hAnsi="仿宋" w:eastAsia="仿宋" w:cs="新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2FC2A462">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主要材料</w:t>
            </w:r>
          </w:p>
        </w:tc>
        <w:tc>
          <w:tcPr>
            <w:tcW w:w="1226" w:type="dxa"/>
            <w:tcBorders>
              <w:top w:val="single" w:color="auto" w:sz="4" w:space="0"/>
              <w:left w:val="single" w:color="auto" w:sz="4" w:space="0"/>
              <w:bottom w:val="single" w:color="auto" w:sz="4" w:space="0"/>
              <w:right w:val="single" w:color="auto" w:sz="4" w:space="0"/>
            </w:tcBorders>
            <w:vAlign w:val="center"/>
          </w:tcPr>
          <w:p w14:paraId="486D5F40">
            <w:pPr>
              <w:widowControl/>
              <w:tabs>
                <w:tab w:val="center" w:pos="4755"/>
                <w:tab w:val="right" w:pos="9070"/>
              </w:tabs>
              <w:autoSpaceDN w:val="0"/>
              <w:rPr>
                <w:rFonts w:ascii="仿宋" w:hAnsi="仿宋" w:eastAsia="仿宋" w:cs="新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74BBE784">
            <w:pPr>
              <w:widowControl/>
              <w:tabs>
                <w:tab w:val="center" w:pos="4755"/>
                <w:tab w:val="right" w:pos="9070"/>
              </w:tabs>
              <w:autoSpaceDN w:val="0"/>
              <w:rPr>
                <w:rFonts w:ascii="仿宋" w:hAnsi="仿宋" w:eastAsia="仿宋" w:cs="新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04BF460E">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58BFA84F">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47C71F25">
            <w:pPr>
              <w:widowControl/>
              <w:tabs>
                <w:tab w:val="center" w:pos="4755"/>
                <w:tab w:val="right" w:pos="9070"/>
              </w:tabs>
              <w:autoSpaceDN w:val="0"/>
              <w:rPr>
                <w:rFonts w:ascii="仿宋" w:hAnsi="仿宋" w:eastAsia="仿宋" w:cs="新宋体"/>
                <w:color w:val="auto"/>
                <w:sz w:val="24"/>
                <w:szCs w:val="24"/>
                <w:highlight w:val="none"/>
              </w:rPr>
            </w:pPr>
          </w:p>
        </w:tc>
      </w:tr>
      <w:tr w14:paraId="4771B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F286B05">
            <w:pPr>
              <w:widowControl/>
              <w:jc w:val="left"/>
              <w:rPr>
                <w:rFonts w:ascii="仿宋" w:hAnsi="仿宋" w:eastAsia="仿宋" w:cs="新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5529950A">
            <w:pPr>
              <w:widowControl/>
              <w:jc w:val="left"/>
              <w:rPr>
                <w:rFonts w:ascii="仿宋" w:hAnsi="仿宋" w:eastAsia="仿宋" w:cs="新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2022FEB1">
            <w:pPr>
              <w:widowControl/>
              <w:tabs>
                <w:tab w:val="center" w:pos="4755"/>
                <w:tab w:val="right" w:pos="9070"/>
              </w:tabs>
              <w:autoSpaceDN w:val="0"/>
              <w:rPr>
                <w:rFonts w:ascii="仿宋" w:hAnsi="仿宋" w:eastAsia="仿宋" w:cs="新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6A37A189">
            <w:pPr>
              <w:widowControl/>
              <w:tabs>
                <w:tab w:val="center" w:pos="4755"/>
                <w:tab w:val="right" w:pos="9070"/>
              </w:tabs>
              <w:autoSpaceDN w:val="0"/>
              <w:rPr>
                <w:rFonts w:ascii="仿宋" w:hAnsi="仿宋" w:eastAsia="仿宋" w:cs="新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5E4618D6">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2CF97E9C">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79A9F02E">
            <w:pPr>
              <w:widowControl/>
              <w:tabs>
                <w:tab w:val="center" w:pos="4755"/>
                <w:tab w:val="right" w:pos="9070"/>
              </w:tabs>
              <w:autoSpaceDN w:val="0"/>
              <w:rPr>
                <w:rFonts w:ascii="仿宋" w:hAnsi="仿宋" w:eastAsia="仿宋" w:cs="新宋体"/>
                <w:color w:val="auto"/>
                <w:sz w:val="24"/>
                <w:szCs w:val="24"/>
                <w:highlight w:val="none"/>
              </w:rPr>
            </w:pPr>
          </w:p>
        </w:tc>
      </w:tr>
      <w:tr w14:paraId="502EB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18B82113">
            <w:pPr>
              <w:widowControl/>
              <w:jc w:val="left"/>
              <w:rPr>
                <w:rFonts w:ascii="仿宋" w:hAnsi="仿宋" w:eastAsia="仿宋" w:cs="新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35631A67">
            <w:pPr>
              <w:widowControl/>
              <w:jc w:val="left"/>
              <w:rPr>
                <w:rFonts w:ascii="仿宋" w:hAnsi="仿宋" w:eastAsia="仿宋" w:cs="新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16C9D086">
            <w:pPr>
              <w:widowControl/>
              <w:tabs>
                <w:tab w:val="center" w:pos="4755"/>
                <w:tab w:val="right" w:pos="9070"/>
              </w:tabs>
              <w:autoSpaceDN w:val="0"/>
              <w:rPr>
                <w:rFonts w:ascii="仿宋" w:hAnsi="仿宋" w:eastAsia="仿宋" w:cs="新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22DF06D0">
            <w:pPr>
              <w:widowControl/>
              <w:tabs>
                <w:tab w:val="center" w:pos="4755"/>
                <w:tab w:val="right" w:pos="9070"/>
              </w:tabs>
              <w:autoSpaceDN w:val="0"/>
              <w:rPr>
                <w:rFonts w:ascii="仿宋" w:hAnsi="仿宋" w:eastAsia="仿宋" w:cs="新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5079E83F">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61DD0129">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26E22CBA">
            <w:pPr>
              <w:widowControl/>
              <w:tabs>
                <w:tab w:val="center" w:pos="4755"/>
                <w:tab w:val="right" w:pos="9070"/>
              </w:tabs>
              <w:autoSpaceDN w:val="0"/>
              <w:rPr>
                <w:rFonts w:ascii="仿宋" w:hAnsi="仿宋" w:eastAsia="仿宋" w:cs="新宋体"/>
                <w:color w:val="auto"/>
                <w:sz w:val="24"/>
                <w:szCs w:val="24"/>
                <w:highlight w:val="none"/>
              </w:rPr>
            </w:pPr>
          </w:p>
        </w:tc>
      </w:tr>
      <w:tr w14:paraId="6CC53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75FF8F7">
            <w:pPr>
              <w:widowControl/>
              <w:jc w:val="left"/>
              <w:rPr>
                <w:rFonts w:ascii="仿宋" w:hAnsi="仿宋" w:eastAsia="仿宋" w:cs="新宋体"/>
                <w:color w:val="auto"/>
                <w:sz w:val="24"/>
                <w:szCs w:val="24"/>
                <w:highlight w:val="none"/>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B645573">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其他材料费</w:t>
            </w:r>
          </w:p>
        </w:tc>
        <w:tc>
          <w:tcPr>
            <w:tcW w:w="1647" w:type="dxa"/>
            <w:tcBorders>
              <w:top w:val="single" w:color="auto" w:sz="4" w:space="0"/>
              <w:left w:val="single" w:color="auto" w:sz="4" w:space="0"/>
              <w:bottom w:val="single" w:color="auto" w:sz="4" w:space="0"/>
              <w:right w:val="single" w:color="auto" w:sz="4" w:space="0"/>
            </w:tcBorders>
            <w:vAlign w:val="center"/>
          </w:tcPr>
          <w:p w14:paraId="75A19E97">
            <w:pPr>
              <w:widowControl/>
              <w:tabs>
                <w:tab w:val="center" w:pos="4755"/>
                <w:tab w:val="right" w:pos="9070"/>
              </w:tabs>
              <w:autoSpaceDN w:val="0"/>
              <w:rPr>
                <w:rFonts w:ascii="仿宋" w:hAnsi="仿宋" w:eastAsia="仿宋" w:cs="新宋体"/>
                <w:color w:val="auto"/>
                <w:sz w:val="24"/>
                <w:szCs w:val="24"/>
                <w:highlight w:val="none"/>
              </w:rPr>
            </w:pPr>
          </w:p>
        </w:tc>
      </w:tr>
      <w:tr w14:paraId="69BC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7C82E13C">
            <w:pPr>
              <w:widowControl/>
              <w:tabs>
                <w:tab w:val="center" w:pos="4755"/>
                <w:tab w:val="right" w:pos="9070"/>
              </w:tabs>
              <w:autoSpaceDN w:val="0"/>
              <w:ind w:firstLine="240" w:firstLineChars="10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2</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63A0DE3">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材料费小计</w:t>
            </w:r>
          </w:p>
        </w:tc>
        <w:tc>
          <w:tcPr>
            <w:tcW w:w="1647" w:type="dxa"/>
            <w:tcBorders>
              <w:top w:val="single" w:color="auto" w:sz="4" w:space="0"/>
              <w:left w:val="single" w:color="auto" w:sz="4" w:space="0"/>
              <w:bottom w:val="single" w:color="auto" w:sz="4" w:space="0"/>
              <w:right w:val="single" w:color="auto" w:sz="4" w:space="0"/>
            </w:tcBorders>
            <w:vAlign w:val="center"/>
          </w:tcPr>
          <w:p w14:paraId="3CADB323">
            <w:pPr>
              <w:widowControl/>
              <w:tabs>
                <w:tab w:val="center" w:pos="4755"/>
                <w:tab w:val="right" w:pos="9070"/>
              </w:tabs>
              <w:autoSpaceDN w:val="0"/>
              <w:rPr>
                <w:rFonts w:ascii="仿宋" w:hAnsi="仿宋" w:eastAsia="仿宋" w:cs="新宋体"/>
                <w:color w:val="auto"/>
                <w:sz w:val="24"/>
                <w:szCs w:val="24"/>
                <w:highlight w:val="none"/>
              </w:rPr>
            </w:pPr>
          </w:p>
        </w:tc>
      </w:tr>
      <w:tr w14:paraId="69816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1CB7D61C">
            <w:pPr>
              <w:widowControl/>
              <w:tabs>
                <w:tab w:val="center" w:pos="4755"/>
                <w:tab w:val="right" w:pos="9070"/>
              </w:tabs>
              <w:autoSpaceDN w:val="0"/>
              <w:rPr>
                <w:rFonts w:ascii="仿宋" w:hAnsi="仿宋" w:eastAsia="仿宋" w:cs="新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753F0DB">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主要机械</w:t>
            </w:r>
          </w:p>
        </w:tc>
        <w:tc>
          <w:tcPr>
            <w:tcW w:w="1226" w:type="dxa"/>
            <w:tcBorders>
              <w:top w:val="single" w:color="auto" w:sz="4" w:space="0"/>
              <w:left w:val="single" w:color="auto" w:sz="4" w:space="0"/>
              <w:bottom w:val="single" w:color="auto" w:sz="4" w:space="0"/>
              <w:right w:val="single" w:color="auto" w:sz="4" w:space="0"/>
            </w:tcBorders>
            <w:vAlign w:val="center"/>
          </w:tcPr>
          <w:p w14:paraId="5C4FAF46">
            <w:pPr>
              <w:widowControl/>
              <w:tabs>
                <w:tab w:val="center" w:pos="4755"/>
                <w:tab w:val="right" w:pos="9070"/>
              </w:tabs>
              <w:autoSpaceDN w:val="0"/>
              <w:rPr>
                <w:rFonts w:ascii="仿宋" w:hAnsi="仿宋" w:eastAsia="仿宋" w:cs="新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63D18C5A">
            <w:pPr>
              <w:widowControl/>
              <w:tabs>
                <w:tab w:val="center" w:pos="4755"/>
                <w:tab w:val="right" w:pos="9070"/>
              </w:tabs>
              <w:autoSpaceDN w:val="0"/>
              <w:rPr>
                <w:rFonts w:ascii="仿宋" w:hAnsi="仿宋" w:eastAsia="仿宋" w:cs="新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1CD19103">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38ADE2A4">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05983FC2">
            <w:pPr>
              <w:widowControl/>
              <w:tabs>
                <w:tab w:val="center" w:pos="4755"/>
                <w:tab w:val="right" w:pos="9070"/>
              </w:tabs>
              <w:autoSpaceDN w:val="0"/>
              <w:rPr>
                <w:rFonts w:ascii="仿宋" w:hAnsi="仿宋" w:eastAsia="仿宋" w:cs="新宋体"/>
                <w:color w:val="auto"/>
                <w:sz w:val="24"/>
                <w:szCs w:val="24"/>
                <w:highlight w:val="none"/>
              </w:rPr>
            </w:pPr>
          </w:p>
        </w:tc>
      </w:tr>
      <w:tr w14:paraId="0258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0832719D">
            <w:pPr>
              <w:widowControl/>
              <w:jc w:val="left"/>
              <w:rPr>
                <w:rFonts w:ascii="仿宋" w:hAnsi="仿宋" w:eastAsia="仿宋" w:cs="新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51742A9A">
            <w:pPr>
              <w:widowControl/>
              <w:jc w:val="left"/>
              <w:rPr>
                <w:rFonts w:ascii="仿宋" w:hAnsi="仿宋" w:eastAsia="仿宋" w:cs="新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7E03654A">
            <w:pPr>
              <w:widowControl/>
              <w:tabs>
                <w:tab w:val="center" w:pos="4755"/>
                <w:tab w:val="right" w:pos="9070"/>
              </w:tabs>
              <w:autoSpaceDN w:val="0"/>
              <w:rPr>
                <w:rFonts w:ascii="仿宋" w:hAnsi="仿宋" w:eastAsia="仿宋" w:cs="新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6F3F8DAC">
            <w:pPr>
              <w:widowControl/>
              <w:tabs>
                <w:tab w:val="center" w:pos="4755"/>
                <w:tab w:val="right" w:pos="9070"/>
              </w:tabs>
              <w:autoSpaceDN w:val="0"/>
              <w:rPr>
                <w:rFonts w:ascii="仿宋" w:hAnsi="仿宋" w:eastAsia="仿宋" w:cs="新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257C2122">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0435B223">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5193C7D3">
            <w:pPr>
              <w:widowControl/>
              <w:tabs>
                <w:tab w:val="center" w:pos="4755"/>
                <w:tab w:val="right" w:pos="9070"/>
              </w:tabs>
              <w:autoSpaceDN w:val="0"/>
              <w:rPr>
                <w:rFonts w:ascii="仿宋" w:hAnsi="仿宋" w:eastAsia="仿宋" w:cs="新宋体"/>
                <w:color w:val="auto"/>
                <w:sz w:val="24"/>
                <w:szCs w:val="24"/>
                <w:highlight w:val="none"/>
              </w:rPr>
            </w:pPr>
          </w:p>
        </w:tc>
      </w:tr>
      <w:tr w14:paraId="52B1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5A31396">
            <w:pPr>
              <w:widowControl/>
              <w:jc w:val="left"/>
              <w:rPr>
                <w:rFonts w:ascii="仿宋" w:hAnsi="仿宋" w:eastAsia="仿宋" w:cs="新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4D8F5A9B">
            <w:pPr>
              <w:widowControl/>
              <w:jc w:val="left"/>
              <w:rPr>
                <w:rFonts w:ascii="仿宋" w:hAnsi="仿宋" w:eastAsia="仿宋" w:cs="新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1977B929">
            <w:pPr>
              <w:widowControl/>
              <w:tabs>
                <w:tab w:val="center" w:pos="4755"/>
                <w:tab w:val="right" w:pos="9070"/>
              </w:tabs>
              <w:autoSpaceDN w:val="0"/>
              <w:rPr>
                <w:rFonts w:ascii="仿宋" w:hAnsi="仿宋" w:eastAsia="仿宋" w:cs="新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79B6E9AD">
            <w:pPr>
              <w:widowControl/>
              <w:tabs>
                <w:tab w:val="center" w:pos="4755"/>
                <w:tab w:val="right" w:pos="9070"/>
              </w:tabs>
              <w:autoSpaceDN w:val="0"/>
              <w:rPr>
                <w:rFonts w:ascii="仿宋" w:hAnsi="仿宋" w:eastAsia="仿宋" w:cs="新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4997A07B">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5B852BEF">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65364F26">
            <w:pPr>
              <w:widowControl/>
              <w:tabs>
                <w:tab w:val="center" w:pos="4755"/>
                <w:tab w:val="right" w:pos="9070"/>
              </w:tabs>
              <w:autoSpaceDN w:val="0"/>
              <w:rPr>
                <w:rFonts w:ascii="仿宋" w:hAnsi="仿宋" w:eastAsia="仿宋" w:cs="新宋体"/>
                <w:color w:val="auto"/>
                <w:sz w:val="24"/>
                <w:szCs w:val="24"/>
                <w:highlight w:val="none"/>
              </w:rPr>
            </w:pPr>
          </w:p>
        </w:tc>
      </w:tr>
      <w:tr w14:paraId="0F1B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399F0D6">
            <w:pPr>
              <w:widowControl/>
              <w:jc w:val="left"/>
              <w:rPr>
                <w:rFonts w:ascii="仿宋" w:hAnsi="仿宋" w:eastAsia="仿宋" w:cs="新宋体"/>
                <w:color w:val="auto"/>
                <w:sz w:val="24"/>
                <w:szCs w:val="24"/>
                <w:highlight w:val="none"/>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4948E9D5">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其他机械费</w:t>
            </w:r>
          </w:p>
        </w:tc>
        <w:tc>
          <w:tcPr>
            <w:tcW w:w="1647" w:type="dxa"/>
            <w:tcBorders>
              <w:top w:val="single" w:color="auto" w:sz="4" w:space="0"/>
              <w:left w:val="single" w:color="auto" w:sz="4" w:space="0"/>
              <w:bottom w:val="single" w:color="auto" w:sz="4" w:space="0"/>
              <w:right w:val="single" w:color="auto" w:sz="4" w:space="0"/>
            </w:tcBorders>
            <w:vAlign w:val="center"/>
          </w:tcPr>
          <w:p w14:paraId="5C5B2436">
            <w:pPr>
              <w:widowControl/>
              <w:tabs>
                <w:tab w:val="center" w:pos="4755"/>
                <w:tab w:val="right" w:pos="9070"/>
              </w:tabs>
              <w:autoSpaceDN w:val="0"/>
              <w:rPr>
                <w:rFonts w:ascii="仿宋" w:hAnsi="仿宋" w:eastAsia="仿宋" w:cs="新宋体"/>
                <w:color w:val="auto"/>
                <w:sz w:val="24"/>
                <w:szCs w:val="24"/>
                <w:highlight w:val="none"/>
              </w:rPr>
            </w:pPr>
          </w:p>
        </w:tc>
      </w:tr>
      <w:tr w14:paraId="4164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23C2ACEC">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3</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6D90E70">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机械费小计</w:t>
            </w:r>
          </w:p>
        </w:tc>
        <w:tc>
          <w:tcPr>
            <w:tcW w:w="1647" w:type="dxa"/>
            <w:tcBorders>
              <w:top w:val="single" w:color="auto" w:sz="4" w:space="0"/>
              <w:left w:val="single" w:color="auto" w:sz="4" w:space="0"/>
              <w:bottom w:val="single" w:color="auto" w:sz="4" w:space="0"/>
              <w:right w:val="single" w:color="auto" w:sz="4" w:space="0"/>
            </w:tcBorders>
            <w:vAlign w:val="center"/>
          </w:tcPr>
          <w:p w14:paraId="1C437A3E">
            <w:pPr>
              <w:widowControl/>
              <w:tabs>
                <w:tab w:val="center" w:pos="4755"/>
                <w:tab w:val="right" w:pos="9070"/>
              </w:tabs>
              <w:autoSpaceDN w:val="0"/>
              <w:rPr>
                <w:rFonts w:ascii="仿宋" w:hAnsi="仿宋" w:eastAsia="仿宋" w:cs="新宋体"/>
                <w:color w:val="auto"/>
                <w:sz w:val="24"/>
                <w:szCs w:val="24"/>
                <w:highlight w:val="none"/>
              </w:rPr>
            </w:pPr>
          </w:p>
        </w:tc>
      </w:tr>
      <w:tr w14:paraId="1ACB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571A5D23">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4</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07E6A733">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直接工程费(1+2+3)</w:t>
            </w:r>
          </w:p>
        </w:tc>
        <w:tc>
          <w:tcPr>
            <w:tcW w:w="1647" w:type="dxa"/>
            <w:tcBorders>
              <w:top w:val="single" w:color="auto" w:sz="4" w:space="0"/>
              <w:left w:val="single" w:color="auto" w:sz="4" w:space="0"/>
              <w:bottom w:val="single" w:color="auto" w:sz="4" w:space="0"/>
              <w:right w:val="single" w:color="auto" w:sz="4" w:space="0"/>
            </w:tcBorders>
            <w:vAlign w:val="center"/>
          </w:tcPr>
          <w:p w14:paraId="5F3AD8E4">
            <w:pPr>
              <w:widowControl/>
              <w:tabs>
                <w:tab w:val="center" w:pos="4755"/>
                <w:tab w:val="right" w:pos="9070"/>
              </w:tabs>
              <w:autoSpaceDN w:val="0"/>
              <w:rPr>
                <w:rFonts w:ascii="仿宋" w:hAnsi="仿宋" w:eastAsia="仿宋" w:cs="新宋体"/>
                <w:color w:val="auto"/>
                <w:sz w:val="24"/>
                <w:szCs w:val="24"/>
                <w:highlight w:val="none"/>
              </w:rPr>
            </w:pPr>
          </w:p>
        </w:tc>
      </w:tr>
      <w:tr w14:paraId="5E77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4CC8D1F0">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5</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4BB6A835">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管理费</w:t>
            </w:r>
          </w:p>
        </w:tc>
        <w:tc>
          <w:tcPr>
            <w:tcW w:w="1647" w:type="dxa"/>
            <w:tcBorders>
              <w:top w:val="single" w:color="auto" w:sz="4" w:space="0"/>
              <w:left w:val="single" w:color="auto" w:sz="4" w:space="0"/>
              <w:bottom w:val="single" w:color="auto" w:sz="4" w:space="0"/>
              <w:right w:val="single" w:color="auto" w:sz="4" w:space="0"/>
            </w:tcBorders>
            <w:vAlign w:val="center"/>
          </w:tcPr>
          <w:p w14:paraId="267BF729">
            <w:pPr>
              <w:widowControl/>
              <w:tabs>
                <w:tab w:val="center" w:pos="4755"/>
                <w:tab w:val="right" w:pos="9070"/>
              </w:tabs>
              <w:autoSpaceDN w:val="0"/>
              <w:rPr>
                <w:rFonts w:ascii="仿宋" w:hAnsi="仿宋" w:eastAsia="仿宋" w:cs="新宋体"/>
                <w:color w:val="auto"/>
                <w:sz w:val="24"/>
                <w:szCs w:val="24"/>
                <w:highlight w:val="none"/>
              </w:rPr>
            </w:pPr>
          </w:p>
        </w:tc>
      </w:tr>
      <w:tr w14:paraId="08A9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42F8FFB2">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6</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2376C0BF">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利润</w:t>
            </w:r>
          </w:p>
        </w:tc>
        <w:tc>
          <w:tcPr>
            <w:tcW w:w="1647" w:type="dxa"/>
            <w:tcBorders>
              <w:top w:val="single" w:color="auto" w:sz="4" w:space="0"/>
              <w:left w:val="single" w:color="auto" w:sz="4" w:space="0"/>
              <w:bottom w:val="single" w:color="auto" w:sz="4" w:space="0"/>
              <w:right w:val="single" w:color="auto" w:sz="4" w:space="0"/>
            </w:tcBorders>
            <w:vAlign w:val="center"/>
          </w:tcPr>
          <w:p w14:paraId="2BF7BD80">
            <w:pPr>
              <w:widowControl/>
              <w:tabs>
                <w:tab w:val="center" w:pos="4755"/>
                <w:tab w:val="right" w:pos="9070"/>
              </w:tabs>
              <w:autoSpaceDN w:val="0"/>
              <w:rPr>
                <w:rFonts w:ascii="仿宋" w:hAnsi="仿宋" w:eastAsia="仿宋" w:cs="新宋体"/>
                <w:color w:val="auto"/>
                <w:sz w:val="24"/>
                <w:szCs w:val="24"/>
                <w:highlight w:val="none"/>
              </w:rPr>
            </w:pPr>
          </w:p>
        </w:tc>
      </w:tr>
      <w:tr w14:paraId="526F6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372AEC12">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7</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AF6BC58">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风险费用</w:t>
            </w:r>
          </w:p>
        </w:tc>
        <w:tc>
          <w:tcPr>
            <w:tcW w:w="1647" w:type="dxa"/>
            <w:tcBorders>
              <w:top w:val="single" w:color="auto" w:sz="4" w:space="0"/>
              <w:left w:val="single" w:color="auto" w:sz="4" w:space="0"/>
              <w:bottom w:val="single" w:color="auto" w:sz="4" w:space="0"/>
              <w:right w:val="single" w:color="auto" w:sz="4" w:space="0"/>
            </w:tcBorders>
            <w:vAlign w:val="center"/>
          </w:tcPr>
          <w:p w14:paraId="79ED535B">
            <w:pPr>
              <w:widowControl/>
              <w:tabs>
                <w:tab w:val="center" w:pos="4755"/>
                <w:tab w:val="right" w:pos="9070"/>
              </w:tabs>
              <w:autoSpaceDN w:val="0"/>
              <w:rPr>
                <w:rFonts w:ascii="仿宋" w:hAnsi="仿宋" w:eastAsia="仿宋" w:cs="新宋体"/>
                <w:color w:val="auto"/>
                <w:sz w:val="24"/>
                <w:szCs w:val="24"/>
                <w:highlight w:val="none"/>
              </w:rPr>
            </w:pPr>
          </w:p>
        </w:tc>
      </w:tr>
      <w:tr w14:paraId="42939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7437140E">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8</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063AA4BF">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合计（4+5+6+7）</w:t>
            </w:r>
          </w:p>
        </w:tc>
        <w:tc>
          <w:tcPr>
            <w:tcW w:w="1647" w:type="dxa"/>
            <w:tcBorders>
              <w:top w:val="single" w:color="auto" w:sz="4" w:space="0"/>
              <w:left w:val="single" w:color="auto" w:sz="4" w:space="0"/>
              <w:bottom w:val="single" w:color="auto" w:sz="4" w:space="0"/>
              <w:right w:val="single" w:color="auto" w:sz="4" w:space="0"/>
            </w:tcBorders>
            <w:vAlign w:val="center"/>
          </w:tcPr>
          <w:p w14:paraId="51DA096A">
            <w:pPr>
              <w:widowControl/>
              <w:tabs>
                <w:tab w:val="center" w:pos="4755"/>
                <w:tab w:val="right" w:pos="9070"/>
              </w:tabs>
              <w:autoSpaceDN w:val="0"/>
              <w:rPr>
                <w:rFonts w:ascii="仿宋" w:hAnsi="仿宋" w:eastAsia="仿宋" w:cs="新宋体"/>
                <w:color w:val="auto"/>
                <w:sz w:val="24"/>
                <w:szCs w:val="24"/>
                <w:highlight w:val="none"/>
              </w:rPr>
            </w:pPr>
          </w:p>
        </w:tc>
      </w:tr>
    </w:tbl>
    <w:p w14:paraId="1893FB1F">
      <w:pPr>
        <w:widowControl/>
        <w:tabs>
          <w:tab w:val="center" w:pos="4755"/>
          <w:tab w:val="right" w:pos="9070"/>
        </w:tabs>
        <w:autoSpaceDN w:val="0"/>
        <w:jc w:val="left"/>
        <w:rPr>
          <w:rFonts w:ascii="仿宋" w:hAnsi="仿宋" w:eastAsia="仿宋" w:cs="新宋体"/>
          <w:color w:val="auto"/>
          <w:sz w:val="24"/>
          <w:szCs w:val="24"/>
          <w:highlight w:val="none"/>
        </w:rPr>
      </w:pPr>
    </w:p>
    <w:p w14:paraId="0E35AB34">
      <w:pPr>
        <w:autoSpaceDN w:val="0"/>
        <w:rPr>
          <w:rFonts w:ascii="仿宋" w:hAnsi="仿宋" w:eastAsia="仿宋" w:cs="Times New Roman"/>
          <w:color w:val="auto"/>
          <w:sz w:val="22"/>
          <w:highlight w:val="none"/>
        </w:rPr>
      </w:pPr>
      <w:r>
        <w:rPr>
          <w:rFonts w:hint="eastAsia" w:ascii="仿宋" w:hAnsi="仿宋" w:eastAsia="仿宋" w:cs="新宋体"/>
          <w:color w:val="auto"/>
          <w:sz w:val="24"/>
          <w:szCs w:val="24"/>
          <w:highlight w:val="none"/>
        </w:rPr>
        <w:t>注:本表由采购人按需要提出</w:t>
      </w:r>
      <w:r>
        <w:rPr>
          <w:rFonts w:hint="eastAsia" w:ascii="仿宋" w:hAnsi="仿宋" w:eastAsia="仿宋" w:cs="Times New Roman"/>
          <w:color w:val="auto"/>
          <w:sz w:val="22"/>
          <w:highlight w:val="none"/>
        </w:rPr>
        <w:br w:type="page"/>
      </w:r>
    </w:p>
    <w:p w14:paraId="2D3EE248">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表2-5  临时宿舍取暖降温费用分析表</w:t>
      </w:r>
    </w:p>
    <w:p w14:paraId="766AD083">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365"/>
        <w:gridCol w:w="972"/>
        <w:gridCol w:w="1095"/>
        <w:gridCol w:w="1676"/>
        <w:gridCol w:w="1498"/>
      </w:tblGrid>
      <w:tr w14:paraId="6DDE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4824757F">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365" w:type="dxa"/>
            <w:tcBorders>
              <w:top w:val="single" w:color="auto" w:sz="4" w:space="0"/>
              <w:left w:val="single" w:color="auto" w:sz="4" w:space="0"/>
              <w:bottom w:val="single" w:color="auto" w:sz="4" w:space="0"/>
              <w:right w:val="single" w:color="auto" w:sz="4" w:space="0"/>
            </w:tcBorders>
            <w:noWrap/>
            <w:vAlign w:val="center"/>
          </w:tcPr>
          <w:p w14:paraId="3A2EE55B">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费用名称</w:t>
            </w:r>
          </w:p>
        </w:tc>
        <w:tc>
          <w:tcPr>
            <w:tcW w:w="972" w:type="dxa"/>
            <w:tcBorders>
              <w:top w:val="single" w:color="auto" w:sz="4" w:space="0"/>
              <w:left w:val="single" w:color="auto" w:sz="4" w:space="0"/>
              <w:bottom w:val="single" w:color="auto" w:sz="4" w:space="0"/>
              <w:right w:val="single" w:color="auto" w:sz="4" w:space="0"/>
            </w:tcBorders>
            <w:noWrap/>
            <w:vAlign w:val="center"/>
          </w:tcPr>
          <w:p w14:paraId="733A394E">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095" w:type="dxa"/>
            <w:tcBorders>
              <w:top w:val="single" w:color="auto" w:sz="4" w:space="0"/>
              <w:left w:val="single" w:color="auto" w:sz="4" w:space="0"/>
              <w:bottom w:val="single" w:color="auto" w:sz="4" w:space="0"/>
              <w:right w:val="single" w:color="auto" w:sz="4" w:space="0"/>
            </w:tcBorders>
            <w:noWrap/>
            <w:vAlign w:val="center"/>
          </w:tcPr>
          <w:p w14:paraId="0FAF7F4C">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676" w:type="dxa"/>
            <w:tcBorders>
              <w:top w:val="single" w:color="auto" w:sz="4" w:space="0"/>
              <w:left w:val="single" w:color="auto" w:sz="4" w:space="0"/>
              <w:bottom w:val="single" w:color="auto" w:sz="4" w:space="0"/>
              <w:right w:val="single" w:color="auto" w:sz="4" w:space="0"/>
            </w:tcBorders>
            <w:noWrap/>
            <w:vAlign w:val="center"/>
          </w:tcPr>
          <w:p w14:paraId="7DCD5068">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c>
          <w:tcPr>
            <w:tcW w:w="1498" w:type="dxa"/>
            <w:tcBorders>
              <w:top w:val="single" w:color="auto" w:sz="4" w:space="0"/>
              <w:left w:val="single" w:color="auto" w:sz="4" w:space="0"/>
              <w:bottom w:val="single" w:color="auto" w:sz="4" w:space="0"/>
              <w:right w:val="single" w:color="auto" w:sz="4" w:space="0"/>
            </w:tcBorders>
            <w:noWrap/>
            <w:vAlign w:val="center"/>
          </w:tcPr>
          <w:p w14:paraId="7FF20499">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合价（元）</w:t>
            </w:r>
          </w:p>
        </w:tc>
      </w:tr>
      <w:tr w14:paraId="539C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22C6CC44">
            <w:pPr>
              <w:widowControl/>
              <w:tabs>
                <w:tab w:val="center" w:pos="4755"/>
                <w:tab w:val="right" w:pos="9070"/>
              </w:tabs>
              <w:spacing w:line="320" w:lineRule="exact"/>
              <w:ind w:left="-53" w:leftChars="-25" w:right="-53" w:rightChars="-25"/>
              <w:jc w:val="center"/>
              <w:rPr>
                <w:rFonts w:ascii="仿宋" w:hAnsi="仿宋" w:eastAsia="仿宋" w:cs="仿宋"/>
                <w:color w:val="auto"/>
                <w:sz w:val="24"/>
                <w:szCs w:val="24"/>
                <w:highlight w:val="none"/>
              </w:rPr>
            </w:pPr>
            <w:r>
              <w:rPr>
                <w:rFonts w:hint="eastAsia" w:ascii="仿宋" w:hAnsi="仿宋" w:eastAsia="仿宋" w:cs="仿宋"/>
                <w:color w:val="auto"/>
                <w:kern w:val="0"/>
                <w:sz w:val="21"/>
                <w:szCs w:val="21"/>
                <w:highlight w:val="none"/>
              </w:rPr>
              <w:t>一</w:t>
            </w:r>
          </w:p>
        </w:tc>
        <w:tc>
          <w:tcPr>
            <w:tcW w:w="3365" w:type="dxa"/>
            <w:tcBorders>
              <w:top w:val="single" w:color="auto" w:sz="4" w:space="0"/>
              <w:left w:val="single" w:color="auto" w:sz="4" w:space="0"/>
              <w:bottom w:val="single" w:color="auto" w:sz="4" w:space="0"/>
              <w:right w:val="single" w:color="auto" w:sz="4" w:space="0"/>
            </w:tcBorders>
            <w:noWrap/>
            <w:vAlign w:val="center"/>
          </w:tcPr>
          <w:p w14:paraId="7B7608FA">
            <w:pPr>
              <w:widowControl/>
              <w:tabs>
                <w:tab w:val="center" w:pos="4755"/>
                <w:tab w:val="right" w:pos="9070"/>
              </w:tabs>
              <w:spacing w:line="320" w:lineRule="exact"/>
              <w:ind w:left="-53" w:leftChars="-25" w:right="-53" w:rightChars="-25"/>
              <w:jc w:val="center"/>
              <w:rPr>
                <w:rFonts w:ascii="仿宋" w:hAnsi="仿宋" w:eastAsia="仿宋" w:cs="仿宋"/>
                <w:color w:val="auto"/>
                <w:sz w:val="24"/>
                <w:szCs w:val="24"/>
                <w:highlight w:val="none"/>
              </w:rPr>
            </w:pPr>
            <w:r>
              <w:rPr>
                <w:rFonts w:hint="eastAsia" w:ascii="仿宋" w:hAnsi="仿宋" w:eastAsia="仿宋" w:cs="仿宋"/>
                <w:b/>
                <w:color w:val="auto"/>
                <w:sz w:val="21"/>
                <w:szCs w:val="21"/>
                <w:highlight w:val="none"/>
              </w:rPr>
              <w:t>现场临时宿舍空调设施</w:t>
            </w:r>
          </w:p>
        </w:tc>
        <w:tc>
          <w:tcPr>
            <w:tcW w:w="972" w:type="dxa"/>
            <w:tcBorders>
              <w:top w:val="single" w:color="auto" w:sz="4" w:space="0"/>
              <w:left w:val="single" w:color="auto" w:sz="4" w:space="0"/>
              <w:bottom w:val="single" w:color="auto" w:sz="4" w:space="0"/>
              <w:right w:val="single" w:color="auto" w:sz="4" w:space="0"/>
            </w:tcBorders>
            <w:noWrap/>
            <w:vAlign w:val="center"/>
          </w:tcPr>
          <w:p w14:paraId="00860DF6">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4C7CD55C">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7800CAD1">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5A9265C6">
            <w:pPr>
              <w:autoSpaceDN w:val="0"/>
              <w:rPr>
                <w:rFonts w:ascii="仿宋" w:hAnsi="仿宋" w:eastAsia="仿宋" w:cs="仿宋"/>
                <w:color w:val="auto"/>
                <w:sz w:val="24"/>
                <w:szCs w:val="24"/>
                <w:highlight w:val="none"/>
              </w:rPr>
            </w:pPr>
          </w:p>
        </w:tc>
      </w:tr>
      <w:tr w14:paraId="1683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17681C93">
            <w:pPr>
              <w:widowControl/>
              <w:tabs>
                <w:tab w:val="center" w:pos="4755"/>
                <w:tab w:val="right" w:pos="9070"/>
              </w:tabs>
              <w:spacing w:line="320" w:lineRule="exact"/>
              <w:ind w:left="-53" w:leftChars="-25" w:right="-53" w:rightChars="-25"/>
              <w:jc w:val="center"/>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0A1FA36C">
            <w:pPr>
              <w:widowControl/>
              <w:tabs>
                <w:tab w:val="center" w:pos="4755"/>
                <w:tab w:val="right" w:pos="9070"/>
              </w:tabs>
              <w:spacing w:line="320" w:lineRule="exact"/>
              <w:ind w:left="-53" w:leftChars="-25" w:right="-53" w:rightChars="-25"/>
              <w:jc w:val="center"/>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31675F3C">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AA993CF">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5DE99F86">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5EA046CF">
            <w:pPr>
              <w:autoSpaceDN w:val="0"/>
              <w:rPr>
                <w:rFonts w:ascii="仿宋" w:hAnsi="仿宋" w:eastAsia="仿宋" w:cs="仿宋"/>
                <w:color w:val="auto"/>
                <w:sz w:val="24"/>
                <w:szCs w:val="24"/>
                <w:highlight w:val="none"/>
              </w:rPr>
            </w:pPr>
          </w:p>
        </w:tc>
      </w:tr>
      <w:tr w14:paraId="12057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618AFA89">
            <w:pPr>
              <w:widowControl/>
              <w:tabs>
                <w:tab w:val="center" w:pos="4755"/>
                <w:tab w:val="right" w:pos="9070"/>
              </w:tabs>
              <w:spacing w:line="320" w:lineRule="exact"/>
              <w:ind w:left="-53" w:leftChars="-25" w:right="-53" w:rightChars="-25"/>
              <w:jc w:val="center"/>
              <w:rPr>
                <w:rFonts w:ascii="仿宋" w:hAnsi="仿宋" w:eastAsia="仿宋" w:cs="仿宋"/>
                <w:color w:val="auto"/>
                <w:sz w:val="24"/>
                <w:szCs w:val="24"/>
                <w:highlight w:val="none"/>
              </w:rPr>
            </w:pPr>
            <w:r>
              <w:rPr>
                <w:rFonts w:hint="eastAsia" w:ascii="仿宋" w:hAnsi="仿宋" w:eastAsia="仿宋" w:cs="仿宋"/>
                <w:b/>
                <w:color w:val="auto"/>
                <w:sz w:val="21"/>
                <w:szCs w:val="21"/>
                <w:highlight w:val="none"/>
              </w:rPr>
              <w:t>二</w:t>
            </w:r>
          </w:p>
        </w:tc>
        <w:tc>
          <w:tcPr>
            <w:tcW w:w="3365" w:type="dxa"/>
            <w:tcBorders>
              <w:top w:val="single" w:color="auto" w:sz="4" w:space="0"/>
              <w:left w:val="single" w:color="auto" w:sz="4" w:space="0"/>
              <w:bottom w:val="single" w:color="auto" w:sz="4" w:space="0"/>
              <w:right w:val="single" w:color="auto" w:sz="4" w:space="0"/>
            </w:tcBorders>
            <w:noWrap/>
            <w:vAlign w:val="center"/>
          </w:tcPr>
          <w:p w14:paraId="44E9A76B">
            <w:pPr>
              <w:widowControl/>
              <w:tabs>
                <w:tab w:val="center" w:pos="4755"/>
                <w:tab w:val="right" w:pos="9070"/>
              </w:tabs>
              <w:spacing w:line="320" w:lineRule="exact"/>
              <w:ind w:left="-53" w:leftChars="-25" w:right="-53" w:rightChars="-25"/>
              <w:jc w:val="center"/>
              <w:rPr>
                <w:rFonts w:ascii="仿宋" w:hAnsi="仿宋" w:eastAsia="仿宋" w:cs="仿宋"/>
                <w:color w:val="auto"/>
                <w:sz w:val="24"/>
                <w:szCs w:val="24"/>
                <w:highlight w:val="none"/>
              </w:rPr>
            </w:pPr>
            <w:r>
              <w:rPr>
                <w:rFonts w:hint="eastAsia" w:ascii="仿宋" w:hAnsi="仿宋" w:eastAsia="仿宋" w:cs="仿宋"/>
                <w:b/>
                <w:color w:val="auto"/>
                <w:sz w:val="21"/>
                <w:szCs w:val="21"/>
                <w:highlight w:val="none"/>
              </w:rPr>
              <w:t>安全生产责任保险</w:t>
            </w:r>
          </w:p>
        </w:tc>
        <w:tc>
          <w:tcPr>
            <w:tcW w:w="972" w:type="dxa"/>
            <w:tcBorders>
              <w:top w:val="single" w:color="auto" w:sz="4" w:space="0"/>
              <w:left w:val="single" w:color="auto" w:sz="4" w:space="0"/>
              <w:bottom w:val="single" w:color="auto" w:sz="4" w:space="0"/>
              <w:right w:val="single" w:color="auto" w:sz="4" w:space="0"/>
            </w:tcBorders>
            <w:noWrap/>
            <w:vAlign w:val="center"/>
          </w:tcPr>
          <w:p w14:paraId="46DC70EC">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056EC27A">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03010A98">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7E7F919F">
            <w:pPr>
              <w:autoSpaceDN w:val="0"/>
              <w:rPr>
                <w:rFonts w:ascii="仿宋" w:hAnsi="仿宋" w:eastAsia="仿宋" w:cs="仿宋"/>
                <w:color w:val="auto"/>
                <w:sz w:val="24"/>
                <w:szCs w:val="24"/>
                <w:highlight w:val="none"/>
              </w:rPr>
            </w:pPr>
          </w:p>
        </w:tc>
      </w:tr>
      <w:tr w14:paraId="56A3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6F0A5751">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5BB2121A">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3B609364">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10A2E56">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0713F178">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221D6F49">
            <w:pPr>
              <w:autoSpaceDN w:val="0"/>
              <w:rPr>
                <w:rFonts w:ascii="仿宋" w:hAnsi="仿宋" w:eastAsia="仿宋" w:cs="仿宋"/>
                <w:color w:val="auto"/>
                <w:sz w:val="24"/>
                <w:szCs w:val="24"/>
                <w:highlight w:val="none"/>
              </w:rPr>
            </w:pPr>
          </w:p>
        </w:tc>
      </w:tr>
      <w:tr w14:paraId="2F0F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3A9EEE1F">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03B7FAF5">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327DEE65">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016FF2C7">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6C7D7926">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01DAB9D8">
            <w:pPr>
              <w:autoSpaceDN w:val="0"/>
              <w:rPr>
                <w:rFonts w:ascii="仿宋" w:hAnsi="仿宋" w:eastAsia="仿宋" w:cs="仿宋"/>
                <w:color w:val="auto"/>
                <w:sz w:val="24"/>
                <w:szCs w:val="24"/>
                <w:highlight w:val="none"/>
              </w:rPr>
            </w:pPr>
          </w:p>
        </w:tc>
      </w:tr>
      <w:tr w14:paraId="4E875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3B292F2C">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2717E67E">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67927C40">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7DAD21E0">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42FCC30B">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2C4789F4">
            <w:pPr>
              <w:autoSpaceDN w:val="0"/>
              <w:rPr>
                <w:rFonts w:ascii="仿宋" w:hAnsi="仿宋" w:eastAsia="仿宋" w:cs="仿宋"/>
                <w:color w:val="auto"/>
                <w:sz w:val="24"/>
                <w:szCs w:val="24"/>
                <w:highlight w:val="none"/>
              </w:rPr>
            </w:pPr>
          </w:p>
        </w:tc>
      </w:tr>
      <w:tr w14:paraId="7269C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7028D235">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553203A5">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09D47197">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C6CB69E">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17B14A2D">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35229727">
            <w:pPr>
              <w:autoSpaceDN w:val="0"/>
              <w:rPr>
                <w:rFonts w:ascii="仿宋" w:hAnsi="仿宋" w:eastAsia="仿宋" w:cs="仿宋"/>
                <w:color w:val="auto"/>
                <w:sz w:val="24"/>
                <w:szCs w:val="24"/>
                <w:highlight w:val="none"/>
              </w:rPr>
            </w:pPr>
          </w:p>
        </w:tc>
      </w:tr>
      <w:tr w14:paraId="192F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77DE108E">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2A2460E9">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5799B4C9">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77F2D86F">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1C7D6ABF">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4194C112">
            <w:pPr>
              <w:autoSpaceDN w:val="0"/>
              <w:rPr>
                <w:rFonts w:ascii="仿宋" w:hAnsi="仿宋" w:eastAsia="仿宋" w:cs="仿宋"/>
                <w:color w:val="auto"/>
                <w:sz w:val="24"/>
                <w:szCs w:val="24"/>
                <w:highlight w:val="none"/>
              </w:rPr>
            </w:pPr>
          </w:p>
        </w:tc>
      </w:tr>
      <w:tr w14:paraId="713E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36A0EEC5">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3C3D93F6">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7557404A">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9E43643">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6896C2CA">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1AE82FE0">
            <w:pPr>
              <w:autoSpaceDN w:val="0"/>
              <w:rPr>
                <w:rFonts w:ascii="仿宋" w:hAnsi="仿宋" w:eastAsia="仿宋" w:cs="仿宋"/>
                <w:color w:val="auto"/>
                <w:sz w:val="24"/>
                <w:szCs w:val="24"/>
                <w:highlight w:val="none"/>
              </w:rPr>
            </w:pPr>
          </w:p>
        </w:tc>
      </w:tr>
      <w:tr w14:paraId="2940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7432D761">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48E0903A">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30265D8E">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7F03EFE7">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57F0F567">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50E25D6F">
            <w:pPr>
              <w:autoSpaceDN w:val="0"/>
              <w:rPr>
                <w:rFonts w:ascii="仿宋" w:hAnsi="仿宋" w:eastAsia="仿宋" w:cs="仿宋"/>
                <w:color w:val="auto"/>
                <w:sz w:val="24"/>
                <w:szCs w:val="24"/>
                <w:highlight w:val="none"/>
              </w:rPr>
            </w:pPr>
          </w:p>
        </w:tc>
      </w:tr>
      <w:tr w14:paraId="0F9E8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66D05B41">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56ECFD43">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0A835537">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5E13240">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4A1C03FB">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255CB1DC">
            <w:pPr>
              <w:autoSpaceDN w:val="0"/>
              <w:rPr>
                <w:rFonts w:ascii="仿宋" w:hAnsi="仿宋" w:eastAsia="仿宋" w:cs="仿宋"/>
                <w:color w:val="auto"/>
                <w:sz w:val="24"/>
                <w:szCs w:val="24"/>
                <w:highlight w:val="none"/>
              </w:rPr>
            </w:pPr>
          </w:p>
        </w:tc>
      </w:tr>
      <w:tr w14:paraId="4182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36D04669">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0A581F33">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4ED10AC4">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12E27C2">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219A2F9D">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273E73C1">
            <w:pPr>
              <w:autoSpaceDN w:val="0"/>
              <w:rPr>
                <w:rFonts w:ascii="仿宋" w:hAnsi="仿宋" w:eastAsia="仿宋" w:cs="仿宋"/>
                <w:color w:val="auto"/>
                <w:sz w:val="24"/>
                <w:szCs w:val="24"/>
                <w:highlight w:val="none"/>
              </w:rPr>
            </w:pPr>
          </w:p>
        </w:tc>
      </w:tr>
      <w:tr w14:paraId="080F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60BB1B70">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1A39BDBD">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3963C4E3">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95E440F">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7BCB7EEC">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49C2F2B4">
            <w:pPr>
              <w:autoSpaceDN w:val="0"/>
              <w:rPr>
                <w:rFonts w:ascii="仿宋" w:hAnsi="仿宋" w:eastAsia="仿宋" w:cs="仿宋"/>
                <w:color w:val="auto"/>
                <w:sz w:val="24"/>
                <w:szCs w:val="24"/>
                <w:highlight w:val="none"/>
              </w:rPr>
            </w:pPr>
          </w:p>
        </w:tc>
      </w:tr>
      <w:tr w14:paraId="1AC0E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5114137E">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339FFECA">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972" w:type="dxa"/>
            <w:tcBorders>
              <w:top w:val="single" w:color="auto" w:sz="4" w:space="0"/>
              <w:left w:val="single" w:color="auto" w:sz="4" w:space="0"/>
              <w:bottom w:val="single" w:color="auto" w:sz="4" w:space="0"/>
              <w:right w:val="single" w:color="auto" w:sz="4" w:space="0"/>
            </w:tcBorders>
            <w:noWrap/>
          </w:tcPr>
          <w:p w14:paraId="1C0D929E">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309F2C5">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456376B4">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46089A2B">
            <w:pPr>
              <w:autoSpaceDN w:val="0"/>
              <w:rPr>
                <w:rFonts w:ascii="仿宋" w:hAnsi="仿宋" w:eastAsia="仿宋" w:cs="仿宋"/>
                <w:color w:val="auto"/>
                <w:sz w:val="24"/>
                <w:szCs w:val="24"/>
                <w:highlight w:val="none"/>
              </w:rPr>
            </w:pPr>
          </w:p>
        </w:tc>
      </w:tr>
    </w:tbl>
    <w:p w14:paraId="4FF7B7D4">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注：本表为企业管理费部分内容的报价分析表，由磋商响应供应商根据市政府、市建设行政主管部门颁发的有关文件对于现场民工宿舍空调的设置要求或标准、安责险等规定进行相应数量和费用的报价。</w:t>
      </w:r>
    </w:p>
    <w:p w14:paraId="567D3F1D">
      <w:pPr>
        <w:autoSpaceDN w:val="0"/>
        <w:spacing w:before="156" w:beforeLines="50" w:after="156" w:afterLines="50" w:line="400" w:lineRule="exact"/>
        <w:rPr>
          <w:rFonts w:ascii="宋体" w:hAnsi="Courier New" w:eastAsia="宋体" w:cs="Times New Roman"/>
          <w:color w:val="auto"/>
          <w:kern w:val="0"/>
          <w:sz w:val="24"/>
          <w:szCs w:val="24"/>
          <w:highlight w:val="none"/>
        </w:rPr>
      </w:pPr>
    </w:p>
    <w:p w14:paraId="4BACE683">
      <w:pPr>
        <w:autoSpaceDN w:val="0"/>
        <w:spacing w:before="156" w:beforeLines="50" w:after="156" w:afterLines="50" w:line="400" w:lineRule="exact"/>
        <w:rPr>
          <w:rFonts w:ascii="宋体" w:hAnsi="Courier New" w:eastAsia="宋体" w:cs="Times New Roman"/>
          <w:color w:val="auto"/>
          <w:kern w:val="0"/>
          <w:sz w:val="24"/>
          <w:szCs w:val="24"/>
          <w:highlight w:val="none"/>
        </w:rPr>
      </w:pPr>
    </w:p>
    <w:p w14:paraId="52B07C85">
      <w:pPr>
        <w:autoSpaceDN w:val="0"/>
        <w:spacing w:before="156" w:beforeLines="50" w:after="156" w:afterLines="50" w:line="400" w:lineRule="exact"/>
        <w:rPr>
          <w:rFonts w:ascii="宋体" w:hAnsi="Courier New" w:eastAsia="宋体" w:cs="Times New Roman"/>
          <w:color w:val="auto"/>
          <w:kern w:val="0"/>
          <w:sz w:val="24"/>
          <w:szCs w:val="24"/>
          <w:highlight w:val="none"/>
        </w:rPr>
      </w:pPr>
    </w:p>
    <w:p w14:paraId="029732D7">
      <w:pPr>
        <w:autoSpaceDN w:val="0"/>
        <w:spacing w:before="156" w:beforeLines="50" w:after="156" w:afterLines="50" w:line="400" w:lineRule="exact"/>
        <w:rPr>
          <w:rFonts w:ascii="宋体" w:hAnsi="Courier New" w:eastAsia="宋体" w:cs="Times New Roman"/>
          <w:color w:val="auto"/>
          <w:kern w:val="0"/>
          <w:sz w:val="24"/>
          <w:szCs w:val="24"/>
          <w:highlight w:val="none"/>
        </w:rPr>
      </w:pPr>
    </w:p>
    <w:p w14:paraId="7DA2D407">
      <w:pPr>
        <w:autoSpaceDN w:val="0"/>
        <w:spacing w:before="156" w:beforeLines="50" w:after="156" w:afterLines="50" w:line="400" w:lineRule="exact"/>
        <w:rPr>
          <w:rFonts w:ascii="仿宋" w:hAnsi="仿宋" w:eastAsia="仿宋" w:cs="Times New Roman"/>
          <w:b/>
          <w:bCs/>
          <w:color w:val="auto"/>
          <w:kern w:val="0"/>
          <w:sz w:val="28"/>
          <w:szCs w:val="28"/>
          <w:highlight w:val="none"/>
        </w:rPr>
      </w:pPr>
    </w:p>
    <w:p w14:paraId="014C01B7">
      <w:pPr>
        <w:autoSpaceDN w:val="0"/>
        <w:spacing w:before="156" w:beforeLines="50" w:after="156" w:afterLines="50" w:line="400" w:lineRule="exact"/>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（3）供应商认为其他需要提供的资料（如有）</w:t>
      </w:r>
    </w:p>
    <w:p w14:paraId="65E9B4E1">
      <w:pPr>
        <w:autoSpaceDN w:val="0"/>
        <w:spacing w:before="156" w:beforeLines="50" w:after="156" w:afterLines="50" w:line="400" w:lineRule="exact"/>
        <w:ind w:left="480"/>
        <w:rPr>
          <w:rFonts w:ascii="仿宋" w:hAnsi="仿宋" w:eastAsia="仿宋" w:cs="Times New Roman"/>
          <w:color w:val="auto"/>
          <w:kern w:val="0"/>
          <w:sz w:val="24"/>
          <w:szCs w:val="24"/>
          <w:highlight w:val="none"/>
        </w:rPr>
      </w:pPr>
    </w:p>
    <w:p w14:paraId="41CE600E">
      <w:pPr>
        <w:autoSpaceDN w:val="0"/>
        <w:spacing w:before="156" w:beforeLines="50" w:after="156" w:afterLines="50" w:line="400" w:lineRule="exact"/>
        <w:jc w:val="center"/>
        <w:rPr>
          <w:rFonts w:ascii="仿宋" w:hAnsi="仿宋" w:eastAsia="仿宋" w:cs="Times New Roman"/>
          <w:b/>
          <w:color w:val="auto"/>
          <w:kern w:val="0"/>
          <w:sz w:val="32"/>
          <w:szCs w:val="32"/>
          <w:highlight w:val="none"/>
        </w:rPr>
      </w:pPr>
      <w:r>
        <w:rPr>
          <w:rFonts w:hint="eastAsia" w:ascii="仿宋" w:hAnsi="仿宋" w:eastAsia="仿宋" w:cs="Times New Roman"/>
          <w:b/>
          <w:color w:val="auto"/>
          <w:kern w:val="0"/>
          <w:sz w:val="32"/>
          <w:szCs w:val="32"/>
          <w:highlight w:val="none"/>
        </w:rPr>
        <w:t>其他资料或说明</w:t>
      </w:r>
    </w:p>
    <w:tbl>
      <w:tblPr>
        <w:tblStyle w:val="61"/>
        <w:tblW w:w="9075"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75"/>
      </w:tblGrid>
      <w:tr w14:paraId="5E1AB987">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036" w:hRule="atLeast"/>
        </w:trPr>
        <w:tc>
          <w:tcPr>
            <w:tcW w:w="9072" w:type="dxa"/>
            <w:tcBorders>
              <w:top w:val="dotDash" w:color="000000" w:sz="4" w:space="0"/>
              <w:left w:val="dotDash" w:color="000000" w:sz="4" w:space="0"/>
              <w:bottom w:val="dotDash" w:color="000000" w:sz="4" w:space="0"/>
              <w:right w:val="dotDash" w:color="000000" w:sz="4" w:space="0"/>
            </w:tcBorders>
            <w:vAlign w:val="center"/>
          </w:tcPr>
          <w:p w14:paraId="5DE5F2CD">
            <w:pPr>
              <w:autoSpaceDN w:val="0"/>
              <w:spacing w:before="156" w:beforeLines="50" w:after="156" w:afterLines="50" w:line="400" w:lineRule="exact"/>
              <w:rPr>
                <w:rFonts w:ascii="仿宋" w:hAnsi="仿宋" w:eastAsia="仿宋" w:cs="Times New Roman"/>
                <w:b/>
                <w:bCs/>
                <w:color w:val="auto"/>
                <w:kern w:val="0"/>
                <w:sz w:val="24"/>
                <w:szCs w:val="24"/>
                <w:highlight w:val="none"/>
              </w:rPr>
            </w:pPr>
            <w:r>
              <w:rPr>
                <w:rFonts w:hint="eastAsia" w:ascii="仿宋" w:hAnsi="仿宋" w:eastAsia="仿宋" w:cs="Times New Roman"/>
                <w:b/>
                <w:bCs/>
                <w:color w:val="auto"/>
                <w:kern w:val="0"/>
                <w:sz w:val="24"/>
                <w:szCs w:val="24"/>
                <w:highlight w:val="none"/>
              </w:rPr>
              <w:t>（加盖公章，否则视为未提供）</w:t>
            </w:r>
          </w:p>
        </w:tc>
      </w:tr>
    </w:tbl>
    <w:p w14:paraId="6ACA34BC">
      <w:pPr>
        <w:autoSpaceDN w:val="0"/>
        <w:rPr>
          <w:rFonts w:ascii="Times New Roman" w:hAnsi="Times New Roman" w:eastAsia="宋体" w:cs="Times New Roman"/>
          <w:color w:val="auto"/>
          <w:szCs w:val="24"/>
          <w:highlight w:val="none"/>
        </w:rPr>
      </w:pPr>
    </w:p>
    <w:p w14:paraId="6F519016">
      <w:pPr>
        <w:autoSpaceDN w:val="0"/>
        <w:spacing w:line="200" w:lineRule="exact"/>
        <w:ind w:firstLine="301"/>
        <w:rPr>
          <w:rFonts w:ascii="宋体" w:hAnsi="Courier New" w:eastAsia="宋体" w:cs="Times New Roman"/>
          <w:color w:val="auto"/>
          <w:spacing w:val="-4"/>
          <w:kern w:val="0"/>
          <w:sz w:val="18"/>
          <w:szCs w:val="20"/>
          <w:highlight w:val="none"/>
        </w:rPr>
      </w:pPr>
    </w:p>
    <w:p w14:paraId="64C282F8">
      <w:pPr>
        <w:autoSpaceDN w:val="0"/>
        <w:spacing w:line="200" w:lineRule="exact"/>
        <w:ind w:firstLine="301"/>
        <w:rPr>
          <w:rFonts w:ascii="宋体" w:hAnsi="Courier New" w:eastAsia="宋体" w:cs="Times New Roman"/>
          <w:color w:val="auto"/>
          <w:spacing w:val="-4"/>
          <w:kern w:val="0"/>
          <w:sz w:val="18"/>
          <w:szCs w:val="20"/>
          <w:highlight w:val="none"/>
        </w:rPr>
      </w:pPr>
    </w:p>
    <w:p w14:paraId="53ADAF04">
      <w:pPr>
        <w:autoSpaceDN w:val="0"/>
        <w:spacing w:line="200" w:lineRule="exact"/>
        <w:ind w:firstLine="301"/>
        <w:rPr>
          <w:rFonts w:ascii="宋体" w:hAnsi="Courier New" w:eastAsia="宋体" w:cs="Times New Roman"/>
          <w:color w:val="auto"/>
          <w:spacing w:val="-4"/>
          <w:kern w:val="0"/>
          <w:sz w:val="18"/>
          <w:szCs w:val="20"/>
          <w:highlight w:val="none"/>
        </w:rPr>
      </w:pPr>
    </w:p>
    <w:p w14:paraId="30FCD6FB">
      <w:pPr>
        <w:autoSpaceDN w:val="0"/>
        <w:spacing w:line="200" w:lineRule="exact"/>
        <w:ind w:firstLine="301"/>
        <w:rPr>
          <w:rFonts w:ascii="宋体" w:hAnsi="Courier New" w:eastAsia="宋体" w:cs="Times New Roman"/>
          <w:color w:val="auto"/>
          <w:spacing w:val="-4"/>
          <w:kern w:val="0"/>
          <w:sz w:val="18"/>
          <w:szCs w:val="20"/>
          <w:highlight w:val="none"/>
        </w:rPr>
      </w:pPr>
    </w:p>
    <w:p w14:paraId="653B8480">
      <w:pPr>
        <w:autoSpaceDN w:val="0"/>
        <w:spacing w:line="200" w:lineRule="exact"/>
        <w:ind w:firstLine="301"/>
        <w:rPr>
          <w:rFonts w:ascii="宋体" w:hAnsi="Courier New" w:eastAsia="宋体" w:cs="Times New Roman"/>
          <w:color w:val="auto"/>
          <w:spacing w:val="-4"/>
          <w:kern w:val="0"/>
          <w:sz w:val="18"/>
          <w:szCs w:val="20"/>
          <w:highlight w:val="none"/>
        </w:rPr>
      </w:pPr>
    </w:p>
    <w:p w14:paraId="644FE466">
      <w:pPr>
        <w:autoSpaceDN w:val="0"/>
        <w:spacing w:line="200" w:lineRule="exact"/>
        <w:ind w:firstLine="301"/>
        <w:rPr>
          <w:rFonts w:ascii="宋体" w:hAnsi="Courier New" w:eastAsia="宋体" w:cs="Times New Roman"/>
          <w:color w:val="auto"/>
          <w:spacing w:val="-4"/>
          <w:kern w:val="0"/>
          <w:sz w:val="18"/>
          <w:szCs w:val="20"/>
          <w:highlight w:val="none"/>
        </w:rPr>
      </w:pPr>
    </w:p>
    <w:p w14:paraId="614A75E0">
      <w:pPr>
        <w:autoSpaceDN w:val="0"/>
        <w:spacing w:line="200" w:lineRule="exact"/>
        <w:ind w:firstLine="301"/>
        <w:rPr>
          <w:rFonts w:ascii="宋体" w:hAnsi="Courier New" w:eastAsia="宋体" w:cs="Times New Roman"/>
          <w:color w:val="auto"/>
          <w:spacing w:val="-4"/>
          <w:kern w:val="0"/>
          <w:sz w:val="18"/>
          <w:szCs w:val="20"/>
          <w:highlight w:val="none"/>
        </w:rPr>
      </w:pPr>
    </w:p>
    <w:p w14:paraId="6E8B651F">
      <w:pPr>
        <w:autoSpaceDN w:val="0"/>
        <w:spacing w:line="200" w:lineRule="exact"/>
        <w:ind w:firstLine="301"/>
        <w:rPr>
          <w:rFonts w:ascii="宋体" w:hAnsi="Courier New" w:eastAsia="宋体" w:cs="Times New Roman"/>
          <w:color w:val="auto"/>
          <w:spacing w:val="-4"/>
          <w:kern w:val="0"/>
          <w:sz w:val="18"/>
          <w:szCs w:val="20"/>
          <w:highlight w:val="none"/>
        </w:rPr>
      </w:pPr>
    </w:p>
    <w:p w14:paraId="7DDBB1D3">
      <w:pPr>
        <w:autoSpaceDN w:val="0"/>
        <w:spacing w:line="200" w:lineRule="exact"/>
        <w:rPr>
          <w:rFonts w:ascii="宋体" w:hAnsi="Courier New" w:eastAsia="宋体" w:cs="Times New Roman"/>
          <w:color w:val="auto"/>
          <w:spacing w:val="-4"/>
          <w:kern w:val="0"/>
          <w:sz w:val="18"/>
          <w:szCs w:val="20"/>
          <w:highlight w:val="none"/>
        </w:rPr>
      </w:pPr>
    </w:p>
    <w:p w14:paraId="67EE1035">
      <w:pPr>
        <w:autoSpaceDN w:val="0"/>
        <w:spacing w:line="200" w:lineRule="exact"/>
        <w:rPr>
          <w:rFonts w:ascii="宋体" w:hAnsi="Courier New" w:eastAsia="宋体" w:cs="Times New Roman"/>
          <w:color w:val="auto"/>
          <w:spacing w:val="-4"/>
          <w:kern w:val="0"/>
          <w:sz w:val="18"/>
          <w:szCs w:val="20"/>
          <w:highlight w:val="none"/>
        </w:rPr>
      </w:pPr>
    </w:p>
    <w:p w14:paraId="7CBEC9F7">
      <w:pPr>
        <w:autoSpaceDN w:val="0"/>
        <w:snapToGrid w:val="0"/>
        <w:spacing w:line="360" w:lineRule="auto"/>
        <w:ind w:left="238"/>
        <w:jc w:val="center"/>
        <w:outlineLvl w:val="0"/>
        <w:rPr>
          <w:rFonts w:ascii="仿宋" w:hAnsi="仿宋" w:eastAsia="仿宋" w:cs="宋体"/>
          <w:b/>
          <w:color w:val="auto"/>
          <w:sz w:val="32"/>
          <w:szCs w:val="32"/>
          <w:highlight w:val="none"/>
        </w:rPr>
      </w:pPr>
      <w:bookmarkStart w:id="132" w:name="_Toc5995"/>
      <w:r>
        <w:rPr>
          <w:rFonts w:hint="eastAsia" w:ascii="仿宋" w:hAnsi="仿宋" w:eastAsia="仿宋" w:cs="宋体"/>
          <w:b/>
          <w:color w:val="auto"/>
          <w:sz w:val="32"/>
          <w:szCs w:val="32"/>
          <w:highlight w:val="none"/>
        </w:rPr>
        <w:t>第七章 附件</w:t>
      </w:r>
      <w:bookmarkEnd w:id="132"/>
    </w:p>
    <w:p w14:paraId="473EEA9A">
      <w:pPr>
        <w:autoSpaceDN w:val="0"/>
        <w:spacing w:line="360"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（以下相关文件及规定如与最新规定不一致的，以最新发布的为准）</w:t>
      </w:r>
    </w:p>
    <w:p w14:paraId="054BEE8F">
      <w:pPr>
        <w:keepNext/>
        <w:keepLines/>
        <w:autoSpaceDN w:val="0"/>
        <w:spacing w:before="240" w:line="360" w:lineRule="auto"/>
        <w:jc w:val="left"/>
        <w:outlineLvl w:val="2"/>
        <w:rPr>
          <w:rFonts w:ascii="仿宋" w:hAnsi="仿宋" w:eastAsia="仿宋" w:cs="宋体"/>
          <w:b/>
          <w:bCs/>
          <w:color w:val="auto"/>
          <w:kern w:val="0"/>
          <w:sz w:val="24"/>
          <w:szCs w:val="24"/>
          <w:highlight w:val="none"/>
        </w:rPr>
      </w:pPr>
      <w:bookmarkStart w:id="133" w:name="_Toc4294377"/>
      <w:bookmarkStart w:id="134" w:name="_Toc10432455"/>
      <w:bookmarkStart w:id="135" w:name="_Toc7663594"/>
      <w:bookmarkStart w:id="136" w:name="_Toc8007002"/>
      <w:bookmarkStart w:id="137" w:name="_Toc7668947"/>
      <w:bookmarkStart w:id="138" w:name="_Toc7492525"/>
      <w:bookmarkStart w:id="139" w:name="_Toc17428346"/>
      <w:bookmarkStart w:id="140" w:name="_Toc7664194"/>
      <w:bookmarkStart w:id="141" w:name="_Toc17428251"/>
      <w:bookmarkStart w:id="142" w:name="_Toc24471815"/>
      <w:bookmarkStart w:id="143" w:name="_Toc25765007"/>
      <w:bookmarkStart w:id="144" w:name="_Toc7542913"/>
      <w:bookmarkStart w:id="145" w:name="_Toc20358289"/>
      <w:bookmarkStart w:id="146" w:name="_Toc7574702"/>
      <w:bookmarkStart w:id="147" w:name="_Toc7993638"/>
      <w:bookmarkStart w:id="148" w:name="_Toc7988418"/>
      <w:bookmarkStart w:id="149" w:name="_Toc7488756"/>
      <w:bookmarkStart w:id="150" w:name="_Toc7988472"/>
      <w:bookmarkStart w:id="151" w:name="_Toc522417531"/>
      <w:bookmarkStart w:id="152" w:name="_Toc532440701"/>
      <w:bookmarkStart w:id="153" w:name="_Toc2002574"/>
      <w:bookmarkStart w:id="154" w:name="_Toc522830351"/>
      <w:bookmarkStart w:id="155" w:name="_Toc4649580"/>
      <w:r>
        <w:rPr>
          <w:rFonts w:hint="eastAsia" w:ascii="仿宋" w:hAnsi="仿宋" w:eastAsia="仿宋" w:cs="宋体"/>
          <w:b/>
          <w:bCs/>
          <w:color w:val="auto"/>
          <w:kern w:val="0"/>
          <w:sz w:val="24"/>
          <w:szCs w:val="24"/>
          <w:highlight w:val="none"/>
        </w:rPr>
        <w:t>一、</w:t>
      </w:r>
      <w:bookmarkEnd w:id="133"/>
      <w:r>
        <w:rPr>
          <w:rFonts w:hint="eastAsia" w:ascii="仿宋" w:hAnsi="仿宋" w:eastAsia="仿宋" w:cs="宋体"/>
          <w:b/>
          <w:bCs/>
          <w:color w:val="auto"/>
          <w:kern w:val="0"/>
          <w:sz w:val="24"/>
          <w:szCs w:val="24"/>
          <w:highlight w:val="none"/>
        </w:rPr>
        <w:t>关于调整优化节能产品、环境标志产品政府采购执行机制的通知（财库[2019]9号）</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tbl>
      <w:tblPr>
        <w:tblStyle w:val="61"/>
        <w:tblW w:w="0" w:type="auto"/>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145"/>
      </w:tblGrid>
      <w:tr w14:paraId="68F562A0">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9145" w:type="dxa"/>
            <w:tcBorders>
              <w:top w:val="thinThickSmallGap" w:color="0070C0" w:sz="18" w:space="0"/>
              <w:left w:val="thinThickSmallGap" w:color="0070C0" w:sz="18" w:space="0"/>
              <w:bottom w:val="thinThickSmallGap" w:color="0070C0" w:sz="18" w:space="0"/>
              <w:right w:val="thinThickSmallGap" w:color="0070C0" w:sz="18" w:space="0"/>
            </w:tcBorders>
            <w:noWrap/>
          </w:tcPr>
          <w:p w14:paraId="6127B1A6">
            <w:pPr>
              <w:autoSpaceDN w:val="0"/>
              <w:spacing w:line="360" w:lineRule="auto"/>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财政部 发展改革委 生态环境部 市场监管总局</w:t>
            </w:r>
          </w:p>
          <w:p w14:paraId="0BC6ABD0">
            <w:pPr>
              <w:autoSpaceDN w:val="0"/>
              <w:spacing w:line="360" w:lineRule="auto"/>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关于调整优化节能产品、环境标志产品政府采购执行机制的通知</w:t>
            </w:r>
          </w:p>
          <w:p w14:paraId="4C9D27A0">
            <w:pPr>
              <w:autoSpaceDN w:val="0"/>
              <w:spacing w:line="360" w:lineRule="auto"/>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财库〔2019〕9号</w:t>
            </w:r>
          </w:p>
          <w:p w14:paraId="1BD8D360">
            <w:pPr>
              <w:autoSpaceDN w:val="0"/>
              <w:spacing w:line="360" w:lineRule="auto"/>
              <w:jc w:val="center"/>
              <w:rPr>
                <w:rFonts w:ascii="仿宋" w:hAnsi="仿宋" w:eastAsia="仿宋" w:cs="宋体"/>
                <w:b/>
                <w:color w:val="auto"/>
                <w:sz w:val="24"/>
                <w:szCs w:val="24"/>
                <w:highlight w:val="none"/>
              </w:rPr>
            </w:pPr>
          </w:p>
          <w:p w14:paraId="17D267A0">
            <w:pPr>
              <w:autoSpaceDN w:val="0"/>
              <w:spacing w:line="360" w:lineRule="auto"/>
              <w:ind w:firstLine="487"/>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有关中央预算单位，各省、自治区、直辖市、计划单列市财政厅（局）、发展改革委（经信委、工信委、工信厅、经信局）、生态环境厅（局）、市场监管部门，新疆生产建设兵团财政局、发展改革委、工信委、环境保护局、市场监管局：</w:t>
            </w:r>
          </w:p>
          <w:p w14:paraId="0B80D7D2">
            <w:pPr>
              <w:autoSpaceDN w:val="0"/>
              <w:spacing w:line="360" w:lineRule="auto"/>
              <w:ind w:firstLine="424" w:firstLineChars="177"/>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为落实“放管服”改革要求，完善政府绿色采购政策，简化节能（节水）产品、环境标志产品政府采购执行机制，优化供应商参与政府采购活动的市场环境，现就节能产品、环境标志产品政府采购有关事项通知如下：</w:t>
            </w:r>
          </w:p>
          <w:p w14:paraId="655B16F8">
            <w:pPr>
              <w:autoSpaceDN w:val="0"/>
              <w:spacing w:line="360" w:lineRule="auto"/>
              <w:ind w:firstLine="426" w:firstLineChars="177"/>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一、对政府采购节能产品、环境标志产品实施品目清单管理。</w:t>
            </w:r>
            <w:r>
              <w:rPr>
                <w:rFonts w:hint="eastAsia" w:ascii="仿宋" w:hAnsi="仿宋" w:eastAsia="仿宋" w:cs="宋体"/>
                <w:color w:val="auto"/>
                <w:sz w:val="24"/>
                <w:szCs w:val="24"/>
                <w:highlight w:val="none"/>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0E3BF4AD">
            <w:pPr>
              <w:autoSpaceDN w:val="0"/>
              <w:spacing w:line="360" w:lineRule="auto"/>
              <w:ind w:firstLine="426" w:firstLineChars="177"/>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二、依据品目清单和认证证书实施政府优先采购和强制采购。</w:t>
            </w:r>
            <w:r>
              <w:rPr>
                <w:rFonts w:hint="eastAsia" w:ascii="仿宋" w:hAnsi="仿宋" w:eastAsia="仿宋" w:cs="宋体"/>
                <w:color w:val="auto"/>
                <w:sz w:val="24"/>
                <w:szCs w:val="24"/>
                <w:highlight w:val="none"/>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7011EEF">
            <w:pPr>
              <w:autoSpaceDN w:val="0"/>
              <w:spacing w:line="360" w:lineRule="auto"/>
              <w:ind w:firstLine="426" w:firstLineChars="177"/>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三、逐步扩大节能产品、环境标志产品认证机构范围。</w:t>
            </w:r>
            <w:r>
              <w:rPr>
                <w:rFonts w:hint="eastAsia" w:ascii="仿宋" w:hAnsi="仿宋" w:eastAsia="仿宋" w:cs="宋体"/>
                <w:color w:val="auto"/>
                <w:sz w:val="24"/>
                <w:szCs w:val="24"/>
                <w:highlight w:val="none"/>
              </w:rPr>
              <w:t>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39B25768">
            <w:pPr>
              <w:autoSpaceDN w:val="0"/>
              <w:spacing w:line="360" w:lineRule="auto"/>
              <w:ind w:firstLine="426" w:firstLineChars="177"/>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四、发布认证机构和获证产品信息。</w:t>
            </w:r>
            <w:r>
              <w:rPr>
                <w:rFonts w:hint="eastAsia" w:ascii="仿宋" w:hAnsi="仿宋" w:eastAsia="仿宋" w:cs="宋体"/>
                <w:color w:val="auto"/>
                <w:sz w:val="24"/>
                <w:szCs w:val="24"/>
                <w:highlight w:val="none"/>
              </w:rPr>
              <w:t>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580DAB74">
            <w:pPr>
              <w:autoSpaceDN w:val="0"/>
              <w:spacing w:line="360" w:lineRule="auto"/>
              <w:ind w:firstLine="426" w:firstLineChars="177"/>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五、加大政府绿色采购力度。</w:t>
            </w:r>
            <w:r>
              <w:rPr>
                <w:rFonts w:hint="eastAsia" w:ascii="仿宋" w:hAnsi="仿宋" w:eastAsia="仿宋" w:cs="宋体"/>
                <w:color w:val="auto"/>
                <w:sz w:val="24"/>
                <w:szCs w:val="24"/>
                <w:highlight w:val="none"/>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42246467">
            <w:pPr>
              <w:autoSpaceDN w:val="0"/>
              <w:spacing w:line="360" w:lineRule="auto"/>
              <w:ind w:firstLine="426" w:firstLineChars="177"/>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六、本通知自2019年4月1日起执行。</w:t>
            </w:r>
            <w:r>
              <w:rPr>
                <w:rFonts w:hint="eastAsia" w:ascii="仿宋" w:hAnsi="仿宋" w:eastAsia="仿宋" w:cs="宋体"/>
                <w:color w:val="auto"/>
                <w:sz w:val="24"/>
                <w:szCs w:val="24"/>
                <w:highlight w:val="none"/>
              </w:rPr>
              <w:t>《财政部 生态环境部关于调整公布第二十二期环境标志产品政府采购清单的通知》（财库〔2018〕70号）和《财政部 国家发展改革委关于调整公布第二十四期节能产品政府采购清单的通知》（财库〔2018〕73号）同时停止执行。</w:t>
            </w:r>
          </w:p>
          <w:p w14:paraId="0CB7033A">
            <w:pPr>
              <w:autoSpaceDN w:val="0"/>
              <w:spacing w:line="360" w:lineRule="auto"/>
              <w:jc w:val="righ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财政部 发展改革委 生态环境部 市场监管总局</w:t>
            </w:r>
          </w:p>
          <w:p w14:paraId="6E5E1488">
            <w:pPr>
              <w:autoSpaceDN w:val="0"/>
              <w:spacing w:line="360" w:lineRule="auto"/>
              <w:jc w:val="right"/>
              <w:rPr>
                <w:rFonts w:ascii="仿宋" w:hAnsi="仿宋" w:eastAsia="仿宋" w:cs="宋体"/>
                <w:color w:val="auto"/>
                <w:kern w:val="0"/>
                <w:sz w:val="24"/>
                <w:szCs w:val="24"/>
                <w:highlight w:val="none"/>
              </w:rPr>
            </w:pPr>
            <w:r>
              <w:rPr>
                <w:rFonts w:hint="eastAsia" w:ascii="仿宋" w:hAnsi="仿宋" w:eastAsia="仿宋" w:cs="宋体"/>
                <w:color w:val="auto"/>
                <w:sz w:val="24"/>
                <w:szCs w:val="24"/>
                <w:highlight w:val="none"/>
              </w:rPr>
              <w:t>2019年2月1日</w:t>
            </w:r>
          </w:p>
        </w:tc>
      </w:tr>
    </w:tbl>
    <w:p w14:paraId="3FC09EBA">
      <w:pPr>
        <w:widowControl/>
        <w:shd w:val="clear" w:color="auto" w:fill="FFFFFF"/>
        <w:autoSpaceDN w:val="0"/>
        <w:spacing w:line="360" w:lineRule="auto"/>
        <w:jc w:val="center"/>
        <w:textAlignment w:val="baseline"/>
        <w:rPr>
          <w:rFonts w:ascii="仿宋" w:hAnsi="仿宋" w:eastAsia="仿宋" w:cs="宋体"/>
          <w:color w:val="auto"/>
          <w:kern w:val="0"/>
          <w:sz w:val="24"/>
          <w:szCs w:val="24"/>
          <w:highlight w:val="none"/>
        </w:rPr>
      </w:pPr>
    </w:p>
    <w:p w14:paraId="453DAF71">
      <w:pPr>
        <w:widowControl/>
        <w:autoSpaceDN w:val="0"/>
        <w:spacing w:line="360" w:lineRule="auto"/>
        <w:jc w:val="right"/>
        <w:rPr>
          <w:rFonts w:ascii="仿宋" w:hAnsi="仿宋" w:eastAsia="仿宋" w:cs="宋体"/>
          <w:color w:val="auto"/>
          <w:kern w:val="0"/>
          <w:sz w:val="24"/>
          <w:szCs w:val="24"/>
          <w:highlight w:val="none"/>
        </w:rPr>
      </w:pPr>
    </w:p>
    <w:p w14:paraId="6FF3F7DA">
      <w:pPr>
        <w:keepNext/>
        <w:keepLines/>
        <w:autoSpaceDN w:val="0"/>
        <w:spacing w:before="240" w:line="360" w:lineRule="auto"/>
        <w:jc w:val="left"/>
        <w:outlineLvl w:val="2"/>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br w:type="page"/>
      </w:r>
      <w:bookmarkStart w:id="156" w:name="_Toc7492526"/>
      <w:bookmarkStart w:id="157" w:name="_Toc20358290"/>
      <w:bookmarkStart w:id="158" w:name="_Toc25765008"/>
      <w:bookmarkStart w:id="159" w:name="_Toc7574703"/>
      <w:bookmarkStart w:id="160" w:name="_Toc10432456"/>
      <w:bookmarkStart w:id="161" w:name="_Toc7542914"/>
      <w:bookmarkStart w:id="162" w:name="_Toc7993639"/>
      <w:bookmarkStart w:id="163" w:name="_Toc17428252"/>
      <w:bookmarkStart w:id="164" w:name="_Toc17428347"/>
      <w:bookmarkStart w:id="165" w:name="_Toc7664195"/>
      <w:bookmarkStart w:id="166" w:name="_Toc7988473"/>
      <w:bookmarkStart w:id="167" w:name="_Toc7988419"/>
      <w:bookmarkStart w:id="168" w:name="_Toc8007003"/>
      <w:bookmarkStart w:id="169" w:name="_Toc7488757"/>
      <w:bookmarkStart w:id="170" w:name="_Toc24471816"/>
      <w:bookmarkStart w:id="171" w:name="_Toc7668948"/>
      <w:bookmarkStart w:id="172" w:name="_Toc7663595"/>
      <w:r>
        <w:rPr>
          <w:rFonts w:hint="eastAsia" w:ascii="仿宋" w:hAnsi="仿宋" w:eastAsia="仿宋" w:cs="宋体"/>
          <w:b/>
          <w:bCs/>
          <w:color w:val="auto"/>
          <w:kern w:val="0"/>
          <w:sz w:val="24"/>
          <w:szCs w:val="24"/>
          <w:highlight w:val="none"/>
        </w:rPr>
        <w:t>二、关于印发节能产品政府采购品目清单的通知（财库〔2019〕19号）</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tbl>
      <w:tblPr>
        <w:tblStyle w:val="61"/>
        <w:tblW w:w="8970" w:type="dxa"/>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8970"/>
      </w:tblGrid>
      <w:tr w14:paraId="4F05EF37">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8969" w:type="dxa"/>
            <w:tcBorders>
              <w:top w:val="thinThickSmallGap" w:color="0070C0" w:sz="18" w:space="0"/>
              <w:left w:val="thinThickSmallGap" w:color="0070C0" w:sz="18" w:space="0"/>
              <w:bottom w:val="thinThickSmallGap" w:color="0070C0" w:sz="18" w:space="0"/>
              <w:right w:val="thinThickSmallGap" w:color="0070C0" w:sz="18" w:space="0"/>
            </w:tcBorders>
            <w:noWrap/>
          </w:tcPr>
          <w:p w14:paraId="72C4DCF5">
            <w:pPr>
              <w:widowControl/>
              <w:autoSpaceDN w:val="0"/>
              <w:spacing w:line="360" w:lineRule="auto"/>
              <w:jc w:val="center"/>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关于印发节能产品政府采购品目清单的通知</w:t>
            </w:r>
          </w:p>
          <w:p w14:paraId="0BD9BD90">
            <w:pPr>
              <w:widowControl/>
              <w:autoSpaceDN w:val="0"/>
              <w:spacing w:line="360" w:lineRule="auto"/>
              <w:jc w:val="center"/>
              <w:rPr>
                <w:rFonts w:ascii="仿宋" w:hAnsi="仿宋" w:eastAsia="仿宋" w:cs="宋体"/>
                <w:color w:val="auto"/>
                <w:kern w:val="0"/>
                <w:sz w:val="24"/>
                <w:szCs w:val="24"/>
                <w:highlight w:val="none"/>
              </w:rPr>
            </w:pPr>
            <w:r>
              <w:rPr>
                <w:rFonts w:hint="eastAsia" w:ascii="仿宋" w:hAnsi="仿宋" w:eastAsia="仿宋" w:cs="宋体"/>
                <w:b/>
                <w:color w:val="auto"/>
                <w:kern w:val="0"/>
                <w:sz w:val="24"/>
                <w:szCs w:val="24"/>
                <w:highlight w:val="none"/>
              </w:rPr>
              <w:t>财库〔2019〕19号</w:t>
            </w:r>
          </w:p>
          <w:p w14:paraId="19D7754E">
            <w:pPr>
              <w:widowControl/>
              <w:autoSpaceDN w:val="0"/>
              <w:spacing w:line="360" w:lineRule="auto"/>
              <w:jc w:val="center"/>
              <w:rPr>
                <w:rFonts w:ascii="仿宋" w:hAnsi="仿宋" w:eastAsia="仿宋" w:cs="宋体"/>
                <w:color w:val="auto"/>
                <w:kern w:val="0"/>
                <w:sz w:val="24"/>
                <w:szCs w:val="24"/>
                <w:highlight w:val="none"/>
              </w:rPr>
            </w:pPr>
          </w:p>
          <w:p w14:paraId="2E97EA21">
            <w:pPr>
              <w:widowControl/>
              <w:autoSpaceDN w:val="0"/>
              <w:spacing w:line="360" w:lineRule="auto"/>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有关中央预算单位，各省、自治区、直辖市、计划单列市财政厅（局）、发展改革委（经信委、工信委、工信厅、经信局），新疆生产建设兵团财政局、发展改革委：</w:t>
            </w:r>
          </w:p>
          <w:p w14:paraId="797E5DF0">
            <w:pPr>
              <w:widowControl/>
              <w:autoSpaceDN w:val="0"/>
              <w:spacing w:line="360" w:lineRule="auto"/>
              <w:jc w:val="left"/>
              <w:rPr>
                <w:rFonts w:ascii="仿宋" w:hAnsi="仿宋" w:eastAsia="仿宋" w:cs="宋体"/>
                <w:color w:val="auto"/>
                <w:kern w:val="0"/>
                <w:sz w:val="24"/>
                <w:szCs w:val="24"/>
                <w:highlight w:val="none"/>
              </w:rPr>
            </w:pPr>
          </w:p>
          <w:p w14:paraId="39209A76">
            <w:pPr>
              <w:widowControl/>
              <w:autoSpaceDN w:val="0"/>
              <w:spacing w:line="360" w:lineRule="auto"/>
              <w:ind w:firstLine="484" w:firstLineChars="202"/>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根据《财政部发展改革委</w:t>
            </w:r>
            <w:r>
              <w:rPr>
                <w:rFonts w:hint="eastAsia" w:ascii="宋体" w:hAnsi="宋体" w:eastAsia="仿宋" w:cs="宋体"/>
                <w:color w:val="auto"/>
                <w:kern w:val="0"/>
                <w:sz w:val="24"/>
                <w:szCs w:val="24"/>
                <w:highlight w:val="none"/>
              </w:rPr>
              <w:t> </w:t>
            </w:r>
            <w:r>
              <w:rPr>
                <w:rFonts w:hint="eastAsia" w:ascii="仿宋" w:hAnsi="仿宋" w:eastAsia="仿宋" w:cs="宋体"/>
                <w:color w:val="auto"/>
                <w:kern w:val="0"/>
                <w:sz w:val="24"/>
                <w:szCs w:val="24"/>
                <w:highlight w:val="none"/>
              </w:rPr>
              <w:t>生态环境部</w:t>
            </w:r>
            <w:r>
              <w:rPr>
                <w:rFonts w:hint="eastAsia" w:ascii="宋体" w:hAnsi="宋体" w:eastAsia="仿宋" w:cs="宋体"/>
                <w:color w:val="auto"/>
                <w:kern w:val="0"/>
                <w:sz w:val="24"/>
                <w:szCs w:val="24"/>
                <w:highlight w:val="none"/>
              </w:rPr>
              <w:t> </w:t>
            </w:r>
            <w:r>
              <w:rPr>
                <w:rFonts w:hint="eastAsia" w:ascii="仿宋" w:hAnsi="仿宋" w:eastAsia="仿宋" w:cs="宋体"/>
                <w:color w:val="auto"/>
                <w:kern w:val="0"/>
                <w:sz w:val="24"/>
                <w:szCs w:val="24"/>
                <w:highlight w:val="none"/>
              </w:rPr>
              <w:t>市场监管总局关于调整优化节能产品</w:t>
            </w:r>
            <w:r>
              <w:rPr>
                <w:rFonts w:hint="eastAsia" w:ascii="宋体" w:hAnsi="宋体" w:eastAsia="仿宋" w:cs="宋体"/>
                <w:color w:val="auto"/>
                <w:kern w:val="0"/>
                <w:sz w:val="24"/>
                <w:szCs w:val="24"/>
                <w:highlight w:val="none"/>
              </w:rPr>
              <w:t> </w:t>
            </w:r>
            <w:r>
              <w:rPr>
                <w:rFonts w:hint="eastAsia" w:ascii="仿宋" w:hAnsi="仿宋" w:eastAsia="仿宋" w:cs="宋体"/>
                <w:color w:val="auto"/>
                <w:kern w:val="0"/>
                <w:sz w:val="24"/>
                <w:szCs w:val="24"/>
                <w:highlight w:val="none"/>
              </w:rPr>
              <w:t>环境标志产品政府采购执行机制的通知》（财库〔2019〕9号），我们研究制定节能产品政府采购品目清单，现印发给你们，请遵照执行。</w:t>
            </w:r>
          </w:p>
          <w:p w14:paraId="3D056627">
            <w:pPr>
              <w:widowControl/>
              <w:autoSpaceDN w:val="0"/>
              <w:spacing w:line="360" w:lineRule="auto"/>
              <w:jc w:val="left"/>
              <w:rPr>
                <w:rFonts w:ascii="仿宋" w:hAnsi="仿宋" w:eastAsia="仿宋" w:cs="宋体"/>
                <w:color w:val="auto"/>
                <w:kern w:val="0"/>
                <w:sz w:val="24"/>
                <w:szCs w:val="24"/>
                <w:highlight w:val="none"/>
              </w:rPr>
            </w:pPr>
          </w:p>
          <w:p w14:paraId="67A58636">
            <w:pPr>
              <w:widowControl/>
              <w:autoSpaceDN w:val="0"/>
              <w:spacing w:line="360" w:lineRule="auto"/>
              <w:jc w:val="left"/>
              <w:rPr>
                <w:rFonts w:ascii="仿宋" w:hAnsi="仿宋" w:eastAsia="仿宋" w:cs="宋体"/>
                <w:color w:val="auto"/>
                <w:kern w:val="0"/>
                <w:sz w:val="24"/>
                <w:szCs w:val="24"/>
                <w:highlight w:val="none"/>
              </w:rPr>
            </w:pPr>
          </w:p>
          <w:p w14:paraId="04BEBB3C">
            <w:pPr>
              <w:widowControl/>
              <w:autoSpaceDN w:val="0"/>
              <w:spacing w:line="360" w:lineRule="auto"/>
              <w:jc w:val="left"/>
              <w:rPr>
                <w:rFonts w:ascii="仿宋" w:hAnsi="仿宋" w:eastAsia="仿宋" w:cs="宋体"/>
                <w:color w:val="auto"/>
                <w:kern w:val="0"/>
                <w:sz w:val="24"/>
                <w:szCs w:val="24"/>
                <w:highlight w:val="none"/>
              </w:rPr>
            </w:pPr>
          </w:p>
          <w:p w14:paraId="564E38EB">
            <w:pPr>
              <w:widowControl/>
              <w:autoSpaceDN w:val="0"/>
              <w:spacing w:line="360" w:lineRule="auto"/>
              <w:jc w:val="left"/>
              <w:rPr>
                <w:rFonts w:ascii="仿宋" w:hAnsi="仿宋" w:eastAsia="仿宋" w:cs="宋体"/>
                <w:color w:val="auto"/>
                <w:kern w:val="0"/>
                <w:sz w:val="24"/>
                <w:szCs w:val="24"/>
                <w:highlight w:val="none"/>
              </w:rPr>
            </w:pPr>
          </w:p>
          <w:p w14:paraId="5AA9D118">
            <w:pPr>
              <w:widowControl/>
              <w:autoSpaceDN w:val="0"/>
              <w:spacing w:line="360" w:lineRule="auto"/>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附件：节能产品政府采购品目清单</w:t>
            </w:r>
          </w:p>
          <w:p w14:paraId="4B44ECD3">
            <w:pPr>
              <w:widowControl/>
              <w:autoSpaceDN w:val="0"/>
              <w:spacing w:line="360" w:lineRule="auto"/>
              <w:jc w:val="left"/>
              <w:rPr>
                <w:rFonts w:ascii="仿宋" w:hAnsi="仿宋" w:eastAsia="仿宋" w:cs="宋体"/>
                <w:color w:val="auto"/>
                <w:kern w:val="0"/>
                <w:sz w:val="24"/>
                <w:szCs w:val="24"/>
                <w:highlight w:val="none"/>
              </w:rPr>
            </w:pPr>
          </w:p>
          <w:p w14:paraId="43296E73">
            <w:pPr>
              <w:widowControl/>
              <w:autoSpaceDN w:val="0"/>
              <w:spacing w:line="360" w:lineRule="auto"/>
              <w:jc w:val="left"/>
              <w:rPr>
                <w:rFonts w:ascii="仿宋" w:hAnsi="仿宋" w:eastAsia="仿宋" w:cs="宋体"/>
                <w:color w:val="auto"/>
                <w:kern w:val="0"/>
                <w:sz w:val="24"/>
                <w:szCs w:val="24"/>
                <w:highlight w:val="none"/>
              </w:rPr>
            </w:pPr>
          </w:p>
          <w:p w14:paraId="156D5730">
            <w:pPr>
              <w:widowControl/>
              <w:autoSpaceDN w:val="0"/>
              <w:spacing w:line="360" w:lineRule="auto"/>
              <w:jc w:val="righ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财政部发展改革委</w:t>
            </w:r>
          </w:p>
          <w:p w14:paraId="0D2B2196">
            <w:pPr>
              <w:widowControl/>
              <w:autoSpaceDN w:val="0"/>
              <w:spacing w:line="360" w:lineRule="auto"/>
              <w:jc w:val="right"/>
              <w:rPr>
                <w:rFonts w:ascii="仿宋" w:hAnsi="仿宋" w:eastAsia="仿宋" w:cs="宋体"/>
                <w:b/>
                <w:color w:val="auto"/>
                <w:kern w:val="0"/>
                <w:sz w:val="24"/>
                <w:szCs w:val="24"/>
                <w:highlight w:val="none"/>
              </w:rPr>
            </w:pPr>
            <w:r>
              <w:rPr>
                <w:rFonts w:hint="eastAsia" w:ascii="仿宋" w:hAnsi="仿宋" w:eastAsia="仿宋" w:cs="宋体"/>
                <w:color w:val="auto"/>
                <w:kern w:val="0"/>
                <w:sz w:val="24"/>
                <w:szCs w:val="24"/>
                <w:highlight w:val="none"/>
              </w:rPr>
              <w:t>2019年4月2日</w:t>
            </w:r>
          </w:p>
        </w:tc>
      </w:tr>
    </w:tbl>
    <w:p w14:paraId="4A42B456">
      <w:pPr>
        <w:keepNext/>
        <w:keepLines/>
        <w:autoSpaceDN w:val="0"/>
        <w:spacing w:before="240" w:line="360" w:lineRule="auto"/>
        <w:jc w:val="left"/>
        <w:outlineLvl w:val="3"/>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br w:type="page"/>
      </w:r>
      <w:r>
        <w:rPr>
          <w:rFonts w:hint="eastAsia" w:ascii="仿宋" w:hAnsi="仿宋" w:eastAsia="仿宋" w:cs="宋体"/>
          <w:b/>
          <w:bCs/>
          <w:color w:val="auto"/>
          <w:sz w:val="24"/>
          <w:szCs w:val="24"/>
          <w:highlight w:val="none"/>
        </w:rPr>
        <w:t>附：节能产品政府采购品目清单</w:t>
      </w:r>
    </w:p>
    <w:tbl>
      <w:tblPr>
        <w:tblStyle w:val="61"/>
        <w:tblW w:w="9390" w:type="dxa"/>
        <w:tblInd w:w="-295"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71"/>
        <w:gridCol w:w="1857"/>
        <w:gridCol w:w="2267"/>
        <w:gridCol w:w="1549"/>
        <w:gridCol w:w="3046"/>
      </w:tblGrid>
      <w:tr w14:paraId="060BA9B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672" w:type="dxa"/>
            <w:tcBorders>
              <w:top w:val="thinThickSmallGap" w:color="0070C0" w:sz="18" w:space="0"/>
              <w:left w:val="thinThickSmallGap" w:color="0070C0" w:sz="18" w:space="0"/>
              <w:bottom w:val="single" w:color="0070C0" w:sz="6" w:space="0"/>
              <w:right w:val="single" w:color="0070C0" w:sz="6" w:space="0"/>
            </w:tcBorders>
            <w:shd w:val="clear" w:color="auto" w:fill="DAEEF3"/>
            <w:noWrap/>
            <w:vAlign w:val="center"/>
          </w:tcPr>
          <w:p w14:paraId="6E97FEEA">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品目序号</w:t>
            </w:r>
          </w:p>
        </w:tc>
        <w:tc>
          <w:tcPr>
            <w:tcW w:w="5676" w:type="dxa"/>
            <w:gridSpan w:val="3"/>
            <w:tcBorders>
              <w:top w:val="thinThickSmallGap" w:color="0070C0" w:sz="18" w:space="0"/>
              <w:left w:val="single" w:color="0070C0" w:sz="6" w:space="0"/>
              <w:bottom w:val="single" w:color="0070C0" w:sz="6" w:space="0"/>
              <w:right w:val="single" w:color="0070C0" w:sz="6" w:space="0"/>
            </w:tcBorders>
            <w:shd w:val="clear" w:color="auto" w:fill="DAEEF3"/>
            <w:noWrap/>
            <w:vAlign w:val="center"/>
          </w:tcPr>
          <w:p w14:paraId="7E756FCC">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名称</w:t>
            </w:r>
          </w:p>
        </w:tc>
        <w:tc>
          <w:tcPr>
            <w:tcW w:w="3048" w:type="dxa"/>
            <w:tcBorders>
              <w:top w:val="thinThickSmallGap" w:color="0070C0" w:sz="18" w:space="0"/>
              <w:left w:val="single" w:color="0070C0" w:sz="6" w:space="0"/>
              <w:bottom w:val="single" w:color="0070C0" w:sz="6" w:space="0"/>
              <w:right w:val="thickThinSmallGap" w:color="0070C0" w:sz="18" w:space="0"/>
            </w:tcBorders>
            <w:shd w:val="clear" w:color="auto" w:fill="DAEEF3"/>
            <w:noWrap/>
            <w:vAlign w:val="center"/>
          </w:tcPr>
          <w:p w14:paraId="287C5C1A">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依据的标准</w:t>
            </w:r>
          </w:p>
        </w:tc>
      </w:tr>
      <w:tr w14:paraId="3B87D1D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6A3AF9C8">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14:paraId="144770F4">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A020101计算机设备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B5493C8">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A02010104台式计算机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343719D7">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5582E704">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《微型计算机能效限定值及能效等级》（GB 28380）</w:t>
            </w:r>
          </w:p>
        </w:tc>
      </w:tr>
      <w:tr w14:paraId="01B6D5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78F9270A">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38F96AA4">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7DEFFDA">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A02010105便携式计算</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146A7A5B">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5A283489">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《微型计算机能效限定值及能效等级》（GB 28380）</w:t>
            </w:r>
          </w:p>
        </w:tc>
      </w:tr>
      <w:tr w14:paraId="5010242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2DD79B60">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681D2745">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5ED9C32">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A02010107平板式微型计算机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06E4809A">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79EEA32D">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《微型计算机能效限定值及能效等级》（GB 28380）</w:t>
            </w:r>
          </w:p>
        </w:tc>
      </w:tr>
      <w:tr w14:paraId="31D4A3E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637B71C0">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14:paraId="417BE4E3">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A020106输入输出设备</w:t>
            </w: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6E1649AE">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A02010601打印设备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2372D6FC">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A0201060101喷墨打印机</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7814F48A">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《复印机、打印机和传真机能效限定值及能效等级》（GB 21521）</w:t>
            </w:r>
          </w:p>
        </w:tc>
      </w:tr>
      <w:tr w14:paraId="2760736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2AA0E333">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5AFB47F2">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13F3230C">
            <w:pPr>
              <w:widowControl/>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06FD20D1">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A0201060102激光打印机</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739297B7">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《复印机、打印机和传真机能效限定值及能效等级》（GB 21521）</w:t>
            </w:r>
          </w:p>
        </w:tc>
      </w:tr>
      <w:tr w14:paraId="7EE34C6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06E670A5">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3F07E3B6">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41A28F64">
            <w:pPr>
              <w:widowControl/>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18F5A346">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A0201060104针式打印机</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4B06AE5E">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《复印机、打印机和传真机能效限定值及能效等级》（GB 21521）</w:t>
            </w:r>
          </w:p>
        </w:tc>
      </w:tr>
      <w:tr w14:paraId="49D4D48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5154B4F7">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2B3E202C">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A9A4475">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A02010604显示设备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46AC791B">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A0201060401液晶显示器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50A2FE23">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《计算机显示器能效限定值及能效等级》（GB 21520）</w:t>
            </w:r>
          </w:p>
        </w:tc>
      </w:tr>
      <w:tr w14:paraId="375AD78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02EE256D">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16C49DCE">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0F31728">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A02010609图形图像输入设备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5AC0869E">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A0201060901扫描仪</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7994C1E4">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参照《复印机、打印机和传真机能效限定值及能效等级》（GB 21521中打印速度为 15 页/分的针式打印机相关要求</w:t>
            </w:r>
          </w:p>
        </w:tc>
      </w:tr>
      <w:tr w14:paraId="3F0B78B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2753317D">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3</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42F7BCF2">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A020202投影仪</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79CB461">
            <w:pPr>
              <w:autoSpaceDN w:val="0"/>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365A8D37">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4F68383D">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《投影机能效限定值及能效等级（GB 32028）</w:t>
            </w:r>
          </w:p>
        </w:tc>
      </w:tr>
      <w:tr w14:paraId="308C7A6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47F51425">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4</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662E933C">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A020204多功能一体机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E1C168D">
            <w:pPr>
              <w:autoSpaceDN w:val="0"/>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60973096">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001558A9">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《复印机、打印机和传真机能效限定值及能效等级》（GB 21521）</w:t>
            </w:r>
          </w:p>
        </w:tc>
      </w:tr>
      <w:tr w14:paraId="14503EC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44079051">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5</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0BD8F213">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A020519泵</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265FC11">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A02051901离心泵</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5FDDFDA3">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3BF9BEF2">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《清水离心泵能效限定值及节能评价值》（GB 19762）</w:t>
            </w:r>
          </w:p>
        </w:tc>
      </w:tr>
      <w:tr w14:paraId="07B3EE3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5EFB2BA5">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6</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14:paraId="24F50DA4">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A020523制冷空调设备</w:t>
            </w: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2A77F549">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A02052301制冷压缩机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0D581D75">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冷水机组</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26C2A1CC">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《冷水机组能效限定值及能效等级》（GB 19577），《低环境温度空气源热泵（冷水）机组能效限定值及能效等级》（GB 37480）</w:t>
            </w:r>
          </w:p>
        </w:tc>
      </w:tr>
      <w:tr w14:paraId="0A5C6F4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42341D3F">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6A287680">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037EBFCA">
            <w:pPr>
              <w:widowControl/>
              <w:jc w:val="left"/>
              <w:rPr>
                <w:rFonts w:ascii="仿宋" w:hAnsi="仿宋" w:eastAsia="仿宋" w:cs="宋体"/>
                <w:b/>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12537B06">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水源热泵机组</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4B0583B5">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《水（地）源热泵机组能效限定值及能效等级》（GB 30721）</w:t>
            </w:r>
          </w:p>
        </w:tc>
      </w:tr>
      <w:tr w14:paraId="1709E67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27C91BCA">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68D0F532">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4BE2F3E2">
            <w:pPr>
              <w:widowControl/>
              <w:jc w:val="left"/>
              <w:rPr>
                <w:rFonts w:ascii="仿宋" w:hAnsi="仿宋" w:eastAsia="仿宋" w:cs="宋体"/>
                <w:b/>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049097F9">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溴化锂吸收式冷水机组</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48FC6A7F">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《溴化锂吸收式冷水机组能效限定值及能效等级》（GB 29540）</w:t>
            </w:r>
          </w:p>
        </w:tc>
      </w:tr>
      <w:tr w14:paraId="203A074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2B2117E6">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45479131">
            <w:pPr>
              <w:widowControl/>
              <w:jc w:val="left"/>
              <w:rPr>
                <w:rFonts w:ascii="仿宋" w:hAnsi="仿宋" w:eastAsia="仿宋" w:cs="宋体"/>
                <w:color w:val="auto"/>
                <w:w w:val="90"/>
                <w:sz w:val="24"/>
                <w:szCs w:val="24"/>
                <w:highlight w:val="none"/>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13B9D670">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A02052305 空调机组</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68FC7D4A">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多联式空调（热泵）机组(制冷量&gt;14000W)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2C463C82">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《多联式空调（热泵）机组能效限定值及能源效率等级》（GB 21454</w:t>
            </w:r>
          </w:p>
        </w:tc>
      </w:tr>
      <w:tr w14:paraId="34B602B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255A2487">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6B29E61C">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154DD4B8">
            <w:pPr>
              <w:widowControl/>
              <w:jc w:val="left"/>
              <w:rPr>
                <w:rFonts w:ascii="仿宋" w:hAnsi="仿宋" w:eastAsia="仿宋" w:cs="宋体"/>
                <w:b/>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398E924E">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单元式空气调节机(制冷量&gt;14000W)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4F9AE95B">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《单元式空气调节机能效限定值及能效等级》（GB 19576）《风管送风式空调机组能效限定值及能效等级》（GB 37479）</w:t>
            </w:r>
          </w:p>
        </w:tc>
      </w:tr>
      <w:tr w14:paraId="5925112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3D51C078">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1DD4C1FB">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F0C7D4B">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A02052309 专用制冷、空调设备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4F4764BD">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机房空调</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4C7DBD65">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《单元式空气调节机能效限定值及能效等级》（GB 19576）</w:t>
            </w:r>
          </w:p>
        </w:tc>
      </w:tr>
      <w:tr w14:paraId="4FB38BF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52D3D426">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7002ECE1">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C1EDE91">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A02052399 其他制冷空调设备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022F8555">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冷却塔</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760D7469">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《机械通风冷却塔 第 1 部分：中小型开式冷却塔》（GB /T 7190.1）</w:t>
            </w:r>
          </w:p>
          <w:p w14:paraId="34AF59E8">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《机械通风冷却塔 第 2 部分：大型开式冷却塔》（GB /T 7190.2</w:t>
            </w:r>
          </w:p>
        </w:tc>
      </w:tr>
      <w:tr w14:paraId="6E37126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6207A098">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7</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74E6B17C">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A020601电机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D620F20">
            <w:pPr>
              <w:autoSpaceDN w:val="0"/>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17B8DBCB">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1534DCB4">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《中小型三相异步电动机能效限定值及能效等级》（GB 18613）</w:t>
            </w:r>
          </w:p>
        </w:tc>
      </w:tr>
      <w:tr w14:paraId="0573D57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0CC5BE35">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8</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0E8E32DE">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A020602变压器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01F24BA">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配电变压器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44A01810">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70EA54A8">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《三相配电变压器能效限定值及能效等级》（GB 20052）</w:t>
            </w:r>
          </w:p>
        </w:tc>
      </w:tr>
      <w:tr w14:paraId="03A3565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20B8A718">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9</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477691BA">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A020609 镇流器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CCBCFA5">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管型荧光灯镇流器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3E62EF4A">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0F473145">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《管形荧光灯镇流器能效限定值及能效等级》（GB 17896）</w:t>
            </w:r>
          </w:p>
        </w:tc>
      </w:tr>
      <w:tr w14:paraId="19FA753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407C1846">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10</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14:paraId="47FD7460">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 生活用电器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5C5910B">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A0206180101 电冰箱</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7F63A8C6">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473480C6">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《家用电冰箱耗电量限定值及能效等级》（GB</w:t>
            </w:r>
            <w:r>
              <w:rPr>
                <w:rFonts w:hint="eastAsia" w:ascii="仿宋" w:hAnsi="仿宋" w:eastAsia="仿宋" w:cs="宋体"/>
                <w:color w:val="auto"/>
                <w:w w:val="90"/>
                <w:sz w:val="24"/>
                <w:szCs w:val="24"/>
                <w:highlight w:val="none"/>
              </w:rPr>
              <w:tab/>
            </w:r>
            <w:r>
              <w:rPr>
                <w:rFonts w:hint="eastAsia" w:ascii="仿宋" w:hAnsi="仿宋" w:eastAsia="仿宋" w:cs="宋体"/>
                <w:color w:val="auto"/>
                <w:w w:val="90"/>
                <w:sz w:val="24"/>
                <w:szCs w:val="24"/>
                <w:highlight w:val="none"/>
              </w:rPr>
              <w:t>12021.2）</w:t>
            </w:r>
          </w:p>
        </w:tc>
      </w:tr>
      <w:tr w14:paraId="5957CF8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1825254A">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0CEBB467">
            <w:pPr>
              <w:widowControl/>
              <w:jc w:val="left"/>
              <w:rPr>
                <w:rFonts w:ascii="仿宋" w:hAnsi="仿宋" w:eastAsia="仿宋" w:cs="宋体"/>
                <w:color w:val="auto"/>
                <w:w w:val="90"/>
                <w:sz w:val="24"/>
                <w:szCs w:val="24"/>
                <w:highlight w:val="none"/>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518976ED">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A0206180203 空调机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43B32E7D">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房间空气调节器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791DB01D">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《转速可控型房间空气调节器能效限定值及能效等级》（GB21455-2013），待 2019 年修订发布后，按《房间空气调节器能效限定值及能效等级》（GB21455-2019</w:t>
            </w:r>
          </w:p>
          <w:p w14:paraId="336DC57F">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实施。</w:t>
            </w:r>
          </w:p>
        </w:tc>
      </w:tr>
      <w:tr w14:paraId="2955FFB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2099741D">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45892D3A">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6EA32407">
            <w:pPr>
              <w:widowControl/>
              <w:jc w:val="left"/>
              <w:rPr>
                <w:rFonts w:ascii="仿宋" w:hAnsi="仿宋" w:eastAsia="仿宋" w:cs="宋体"/>
                <w:b/>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36E341C9">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多联式空调（热泵）机组（制冷量≤ 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6EB7A900">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《多联式空调（热泵）机组能效限定值及能源效率等级》（GB 21454</w:t>
            </w:r>
          </w:p>
        </w:tc>
      </w:tr>
      <w:tr w14:paraId="5EC406C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1598F95E">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11B5C226">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7858F61D">
            <w:pPr>
              <w:widowControl/>
              <w:jc w:val="left"/>
              <w:rPr>
                <w:rFonts w:ascii="仿宋" w:hAnsi="仿宋" w:eastAsia="仿宋" w:cs="宋体"/>
                <w:b/>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72290657">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单元式空气调节机(制冷量≤14000W)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2023CAF2">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《单元式空气调节机能效限定值及能源效率等级》（GB 19576）《风管送风式空调机组能效限定值及</w:t>
            </w:r>
          </w:p>
          <w:p w14:paraId="59512927">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能效等级》（GB 37479）</w:t>
            </w:r>
          </w:p>
        </w:tc>
      </w:tr>
      <w:tr w14:paraId="6997738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558C4138">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590C0F9B">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4B5CABA">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A0206180301洗衣机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4D49D4A2">
            <w:pPr>
              <w:autoSpaceDN w:val="0"/>
              <w:jc w:val="left"/>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245EF5D3">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《电动洗衣机能效水效限定值及等级》（GB 12021.4）</w:t>
            </w:r>
          </w:p>
        </w:tc>
      </w:tr>
      <w:tr w14:paraId="62DF7C8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3B70515C">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5D96C1D9">
            <w:pPr>
              <w:widowControl/>
              <w:jc w:val="left"/>
              <w:rPr>
                <w:rFonts w:ascii="仿宋" w:hAnsi="仿宋" w:eastAsia="仿宋" w:cs="宋体"/>
                <w:color w:val="auto"/>
                <w:w w:val="90"/>
                <w:sz w:val="24"/>
                <w:szCs w:val="24"/>
                <w:highlight w:val="none"/>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7E21D0C5">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A02061808 热水器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2D814FBC">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电热水器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4968643F">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《储水式电热水器能效限定值及能效等级》（GB</w:t>
            </w:r>
            <w:r>
              <w:rPr>
                <w:rFonts w:hint="eastAsia" w:ascii="仿宋" w:hAnsi="仿宋" w:eastAsia="仿宋" w:cs="宋体"/>
                <w:color w:val="auto"/>
                <w:w w:val="90"/>
                <w:sz w:val="24"/>
                <w:szCs w:val="24"/>
                <w:highlight w:val="none"/>
              </w:rPr>
              <w:tab/>
            </w:r>
            <w:r>
              <w:rPr>
                <w:rFonts w:hint="eastAsia" w:ascii="仿宋" w:hAnsi="仿宋" w:eastAsia="仿宋" w:cs="宋体"/>
                <w:color w:val="auto"/>
                <w:w w:val="90"/>
                <w:sz w:val="24"/>
                <w:szCs w:val="24"/>
                <w:highlight w:val="none"/>
              </w:rPr>
              <w:t>21519）</w:t>
            </w:r>
          </w:p>
        </w:tc>
      </w:tr>
      <w:tr w14:paraId="136605E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384046DA">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12B4BEC4">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062877E9">
            <w:pPr>
              <w:widowControl/>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7CA58DF3">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燃气热水器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29431BAF">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《家用燃气快速热水器和燃气采暖热水炉能效限定值及能效等级（GB 20665）</w:t>
            </w:r>
          </w:p>
        </w:tc>
      </w:tr>
      <w:tr w14:paraId="76F0174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15C84E59">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488B1796">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5389FABD">
            <w:pPr>
              <w:widowControl/>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26A78DD0">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热泵热水器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3565D0C4">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《热泵热水机（器）能效限定值及能效等级》（GB 29541）</w:t>
            </w:r>
          </w:p>
        </w:tc>
      </w:tr>
      <w:tr w14:paraId="20056C0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6156C2D8">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1CD71926">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5FA9F6D4">
            <w:pPr>
              <w:widowControl/>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4433813B">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太阳能热水系统</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1B5DE33F">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《家用太阳能热水系统能效限定值及能效等级》（GB 26969）</w:t>
            </w:r>
          </w:p>
        </w:tc>
      </w:tr>
      <w:tr w14:paraId="25C887B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4BC7631F">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11</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14:paraId="3D8A280E">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A020619 照明设备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9A46EEB">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普通照明用双端荧光灯</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138C8127">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14C679A5">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《普通照明用双端荧光灯能效限定值及能效等级》（GB 19043）</w:t>
            </w:r>
          </w:p>
        </w:tc>
      </w:tr>
      <w:tr w14:paraId="2FCE45E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3D55D389">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249CC154">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CDAD4B3">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LED道路/隧道照明产品</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6CB38AB3">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35503EB5">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《道路和隧道照明用 LED 灯具能效限定值及能效等级》（GB 37478</w:t>
            </w:r>
          </w:p>
        </w:tc>
      </w:tr>
      <w:tr w14:paraId="6EB3A9E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07D0B1A6">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7A9EA28D">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EA7C01B">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LED筒灯</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705C24AE">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0F56EBF6">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《室内照明用LED产品能效限定值及能效等级》（GB 30255）</w:t>
            </w:r>
          </w:p>
        </w:tc>
      </w:tr>
      <w:tr w14:paraId="506DEC2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149EE649">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4BF0688C">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4C6E53E">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普通照明用非定向自镇流LED灯</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3A1107A5">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6B550810">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《室内照明用 LED 产品能效限定值及能效等级》（GB 30255）</w:t>
            </w:r>
          </w:p>
        </w:tc>
      </w:tr>
      <w:tr w14:paraId="75876B3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1C4774AF">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12</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42E9366C">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A020910电视设备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61B5746">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A02091001普通电视设备（电视机）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0BAB3CEB">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02A47786">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《平板电视能效限定值及能效等级》（GB 24850）</w:t>
            </w:r>
          </w:p>
        </w:tc>
      </w:tr>
      <w:tr w14:paraId="16B8500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19427D21">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13</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1B1FA74E">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A020911视频设备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F21FBA7">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A02091107 视频监控设备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3C7226C6">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监视器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0CC0A280">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以射频信号为主要信号输入的监视器应符合《平板电视能效限定值及能效等级》（GB 24850），以数字信号为主要信号输入的监视器应符合《计算机显示器能效限定值及能效等级》（GB 21520）</w:t>
            </w:r>
          </w:p>
        </w:tc>
      </w:tr>
      <w:tr w14:paraId="40736BE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4BE4C199">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14</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0FAEADE4">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A031210饮食炊事机械</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4089BC0">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商用燃气灶具</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51C0164A">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79FADE0E">
            <w:pPr>
              <w:autoSpaceDN w:val="0"/>
              <w:jc w:val="left"/>
              <w:rPr>
                <w:rFonts w:ascii="仿宋" w:hAnsi="仿宋" w:eastAsia="仿宋" w:cs="宋体"/>
                <w:color w:val="auto"/>
                <w:w w:val="90"/>
                <w:sz w:val="24"/>
                <w:szCs w:val="24"/>
                <w:highlight w:val="none"/>
              </w:rPr>
            </w:pPr>
          </w:p>
        </w:tc>
      </w:tr>
      <w:tr w14:paraId="0C2695E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1A1FC44A">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15</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14:paraId="3FB80A4E">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A060805便器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9CA9F92">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坐便器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0C4370C5">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25816A8B">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《坐便器水效限定值及水效等级</w:t>
            </w:r>
          </w:p>
          <w:p w14:paraId="662B2912">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（GB 25502）</w:t>
            </w:r>
          </w:p>
        </w:tc>
      </w:tr>
      <w:tr w14:paraId="33D4B0F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5B320DB6">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4A63AC3D">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2F97633">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蹲便器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3B1A3739">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0F09DAB7">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《蹲便器用水效率限定值及用水效率等级》（GB 30717）</w:t>
            </w:r>
          </w:p>
        </w:tc>
      </w:tr>
      <w:tr w14:paraId="07C9FB3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1D8C96FF">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534153D3">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9DFF7DB">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小便器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083661F9">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64E9EAF8">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《小便器用水效率限定值及用水效率等级》（GB 28377）</w:t>
            </w:r>
          </w:p>
        </w:tc>
      </w:tr>
      <w:tr w14:paraId="2D991FD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2CBD0C6A">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16</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0818AFB5">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A060806水嘴</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4167C69">
            <w:pPr>
              <w:autoSpaceDN w:val="0"/>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1CD3E8C0">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6DE1B5CB">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《水嘴用水效率限定值及用水效率等级》（GB 25501）</w:t>
            </w:r>
          </w:p>
        </w:tc>
      </w:tr>
      <w:tr w14:paraId="029FAE3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78B252C5">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17</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282C0DEB">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A060807便器冲洗阀</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1A35A2B">
            <w:pPr>
              <w:autoSpaceDN w:val="0"/>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1337B842">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0EC40302">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《便器冲洗阀用水效率限定值及用水效率等级》（GB 28379）</w:t>
            </w:r>
          </w:p>
        </w:tc>
      </w:tr>
      <w:tr w14:paraId="14AB058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thickThinSmallGap" w:color="0070C0" w:sz="18" w:space="0"/>
              <w:right w:val="single" w:color="0070C0" w:sz="6" w:space="0"/>
            </w:tcBorders>
            <w:noWrap/>
            <w:vAlign w:val="center"/>
          </w:tcPr>
          <w:p w14:paraId="482BF431">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18</w:t>
            </w:r>
          </w:p>
        </w:tc>
        <w:tc>
          <w:tcPr>
            <w:tcW w:w="1858" w:type="dxa"/>
            <w:tcBorders>
              <w:top w:val="single" w:color="0070C0" w:sz="6" w:space="0"/>
              <w:left w:val="single" w:color="0070C0" w:sz="6" w:space="0"/>
              <w:bottom w:val="thickThinSmallGap" w:color="0070C0" w:sz="18" w:space="0"/>
              <w:right w:val="single" w:color="0070C0" w:sz="6" w:space="0"/>
            </w:tcBorders>
            <w:noWrap/>
            <w:vAlign w:val="center"/>
          </w:tcPr>
          <w:p w14:paraId="6F532BC1">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A060810淋浴器</w:t>
            </w:r>
          </w:p>
        </w:tc>
        <w:tc>
          <w:tcPr>
            <w:tcW w:w="2268" w:type="dxa"/>
            <w:tcBorders>
              <w:top w:val="single" w:color="0070C0" w:sz="6" w:space="0"/>
              <w:left w:val="single" w:color="0070C0" w:sz="6" w:space="0"/>
              <w:bottom w:val="thickThinSmallGap" w:color="0070C0" w:sz="18" w:space="0"/>
              <w:right w:val="single" w:color="0070C0" w:sz="6" w:space="0"/>
            </w:tcBorders>
            <w:noWrap/>
            <w:vAlign w:val="center"/>
          </w:tcPr>
          <w:p w14:paraId="2C231B93">
            <w:pPr>
              <w:autoSpaceDN w:val="0"/>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thickThinSmallGap" w:color="0070C0" w:sz="18" w:space="0"/>
              <w:right w:val="single" w:color="0070C0" w:sz="6" w:space="0"/>
            </w:tcBorders>
            <w:noWrap/>
            <w:vAlign w:val="center"/>
          </w:tcPr>
          <w:p w14:paraId="3E5792E8">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thickThinSmallGap" w:color="0070C0" w:sz="18" w:space="0"/>
              <w:right w:val="thickThinSmallGap" w:color="0070C0" w:sz="18" w:space="0"/>
            </w:tcBorders>
            <w:noWrap/>
            <w:vAlign w:val="center"/>
          </w:tcPr>
          <w:p w14:paraId="0AD3DFB4">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《淋浴器用水效率限定值及用水效率等级》（GB 28378）</w:t>
            </w:r>
          </w:p>
        </w:tc>
      </w:tr>
    </w:tbl>
    <w:p w14:paraId="47AF443F">
      <w:pPr>
        <w:autoSpaceDN w:val="0"/>
        <w:spacing w:line="360" w:lineRule="auto"/>
        <w:ind w:left="-850" w:leftChars="-405" w:right="-1050" w:rightChars="-500" w:firstLine="436" w:firstLineChars="201"/>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注：1、节能产品认证应依据相关国家标准的最新版本，依据国家标准中二级能效（水效）指标。</w:t>
      </w:r>
    </w:p>
    <w:p w14:paraId="2A95762F">
      <w:pPr>
        <w:autoSpaceDN w:val="0"/>
        <w:spacing w:line="360" w:lineRule="auto"/>
        <w:ind w:left="-850" w:leftChars="-405" w:right="-1050" w:rightChars="-500" w:firstLine="436" w:firstLineChars="201"/>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2、上述产品中认证标准发生变更的，依据原认证标准获得的、仍在有效期内的认证证书可使用至2019年6月1日。</w:t>
      </w:r>
    </w:p>
    <w:p w14:paraId="37A57CBE">
      <w:pPr>
        <w:autoSpaceDN w:val="0"/>
        <w:spacing w:line="360" w:lineRule="auto"/>
        <w:ind w:left="-850" w:leftChars="-405" w:right="-1050" w:rightChars="-500" w:firstLine="436" w:firstLineChars="201"/>
        <w:rPr>
          <w:rFonts w:ascii="仿宋" w:hAnsi="仿宋" w:eastAsia="仿宋" w:cs="宋体"/>
          <w:color w:val="auto"/>
          <w:sz w:val="24"/>
          <w:szCs w:val="24"/>
          <w:highlight w:val="none"/>
        </w:rPr>
      </w:pPr>
      <w:r>
        <w:rPr>
          <w:rFonts w:hint="eastAsia" w:ascii="仿宋" w:hAnsi="仿宋" w:eastAsia="仿宋" w:cs="宋体"/>
          <w:b/>
          <w:color w:val="auto"/>
          <w:w w:val="90"/>
          <w:sz w:val="24"/>
          <w:szCs w:val="24"/>
          <w:highlight w:val="none"/>
        </w:rPr>
        <w:t>3、以“★”标注的为政府强制采购产品。</w:t>
      </w:r>
    </w:p>
    <w:p w14:paraId="5E7E50DA">
      <w:pPr>
        <w:keepNext/>
        <w:keepLines/>
        <w:autoSpaceDN w:val="0"/>
        <w:spacing w:before="240" w:line="360" w:lineRule="auto"/>
        <w:jc w:val="left"/>
        <w:outlineLvl w:val="2"/>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br w:type="page"/>
      </w:r>
      <w:bookmarkStart w:id="173" w:name="_Toc7668949"/>
      <w:bookmarkStart w:id="174" w:name="_Toc7492527"/>
      <w:bookmarkStart w:id="175" w:name="_Toc7988474"/>
      <w:bookmarkStart w:id="176" w:name="_Toc10432457"/>
      <w:bookmarkStart w:id="177" w:name="_Toc7988420"/>
      <w:bookmarkStart w:id="178" w:name="_Toc7574704"/>
      <w:bookmarkStart w:id="179" w:name="_Toc20358291"/>
      <w:bookmarkStart w:id="180" w:name="_Toc24471817"/>
      <w:bookmarkStart w:id="181" w:name="_Toc7663596"/>
      <w:bookmarkStart w:id="182" w:name="_Toc25765009"/>
      <w:bookmarkStart w:id="183" w:name="_Toc7488758"/>
      <w:bookmarkStart w:id="184" w:name="_Toc7993640"/>
      <w:bookmarkStart w:id="185" w:name="_Toc8007004"/>
      <w:bookmarkStart w:id="186" w:name="_Toc7664196"/>
      <w:bookmarkStart w:id="187" w:name="_Toc17428348"/>
      <w:bookmarkStart w:id="188" w:name="_Toc17428253"/>
      <w:bookmarkStart w:id="189" w:name="_Toc7542915"/>
      <w:r>
        <w:rPr>
          <w:rFonts w:hint="eastAsia" w:ascii="仿宋" w:hAnsi="仿宋" w:eastAsia="仿宋" w:cs="宋体"/>
          <w:b/>
          <w:bCs/>
          <w:color w:val="auto"/>
          <w:kern w:val="0"/>
          <w:sz w:val="24"/>
          <w:szCs w:val="24"/>
          <w:highlight w:val="none"/>
        </w:rPr>
        <w:t>三、关于印发环境标志产品政府采购品目清单的通知（财库〔2019〕18号）</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0D6A2134">
      <w:pPr>
        <w:autoSpaceDN w:val="0"/>
        <w:jc w:val="center"/>
        <w:rPr>
          <w:rFonts w:ascii="仿宋" w:hAnsi="仿宋" w:eastAsia="仿宋" w:cs="宋体"/>
          <w:color w:val="auto"/>
          <w:kern w:val="0"/>
          <w:sz w:val="24"/>
          <w:szCs w:val="24"/>
          <w:highlight w:val="none"/>
        </w:rPr>
      </w:pPr>
    </w:p>
    <w:p w14:paraId="6D3A0D8B">
      <w:pPr>
        <w:autoSpaceDN w:val="0"/>
        <w:jc w:val="center"/>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关于印发环境标志产品政府采购品目清单的通知</w:t>
      </w:r>
    </w:p>
    <w:p w14:paraId="2CDD5123">
      <w:pPr>
        <w:autoSpaceDN w:val="0"/>
        <w:jc w:val="center"/>
        <w:rPr>
          <w:rFonts w:ascii="仿宋" w:hAnsi="仿宋" w:eastAsia="仿宋" w:cs="宋体"/>
          <w:color w:val="auto"/>
          <w:sz w:val="24"/>
          <w:szCs w:val="24"/>
          <w:highlight w:val="none"/>
        </w:rPr>
      </w:pPr>
      <w:r>
        <w:rPr>
          <w:rFonts w:hint="eastAsia" w:ascii="仿宋" w:hAnsi="仿宋" w:eastAsia="仿宋" w:cs="宋体"/>
          <w:b/>
          <w:color w:val="auto"/>
          <w:kern w:val="0"/>
          <w:sz w:val="24"/>
          <w:szCs w:val="24"/>
          <w:highlight w:val="none"/>
        </w:rPr>
        <w:t>财库〔2019〕18号</w:t>
      </w:r>
    </w:p>
    <w:p w14:paraId="24A03842">
      <w:pPr>
        <w:autoSpaceDN w:val="0"/>
        <w:spacing w:line="360" w:lineRule="auto"/>
        <w:rPr>
          <w:rFonts w:ascii="仿宋" w:hAnsi="仿宋" w:eastAsia="仿宋" w:cs="宋体"/>
          <w:color w:val="auto"/>
          <w:kern w:val="0"/>
          <w:sz w:val="24"/>
          <w:szCs w:val="24"/>
          <w:highlight w:val="none"/>
        </w:rPr>
      </w:pPr>
    </w:p>
    <w:p w14:paraId="5D9205B6">
      <w:pPr>
        <w:autoSpaceDN w:val="0"/>
        <w:spacing w:line="360" w:lineRule="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有关中央预算单位，各省、自治区、直辖市、计划单列市财政厅（局）、生态环境厅（局），新疆生产建设兵团财政局、环境保护局：</w:t>
      </w:r>
    </w:p>
    <w:p w14:paraId="6F05B128">
      <w:pPr>
        <w:autoSpaceDN w:val="0"/>
        <w:spacing w:line="360" w:lineRule="auto"/>
        <w:rPr>
          <w:rFonts w:ascii="仿宋" w:hAnsi="仿宋" w:eastAsia="仿宋" w:cs="宋体"/>
          <w:color w:val="auto"/>
          <w:kern w:val="0"/>
          <w:sz w:val="24"/>
          <w:szCs w:val="24"/>
          <w:highlight w:val="none"/>
        </w:rPr>
      </w:pPr>
    </w:p>
    <w:p w14:paraId="4E2EFA09">
      <w:pPr>
        <w:autoSpaceDN w:val="0"/>
        <w:spacing w:line="360" w:lineRule="auto"/>
        <w:ind w:firstLine="484" w:firstLineChars="202"/>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根据《财政部发展改革委 生态环境部 市场监管总局关于调整优化节能产品环境标志产品政府采购执行机制的通知》（财库〔2019〕9号），我们研究制定了环境标志产品政府采购品目清单，现印发给你们，请遵照执行。</w:t>
      </w:r>
    </w:p>
    <w:p w14:paraId="3924CA06">
      <w:pPr>
        <w:autoSpaceDN w:val="0"/>
        <w:spacing w:line="360" w:lineRule="auto"/>
        <w:ind w:firstLine="484" w:firstLineChars="202"/>
        <w:rPr>
          <w:rFonts w:ascii="仿宋" w:hAnsi="仿宋" w:eastAsia="仿宋" w:cs="宋体"/>
          <w:color w:val="auto"/>
          <w:kern w:val="0"/>
          <w:sz w:val="24"/>
          <w:szCs w:val="24"/>
          <w:highlight w:val="none"/>
        </w:rPr>
      </w:pPr>
    </w:p>
    <w:p w14:paraId="5C55C0ED">
      <w:pPr>
        <w:autoSpaceDN w:val="0"/>
        <w:spacing w:line="360" w:lineRule="auto"/>
        <w:ind w:firstLine="336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附件：环境标志产品政府采购品目清单</w:t>
      </w:r>
    </w:p>
    <w:p w14:paraId="00206013">
      <w:pPr>
        <w:autoSpaceDN w:val="0"/>
        <w:spacing w:line="360" w:lineRule="auto"/>
        <w:ind w:firstLine="3360"/>
        <w:rPr>
          <w:rFonts w:ascii="仿宋" w:hAnsi="仿宋" w:eastAsia="仿宋" w:cs="宋体"/>
          <w:color w:val="auto"/>
          <w:kern w:val="0"/>
          <w:sz w:val="24"/>
          <w:szCs w:val="24"/>
          <w:highlight w:val="none"/>
        </w:rPr>
      </w:pPr>
    </w:p>
    <w:p w14:paraId="4D6E00B2">
      <w:pPr>
        <w:autoSpaceDN w:val="0"/>
        <w:spacing w:line="360" w:lineRule="auto"/>
        <w:jc w:val="righ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财政部   生态环境部</w:t>
      </w:r>
    </w:p>
    <w:p w14:paraId="7CCF787C">
      <w:pPr>
        <w:autoSpaceDN w:val="0"/>
        <w:spacing w:line="360" w:lineRule="auto"/>
        <w:jc w:val="righ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2019年3月29日</w:t>
      </w:r>
    </w:p>
    <w:p w14:paraId="1A34CD38">
      <w:pPr>
        <w:keepNext/>
        <w:keepLines/>
        <w:autoSpaceDN w:val="0"/>
        <w:spacing w:before="240" w:line="360" w:lineRule="auto"/>
        <w:jc w:val="left"/>
        <w:outlineLvl w:val="3"/>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br w:type="page"/>
      </w:r>
      <w:r>
        <w:rPr>
          <w:rFonts w:hint="eastAsia" w:ascii="仿宋" w:hAnsi="仿宋" w:eastAsia="仿宋" w:cs="宋体"/>
          <w:b/>
          <w:bCs/>
          <w:color w:val="auto"/>
          <w:sz w:val="24"/>
          <w:szCs w:val="24"/>
          <w:highlight w:val="none"/>
        </w:rPr>
        <w:t>附：环境标志产品政府采购品目清单</w:t>
      </w:r>
    </w:p>
    <w:tbl>
      <w:tblPr>
        <w:tblStyle w:val="61"/>
        <w:tblW w:w="9555" w:type="dxa"/>
        <w:tblInd w:w="-459"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710"/>
        <w:gridCol w:w="1985"/>
        <w:gridCol w:w="2268"/>
        <w:gridCol w:w="1855"/>
        <w:gridCol w:w="2737"/>
      </w:tblGrid>
      <w:tr w14:paraId="531A943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709" w:type="dxa"/>
            <w:tcBorders>
              <w:top w:val="thinThickSmallGap" w:color="0070C0" w:sz="18" w:space="0"/>
              <w:left w:val="thinThickSmallGap" w:color="0070C0" w:sz="18" w:space="0"/>
              <w:bottom w:val="single" w:color="0070C0" w:sz="6" w:space="0"/>
              <w:right w:val="single" w:color="0070C0" w:sz="6" w:space="0"/>
            </w:tcBorders>
            <w:shd w:val="clear" w:color="auto" w:fill="DAEEF3"/>
            <w:noWrap/>
            <w:vAlign w:val="center"/>
          </w:tcPr>
          <w:p w14:paraId="6DE01C22">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品目序号</w:t>
            </w:r>
          </w:p>
        </w:tc>
        <w:tc>
          <w:tcPr>
            <w:tcW w:w="6108" w:type="dxa"/>
            <w:gridSpan w:val="3"/>
            <w:tcBorders>
              <w:top w:val="thinThickSmallGap" w:color="0070C0" w:sz="18" w:space="0"/>
              <w:left w:val="single" w:color="0070C0" w:sz="6" w:space="0"/>
              <w:bottom w:val="single" w:color="0070C0" w:sz="6" w:space="0"/>
              <w:right w:val="single" w:color="0070C0" w:sz="6" w:space="0"/>
            </w:tcBorders>
            <w:shd w:val="clear" w:color="auto" w:fill="DAEEF3"/>
            <w:noWrap/>
            <w:vAlign w:val="center"/>
          </w:tcPr>
          <w:p w14:paraId="0722CF34">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名称</w:t>
            </w:r>
          </w:p>
        </w:tc>
        <w:tc>
          <w:tcPr>
            <w:tcW w:w="2736" w:type="dxa"/>
            <w:tcBorders>
              <w:top w:val="thinThickSmallGap" w:color="0070C0" w:sz="18" w:space="0"/>
              <w:left w:val="single" w:color="0070C0" w:sz="6" w:space="0"/>
              <w:bottom w:val="single" w:color="0070C0" w:sz="6" w:space="0"/>
              <w:right w:val="thickThinSmallGap" w:color="0070C0" w:sz="18" w:space="0"/>
            </w:tcBorders>
            <w:shd w:val="clear" w:color="auto" w:fill="DAEEF3"/>
            <w:noWrap/>
            <w:vAlign w:val="center"/>
          </w:tcPr>
          <w:p w14:paraId="546B6E2E">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依据的标准</w:t>
            </w:r>
          </w:p>
        </w:tc>
      </w:tr>
      <w:tr w14:paraId="740FE42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29A0A496">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3E0A3EFE">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A020101计算机设备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040CD10">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A02010103服务器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631B0E4">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7FA5839">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HJ2507网络服务器</w:t>
            </w:r>
          </w:p>
        </w:tc>
      </w:tr>
      <w:tr w14:paraId="02059F2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70BFBDEF">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396336A">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FE37D69">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A02010104台式计算机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0E2FE4D">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B3A9951">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14:paraId="793511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6840358A">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702AE581">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FF997A7">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A02010105便携式计算机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4CD63D1">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AE68421">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14:paraId="7362D0F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3E4C1676">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C55B886">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C5981BC">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A02010107平板式微型计算机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185F77A">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FBC078D">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14:paraId="476261D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633EB809">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E4725EE">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F9E38D4">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A02010108网络计算机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A7F9CE4">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ED00DA6">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14:paraId="49D9A02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191F08E8">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47FC5C44">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E3CAB05">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A02010109计算机工作站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2E33549">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2741641">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14:paraId="13C6ECC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BF095DA">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64E5371F">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AE9058B">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A02010199其他计算机设备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D82A884">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D01E14C">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14:paraId="2E04FE6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7D4B3BF3">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76B44A3B">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A020106输入输出设备</w:t>
            </w: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7E143996">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A02010601打印设备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952CD60">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A0201060101喷墨打印机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AF7E09C">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HJ2512打印机、传真机及多功能一体机</w:t>
            </w:r>
          </w:p>
        </w:tc>
      </w:tr>
      <w:tr w14:paraId="5FC35ED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44C49FCE">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0665B164">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464E8ADB">
            <w:pPr>
              <w:widowControl/>
              <w:jc w:val="left"/>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07E53EC">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A0201060102激光打印机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652B486">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HJ2512打印机、传真机及多功能一体机</w:t>
            </w:r>
          </w:p>
        </w:tc>
      </w:tr>
      <w:tr w14:paraId="4452860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59DA2A38">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D6F4345">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5AE2F70B">
            <w:pPr>
              <w:widowControl/>
              <w:jc w:val="left"/>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F9EBCCB">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A0201060103热式打印机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4037B22">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HJ2512打印机、传真机及多功能一体机</w:t>
            </w:r>
          </w:p>
        </w:tc>
      </w:tr>
      <w:tr w14:paraId="45FAD48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6E06C1F6">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FDE1894">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02888EEB">
            <w:pPr>
              <w:widowControl/>
              <w:jc w:val="left"/>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23D39F3">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A0201060104针式打印机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8E79784">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HJ2512打印机、传真机及多功能一体机</w:t>
            </w:r>
          </w:p>
        </w:tc>
      </w:tr>
      <w:tr w14:paraId="525B806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3B47D315">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13E5801C">
            <w:pPr>
              <w:widowControl/>
              <w:jc w:val="left"/>
              <w:rPr>
                <w:rFonts w:ascii="仿宋" w:hAnsi="仿宋" w:eastAsia="仿宋" w:cs="宋体"/>
                <w:color w:val="auto"/>
                <w:w w:val="90"/>
                <w:sz w:val="24"/>
                <w:szCs w:val="24"/>
                <w:highlight w:val="none"/>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6D2B0B3F">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A02010604显示设备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CB84AC3">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A0201060401液晶显示器</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B62C758">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14:paraId="5EF891B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5B7DFD6B">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755AFFD8">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0CAD36F8">
            <w:pPr>
              <w:widowControl/>
              <w:jc w:val="left"/>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0443BA0">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A0201060499其他显示器</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B3C800A">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14:paraId="5028AAC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51AEEB5C">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535BC81">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8E1D356">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A02010609图形图像输入设备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031AC58">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A0201060901扫描仪</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B8CD06E">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HJ2517扫描仪</w:t>
            </w:r>
          </w:p>
        </w:tc>
      </w:tr>
      <w:tr w14:paraId="0166104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1415A1E0">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3</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7C33C033">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A020202投影仪</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D954B6C">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257FCE7">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A0C3DA8">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HJ2516投影仪</w:t>
            </w:r>
          </w:p>
        </w:tc>
      </w:tr>
      <w:tr w14:paraId="208CDEF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3B99FAA9">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6658627F">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A020201复印机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604E87D">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C1343BE">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F3F4481">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HJ424数字式复印（包括多功能）设备</w:t>
            </w:r>
          </w:p>
        </w:tc>
      </w:tr>
      <w:tr w14:paraId="2C0C269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256F2184">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5</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0ABE8EEC">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A020204多功能一体机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D786EEF">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1336F87">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0B4A132">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HJ424数字式复印（包括多功能）设备</w:t>
            </w:r>
          </w:p>
        </w:tc>
      </w:tr>
      <w:tr w14:paraId="08B57B1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5F5471E1">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6</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5C3298DA">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A020210文印设备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3D5CE5C">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A02021001速印机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FC9830E">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42CC9DB">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HJ472数字式一体化速印机</w:t>
            </w:r>
          </w:p>
        </w:tc>
      </w:tr>
      <w:tr w14:paraId="04DCFB2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76A891FB">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7</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1E156FAA">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A020301载货汽车（含自卸汽车）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3F85077">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C87D392">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96744BC">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HJ2532轻型汽车</w:t>
            </w:r>
          </w:p>
        </w:tc>
      </w:tr>
      <w:tr w14:paraId="0CE932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234C7599">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1F559474">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A020305乘用车（轿车）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C2E2099">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A02030501轿车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BB23848">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07D0046">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HJ2532轻型汽车</w:t>
            </w:r>
          </w:p>
        </w:tc>
      </w:tr>
      <w:tr w14:paraId="05A77D2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20E4E4A9">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43EA2A98">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52E1DB3">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A02030599其他乘用车（轿车）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A13C672">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C2E232A">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HJ2532轻型汽车</w:t>
            </w:r>
          </w:p>
        </w:tc>
      </w:tr>
      <w:tr w14:paraId="06C0545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22BE6E05">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9</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42F00E26">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A020306客车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93232EE">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A02030601小型客车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3E9D26C">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7EDB438">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HJ2532轻型汽车</w:t>
            </w:r>
          </w:p>
        </w:tc>
      </w:tr>
      <w:tr w14:paraId="12CBC14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4E4C7D26">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10</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6B3A4539">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A020307专用车辆</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2645875">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A02030799其他专用汽车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B3256DD">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A8798B6">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HJ2532轻型汽车</w:t>
            </w:r>
          </w:p>
        </w:tc>
      </w:tr>
      <w:tr w14:paraId="1703663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35AF3E03">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324C0761">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A020523制冷空调设备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BAF4533">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A02052301制冷压缩机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8517A16">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6F72013">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HJ2531工商用制冷设备</w:t>
            </w:r>
          </w:p>
        </w:tc>
      </w:tr>
      <w:tr w14:paraId="1013A80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7922244C">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772615BE">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A798442">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A02052305空调机组</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7CD100E">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76B8330">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HJ2531工商用制冷设备</w:t>
            </w:r>
          </w:p>
        </w:tc>
      </w:tr>
      <w:tr w14:paraId="4D32C2B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71CE986">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A855BE1">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AA74ED8">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A02052309专用制冷、空调设备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28B4D2E">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F823F1C">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HJ2531工商用制冷设备</w:t>
            </w:r>
          </w:p>
        </w:tc>
      </w:tr>
      <w:tr w14:paraId="49B5189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5CAB1C54">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5385013E">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A020618生活用电器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4BD09CE">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A02061802空气调节电器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AFCFDDF">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A0206180203空调机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7A228B6">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HJ2535房间空气调节器</w:t>
            </w:r>
          </w:p>
        </w:tc>
      </w:tr>
      <w:tr w14:paraId="065D87B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3218E89">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06D2BAB">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01DE473">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A02061808热水器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BD0D1AA">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F6902D8">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HJ/T362太阳能集热器</w:t>
            </w:r>
          </w:p>
        </w:tc>
      </w:tr>
      <w:tr w14:paraId="415F5D2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7FFA1D08">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13</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043847D3">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A020619照明设备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DE20EC4">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A02061908室内照明灯具</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6D9737B">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EA3609D">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HJ2518照明光源</w:t>
            </w:r>
          </w:p>
        </w:tc>
      </w:tr>
      <w:tr w14:paraId="7D6107A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3AB56311">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37621F42">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A020810传真及数据数字通信设备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330AA13">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A02081001传真通信设备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B1E4AA9">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4082EF2">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HJ2512打印机、传真机及多功能一体机</w:t>
            </w:r>
          </w:p>
        </w:tc>
      </w:tr>
      <w:tr w14:paraId="0826681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3F1D9140">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15</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3EE1FB87">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A020910 电视设备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9BE5AFA">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A02091001普通电视设备（电视机）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2C0D6CD">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15C9110">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HJ2506彩色电视广播接收机</w:t>
            </w:r>
          </w:p>
        </w:tc>
      </w:tr>
      <w:tr w14:paraId="69C6388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780CA5F">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0AAE38E">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5C88427">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A02091003特殊功能应用电视设备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79EC394">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138BDFD">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HJ2506彩色电视广播接收机</w:t>
            </w:r>
          </w:p>
        </w:tc>
      </w:tr>
      <w:tr w14:paraId="107F109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5B6BC9EF">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16</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77A40C00">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A0601床类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56D6C0A">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A060101钢木床类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BEF1D60">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77EACBD">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5C3F5FC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1421373A">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23E3FBA1">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2B0746E">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A060104木制床类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6A58BCD">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3EF9D3F">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7149A59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23A9E00B">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B08D166">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07D55E5">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A060199其他床类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FEE7EB8">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2C08679">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2AD12AB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709A86D6">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17</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12EFBB48">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A0602台、桌类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47AA783">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A060201钢木台、桌类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AF56AFA">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6568195">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359EA38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1F928A76">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B279A4D">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A3FCB66">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A060205木制台、桌类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D556213">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0280CEE">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49197BA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5604B6D2">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1BB277A2">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EF09CE6">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A060299其他台、桌类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7F2E26B">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B1F96F1">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55C9913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20D2BA0E">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5455A123">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A0603椅凳类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A791E0B">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A060301金属骨架为主的椅凳类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D6680F3">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87090D8">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3EB7905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D629B64">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94BDD75">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1C31509">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A060302木骨架为主的椅凳类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8242194">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6795C3E">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7D3861B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69DF2F3F">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2C0E989B">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2DB03B2">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A060399其他椅凳类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B1AA7CB">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F37404E">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6FA4870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4B0DDEF0">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19</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1D29D166">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A0604沙发类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6B55A30">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A060499其他沙发类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F614A7E">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33EB88D">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182E6F4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5048C3C3">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20</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3057608A">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A0605柜类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B2BB860">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A060501木质柜类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AD3F33B">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CB9EBB3">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107FC11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7550858A">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5192D4A">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F19A74D">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A060503金属质柜类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D1377CE">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D5BCC27">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11B3CFF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64B1191A">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4D2EA230">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A715811">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A060599其他柜类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184A53B">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6C8C403">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50D33CE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2640B226">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0783B023">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A0606架类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39615E1">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A060601木质架类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D9C887B">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4E18A85">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267B0AA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6F9123F3">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65CFE3E">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2D067DD">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A060602金属质架类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BF1B271">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BE2D095">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1A78706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64D29EF4">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5C99E2A0">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A0607屏风类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706053E">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A060701木质屏风类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B5F76AE">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CF97C90">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6E1C9AE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7230226">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084C81CA">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FCC2135">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A060702金属质屏风类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BE3C68B">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6AA47A8">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60FB9D8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2A09CEE9">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23</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6B77A93B">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A060804水池</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C718DC8">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0E1ADDB">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3EB4CB1">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HJ/T296卫生陶瓷</w:t>
            </w:r>
          </w:p>
        </w:tc>
      </w:tr>
      <w:tr w14:paraId="6C34E31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63C2038D">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4ECDDB7F">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A060805便器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96A33DA">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3ED91ED">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901579D">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HJ/T296卫生陶瓷</w:t>
            </w:r>
          </w:p>
        </w:tc>
      </w:tr>
      <w:tr w14:paraId="139858E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393F5686">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25</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15A210EC">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A060806水嘴</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B80EB06">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7B13EE6">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D550E7A">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HJ/T411水嘴</w:t>
            </w:r>
          </w:p>
        </w:tc>
      </w:tr>
      <w:tr w14:paraId="3986505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6EAB0E59">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26</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4D72C118">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A0609组合家具</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A788C6E">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8054FD1">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B0B1F8E">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3D05061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06F71CD8">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27</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7E1F485C">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A0610家用家具零配件</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F8C5DF0">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6D11372">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427A07E">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27B6B69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23028CDC">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28</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4456F1D0">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A0699其他家具</w:t>
            </w:r>
          </w:p>
          <w:p w14:paraId="3762C46D">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用具</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C61EDC9">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5C95136">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7D2CE03">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3E5D440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4BA87A69">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29</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2763AB57">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A070101棉、化纤纺织及印染原料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9D54514">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1B7F61C">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CD2659D">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HJ2546纺织产品</w:t>
            </w:r>
          </w:p>
        </w:tc>
      </w:tr>
      <w:tr w14:paraId="71422C9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430C66D4">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30</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738F2A98">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A090101复印纸（包括再生复印纸）</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EEA8E6F">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BD82DF7">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E8B6FBF">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HJ410文化用纸</w:t>
            </w:r>
          </w:p>
        </w:tc>
      </w:tr>
      <w:tr w14:paraId="48A4235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35910500">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31</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14C1E735">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A090201鼓粉盒（包括再生鼓粉盒）</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78E778E">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8914895">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7407289">
            <w:pPr>
              <w:autoSpaceDN w:val="0"/>
              <w:rPr>
                <w:rFonts w:ascii="仿宋" w:hAnsi="仿宋" w:eastAsia="仿宋" w:cs="宋体"/>
                <w:color w:val="auto"/>
                <w:w w:val="90"/>
                <w:sz w:val="24"/>
                <w:szCs w:val="24"/>
                <w:highlight w:val="none"/>
              </w:rPr>
            </w:pPr>
          </w:p>
        </w:tc>
      </w:tr>
      <w:tr w14:paraId="14EE972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5B02C732">
            <w:pPr>
              <w:autoSpaceDN w:val="0"/>
              <w:jc w:val="center"/>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32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6543D659">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A100203人造板</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534F405">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A10020301胶合板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B8A9F2C">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93A69D4">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HJ571人造板及其制品</w:t>
            </w:r>
          </w:p>
        </w:tc>
      </w:tr>
      <w:tr w14:paraId="55CA1FA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2CBF5B20">
            <w:pPr>
              <w:widowControl/>
              <w:jc w:val="left"/>
              <w:rPr>
                <w:rFonts w:ascii="仿宋" w:hAnsi="仿宋" w:eastAsia="仿宋" w:cs="宋体"/>
                <w:b w:val="0"/>
                <w:bCs/>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376171F">
            <w:pPr>
              <w:widowControl/>
              <w:jc w:val="left"/>
              <w:rPr>
                <w:rFonts w:ascii="仿宋" w:hAnsi="仿宋" w:eastAsia="仿宋" w:cs="宋体"/>
                <w:b w:val="0"/>
                <w:bCs/>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0857EC3">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A10020302纤维板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6255F4B">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D199666">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HJ571人造板及其制品</w:t>
            </w:r>
          </w:p>
        </w:tc>
      </w:tr>
      <w:tr w14:paraId="16F17E1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35818A2C">
            <w:pPr>
              <w:widowControl/>
              <w:jc w:val="left"/>
              <w:rPr>
                <w:rFonts w:ascii="仿宋" w:hAnsi="仿宋" w:eastAsia="仿宋" w:cs="宋体"/>
                <w:b w:val="0"/>
                <w:bCs/>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958154B">
            <w:pPr>
              <w:widowControl/>
              <w:jc w:val="left"/>
              <w:rPr>
                <w:rFonts w:ascii="仿宋" w:hAnsi="仿宋" w:eastAsia="仿宋" w:cs="宋体"/>
                <w:b w:val="0"/>
                <w:bCs/>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7C92C30">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A10020303刨花板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95E0DEC">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F7114E7">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HJ571人造板及其制品</w:t>
            </w:r>
          </w:p>
        </w:tc>
      </w:tr>
      <w:tr w14:paraId="7511E1C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6B416D36">
            <w:pPr>
              <w:widowControl/>
              <w:jc w:val="left"/>
              <w:rPr>
                <w:rFonts w:ascii="仿宋" w:hAnsi="仿宋" w:eastAsia="仿宋" w:cs="宋体"/>
                <w:b w:val="0"/>
                <w:bCs/>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1F76286C">
            <w:pPr>
              <w:widowControl/>
              <w:jc w:val="left"/>
              <w:rPr>
                <w:rFonts w:ascii="仿宋" w:hAnsi="仿宋" w:eastAsia="仿宋" w:cs="宋体"/>
                <w:b w:val="0"/>
                <w:bCs/>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538FC89">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A10020304细木工板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0FD93DC">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E3384E7">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HJ571人造板及其制品</w:t>
            </w:r>
          </w:p>
        </w:tc>
      </w:tr>
      <w:tr w14:paraId="3047496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222DDCC7">
            <w:pPr>
              <w:widowControl/>
              <w:jc w:val="left"/>
              <w:rPr>
                <w:rFonts w:ascii="仿宋" w:hAnsi="仿宋" w:eastAsia="仿宋" w:cs="宋体"/>
                <w:b w:val="0"/>
                <w:bCs/>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228FE643">
            <w:pPr>
              <w:widowControl/>
              <w:jc w:val="left"/>
              <w:rPr>
                <w:rFonts w:ascii="仿宋" w:hAnsi="仿宋" w:eastAsia="仿宋" w:cs="宋体"/>
                <w:b w:val="0"/>
                <w:bCs/>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7D147DE">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A10020399其他人造板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1F3B923">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4BF783A">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HJ571人造板及其制品</w:t>
            </w:r>
          </w:p>
        </w:tc>
      </w:tr>
      <w:tr w14:paraId="4F96A69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1BB91EB5">
            <w:pPr>
              <w:autoSpaceDN w:val="0"/>
              <w:jc w:val="center"/>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33</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45D76384">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A100204二次加工材,相关板材</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930C7FE">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A10020404人造板表面装饰板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CEED035">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050DD55">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HJ571人造板及其制品/HJ2540 木塑制品</w:t>
            </w:r>
          </w:p>
        </w:tc>
      </w:tr>
      <w:tr w14:paraId="2F85A67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72DABAD6">
            <w:pPr>
              <w:widowControl/>
              <w:jc w:val="left"/>
              <w:rPr>
                <w:rFonts w:ascii="仿宋" w:hAnsi="仿宋" w:eastAsia="仿宋" w:cs="宋体"/>
                <w:b w:val="0"/>
                <w:bCs/>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40E724B3">
            <w:pPr>
              <w:widowControl/>
              <w:jc w:val="left"/>
              <w:rPr>
                <w:rFonts w:ascii="仿宋" w:hAnsi="仿宋" w:eastAsia="仿宋" w:cs="宋体"/>
                <w:b w:val="0"/>
                <w:bCs/>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8E1B326">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A10020404人造板表面装饰板（地板）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0F797AC">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5EB973F">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HJ571人造板及其制品/HJ2540 木塑制品</w:t>
            </w:r>
          </w:p>
        </w:tc>
      </w:tr>
      <w:tr w14:paraId="7F3C7DB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45D5E2B0">
            <w:pPr>
              <w:autoSpaceDN w:val="0"/>
              <w:jc w:val="center"/>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34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6F12B43C">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A100301水泥熟料及水泥</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EF47139">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A10030102水泥</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BBD8D5D">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48B8839">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HJ2519水泥</w:t>
            </w:r>
          </w:p>
        </w:tc>
      </w:tr>
      <w:tr w14:paraId="2959D8C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2C223C04">
            <w:pPr>
              <w:autoSpaceDN w:val="0"/>
              <w:jc w:val="center"/>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35</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7BD2DC6F">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A100303水泥混凝土制品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B3A734D">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A10030301商品混凝土</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47901CB">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ABD62A4">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HJ/T412预拌混凝土</w:t>
            </w:r>
          </w:p>
        </w:tc>
      </w:tr>
      <w:tr w14:paraId="51E6CEC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41E0C11E">
            <w:pPr>
              <w:autoSpaceDN w:val="0"/>
              <w:jc w:val="center"/>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36</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2B523692">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A100304纤维增强水泥制品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528AE89">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A10030402纤维增强硅酸钙板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F7CA7EA">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E520005">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HJ/T223轻质墙体板材</w:t>
            </w:r>
          </w:p>
        </w:tc>
      </w:tr>
      <w:tr w14:paraId="53464F6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1418DCC0">
            <w:pPr>
              <w:widowControl/>
              <w:jc w:val="left"/>
              <w:rPr>
                <w:rFonts w:ascii="仿宋" w:hAnsi="仿宋" w:eastAsia="仿宋" w:cs="宋体"/>
                <w:b w:val="0"/>
                <w:bCs/>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26EE482A">
            <w:pPr>
              <w:widowControl/>
              <w:jc w:val="left"/>
              <w:rPr>
                <w:rFonts w:ascii="仿宋" w:hAnsi="仿宋" w:eastAsia="仿宋" w:cs="宋体"/>
                <w:b w:val="0"/>
                <w:bCs/>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7AAA7EF">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A10030403无石棉纤维水泥制品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F8E6399">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EB1990E">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HJ/T223轻质墙体板材</w:t>
            </w:r>
          </w:p>
        </w:tc>
      </w:tr>
      <w:tr w14:paraId="66E949B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43851067">
            <w:pPr>
              <w:autoSpaceDN w:val="0"/>
              <w:jc w:val="center"/>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37</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51CE50B8">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A100305轻质建筑材料及制品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830AA77">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A10030501石膏板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112609E">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C605F88">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HJ/T223轻质墙体板材</w:t>
            </w:r>
          </w:p>
        </w:tc>
      </w:tr>
      <w:tr w14:paraId="4C81A35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687ECA37">
            <w:pPr>
              <w:widowControl/>
              <w:jc w:val="left"/>
              <w:rPr>
                <w:rFonts w:ascii="仿宋" w:hAnsi="仿宋" w:eastAsia="仿宋" w:cs="宋体"/>
                <w:b w:val="0"/>
                <w:bCs/>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5CE8327">
            <w:pPr>
              <w:widowControl/>
              <w:jc w:val="left"/>
              <w:rPr>
                <w:rFonts w:ascii="仿宋" w:hAnsi="仿宋" w:eastAsia="仿宋" w:cs="宋体"/>
                <w:b w:val="0"/>
                <w:bCs/>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E2237AA">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A10030503轻质隔墙条板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22B1C82">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7D5BDF6">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HJ/T223轻质墙体板材</w:t>
            </w:r>
          </w:p>
        </w:tc>
      </w:tr>
      <w:tr w14:paraId="3EC7694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0B80A05C">
            <w:pPr>
              <w:autoSpaceDN w:val="0"/>
              <w:jc w:val="center"/>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38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672DD959">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A100307建筑陶瓷制品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3370370">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A10030701瓷质砖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914F6BC">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1D06D96">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HJ/T297陶瓷砖</w:t>
            </w:r>
          </w:p>
        </w:tc>
      </w:tr>
      <w:tr w14:paraId="6B45A49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1FE414B6">
            <w:pPr>
              <w:widowControl/>
              <w:jc w:val="left"/>
              <w:rPr>
                <w:rFonts w:ascii="仿宋" w:hAnsi="仿宋" w:eastAsia="仿宋" w:cs="宋体"/>
                <w:b w:val="0"/>
                <w:bCs/>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4C0AEE43">
            <w:pPr>
              <w:widowControl/>
              <w:jc w:val="left"/>
              <w:rPr>
                <w:rFonts w:ascii="仿宋" w:hAnsi="仿宋" w:eastAsia="仿宋" w:cs="宋体"/>
                <w:b w:val="0"/>
                <w:bCs/>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E83A00D">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A10030704炻质砖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09D281E">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2CE3790">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HJ/T297陶瓷砖</w:t>
            </w:r>
          </w:p>
        </w:tc>
      </w:tr>
      <w:tr w14:paraId="5C30684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2969E74B">
            <w:pPr>
              <w:widowControl/>
              <w:jc w:val="left"/>
              <w:rPr>
                <w:rFonts w:ascii="仿宋" w:hAnsi="仿宋" w:eastAsia="仿宋" w:cs="宋体"/>
                <w:b w:val="0"/>
                <w:bCs/>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00A98EF">
            <w:pPr>
              <w:widowControl/>
              <w:jc w:val="left"/>
              <w:rPr>
                <w:rFonts w:ascii="仿宋" w:hAnsi="仿宋" w:eastAsia="仿宋" w:cs="宋体"/>
                <w:b w:val="0"/>
                <w:bCs/>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A3B3CA5">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A10030705陶质砖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E74DE74">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2522112">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HJ/T297陶瓷砖</w:t>
            </w:r>
          </w:p>
        </w:tc>
      </w:tr>
      <w:tr w14:paraId="14DA7D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48C7BD4B">
            <w:pPr>
              <w:widowControl/>
              <w:jc w:val="left"/>
              <w:rPr>
                <w:rFonts w:ascii="仿宋" w:hAnsi="仿宋" w:eastAsia="仿宋" w:cs="宋体"/>
                <w:b w:val="0"/>
                <w:bCs/>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690091EE">
            <w:pPr>
              <w:widowControl/>
              <w:jc w:val="left"/>
              <w:rPr>
                <w:rFonts w:ascii="仿宋" w:hAnsi="仿宋" w:eastAsia="仿宋" w:cs="宋体"/>
                <w:b w:val="0"/>
                <w:bCs/>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7F3D8D1">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A10030799其他建筑陶瓷制品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C4130D3">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851A83A">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HJ/T297陶瓷砖</w:t>
            </w:r>
          </w:p>
        </w:tc>
      </w:tr>
      <w:tr w14:paraId="158ADB2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13A56CD3">
            <w:pPr>
              <w:autoSpaceDN w:val="0"/>
              <w:jc w:val="center"/>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39</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6A9D610B">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A100309建筑防水卷材及制品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B1022B7">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A10030901沥青和改性沥青防水卷材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4C0C64F">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4D206B7">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HJ455防水卷材</w:t>
            </w:r>
          </w:p>
        </w:tc>
      </w:tr>
      <w:tr w14:paraId="19282D1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6BDD41AF">
            <w:pPr>
              <w:widowControl/>
              <w:jc w:val="left"/>
              <w:rPr>
                <w:rFonts w:ascii="仿宋" w:hAnsi="仿宋" w:eastAsia="仿宋" w:cs="宋体"/>
                <w:b w:val="0"/>
                <w:bCs/>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1ACCB8E4">
            <w:pPr>
              <w:widowControl/>
              <w:jc w:val="left"/>
              <w:rPr>
                <w:rFonts w:ascii="仿宋" w:hAnsi="仿宋" w:eastAsia="仿宋" w:cs="宋体"/>
                <w:b w:val="0"/>
                <w:bCs/>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DB293D5">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A10030903自粘防水卷材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221440D">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2FFF877">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HJ455防水卷材</w:t>
            </w:r>
          </w:p>
        </w:tc>
      </w:tr>
      <w:tr w14:paraId="3027C5D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B0926D6">
            <w:pPr>
              <w:widowControl/>
              <w:jc w:val="left"/>
              <w:rPr>
                <w:rFonts w:ascii="仿宋" w:hAnsi="仿宋" w:eastAsia="仿宋" w:cs="宋体"/>
                <w:b w:val="0"/>
                <w:bCs/>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D7CEDE8">
            <w:pPr>
              <w:widowControl/>
              <w:jc w:val="left"/>
              <w:rPr>
                <w:rFonts w:ascii="仿宋" w:hAnsi="仿宋" w:eastAsia="仿宋" w:cs="宋体"/>
                <w:b w:val="0"/>
                <w:bCs/>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88BCBA4">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A10030906 高分子防水卷（片）材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BBA9C84">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873FF20">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HJ455防水卷材</w:t>
            </w:r>
          </w:p>
        </w:tc>
      </w:tr>
      <w:tr w14:paraId="03EB87F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4912D613">
            <w:pPr>
              <w:autoSpaceDN w:val="0"/>
              <w:jc w:val="center"/>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40</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59F535E1">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A100310隔热、隔音人造矿物材料及其制品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8E14616">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A10031001矿物绝热和吸声材料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DB2861F">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A8B0B25">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HJ/T223轻质墙体板材</w:t>
            </w:r>
          </w:p>
        </w:tc>
      </w:tr>
      <w:tr w14:paraId="1A06F90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6D2AC5C">
            <w:pPr>
              <w:widowControl/>
              <w:jc w:val="left"/>
              <w:rPr>
                <w:rFonts w:ascii="仿宋" w:hAnsi="仿宋" w:eastAsia="仿宋" w:cs="宋体"/>
                <w:b w:val="0"/>
                <w:bCs/>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657EDFB5">
            <w:pPr>
              <w:widowControl/>
              <w:jc w:val="left"/>
              <w:rPr>
                <w:rFonts w:ascii="仿宋" w:hAnsi="仿宋" w:eastAsia="仿宋" w:cs="宋体"/>
                <w:b w:val="0"/>
                <w:bCs/>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9081882">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A10031002矿物材料制品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70B8E94">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B48FFE5">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HJ/T223轻质墙体板材</w:t>
            </w:r>
          </w:p>
        </w:tc>
      </w:tr>
      <w:tr w14:paraId="382A7FF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3F22BB10">
            <w:pPr>
              <w:autoSpaceDN w:val="0"/>
              <w:jc w:val="center"/>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41</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430AB955">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A100601功能性建筑涂料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D335622">
            <w:pPr>
              <w:autoSpaceDN w:val="0"/>
              <w:rPr>
                <w:rFonts w:ascii="仿宋" w:hAnsi="仿宋" w:eastAsia="仿宋" w:cs="宋体"/>
                <w:b w:val="0"/>
                <w:bCs/>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5F23504">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A31F5B7">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HJ2537水性涂料</w:t>
            </w:r>
          </w:p>
        </w:tc>
      </w:tr>
      <w:tr w14:paraId="25BC8C2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61743582">
            <w:pPr>
              <w:autoSpaceDN w:val="0"/>
              <w:jc w:val="center"/>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42</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40B3BE72">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A100399 其他非金属矿物制品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1B252DE">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A10039901其他非金属建筑材料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A6C97B1">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287A47D">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HJ456刚性防水材料</w:t>
            </w:r>
          </w:p>
        </w:tc>
      </w:tr>
      <w:tr w14:paraId="5DDE8C3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74C0A9B7">
            <w:pPr>
              <w:autoSpaceDN w:val="0"/>
              <w:jc w:val="center"/>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43</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64A46FDD">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A100602墙面涂料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26E470E">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A10060202合成树脂乳液内墙涂料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71417F1">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E2A8B07">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HJ2537水性涂料</w:t>
            </w:r>
          </w:p>
        </w:tc>
      </w:tr>
      <w:tr w14:paraId="6946AA8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1031EDF9">
            <w:pPr>
              <w:widowControl/>
              <w:jc w:val="left"/>
              <w:rPr>
                <w:rFonts w:ascii="仿宋" w:hAnsi="仿宋" w:eastAsia="仿宋" w:cs="宋体"/>
                <w:b w:val="0"/>
                <w:bCs/>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65DB2CB">
            <w:pPr>
              <w:widowControl/>
              <w:jc w:val="left"/>
              <w:rPr>
                <w:rFonts w:ascii="仿宋" w:hAnsi="仿宋" w:eastAsia="仿宋" w:cs="宋体"/>
                <w:b w:val="0"/>
                <w:bCs/>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12BB565">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A10060203合成树脂乳液外墙涂料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DE539B4">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B12CA6F">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HJ2537水性涂料</w:t>
            </w:r>
          </w:p>
        </w:tc>
      </w:tr>
      <w:tr w14:paraId="72028BF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F77BD03">
            <w:pPr>
              <w:widowControl/>
              <w:jc w:val="left"/>
              <w:rPr>
                <w:rFonts w:ascii="仿宋" w:hAnsi="仿宋" w:eastAsia="仿宋" w:cs="宋体"/>
                <w:b w:val="0"/>
                <w:bCs/>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6695B8D0">
            <w:pPr>
              <w:widowControl/>
              <w:jc w:val="left"/>
              <w:rPr>
                <w:rFonts w:ascii="仿宋" w:hAnsi="仿宋" w:eastAsia="仿宋" w:cs="宋体"/>
                <w:b w:val="0"/>
                <w:bCs/>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DBAA938">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A10060299其他墙面涂料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50996FA">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9E7AACE">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HJ2537水性涂料</w:t>
            </w:r>
          </w:p>
        </w:tc>
      </w:tr>
      <w:tr w14:paraId="147D867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4D18537A">
            <w:pPr>
              <w:autoSpaceDN w:val="0"/>
              <w:jc w:val="center"/>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44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3FADB41D">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A100604防水涂料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9355091">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A10060499其他防水涂料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78790BD">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52C29E2">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HJ2537水性涂料</w:t>
            </w:r>
          </w:p>
        </w:tc>
      </w:tr>
      <w:tr w14:paraId="1B3F477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2B2860F7">
            <w:pPr>
              <w:autoSpaceDN w:val="0"/>
              <w:jc w:val="center"/>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45</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33C1FBF9">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A100699其他建筑涂料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D08581B">
            <w:pPr>
              <w:autoSpaceDN w:val="0"/>
              <w:rPr>
                <w:rFonts w:ascii="仿宋" w:hAnsi="仿宋" w:eastAsia="仿宋" w:cs="宋体"/>
                <w:b w:val="0"/>
                <w:bCs/>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4138F6A">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370CD6E">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HJ2537水性涂料</w:t>
            </w:r>
          </w:p>
        </w:tc>
      </w:tr>
      <w:tr w14:paraId="1E90450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30C02C4A">
            <w:pPr>
              <w:autoSpaceDN w:val="0"/>
              <w:jc w:val="center"/>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46</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089B9554">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A100701门、门槛</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643E9E5">
            <w:pPr>
              <w:autoSpaceDN w:val="0"/>
              <w:rPr>
                <w:rFonts w:ascii="仿宋" w:hAnsi="仿宋" w:eastAsia="仿宋" w:cs="宋体"/>
                <w:b w:val="0"/>
                <w:bCs/>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95AD66E">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A2DF154">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HJ/T 237塑料门窗/HJ459 木质门和钢质门</w:t>
            </w:r>
          </w:p>
        </w:tc>
      </w:tr>
      <w:tr w14:paraId="2E99CF1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4D582974">
            <w:pPr>
              <w:autoSpaceDN w:val="0"/>
              <w:jc w:val="center"/>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47</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25EAA35A">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A100702窗</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D637728">
            <w:pPr>
              <w:autoSpaceDN w:val="0"/>
              <w:rPr>
                <w:rFonts w:ascii="仿宋" w:hAnsi="仿宋" w:eastAsia="仿宋" w:cs="宋体"/>
                <w:b w:val="0"/>
                <w:bCs/>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5407726">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834F893">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HJ/T237塑料门窗</w:t>
            </w:r>
          </w:p>
        </w:tc>
      </w:tr>
      <w:tr w14:paraId="095A915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3CFC4117">
            <w:pPr>
              <w:autoSpaceDN w:val="0"/>
              <w:jc w:val="center"/>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48</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0DA4FFE2">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A170108涂料（建筑涂料除外）</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0B9F9F4">
            <w:pPr>
              <w:autoSpaceDN w:val="0"/>
              <w:rPr>
                <w:rFonts w:ascii="仿宋" w:hAnsi="仿宋" w:eastAsia="仿宋" w:cs="宋体"/>
                <w:b w:val="0"/>
                <w:bCs/>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71CE425">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64C30A5">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HJ2537水性涂料</w:t>
            </w:r>
          </w:p>
        </w:tc>
      </w:tr>
      <w:tr w14:paraId="1200A2F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09EC3072">
            <w:pPr>
              <w:autoSpaceDN w:val="0"/>
              <w:jc w:val="center"/>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49</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50DACB8B">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A170112密封用填料及类似品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2817616">
            <w:pPr>
              <w:autoSpaceDN w:val="0"/>
              <w:rPr>
                <w:rFonts w:ascii="仿宋" w:hAnsi="仿宋" w:eastAsia="仿宋" w:cs="宋体"/>
                <w:b w:val="0"/>
                <w:bCs/>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8D849EE">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845F11E">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HJ2541胶粘剂</w:t>
            </w:r>
          </w:p>
        </w:tc>
      </w:tr>
      <w:tr w14:paraId="2A0E3A8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thickThinSmallGap" w:color="0070C0" w:sz="18" w:space="0"/>
              <w:right w:val="single" w:color="0070C0" w:sz="6" w:space="0"/>
            </w:tcBorders>
            <w:noWrap/>
            <w:vAlign w:val="center"/>
          </w:tcPr>
          <w:p w14:paraId="51BEA039">
            <w:pPr>
              <w:autoSpaceDN w:val="0"/>
              <w:jc w:val="center"/>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50</w:t>
            </w:r>
          </w:p>
        </w:tc>
        <w:tc>
          <w:tcPr>
            <w:tcW w:w="1985" w:type="dxa"/>
            <w:tcBorders>
              <w:top w:val="single" w:color="0070C0" w:sz="6" w:space="0"/>
              <w:left w:val="single" w:color="0070C0" w:sz="6" w:space="0"/>
              <w:bottom w:val="thickThinSmallGap" w:color="0070C0" w:sz="18" w:space="0"/>
              <w:right w:val="single" w:color="0070C0" w:sz="6" w:space="0"/>
            </w:tcBorders>
            <w:noWrap/>
            <w:vAlign w:val="center"/>
          </w:tcPr>
          <w:p w14:paraId="13F773B7">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A180201塑料制品</w:t>
            </w:r>
          </w:p>
        </w:tc>
        <w:tc>
          <w:tcPr>
            <w:tcW w:w="2268" w:type="dxa"/>
            <w:tcBorders>
              <w:top w:val="single" w:color="0070C0" w:sz="6" w:space="0"/>
              <w:left w:val="single" w:color="0070C0" w:sz="6" w:space="0"/>
              <w:bottom w:val="thickThinSmallGap" w:color="0070C0" w:sz="18" w:space="0"/>
              <w:right w:val="single" w:color="0070C0" w:sz="6" w:space="0"/>
            </w:tcBorders>
            <w:noWrap/>
            <w:vAlign w:val="center"/>
          </w:tcPr>
          <w:p w14:paraId="0C9C601B">
            <w:pPr>
              <w:autoSpaceDN w:val="0"/>
              <w:rPr>
                <w:rFonts w:ascii="仿宋" w:hAnsi="仿宋" w:eastAsia="仿宋" w:cs="宋体"/>
                <w:b w:val="0"/>
                <w:bCs/>
                <w:color w:val="auto"/>
                <w:w w:val="90"/>
                <w:sz w:val="24"/>
                <w:szCs w:val="24"/>
                <w:highlight w:val="none"/>
              </w:rPr>
            </w:pPr>
          </w:p>
        </w:tc>
        <w:tc>
          <w:tcPr>
            <w:tcW w:w="1855" w:type="dxa"/>
            <w:tcBorders>
              <w:top w:val="single" w:color="0070C0" w:sz="6" w:space="0"/>
              <w:left w:val="single" w:color="0070C0" w:sz="6" w:space="0"/>
              <w:bottom w:val="thickThinSmallGap" w:color="0070C0" w:sz="18" w:space="0"/>
              <w:right w:val="single" w:color="0070C0" w:sz="6" w:space="0"/>
            </w:tcBorders>
            <w:noWrap/>
            <w:vAlign w:val="center"/>
          </w:tcPr>
          <w:p w14:paraId="138FD543">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thickThinSmallGap" w:color="0070C0" w:sz="18" w:space="0"/>
              <w:right w:val="thickThinSmallGap" w:color="0070C0" w:sz="18" w:space="0"/>
            </w:tcBorders>
            <w:noWrap/>
            <w:vAlign w:val="center"/>
          </w:tcPr>
          <w:p w14:paraId="4FC3D85C">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HJ/T226建筑用塑料管材/HJ/T231 再生塑料制品</w:t>
            </w:r>
          </w:p>
        </w:tc>
      </w:tr>
    </w:tbl>
    <w:p w14:paraId="31DD3429">
      <w:pPr>
        <w:autoSpaceDN w:val="0"/>
        <w:spacing w:line="360" w:lineRule="auto"/>
        <w:ind w:left="-850" w:leftChars="-405" w:right="-1050" w:rightChars="-500" w:firstLine="436" w:firstLineChars="201"/>
        <w:rPr>
          <w:rFonts w:ascii="仿宋" w:hAnsi="仿宋" w:eastAsia="仿宋" w:cs="宋体"/>
          <w:color w:val="auto"/>
          <w:kern w:val="0"/>
          <w:sz w:val="24"/>
          <w:szCs w:val="24"/>
          <w:highlight w:val="none"/>
        </w:rPr>
      </w:pPr>
      <w:r>
        <w:rPr>
          <w:rFonts w:hint="eastAsia" w:ascii="仿宋" w:hAnsi="仿宋" w:eastAsia="仿宋" w:cs="宋体"/>
          <w:b/>
          <w:color w:val="auto"/>
          <w:w w:val="90"/>
          <w:sz w:val="24"/>
          <w:szCs w:val="24"/>
          <w:highlight w:val="none"/>
        </w:rPr>
        <w:t>注：环境标志产品认证应依据相关标准的最新版本。</w:t>
      </w:r>
    </w:p>
    <w:p w14:paraId="60D541EC">
      <w:pPr>
        <w:keepNext/>
        <w:keepLines/>
        <w:autoSpaceDN w:val="0"/>
        <w:spacing w:before="240" w:line="360" w:lineRule="auto"/>
        <w:jc w:val="left"/>
        <w:outlineLvl w:val="2"/>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br w:type="page"/>
      </w:r>
      <w:bookmarkStart w:id="190" w:name="_Toc8007005"/>
      <w:bookmarkStart w:id="191" w:name="_Toc7574705"/>
      <w:bookmarkStart w:id="192" w:name="_Toc7664197"/>
      <w:bookmarkStart w:id="193" w:name="_Toc7668950"/>
      <w:bookmarkStart w:id="194" w:name="_Toc20358292"/>
      <w:bookmarkStart w:id="195" w:name="_Toc7488759"/>
      <w:bookmarkStart w:id="196" w:name="_Toc7993641"/>
      <w:bookmarkStart w:id="197" w:name="_Toc10432458"/>
      <w:bookmarkStart w:id="198" w:name="_Toc17428254"/>
      <w:bookmarkStart w:id="199" w:name="_Toc7663597"/>
      <w:bookmarkStart w:id="200" w:name="_Toc17428349"/>
      <w:bookmarkStart w:id="201" w:name="_Toc25765010"/>
      <w:bookmarkStart w:id="202" w:name="_Toc7988421"/>
      <w:bookmarkStart w:id="203" w:name="_Toc24471818"/>
      <w:bookmarkStart w:id="204" w:name="_Toc7542916"/>
      <w:bookmarkStart w:id="205" w:name="_Toc7492528"/>
      <w:bookmarkStart w:id="206" w:name="_Toc7988475"/>
      <w:r>
        <w:rPr>
          <w:rFonts w:hint="eastAsia" w:ascii="仿宋" w:hAnsi="仿宋" w:eastAsia="仿宋" w:cs="宋体"/>
          <w:b/>
          <w:bCs/>
          <w:color w:val="auto"/>
          <w:kern w:val="0"/>
          <w:sz w:val="24"/>
          <w:szCs w:val="24"/>
          <w:highlight w:val="none"/>
        </w:rPr>
        <w:t>四、市场监管总局关于发布参与实施政府采购节能产品、环境标志产品认证机构名录的公告（2019年第16号）</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0C2E87F9">
      <w:pPr>
        <w:widowControl/>
        <w:shd w:val="clear" w:color="auto" w:fill="FFFFFF"/>
        <w:autoSpaceDN w:val="0"/>
        <w:spacing w:before="68" w:after="299" w:line="360" w:lineRule="auto"/>
        <w:jc w:val="center"/>
        <w:textAlignment w:val="baseline"/>
        <w:rPr>
          <w:rFonts w:ascii="仿宋" w:hAnsi="仿宋" w:eastAsia="仿宋" w:cs="宋体"/>
          <w:b/>
          <w:color w:val="auto"/>
          <w:kern w:val="0"/>
          <w:sz w:val="24"/>
          <w:szCs w:val="24"/>
          <w:highlight w:val="none"/>
        </w:rPr>
      </w:pPr>
    </w:p>
    <w:p w14:paraId="03E8E92A">
      <w:pPr>
        <w:widowControl/>
        <w:shd w:val="clear" w:color="auto" w:fill="FFFFFF"/>
        <w:autoSpaceDN w:val="0"/>
        <w:spacing w:before="68" w:after="299" w:line="360" w:lineRule="auto"/>
        <w:jc w:val="center"/>
        <w:textAlignment w:val="baseline"/>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市场监管总局关于发布参与实施政府采购节能产品、环境</w:t>
      </w:r>
    </w:p>
    <w:p w14:paraId="147F06E5">
      <w:pPr>
        <w:widowControl/>
        <w:shd w:val="clear" w:color="auto" w:fill="FFFFFF"/>
        <w:autoSpaceDN w:val="0"/>
        <w:spacing w:before="68" w:after="299" w:line="360" w:lineRule="auto"/>
        <w:jc w:val="center"/>
        <w:textAlignment w:val="baseline"/>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标志产品认证机构名录的公告</w:t>
      </w:r>
    </w:p>
    <w:p w14:paraId="4228EDB2">
      <w:pPr>
        <w:widowControl/>
        <w:shd w:val="clear" w:color="auto" w:fill="FFFFFF"/>
        <w:autoSpaceDN w:val="0"/>
        <w:spacing w:before="68" w:after="299" w:line="360" w:lineRule="auto"/>
        <w:jc w:val="center"/>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2019年第16号</w:t>
      </w:r>
    </w:p>
    <w:p w14:paraId="013ABB44">
      <w:pPr>
        <w:widowControl/>
        <w:shd w:val="clear" w:color="auto" w:fill="FFFFFF"/>
        <w:autoSpaceDN w:val="0"/>
        <w:spacing w:before="68" w:after="299" w:line="360" w:lineRule="auto"/>
        <w:ind w:firstLine="424" w:firstLineChars="177"/>
        <w:jc w:val="lef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107C1EAE">
      <w:pPr>
        <w:widowControl/>
        <w:shd w:val="clear" w:color="auto" w:fill="FFFFFF"/>
        <w:autoSpaceDN w:val="0"/>
        <w:spacing w:before="68" w:after="299" w:line="360" w:lineRule="auto"/>
        <w:ind w:firstLine="424" w:firstLineChars="177"/>
        <w:jc w:val="lef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自本公告发布后，新增认证机构应尽快完成政府采购认证信息系统对接，对接完成后方可开展相关认证工作。</w:t>
      </w:r>
    </w:p>
    <w:p w14:paraId="297BE344">
      <w:pPr>
        <w:widowControl/>
        <w:shd w:val="clear" w:color="auto" w:fill="FFFFFF"/>
        <w:autoSpaceDN w:val="0"/>
        <w:spacing w:before="68" w:after="299" w:line="360" w:lineRule="auto"/>
        <w:jc w:val="righ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市场监管总局</w:t>
      </w:r>
    </w:p>
    <w:p w14:paraId="48A8810C">
      <w:pPr>
        <w:widowControl/>
        <w:shd w:val="clear" w:color="auto" w:fill="FFFFFF"/>
        <w:autoSpaceDN w:val="0"/>
        <w:spacing w:before="68" w:after="299" w:line="360" w:lineRule="auto"/>
        <w:jc w:val="righ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2019年4月3日</w:t>
      </w:r>
    </w:p>
    <w:p w14:paraId="63DC9DAA">
      <w:pPr>
        <w:keepNext/>
        <w:keepLines/>
        <w:autoSpaceDN w:val="0"/>
        <w:spacing w:before="240" w:line="360" w:lineRule="auto"/>
        <w:jc w:val="left"/>
        <w:outlineLvl w:val="3"/>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br w:type="page"/>
      </w:r>
      <w:r>
        <w:rPr>
          <w:rFonts w:hint="eastAsia" w:ascii="仿宋" w:hAnsi="仿宋" w:eastAsia="仿宋" w:cs="宋体"/>
          <w:b/>
          <w:bCs/>
          <w:color w:val="auto"/>
          <w:sz w:val="24"/>
          <w:szCs w:val="24"/>
          <w:highlight w:val="none"/>
        </w:rPr>
        <w:t>附1：参与实施政府采购节能产品认证机构名录</w:t>
      </w:r>
    </w:p>
    <w:tbl>
      <w:tblPr>
        <w:tblStyle w:val="61"/>
        <w:tblW w:w="9090"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7"/>
        <w:gridCol w:w="1135"/>
        <w:gridCol w:w="1348"/>
        <w:gridCol w:w="1309"/>
        <w:gridCol w:w="1597"/>
        <w:gridCol w:w="3134"/>
      </w:tblGrid>
      <w:tr w14:paraId="45D559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568" w:type="dxa"/>
            <w:vMerge w:val="restart"/>
            <w:tcBorders>
              <w:top w:val="thinThickSmallGap" w:color="0070C0" w:sz="18" w:space="0"/>
              <w:left w:val="thinThickSmallGap" w:color="0070C0" w:sz="18"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74B17DA6">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序号</w:t>
            </w:r>
          </w:p>
        </w:tc>
        <w:tc>
          <w:tcPr>
            <w:tcW w:w="2481"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1CD4C2BD">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一级目录</w:t>
            </w:r>
          </w:p>
        </w:tc>
        <w:tc>
          <w:tcPr>
            <w:tcW w:w="2904"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33975E21">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二级目录</w:t>
            </w:r>
          </w:p>
        </w:tc>
        <w:tc>
          <w:tcPr>
            <w:tcW w:w="3132" w:type="dxa"/>
            <w:vMerge w:val="restart"/>
            <w:tcBorders>
              <w:top w:val="thinThickSmallGap" w:color="0070C0" w:sz="18" w:space="0"/>
              <w:left w:val="single" w:color="0070C0" w:sz="6" w:space="0"/>
              <w:bottom w:val="single" w:color="0070C0" w:sz="6" w:space="0"/>
              <w:right w:val="thickThinSmallGap" w:color="0070C0" w:sz="18" w:space="0"/>
            </w:tcBorders>
            <w:shd w:val="clear" w:color="auto" w:fill="DAEEF3"/>
            <w:noWrap/>
            <w:tcMar>
              <w:top w:w="0" w:type="dxa"/>
              <w:left w:w="108" w:type="dxa"/>
              <w:bottom w:w="0" w:type="dxa"/>
              <w:right w:w="108" w:type="dxa"/>
            </w:tcMar>
            <w:vAlign w:val="center"/>
          </w:tcPr>
          <w:p w14:paraId="1ACCC983">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认证机构名录</w:t>
            </w:r>
          </w:p>
        </w:tc>
      </w:tr>
      <w:tr w14:paraId="5DF1CED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trPr>
        <w:tc>
          <w:tcPr>
            <w:tcW w:w="568" w:type="dxa"/>
            <w:vMerge w:val="continue"/>
            <w:tcBorders>
              <w:top w:val="thinThickSmallGap" w:color="0070C0" w:sz="18" w:space="0"/>
              <w:left w:val="thinThickSmallGap" w:color="0070C0" w:sz="18" w:space="0"/>
              <w:bottom w:val="single" w:color="0070C0" w:sz="6" w:space="0"/>
              <w:right w:val="single" w:color="0070C0" w:sz="6" w:space="0"/>
            </w:tcBorders>
            <w:shd w:val="clear" w:color="auto" w:fill="FFFFFF"/>
            <w:vAlign w:val="center"/>
          </w:tcPr>
          <w:p w14:paraId="082EB4C1">
            <w:pPr>
              <w:widowControl/>
              <w:jc w:val="left"/>
              <w:rPr>
                <w:rFonts w:ascii="仿宋" w:hAnsi="仿宋" w:eastAsia="仿宋" w:cs="宋体"/>
                <w:b/>
                <w:color w:val="auto"/>
                <w:w w:val="90"/>
                <w:kern w:val="0"/>
                <w:sz w:val="24"/>
                <w:szCs w:val="24"/>
                <w:highlight w:val="none"/>
              </w:rPr>
            </w:pPr>
          </w:p>
        </w:tc>
        <w:tc>
          <w:tcPr>
            <w:tcW w:w="1134"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40A47D03">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产品代码</w:t>
            </w:r>
          </w:p>
        </w:tc>
        <w:tc>
          <w:tcPr>
            <w:tcW w:w="1347"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2B2D2491">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产品名称</w:t>
            </w:r>
          </w:p>
        </w:tc>
        <w:tc>
          <w:tcPr>
            <w:tcW w:w="1308"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07B54B82">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产品代码</w:t>
            </w:r>
          </w:p>
        </w:tc>
        <w:tc>
          <w:tcPr>
            <w:tcW w:w="1596"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1FDCD85C">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产品名称</w:t>
            </w:r>
          </w:p>
        </w:tc>
        <w:tc>
          <w:tcPr>
            <w:tcW w:w="3132" w:type="dxa"/>
            <w:vMerge w:val="continue"/>
            <w:tcBorders>
              <w:top w:val="thinThickSmallGap" w:color="0070C0" w:sz="18" w:space="0"/>
              <w:left w:val="single" w:color="0070C0" w:sz="6" w:space="0"/>
              <w:bottom w:val="single" w:color="0070C0" w:sz="6" w:space="0"/>
              <w:right w:val="thickThinSmallGap" w:color="0070C0" w:sz="18" w:space="0"/>
            </w:tcBorders>
            <w:shd w:val="clear" w:color="auto" w:fill="FFFFFF"/>
            <w:vAlign w:val="center"/>
          </w:tcPr>
          <w:p w14:paraId="1954AA36">
            <w:pPr>
              <w:widowControl/>
              <w:jc w:val="left"/>
              <w:rPr>
                <w:rFonts w:ascii="仿宋" w:hAnsi="仿宋" w:eastAsia="仿宋" w:cs="宋体"/>
                <w:b/>
                <w:color w:val="auto"/>
                <w:w w:val="90"/>
                <w:kern w:val="0"/>
                <w:sz w:val="24"/>
                <w:szCs w:val="24"/>
                <w:highlight w:val="none"/>
              </w:rPr>
            </w:pPr>
          </w:p>
        </w:tc>
      </w:tr>
      <w:tr w14:paraId="60737EE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67C8BA9">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8F905FA">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A020101</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E43BB4">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计算机设备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02BDB56">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A02010104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5101F42">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台式计算机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77FFAEA">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129F1A13">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北京赛西认证有限责任公司</w:t>
            </w:r>
          </w:p>
          <w:p w14:paraId="732952DC">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中国网络安全审查技术与认证中心</w:t>
            </w:r>
          </w:p>
          <w:p w14:paraId="728EDC99">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广州赛宝认证中心服务有限公司</w:t>
            </w:r>
          </w:p>
        </w:tc>
      </w:tr>
      <w:tr w14:paraId="0C8C0E3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8B91171">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D0DB0D7">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7295E37">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BE4097">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A02010105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6A9F3D5B">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便携式计算机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4191781C">
            <w:pPr>
              <w:widowControl/>
              <w:jc w:val="left"/>
              <w:rPr>
                <w:rFonts w:ascii="仿宋" w:hAnsi="仿宋" w:eastAsia="仿宋" w:cs="宋体"/>
                <w:color w:val="auto"/>
                <w:w w:val="90"/>
                <w:kern w:val="0"/>
                <w:sz w:val="24"/>
                <w:szCs w:val="24"/>
                <w:highlight w:val="none"/>
              </w:rPr>
            </w:pPr>
          </w:p>
        </w:tc>
      </w:tr>
      <w:tr w14:paraId="7ED1AFC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D13A180">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AA7A9A7">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82B480B">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FBEFC42">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2D64AAC6">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平板式微型计算机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2DFF34C5">
            <w:pPr>
              <w:widowControl/>
              <w:jc w:val="left"/>
              <w:rPr>
                <w:rFonts w:ascii="仿宋" w:hAnsi="仿宋" w:eastAsia="仿宋" w:cs="宋体"/>
                <w:color w:val="auto"/>
                <w:w w:val="90"/>
                <w:kern w:val="0"/>
                <w:sz w:val="24"/>
                <w:szCs w:val="24"/>
                <w:highlight w:val="none"/>
              </w:rPr>
            </w:pPr>
          </w:p>
        </w:tc>
      </w:tr>
      <w:tr w14:paraId="797A8B2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8935867">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2</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75C8874">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A020106</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BF6BBC3">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输入输出设备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6AC9EEC">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A02010601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19AE685">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打印设备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612283F3">
            <w:pPr>
              <w:widowControl/>
              <w:jc w:val="left"/>
              <w:rPr>
                <w:rFonts w:ascii="仿宋" w:hAnsi="仿宋" w:eastAsia="仿宋" w:cs="宋体"/>
                <w:color w:val="auto"/>
                <w:w w:val="90"/>
                <w:kern w:val="0"/>
                <w:sz w:val="24"/>
                <w:szCs w:val="24"/>
                <w:highlight w:val="none"/>
              </w:rPr>
            </w:pPr>
          </w:p>
        </w:tc>
      </w:tr>
      <w:tr w14:paraId="149B5E7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797CC05A">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A2A4BB6">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612B8D3">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54AE0A2">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A02010604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73B42307">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显示设备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2D2C016">
            <w:pPr>
              <w:widowControl/>
              <w:jc w:val="left"/>
              <w:rPr>
                <w:rFonts w:ascii="仿宋" w:hAnsi="仿宋" w:eastAsia="仿宋" w:cs="宋体"/>
                <w:color w:val="auto"/>
                <w:w w:val="90"/>
                <w:kern w:val="0"/>
                <w:sz w:val="24"/>
                <w:szCs w:val="24"/>
                <w:highlight w:val="none"/>
              </w:rPr>
            </w:pPr>
          </w:p>
        </w:tc>
      </w:tr>
      <w:tr w14:paraId="11D7A05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737E54CF">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271B73D7">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D2A89C4">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335C3C7">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A02010609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880E396">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图形图像输入设备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056A2281">
            <w:pPr>
              <w:widowControl/>
              <w:jc w:val="left"/>
              <w:rPr>
                <w:rFonts w:ascii="仿宋" w:hAnsi="仿宋" w:eastAsia="仿宋" w:cs="宋体"/>
                <w:color w:val="auto"/>
                <w:w w:val="90"/>
                <w:kern w:val="0"/>
                <w:sz w:val="24"/>
                <w:szCs w:val="24"/>
                <w:highlight w:val="none"/>
              </w:rPr>
            </w:pPr>
          </w:p>
        </w:tc>
      </w:tr>
      <w:tr w14:paraId="6A483CF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58180F9">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333DABA">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A020202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BC0F2B1">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投影仪</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5A561C7">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4E4E20C">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700AECF">
            <w:pPr>
              <w:widowControl/>
              <w:jc w:val="left"/>
              <w:rPr>
                <w:rFonts w:ascii="仿宋" w:hAnsi="仿宋" w:eastAsia="仿宋" w:cs="宋体"/>
                <w:color w:val="auto"/>
                <w:w w:val="90"/>
                <w:kern w:val="0"/>
                <w:sz w:val="24"/>
                <w:szCs w:val="24"/>
                <w:highlight w:val="none"/>
              </w:rPr>
            </w:pPr>
          </w:p>
        </w:tc>
      </w:tr>
      <w:tr w14:paraId="085DC41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89AD52B">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8D86FB9">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A020204</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15B2BC0">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多功能一体机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69A547B">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8F1348F">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3C91201">
            <w:pPr>
              <w:widowControl/>
              <w:jc w:val="left"/>
              <w:rPr>
                <w:rFonts w:ascii="仿宋" w:hAnsi="仿宋" w:eastAsia="仿宋" w:cs="宋体"/>
                <w:color w:val="auto"/>
                <w:w w:val="90"/>
                <w:kern w:val="0"/>
                <w:sz w:val="24"/>
                <w:szCs w:val="24"/>
                <w:highlight w:val="none"/>
              </w:rPr>
            </w:pPr>
          </w:p>
        </w:tc>
      </w:tr>
      <w:tr w14:paraId="3CDBE9C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A75AEF5">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CFE7EA6">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88BFC42">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泵</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6DA32E1">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A02051901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BF646F6">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离心泵</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E30D886">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65311B79">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电能（北京）认证中心有限公司</w:t>
            </w:r>
          </w:p>
          <w:p w14:paraId="058A7818">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方圆标志认证集团有限公司</w:t>
            </w:r>
          </w:p>
        </w:tc>
      </w:tr>
      <w:tr w14:paraId="149B950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1978F9D">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6</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24AEDC5">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A020523</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7314CF8">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制冷空调设备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7A1CA06">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A02052301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130BAEC">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制冷压缩机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75CD5F7">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5B56EBB7">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威凯认证检测有限公司</w:t>
            </w:r>
          </w:p>
          <w:p w14:paraId="4FAD739C">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合肥通用机械产品认证有限公司</w:t>
            </w:r>
          </w:p>
          <w:p w14:paraId="43D4F8BD">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北京中冷通质量认证中心有限公司</w:t>
            </w:r>
          </w:p>
        </w:tc>
      </w:tr>
      <w:tr w14:paraId="00E669A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8DE6788">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119EBE7">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52D8276">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965F4DC">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A02052305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303077B">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空调机组</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A5FCBA3">
            <w:pPr>
              <w:widowControl/>
              <w:jc w:val="left"/>
              <w:rPr>
                <w:rFonts w:ascii="仿宋" w:hAnsi="仿宋" w:eastAsia="仿宋" w:cs="宋体"/>
                <w:color w:val="auto"/>
                <w:w w:val="90"/>
                <w:kern w:val="0"/>
                <w:sz w:val="24"/>
                <w:szCs w:val="24"/>
                <w:highlight w:val="none"/>
              </w:rPr>
            </w:pPr>
          </w:p>
        </w:tc>
      </w:tr>
      <w:tr w14:paraId="45D61EE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4CE216E8">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908B7F7">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2A8D1BC">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BBB955B">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A02052309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6DE47132">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专用制冷、空调设备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6F8C8E3F">
            <w:pPr>
              <w:widowControl/>
              <w:jc w:val="left"/>
              <w:rPr>
                <w:rFonts w:ascii="仿宋" w:hAnsi="仿宋" w:eastAsia="仿宋" w:cs="宋体"/>
                <w:color w:val="auto"/>
                <w:w w:val="90"/>
                <w:kern w:val="0"/>
                <w:sz w:val="24"/>
                <w:szCs w:val="24"/>
                <w:highlight w:val="none"/>
              </w:rPr>
            </w:pPr>
          </w:p>
        </w:tc>
      </w:tr>
      <w:tr w14:paraId="1EB02B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61C624F2">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27E4D81">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029B865">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F83D849">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A02052399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1C0D263B">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其他制冷空调设备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54B8EDD">
            <w:pPr>
              <w:widowControl/>
              <w:jc w:val="left"/>
              <w:rPr>
                <w:rFonts w:ascii="仿宋" w:hAnsi="仿宋" w:eastAsia="仿宋" w:cs="宋体"/>
                <w:color w:val="auto"/>
                <w:w w:val="90"/>
                <w:kern w:val="0"/>
                <w:sz w:val="24"/>
                <w:szCs w:val="24"/>
                <w:highlight w:val="none"/>
              </w:rPr>
            </w:pPr>
          </w:p>
        </w:tc>
      </w:tr>
      <w:tr w14:paraId="23A0594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C239109">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D602EA1">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A020601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F0B0066">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电机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09F4EA3">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0C5E24A">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1A682EEF">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58EBF01D">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威凯认证检测有限公司</w:t>
            </w:r>
          </w:p>
          <w:p w14:paraId="7411B232">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电能（北京）认证中心有限公司</w:t>
            </w:r>
          </w:p>
          <w:p w14:paraId="580F37BB">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中国船级社质量认证公司</w:t>
            </w:r>
          </w:p>
        </w:tc>
      </w:tr>
      <w:tr w14:paraId="336B05C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A2E6A58">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8</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A1D386">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5364D5F">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变压器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2962931">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288A1FA">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2316C2BA">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62A48336">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电能（北京）认证中心有限公司</w:t>
            </w:r>
          </w:p>
          <w:p w14:paraId="32E20B7A">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方圆标志认证集团有限公司</w:t>
            </w:r>
          </w:p>
        </w:tc>
      </w:tr>
      <w:tr w14:paraId="348E7D6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6E0BFB6">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9</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C62E881">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A020609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6B9B6EE">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镇流器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06DCF6A">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3D5C5AC">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2482153B">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76338347">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深圳市计量质量检测研究院</w:t>
            </w:r>
          </w:p>
          <w:p w14:paraId="757DAD33">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中标合信（北京）认证有限公司</w:t>
            </w:r>
          </w:p>
        </w:tc>
      </w:tr>
      <w:tr w14:paraId="1483FD2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9A21CC7">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10</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59900ED">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A020618</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7172FB4">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生活用电器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9A85577">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A0206180101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56DCCD4">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电冰箱</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739E0289">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5AE1AAB3">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威凯认证检测有限公司</w:t>
            </w:r>
          </w:p>
          <w:p w14:paraId="396A7078">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中家院（北京）检测认证有限公司</w:t>
            </w:r>
          </w:p>
        </w:tc>
      </w:tr>
      <w:tr w14:paraId="2E67FC9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2BA4785">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13378E2">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9217010">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253CE63">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A0206180203</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1F0EC7A8">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空调机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344CA417">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0E8B21F6">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威凯认证检测有限公司</w:t>
            </w:r>
          </w:p>
          <w:p w14:paraId="5F1D237A">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中家院（北京）检测认证有限公司</w:t>
            </w:r>
          </w:p>
          <w:p w14:paraId="6FE83534">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合肥通用机械产品认证有限公司</w:t>
            </w:r>
          </w:p>
        </w:tc>
      </w:tr>
      <w:tr w14:paraId="4BB0763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DAF6639">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108CB62F">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070E392">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B38332E">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A0206180301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864CE00">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洗衣机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2A90EBAD">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708BAE75">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威凯认证检测有限公司</w:t>
            </w:r>
          </w:p>
          <w:p w14:paraId="707A52C4">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中家院（北京）检测认证有限公司</w:t>
            </w:r>
          </w:p>
        </w:tc>
      </w:tr>
      <w:tr w14:paraId="5D8BF5F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AC00797">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1ACC63F">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DA03BD3">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1D9F501">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A02061808</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5DB66A2">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热水器</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4499B9A0">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05FA56DD">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威凯认证检测有限公司</w:t>
            </w:r>
          </w:p>
          <w:p w14:paraId="0B7D6A13">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中家院（北京）检测认证有限公司</w:t>
            </w:r>
          </w:p>
          <w:p w14:paraId="3C490740">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合肥通用机械产品认证有限公司(范围仅限于“热泵热水器”)</w:t>
            </w:r>
          </w:p>
        </w:tc>
      </w:tr>
      <w:tr w14:paraId="7BE8BFB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E39F232">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11</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EA0FA82">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E35961E">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照明设备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9F3271E">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49809E7">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689DE54D">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2FAF1D66">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深圳市计量质量检测研究院</w:t>
            </w:r>
          </w:p>
          <w:p w14:paraId="44BB6F4E">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中标合信（北京）认证有限公司</w:t>
            </w:r>
          </w:p>
        </w:tc>
      </w:tr>
      <w:tr w14:paraId="5D2D328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26FAE6E">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12</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86FA904">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A020910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3CBF933">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电视设备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42B7219">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A02091001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91FA7ED">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普通电视设备（电视机）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A286DF7">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4BCBFA41">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北京泰瑞特认证有限责任公司</w:t>
            </w:r>
          </w:p>
          <w:p w14:paraId="75DA9FB8">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广州赛宝认证中心服务有限公司</w:t>
            </w:r>
          </w:p>
        </w:tc>
      </w:tr>
      <w:tr w14:paraId="27FB4AF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72D7D00">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643230D">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A020911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FAF466">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视频设备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B2D1D7D">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A02091107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7A2E6FC">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视频监控设备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D8019E7">
            <w:pPr>
              <w:widowControl/>
              <w:jc w:val="left"/>
              <w:rPr>
                <w:rFonts w:ascii="仿宋" w:hAnsi="仿宋" w:eastAsia="仿宋" w:cs="宋体"/>
                <w:color w:val="auto"/>
                <w:w w:val="90"/>
                <w:kern w:val="0"/>
                <w:sz w:val="24"/>
                <w:szCs w:val="24"/>
                <w:highlight w:val="none"/>
              </w:rPr>
            </w:pPr>
          </w:p>
        </w:tc>
      </w:tr>
      <w:tr w14:paraId="660F669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C571BD0">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3AD3C05">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A031210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9D7ABDD">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饮食炊事机械</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6350E8D">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7B7650B">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770C4602">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06B10E84">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北京鉴衡认证中心</w:t>
            </w:r>
          </w:p>
          <w:p w14:paraId="12FE894F">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中国市政工程华北设计研究总院有限公司</w:t>
            </w:r>
          </w:p>
        </w:tc>
      </w:tr>
      <w:tr w14:paraId="0B7A3B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E9DB133">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1A67DE">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A060805</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8E2DBA4">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便器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66F1B9A">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CF3EE9">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vMerge w:val="restart"/>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14:paraId="17401700">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642CDCD2">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北京新华节水产品认证有限公司</w:t>
            </w:r>
          </w:p>
          <w:p w14:paraId="591F7390">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方圆标志认证集团有限公司</w:t>
            </w:r>
          </w:p>
        </w:tc>
      </w:tr>
      <w:tr w14:paraId="18BB926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FFB0FAC">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16</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C39401">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A060806</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0803EA">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水嘴</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F978549">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07F0C7F">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5D2E3EBB">
            <w:pPr>
              <w:widowControl/>
              <w:jc w:val="left"/>
              <w:rPr>
                <w:rFonts w:ascii="仿宋" w:hAnsi="仿宋" w:eastAsia="仿宋" w:cs="宋体"/>
                <w:color w:val="auto"/>
                <w:w w:val="90"/>
                <w:kern w:val="0"/>
                <w:sz w:val="24"/>
                <w:szCs w:val="24"/>
                <w:highlight w:val="none"/>
              </w:rPr>
            </w:pPr>
          </w:p>
        </w:tc>
      </w:tr>
      <w:tr w14:paraId="5C6B365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D1B21C1">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CD5AC26">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A060807</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369C7BA">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便器冲洗阀</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AD83CFD">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6ED0618">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07C67661">
            <w:pPr>
              <w:widowControl/>
              <w:jc w:val="left"/>
              <w:rPr>
                <w:rFonts w:ascii="仿宋" w:hAnsi="仿宋" w:eastAsia="仿宋" w:cs="宋体"/>
                <w:color w:val="auto"/>
                <w:w w:val="90"/>
                <w:kern w:val="0"/>
                <w:sz w:val="24"/>
                <w:szCs w:val="24"/>
                <w:highlight w:val="none"/>
              </w:rPr>
            </w:pPr>
          </w:p>
        </w:tc>
      </w:tr>
      <w:tr w14:paraId="50940A5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6963503C">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18</w:t>
            </w:r>
          </w:p>
        </w:tc>
        <w:tc>
          <w:tcPr>
            <w:tcW w:w="1134"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5CC23A8E">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A060810</w:t>
            </w:r>
          </w:p>
        </w:tc>
        <w:tc>
          <w:tcPr>
            <w:tcW w:w="1347"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26C1C45A">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淋浴器</w:t>
            </w:r>
          </w:p>
        </w:tc>
        <w:tc>
          <w:tcPr>
            <w:tcW w:w="130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6747E771">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13FCBBD5">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16C4F10C">
            <w:pPr>
              <w:widowControl/>
              <w:jc w:val="left"/>
              <w:rPr>
                <w:rFonts w:ascii="仿宋" w:hAnsi="仿宋" w:eastAsia="仿宋" w:cs="宋体"/>
                <w:color w:val="auto"/>
                <w:w w:val="90"/>
                <w:kern w:val="0"/>
                <w:sz w:val="24"/>
                <w:szCs w:val="24"/>
                <w:highlight w:val="none"/>
              </w:rPr>
            </w:pPr>
          </w:p>
        </w:tc>
      </w:tr>
    </w:tbl>
    <w:p w14:paraId="1F7F553A">
      <w:pPr>
        <w:keepNext/>
        <w:keepLines/>
        <w:autoSpaceDN w:val="0"/>
        <w:spacing w:before="240" w:line="360" w:lineRule="auto"/>
        <w:jc w:val="left"/>
        <w:outlineLvl w:val="3"/>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附2：参与实施政府采购环境标志产品认证机构名录</w:t>
      </w:r>
    </w:p>
    <w:tbl>
      <w:tblPr>
        <w:tblStyle w:val="61"/>
        <w:tblW w:w="9105"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7"/>
        <w:gridCol w:w="5967"/>
      </w:tblGrid>
      <w:tr w14:paraId="7DA86DC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851" w:type="dxa"/>
            <w:tcBorders>
              <w:top w:val="thinThickSmallGap" w:color="0070C0" w:sz="18" w:space="0"/>
              <w:left w:val="thinThickSmallGap" w:color="0070C0" w:sz="18"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14:paraId="7ACE5E91">
            <w:pPr>
              <w:widowControl/>
              <w:autoSpaceDN w:val="0"/>
              <w:spacing w:line="276" w:lineRule="auto"/>
              <w:jc w:val="center"/>
              <w:textAlignment w:val="baseline"/>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序号</w:t>
            </w:r>
          </w:p>
        </w:tc>
        <w:tc>
          <w:tcPr>
            <w:tcW w:w="2288" w:type="dxa"/>
            <w:tcBorders>
              <w:top w:val="thinThickSmallGap" w:color="0070C0" w:sz="18" w:space="0"/>
              <w:left w:val="single" w:color="0070C0" w:sz="6"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14:paraId="275DA3FB">
            <w:pPr>
              <w:widowControl/>
              <w:autoSpaceDN w:val="0"/>
              <w:spacing w:line="276" w:lineRule="auto"/>
              <w:jc w:val="center"/>
              <w:textAlignment w:val="baseline"/>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目录</w:t>
            </w:r>
          </w:p>
        </w:tc>
        <w:tc>
          <w:tcPr>
            <w:tcW w:w="5970" w:type="dxa"/>
            <w:tcBorders>
              <w:top w:val="thinThickSmallGap" w:color="0070C0" w:sz="18" w:space="0"/>
              <w:left w:val="single" w:color="0070C0" w:sz="6" w:space="0"/>
              <w:bottom w:val="single" w:color="0070C0" w:sz="6" w:space="0"/>
              <w:right w:val="thickThinSmallGap" w:color="0070C0" w:sz="18" w:space="0"/>
            </w:tcBorders>
            <w:shd w:val="clear" w:color="auto" w:fill="FDE9D9"/>
            <w:noWrap/>
            <w:tcMar>
              <w:top w:w="0" w:type="dxa"/>
              <w:left w:w="108" w:type="dxa"/>
              <w:bottom w:w="0" w:type="dxa"/>
              <w:right w:w="108" w:type="dxa"/>
            </w:tcMar>
            <w:vAlign w:val="center"/>
          </w:tcPr>
          <w:p w14:paraId="3B9CB6EF">
            <w:pPr>
              <w:widowControl/>
              <w:autoSpaceDN w:val="0"/>
              <w:spacing w:line="276" w:lineRule="auto"/>
              <w:jc w:val="center"/>
              <w:textAlignment w:val="baseline"/>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认证机构名录</w:t>
            </w:r>
          </w:p>
        </w:tc>
      </w:tr>
      <w:tr w14:paraId="5858BBE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PrEx>
        <w:trPr>
          <w:trHeight w:val="454" w:hRule="atLeast"/>
        </w:trPr>
        <w:tc>
          <w:tcPr>
            <w:tcW w:w="851"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26F4EF63">
            <w:pPr>
              <w:widowControl/>
              <w:autoSpaceDN w:val="0"/>
              <w:spacing w:line="276" w:lineRule="auto"/>
              <w:jc w:val="center"/>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w:t>
            </w:r>
          </w:p>
        </w:tc>
        <w:tc>
          <w:tcPr>
            <w:tcW w:w="228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6FCF2111">
            <w:pPr>
              <w:widowControl/>
              <w:autoSpaceDN w:val="0"/>
              <w:spacing w:line="276" w:lineRule="auto"/>
              <w:jc w:val="center"/>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环境标志产品</w:t>
            </w:r>
          </w:p>
        </w:tc>
        <w:tc>
          <w:tcPr>
            <w:tcW w:w="5970" w:type="dxa"/>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14:paraId="6DAE6D46">
            <w:pPr>
              <w:widowControl/>
              <w:autoSpaceDN w:val="0"/>
              <w:spacing w:line="276" w:lineRule="auto"/>
              <w:jc w:val="lef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中环联合（北京）认证中心有限公司</w:t>
            </w:r>
          </w:p>
          <w:p w14:paraId="0E07459A">
            <w:pPr>
              <w:widowControl/>
              <w:autoSpaceDN w:val="0"/>
              <w:spacing w:line="276" w:lineRule="auto"/>
              <w:jc w:val="lef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中标合信（北京）认证有限公司</w:t>
            </w:r>
          </w:p>
          <w:p w14:paraId="26D6D84F">
            <w:pPr>
              <w:widowControl/>
              <w:autoSpaceDN w:val="0"/>
              <w:spacing w:line="276" w:lineRule="auto"/>
              <w:jc w:val="lef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中环协（北京）认证有限公司</w:t>
            </w:r>
          </w:p>
          <w:p w14:paraId="02A26295">
            <w:pPr>
              <w:widowControl/>
              <w:autoSpaceDN w:val="0"/>
              <w:spacing w:line="276" w:lineRule="auto"/>
              <w:jc w:val="lef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天津华诚认证有限公司</w:t>
            </w:r>
          </w:p>
        </w:tc>
      </w:tr>
      <w:bookmarkEnd w:id="151"/>
      <w:bookmarkEnd w:id="152"/>
      <w:bookmarkEnd w:id="153"/>
      <w:bookmarkEnd w:id="154"/>
      <w:bookmarkEnd w:id="155"/>
    </w:tbl>
    <w:p w14:paraId="2148FF2A">
      <w:pPr>
        <w:autoSpaceDN w:val="0"/>
        <w:rPr>
          <w:rFonts w:ascii="仿宋" w:hAnsi="仿宋" w:eastAsia="仿宋" w:cs="宋体"/>
          <w:b/>
          <w:bCs/>
          <w:color w:val="auto"/>
          <w:sz w:val="24"/>
          <w:szCs w:val="24"/>
          <w:highlight w:val="none"/>
        </w:rPr>
      </w:pPr>
    </w:p>
    <w:p w14:paraId="104E4C35">
      <w:pPr>
        <w:rPr>
          <w:rFonts w:ascii="Times New Roman" w:hAnsi="Times New Roman" w:eastAsia="宋体" w:cs="Times New Roman"/>
          <w:color w:val="auto"/>
          <w:szCs w:val="24"/>
          <w:highlight w:val="none"/>
        </w:rPr>
      </w:pPr>
    </w:p>
    <w:p w14:paraId="2740FA3A">
      <w:pPr>
        <w:rPr>
          <w:rFonts w:ascii="Times New Roman" w:hAnsi="Times New Roman" w:eastAsia="宋体" w:cs="Times New Roman"/>
          <w:color w:val="auto"/>
          <w:szCs w:val="24"/>
          <w:highlight w:val="none"/>
        </w:rPr>
      </w:pPr>
    </w:p>
    <w:bookmarkEnd w:id="0"/>
    <w:p w14:paraId="2C9A467B">
      <w:pPr>
        <w:rPr>
          <w:color w:val="auto"/>
          <w:highlight w:val="none"/>
        </w:rPr>
      </w:pPr>
    </w:p>
    <w:bookmarkEnd w:id="207"/>
    <w:sectPr>
      <w:pgSz w:w="11906" w:h="16838"/>
      <w:pgMar w:top="1440" w:right="1800" w:bottom="1440" w:left="1800" w:header="851" w:footer="107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ヒラギノ角ゴ Pro W3">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ì.">
    <w:altName w:val="宋体"/>
    <w:panose1 w:val="00000000000000000000"/>
    <w:charset w:val="86"/>
    <w:family w:val="roman"/>
    <w:pitch w:val="default"/>
    <w:sig w:usb0="00000000" w:usb1="00000000" w:usb2="00000000" w:usb3="00000000" w:csb0="00040001" w:csb1="00000000"/>
  </w:font>
  <w:font w:name="Calibri Bold">
    <w:altName w:val="Calibri"/>
    <w:panose1 w:val="020F0702030404030204"/>
    <w:charset w:val="00"/>
    <w:family w:val="roman"/>
    <w:pitch w:val="default"/>
    <w:sig w:usb0="00000000" w:usb1="00000000" w:usb2="00000000" w:usb3="00000000" w:csb0="00040001" w:csb1="00000000"/>
  </w:font>
  <w:font w:name="???|CS?o｡ﾀ?">
    <w:altName w:val="Yu Gothic UI"/>
    <w:panose1 w:val="00000000000000000000"/>
    <w:charset w:val="80"/>
    <w:family w:val="moder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
    <w:altName w:val="Times New Roman"/>
    <w:panose1 w:val="00000000000000000000"/>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昆仑楷体">
    <w:altName w:val="黑体"/>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Bold">
    <w:altName w:val="Cambria"/>
    <w:panose1 w:val="02040803050406030204"/>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ˎ̥">
    <w:altName w:val="Malgun Gothic Semilight"/>
    <w:panose1 w:val="00000000000000000000"/>
    <w:charset w:val="00"/>
    <w:family w:val="roman"/>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MS UI Gothic">
    <w:panose1 w:val="020B0600070205080204"/>
    <w:charset w:val="80"/>
    <w:family w:val="swiss"/>
    <w:pitch w:val="default"/>
    <w:sig w:usb0="E00002FF" w:usb1="6AC7FDFB" w:usb2="08000012" w:usb3="00000000" w:csb0="4002009F" w:csb1="DFD70000"/>
  </w:font>
  <w:font w:name="Microsoft YaHei UI">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6ADD6">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E45C9">
    <w:pPr>
      <w:pStyle w:val="37"/>
      <w:jc w:val="center"/>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47702">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A5C0E">
    <w:pPr>
      <w:pStyle w:val="3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063BEF">
                          <w:pPr>
                            <w:pStyle w:val="37"/>
                          </w:pPr>
                          <w:r>
                            <w:fldChar w:fldCharType="begin"/>
                          </w:r>
                          <w:r>
                            <w:instrText xml:space="preserve"> PAGE  \* MERGEFORMAT </w:instrText>
                          </w:r>
                          <w:r>
                            <w:fldChar w:fldCharType="separate"/>
                          </w:r>
                          <w:r>
                            <w:t>56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55063BEF">
                    <w:pPr>
                      <w:pStyle w:val="3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D9D45">
    <w:pPr>
      <w:pStyle w:val="3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D6F42F">
                          <w:pPr>
                            <w:pStyle w:val="37"/>
                          </w:pPr>
                          <w:r>
                            <w:fldChar w:fldCharType="begin"/>
                          </w:r>
                          <w:r>
                            <w:instrText xml:space="preserve"> PAGE  \* MERGEFORMAT </w:instrText>
                          </w:r>
                          <w:r>
                            <w:fldChar w:fldCharType="separate"/>
                          </w:r>
                          <w:r>
                            <w:t>56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24D6F42F">
                    <w:pPr>
                      <w:pStyle w:val="3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FDCC8">
    <w:pPr>
      <w:pStyle w:val="3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270177">
                          <w:pPr>
                            <w:pStyle w:val="37"/>
                          </w:pPr>
                          <w:r>
                            <w:fldChar w:fldCharType="begin"/>
                          </w:r>
                          <w:r>
                            <w:instrText xml:space="preserve"> PAGE  \* MERGEFORMAT </w:instrText>
                          </w:r>
                          <w:r>
                            <w:fldChar w:fldCharType="separate"/>
                          </w:r>
                          <w:r>
                            <w:t>56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25270177">
                    <w:pPr>
                      <w:pStyle w:val="3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6CDCA">
    <w:r>
      <w:rPr>
        <w:rFonts w:hint="eastAsia"/>
      </w:rPr>
      <w:tab/>
    </w: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6A19B">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ECD5F">
    <w:pPr>
      <w:pStyle w:val="3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56CAF">
    <w:pPr>
      <w:pStyle w:val="3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887B6"/>
    <w:multiLevelType w:val="singleLevel"/>
    <w:tmpl w:val="ACB887B6"/>
    <w:lvl w:ilvl="0" w:tentative="0">
      <w:start w:val="1"/>
      <w:numFmt w:val="decimal"/>
      <w:lvlText w:val="(%1)"/>
      <w:lvlJc w:val="left"/>
      <w:pPr>
        <w:tabs>
          <w:tab w:val="left" w:pos="312"/>
        </w:tabs>
      </w:pPr>
    </w:lvl>
  </w:abstractNum>
  <w:abstractNum w:abstractNumId="1">
    <w:nsid w:val="D91A6FAE"/>
    <w:multiLevelType w:val="singleLevel"/>
    <w:tmpl w:val="D91A6FAE"/>
    <w:lvl w:ilvl="0" w:tentative="0">
      <w:start w:val="1"/>
      <w:numFmt w:val="decimal"/>
      <w:suff w:val="nothing"/>
      <w:lvlText w:val="（%1）"/>
      <w:lvlJc w:val="left"/>
      <w:pPr>
        <w:ind w:left="0" w:firstLine="0"/>
      </w:pPr>
    </w:lvl>
  </w:abstractNum>
  <w:abstractNum w:abstractNumId="2">
    <w:nsid w:val="FFFFFF7E"/>
    <w:multiLevelType w:val="singleLevel"/>
    <w:tmpl w:val="FFFFFF7E"/>
    <w:lvl w:ilvl="0" w:tentative="0">
      <w:start w:val="1"/>
      <w:numFmt w:val="decimal"/>
      <w:pStyle w:val="24"/>
      <w:lvlText w:val="%1."/>
      <w:lvlJc w:val="left"/>
      <w:pPr>
        <w:tabs>
          <w:tab w:val="left" w:pos="1200"/>
        </w:tabs>
        <w:ind w:left="1200" w:hanging="360"/>
      </w:pPr>
    </w:lvl>
  </w:abstractNum>
  <w:abstractNum w:abstractNumId="3">
    <w:nsid w:val="004C1BFA"/>
    <w:multiLevelType w:val="multilevel"/>
    <w:tmpl w:val="004C1BFA"/>
    <w:lvl w:ilvl="0" w:tentative="0">
      <w:start w:val="1"/>
      <w:numFmt w:val="decimal"/>
      <w:pStyle w:val="359"/>
      <w:lvlText w:val="%1"/>
      <w:lvlJc w:val="left"/>
      <w:pPr>
        <w:ind w:left="704" w:hanging="420"/>
      </w:pPr>
      <w:rPr>
        <w:rFonts w:cs="Times New Roman"/>
      </w:rPr>
    </w:lvl>
    <w:lvl w:ilvl="1" w:tentative="0">
      <w:start w:val="1"/>
      <w:numFmt w:val="lowerLetter"/>
      <w:pStyle w:val="517"/>
      <w:lvlText w:val="%2)"/>
      <w:lvlJc w:val="left"/>
      <w:pPr>
        <w:ind w:left="1124" w:hanging="420"/>
      </w:pPr>
      <w:rPr>
        <w:rFonts w:cs="Times New Roman"/>
      </w:rPr>
    </w:lvl>
    <w:lvl w:ilvl="2" w:tentative="0">
      <w:start w:val="1"/>
      <w:numFmt w:val="lowerRoman"/>
      <w:lvlText w:val="%3."/>
      <w:lvlJc w:val="right"/>
      <w:pPr>
        <w:ind w:left="1544" w:hanging="420"/>
      </w:pPr>
      <w:rPr>
        <w:rFonts w:cs="Times New Roman"/>
      </w:rPr>
    </w:lvl>
    <w:lvl w:ilvl="3" w:tentative="0">
      <w:start w:val="1"/>
      <w:numFmt w:val="decimal"/>
      <w:lvlText w:val="%4."/>
      <w:lvlJc w:val="left"/>
      <w:pPr>
        <w:ind w:left="1964" w:hanging="420"/>
      </w:pPr>
      <w:rPr>
        <w:rFonts w:cs="Times New Roman"/>
      </w:rPr>
    </w:lvl>
    <w:lvl w:ilvl="4" w:tentative="0">
      <w:start w:val="1"/>
      <w:numFmt w:val="lowerLetter"/>
      <w:lvlText w:val="%5)"/>
      <w:lvlJc w:val="left"/>
      <w:pPr>
        <w:ind w:left="2384" w:hanging="420"/>
      </w:pPr>
      <w:rPr>
        <w:rFonts w:cs="Times New Roman"/>
      </w:rPr>
    </w:lvl>
    <w:lvl w:ilvl="5" w:tentative="0">
      <w:start w:val="1"/>
      <w:numFmt w:val="lowerRoman"/>
      <w:lvlText w:val="%6."/>
      <w:lvlJc w:val="right"/>
      <w:pPr>
        <w:ind w:left="2804" w:hanging="420"/>
      </w:pPr>
      <w:rPr>
        <w:rFonts w:cs="Times New Roman"/>
      </w:rPr>
    </w:lvl>
    <w:lvl w:ilvl="6" w:tentative="0">
      <w:start w:val="1"/>
      <w:numFmt w:val="decimal"/>
      <w:lvlText w:val="%7."/>
      <w:lvlJc w:val="left"/>
      <w:pPr>
        <w:ind w:left="3224" w:hanging="420"/>
      </w:pPr>
      <w:rPr>
        <w:rFonts w:cs="Times New Roman"/>
      </w:rPr>
    </w:lvl>
    <w:lvl w:ilvl="7" w:tentative="0">
      <w:start w:val="1"/>
      <w:numFmt w:val="lowerLetter"/>
      <w:lvlText w:val="%8)"/>
      <w:lvlJc w:val="left"/>
      <w:pPr>
        <w:ind w:left="3644" w:hanging="420"/>
      </w:pPr>
      <w:rPr>
        <w:rFonts w:cs="Times New Roman"/>
      </w:rPr>
    </w:lvl>
    <w:lvl w:ilvl="8" w:tentative="0">
      <w:start w:val="1"/>
      <w:numFmt w:val="lowerRoman"/>
      <w:lvlText w:val="%9."/>
      <w:lvlJc w:val="right"/>
      <w:pPr>
        <w:ind w:left="4064" w:hanging="420"/>
      </w:pPr>
      <w:rPr>
        <w:rFonts w:cs="Times New Roman"/>
      </w:rPr>
    </w:lvl>
  </w:abstractNum>
  <w:abstractNum w:abstractNumId="4">
    <w:nsid w:val="09890BCC"/>
    <w:multiLevelType w:val="multilevel"/>
    <w:tmpl w:val="09890BCC"/>
    <w:lvl w:ilvl="0" w:tentative="0">
      <w:start w:val="1"/>
      <w:numFmt w:val="decimal"/>
      <w:pStyle w:val="15"/>
      <w:lvlText w:val="%1．"/>
      <w:lvlJc w:val="left"/>
      <w:pPr>
        <w:tabs>
          <w:tab w:val="left" w:pos="900"/>
        </w:tabs>
        <w:ind w:left="900" w:hanging="720"/>
      </w:p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5">
    <w:nsid w:val="0E772A46"/>
    <w:multiLevelType w:val="multilevel"/>
    <w:tmpl w:val="0E772A46"/>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20D21CC"/>
    <w:multiLevelType w:val="multilevel"/>
    <w:tmpl w:val="120D21CC"/>
    <w:lvl w:ilvl="0" w:tentative="0">
      <w:start w:val="1"/>
      <w:numFmt w:val="decimal"/>
      <w:pStyle w:val="229"/>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7">
    <w:nsid w:val="37851814"/>
    <w:multiLevelType w:val="multilevel"/>
    <w:tmpl w:val="37851814"/>
    <w:lvl w:ilvl="0" w:tentative="0">
      <w:start w:val="1"/>
      <w:numFmt w:val="decimal"/>
      <w:pStyle w:val="237"/>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54020BF1"/>
    <w:multiLevelType w:val="multilevel"/>
    <w:tmpl w:val="54020BF1"/>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lvlOverride w:ilvl="0">
      <w:startOverride w:val="1"/>
    </w:lvlOverride>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yODI0M2ExNzUyODFlMWViYTA0MjlhMmVjMzIwZmMifQ=="/>
    <w:docVar w:name="KGWebUrl" w:val="http://oa.zjgsu.edu.cn/zftal-zhbgpt-web/common/weboffice/server.zf?jsessionid=0180535E626E8E8EEF3E916D91F78817"/>
  </w:docVars>
  <w:rsids>
    <w:rsidRoot w:val="00D910AE"/>
    <w:rsid w:val="00002EEF"/>
    <w:rsid w:val="000157C2"/>
    <w:rsid w:val="00016690"/>
    <w:rsid w:val="00016899"/>
    <w:rsid w:val="00077C14"/>
    <w:rsid w:val="000972F1"/>
    <w:rsid w:val="000B1A79"/>
    <w:rsid w:val="001707DE"/>
    <w:rsid w:val="001D1178"/>
    <w:rsid w:val="001D6C0F"/>
    <w:rsid w:val="00285221"/>
    <w:rsid w:val="002859CB"/>
    <w:rsid w:val="00291450"/>
    <w:rsid w:val="002919D3"/>
    <w:rsid w:val="002D0769"/>
    <w:rsid w:val="002D2D7A"/>
    <w:rsid w:val="002E23A5"/>
    <w:rsid w:val="002E38E4"/>
    <w:rsid w:val="002E498B"/>
    <w:rsid w:val="002F6025"/>
    <w:rsid w:val="00300CEF"/>
    <w:rsid w:val="003111D3"/>
    <w:rsid w:val="00312FA4"/>
    <w:rsid w:val="00325C20"/>
    <w:rsid w:val="003330C1"/>
    <w:rsid w:val="00334336"/>
    <w:rsid w:val="0033586E"/>
    <w:rsid w:val="0039558B"/>
    <w:rsid w:val="003F2324"/>
    <w:rsid w:val="00403BB8"/>
    <w:rsid w:val="00405C3C"/>
    <w:rsid w:val="004A088A"/>
    <w:rsid w:val="004B1B73"/>
    <w:rsid w:val="004B2426"/>
    <w:rsid w:val="004C4A67"/>
    <w:rsid w:val="004C7A8C"/>
    <w:rsid w:val="004F254A"/>
    <w:rsid w:val="00525372"/>
    <w:rsid w:val="005262E4"/>
    <w:rsid w:val="0053232F"/>
    <w:rsid w:val="00537D02"/>
    <w:rsid w:val="005406B5"/>
    <w:rsid w:val="00564DE4"/>
    <w:rsid w:val="005A5F85"/>
    <w:rsid w:val="005F463E"/>
    <w:rsid w:val="00643D8C"/>
    <w:rsid w:val="00654633"/>
    <w:rsid w:val="006743ED"/>
    <w:rsid w:val="006A4548"/>
    <w:rsid w:val="006F3115"/>
    <w:rsid w:val="00731203"/>
    <w:rsid w:val="00737403"/>
    <w:rsid w:val="007379F9"/>
    <w:rsid w:val="00745D76"/>
    <w:rsid w:val="0075194C"/>
    <w:rsid w:val="00760FBA"/>
    <w:rsid w:val="007756C4"/>
    <w:rsid w:val="00797333"/>
    <w:rsid w:val="007B74F5"/>
    <w:rsid w:val="007C54A4"/>
    <w:rsid w:val="007E2DFD"/>
    <w:rsid w:val="007F17FD"/>
    <w:rsid w:val="00874A74"/>
    <w:rsid w:val="0088277F"/>
    <w:rsid w:val="008943A5"/>
    <w:rsid w:val="008A75AC"/>
    <w:rsid w:val="008B600D"/>
    <w:rsid w:val="008D2F23"/>
    <w:rsid w:val="008F46A2"/>
    <w:rsid w:val="00913F68"/>
    <w:rsid w:val="009323A6"/>
    <w:rsid w:val="00A40F4E"/>
    <w:rsid w:val="00A442DC"/>
    <w:rsid w:val="00A66CA9"/>
    <w:rsid w:val="00B07FBC"/>
    <w:rsid w:val="00B206EC"/>
    <w:rsid w:val="00B2192F"/>
    <w:rsid w:val="00B233CB"/>
    <w:rsid w:val="00B30565"/>
    <w:rsid w:val="00B51557"/>
    <w:rsid w:val="00BB15C2"/>
    <w:rsid w:val="00BC5A20"/>
    <w:rsid w:val="00BD5FDD"/>
    <w:rsid w:val="00BE1545"/>
    <w:rsid w:val="00BE4569"/>
    <w:rsid w:val="00C00AEA"/>
    <w:rsid w:val="00C028EC"/>
    <w:rsid w:val="00C1091E"/>
    <w:rsid w:val="00C10BCA"/>
    <w:rsid w:val="00C23AB0"/>
    <w:rsid w:val="00C23CDE"/>
    <w:rsid w:val="00CB7A4E"/>
    <w:rsid w:val="00CC412C"/>
    <w:rsid w:val="00CE47CD"/>
    <w:rsid w:val="00D06BF0"/>
    <w:rsid w:val="00D11904"/>
    <w:rsid w:val="00D11B86"/>
    <w:rsid w:val="00D16AB6"/>
    <w:rsid w:val="00D257C5"/>
    <w:rsid w:val="00D27CC1"/>
    <w:rsid w:val="00D515DE"/>
    <w:rsid w:val="00D821B1"/>
    <w:rsid w:val="00D910AE"/>
    <w:rsid w:val="00DB4616"/>
    <w:rsid w:val="00DF083E"/>
    <w:rsid w:val="00DF29E0"/>
    <w:rsid w:val="00DF5F58"/>
    <w:rsid w:val="00E004F8"/>
    <w:rsid w:val="00E2158F"/>
    <w:rsid w:val="00E5189A"/>
    <w:rsid w:val="00E80370"/>
    <w:rsid w:val="00E95B60"/>
    <w:rsid w:val="00EA058C"/>
    <w:rsid w:val="00EB0C27"/>
    <w:rsid w:val="00EE2410"/>
    <w:rsid w:val="00F03C16"/>
    <w:rsid w:val="00F133AA"/>
    <w:rsid w:val="00F46312"/>
    <w:rsid w:val="00F74272"/>
    <w:rsid w:val="00F85B13"/>
    <w:rsid w:val="00F93DAC"/>
    <w:rsid w:val="00FD0CC6"/>
    <w:rsid w:val="00FF7E52"/>
    <w:rsid w:val="01791910"/>
    <w:rsid w:val="01A52705"/>
    <w:rsid w:val="01AF7562"/>
    <w:rsid w:val="01CA3F1A"/>
    <w:rsid w:val="022C24DE"/>
    <w:rsid w:val="02356D6A"/>
    <w:rsid w:val="028B4E8E"/>
    <w:rsid w:val="02925A61"/>
    <w:rsid w:val="02B96468"/>
    <w:rsid w:val="02C1356F"/>
    <w:rsid w:val="02DC0A16"/>
    <w:rsid w:val="03065425"/>
    <w:rsid w:val="030B374D"/>
    <w:rsid w:val="03247659"/>
    <w:rsid w:val="0326440A"/>
    <w:rsid w:val="03394F1A"/>
    <w:rsid w:val="03443858"/>
    <w:rsid w:val="0369158A"/>
    <w:rsid w:val="03892540"/>
    <w:rsid w:val="03905ADC"/>
    <w:rsid w:val="040A4AA1"/>
    <w:rsid w:val="041D6583"/>
    <w:rsid w:val="04293179"/>
    <w:rsid w:val="04844854"/>
    <w:rsid w:val="048E122E"/>
    <w:rsid w:val="04E23328"/>
    <w:rsid w:val="05065269"/>
    <w:rsid w:val="052D36E5"/>
    <w:rsid w:val="058F45E8"/>
    <w:rsid w:val="05910431"/>
    <w:rsid w:val="05EF03F3"/>
    <w:rsid w:val="0610493F"/>
    <w:rsid w:val="06147E59"/>
    <w:rsid w:val="062F6624"/>
    <w:rsid w:val="06541A9E"/>
    <w:rsid w:val="069F7DB0"/>
    <w:rsid w:val="06F2019A"/>
    <w:rsid w:val="06F86E33"/>
    <w:rsid w:val="06FC2DC7"/>
    <w:rsid w:val="07057522"/>
    <w:rsid w:val="071B5392"/>
    <w:rsid w:val="07224AC8"/>
    <w:rsid w:val="07304CD1"/>
    <w:rsid w:val="07634BF4"/>
    <w:rsid w:val="07807554"/>
    <w:rsid w:val="079925E1"/>
    <w:rsid w:val="07B471FE"/>
    <w:rsid w:val="07B54E60"/>
    <w:rsid w:val="07D94EB6"/>
    <w:rsid w:val="0818141E"/>
    <w:rsid w:val="08670714"/>
    <w:rsid w:val="08B52B24"/>
    <w:rsid w:val="08F17D67"/>
    <w:rsid w:val="08FF6B9F"/>
    <w:rsid w:val="09062B1F"/>
    <w:rsid w:val="0949606C"/>
    <w:rsid w:val="094D6FD8"/>
    <w:rsid w:val="094D790A"/>
    <w:rsid w:val="098502D3"/>
    <w:rsid w:val="09BE4C65"/>
    <w:rsid w:val="09C556F2"/>
    <w:rsid w:val="09D27A29"/>
    <w:rsid w:val="0A16757C"/>
    <w:rsid w:val="0A3E36F7"/>
    <w:rsid w:val="0A674CCF"/>
    <w:rsid w:val="0A780FD3"/>
    <w:rsid w:val="0ADB7197"/>
    <w:rsid w:val="0AF3628F"/>
    <w:rsid w:val="0B064214"/>
    <w:rsid w:val="0B333FAA"/>
    <w:rsid w:val="0B3C7C36"/>
    <w:rsid w:val="0B66017E"/>
    <w:rsid w:val="0BBC0505"/>
    <w:rsid w:val="0BE43E2A"/>
    <w:rsid w:val="0C18633A"/>
    <w:rsid w:val="0C250048"/>
    <w:rsid w:val="0C6812D0"/>
    <w:rsid w:val="0C851169"/>
    <w:rsid w:val="0CE11CD3"/>
    <w:rsid w:val="0D3E56CD"/>
    <w:rsid w:val="0D4E1EA3"/>
    <w:rsid w:val="0DBB1446"/>
    <w:rsid w:val="0DD979BE"/>
    <w:rsid w:val="0E2C21E4"/>
    <w:rsid w:val="0E48092C"/>
    <w:rsid w:val="0E545297"/>
    <w:rsid w:val="0E6F0323"/>
    <w:rsid w:val="0E8010F9"/>
    <w:rsid w:val="0E9B1118"/>
    <w:rsid w:val="0EEB2A4C"/>
    <w:rsid w:val="0EF645A0"/>
    <w:rsid w:val="0F737150"/>
    <w:rsid w:val="0F9A0092"/>
    <w:rsid w:val="0F9C11E5"/>
    <w:rsid w:val="0FBC4D56"/>
    <w:rsid w:val="0FDA597D"/>
    <w:rsid w:val="101A2510"/>
    <w:rsid w:val="104B091B"/>
    <w:rsid w:val="1084221D"/>
    <w:rsid w:val="10B72A0C"/>
    <w:rsid w:val="10BB15FD"/>
    <w:rsid w:val="10CC55B8"/>
    <w:rsid w:val="1102547E"/>
    <w:rsid w:val="112C0073"/>
    <w:rsid w:val="1152290F"/>
    <w:rsid w:val="1178361C"/>
    <w:rsid w:val="117A1879"/>
    <w:rsid w:val="118C512A"/>
    <w:rsid w:val="119F2CCD"/>
    <w:rsid w:val="11F078CC"/>
    <w:rsid w:val="121B4BF4"/>
    <w:rsid w:val="129F0AAB"/>
    <w:rsid w:val="12AB56BA"/>
    <w:rsid w:val="13223BB5"/>
    <w:rsid w:val="136F5004"/>
    <w:rsid w:val="13731A92"/>
    <w:rsid w:val="13B567D8"/>
    <w:rsid w:val="13BD7245"/>
    <w:rsid w:val="13E26254"/>
    <w:rsid w:val="14550A82"/>
    <w:rsid w:val="14884E2D"/>
    <w:rsid w:val="149B517D"/>
    <w:rsid w:val="14A30D26"/>
    <w:rsid w:val="14A97F23"/>
    <w:rsid w:val="14B46A8F"/>
    <w:rsid w:val="14BB6070"/>
    <w:rsid w:val="14D56A06"/>
    <w:rsid w:val="14EF3F6B"/>
    <w:rsid w:val="151856A7"/>
    <w:rsid w:val="151E03AD"/>
    <w:rsid w:val="15454D0E"/>
    <w:rsid w:val="15712BD2"/>
    <w:rsid w:val="15745C65"/>
    <w:rsid w:val="158F12AA"/>
    <w:rsid w:val="15BF393E"/>
    <w:rsid w:val="16414353"/>
    <w:rsid w:val="164E081E"/>
    <w:rsid w:val="169923E1"/>
    <w:rsid w:val="16AC12CB"/>
    <w:rsid w:val="16D03928"/>
    <w:rsid w:val="16D50F3F"/>
    <w:rsid w:val="16E605DB"/>
    <w:rsid w:val="17052552"/>
    <w:rsid w:val="172A128B"/>
    <w:rsid w:val="172E3A9E"/>
    <w:rsid w:val="17455FEB"/>
    <w:rsid w:val="17481711"/>
    <w:rsid w:val="1767603B"/>
    <w:rsid w:val="18131D1F"/>
    <w:rsid w:val="182F0E04"/>
    <w:rsid w:val="187E54D4"/>
    <w:rsid w:val="18C748B7"/>
    <w:rsid w:val="18C80D5B"/>
    <w:rsid w:val="18CE20EA"/>
    <w:rsid w:val="18DA283C"/>
    <w:rsid w:val="19566367"/>
    <w:rsid w:val="19575C3B"/>
    <w:rsid w:val="19894F54"/>
    <w:rsid w:val="19991019"/>
    <w:rsid w:val="19BB441C"/>
    <w:rsid w:val="19D52777"/>
    <w:rsid w:val="1A4C776A"/>
    <w:rsid w:val="1AB04A94"/>
    <w:rsid w:val="1ABD41C4"/>
    <w:rsid w:val="1AC45552"/>
    <w:rsid w:val="1AC6751C"/>
    <w:rsid w:val="1AD75285"/>
    <w:rsid w:val="1AF1649A"/>
    <w:rsid w:val="1AFC6E58"/>
    <w:rsid w:val="1B610FF3"/>
    <w:rsid w:val="1BD45299"/>
    <w:rsid w:val="1BEA2178"/>
    <w:rsid w:val="1BEE6D2B"/>
    <w:rsid w:val="1C281B11"/>
    <w:rsid w:val="1C295ECB"/>
    <w:rsid w:val="1C2C7DBA"/>
    <w:rsid w:val="1C7E5859"/>
    <w:rsid w:val="1CE7377A"/>
    <w:rsid w:val="1D040DAB"/>
    <w:rsid w:val="1D4604F3"/>
    <w:rsid w:val="1D766A29"/>
    <w:rsid w:val="1D7C655F"/>
    <w:rsid w:val="1DF20628"/>
    <w:rsid w:val="1E1E36A6"/>
    <w:rsid w:val="1E4F5A7B"/>
    <w:rsid w:val="1E73212A"/>
    <w:rsid w:val="1E761FB4"/>
    <w:rsid w:val="1E831280"/>
    <w:rsid w:val="1EAB0F03"/>
    <w:rsid w:val="1EB87665"/>
    <w:rsid w:val="1EC2624D"/>
    <w:rsid w:val="1F0B19A2"/>
    <w:rsid w:val="1F15637C"/>
    <w:rsid w:val="1F371E52"/>
    <w:rsid w:val="1F427E7B"/>
    <w:rsid w:val="1FAE731F"/>
    <w:rsid w:val="1FF24CA4"/>
    <w:rsid w:val="1FF64A1D"/>
    <w:rsid w:val="2059498F"/>
    <w:rsid w:val="207B66B3"/>
    <w:rsid w:val="207D68CF"/>
    <w:rsid w:val="20904E15"/>
    <w:rsid w:val="20BB1471"/>
    <w:rsid w:val="20F052F3"/>
    <w:rsid w:val="21333432"/>
    <w:rsid w:val="21385966"/>
    <w:rsid w:val="21627DB3"/>
    <w:rsid w:val="217E4766"/>
    <w:rsid w:val="21D00C81"/>
    <w:rsid w:val="21D20555"/>
    <w:rsid w:val="21D46077"/>
    <w:rsid w:val="21E8421C"/>
    <w:rsid w:val="22066484"/>
    <w:rsid w:val="223D3B7A"/>
    <w:rsid w:val="225C65BA"/>
    <w:rsid w:val="226E008B"/>
    <w:rsid w:val="22D958E1"/>
    <w:rsid w:val="22E83DA8"/>
    <w:rsid w:val="22FC115A"/>
    <w:rsid w:val="23775858"/>
    <w:rsid w:val="238B1783"/>
    <w:rsid w:val="239F5281"/>
    <w:rsid w:val="23CD2307"/>
    <w:rsid w:val="242C042C"/>
    <w:rsid w:val="244F2331"/>
    <w:rsid w:val="248F1CB6"/>
    <w:rsid w:val="24E76A0D"/>
    <w:rsid w:val="253B2AE5"/>
    <w:rsid w:val="25C12DBA"/>
    <w:rsid w:val="25CA2314"/>
    <w:rsid w:val="25E43998"/>
    <w:rsid w:val="26120DB9"/>
    <w:rsid w:val="265D4703"/>
    <w:rsid w:val="26704BBE"/>
    <w:rsid w:val="26C64400"/>
    <w:rsid w:val="26E33204"/>
    <w:rsid w:val="26EF2BC4"/>
    <w:rsid w:val="26F1147D"/>
    <w:rsid w:val="27455C6D"/>
    <w:rsid w:val="27572D81"/>
    <w:rsid w:val="27987C58"/>
    <w:rsid w:val="27B16E5E"/>
    <w:rsid w:val="27B33F58"/>
    <w:rsid w:val="27B8643F"/>
    <w:rsid w:val="27FA7609"/>
    <w:rsid w:val="28127A77"/>
    <w:rsid w:val="28133675"/>
    <w:rsid w:val="283E1BE5"/>
    <w:rsid w:val="285C501C"/>
    <w:rsid w:val="28996270"/>
    <w:rsid w:val="28C055AB"/>
    <w:rsid w:val="28ED3EC6"/>
    <w:rsid w:val="290A5ABA"/>
    <w:rsid w:val="29235B3A"/>
    <w:rsid w:val="29493E47"/>
    <w:rsid w:val="29534B10"/>
    <w:rsid w:val="2A3049B2"/>
    <w:rsid w:val="2A391AB9"/>
    <w:rsid w:val="2A4B17EC"/>
    <w:rsid w:val="2A8645D2"/>
    <w:rsid w:val="2ACB0237"/>
    <w:rsid w:val="2AFE060C"/>
    <w:rsid w:val="2B326508"/>
    <w:rsid w:val="2B856638"/>
    <w:rsid w:val="2BBB474F"/>
    <w:rsid w:val="2BDE1B3D"/>
    <w:rsid w:val="2BEA25FA"/>
    <w:rsid w:val="2C2C73FB"/>
    <w:rsid w:val="2C4D184B"/>
    <w:rsid w:val="2C5F157F"/>
    <w:rsid w:val="2C6B4AC3"/>
    <w:rsid w:val="2C730B86"/>
    <w:rsid w:val="2CC35400"/>
    <w:rsid w:val="2CCB6BEF"/>
    <w:rsid w:val="2CD226C8"/>
    <w:rsid w:val="2D0619FA"/>
    <w:rsid w:val="2D23435A"/>
    <w:rsid w:val="2D7626DC"/>
    <w:rsid w:val="2D79220F"/>
    <w:rsid w:val="2DB2578B"/>
    <w:rsid w:val="2E724ECC"/>
    <w:rsid w:val="2ED4493C"/>
    <w:rsid w:val="2EE43FBD"/>
    <w:rsid w:val="2F454A5C"/>
    <w:rsid w:val="2F741AF9"/>
    <w:rsid w:val="2F84677E"/>
    <w:rsid w:val="2FA96B3D"/>
    <w:rsid w:val="2FB054D4"/>
    <w:rsid w:val="2FDB0F1C"/>
    <w:rsid w:val="30313232"/>
    <w:rsid w:val="306D4751"/>
    <w:rsid w:val="311F12DD"/>
    <w:rsid w:val="31413386"/>
    <w:rsid w:val="314C7B56"/>
    <w:rsid w:val="31501496"/>
    <w:rsid w:val="31AA32FC"/>
    <w:rsid w:val="31BA3142"/>
    <w:rsid w:val="31C14142"/>
    <w:rsid w:val="31D02A3D"/>
    <w:rsid w:val="31D976DD"/>
    <w:rsid w:val="31ED3189"/>
    <w:rsid w:val="32171FB4"/>
    <w:rsid w:val="326A2A2B"/>
    <w:rsid w:val="32861A63"/>
    <w:rsid w:val="3291399D"/>
    <w:rsid w:val="3293373B"/>
    <w:rsid w:val="329B4993"/>
    <w:rsid w:val="32AA2E28"/>
    <w:rsid w:val="331035D3"/>
    <w:rsid w:val="33446DD8"/>
    <w:rsid w:val="33524AF4"/>
    <w:rsid w:val="33604C3F"/>
    <w:rsid w:val="33B4426B"/>
    <w:rsid w:val="342C61EA"/>
    <w:rsid w:val="343E1A7A"/>
    <w:rsid w:val="34A00986"/>
    <w:rsid w:val="34BD790F"/>
    <w:rsid w:val="350C7DCA"/>
    <w:rsid w:val="350E5DAF"/>
    <w:rsid w:val="352E1AEE"/>
    <w:rsid w:val="355879C5"/>
    <w:rsid w:val="35CC6F22"/>
    <w:rsid w:val="36015455"/>
    <w:rsid w:val="360B24B9"/>
    <w:rsid w:val="36127662"/>
    <w:rsid w:val="362C24D2"/>
    <w:rsid w:val="36335B90"/>
    <w:rsid w:val="364D6772"/>
    <w:rsid w:val="3666792F"/>
    <w:rsid w:val="367E6AA5"/>
    <w:rsid w:val="36857E34"/>
    <w:rsid w:val="36873880"/>
    <w:rsid w:val="36ED02CA"/>
    <w:rsid w:val="379A346B"/>
    <w:rsid w:val="379B25D7"/>
    <w:rsid w:val="37B025A2"/>
    <w:rsid w:val="37ED5C00"/>
    <w:rsid w:val="384004B6"/>
    <w:rsid w:val="389D2E4B"/>
    <w:rsid w:val="38CE7F0A"/>
    <w:rsid w:val="38DB01DF"/>
    <w:rsid w:val="38EE7F12"/>
    <w:rsid w:val="392B06F0"/>
    <w:rsid w:val="394E23CD"/>
    <w:rsid w:val="395D3A1B"/>
    <w:rsid w:val="396B70C2"/>
    <w:rsid w:val="397B72CC"/>
    <w:rsid w:val="3995213C"/>
    <w:rsid w:val="39964C0C"/>
    <w:rsid w:val="39FF09DB"/>
    <w:rsid w:val="3A2C1FD8"/>
    <w:rsid w:val="3A2F2590"/>
    <w:rsid w:val="3A5F014B"/>
    <w:rsid w:val="3A824DB6"/>
    <w:rsid w:val="3AAB2255"/>
    <w:rsid w:val="3AD870A0"/>
    <w:rsid w:val="3B36697E"/>
    <w:rsid w:val="3B464036"/>
    <w:rsid w:val="3B5068F7"/>
    <w:rsid w:val="3B842468"/>
    <w:rsid w:val="3B887743"/>
    <w:rsid w:val="3B921D33"/>
    <w:rsid w:val="3B9C1EA7"/>
    <w:rsid w:val="3BBB7E54"/>
    <w:rsid w:val="3C1D1FCF"/>
    <w:rsid w:val="3C2B135B"/>
    <w:rsid w:val="3C4E0CC8"/>
    <w:rsid w:val="3C502C92"/>
    <w:rsid w:val="3C5A336A"/>
    <w:rsid w:val="3CC233F6"/>
    <w:rsid w:val="3CDB69FF"/>
    <w:rsid w:val="3CE52DAF"/>
    <w:rsid w:val="3CF47AC1"/>
    <w:rsid w:val="3D113ED7"/>
    <w:rsid w:val="3DD26D7F"/>
    <w:rsid w:val="3DE6565C"/>
    <w:rsid w:val="3DEB4A20"/>
    <w:rsid w:val="3E2148E6"/>
    <w:rsid w:val="3E541694"/>
    <w:rsid w:val="3E64615F"/>
    <w:rsid w:val="3E6F7DAB"/>
    <w:rsid w:val="3E98746E"/>
    <w:rsid w:val="3E9C3F6D"/>
    <w:rsid w:val="3EB829E4"/>
    <w:rsid w:val="3EBC460F"/>
    <w:rsid w:val="3EC104C1"/>
    <w:rsid w:val="3EEB27FE"/>
    <w:rsid w:val="3EF94F1B"/>
    <w:rsid w:val="3F0C204C"/>
    <w:rsid w:val="3FEC4311"/>
    <w:rsid w:val="3FF73B50"/>
    <w:rsid w:val="40083152"/>
    <w:rsid w:val="40185F30"/>
    <w:rsid w:val="403A1C8F"/>
    <w:rsid w:val="40750F19"/>
    <w:rsid w:val="40A47108"/>
    <w:rsid w:val="40D53766"/>
    <w:rsid w:val="410706BB"/>
    <w:rsid w:val="412D276B"/>
    <w:rsid w:val="414046BD"/>
    <w:rsid w:val="415154E2"/>
    <w:rsid w:val="41753E74"/>
    <w:rsid w:val="42022339"/>
    <w:rsid w:val="426B77AA"/>
    <w:rsid w:val="42843695"/>
    <w:rsid w:val="42C35F6C"/>
    <w:rsid w:val="4359242C"/>
    <w:rsid w:val="44085352"/>
    <w:rsid w:val="442742D8"/>
    <w:rsid w:val="447119F7"/>
    <w:rsid w:val="44832FFF"/>
    <w:rsid w:val="44B034E0"/>
    <w:rsid w:val="44BC7116"/>
    <w:rsid w:val="44E06E90"/>
    <w:rsid w:val="44F87A23"/>
    <w:rsid w:val="44FF2FEC"/>
    <w:rsid w:val="45107462"/>
    <w:rsid w:val="451B472F"/>
    <w:rsid w:val="45303A38"/>
    <w:rsid w:val="45632161"/>
    <w:rsid w:val="45723C79"/>
    <w:rsid w:val="457C0654"/>
    <w:rsid w:val="458C4D3B"/>
    <w:rsid w:val="45AA4D95"/>
    <w:rsid w:val="45B147A1"/>
    <w:rsid w:val="45B20519"/>
    <w:rsid w:val="4654384D"/>
    <w:rsid w:val="466E4440"/>
    <w:rsid w:val="46805AB8"/>
    <w:rsid w:val="46853538"/>
    <w:rsid w:val="4748640C"/>
    <w:rsid w:val="47512AB9"/>
    <w:rsid w:val="47527A52"/>
    <w:rsid w:val="47743CD8"/>
    <w:rsid w:val="478B5BE9"/>
    <w:rsid w:val="479F09BE"/>
    <w:rsid w:val="47AB0071"/>
    <w:rsid w:val="47CC2C1B"/>
    <w:rsid w:val="48074B4D"/>
    <w:rsid w:val="486C75C8"/>
    <w:rsid w:val="488841DB"/>
    <w:rsid w:val="488A581A"/>
    <w:rsid w:val="48945CB4"/>
    <w:rsid w:val="48A352C0"/>
    <w:rsid w:val="48B6181F"/>
    <w:rsid w:val="48C93BB0"/>
    <w:rsid w:val="48D72771"/>
    <w:rsid w:val="48DB3AEF"/>
    <w:rsid w:val="48ED216D"/>
    <w:rsid w:val="49435655"/>
    <w:rsid w:val="49A95790"/>
    <w:rsid w:val="4A633B90"/>
    <w:rsid w:val="4A677B24"/>
    <w:rsid w:val="4A8174A6"/>
    <w:rsid w:val="4ABB5C20"/>
    <w:rsid w:val="4B0C2851"/>
    <w:rsid w:val="4B3A44A1"/>
    <w:rsid w:val="4B5A2102"/>
    <w:rsid w:val="4B712EE6"/>
    <w:rsid w:val="4B885FA4"/>
    <w:rsid w:val="4BB171F6"/>
    <w:rsid w:val="4BB62E22"/>
    <w:rsid w:val="4BB8681F"/>
    <w:rsid w:val="4BD05870"/>
    <w:rsid w:val="4C0B2731"/>
    <w:rsid w:val="4C272D43"/>
    <w:rsid w:val="4C653BF0"/>
    <w:rsid w:val="4C8F3363"/>
    <w:rsid w:val="4C984320"/>
    <w:rsid w:val="4C9B1D07"/>
    <w:rsid w:val="4CE54214"/>
    <w:rsid w:val="4D074245"/>
    <w:rsid w:val="4D0B0C3B"/>
    <w:rsid w:val="4D730019"/>
    <w:rsid w:val="4D7B4228"/>
    <w:rsid w:val="4DBC0187"/>
    <w:rsid w:val="4DED0341"/>
    <w:rsid w:val="4F0A0A7E"/>
    <w:rsid w:val="4F111FD0"/>
    <w:rsid w:val="4F245FE4"/>
    <w:rsid w:val="4F552641"/>
    <w:rsid w:val="4F555807"/>
    <w:rsid w:val="4FB530E0"/>
    <w:rsid w:val="4FCB46B2"/>
    <w:rsid w:val="4FEB4D54"/>
    <w:rsid w:val="4FEE76AD"/>
    <w:rsid w:val="4FF04118"/>
    <w:rsid w:val="4FF57980"/>
    <w:rsid w:val="5023629C"/>
    <w:rsid w:val="502D4DCB"/>
    <w:rsid w:val="506348EA"/>
    <w:rsid w:val="5066262C"/>
    <w:rsid w:val="506B422D"/>
    <w:rsid w:val="50930B29"/>
    <w:rsid w:val="50CC6933"/>
    <w:rsid w:val="510507A1"/>
    <w:rsid w:val="51516E38"/>
    <w:rsid w:val="515B7CB7"/>
    <w:rsid w:val="51673B87"/>
    <w:rsid w:val="51786173"/>
    <w:rsid w:val="51AF789D"/>
    <w:rsid w:val="51C43518"/>
    <w:rsid w:val="51C770FB"/>
    <w:rsid w:val="51D33A37"/>
    <w:rsid w:val="51DB3A12"/>
    <w:rsid w:val="52030738"/>
    <w:rsid w:val="520F39C4"/>
    <w:rsid w:val="528374C6"/>
    <w:rsid w:val="528E2CE3"/>
    <w:rsid w:val="52911BE2"/>
    <w:rsid w:val="5299786A"/>
    <w:rsid w:val="52B24DB9"/>
    <w:rsid w:val="52E837CD"/>
    <w:rsid w:val="53220A8C"/>
    <w:rsid w:val="532742F5"/>
    <w:rsid w:val="537B5277"/>
    <w:rsid w:val="537C5EA5"/>
    <w:rsid w:val="53806B14"/>
    <w:rsid w:val="53B8319F"/>
    <w:rsid w:val="53E20B5F"/>
    <w:rsid w:val="540006A2"/>
    <w:rsid w:val="54E81862"/>
    <w:rsid w:val="54F209D1"/>
    <w:rsid w:val="55164621"/>
    <w:rsid w:val="555C4B46"/>
    <w:rsid w:val="55A31CC2"/>
    <w:rsid w:val="55CA71B9"/>
    <w:rsid w:val="565A63C6"/>
    <w:rsid w:val="567A72D5"/>
    <w:rsid w:val="57790E97"/>
    <w:rsid w:val="57833AC4"/>
    <w:rsid w:val="578F06BB"/>
    <w:rsid w:val="579655A5"/>
    <w:rsid w:val="579752FC"/>
    <w:rsid w:val="57A852D8"/>
    <w:rsid w:val="57BB325E"/>
    <w:rsid w:val="57C041AB"/>
    <w:rsid w:val="57C2283E"/>
    <w:rsid w:val="57C87729"/>
    <w:rsid w:val="57F450C3"/>
    <w:rsid w:val="581666E6"/>
    <w:rsid w:val="582D6CCD"/>
    <w:rsid w:val="583A21EE"/>
    <w:rsid w:val="58505A13"/>
    <w:rsid w:val="586121B4"/>
    <w:rsid w:val="58813437"/>
    <w:rsid w:val="58922210"/>
    <w:rsid w:val="589917F1"/>
    <w:rsid w:val="589B7C55"/>
    <w:rsid w:val="58B56FD2"/>
    <w:rsid w:val="58B902F9"/>
    <w:rsid w:val="58BB164B"/>
    <w:rsid w:val="59314366"/>
    <w:rsid w:val="59525C4D"/>
    <w:rsid w:val="59CC1752"/>
    <w:rsid w:val="59D703B5"/>
    <w:rsid w:val="59D81EA5"/>
    <w:rsid w:val="59E20F76"/>
    <w:rsid w:val="5A48414F"/>
    <w:rsid w:val="5A5C0D28"/>
    <w:rsid w:val="5A912133"/>
    <w:rsid w:val="5ADD4895"/>
    <w:rsid w:val="5AF03C74"/>
    <w:rsid w:val="5B1D3A19"/>
    <w:rsid w:val="5B9A0D03"/>
    <w:rsid w:val="5B9C33A6"/>
    <w:rsid w:val="5BA81D4B"/>
    <w:rsid w:val="5BBA55DA"/>
    <w:rsid w:val="5C190553"/>
    <w:rsid w:val="5C1E059C"/>
    <w:rsid w:val="5C367B35"/>
    <w:rsid w:val="5C500B28"/>
    <w:rsid w:val="5C7C039B"/>
    <w:rsid w:val="5CF81C6E"/>
    <w:rsid w:val="5D1C19D8"/>
    <w:rsid w:val="5D256B55"/>
    <w:rsid w:val="5D2B6790"/>
    <w:rsid w:val="5D403922"/>
    <w:rsid w:val="5D706898"/>
    <w:rsid w:val="5DA664BC"/>
    <w:rsid w:val="5DB91FED"/>
    <w:rsid w:val="5DCE5957"/>
    <w:rsid w:val="5DD40BD5"/>
    <w:rsid w:val="5DED58A9"/>
    <w:rsid w:val="5E1D19E0"/>
    <w:rsid w:val="5E40270F"/>
    <w:rsid w:val="5E761C8C"/>
    <w:rsid w:val="5E783C56"/>
    <w:rsid w:val="5ED846F5"/>
    <w:rsid w:val="5EEC45AB"/>
    <w:rsid w:val="5F437D21"/>
    <w:rsid w:val="5F5E475F"/>
    <w:rsid w:val="5F867F04"/>
    <w:rsid w:val="5F8D54E0"/>
    <w:rsid w:val="5FDB5835"/>
    <w:rsid w:val="60363DC9"/>
    <w:rsid w:val="604069F6"/>
    <w:rsid w:val="604F4E8B"/>
    <w:rsid w:val="605B5D36"/>
    <w:rsid w:val="6089214B"/>
    <w:rsid w:val="60A76A75"/>
    <w:rsid w:val="60B44CEE"/>
    <w:rsid w:val="60D12EC9"/>
    <w:rsid w:val="61176BE7"/>
    <w:rsid w:val="61700C3D"/>
    <w:rsid w:val="618D36C0"/>
    <w:rsid w:val="61932B55"/>
    <w:rsid w:val="619349A8"/>
    <w:rsid w:val="61AE5BE1"/>
    <w:rsid w:val="61E82EA1"/>
    <w:rsid w:val="62481B92"/>
    <w:rsid w:val="624C78D4"/>
    <w:rsid w:val="62685D90"/>
    <w:rsid w:val="62A72D5C"/>
    <w:rsid w:val="62BA151E"/>
    <w:rsid w:val="62C40459"/>
    <w:rsid w:val="62E10A89"/>
    <w:rsid w:val="62EF64B1"/>
    <w:rsid w:val="63000BBC"/>
    <w:rsid w:val="633D0FCB"/>
    <w:rsid w:val="63750765"/>
    <w:rsid w:val="63CD05A1"/>
    <w:rsid w:val="63F26259"/>
    <w:rsid w:val="642B3B0B"/>
    <w:rsid w:val="643A5739"/>
    <w:rsid w:val="64430863"/>
    <w:rsid w:val="6458643A"/>
    <w:rsid w:val="646063F6"/>
    <w:rsid w:val="64680C55"/>
    <w:rsid w:val="646C600B"/>
    <w:rsid w:val="64B17EC2"/>
    <w:rsid w:val="64B452BD"/>
    <w:rsid w:val="64E04304"/>
    <w:rsid w:val="653A1C66"/>
    <w:rsid w:val="65C50B86"/>
    <w:rsid w:val="65C60DEB"/>
    <w:rsid w:val="65FB3157"/>
    <w:rsid w:val="666747D5"/>
    <w:rsid w:val="66882EA5"/>
    <w:rsid w:val="66B6356E"/>
    <w:rsid w:val="67492C4F"/>
    <w:rsid w:val="674E1D56"/>
    <w:rsid w:val="6751773B"/>
    <w:rsid w:val="675635B6"/>
    <w:rsid w:val="676A4358"/>
    <w:rsid w:val="67803B7C"/>
    <w:rsid w:val="67AD4D09"/>
    <w:rsid w:val="68833924"/>
    <w:rsid w:val="69006B8C"/>
    <w:rsid w:val="694035C3"/>
    <w:rsid w:val="69403C83"/>
    <w:rsid w:val="695F7AC2"/>
    <w:rsid w:val="696F0688"/>
    <w:rsid w:val="697469DA"/>
    <w:rsid w:val="69C73E13"/>
    <w:rsid w:val="6AA052F7"/>
    <w:rsid w:val="6AC83870"/>
    <w:rsid w:val="6AD06BC8"/>
    <w:rsid w:val="6B00125C"/>
    <w:rsid w:val="6B6433C5"/>
    <w:rsid w:val="6BEA35FD"/>
    <w:rsid w:val="6C4E249B"/>
    <w:rsid w:val="6C702411"/>
    <w:rsid w:val="6C91288D"/>
    <w:rsid w:val="6CE8198E"/>
    <w:rsid w:val="6CEB5F3B"/>
    <w:rsid w:val="6CF46B9E"/>
    <w:rsid w:val="6D0D53A0"/>
    <w:rsid w:val="6D1159A2"/>
    <w:rsid w:val="6D14184B"/>
    <w:rsid w:val="6D2F407A"/>
    <w:rsid w:val="6D8758DA"/>
    <w:rsid w:val="6D9E29F3"/>
    <w:rsid w:val="6DA95590"/>
    <w:rsid w:val="6DA96A24"/>
    <w:rsid w:val="6E146DCC"/>
    <w:rsid w:val="6E3418AC"/>
    <w:rsid w:val="6E4219E4"/>
    <w:rsid w:val="6E4B4EE4"/>
    <w:rsid w:val="6E587601"/>
    <w:rsid w:val="6E966AF8"/>
    <w:rsid w:val="6EA6162E"/>
    <w:rsid w:val="6EAD16FA"/>
    <w:rsid w:val="6EBC193D"/>
    <w:rsid w:val="6F1B634E"/>
    <w:rsid w:val="6F2F65B3"/>
    <w:rsid w:val="6F360946"/>
    <w:rsid w:val="6F4638FD"/>
    <w:rsid w:val="6F647FD2"/>
    <w:rsid w:val="6F9603E0"/>
    <w:rsid w:val="6FA523D2"/>
    <w:rsid w:val="6FFB46E7"/>
    <w:rsid w:val="700D5716"/>
    <w:rsid w:val="70141305"/>
    <w:rsid w:val="702A2EE5"/>
    <w:rsid w:val="70730C64"/>
    <w:rsid w:val="7082629A"/>
    <w:rsid w:val="70A82003"/>
    <w:rsid w:val="70C90342"/>
    <w:rsid w:val="7105409D"/>
    <w:rsid w:val="711A0B9D"/>
    <w:rsid w:val="715916C6"/>
    <w:rsid w:val="715B2E69"/>
    <w:rsid w:val="71AF7A24"/>
    <w:rsid w:val="722327BB"/>
    <w:rsid w:val="728403F0"/>
    <w:rsid w:val="72895FDA"/>
    <w:rsid w:val="72966949"/>
    <w:rsid w:val="72E72D01"/>
    <w:rsid w:val="72F464CC"/>
    <w:rsid w:val="73AA2C22"/>
    <w:rsid w:val="73CF2113"/>
    <w:rsid w:val="73EF6311"/>
    <w:rsid w:val="74237D69"/>
    <w:rsid w:val="74341F76"/>
    <w:rsid w:val="74387CB8"/>
    <w:rsid w:val="74411194"/>
    <w:rsid w:val="744A543C"/>
    <w:rsid w:val="746042C4"/>
    <w:rsid w:val="74B44E65"/>
    <w:rsid w:val="74FD6465"/>
    <w:rsid w:val="751007EA"/>
    <w:rsid w:val="7531025A"/>
    <w:rsid w:val="7551712E"/>
    <w:rsid w:val="758E71FE"/>
    <w:rsid w:val="75943CBD"/>
    <w:rsid w:val="75BD235C"/>
    <w:rsid w:val="75D141C0"/>
    <w:rsid w:val="75E17EDC"/>
    <w:rsid w:val="761A49D3"/>
    <w:rsid w:val="765C3ABF"/>
    <w:rsid w:val="76E618C8"/>
    <w:rsid w:val="771816DB"/>
    <w:rsid w:val="772269FE"/>
    <w:rsid w:val="77297D8C"/>
    <w:rsid w:val="773724A9"/>
    <w:rsid w:val="77390BA8"/>
    <w:rsid w:val="775E5C88"/>
    <w:rsid w:val="776F1462"/>
    <w:rsid w:val="779416A9"/>
    <w:rsid w:val="77A85155"/>
    <w:rsid w:val="77E84A4C"/>
    <w:rsid w:val="78104AA8"/>
    <w:rsid w:val="78172511"/>
    <w:rsid w:val="781A1483"/>
    <w:rsid w:val="78342545"/>
    <w:rsid w:val="789F75AD"/>
    <w:rsid w:val="78C049FB"/>
    <w:rsid w:val="78CA10FB"/>
    <w:rsid w:val="78E734DC"/>
    <w:rsid w:val="78FA1106"/>
    <w:rsid w:val="78FF0DA4"/>
    <w:rsid w:val="792417A2"/>
    <w:rsid w:val="79A56C45"/>
    <w:rsid w:val="79E47F9A"/>
    <w:rsid w:val="7A1E525A"/>
    <w:rsid w:val="7A5E2B5E"/>
    <w:rsid w:val="7AC0574F"/>
    <w:rsid w:val="7AF16E13"/>
    <w:rsid w:val="7AF63774"/>
    <w:rsid w:val="7B1526FE"/>
    <w:rsid w:val="7B292109"/>
    <w:rsid w:val="7B3B1E3C"/>
    <w:rsid w:val="7B3F01DB"/>
    <w:rsid w:val="7B6E00A7"/>
    <w:rsid w:val="7B7D7929"/>
    <w:rsid w:val="7B7F6AF1"/>
    <w:rsid w:val="7B87288A"/>
    <w:rsid w:val="7B9A1258"/>
    <w:rsid w:val="7BAB0D70"/>
    <w:rsid w:val="7BD04C7A"/>
    <w:rsid w:val="7BE92F62"/>
    <w:rsid w:val="7BFD3595"/>
    <w:rsid w:val="7C140119"/>
    <w:rsid w:val="7C217284"/>
    <w:rsid w:val="7C2211FF"/>
    <w:rsid w:val="7C3D41A1"/>
    <w:rsid w:val="7C502461"/>
    <w:rsid w:val="7C661E10"/>
    <w:rsid w:val="7CC960C9"/>
    <w:rsid w:val="7CE72622"/>
    <w:rsid w:val="7D7A6BA6"/>
    <w:rsid w:val="7DBA7990"/>
    <w:rsid w:val="7DD547CA"/>
    <w:rsid w:val="7DDB4957"/>
    <w:rsid w:val="7E041F7D"/>
    <w:rsid w:val="7E1C41A7"/>
    <w:rsid w:val="7E247389"/>
    <w:rsid w:val="7E953F59"/>
    <w:rsid w:val="7EA30424"/>
    <w:rsid w:val="7EB919F5"/>
    <w:rsid w:val="7ECB6786"/>
    <w:rsid w:val="7EE84089"/>
    <w:rsid w:val="7FE85121"/>
    <w:rsid w:val="7FEC5323"/>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uiPriority="99" w:name="index 6"/>
    <w:lsdException w:qFormat="1" w:unhideWhenUsed="0" w:uiPriority="0" w:semiHidden="0"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qFormat="1" w:uiPriority="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99" w:name="caption"/>
    <w:lsdException w:qFormat="1" w:uiPriority="99" w:name="table of figures"/>
    <w:lsdException w:uiPriority="99" w:name="envelope address"/>
    <w:lsdException w:uiPriority="99" w:name="envelope return"/>
    <w:lsdException w:qFormat="1" w:uiPriority="0" w:name="footnote reference"/>
    <w:lsdException w:qFormat="1" w:uiPriority="0" w:name="annotation reference"/>
    <w:lsdException w:uiPriority="99" w:name="line number"/>
    <w:lsdException w:qFormat="1" w:unhideWhenUsed="0" w:uiPriority="0" w:semiHidden="0" w:name="page number"/>
    <w:lsdException w:qFormat="1" w:uiPriority="0" w:name="endnote reference"/>
    <w:lsdException w:qFormat="1" w:uiPriority="99" w:name="endnote text"/>
    <w:lsdException w:uiPriority="99" w:name="table of authorities"/>
    <w:lsdException w:uiPriority="99" w:name="macro"/>
    <w:lsdException w:qFormat="1" w:uiPriority="99" w:name="toa heading"/>
    <w:lsdException w:qFormat="1" w:uiPriority="99" w:name="List"/>
    <w:lsdException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uiPriority="99" w:name="List Number 4"/>
    <w:lsdException w:uiPriority="99" w:name="List Number 5"/>
    <w:lsdException w:qFormat="1" w:unhideWhenUsed="0" w:uiPriority="99" w:semiHidden="0" w:name="Title"/>
    <w:lsdException w:uiPriority="99" w:name="Closing"/>
    <w:lsdException w:qFormat="1"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iPriority="99" w:name="Body Text 2"/>
    <w:lsdException w:qFormat="1" w:uiPriority="99" w:name="Body Text 3"/>
    <w:lsdException w:qFormat="1" w:uiPriority="99" w:semiHidden="0" w:name="Body Text Indent 2"/>
    <w:lsdException w:qFormat="1" w:uiPriority="99" w:name="Body Text Indent 3"/>
    <w:lsdException w:qFormat="1" w:uiPriority="99"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qFormat="1" w:uiPriority="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qFormat="1"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79"/>
    <w:autoRedefine/>
    <w:qFormat/>
    <w:uiPriority w:val="0"/>
    <w:pPr>
      <w:keepNext/>
      <w:jc w:val="center"/>
      <w:outlineLvl w:val="0"/>
    </w:pPr>
    <w:rPr>
      <w:rFonts w:ascii="Times New Roman" w:hAnsi="Times New Roman" w:eastAsia="宋体" w:cs="Times New Roman"/>
      <w:b/>
      <w:bCs/>
      <w:kern w:val="0"/>
      <w:sz w:val="24"/>
      <w:szCs w:val="24"/>
    </w:rPr>
  </w:style>
  <w:style w:type="paragraph" w:styleId="5">
    <w:name w:val="heading 2"/>
    <w:basedOn w:val="1"/>
    <w:next w:val="1"/>
    <w:link w:val="80"/>
    <w:autoRedefine/>
    <w:semiHidden/>
    <w:unhideWhenUsed/>
    <w:qFormat/>
    <w:uiPriority w:val="0"/>
    <w:pPr>
      <w:keepNext/>
      <w:keepLines/>
      <w:spacing w:before="260" w:after="260" w:line="415" w:lineRule="auto"/>
      <w:outlineLvl w:val="1"/>
    </w:pPr>
    <w:rPr>
      <w:rFonts w:ascii="等线 Light" w:hAnsi="等线 Light" w:eastAsia="等线 Light" w:cs="Times New Roman"/>
      <w:b/>
      <w:bCs/>
      <w:sz w:val="32"/>
      <w:szCs w:val="32"/>
    </w:rPr>
  </w:style>
  <w:style w:type="paragraph" w:styleId="6">
    <w:name w:val="heading 3"/>
    <w:basedOn w:val="1"/>
    <w:next w:val="1"/>
    <w:link w:val="81"/>
    <w:autoRedefine/>
    <w:semiHidden/>
    <w:unhideWhenUsed/>
    <w:qFormat/>
    <w:uiPriority w:val="0"/>
    <w:pPr>
      <w:keepNext/>
      <w:keepLines/>
      <w:spacing w:before="260" w:after="260" w:line="415" w:lineRule="auto"/>
      <w:outlineLvl w:val="2"/>
    </w:pPr>
    <w:rPr>
      <w:rFonts w:ascii="Times New Roman" w:hAnsi="Times New Roman" w:eastAsia="宋体" w:cs="Times New Roman"/>
      <w:b/>
      <w:bCs/>
      <w:kern w:val="0"/>
      <w:sz w:val="32"/>
      <w:szCs w:val="32"/>
    </w:rPr>
  </w:style>
  <w:style w:type="paragraph" w:styleId="7">
    <w:name w:val="heading 4"/>
    <w:basedOn w:val="1"/>
    <w:next w:val="1"/>
    <w:link w:val="82"/>
    <w:autoRedefine/>
    <w:semiHidden/>
    <w:unhideWhenUsed/>
    <w:qFormat/>
    <w:uiPriority w:val="0"/>
    <w:pPr>
      <w:keepNext/>
      <w:keepLines/>
      <w:spacing w:before="280" w:after="290" w:line="374" w:lineRule="auto"/>
      <w:outlineLvl w:val="3"/>
    </w:pPr>
    <w:rPr>
      <w:rFonts w:ascii="Arial" w:hAnsi="Arial" w:eastAsia="黑体" w:cs="Times New Roman"/>
      <w:b/>
      <w:bCs/>
      <w:kern w:val="0"/>
      <w:sz w:val="28"/>
      <w:szCs w:val="28"/>
    </w:rPr>
  </w:style>
  <w:style w:type="paragraph" w:styleId="8">
    <w:name w:val="heading 5"/>
    <w:basedOn w:val="1"/>
    <w:next w:val="1"/>
    <w:link w:val="83"/>
    <w:autoRedefine/>
    <w:semiHidden/>
    <w:unhideWhenUsed/>
    <w:qFormat/>
    <w:uiPriority w:val="0"/>
    <w:pPr>
      <w:keepNext/>
      <w:keepLines/>
      <w:spacing w:before="280" w:after="290" w:line="374" w:lineRule="auto"/>
      <w:outlineLvl w:val="4"/>
    </w:pPr>
    <w:rPr>
      <w:rFonts w:ascii="Times New Roman" w:hAnsi="Times New Roman" w:eastAsia="宋体" w:cs="Times New Roman"/>
      <w:b/>
      <w:bCs/>
      <w:kern w:val="0"/>
      <w:sz w:val="28"/>
      <w:szCs w:val="28"/>
    </w:rPr>
  </w:style>
  <w:style w:type="paragraph" w:styleId="9">
    <w:name w:val="heading 6"/>
    <w:next w:val="1"/>
    <w:link w:val="84"/>
    <w:autoRedefine/>
    <w:semiHidden/>
    <w:unhideWhenUsed/>
    <w:qFormat/>
    <w:uiPriority w:val="0"/>
    <w:pPr>
      <w:wordWrap w:val="0"/>
      <w:spacing w:after="160"/>
      <w:ind w:left="2000" w:hanging="400"/>
      <w:jc w:val="both"/>
      <w:outlineLvl w:val="5"/>
    </w:pPr>
    <w:rPr>
      <w:rFonts w:ascii="Times New Roman" w:hAnsi="Times New Roman" w:eastAsia="宋体" w:cs="Times New Roman"/>
      <w:b/>
      <w:sz w:val="21"/>
      <w:lang w:val="en-US" w:eastAsia="zh-CN" w:bidi="ar-SA"/>
    </w:rPr>
  </w:style>
  <w:style w:type="paragraph" w:styleId="10">
    <w:name w:val="heading 7"/>
    <w:next w:val="1"/>
    <w:link w:val="85"/>
    <w:autoRedefine/>
    <w:semiHidden/>
    <w:unhideWhenUsed/>
    <w:qFormat/>
    <w:uiPriority w:val="99"/>
    <w:pPr>
      <w:wordWrap w:val="0"/>
      <w:spacing w:after="160"/>
      <w:ind w:left="2200" w:hanging="400"/>
      <w:jc w:val="both"/>
      <w:outlineLvl w:val="6"/>
    </w:pPr>
    <w:rPr>
      <w:rFonts w:ascii="Times New Roman" w:hAnsi="Times New Roman" w:eastAsia="宋体" w:cs="Times New Roman"/>
      <w:sz w:val="21"/>
      <w:lang w:val="en-US" w:eastAsia="zh-CN" w:bidi="ar-SA"/>
    </w:rPr>
  </w:style>
  <w:style w:type="paragraph" w:styleId="11">
    <w:name w:val="heading 8"/>
    <w:next w:val="1"/>
    <w:link w:val="86"/>
    <w:autoRedefine/>
    <w:semiHidden/>
    <w:unhideWhenUsed/>
    <w:qFormat/>
    <w:uiPriority w:val="99"/>
    <w:pPr>
      <w:wordWrap w:val="0"/>
      <w:spacing w:after="160"/>
      <w:ind w:left="2400" w:hanging="400"/>
      <w:jc w:val="both"/>
      <w:outlineLvl w:val="7"/>
    </w:pPr>
    <w:rPr>
      <w:rFonts w:ascii="Times New Roman" w:hAnsi="Times New Roman" w:eastAsia="宋体" w:cs="Times New Roman"/>
      <w:sz w:val="21"/>
      <w:lang w:val="en-US" w:eastAsia="zh-CN" w:bidi="ar-SA"/>
    </w:rPr>
  </w:style>
  <w:style w:type="paragraph" w:styleId="12">
    <w:name w:val="heading 9"/>
    <w:basedOn w:val="1"/>
    <w:next w:val="1"/>
    <w:link w:val="87"/>
    <w:autoRedefine/>
    <w:semiHidden/>
    <w:unhideWhenUsed/>
    <w:qFormat/>
    <w:uiPriority w:val="99"/>
    <w:pPr>
      <w:keepNext/>
      <w:keepLines/>
      <w:spacing w:before="240" w:after="64" w:line="316" w:lineRule="auto"/>
      <w:outlineLvl w:val="8"/>
    </w:pPr>
    <w:rPr>
      <w:rFonts w:ascii="Arial" w:hAnsi="Arial" w:eastAsia="黑体" w:cs="Times New Roman"/>
      <w:kern w:val="0"/>
      <w:sz w:val="20"/>
      <w:szCs w:val="20"/>
    </w:rPr>
  </w:style>
  <w:style w:type="character" w:default="1" w:styleId="65">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99"/>
    <w:autoRedefine/>
    <w:semiHidden/>
    <w:unhideWhenUsed/>
    <w:qFormat/>
    <w:uiPriority w:val="99"/>
    <w:pPr>
      <w:spacing w:line="200" w:lineRule="exact"/>
      <w:ind w:firstLine="301"/>
    </w:pPr>
    <w:rPr>
      <w:rFonts w:ascii="宋体" w:hAnsi="Courier New" w:eastAsia="宋体" w:cs="Times New Roman"/>
      <w:spacing w:val="-4"/>
      <w:kern w:val="0"/>
      <w:sz w:val="18"/>
      <w:szCs w:val="20"/>
    </w:rPr>
  </w:style>
  <w:style w:type="paragraph" w:styleId="3">
    <w:name w:val="Body Text First Indent 2"/>
    <w:basedOn w:val="2"/>
    <w:autoRedefine/>
    <w:qFormat/>
    <w:uiPriority w:val="0"/>
    <w:pPr>
      <w:spacing w:after="120" w:line="240" w:lineRule="auto"/>
      <w:ind w:left="420" w:leftChars="200" w:firstLine="420" w:firstLineChars="200"/>
    </w:pPr>
    <w:rPr>
      <w:rFonts w:ascii="Times New Roman" w:hAnsi="Times New Roman"/>
      <w:spacing w:val="0"/>
      <w:sz w:val="21"/>
      <w:szCs w:val="24"/>
    </w:rPr>
  </w:style>
  <w:style w:type="paragraph" w:styleId="13">
    <w:name w:val="List 3"/>
    <w:basedOn w:val="1"/>
    <w:autoRedefine/>
    <w:semiHidden/>
    <w:unhideWhenUsed/>
    <w:qFormat/>
    <w:uiPriority w:val="99"/>
    <w:pPr>
      <w:ind w:left="100" w:leftChars="400" w:hanging="200" w:hangingChars="200"/>
    </w:pPr>
    <w:rPr>
      <w:rFonts w:ascii="Times New Roman" w:hAnsi="Times New Roman" w:eastAsia="宋体" w:cs="Times New Roman"/>
      <w:szCs w:val="20"/>
    </w:rPr>
  </w:style>
  <w:style w:type="paragraph" w:styleId="14">
    <w:name w:val="toc 7"/>
    <w:next w:val="1"/>
    <w:autoRedefine/>
    <w:semiHidden/>
    <w:unhideWhenUsed/>
    <w:qFormat/>
    <w:uiPriority w:val="99"/>
    <w:pPr>
      <w:wordWrap w:val="0"/>
      <w:ind w:left="2125"/>
      <w:jc w:val="both"/>
    </w:pPr>
    <w:rPr>
      <w:rFonts w:ascii="Times New Roman" w:hAnsi="Times New Roman" w:eastAsia="宋体" w:cs="Times New Roman"/>
      <w:sz w:val="21"/>
      <w:lang w:val="en-US" w:eastAsia="zh-CN" w:bidi="ar-SA"/>
    </w:rPr>
  </w:style>
  <w:style w:type="paragraph" w:styleId="15">
    <w:name w:val="List Number"/>
    <w:basedOn w:val="1"/>
    <w:autoRedefine/>
    <w:semiHidden/>
    <w:unhideWhenUsed/>
    <w:qFormat/>
    <w:uiPriority w:val="99"/>
    <w:pPr>
      <w:widowControl/>
      <w:numPr>
        <w:ilvl w:val="0"/>
        <w:numId w:val="1"/>
      </w:numPr>
      <w:spacing w:afterLines="50"/>
      <w:ind w:left="1800"/>
      <w:jc w:val="left"/>
    </w:pPr>
    <w:rPr>
      <w:rFonts w:ascii="Times New Roman" w:hAnsi="Times New Roman" w:eastAsia="宋体" w:cs="Times New Roman"/>
      <w:kern w:val="0"/>
      <w:sz w:val="24"/>
      <w:szCs w:val="20"/>
    </w:rPr>
  </w:style>
  <w:style w:type="paragraph" w:styleId="16">
    <w:name w:val="Normal Indent"/>
    <w:basedOn w:val="1"/>
    <w:link w:val="90"/>
    <w:autoRedefine/>
    <w:semiHidden/>
    <w:unhideWhenUsed/>
    <w:qFormat/>
    <w:uiPriority w:val="0"/>
    <w:pPr>
      <w:ind w:firstLine="420"/>
    </w:pPr>
  </w:style>
  <w:style w:type="paragraph" w:styleId="17">
    <w:name w:val="caption"/>
    <w:basedOn w:val="1"/>
    <w:next w:val="1"/>
    <w:autoRedefine/>
    <w:semiHidden/>
    <w:unhideWhenUsed/>
    <w:qFormat/>
    <w:uiPriority w:val="99"/>
    <w:pPr>
      <w:spacing w:before="152" w:after="160"/>
    </w:pPr>
    <w:rPr>
      <w:rFonts w:ascii="Arial" w:hAnsi="Arial" w:eastAsia="黑体" w:cs="Arial"/>
      <w:sz w:val="20"/>
      <w:szCs w:val="20"/>
    </w:rPr>
  </w:style>
  <w:style w:type="paragraph" w:styleId="18">
    <w:name w:val="index 5"/>
    <w:basedOn w:val="1"/>
    <w:next w:val="1"/>
    <w:autoRedefine/>
    <w:semiHidden/>
    <w:unhideWhenUsed/>
    <w:qFormat/>
    <w:uiPriority w:val="99"/>
    <w:pPr>
      <w:widowControl/>
      <w:spacing w:before="60" w:after="60"/>
      <w:ind w:left="1440"/>
    </w:pPr>
    <w:rPr>
      <w:rFonts w:ascii="Arial" w:hAnsi="Arial" w:eastAsia="宋体" w:cs="Arial"/>
      <w:kern w:val="0"/>
      <w:sz w:val="20"/>
      <w:szCs w:val="20"/>
      <w:lang w:val="en-GB" w:eastAsia="fr-FR"/>
    </w:rPr>
  </w:style>
  <w:style w:type="paragraph" w:styleId="19">
    <w:name w:val="Document Map"/>
    <w:basedOn w:val="1"/>
    <w:link w:val="107"/>
    <w:autoRedefine/>
    <w:semiHidden/>
    <w:unhideWhenUsed/>
    <w:qFormat/>
    <w:uiPriority w:val="99"/>
    <w:pPr>
      <w:shd w:val="clear" w:color="auto" w:fill="000080"/>
    </w:pPr>
    <w:rPr>
      <w:rFonts w:ascii="宋体" w:hAnsi="Times New Roman" w:eastAsia="宋体" w:cs="Times New Roman"/>
      <w:sz w:val="18"/>
      <w:szCs w:val="18"/>
    </w:rPr>
  </w:style>
  <w:style w:type="paragraph" w:styleId="20">
    <w:name w:val="toa heading"/>
    <w:basedOn w:val="1"/>
    <w:next w:val="1"/>
    <w:autoRedefine/>
    <w:semiHidden/>
    <w:unhideWhenUsed/>
    <w:qFormat/>
    <w:uiPriority w:val="99"/>
    <w:pPr>
      <w:spacing w:before="120"/>
    </w:pPr>
    <w:rPr>
      <w:rFonts w:ascii="Arial" w:hAnsi="Times New Roman" w:eastAsia="宋体" w:cs="Times New Roman"/>
      <w:kern w:val="0"/>
      <w:sz w:val="24"/>
      <w:szCs w:val="20"/>
    </w:rPr>
  </w:style>
  <w:style w:type="paragraph" w:styleId="21">
    <w:name w:val="annotation text"/>
    <w:basedOn w:val="1"/>
    <w:link w:val="711"/>
    <w:autoRedefine/>
    <w:semiHidden/>
    <w:unhideWhenUsed/>
    <w:qFormat/>
    <w:uiPriority w:val="99"/>
    <w:pPr>
      <w:jc w:val="left"/>
    </w:pPr>
    <w:rPr>
      <w:rFonts w:ascii="Times New Roman" w:hAnsi="Times New Roman" w:eastAsia="宋体" w:cs="Times New Roman"/>
      <w:kern w:val="0"/>
      <w:sz w:val="20"/>
      <w:szCs w:val="24"/>
    </w:rPr>
  </w:style>
  <w:style w:type="paragraph" w:styleId="22">
    <w:name w:val="Body Text 3"/>
    <w:basedOn w:val="1"/>
    <w:link w:val="104"/>
    <w:autoRedefine/>
    <w:semiHidden/>
    <w:unhideWhenUsed/>
    <w:qFormat/>
    <w:uiPriority w:val="99"/>
    <w:pPr>
      <w:snapToGrid w:val="0"/>
      <w:spacing w:before="50" w:after="50"/>
    </w:pPr>
    <w:rPr>
      <w:rFonts w:ascii="Times New Roman" w:hAnsi="宋体" w:eastAsia="仿宋_GB2312" w:cs="Times New Roman"/>
      <w:b/>
      <w:bCs/>
      <w:kern w:val="0"/>
      <w:sz w:val="24"/>
      <w:szCs w:val="20"/>
    </w:rPr>
  </w:style>
  <w:style w:type="paragraph" w:styleId="23">
    <w:name w:val="Body Text"/>
    <w:basedOn w:val="1"/>
    <w:next w:val="1"/>
    <w:link w:val="98"/>
    <w:autoRedefine/>
    <w:semiHidden/>
    <w:unhideWhenUsed/>
    <w:qFormat/>
    <w:uiPriority w:val="99"/>
    <w:pPr>
      <w:spacing w:after="120"/>
    </w:pPr>
    <w:rPr>
      <w:rFonts w:ascii="Times New Roman" w:hAnsi="Times New Roman" w:eastAsia="宋体" w:cs="Times New Roman"/>
      <w:kern w:val="0"/>
      <w:sz w:val="28"/>
      <w:szCs w:val="24"/>
    </w:rPr>
  </w:style>
  <w:style w:type="paragraph" w:styleId="24">
    <w:name w:val="List Number 3"/>
    <w:basedOn w:val="1"/>
    <w:autoRedefine/>
    <w:semiHidden/>
    <w:unhideWhenUsed/>
    <w:qFormat/>
    <w:uiPriority w:val="99"/>
    <w:pPr>
      <w:numPr>
        <w:ilvl w:val="0"/>
        <w:numId w:val="2"/>
      </w:numPr>
    </w:pPr>
    <w:rPr>
      <w:rFonts w:ascii="Times New Roman" w:hAnsi="Times New Roman" w:eastAsia="宋体" w:cs="Times New Roman"/>
      <w:szCs w:val="24"/>
    </w:rPr>
  </w:style>
  <w:style w:type="paragraph" w:styleId="25">
    <w:name w:val="List 2"/>
    <w:basedOn w:val="1"/>
    <w:autoRedefine/>
    <w:semiHidden/>
    <w:unhideWhenUsed/>
    <w:qFormat/>
    <w:uiPriority w:val="99"/>
    <w:pPr>
      <w:ind w:left="100" w:leftChars="200" w:hanging="200" w:hangingChars="200"/>
    </w:pPr>
    <w:rPr>
      <w:rFonts w:ascii="Times New Roman" w:hAnsi="Times New Roman" w:eastAsia="宋体" w:cs="Times New Roman"/>
      <w:sz w:val="28"/>
      <w:szCs w:val="24"/>
    </w:rPr>
  </w:style>
  <w:style w:type="paragraph" w:styleId="26">
    <w:name w:val="Block Text"/>
    <w:basedOn w:val="1"/>
    <w:autoRedefine/>
    <w:semiHidden/>
    <w:unhideWhenUsed/>
    <w:qFormat/>
    <w:uiPriority w:val="99"/>
    <w:pPr>
      <w:adjustRightInd w:val="0"/>
      <w:ind w:left="420" w:right="33"/>
      <w:jc w:val="left"/>
    </w:pPr>
    <w:rPr>
      <w:rFonts w:ascii="Times New Roman" w:hAnsi="Times New Roman" w:eastAsia="宋体" w:cs="Times New Roman"/>
      <w:kern w:val="0"/>
      <w:sz w:val="24"/>
      <w:szCs w:val="20"/>
    </w:rPr>
  </w:style>
  <w:style w:type="paragraph" w:styleId="27">
    <w:name w:val="index 4"/>
    <w:basedOn w:val="1"/>
    <w:next w:val="1"/>
    <w:autoRedefine/>
    <w:semiHidden/>
    <w:unhideWhenUsed/>
    <w:qFormat/>
    <w:uiPriority w:val="99"/>
    <w:pPr>
      <w:ind w:left="600" w:leftChars="600"/>
    </w:pPr>
    <w:rPr>
      <w:rFonts w:ascii="Times New Roman" w:hAnsi="Times New Roman" w:eastAsia="宋体" w:cs="Times New Roman"/>
      <w:szCs w:val="24"/>
    </w:rPr>
  </w:style>
  <w:style w:type="paragraph" w:styleId="28">
    <w:name w:val="toc 5"/>
    <w:next w:val="1"/>
    <w:autoRedefine/>
    <w:semiHidden/>
    <w:unhideWhenUsed/>
    <w:qFormat/>
    <w:uiPriority w:val="99"/>
    <w:pPr>
      <w:wordWrap w:val="0"/>
      <w:ind w:left="1275"/>
      <w:jc w:val="both"/>
    </w:pPr>
    <w:rPr>
      <w:rFonts w:ascii="Times New Roman" w:hAnsi="Times New Roman" w:eastAsia="宋体" w:cs="Times New Roman"/>
      <w:sz w:val="21"/>
      <w:lang w:val="en-US" w:eastAsia="zh-CN" w:bidi="ar-SA"/>
    </w:rPr>
  </w:style>
  <w:style w:type="paragraph" w:styleId="29">
    <w:name w:val="toc 3"/>
    <w:basedOn w:val="1"/>
    <w:next w:val="1"/>
    <w:autoRedefine/>
    <w:semiHidden/>
    <w:unhideWhenUsed/>
    <w:qFormat/>
    <w:uiPriority w:val="39"/>
    <w:pPr>
      <w:ind w:left="840" w:leftChars="400"/>
    </w:pPr>
    <w:rPr>
      <w:rFonts w:ascii="Calibri" w:hAnsi="Calibri" w:eastAsia="宋体" w:cs="Times New Roman"/>
    </w:rPr>
  </w:style>
  <w:style w:type="paragraph" w:styleId="30">
    <w:name w:val="Plain Text"/>
    <w:basedOn w:val="1"/>
    <w:link w:val="108"/>
    <w:autoRedefine/>
    <w:unhideWhenUsed/>
    <w:qFormat/>
    <w:uiPriority w:val="99"/>
    <w:pPr>
      <w:spacing w:beforeLines="50" w:afterLines="50" w:line="400" w:lineRule="exact"/>
    </w:pPr>
    <w:rPr>
      <w:rFonts w:ascii="宋体" w:hAnsi="Courier New" w:eastAsia="宋体" w:cs="Times New Roman"/>
      <w:kern w:val="0"/>
      <w:sz w:val="24"/>
      <w:szCs w:val="24"/>
    </w:rPr>
  </w:style>
  <w:style w:type="paragraph" w:styleId="31">
    <w:name w:val="toc 8"/>
    <w:next w:val="1"/>
    <w:autoRedefine/>
    <w:semiHidden/>
    <w:unhideWhenUsed/>
    <w:qFormat/>
    <w:uiPriority w:val="99"/>
    <w:pPr>
      <w:wordWrap w:val="0"/>
      <w:ind w:left="2550"/>
      <w:jc w:val="both"/>
    </w:pPr>
    <w:rPr>
      <w:rFonts w:ascii="Times New Roman" w:hAnsi="Times New Roman" w:eastAsia="宋体" w:cs="Times New Roman"/>
      <w:sz w:val="21"/>
      <w:lang w:val="en-US" w:eastAsia="zh-CN" w:bidi="ar-SA"/>
    </w:rPr>
  </w:style>
  <w:style w:type="paragraph" w:styleId="32">
    <w:name w:val="index 3"/>
    <w:basedOn w:val="1"/>
    <w:next w:val="1"/>
    <w:autoRedefine/>
    <w:semiHidden/>
    <w:unhideWhenUsed/>
    <w:qFormat/>
    <w:uiPriority w:val="99"/>
    <w:pPr>
      <w:ind w:left="400" w:leftChars="400"/>
    </w:pPr>
    <w:rPr>
      <w:rFonts w:ascii="宋体" w:hAnsi="Times New Roman" w:eastAsia="宋体" w:cs="Times New Roman"/>
      <w:sz w:val="24"/>
      <w:szCs w:val="20"/>
    </w:rPr>
  </w:style>
  <w:style w:type="paragraph" w:styleId="33">
    <w:name w:val="Date"/>
    <w:basedOn w:val="1"/>
    <w:next w:val="1"/>
    <w:link w:val="101"/>
    <w:autoRedefine/>
    <w:semiHidden/>
    <w:unhideWhenUsed/>
    <w:qFormat/>
    <w:uiPriority w:val="99"/>
    <w:pPr>
      <w:ind w:left="2500" w:leftChars="2500"/>
    </w:pPr>
    <w:rPr>
      <w:rFonts w:ascii="Times New Roman" w:hAnsi="Times New Roman" w:eastAsia="楷体_GB2312" w:cs="Times New Roman"/>
      <w:kern w:val="0"/>
      <w:sz w:val="32"/>
      <w:szCs w:val="20"/>
    </w:rPr>
  </w:style>
  <w:style w:type="paragraph" w:styleId="34">
    <w:name w:val="Body Text Indent 2"/>
    <w:basedOn w:val="1"/>
    <w:link w:val="105"/>
    <w:autoRedefine/>
    <w:unhideWhenUsed/>
    <w:qFormat/>
    <w:uiPriority w:val="99"/>
    <w:pPr>
      <w:snapToGrid w:val="0"/>
      <w:ind w:firstLine="542" w:firstLineChars="225"/>
    </w:pPr>
    <w:rPr>
      <w:rFonts w:ascii="仿宋_GB2312" w:hAnsi="宋体" w:eastAsia="宋体" w:cs="Times New Roman"/>
      <w:b/>
      <w:bCs/>
      <w:color w:val="000000"/>
      <w:kern w:val="0"/>
      <w:sz w:val="24"/>
      <w:szCs w:val="24"/>
    </w:rPr>
  </w:style>
  <w:style w:type="paragraph" w:styleId="35">
    <w:name w:val="endnote text"/>
    <w:basedOn w:val="1"/>
    <w:link w:val="95"/>
    <w:autoRedefine/>
    <w:semiHidden/>
    <w:unhideWhenUsed/>
    <w:qFormat/>
    <w:uiPriority w:val="99"/>
    <w:pPr>
      <w:snapToGrid w:val="0"/>
      <w:jc w:val="left"/>
    </w:pPr>
    <w:rPr>
      <w:rFonts w:ascii="Calibri" w:hAnsi="Calibri" w:eastAsia="宋体" w:cs="Times New Roman"/>
      <w:szCs w:val="20"/>
    </w:rPr>
  </w:style>
  <w:style w:type="paragraph" w:styleId="36">
    <w:name w:val="Balloon Text"/>
    <w:basedOn w:val="1"/>
    <w:link w:val="110"/>
    <w:autoRedefine/>
    <w:semiHidden/>
    <w:unhideWhenUsed/>
    <w:qFormat/>
    <w:uiPriority w:val="99"/>
    <w:rPr>
      <w:rFonts w:ascii="Times New Roman" w:hAnsi="Times New Roman" w:eastAsia="宋体" w:cs="Times New Roman"/>
      <w:kern w:val="0"/>
      <w:sz w:val="18"/>
      <w:szCs w:val="18"/>
    </w:rPr>
  </w:style>
  <w:style w:type="paragraph" w:styleId="37">
    <w:name w:val="footer"/>
    <w:basedOn w:val="1"/>
    <w:link w:val="94"/>
    <w:autoRedefine/>
    <w:unhideWhenUsed/>
    <w:qFormat/>
    <w:uiPriority w:val="99"/>
    <w:pPr>
      <w:tabs>
        <w:tab w:val="center" w:pos="4153"/>
        <w:tab w:val="right" w:pos="8306"/>
      </w:tabs>
      <w:snapToGrid w:val="0"/>
      <w:jc w:val="left"/>
    </w:pPr>
    <w:rPr>
      <w:rFonts w:ascii="Times New Roman" w:hAnsi="Times New Roman" w:eastAsia="黑体" w:cs="Times New Roman"/>
      <w:kern w:val="0"/>
      <w:sz w:val="18"/>
      <w:szCs w:val="18"/>
    </w:rPr>
  </w:style>
  <w:style w:type="paragraph" w:styleId="38">
    <w:name w:val="header"/>
    <w:basedOn w:val="1"/>
    <w:link w:val="93"/>
    <w:autoRedefine/>
    <w:unhideWhenUsed/>
    <w:qFormat/>
    <w:uiPriority w:val="99"/>
    <w:pPr>
      <w:pBdr>
        <w:bottom w:val="single" w:color="auto" w:sz="6" w:space="1"/>
      </w:pBdr>
      <w:tabs>
        <w:tab w:val="center" w:pos="4153"/>
        <w:tab w:val="right" w:pos="8306"/>
      </w:tabs>
      <w:snapToGrid w:val="0"/>
      <w:jc w:val="center"/>
    </w:pPr>
    <w:rPr>
      <w:rFonts w:ascii="Times New Roman" w:hAnsi="Times New Roman" w:eastAsia="仿宋_GB2312" w:cs="Times New Roman"/>
      <w:kern w:val="0"/>
      <w:sz w:val="18"/>
      <w:szCs w:val="20"/>
    </w:rPr>
  </w:style>
  <w:style w:type="paragraph" w:styleId="39">
    <w:name w:val="Signature"/>
    <w:basedOn w:val="1"/>
    <w:link w:val="97"/>
    <w:autoRedefine/>
    <w:semiHidden/>
    <w:unhideWhenUsed/>
    <w:qFormat/>
    <w:uiPriority w:val="99"/>
    <w:pPr>
      <w:widowControl/>
      <w:ind w:left="4252"/>
      <w:jc w:val="left"/>
    </w:pPr>
    <w:rPr>
      <w:rFonts w:ascii="Calibri" w:hAnsi="Calibri" w:eastAsia="宋体" w:cs="Times New Roman"/>
      <w:kern w:val="0"/>
      <w:sz w:val="24"/>
      <w:szCs w:val="20"/>
      <w:lang w:val="en-GB" w:eastAsia="en-US"/>
    </w:rPr>
  </w:style>
  <w:style w:type="paragraph" w:styleId="40">
    <w:name w:val="toc 1"/>
    <w:basedOn w:val="1"/>
    <w:next w:val="1"/>
    <w:autoRedefine/>
    <w:unhideWhenUsed/>
    <w:qFormat/>
    <w:uiPriority w:val="39"/>
    <w:rPr>
      <w:rFonts w:ascii="Times New Roman" w:hAnsi="Times New Roman" w:eastAsia="宋体" w:cs="Times New Roman"/>
      <w:szCs w:val="24"/>
    </w:rPr>
  </w:style>
  <w:style w:type="paragraph" w:styleId="41">
    <w:name w:val="toc 4"/>
    <w:next w:val="1"/>
    <w:autoRedefine/>
    <w:semiHidden/>
    <w:unhideWhenUsed/>
    <w:qFormat/>
    <w:uiPriority w:val="99"/>
    <w:pPr>
      <w:wordWrap w:val="0"/>
      <w:ind w:left="850"/>
      <w:jc w:val="both"/>
    </w:pPr>
    <w:rPr>
      <w:rFonts w:ascii="Times New Roman" w:hAnsi="Times New Roman" w:eastAsia="宋体" w:cs="Times New Roman"/>
      <w:sz w:val="21"/>
      <w:lang w:val="en-US" w:eastAsia="zh-CN" w:bidi="ar-SA"/>
    </w:rPr>
  </w:style>
  <w:style w:type="paragraph" w:styleId="42">
    <w:name w:val="Subtitle"/>
    <w:next w:val="1"/>
    <w:link w:val="100"/>
    <w:autoRedefine/>
    <w:qFormat/>
    <w:uiPriority w:val="99"/>
    <w:pPr>
      <w:wordWrap w:val="0"/>
      <w:spacing w:after="60"/>
      <w:jc w:val="center"/>
    </w:pPr>
    <w:rPr>
      <w:rFonts w:ascii="Times New Roman" w:hAnsi="Times New Roman" w:eastAsia="宋体" w:cs="Times New Roman"/>
      <w:sz w:val="24"/>
      <w:lang w:val="en-US" w:eastAsia="zh-CN" w:bidi="ar-SA"/>
    </w:rPr>
  </w:style>
  <w:style w:type="paragraph" w:styleId="43">
    <w:name w:val="List"/>
    <w:basedOn w:val="1"/>
    <w:autoRedefine/>
    <w:semiHidden/>
    <w:unhideWhenUsed/>
    <w:qFormat/>
    <w:uiPriority w:val="99"/>
    <w:pPr>
      <w:ind w:left="200" w:hanging="200" w:hangingChars="200"/>
    </w:pPr>
    <w:rPr>
      <w:rFonts w:ascii="Times New Roman" w:hAnsi="Times New Roman" w:eastAsia="宋体" w:cs="Times New Roman"/>
      <w:sz w:val="28"/>
      <w:szCs w:val="24"/>
    </w:rPr>
  </w:style>
  <w:style w:type="paragraph" w:styleId="44">
    <w:name w:val="footnote text"/>
    <w:basedOn w:val="1"/>
    <w:link w:val="91"/>
    <w:autoRedefine/>
    <w:semiHidden/>
    <w:unhideWhenUsed/>
    <w:qFormat/>
    <w:uiPriority w:val="99"/>
    <w:pPr>
      <w:snapToGrid w:val="0"/>
      <w:jc w:val="left"/>
    </w:pPr>
    <w:rPr>
      <w:rFonts w:ascii="Calibri" w:hAnsi="Calibri" w:eastAsia="宋体" w:cs="Times New Roman"/>
      <w:sz w:val="18"/>
      <w:szCs w:val="20"/>
    </w:rPr>
  </w:style>
  <w:style w:type="paragraph" w:styleId="45">
    <w:name w:val="toc 6"/>
    <w:basedOn w:val="1"/>
    <w:next w:val="1"/>
    <w:autoRedefine/>
    <w:semiHidden/>
    <w:unhideWhenUsed/>
    <w:qFormat/>
    <w:uiPriority w:val="99"/>
    <w:pPr>
      <w:wordWrap w:val="0"/>
      <w:ind w:left="1700"/>
    </w:pPr>
    <w:rPr>
      <w:rFonts w:ascii="Times New Roman" w:hAnsi="Times New Roman" w:eastAsia="宋体" w:cs="Times New Roman"/>
    </w:rPr>
  </w:style>
  <w:style w:type="paragraph" w:styleId="46">
    <w:name w:val="List 5"/>
    <w:basedOn w:val="1"/>
    <w:autoRedefine/>
    <w:semiHidden/>
    <w:unhideWhenUsed/>
    <w:qFormat/>
    <w:uiPriority w:val="99"/>
    <w:pPr>
      <w:ind w:left="2100" w:hanging="420"/>
    </w:pPr>
    <w:rPr>
      <w:rFonts w:ascii="Calibri" w:hAnsi="Calibri" w:eastAsia="楷体_GB2312" w:cs="Times New Roman"/>
      <w:sz w:val="32"/>
    </w:rPr>
  </w:style>
  <w:style w:type="paragraph" w:styleId="47">
    <w:name w:val="Body Text Indent 3"/>
    <w:basedOn w:val="1"/>
    <w:link w:val="106"/>
    <w:autoRedefine/>
    <w:semiHidden/>
    <w:unhideWhenUsed/>
    <w:qFormat/>
    <w:uiPriority w:val="99"/>
    <w:pPr>
      <w:snapToGrid w:val="0"/>
      <w:ind w:firstLine="480" w:firstLineChars="200"/>
      <w:jc w:val="left"/>
    </w:pPr>
    <w:rPr>
      <w:rFonts w:ascii="仿宋_GB2312" w:hAnsi="宋体" w:eastAsia="仿宋_GB2312" w:cs="Times New Roman"/>
      <w:color w:val="000000"/>
      <w:kern w:val="0"/>
      <w:sz w:val="24"/>
      <w:szCs w:val="24"/>
    </w:rPr>
  </w:style>
  <w:style w:type="paragraph" w:styleId="48">
    <w:name w:val="index 7"/>
    <w:basedOn w:val="1"/>
    <w:next w:val="1"/>
    <w:autoRedefine/>
    <w:qFormat/>
    <w:uiPriority w:val="0"/>
    <w:pPr>
      <w:ind w:left="1200" w:leftChars="1200"/>
    </w:pPr>
  </w:style>
  <w:style w:type="paragraph" w:styleId="49">
    <w:name w:val="table of figures"/>
    <w:basedOn w:val="1"/>
    <w:next w:val="1"/>
    <w:autoRedefine/>
    <w:semiHidden/>
    <w:unhideWhenUsed/>
    <w:qFormat/>
    <w:uiPriority w:val="99"/>
    <w:pPr>
      <w:ind w:left="200" w:leftChars="200" w:hanging="200" w:hangingChars="200"/>
    </w:pPr>
    <w:rPr>
      <w:rFonts w:ascii="Times New Roman" w:hAnsi="Times New Roman" w:eastAsia="宋体" w:cs="Times New Roman"/>
      <w:szCs w:val="24"/>
    </w:rPr>
  </w:style>
  <w:style w:type="paragraph" w:styleId="50">
    <w:name w:val="toc 2"/>
    <w:basedOn w:val="1"/>
    <w:next w:val="1"/>
    <w:autoRedefine/>
    <w:unhideWhenUsed/>
    <w:qFormat/>
    <w:uiPriority w:val="39"/>
    <w:pPr>
      <w:ind w:left="420" w:leftChars="200"/>
    </w:pPr>
    <w:rPr>
      <w:rFonts w:ascii="Calibri" w:hAnsi="Calibri" w:eastAsia="宋体" w:cs="Times New Roman"/>
    </w:rPr>
  </w:style>
  <w:style w:type="paragraph" w:styleId="51">
    <w:name w:val="toc 9"/>
    <w:next w:val="1"/>
    <w:autoRedefine/>
    <w:semiHidden/>
    <w:unhideWhenUsed/>
    <w:qFormat/>
    <w:uiPriority w:val="99"/>
    <w:pPr>
      <w:wordWrap w:val="0"/>
      <w:ind w:left="2975"/>
      <w:jc w:val="both"/>
    </w:pPr>
    <w:rPr>
      <w:rFonts w:ascii="Times New Roman" w:hAnsi="Times New Roman" w:eastAsia="宋体" w:cs="Times New Roman"/>
      <w:sz w:val="21"/>
      <w:lang w:val="en-US" w:eastAsia="zh-CN" w:bidi="ar-SA"/>
    </w:rPr>
  </w:style>
  <w:style w:type="paragraph" w:styleId="52">
    <w:name w:val="Body Text 2"/>
    <w:basedOn w:val="1"/>
    <w:link w:val="103"/>
    <w:autoRedefine/>
    <w:semiHidden/>
    <w:unhideWhenUsed/>
    <w:qFormat/>
    <w:uiPriority w:val="99"/>
    <w:pPr>
      <w:widowControl/>
      <w:snapToGrid w:val="0"/>
      <w:spacing w:before="50" w:afterLines="50" w:line="400" w:lineRule="exact"/>
      <w:jc w:val="left"/>
    </w:pPr>
    <w:rPr>
      <w:rFonts w:ascii="宋体" w:hAnsi="宋体" w:eastAsia="宋体" w:cs="Times New Roman"/>
      <w:color w:val="000000"/>
      <w:kern w:val="0"/>
      <w:sz w:val="24"/>
      <w:szCs w:val="24"/>
    </w:rPr>
  </w:style>
  <w:style w:type="paragraph" w:styleId="53">
    <w:name w:val="List 4"/>
    <w:basedOn w:val="1"/>
    <w:autoRedefine/>
    <w:semiHidden/>
    <w:unhideWhenUsed/>
    <w:qFormat/>
    <w:uiPriority w:val="99"/>
    <w:pPr>
      <w:ind w:left="1680" w:hanging="420"/>
    </w:pPr>
    <w:rPr>
      <w:rFonts w:ascii="Calibri" w:hAnsi="Calibri" w:eastAsia="楷体_GB2312" w:cs="Times New Roman"/>
      <w:sz w:val="32"/>
    </w:rPr>
  </w:style>
  <w:style w:type="paragraph" w:styleId="54">
    <w:name w:val="HTML Preformatted"/>
    <w:basedOn w:val="1"/>
    <w:link w:val="88"/>
    <w:autoRedefine/>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55">
    <w:name w:val="Normal (Web)"/>
    <w:basedOn w:val="1"/>
    <w:autoRedefine/>
    <w:semiHidden/>
    <w:unhideWhenUsed/>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paragraph" w:styleId="56">
    <w:name w:val="index 1"/>
    <w:basedOn w:val="1"/>
    <w:next w:val="1"/>
    <w:autoRedefine/>
    <w:semiHidden/>
    <w:unhideWhenUsed/>
    <w:qFormat/>
    <w:uiPriority w:val="99"/>
    <w:pPr>
      <w:spacing w:line="220" w:lineRule="exact"/>
      <w:jc w:val="center"/>
    </w:pPr>
    <w:rPr>
      <w:rFonts w:ascii="仿宋_GB2312" w:hAnsi="Calibri" w:eastAsia="仿宋_GB2312" w:cs="Times New Roman"/>
      <w:szCs w:val="21"/>
    </w:rPr>
  </w:style>
  <w:style w:type="paragraph" w:styleId="57">
    <w:name w:val="index 2"/>
    <w:basedOn w:val="1"/>
    <w:next w:val="1"/>
    <w:autoRedefine/>
    <w:semiHidden/>
    <w:unhideWhenUsed/>
    <w:qFormat/>
    <w:uiPriority w:val="99"/>
    <w:pPr>
      <w:ind w:left="200" w:leftChars="200"/>
    </w:pPr>
    <w:rPr>
      <w:rFonts w:ascii="宋体" w:hAnsi="Times New Roman" w:eastAsia="宋体" w:cs="Times New Roman"/>
      <w:sz w:val="24"/>
      <w:szCs w:val="20"/>
    </w:rPr>
  </w:style>
  <w:style w:type="paragraph" w:styleId="58">
    <w:name w:val="Title"/>
    <w:basedOn w:val="1"/>
    <w:next w:val="1"/>
    <w:link w:val="96"/>
    <w:autoRedefine/>
    <w:qFormat/>
    <w:uiPriority w:val="99"/>
    <w:pPr>
      <w:spacing w:line="520" w:lineRule="exact"/>
      <w:jc w:val="center"/>
      <w:outlineLvl w:val="3"/>
    </w:pPr>
    <w:rPr>
      <w:rFonts w:ascii="Cambria" w:hAnsi="Cambria" w:eastAsia="宋体" w:cs="Times New Roman"/>
      <w:b/>
      <w:bCs/>
      <w:kern w:val="0"/>
      <w:sz w:val="28"/>
      <w:szCs w:val="32"/>
    </w:rPr>
  </w:style>
  <w:style w:type="paragraph" w:styleId="59">
    <w:name w:val="annotation subject"/>
    <w:basedOn w:val="21"/>
    <w:next w:val="21"/>
    <w:link w:val="109"/>
    <w:autoRedefine/>
    <w:semiHidden/>
    <w:unhideWhenUsed/>
    <w:qFormat/>
    <w:uiPriority w:val="99"/>
    <w:rPr>
      <w:b/>
      <w:bCs/>
      <w:szCs w:val="20"/>
    </w:rPr>
  </w:style>
  <w:style w:type="paragraph" w:styleId="60">
    <w:name w:val="Body Text First Indent"/>
    <w:basedOn w:val="23"/>
    <w:next w:val="45"/>
    <w:link w:val="102"/>
    <w:autoRedefine/>
    <w:semiHidden/>
    <w:unhideWhenUsed/>
    <w:qFormat/>
    <w:uiPriority w:val="99"/>
    <w:pPr>
      <w:ind w:firstLine="420" w:firstLineChars="100"/>
    </w:pPr>
    <w:rPr>
      <w:rFonts w:ascii="Calibri" w:hAnsi="Calibri"/>
      <w:sz w:val="21"/>
    </w:rPr>
  </w:style>
  <w:style w:type="table" w:styleId="62">
    <w:name w:val="Table Grid"/>
    <w:basedOn w:val="6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Theme"/>
    <w:basedOn w:val="61"/>
    <w:autoRedefine/>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Classic 1"/>
    <w:basedOn w:val="61"/>
    <w:autoRedefine/>
    <w:semiHidden/>
    <w:unhideWhenUsed/>
    <w:qFormat/>
    <w:uiPriority w:val="0"/>
    <w:pPr>
      <w:widowControl w:val="0"/>
      <w:jc w:val="both"/>
    </w:pPr>
    <w:tblPr>
      <w:tblBorders>
        <w:top w:val="single" w:color="000000" w:sz="12" w:space="0"/>
        <w:bottom w:val="single" w:color="000000" w:sz="12" w:space="0"/>
      </w:tblBorders>
    </w:tbl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rPr>
      <w:tblPr/>
      <w:tcPr>
        <w:tcBorders>
          <w:top w:val="nil"/>
          <w:left w:val="nil"/>
          <w:bottom w:val="nil"/>
          <w:right w:val="nil"/>
          <w:insideH w:val="nil"/>
          <w:insideV w:val="nil"/>
          <w:tl2br w:val="nil"/>
          <w:tr2bl w:val="nil"/>
        </w:tcBorders>
      </w:tcPr>
    </w:tblStylePr>
    <w:tblStylePr w:type="swCell">
      <w:rPr>
        <w:b/>
      </w:rPr>
      <w:tblPr/>
      <w:tcPr>
        <w:tcBorders>
          <w:top w:val="nil"/>
          <w:left w:val="nil"/>
          <w:bottom w:val="nil"/>
          <w:right w:val="nil"/>
          <w:insideH w:val="nil"/>
          <w:insideV w:val="nil"/>
          <w:tl2br w:val="nil"/>
          <w:tr2bl w:val="nil"/>
        </w:tcBorders>
      </w:tcPr>
    </w:tblStylePr>
  </w:style>
  <w:style w:type="character" w:styleId="66">
    <w:name w:val="Strong"/>
    <w:autoRedefine/>
    <w:qFormat/>
    <w:uiPriority w:val="22"/>
    <w:rPr>
      <w:rFonts w:hint="eastAsia" w:ascii="宋体" w:hAnsi="宋体" w:eastAsia="宋体"/>
      <w:b/>
      <w:bCs/>
      <w:kern w:val="2"/>
      <w:sz w:val="24"/>
      <w:szCs w:val="24"/>
      <w:lang w:val="en-US" w:eastAsia="zh-CN" w:bidi="ar-SA"/>
    </w:rPr>
  </w:style>
  <w:style w:type="character" w:styleId="67">
    <w:name w:val="endnote reference"/>
    <w:autoRedefine/>
    <w:semiHidden/>
    <w:unhideWhenUsed/>
    <w:qFormat/>
    <w:uiPriority w:val="0"/>
    <w:rPr>
      <w:vertAlign w:val="superscript"/>
    </w:rPr>
  </w:style>
  <w:style w:type="character" w:styleId="68">
    <w:name w:val="page number"/>
    <w:basedOn w:val="65"/>
    <w:autoRedefine/>
    <w:qFormat/>
    <w:uiPriority w:val="0"/>
  </w:style>
  <w:style w:type="character" w:styleId="69">
    <w:name w:val="FollowedHyperlink"/>
    <w:autoRedefine/>
    <w:semiHidden/>
    <w:unhideWhenUsed/>
    <w:qFormat/>
    <w:uiPriority w:val="0"/>
    <w:rPr>
      <w:rFonts w:hint="eastAsia" w:ascii="宋体" w:hAnsi="宋体" w:eastAsia="宋体"/>
      <w:color w:val="800080"/>
      <w:kern w:val="2"/>
      <w:sz w:val="24"/>
      <w:szCs w:val="24"/>
      <w:u w:val="single"/>
      <w:lang w:val="en-US" w:eastAsia="zh-CN" w:bidi="ar-SA"/>
    </w:rPr>
  </w:style>
  <w:style w:type="character" w:styleId="70">
    <w:name w:val="Emphasis"/>
    <w:autoRedefine/>
    <w:qFormat/>
    <w:uiPriority w:val="20"/>
    <w:rPr>
      <w:i/>
      <w:sz w:val="21"/>
    </w:rPr>
  </w:style>
  <w:style w:type="character" w:styleId="71">
    <w:name w:val="Hyperlink"/>
    <w:autoRedefine/>
    <w:unhideWhenUsed/>
    <w:qFormat/>
    <w:uiPriority w:val="99"/>
    <w:rPr>
      <w:color w:val="0000FF"/>
      <w:u w:val="single"/>
    </w:rPr>
  </w:style>
  <w:style w:type="character" w:styleId="72">
    <w:name w:val="annotation reference"/>
    <w:autoRedefine/>
    <w:semiHidden/>
    <w:unhideWhenUsed/>
    <w:qFormat/>
    <w:uiPriority w:val="0"/>
    <w:rPr>
      <w:rFonts w:hint="eastAsia" w:ascii="宋体" w:hAnsi="宋体" w:eastAsia="宋体"/>
      <w:kern w:val="2"/>
      <w:sz w:val="21"/>
      <w:szCs w:val="21"/>
      <w:lang w:val="en-US" w:eastAsia="zh-CN" w:bidi="ar-SA"/>
    </w:rPr>
  </w:style>
  <w:style w:type="character" w:styleId="73">
    <w:name w:val="footnote reference"/>
    <w:autoRedefine/>
    <w:semiHidden/>
    <w:unhideWhenUsed/>
    <w:qFormat/>
    <w:uiPriority w:val="0"/>
    <w:rPr>
      <w:vertAlign w:val="superscript"/>
    </w:rPr>
  </w:style>
  <w:style w:type="character" w:styleId="74">
    <w:name w:val="HTML Sample"/>
    <w:basedOn w:val="65"/>
    <w:autoRedefine/>
    <w:semiHidden/>
    <w:unhideWhenUsed/>
    <w:qFormat/>
    <w:uiPriority w:val="99"/>
    <w:rPr>
      <w:rFonts w:ascii="Courier New" w:hAnsi="Courier New"/>
    </w:rPr>
  </w:style>
  <w:style w:type="character" w:customStyle="1" w:styleId="75">
    <w:name w:val="标题 2 Char"/>
    <w:autoRedefine/>
    <w:qFormat/>
    <w:uiPriority w:val="0"/>
    <w:rPr>
      <w:rFonts w:hint="default" w:ascii="Cambria" w:hAnsi="Cambria" w:eastAsia="宋体"/>
      <w:b/>
      <w:bCs/>
      <w:kern w:val="2"/>
      <w:sz w:val="32"/>
      <w:szCs w:val="32"/>
      <w:lang w:val="en-US" w:eastAsia="zh-CN" w:bidi="ar-SA"/>
    </w:rPr>
  </w:style>
  <w:style w:type="paragraph" w:customStyle="1" w:styleId="76">
    <w:name w:val="样式2"/>
    <w:basedOn w:val="40"/>
    <w:autoRedefine/>
    <w:qFormat/>
    <w:uiPriority w:val="99"/>
    <w:pPr>
      <w:adjustRightInd w:val="0"/>
      <w:spacing w:line="360" w:lineRule="auto"/>
      <w:jc w:val="left"/>
    </w:pPr>
    <w:rPr>
      <w:rFonts w:ascii="宋体" w:hAnsi="宋体"/>
      <w:caps/>
      <w:kern w:val="0"/>
      <w:sz w:val="24"/>
      <w:szCs w:val="20"/>
    </w:rPr>
  </w:style>
  <w:style w:type="paragraph" w:customStyle="1" w:styleId="77">
    <w:name w:val="样式3"/>
    <w:basedOn w:val="1"/>
    <w:link w:val="603"/>
    <w:autoRedefine/>
    <w:qFormat/>
    <w:uiPriority w:val="0"/>
    <w:pPr>
      <w:spacing w:line="360" w:lineRule="auto"/>
      <w:ind w:left="454" w:hanging="227"/>
    </w:pPr>
    <w:rPr>
      <w:rFonts w:ascii="宋体" w:hAnsi="宋体" w:eastAsia="宋体"/>
      <w:sz w:val="24"/>
      <w:szCs w:val="24"/>
    </w:rPr>
  </w:style>
  <w:style w:type="paragraph" w:customStyle="1" w:styleId="78">
    <w:name w:val="正文缩进1"/>
    <w:basedOn w:val="1"/>
    <w:autoRedefine/>
    <w:qFormat/>
    <w:uiPriority w:val="99"/>
    <w:pPr>
      <w:ind w:firstLine="420"/>
    </w:pPr>
    <w:rPr>
      <w:rFonts w:ascii="Times New Roman" w:hAnsi="Times New Roman" w:eastAsia="宋体" w:cs="Times New Roman"/>
      <w:kern w:val="0"/>
      <w:szCs w:val="20"/>
    </w:rPr>
  </w:style>
  <w:style w:type="character" w:customStyle="1" w:styleId="79">
    <w:name w:val="标题 1 字符"/>
    <w:basedOn w:val="65"/>
    <w:link w:val="4"/>
    <w:autoRedefine/>
    <w:qFormat/>
    <w:uiPriority w:val="0"/>
    <w:rPr>
      <w:rFonts w:ascii="Times New Roman" w:hAnsi="Times New Roman" w:eastAsia="宋体" w:cs="Times New Roman"/>
      <w:b/>
      <w:bCs/>
      <w:kern w:val="0"/>
      <w:sz w:val="24"/>
      <w:szCs w:val="24"/>
    </w:rPr>
  </w:style>
  <w:style w:type="character" w:customStyle="1" w:styleId="80">
    <w:name w:val="标题 2 字符"/>
    <w:basedOn w:val="65"/>
    <w:link w:val="5"/>
    <w:autoRedefine/>
    <w:semiHidden/>
    <w:qFormat/>
    <w:uiPriority w:val="0"/>
    <w:rPr>
      <w:rFonts w:ascii="等线 Light" w:hAnsi="等线 Light" w:eastAsia="等线 Light" w:cs="Times New Roman"/>
      <w:b/>
      <w:bCs/>
      <w:sz w:val="32"/>
      <w:szCs w:val="32"/>
    </w:rPr>
  </w:style>
  <w:style w:type="character" w:customStyle="1" w:styleId="81">
    <w:name w:val="标题 3 字符"/>
    <w:basedOn w:val="65"/>
    <w:link w:val="6"/>
    <w:autoRedefine/>
    <w:semiHidden/>
    <w:qFormat/>
    <w:uiPriority w:val="0"/>
    <w:rPr>
      <w:rFonts w:ascii="Times New Roman" w:hAnsi="Times New Roman" w:eastAsia="宋体" w:cs="Times New Roman"/>
      <w:b/>
      <w:bCs/>
      <w:kern w:val="0"/>
      <w:sz w:val="32"/>
      <w:szCs w:val="32"/>
    </w:rPr>
  </w:style>
  <w:style w:type="character" w:customStyle="1" w:styleId="82">
    <w:name w:val="标题 4 字符"/>
    <w:basedOn w:val="65"/>
    <w:link w:val="7"/>
    <w:autoRedefine/>
    <w:semiHidden/>
    <w:qFormat/>
    <w:uiPriority w:val="0"/>
    <w:rPr>
      <w:rFonts w:ascii="Arial" w:hAnsi="Arial" w:eastAsia="黑体" w:cs="Times New Roman"/>
      <w:b/>
      <w:bCs/>
      <w:kern w:val="0"/>
      <w:sz w:val="28"/>
      <w:szCs w:val="28"/>
    </w:rPr>
  </w:style>
  <w:style w:type="character" w:customStyle="1" w:styleId="83">
    <w:name w:val="标题 5 字符"/>
    <w:basedOn w:val="65"/>
    <w:link w:val="8"/>
    <w:autoRedefine/>
    <w:semiHidden/>
    <w:qFormat/>
    <w:uiPriority w:val="0"/>
    <w:rPr>
      <w:rFonts w:ascii="Times New Roman" w:hAnsi="Times New Roman" w:eastAsia="宋体" w:cs="Times New Roman"/>
      <w:b/>
      <w:bCs/>
      <w:kern w:val="0"/>
      <w:sz w:val="28"/>
      <w:szCs w:val="28"/>
    </w:rPr>
  </w:style>
  <w:style w:type="character" w:customStyle="1" w:styleId="84">
    <w:name w:val="标题 6 字符"/>
    <w:basedOn w:val="65"/>
    <w:link w:val="9"/>
    <w:autoRedefine/>
    <w:semiHidden/>
    <w:qFormat/>
    <w:uiPriority w:val="0"/>
    <w:rPr>
      <w:rFonts w:ascii="Times New Roman" w:hAnsi="Times New Roman" w:eastAsia="宋体" w:cs="Times New Roman"/>
      <w:b/>
      <w:kern w:val="0"/>
      <w:szCs w:val="20"/>
    </w:rPr>
  </w:style>
  <w:style w:type="character" w:customStyle="1" w:styleId="85">
    <w:name w:val="标题 7 字符"/>
    <w:basedOn w:val="65"/>
    <w:link w:val="10"/>
    <w:autoRedefine/>
    <w:semiHidden/>
    <w:qFormat/>
    <w:uiPriority w:val="99"/>
    <w:rPr>
      <w:rFonts w:ascii="Times New Roman" w:hAnsi="Times New Roman" w:eastAsia="宋体" w:cs="Times New Roman"/>
      <w:kern w:val="0"/>
      <w:szCs w:val="20"/>
    </w:rPr>
  </w:style>
  <w:style w:type="character" w:customStyle="1" w:styleId="86">
    <w:name w:val="标题 8 字符"/>
    <w:basedOn w:val="65"/>
    <w:link w:val="11"/>
    <w:autoRedefine/>
    <w:semiHidden/>
    <w:qFormat/>
    <w:uiPriority w:val="99"/>
    <w:rPr>
      <w:rFonts w:ascii="Times New Roman" w:hAnsi="Times New Roman" w:eastAsia="宋体" w:cs="Times New Roman"/>
      <w:kern w:val="0"/>
      <w:szCs w:val="20"/>
    </w:rPr>
  </w:style>
  <w:style w:type="character" w:customStyle="1" w:styleId="87">
    <w:name w:val="标题 9 字符"/>
    <w:basedOn w:val="65"/>
    <w:link w:val="12"/>
    <w:autoRedefine/>
    <w:semiHidden/>
    <w:qFormat/>
    <w:uiPriority w:val="99"/>
    <w:rPr>
      <w:rFonts w:ascii="Arial" w:hAnsi="Arial" w:eastAsia="黑体" w:cs="Times New Roman"/>
      <w:kern w:val="0"/>
      <w:sz w:val="20"/>
      <w:szCs w:val="20"/>
    </w:rPr>
  </w:style>
  <w:style w:type="character" w:customStyle="1" w:styleId="88">
    <w:name w:val="HTML 预设格式 字符"/>
    <w:basedOn w:val="65"/>
    <w:link w:val="54"/>
    <w:autoRedefine/>
    <w:semiHidden/>
    <w:qFormat/>
    <w:uiPriority w:val="0"/>
    <w:rPr>
      <w:rFonts w:ascii="宋体" w:hAnsi="宋体" w:eastAsia="宋体" w:cs="Times New Roman"/>
      <w:kern w:val="0"/>
      <w:sz w:val="24"/>
      <w:szCs w:val="24"/>
    </w:rPr>
  </w:style>
  <w:style w:type="paragraph" w:customStyle="1" w:styleId="89">
    <w:name w:val="msonormal"/>
    <w:basedOn w:val="1"/>
    <w:autoRedefine/>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character" w:customStyle="1" w:styleId="90">
    <w:name w:val="正文缩进 字符"/>
    <w:link w:val="16"/>
    <w:autoRedefine/>
    <w:semiHidden/>
    <w:qFormat/>
    <w:locked/>
    <w:uiPriority w:val="0"/>
  </w:style>
  <w:style w:type="character" w:customStyle="1" w:styleId="91">
    <w:name w:val="脚注文本 字符"/>
    <w:basedOn w:val="65"/>
    <w:link w:val="44"/>
    <w:autoRedefine/>
    <w:semiHidden/>
    <w:qFormat/>
    <w:uiPriority w:val="99"/>
    <w:rPr>
      <w:rFonts w:ascii="Calibri" w:hAnsi="Calibri" w:eastAsia="宋体" w:cs="Times New Roman"/>
      <w:sz w:val="18"/>
      <w:szCs w:val="20"/>
    </w:rPr>
  </w:style>
  <w:style w:type="character" w:customStyle="1" w:styleId="92">
    <w:name w:val="批注文字 字符"/>
    <w:basedOn w:val="65"/>
    <w:autoRedefine/>
    <w:semiHidden/>
    <w:qFormat/>
    <w:uiPriority w:val="0"/>
  </w:style>
  <w:style w:type="character" w:customStyle="1" w:styleId="93">
    <w:name w:val="页眉 字符"/>
    <w:basedOn w:val="65"/>
    <w:link w:val="38"/>
    <w:autoRedefine/>
    <w:qFormat/>
    <w:uiPriority w:val="99"/>
    <w:rPr>
      <w:rFonts w:ascii="Times New Roman" w:hAnsi="Times New Roman" w:eastAsia="仿宋_GB2312" w:cs="Times New Roman"/>
      <w:kern w:val="0"/>
      <w:sz w:val="18"/>
      <w:szCs w:val="20"/>
    </w:rPr>
  </w:style>
  <w:style w:type="character" w:customStyle="1" w:styleId="94">
    <w:name w:val="页脚 字符"/>
    <w:basedOn w:val="65"/>
    <w:link w:val="37"/>
    <w:autoRedefine/>
    <w:qFormat/>
    <w:uiPriority w:val="99"/>
    <w:rPr>
      <w:rFonts w:ascii="Times New Roman" w:hAnsi="Times New Roman" w:eastAsia="黑体" w:cs="Times New Roman"/>
      <w:kern w:val="0"/>
      <w:sz w:val="18"/>
      <w:szCs w:val="18"/>
    </w:rPr>
  </w:style>
  <w:style w:type="character" w:customStyle="1" w:styleId="95">
    <w:name w:val="尾注文本 字符"/>
    <w:basedOn w:val="65"/>
    <w:link w:val="35"/>
    <w:autoRedefine/>
    <w:semiHidden/>
    <w:qFormat/>
    <w:uiPriority w:val="99"/>
    <w:rPr>
      <w:rFonts w:ascii="Calibri" w:hAnsi="Calibri" w:eastAsia="宋体" w:cs="Times New Roman"/>
      <w:szCs w:val="20"/>
    </w:rPr>
  </w:style>
  <w:style w:type="character" w:customStyle="1" w:styleId="96">
    <w:name w:val="标题 字符"/>
    <w:basedOn w:val="65"/>
    <w:link w:val="58"/>
    <w:autoRedefine/>
    <w:qFormat/>
    <w:uiPriority w:val="99"/>
    <w:rPr>
      <w:rFonts w:ascii="Cambria" w:hAnsi="Cambria" w:eastAsia="宋体" w:cs="Times New Roman"/>
      <w:b/>
      <w:bCs/>
      <w:kern w:val="0"/>
      <w:sz w:val="28"/>
      <w:szCs w:val="32"/>
    </w:rPr>
  </w:style>
  <w:style w:type="character" w:customStyle="1" w:styleId="97">
    <w:name w:val="签名 字符"/>
    <w:basedOn w:val="65"/>
    <w:link w:val="39"/>
    <w:autoRedefine/>
    <w:semiHidden/>
    <w:qFormat/>
    <w:uiPriority w:val="99"/>
    <w:rPr>
      <w:rFonts w:ascii="Calibri" w:hAnsi="Calibri" w:eastAsia="宋体" w:cs="Times New Roman"/>
      <w:kern w:val="0"/>
      <w:sz w:val="24"/>
      <w:szCs w:val="20"/>
      <w:lang w:val="en-GB" w:eastAsia="en-US"/>
    </w:rPr>
  </w:style>
  <w:style w:type="character" w:customStyle="1" w:styleId="98">
    <w:name w:val="正文文本 字符"/>
    <w:basedOn w:val="65"/>
    <w:link w:val="23"/>
    <w:autoRedefine/>
    <w:semiHidden/>
    <w:qFormat/>
    <w:uiPriority w:val="99"/>
    <w:rPr>
      <w:rFonts w:ascii="Times New Roman" w:hAnsi="Times New Roman" w:eastAsia="宋体" w:cs="Times New Roman"/>
      <w:kern w:val="0"/>
      <w:sz w:val="28"/>
      <w:szCs w:val="24"/>
    </w:rPr>
  </w:style>
  <w:style w:type="character" w:customStyle="1" w:styleId="99">
    <w:name w:val="正文文本缩进 字符"/>
    <w:basedOn w:val="65"/>
    <w:link w:val="2"/>
    <w:autoRedefine/>
    <w:semiHidden/>
    <w:qFormat/>
    <w:uiPriority w:val="99"/>
    <w:rPr>
      <w:rFonts w:ascii="宋体" w:hAnsi="Courier New" w:eastAsia="宋体" w:cs="Times New Roman"/>
      <w:spacing w:val="-4"/>
      <w:kern w:val="0"/>
      <w:sz w:val="18"/>
      <w:szCs w:val="20"/>
    </w:rPr>
  </w:style>
  <w:style w:type="character" w:customStyle="1" w:styleId="100">
    <w:name w:val="副标题 字符"/>
    <w:basedOn w:val="65"/>
    <w:link w:val="42"/>
    <w:autoRedefine/>
    <w:qFormat/>
    <w:uiPriority w:val="99"/>
    <w:rPr>
      <w:rFonts w:ascii="Times New Roman" w:hAnsi="Times New Roman" w:eastAsia="宋体" w:cs="Times New Roman"/>
      <w:kern w:val="0"/>
      <w:sz w:val="24"/>
      <w:szCs w:val="20"/>
    </w:rPr>
  </w:style>
  <w:style w:type="character" w:customStyle="1" w:styleId="101">
    <w:name w:val="日期 字符"/>
    <w:basedOn w:val="65"/>
    <w:link w:val="33"/>
    <w:autoRedefine/>
    <w:semiHidden/>
    <w:qFormat/>
    <w:uiPriority w:val="99"/>
    <w:rPr>
      <w:rFonts w:ascii="Times New Roman" w:hAnsi="Times New Roman" w:eastAsia="楷体_GB2312" w:cs="Times New Roman"/>
      <w:kern w:val="0"/>
      <w:sz w:val="32"/>
      <w:szCs w:val="20"/>
    </w:rPr>
  </w:style>
  <w:style w:type="character" w:customStyle="1" w:styleId="102">
    <w:name w:val="正文文本首行缩进 字符"/>
    <w:basedOn w:val="98"/>
    <w:link w:val="60"/>
    <w:autoRedefine/>
    <w:semiHidden/>
    <w:qFormat/>
    <w:uiPriority w:val="99"/>
    <w:rPr>
      <w:rFonts w:ascii="Calibri" w:hAnsi="Calibri" w:eastAsia="宋体" w:cs="Times New Roman"/>
      <w:kern w:val="0"/>
      <w:sz w:val="28"/>
      <w:szCs w:val="24"/>
    </w:rPr>
  </w:style>
  <w:style w:type="character" w:customStyle="1" w:styleId="103">
    <w:name w:val="正文文本 2 字符"/>
    <w:basedOn w:val="65"/>
    <w:link w:val="52"/>
    <w:autoRedefine/>
    <w:semiHidden/>
    <w:qFormat/>
    <w:uiPriority w:val="99"/>
    <w:rPr>
      <w:rFonts w:ascii="宋体" w:hAnsi="宋体" w:eastAsia="宋体" w:cs="Times New Roman"/>
      <w:color w:val="000000"/>
      <w:kern w:val="0"/>
      <w:sz w:val="24"/>
      <w:szCs w:val="24"/>
    </w:rPr>
  </w:style>
  <w:style w:type="character" w:customStyle="1" w:styleId="104">
    <w:name w:val="正文文本 3 字符"/>
    <w:basedOn w:val="65"/>
    <w:link w:val="22"/>
    <w:autoRedefine/>
    <w:semiHidden/>
    <w:qFormat/>
    <w:uiPriority w:val="99"/>
    <w:rPr>
      <w:rFonts w:ascii="Times New Roman" w:hAnsi="宋体" w:eastAsia="仿宋_GB2312" w:cs="Times New Roman"/>
      <w:b/>
      <w:bCs/>
      <w:kern w:val="0"/>
      <w:sz w:val="24"/>
      <w:szCs w:val="20"/>
    </w:rPr>
  </w:style>
  <w:style w:type="character" w:customStyle="1" w:styleId="105">
    <w:name w:val="正文文本缩进 2 字符"/>
    <w:basedOn w:val="65"/>
    <w:link w:val="34"/>
    <w:autoRedefine/>
    <w:semiHidden/>
    <w:qFormat/>
    <w:uiPriority w:val="99"/>
    <w:rPr>
      <w:rFonts w:ascii="仿宋_GB2312" w:hAnsi="宋体" w:eastAsia="宋体" w:cs="Times New Roman"/>
      <w:b/>
      <w:bCs/>
      <w:color w:val="000000"/>
      <w:kern w:val="0"/>
      <w:sz w:val="24"/>
      <w:szCs w:val="24"/>
    </w:rPr>
  </w:style>
  <w:style w:type="character" w:customStyle="1" w:styleId="106">
    <w:name w:val="正文文本缩进 3 字符"/>
    <w:basedOn w:val="65"/>
    <w:link w:val="47"/>
    <w:autoRedefine/>
    <w:semiHidden/>
    <w:qFormat/>
    <w:uiPriority w:val="99"/>
    <w:rPr>
      <w:rFonts w:ascii="仿宋_GB2312" w:hAnsi="宋体" w:eastAsia="仿宋_GB2312" w:cs="Times New Roman"/>
      <w:color w:val="000000"/>
      <w:kern w:val="0"/>
      <w:sz w:val="24"/>
      <w:szCs w:val="24"/>
    </w:rPr>
  </w:style>
  <w:style w:type="character" w:customStyle="1" w:styleId="107">
    <w:name w:val="文档结构图 字符"/>
    <w:basedOn w:val="65"/>
    <w:link w:val="19"/>
    <w:autoRedefine/>
    <w:semiHidden/>
    <w:qFormat/>
    <w:uiPriority w:val="99"/>
    <w:rPr>
      <w:rFonts w:ascii="宋体" w:hAnsi="Times New Roman" w:eastAsia="宋体" w:cs="Times New Roman"/>
      <w:sz w:val="18"/>
      <w:szCs w:val="18"/>
      <w:shd w:val="clear" w:color="auto" w:fill="000080"/>
    </w:rPr>
  </w:style>
  <w:style w:type="character" w:customStyle="1" w:styleId="108">
    <w:name w:val="纯文本 字符"/>
    <w:basedOn w:val="65"/>
    <w:link w:val="30"/>
    <w:autoRedefine/>
    <w:semiHidden/>
    <w:qFormat/>
    <w:uiPriority w:val="99"/>
    <w:rPr>
      <w:rFonts w:ascii="宋体" w:hAnsi="Courier New" w:eastAsia="宋体" w:cs="Times New Roman"/>
      <w:kern w:val="0"/>
      <w:sz w:val="24"/>
      <w:szCs w:val="24"/>
    </w:rPr>
  </w:style>
  <w:style w:type="character" w:customStyle="1" w:styleId="109">
    <w:name w:val="批注主题 字符"/>
    <w:basedOn w:val="92"/>
    <w:link w:val="59"/>
    <w:autoRedefine/>
    <w:semiHidden/>
    <w:qFormat/>
    <w:uiPriority w:val="99"/>
    <w:rPr>
      <w:rFonts w:ascii="Times New Roman" w:hAnsi="Times New Roman" w:eastAsia="宋体" w:cs="Times New Roman"/>
      <w:b/>
      <w:bCs/>
      <w:kern w:val="0"/>
      <w:sz w:val="20"/>
      <w:szCs w:val="20"/>
    </w:rPr>
  </w:style>
  <w:style w:type="character" w:customStyle="1" w:styleId="110">
    <w:name w:val="批注框文本 字符"/>
    <w:basedOn w:val="65"/>
    <w:link w:val="36"/>
    <w:autoRedefine/>
    <w:semiHidden/>
    <w:qFormat/>
    <w:uiPriority w:val="99"/>
    <w:rPr>
      <w:rFonts w:ascii="Times New Roman" w:hAnsi="Times New Roman" w:eastAsia="宋体" w:cs="Times New Roman"/>
      <w:kern w:val="0"/>
      <w:sz w:val="18"/>
      <w:szCs w:val="18"/>
    </w:rPr>
  </w:style>
  <w:style w:type="paragraph" w:styleId="111">
    <w:name w:val="No Spacing"/>
    <w:autoRedefine/>
    <w:qFormat/>
    <w:uiPriority w:val="99"/>
    <w:rPr>
      <w:rFonts w:ascii="Calibri" w:hAnsi="Calibri" w:eastAsia="Times New Roman" w:cs="Times New Roman"/>
      <w:kern w:val="2"/>
      <w:sz w:val="22"/>
      <w:szCs w:val="22"/>
      <w:lang w:val="en-US" w:eastAsia="zh-CN" w:bidi="ar-SA"/>
    </w:rPr>
  </w:style>
  <w:style w:type="paragraph" w:customStyle="1" w:styleId="112">
    <w:name w:val="修订1"/>
    <w:autoRedefine/>
    <w:semiHidden/>
    <w:qFormat/>
    <w:uiPriority w:val="99"/>
    <w:rPr>
      <w:rFonts w:ascii="Times New Roman" w:hAnsi="Times New Roman" w:eastAsia="宋体" w:cs="Times New Roman"/>
      <w:kern w:val="2"/>
      <w:sz w:val="21"/>
      <w:szCs w:val="24"/>
      <w:lang w:val="en-US" w:eastAsia="zh-CN" w:bidi="ar-SA"/>
    </w:rPr>
  </w:style>
  <w:style w:type="paragraph" w:styleId="113">
    <w:name w:val="List Paragraph"/>
    <w:basedOn w:val="1"/>
    <w:autoRedefine/>
    <w:qFormat/>
    <w:uiPriority w:val="99"/>
    <w:pPr>
      <w:widowControl/>
      <w:ind w:left="720" w:firstLine="360"/>
      <w:contextualSpacing/>
      <w:jc w:val="left"/>
    </w:pPr>
    <w:rPr>
      <w:rFonts w:ascii="Calibri" w:hAnsi="Calibri" w:eastAsia="宋体" w:cs="Times New Roman"/>
      <w:kern w:val="0"/>
      <w:sz w:val="22"/>
      <w:lang w:eastAsia="en-US" w:bidi="en-US"/>
    </w:rPr>
  </w:style>
  <w:style w:type="paragraph" w:styleId="114">
    <w:name w:val="Quote"/>
    <w:next w:val="1"/>
    <w:link w:val="115"/>
    <w:autoRedefine/>
    <w:qFormat/>
    <w:uiPriority w:val="99"/>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115">
    <w:name w:val="引用 字符"/>
    <w:basedOn w:val="65"/>
    <w:link w:val="114"/>
    <w:autoRedefine/>
    <w:qFormat/>
    <w:uiPriority w:val="99"/>
    <w:rPr>
      <w:rFonts w:ascii="Times New Roman" w:hAnsi="Times New Roman" w:eastAsia="宋体" w:cs="Times New Roman"/>
      <w:i/>
      <w:kern w:val="0"/>
      <w:szCs w:val="20"/>
    </w:rPr>
  </w:style>
  <w:style w:type="paragraph" w:styleId="116">
    <w:name w:val="Intense Quote"/>
    <w:next w:val="1"/>
    <w:link w:val="117"/>
    <w:autoRedefine/>
    <w:qFormat/>
    <w:uiPriority w:val="99"/>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117">
    <w:name w:val="明显引用 字符"/>
    <w:basedOn w:val="65"/>
    <w:link w:val="116"/>
    <w:autoRedefine/>
    <w:qFormat/>
    <w:uiPriority w:val="99"/>
    <w:rPr>
      <w:rFonts w:ascii="Times New Roman" w:hAnsi="Times New Roman" w:eastAsia="宋体" w:cs="Times New Roman"/>
      <w:i/>
      <w:kern w:val="0"/>
      <w:szCs w:val="20"/>
    </w:rPr>
  </w:style>
  <w:style w:type="paragraph" w:customStyle="1" w:styleId="118">
    <w:name w:val="TOC 标题1"/>
    <w:next w:val="1"/>
    <w:autoRedefine/>
    <w:semiHidden/>
    <w:unhideWhenUsed/>
    <w:qFormat/>
    <w:uiPriority w:val="99"/>
    <w:pPr>
      <w:wordWrap w:val="0"/>
    </w:pPr>
    <w:rPr>
      <w:rFonts w:ascii="Times New Roman" w:hAnsi="Times New Roman" w:eastAsia="宋体" w:cs="Times New Roman"/>
      <w:sz w:val="32"/>
      <w:lang w:val="en-US" w:eastAsia="zh-CN" w:bidi="ar-SA"/>
    </w:rPr>
  </w:style>
  <w:style w:type="character" w:customStyle="1" w:styleId="119">
    <w:name w:val="List Paragraph Char"/>
    <w:link w:val="120"/>
    <w:autoRedefine/>
    <w:qFormat/>
    <w:locked/>
    <w:uiPriority w:val="0"/>
    <w:rPr>
      <w:szCs w:val="24"/>
    </w:rPr>
  </w:style>
  <w:style w:type="paragraph" w:customStyle="1" w:styleId="120">
    <w:name w:val="列表段落1"/>
    <w:basedOn w:val="1"/>
    <w:link w:val="119"/>
    <w:autoRedefine/>
    <w:qFormat/>
    <w:uiPriority w:val="0"/>
    <w:pPr>
      <w:ind w:firstLine="420" w:firstLineChars="200"/>
    </w:pPr>
    <w:rPr>
      <w:szCs w:val="24"/>
    </w:rPr>
  </w:style>
  <w:style w:type="character" w:customStyle="1" w:styleId="121">
    <w:name w:val="目录3 Char"/>
    <w:link w:val="122"/>
    <w:autoRedefine/>
    <w:qFormat/>
    <w:locked/>
    <w:uiPriority w:val="99"/>
    <w:rPr>
      <w:rFonts w:ascii="宋体" w:hAnsi="宋体" w:eastAsia="宋体"/>
      <w:b/>
      <w:sz w:val="24"/>
    </w:rPr>
  </w:style>
  <w:style w:type="paragraph" w:customStyle="1" w:styleId="122">
    <w:name w:val="目录3"/>
    <w:basedOn w:val="1"/>
    <w:link w:val="121"/>
    <w:autoRedefine/>
    <w:qFormat/>
    <w:uiPriority w:val="99"/>
    <w:pPr>
      <w:adjustRightInd w:val="0"/>
      <w:snapToGrid w:val="0"/>
      <w:jc w:val="left"/>
    </w:pPr>
    <w:rPr>
      <w:rFonts w:ascii="宋体" w:hAnsi="宋体" w:eastAsia="宋体"/>
      <w:b/>
      <w:sz w:val="24"/>
    </w:rPr>
  </w:style>
  <w:style w:type="paragraph" w:customStyle="1" w:styleId="123">
    <w:name w:val="正文_4"/>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4">
    <w:name w:val="正文_14"/>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25">
    <w:name w:val="无间隔 Char"/>
    <w:link w:val="126"/>
    <w:autoRedefine/>
    <w:qFormat/>
    <w:locked/>
    <w:uiPriority w:val="0"/>
    <w:rPr>
      <w:rFonts w:ascii="Times New Roman" w:hAnsi="Times New Roman" w:eastAsia="Times New Roman" w:cs="Times New Roman"/>
      <w:szCs w:val="24"/>
    </w:rPr>
  </w:style>
  <w:style w:type="paragraph" w:customStyle="1" w:styleId="126">
    <w:name w:val="无间隔1"/>
    <w:link w:val="125"/>
    <w:autoRedefine/>
    <w:qFormat/>
    <w:uiPriority w:val="0"/>
    <w:pPr>
      <w:widowControl w:val="0"/>
      <w:jc w:val="both"/>
    </w:pPr>
    <w:rPr>
      <w:rFonts w:ascii="Times New Roman" w:hAnsi="Times New Roman" w:eastAsia="Times New Roman" w:cs="Times New Roman"/>
      <w:kern w:val="2"/>
      <w:sz w:val="21"/>
      <w:szCs w:val="24"/>
      <w:lang w:val="en-US" w:eastAsia="zh-CN" w:bidi="ar-SA"/>
    </w:rPr>
  </w:style>
  <w:style w:type="character" w:customStyle="1" w:styleId="127">
    <w:name w:val="普通文字 Char Char_0"/>
    <w:link w:val="128"/>
    <w:autoRedefine/>
    <w:qFormat/>
    <w:locked/>
    <w:uiPriority w:val="0"/>
    <w:rPr>
      <w:rFonts w:ascii="Arial Unicode MS" w:hAnsi="Arial Unicode MS" w:eastAsia="ヒラギノ角ゴ Pro W3"/>
      <w:color w:val="000000"/>
    </w:rPr>
  </w:style>
  <w:style w:type="paragraph" w:customStyle="1" w:styleId="128">
    <w:name w:val="纯文本_0"/>
    <w:link w:val="127"/>
    <w:autoRedefine/>
    <w:qFormat/>
    <w:uiPriority w:val="0"/>
    <w:pPr>
      <w:widowControl w:val="0"/>
      <w:jc w:val="both"/>
    </w:pPr>
    <w:rPr>
      <w:rFonts w:ascii="Arial Unicode MS" w:hAnsi="Arial Unicode MS" w:eastAsia="ヒラギノ角ゴ Pro W3" w:cstheme="minorBidi"/>
      <w:color w:val="000000"/>
      <w:kern w:val="2"/>
      <w:sz w:val="21"/>
      <w:szCs w:val="22"/>
      <w:lang w:val="en-US" w:eastAsia="zh-CN" w:bidi="ar-SA"/>
    </w:rPr>
  </w:style>
  <w:style w:type="character" w:customStyle="1" w:styleId="129">
    <w:name w:val="样式1 Char Char"/>
    <w:link w:val="130"/>
    <w:autoRedefine/>
    <w:qFormat/>
    <w:locked/>
    <w:uiPriority w:val="0"/>
    <w:rPr>
      <w:rFonts w:ascii="宋体" w:hAnsi="宋体" w:eastAsia="宋体"/>
      <w:b/>
      <w:sz w:val="24"/>
    </w:rPr>
  </w:style>
  <w:style w:type="paragraph" w:customStyle="1" w:styleId="130">
    <w:name w:val="样式1"/>
    <w:basedOn w:val="1"/>
    <w:link w:val="129"/>
    <w:autoRedefine/>
    <w:qFormat/>
    <w:uiPriority w:val="0"/>
    <w:pPr>
      <w:spacing w:before="120" w:after="120" w:line="300" w:lineRule="auto"/>
    </w:pPr>
    <w:rPr>
      <w:rFonts w:ascii="宋体" w:hAnsi="宋体" w:eastAsia="宋体"/>
      <w:b/>
      <w:sz w:val="24"/>
    </w:rPr>
  </w:style>
  <w:style w:type="paragraph" w:customStyle="1" w:styleId="131">
    <w:name w:val="正文_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32">
    <w:name w:val="纯文本 Char_0"/>
    <w:link w:val="133"/>
    <w:autoRedefine/>
    <w:qFormat/>
    <w:locked/>
    <w:uiPriority w:val="0"/>
    <w:rPr>
      <w:rFonts w:ascii="宋体" w:hAnsi="宋体" w:eastAsia="ヒラギノ角ゴ Pro W3"/>
      <w:color w:val="000000"/>
    </w:rPr>
  </w:style>
  <w:style w:type="paragraph" w:customStyle="1" w:styleId="133">
    <w:name w:val="纯文本_1"/>
    <w:link w:val="132"/>
    <w:autoRedefine/>
    <w:qFormat/>
    <w:uiPriority w:val="0"/>
    <w:pPr>
      <w:widowControl w:val="0"/>
      <w:jc w:val="both"/>
    </w:pPr>
    <w:rPr>
      <w:rFonts w:ascii="宋体" w:hAnsi="宋体" w:eastAsia="ヒラギノ角ゴ Pro W3" w:cstheme="minorBidi"/>
      <w:color w:val="000000"/>
      <w:kern w:val="2"/>
      <w:sz w:val="21"/>
      <w:szCs w:val="22"/>
      <w:lang w:val="en-US" w:eastAsia="zh-CN" w:bidi="ar-SA"/>
    </w:rPr>
  </w:style>
  <w:style w:type="paragraph" w:customStyle="1" w:styleId="134">
    <w:name w:val="正文_0"/>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35">
    <w:name w:val="彩色网格 - 强调文字颜色 1 Char"/>
    <w:link w:val="136"/>
    <w:autoRedefine/>
    <w:qFormat/>
    <w:locked/>
    <w:uiPriority w:val="0"/>
    <w:rPr>
      <w:i/>
      <w:iCs/>
      <w:color w:val="000000"/>
    </w:rPr>
  </w:style>
  <w:style w:type="paragraph" w:customStyle="1" w:styleId="136">
    <w:name w:val="彩色网格 - 强调文字颜色 11"/>
    <w:basedOn w:val="1"/>
    <w:next w:val="1"/>
    <w:link w:val="135"/>
    <w:autoRedefine/>
    <w:qFormat/>
    <w:uiPriority w:val="0"/>
    <w:rPr>
      <w:i/>
      <w:iCs/>
      <w:color w:val="000000"/>
    </w:rPr>
  </w:style>
  <w:style w:type="character" w:customStyle="1" w:styleId="137">
    <w:name w:val="样式 纯文本普通文字 Char纯文本 Char Char普通文字纯文本 Char Char Char Char Char...6 Char Char"/>
    <w:link w:val="138"/>
    <w:autoRedefine/>
    <w:qFormat/>
    <w:locked/>
    <w:uiPriority w:val="0"/>
    <w:rPr>
      <w:rFonts w:ascii="宋体" w:hAnsi="Courier New" w:eastAsia="宋体"/>
      <w:color w:val="000000"/>
      <w:szCs w:val="21"/>
    </w:rPr>
  </w:style>
  <w:style w:type="paragraph" w:customStyle="1" w:styleId="138">
    <w:name w:val="样式 纯文本普通文字 Char纯文本 Char Char普通文字纯文本 Char Char Char Char Char...6"/>
    <w:basedOn w:val="30"/>
    <w:link w:val="137"/>
    <w:autoRedefine/>
    <w:qFormat/>
    <w:uiPriority w:val="0"/>
    <w:pPr>
      <w:spacing w:beforeLines="0" w:afterLines="0" w:line="240" w:lineRule="auto"/>
    </w:pPr>
    <w:rPr>
      <w:rFonts w:cstheme="minorBidi"/>
      <w:color w:val="000000"/>
      <w:kern w:val="2"/>
      <w:sz w:val="21"/>
      <w:szCs w:val="21"/>
    </w:rPr>
  </w:style>
  <w:style w:type="character" w:customStyle="1" w:styleId="139">
    <w:name w:val="引用 Char1"/>
    <w:link w:val="140"/>
    <w:autoRedefine/>
    <w:qFormat/>
    <w:locked/>
    <w:uiPriority w:val="0"/>
    <w:rPr>
      <w:i/>
      <w:iCs/>
      <w:color w:val="000000"/>
      <w:szCs w:val="24"/>
    </w:rPr>
  </w:style>
  <w:style w:type="paragraph" w:customStyle="1" w:styleId="140">
    <w:name w:val="引用1"/>
    <w:basedOn w:val="1"/>
    <w:next w:val="1"/>
    <w:link w:val="139"/>
    <w:autoRedefine/>
    <w:qFormat/>
    <w:uiPriority w:val="0"/>
    <w:rPr>
      <w:i/>
      <w:iCs/>
      <w:color w:val="000000"/>
      <w:szCs w:val="24"/>
    </w:rPr>
  </w:style>
  <w:style w:type="character" w:customStyle="1" w:styleId="141">
    <w:name w:val="标题4 Char Char"/>
    <w:link w:val="142"/>
    <w:autoRedefine/>
    <w:qFormat/>
    <w:locked/>
    <w:uiPriority w:val="0"/>
    <w:rPr>
      <w:rFonts w:ascii="Arial" w:hAnsi="Arial" w:cs="Arial"/>
      <w:b/>
      <w:bCs/>
      <w:sz w:val="24"/>
      <w:szCs w:val="32"/>
    </w:rPr>
  </w:style>
  <w:style w:type="paragraph" w:customStyle="1" w:styleId="142">
    <w:name w:val="标题4"/>
    <w:basedOn w:val="1"/>
    <w:link w:val="141"/>
    <w:autoRedefine/>
    <w:qFormat/>
    <w:uiPriority w:val="0"/>
    <w:rPr>
      <w:rFonts w:ascii="Arial" w:hAnsi="Arial" w:cs="Arial"/>
      <w:b/>
      <w:bCs/>
      <w:sz w:val="24"/>
      <w:szCs w:val="32"/>
    </w:rPr>
  </w:style>
  <w:style w:type="character" w:customStyle="1" w:styleId="143">
    <w:name w:val="明显引用 Char1"/>
    <w:link w:val="144"/>
    <w:autoRedefine/>
    <w:qFormat/>
    <w:locked/>
    <w:uiPriority w:val="0"/>
    <w:rPr>
      <w:b/>
      <w:bCs/>
      <w:i/>
      <w:iCs/>
      <w:color w:val="4F81BD"/>
      <w:szCs w:val="24"/>
    </w:rPr>
  </w:style>
  <w:style w:type="paragraph" w:customStyle="1" w:styleId="144">
    <w:name w:val="Intense Quote1"/>
    <w:basedOn w:val="1"/>
    <w:next w:val="1"/>
    <w:link w:val="143"/>
    <w:autoRedefine/>
    <w:qFormat/>
    <w:uiPriority w:val="0"/>
    <w:pPr>
      <w:pBdr>
        <w:bottom w:val="single" w:color="4F81BD" w:sz="4" w:space="4"/>
      </w:pBdr>
      <w:spacing w:before="200" w:after="280"/>
      <w:ind w:left="936" w:right="936"/>
    </w:pPr>
    <w:rPr>
      <w:b/>
      <w:bCs/>
      <w:i/>
      <w:iCs/>
      <w:color w:val="4F81BD"/>
      <w:szCs w:val="24"/>
    </w:rPr>
  </w:style>
  <w:style w:type="paragraph" w:customStyle="1" w:styleId="145">
    <w:name w:val="正文_1_1"/>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46">
    <w:name w:val="标题5 Char Char"/>
    <w:link w:val="147"/>
    <w:autoRedefine/>
    <w:qFormat/>
    <w:locked/>
    <w:uiPriority w:val="0"/>
    <w:rPr>
      <w:rFonts w:ascii="Arial" w:hAnsi="Arial" w:cs="Arial"/>
      <w:b/>
      <w:bCs/>
      <w:sz w:val="24"/>
      <w:szCs w:val="32"/>
    </w:rPr>
  </w:style>
  <w:style w:type="paragraph" w:customStyle="1" w:styleId="147">
    <w:name w:val="标题5"/>
    <w:basedOn w:val="6"/>
    <w:link w:val="146"/>
    <w:autoRedefine/>
    <w:qFormat/>
    <w:uiPriority w:val="0"/>
    <w:pPr>
      <w:spacing w:line="412" w:lineRule="auto"/>
    </w:pPr>
    <w:rPr>
      <w:rFonts w:ascii="Arial" w:hAnsi="Arial" w:cs="Arial" w:eastAsiaTheme="minorEastAsia"/>
      <w:kern w:val="2"/>
      <w:sz w:val="24"/>
    </w:rPr>
  </w:style>
  <w:style w:type="character" w:customStyle="1" w:styleId="148">
    <w:name w:val="正文文字4 Char1_0"/>
    <w:link w:val="149"/>
    <w:autoRedefine/>
    <w:qFormat/>
    <w:locked/>
    <w:uiPriority w:val="0"/>
  </w:style>
  <w:style w:type="paragraph" w:customStyle="1" w:styleId="149">
    <w:name w:val="正文文本缩进_0"/>
    <w:basedOn w:val="134"/>
    <w:link w:val="148"/>
    <w:autoRedefine/>
    <w:qFormat/>
    <w:uiPriority w:val="0"/>
    <w:pPr>
      <w:spacing w:after="120"/>
      <w:ind w:left="420" w:leftChars="200"/>
    </w:pPr>
    <w:rPr>
      <w:rFonts w:asciiTheme="minorHAnsi" w:hAnsiTheme="minorHAnsi" w:eastAsiaTheme="minorEastAsia" w:cstheme="minorBidi"/>
    </w:rPr>
  </w:style>
  <w:style w:type="character" w:customStyle="1" w:styleId="150">
    <w:name w:val="内文 Char Char"/>
    <w:link w:val="151"/>
    <w:autoRedefine/>
    <w:qFormat/>
    <w:locked/>
    <w:uiPriority w:val="0"/>
    <w:rPr>
      <w:rFonts w:ascii="Arial" w:hAnsi="Arial" w:eastAsia="Times New Roman" w:cs="Arial"/>
      <w:szCs w:val="24"/>
    </w:rPr>
  </w:style>
  <w:style w:type="paragraph" w:customStyle="1" w:styleId="151">
    <w:name w:val="内文"/>
    <w:link w:val="150"/>
    <w:autoRedefine/>
    <w:qFormat/>
    <w:uiPriority w:val="0"/>
    <w:pPr>
      <w:adjustRightInd w:val="0"/>
      <w:snapToGrid w:val="0"/>
      <w:spacing w:line="400" w:lineRule="exact"/>
      <w:ind w:firstLine="200" w:firstLineChars="200"/>
      <w:jc w:val="both"/>
    </w:pPr>
    <w:rPr>
      <w:rFonts w:ascii="Arial" w:hAnsi="Arial" w:eastAsia="Times New Roman" w:cs="Arial"/>
      <w:kern w:val="2"/>
      <w:sz w:val="21"/>
      <w:szCs w:val="24"/>
      <w:lang w:val="en-US" w:eastAsia="zh-CN" w:bidi="ar-SA"/>
    </w:rPr>
  </w:style>
  <w:style w:type="paragraph" w:customStyle="1" w:styleId="152">
    <w:name w:val="正文_3"/>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普通文字 Char Char_1"/>
    <w:link w:val="154"/>
    <w:autoRedefine/>
    <w:qFormat/>
    <w:locked/>
    <w:uiPriority w:val="0"/>
    <w:rPr>
      <w:rFonts w:ascii="宋体" w:hAnsi="Courier New" w:eastAsia="宋体"/>
      <w:szCs w:val="21"/>
    </w:rPr>
  </w:style>
  <w:style w:type="paragraph" w:customStyle="1" w:styleId="154">
    <w:name w:val="纯文本_1_0"/>
    <w:basedOn w:val="145"/>
    <w:link w:val="153"/>
    <w:autoRedefine/>
    <w:qFormat/>
    <w:uiPriority w:val="0"/>
    <w:rPr>
      <w:rFonts w:ascii="宋体" w:hAnsi="Courier New" w:cstheme="minorBidi"/>
      <w:szCs w:val="21"/>
    </w:rPr>
  </w:style>
  <w:style w:type="paragraph" w:customStyle="1" w:styleId="155">
    <w:name w:val="正文_2"/>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56">
    <w:name w:val="样式 正文文本 Char Char"/>
    <w:link w:val="157"/>
    <w:autoRedefine/>
    <w:qFormat/>
    <w:locked/>
    <w:uiPriority w:val="0"/>
    <w:rPr>
      <w:rFonts w:ascii="Arial" w:hAnsi="Arial" w:cs="Arial"/>
      <w:color w:val="000000"/>
    </w:rPr>
  </w:style>
  <w:style w:type="paragraph" w:customStyle="1" w:styleId="157">
    <w:name w:val="样式 正文文本"/>
    <w:basedOn w:val="1"/>
    <w:link w:val="156"/>
    <w:autoRedefine/>
    <w:qFormat/>
    <w:uiPriority w:val="0"/>
    <w:pPr>
      <w:adjustRightInd w:val="0"/>
      <w:snapToGrid w:val="0"/>
      <w:spacing w:line="400" w:lineRule="exact"/>
      <w:ind w:firstLine="200" w:firstLineChars="200"/>
    </w:pPr>
    <w:rPr>
      <w:rFonts w:ascii="Arial" w:hAnsi="Arial" w:cs="Arial"/>
      <w:color w:val="000000"/>
    </w:rPr>
  </w:style>
  <w:style w:type="character" w:customStyle="1" w:styleId="158">
    <w:name w:val="浅色底纹 - 强调文字颜色 2 Char"/>
    <w:link w:val="159"/>
    <w:autoRedefine/>
    <w:qFormat/>
    <w:locked/>
    <w:uiPriority w:val="0"/>
    <w:rPr>
      <w:b/>
      <w:bCs/>
      <w:i/>
      <w:iCs/>
      <w:color w:val="4F81BD"/>
    </w:rPr>
  </w:style>
  <w:style w:type="paragraph" w:customStyle="1" w:styleId="159">
    <w:name w:val="浅色底纹 - 强调文字颜色 21"/>
    <w:basedOn w:val="1"/>
    <w:next w:val="1"/>
    <w:link w:val="158"/>
    <w:autoRedefine/>
    <w:qFormat/>
    <w:uiPriority w:val="0"/>
    <w:pPr>
      <w:pBdr>
        <w:bottom w:val="single" w:color="4F81BD" w:sz="4" w:space="4"/>
      </w:pBdr>
      <w:spacing w:before="200" w:after="280"/>
      <w:ind w:left="936" w:right="936"/>
    </w:pPr>
    <w:rPr>
      <w:b/>
      <w:bCs/>
      <w:i/>
      <w:iCs/>
      <w:color w:val="4F81BD"/>
    </w:rPr>
  </w:style>
  <w:style w:type="character" w:customStyle="1" w:styleId="160">
    <w:name w:val="Intense Quote Char"/>
    <w:link w:val="161"/>
    <w:autoRedefine/>
    <w:qFormat/>
    <w:locked/>
    <w:uiPriority w:val="0"/>
    <w:rPr>
      <w:b/>
      <w:i/>
      <w:color w:val="4F81BD"/>
      <w:sz w:val="22"/>
    </w:rPr>
  </w:style>
  <w:style w:type="paragraph" w:customStyle="1" w:styleId="161">
    <w:name w:val="明显引用1"/>
    <w:basedOn w:val="1"/>
    <w:next w:val="1"/>
    <w:link w:val="160"/>
    <w:autoRedefine/>
    <w:qFormat/>
    <w:uiPriority w:val="0"/>
    <w:pPr>
      <w:pBdr>
        <w:bottom w:val="single" w:color="4F81BD" w:sz="4" w:space="4"/>
      </w:pBdr>
      <w:spacing w:before="200" w:after="280"/>
      <w:ind w:left="936" w:right="936"/>
    </w:pPr>
    <w:rPr>
      <w:b/>
      <w:i/>
      <w:color w:val="4F81BD"/>
      <w:sz w:val="22"/>
    </w:rPr>
  </w:style>
  <w:style w:type="character" w:customStyle="1" w:styleId="162">
    <w:name w:val="Default Char Char"/>
    <w:link w:val="163"/>
    <w:autoRedefine/>
    <w:qFormat/>
    <w:locked/>
    <w:uiPriority w:val="0"/>
    <w:rPr>
      <w:rFonts w:ascii="..ì." w:hAnsi="..ì." w:eastAsia="..ì." w:cs="..ì."/>
      <w:color w:val="000000"/>
      <w:sz w:val="24"/>
      <w:szCs w:val="24"/>
    </w:rPr>
  </w:style>
  <w:style w:type="paragraph" w:customStyle="1" w:styleId="163">
    <w:name w:val="Default"/>
    <w:link w:val="162"/>
    <w:autoRedefine/>
    <w:qFormat/>
    <w:uiPriority w:val="0"/>
    <w:pPr>
      <w:widowControl w:val="0"/>
      <w:autoSpaceDE w:val="0"/>
      <w:autoSpaceDN w:val="0"/>
      <w:adjustRightInd w:val="0"/>
    </w:pPr>
    <w:rPr>
      <w:rFonts w:ascii="..ì." w:hAnsi="..ì." w:eastAsia="..ì." w:cs="..ì."/>
      <w:color w:val="000000"/>
      <w:kern w:val="2"/>
      <w:sz w:val="24"/>
      <w:szCs w:val="24"/>
      <w:lang w:val="en-US" w:eastAsia="zh-CN" w:bidi="ar-SA"/>
    </w:rPr>
  </w:style>
  <w:style w:type="character" w:customStyle="1" w:styleId="164">
    <w:name w:val="Quote Char"/>
    <w:link w:val="165"/>
    <w:autoRedefine/>
    <w:qFormat/>
    <w:locked/>
    <w:uiPriority w:val="0"/>
    <w:rPr>
      <w:i/>
      <w:color w:val="000000"/>
      <w:sz w:val="22"/>
    </w:rPr>
  </w:style>
  <w:style w:type="paragraph" w:customStyle="1" w:styleId="165">
    <w:name w:val="引用11"/>
    <w:basedOn w:val="1"/>
    <w:next w:val="1"/>
    <w:link w:val="164"/>
    <w:autoRedefine/>
    <w:qFormat/>
    <w:uiPriority w:val="0"/>
    <w:rPr>
      <w:i/>
      <w:color w:val="000000"/>
      <w:sz w:val="22"/>
    </w:rPr>
  </w:style>
  <w:style w:type="character" w:customStyle="1" w:styleId="166">
    <w:name w:val="明显引用 Char"/>
    <w:link w:val="167"/>
    <w:autoRedefine/>
    <w:qFormat/>
    <w:locked/>
    <w:uiPriority w:val="0"/>
    <w:rPr>
      <w:b/>
      <w:bCs/>
      <w:i/>
      <w:iCs/>
      <w:color w:val="4F81BD"/>
    </w:rPr>
  </w:style>
  <w:style w:type="paragraph" w:customStyle="1" w:styleId="167">
    <w:name w:val="明显引用2"/>
    <w:basedOn w:val="1"/>
    <w:next w:val="1"/>
    <w:link w:val="166"/>
    <w:autoRedefine/>
    <w:qFormat/>
    <w:uiPriority w:val="0"/>
    <w:pPr>
      <w:pBdr>
        <w:bottom w:val="single" w:color="4F81BD" w:sz="4" w:space="4"/>
      </w:pBdr>
      <w:spacing w:before="200" w:after="280"/>
      <w:ind w:left="936" w:right="936"/>
    </w:pPr>
    <w:rPr>
      <w:b/>
      <w:bCs/>
      <w:i/>
      <w:iCs/>
      <w:color w:val="4F81BD"/>
    </w:rPr>
  </w:style>
  <w:style w:type="paragraph" w:customStyle="1" w:styleId="168">
    <w:name w:val="样式 标题 3 + (中文) 黑体 小四 非加粗 段前: 7.8 磅 段后: 0 磅 行距: 固定值 20 磅"/>
    <w:basedOn w:val="6"/>
    <w:autoRedefine/>
    <w:qFormat/>
    <w:uiPriority w:val="99"/>
    <w:pPr>
      <w:spacing w:before="0" w:after="0" w:line="400" w:lineRule="exact"/>
    </w:pPr>
    <w:rPr>
      <w:rFonts w:ascii="Calibri" w:hAnsi="Calibri" w:eastAsia="黑体" w:cs="宋体"/>
      <w:b w:val="0"/>
      <w:bCs w:val="0"/>
      <w:sz w:val="24"/>
      <w:szCs w:val="20"/>
    </w:rPr>
  </w:style>
  <w:style w:type="paragraph" w:customStyle="1" w:styleId="169">
    <w:name w:val="pa-1"/>
    <w:basedOn w:val="1"/>
    <w:autoRedefine/>
    <w:qFormat/>
    <w:uiPriority w:val="99"/>
    <w:pPr>
      <w:widowControl/>
      <w:spacing w:line="480" w:lineRule="atLeast"/>
      <w:jc w:val="center"/>
    </w:pPr>
    <w:rPr>
      <w:rFonts w:ascii="宋体" w:hAnsi="宋体" w:eastAsia="宋体" w:cs="宋体"/>
      <w:kern w:val="0"/>
      <w:sz w:val="24"/>
    </w:rPr>
  </w:style>
  <w:style w:type="paragraph" w:customStyle="1" w:styleId="170">
    <w:name w:val="ca-28"/>
    <w:basedOn w:val="1"/>
    <w:autoRedefine/>
    <w:qFormat/>
    <w:uiPriority w:val="99"/>
    <w:pPr>
      <w:widowControl/>
      <w:jc w:val="left"/>
    </w:pPr>
    <w:rPr>
      <w:rFonts w:ascii="宋体" w:hAnsi="宋体" w:eastAsia="宋体" w:cs="宋体"/>
      <w:color w:val="FF0000"/>
      <w:kern w:val="0"/>
      <w:szCs w:val="21"/>
    </w:rPr>
  </w:style>
  <w:style w:type="paragraph" w:customStyle="1" w:styleId="171">
    <w:name w:val="正文_2_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2">
    <w:name w:val="xl40"/>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173">
    <w:name w:val="pa-41"/>
    <w:basedOn w:val="1"/>
    <w:autoRedefine/>
    <w:qFormat/>
    <w:uiPriority w:val="99"/>
    <w:pPr>
      <w:widowControl/>
      <w:spacing w:line="280" w:lineRule="atLeast"/>
      <w:ind w:firstLine="420"/>
    </w:pPr>
    <w:rPr>
      <w:rFonts w:ascii="宋体" w:hAnsi="宋体" w:eastAsia="宋体" w:cs="宋体"/>
      <w:kern w:val="0"/>
      <w:sz w:val="24"/>
    </w:rPr>
  </w:style>
  <w:style w:type="paragraph" w:customStyle="1" w:styleId="174">
    <w:name w:val="pa-107"/>
    <w:basedOn w:val="1"/>
    <w:autoRedefine/>
    <w:qFormat/>
    <w:uiPriority w:val="99"/>
    <w:pPr>
      <w:widowControl/>
      <w:spacing w:line="720" w:lineRule="atLeast"/>
      <w:ind w:firstLine="3000"/>
    </w:pPr>
    <w:rPr>
      <w:rFonts w:ascii="宋体" w:hAnsi="宋体" w:eastAsia="宋体" w:cs="宋体"/>
      <w:kern w:val="0"/>
      <w:sz w:val="24"/>
    </w:rPr>
  </w:style>
  <w:style w:type="paragraph" w:customStyle="1" w:styleId="175">
    <w:name w:val="pa-131"/>
    <w:basedOn w:val="1"/>
    <w:autoRedefine/>
    <w:qFormat/>
    <w:uiPriority w:val="99"/>
    <w:pPr>
      <w:widowControl/>
      <w:spacing w:line="280" w:lineRule="atLeast"/>
      <w:jc w:val="left"/>
    </w:pPr>
    <w:rPr>
      <w:rFonts w:ascii="宋体" w:hAnsi="宋体" w:eastAsia="宋体" w:cs="宋体"/>
      <w:kern w:val="0"/>
      <w:sz w:val="24"/>
    </w:rPr>
  </w:style>
  <w:style w:type="paragraph" w:customStyle="1" w:styleId="176">
    <w:name w:val="p0"/>
    <w:basedOn w:val="1"/>
    <w:autoRedefine/>
    <w:qFormat/>
    <w:uiPriority w:val="99"/>
    <w:pPr>
      <w:widowControl/>
    </w:pPr>
    <w:rPr>
      <w:rFonts w:ascii="Times New Roman" w:hAnsi="Times New Roman" w:eastAsia="宋体" w:cs="Times New Roman"/>
      <w:kern w:val="0"/>
      <w:szCs w:val="21"/>
    </w:rPr>
  </w:style>
  <w:style w:type="paragraph" w:customStyle="1" w:styleId="177">
    <w:name w:val="正文_0_0"/>
    <w:autoRedefine/>
    <w:qFormat/>
    <w:uiPriority w:val="99"/>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78">
    <w:name w:val="标题 3_0"/>
    <w:next w:val="177"/>
    <w:autoRedefine/>
    <w:qFormat/>
    <w:uiPriority w:val="99"/>
    <w:pPr>
      <w:keepNext/>
      <w:keepLines/>
      <w:widowControl w:val="0"/>
      <w:spacing w:line="360" w:lineRule="auto"/>
      <w:jc w:val="both"/>
      <w:outlineLvl w:val="2"/>
    </w:pPr>
    <w:rPr>
      <w:rFonts w:ascii="Calibri Bold" w:hAnsi="Calibri Bold" w:eastAsia="ヒラギノ角ゴ Pro W3" w:cs="Times New Roman"/>
      <w:color w:val="000000"/>
      <w:kern w:val="2"/>
      <w:sz w:val="24"/>
      <w:lang w:val="en-US" w:eastAsia="zh-CN" w:bidi="ar-SA"/>
    </w:rPr>
  </w:style>
  <w:style w:type="paragraph" w:customStyle="1" w:styleId="179">
    <w:name w:val="xl38"/>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b/>
      <w:bCs/>
      <w:color w:val="000000"/>
      <w:kern w:val="0"/>
      <w:sz w:val="18"/>
      <w:szCs w:val="18"/>
    </w:rPr>
  </w:style>
  <w:style w:type="paragraph" w:customStyle="1" w:styleId="180">
    <w:name w:val="pa-129"/>
    <w:basedOn w:val="1"/>
    <w:autoRedefine/>
    <w:qFormat/>
    <w:uiPriority w:val="99"/>
    <w:pPr>
      <w:widowControl/>
      <w:spacing w:line="300" w:lineRule="atLeast"/>
    </w:pPr>
    <w:rPr>
      <w:rFonts w:ascii="宋体" w:hAnsi="宋体" w:eastAsia="宋体" w:cs="宋体"/>
      <w:kern w:val="0"/>
      <w:sz w:val="24"/>
    </w:rPr>
  </w:style>
  <w:style w:type="paragraph" w:customStyle="1" w:styleId="181">
    <w:name w:val="投标标题 2"/>
    <w:basedOn w:val="17"/>
    <w:autoRedefine/>
    <w:qFormat/>
    <w:uiPriority w:val="99"/>
    <w:pPr>
      <w:spacing w:before="0" w:after="0"/>
      <w:ind w:firstLine="6290" w:firstLineChars="2282"/>
    </w:pPr>
    <w:rPr>
      <w:rFonts w:ascii="Calibri" w:hAnsi="Calibri" w:cs="Times New Roman"/>
      <w:b/>
      <w:bCs/>
      <w:sz w:val="28"/>
      <w:szCs w:val="22"/>
    </w:rPr>
  </w:style>
  <w:style w:type="paragraph" w:customStyle="1" w:styleId="182">
    <w:name w:val="xl75"/>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183">
    <w:name w:val="Char Char Char Char"/>
    <w:basedOn w:val="1"/>
    <w:autoRedefine/>
    <w:qFormat/>
    <w:uiPriority w:val="99"/>
    <w:rPr>
      <w:rFonts w:ascii="Calibri" w:hAnsi="Calibri" w:eastAsia="宋体" w:cs="Times New Roman"/>
    </w:rPr>
  </w:style>
  <w:style w:type="paragraph" w:customStyle="1" w:styleId="184">
    <w:name w:val="pa-43"/>
    <w:basedOn w:val="1"/>
    <w:autoRedefine/>
    <w:qFormat/>
    <w:uiPriority w:val="99"/>
    <w:pPr>
      <w:widowControl/>
      <w:spacing w:line="280" w:lineRule="atLeast"/>
      <w:jc w:val="center"/>
    </w:pPr>
    <w:rPr>
      <w:rFonts w:ascii="宋体" w:hAnsi="宋体" w:eastAsia="宋体" w:cs="宋体"/>
      <w:kern w:val="0"/>
      <w:sz w:val="24"/>
    </w:rPr>
  </w:style>
  <w:style w:type="character" w:customStyle="1" w:styleId="185">
    <w:name w:val="内文正文 Char"/>
    <w:link w:val="186"/>
    <w:autoRedefine/>
    <w:qFormat/>
    <w:locked/>
    <w:uiPriority w:val="0"/>
    <w:rPr>
      <w:rFonts w:ascii="宋体" w:hAnsi="???|CS?o｡ﾀ?" w:eastAsia="宋体"/>
      <w:szCs w:val="28"/>
    </w:rPr>
  </w:style>
  <w:style w:type="paragraph" w:customStyle="1" w:styleId="186">
    <w:name w:val="内文正文"/>
    <w:basedOn w:val="30"/>
    <w:link w:val="185"/>
    <w:autoRedefine/>
    <w:qFormat/>
    <w:uiPriority w:val="0"/>
    <w:pPr>
      <w:autoSpaceDE w:val="0"/>
      <w:autoSpaceDN w:val="0"/>
      <w:ind w:firstLine="200" w:firstLineChars="200"/>
    </w:pPr>
    <w:rPr>
      <w:rFonts w:hAnsi="???|CS?o｡ﾀ?" w:cstheme="minorBidi"/>
      <w:kern w:val="2"/>
      <w:sz w:val="21"/>
      <w:szCs w:val="28"/>
    </w:rPr>
  </w:style>
  <w:style w:type="paragraph" w:customStyle="1" w:styleId="187">
    <w:name w:val="Normal_21"/>
    <w:autoRedefine/>
    <w:qFormat/>
    <w:uiPriority w:val="99"/>
    <w:rPr>
      <w:rFonts w:ascii="黑体" w:hAnsi="黑体" w:eastAsia="黑体" w:cs="Times New Roman"/>
      <w:b/>
      <w:sz w:val="32"/>
      <w:szCs w:val="24"/>
      <w:lang w:val="en-US" w:eastAsia="zh-CN" w:bidi="ar-SA"/>
    </w:rPr>
  </w:style>
  <w:style w:type="paragraph" w:customStyle="1" w:styleId="188">
    <w:name w:val="td-6"/>
    <w:basedOn w:val="1"/>
    <w:autoRedefine/>
    <w:qFormat/>
    <w:uiPriority w:val="99"/>
    <w:pPr>
      <w:widowControl/>
      <w:pBdr>
        <w:top w:val="single" w:color="000000" w:sz="12"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189">
    <w:name w:val="td-9"/>
    <w:basedOn w:val="1"/>
    <w:autoRedefine/>
    <w:qFormat/>
    <w:uiPriority w:val="99"/>
    <w:pPr>
      <w:widowControl/>
      <w:pBdr>
        <w:top w:val="single" w:color="000000" w:sz="4" w:space="0"/>
        <w:left w:val="single" w:color="000000" w:sz="12" w:space="4"/>
        <w:bottom w:val="single" w:color="000000" w:sz="12" w:space="0"/>
        <w:right w:val="single" w:color="000000" w:sz="4" w:space="0"/>
      </w:pBdr>
      <w:jc w:val="left"/>
    </w:pPr>
    <w:rPr>
      <w:rFonts w:ascii="宋体" w:hAnsi="宋体" w:eastAsia="宋体" w:cs="宋体"/>
      <w:kern w:val="0"/>
      <w:sz w:val="24"/>
    </w:rPr>
  </w:style>
  <w:style w:type="paragraph" w:customStyle="1" w:styleId="190">
    <w:name w:val="pa-11"/>
    <w:basedOn w:val="1"/>
    <w:autoRedefine/>
    <w:qFormat/>
    <w:uiPriority w:val="99"/>
    <w:pPr>
      <w:widowControl/>
      <w:spacing w:line="280" w:lineRule="atLeast"/>
    </w:pPr>
    <w:rPr>
      <w:rFonts w:ascii="宋体" w:hAnsi="宋体" w:eastAsia="宋体" w:cs="宋体"/>
      <w:kern w:val="0"/>
      <w:sz w:val="24"/>
    </w:rPr>
  </w:style>
  <w:style w:type="paragraph" w:customStyle="1" w:styleId="191">
    <w:name w:val="pa-97"/>
    <w:basedOn w:val="1"/>
    <w:autoRedefine/>
    <w:qFormat/>
    <w:uiPriority w:val="99"/>
    <w:pPr>
      <w:widowControl/>
      <w:spacing w:line="720" w:lineRule="atLeast"/>
    </w:pPr>
    <w:rPr>
      <w:rFonts w:ascii="宋体" w:hAnsi="宋体" w:eastAsia="宋体" w:cs="宋体"/>
      <w:kern w:val="0"/>
      <w:sz w:val="24"/>
    </w:rPr>
  </w:style>
  <w:style w:type="paragraph" w:customStyle="1" w:styleId="192">
    <w:name w:val="pa-23"/>
    <w:basedOn w:val="1"/>
    <w:autoRedefine/>
    <w:qFormat/>
    <w:uiPriority w:val="99"/>
    <w:pPr>
      <w:widowControl/>
      <w:spacing w:line="360" w:lineRule="atLeast"/>
      <w:ind w:firstLine="420"/>
    </w:pPr>
    <w:rPr>
      <w:rFonts w:ascii="宋体" w:hAnsi="宋体" w:eastAsia="宋体" w:cs="宋体"/>
      <w:kern w:val="0"/>
      <w:sz w:val="24"/>
    </w:rPr>
  </w:style>
  <w:style w:type="paragraph" w:customStyle="1" w:styleId="193">
    <w:name w:val="Char2 Char Char Char Char Char Char"/>
    <w:basedOn w:val="1"/>
    <w:autoRedefine/>
    <w:qFormat/>
    <w:uiPriority w:val="99"/>
    <w:pPr>
      <w:autoSpaceDE w:val="0"/>
      <w:autoSpaceDN w:val="0"/>
      <w:adjustRightInd w:val="0"/>
      <w:snapToGrid w:val="0"/>
      <w:spacing w:line="500" w:lineRule="exact"/>
      <w:ind w:firstLine="562" w:firstLineChars="200"/>
      <w:jc w:val="center"/>
    </w:pPr>
    <w:rPr>
      <w:rFonts w:ascii="Calibri" w:hAnsi="Calibri" w:eastAsia="仿宋_GB2312" w:cs="Times New Roman"/>
      <w:b/>
      <w:color w:val="000000"/>
      <w:sz w:val="28"/>
      <w:szCs w:val="28"/>
    </w:rPr>
  </w:style>
  <w:style w:type="paragraph" w:customStyle="1" w:styleId="194">
    <w:name w:val="ca-19"/>
    <w:basedOn w:val="1"/>
    <w:autoRedefine/>
    <w:qFormat/>
    <w:uiPriority w:val="99"/>
    <w:pPr>
      <w:widowControl/>
      <w:jc w:val="left"/>
    </w:pPr>
    <w:rPr>
      <w:rFonts w:ascii="Calibri" w:hAnsi="Calibri" w:eastAsia="宋体" w:cs="Times New Roman"/>
      <w:kern w:val="0"/>
      <w:sz w:val="18"/>
      <w:szCs w:val="18"/>
    </w:rPr>
  </w:style>
  <w:style w:type="paragraph" w:customStyle="1" w:styleId="195">
    <w:name w:val="正文，首行缩进:"/>
    <w:basedOn w:val="1"/>
    <w:autoRedefine/>
    <w:qFormat/>
    <w:uiPriority w:val="99"/>
    <w:pPr>
      <w:tabs>
        <w:tab w:val="left" w:pos="3376"/>
      </w:tabs>
      <w:spacing w:line="460" w:lineRule="exact"/>
      <w:ind w:firstLine="480" w:firstLineChars="200"/>
      <w:jc w:val="left"/>
    </w:pPr>
    <w:rPr>
      <w:rFonts w:ascii="宋体" w:hAnsi="宋体" w:eastAsia="宋体" w:cs="宋体"/>
      <w:sz w:val="24"/>
      <w:szCs w:val="20"/>
    </w:rPr>
  </w:style>
  <w:style w:type="paragraph" w:customStyle="1" w:styleId="196">
    <w:name w:val="Normal_18"/>
    <w:autoRedefine/>
    <w:qFormat/>
    <w:uiPriority w:val="99"/>
    <w:rPr>
      <w:rFonts w:ascii="黑体" w:hAnsi="黑体" w:eastAsia="黑体" w:cs="Times New Roman"/>
      <w:b/>
      <w:sz w:val="32"/>
      <w:szCs w:val="24"/>
      <w:lang w:val="en-US" w:eastAsia="zh-CN" w:bidi="ar-SA"/>
    </w:rPr>
  </w:style>
  <w:style w:type="paragraph" w:customStyle="1" w:styleId="197">
    <w:name w:val="pa-82"/>
    <w:basedOn w:val="1"/>
    <w:autoRedefine/>
    <w:qFormat/>
    <w:uiPriority w:val="99"/>
    <w:pPr>
      <w:widowControl/>
      <w:spacing w:line="480" w:lineRule="atLeast"/>
      <w:jc w:val="center"/>
    </w:pPr>
    <w:rPr>
      <w:rFonts w:ascii="宋体" w:hAnsi="宋体" w:eastAsia="宋体" w:cs="宋体"/>
      <w:kern w:val="0"/>
      <w:sz w:val="24"/>
    </w:rPr>
  </w:style>
  <w:style w:type="paragraph" w:customStyle="1" w:styleId="198">
    <w:name w:val="正文_1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pa-127"/>
    <w:basedOn w:val="1"/>
    <w:autoRedefine/>
    <w:qFormat/>
    <w:uiPriority w:val="99"/>
    <w:pPr>
      <w:widowControl/>
      <w:spacing w:line="480" w:lineRule="atLeast"/>
      <w:ind w:firstLine="960"/>
    </w:pPr>
    <w:rPr>
      <w:rFonts w:ascii="宋体" w:hAnsi="宋体" w:eastAsia="宋体" w:cs="宋体"/>
      <w:kern w:val="0"/>
      <w:sz w:val="24"/>
    </w:rPr>
  </w:style>
  <w:style w:type="paragraph" w:customStyle="1" w:styleId="200">
    <w:name w:val="默认段落字体 Para Char Char Char Char"/>
    <w:basedOn w:val="1"/>
    <w:autoRedefine/>
    <w:qFormat/>
    <w:uiPriority w:val="99"/>
    <w:rPr>
      <w:rFonts w:ascii="Times New Roman" w:hAnsi="Times New Roman" w:eastAsia="宋体" w:cs="Times New Roman"/>
      <w:spacing w:val="20"/>
      <w:sz w:val="28"/>
      <w:szCs w:val="21"/>
    </w:rPr>
  </w:style>
  <w:style w:type="paragraph" w:customStyle="1" w:styleId="201">
    <w:name w:val="td-1"/>
    <w:basedOn w:val="1"/>
    <w:autoRedefine/>
    <w:qFormat/>
    <w:uiPriority w:val="99"/>
    <w:pPr>
      <w:widowControl/>
      <w:pBdr>
        <w:top w:val="single" w:color="000000" w:sz="6" w:space="0"/>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202">
    <w:name w:val="页眉_0"/>
    <w:basedOn w:val="155"/>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customStyle="1" w:styleId="203">
    <w:name w:val="pa-113"/>
    <w:basedOn w:val="1"/>
    <w:autoRedefine/>
    <w:qFormat/>
    <w:uiPriority w:val="99"/>
    <w:pPr>
      <w:widowControl/>
      <w:spacing w:line="360" w:lineRule="atLeast"/>
      <w:ind w:firstLine="2960"/>
    </w:pPr>
    <w:rPr>
      <w:rFonts w:ascii="宋体" w:hAnsi="宋体" w:eastAsia="宋体" w:cs="宋体"/>
      <w:kern w:val="0"/>
      <w:sz w:val="24"/>
    </w:rPr>
  </w:style>
  <w:style w:type="paragraph" w:customStyle="1" w:styleId="204">
    <w:name w:val="ca-1"/>
    <w:basedOn w:val="1"/>
    <w:autoRedefine/>
    <w:qFormat/>
    <w:uiPriority w:val="99"/>
    <w:pPr>
      <w:widowControl/>
      <w:jc w:val="left"/>
    </w:pPr>
    <w:rPr>
      <w:rFonts w:ascii="宋体" w:hAnsi="宋体" w:eastAsia="宋体" w:cs="宋体"/>
      <w:color w:val="000000"/>
      <w:spacing w:val="40"/>
      <w:kern w:val="0"/>
      <w:sz w:val="44"/>
      <w:szCs w:val="44"/>
    </w:rPr>
  </w:style>
  <w:style w:type="paragraph" w:customStyle="1" w:styleId="205">
    <w:name w:val="ca-2"/>
    <w:basedOn w:val="1"/>
    <w:autoRedefine/>
    <w:qFormat/>
    <w:uiPriority w:val="99"/>
    <w:pPr>
      <w:widowControl/>
      <w:jc w:val="left"/>
    </w:pPr>
    <w:rPr>
      <w:rFonts w:ascii="Calibri" w:hAnsi="Calibri" w:eastAsia="宋体" w:cs="Times New Roman"/>
      <w:color w:val="000000"/>
      <w:kern w:val="0"/>
      <w:sz w:val="36"/>
      <w:szCs w:val="36"/>
    </w:rPr>
  </w:style>
  <w:style w:type="paragraph" w:customStyle="1" w:styleId="206">
    <w:name w:val="ca-53"/>
    <w:basedOn w:val="1"/>
    <w:autoRedefine/>
    <w:qFormat/>
    <w:uiPriority w:val="99"/>
    <w:pPr>
      <w:widowControl/>
      <w:jc w:val="left"/>
    </w:pPr>
    <w:rPr>
      <w:rFonts w:ascii="Calibri" w:hAnsi="Calibri" w:eastAsia="宋体" w:cs="Times New Roman"/>
      <w:b/>
      <w:bCs/>
      <w:spacing w:val="-20"/>
      <w:kern w:val="0"/>
      <w:sz w:val="36"/>
      <w:szCs w:val="36"/>
    </w:rPr>
  </w:style>
  <w:style w:type="paragraph" w:customStyle="1" w:styleId="207">
    <w:name w:val="xl30"/>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08">
    <w:name w:val="xl34"/>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209">
    <w:name w:val="pa-90"/>
    <w:basedOn w:val="1"/>
    <w:autoRedefine/>
    <w:qFormat/>
    <w:uiPriority w:val="99"/>
    <w:pPr>
      <w:widowControl/>
      <w:spacing w:line="280" w:lineRule="atLeast"/>
    </w:pPr>
    <w:rPr>
      <w:rFonts w:ascii="宋体" w:hAnsi="宋体" w:eastAsia="宋体" w:cs="宋体"/>
      <w:kern w:val="0"/>
      <w:sz w:val="24"/>
    </w:rPr>
  </w:style>
  <w:style w:type="paragraph" w:customStyle="1" w:styleId="210">
    <w:name w:val="pa-47"/>
    <w:basedOn w:val="1"/>
    <w:autoRedefine/>
    <w:qFormat/>
    <w:uiPriority w:val="99"/>
    <w:pPr>
      <w:widowControl/>
      <w:spacing w:line="280" w:lineRule="atLeast"/>
      <w:ind w:firstLine="280"/>
      <w:jc w:val="center"/>
    </w:pPr>
    <w:rPr>
      <w:rFonts w:ascii="宋体" w:hAnsi="宋体" w:eastAsia="宋体" w:cs="宋体"/>
      <w:kern w:val="0"/>
      <w:sz w:val="24"/>
    </w:rPr>
  </w:style>
  <w:style w:type="paragraph" w:customStyle="1" w:styleId="211">
    <w:name w:val="pa-78"/>
    <w:basedOn w:val="1"/>
    <w:autoRedefine/>
    <w:qFormat/>
    <w:uiPriority w:val="99"/>
    <w:pPr>
      <w:widowControl/>
      <w:spacing w:line="340" w:lineRule="atLeast"/>
    </w:pPr>
    <w:rPr>
      <w:rFonts w:ascii="宋体" w:hAnsi="宋体" w:eastAsia="宋体" w:cs="宋体"/>
      <w:kern w:val="0"/>
      <w:sz w:val="24"/>
    </w:rPr>
  </w:style>
  <w:style w:type="paragraph" w:customStyle="1" w:styleId="212">
    <w:name w:val="Para-----"/>
    <w:autoRedefine/>
    <w:qFormat/>
    <w:uiPriority w:val="99"/>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213">
    <w:name w:val="pa-124"/>
    <w:basedOn w:val="1"/>
    <w:autoRedefine/>
    <w:qFormat/>
    <w:uiPriority w:val="99"/>
    <w:pPr>
      <w:widowControl/>
      <w:spacing w:line="760" w:lineRule="atLeast"/>
    </w:pPr>
    <w:rPr>
      <w:rFonts w:ascii="宋体" w:hAnsi="宋体" w:eastAsia="宋体" w:cs="宋体"/>
      <w:kern w:val="0"/>
      <w:sz w:val="24"/>
    </w:rPr>
  </w:style>
  <w:style w:type="paragraph" w:customStyle="1" w:styleId="214">
    <w:name w:val="pa-62"/>
    <w:basedOn w:val="1"/>
    <w:autoRedefine/>
    <w:qFormat/>
    <w:uiPriority w:val="99"/>
    <w:pPr>
      <w:widowControl/>
      <w:spacing w:line="360" w:lineRule="atLeast"/>
      <w:ind w:firstLine="420"/>
    </w:pPr>
    <w:rPr>
      <w:rFonts w:ascii="宋体" w:hAnsi="宋体" w:eastAsia="宋体" w:cs="宋体"/>
      <w:kern w:val="0"/>
      <w:sz w:val="24"/>
    </w:rPr>
  </w:style>
  <w:style w:type="paragraph" w:customStyle="1" w:styleId="215">
    <w:name w:val="正文1"/>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16">
    <w:name w:val="pa-24"/>
    <w:basedOn w:val="1"/>
    <w:autoRedefine/>
    <w:qFormat/>
    <w:uiPriority w:val="99"/>
    <w:pPr>
      <w:widowControl/>
      <w:spacing w:line="360" w:lineRule="atLeast"/>
      <w:ind w:firstLine="480"/>
    </w:pPr>
    <w:rPr>
      <w:rFonts w:ascii="宋体" w:hAnsi="宋体" w:eastAsia="宋体" w:cs="宋体"/>
      <w:kern w:val="0"/>
      <w:sz w:val="24"/>
    </w:rPr>
  </w:style>
  <w:style w:type="paragraph" w:customStyle="1" w:styleId="217">
    <w:name w:val="样式 正文缩进正文（首行缩进两字）特点ALT+Z表正文正文非缩进四号段1Normal Indent Char2..."/>
    <w:basedOn w:val="5"/>
    <w:next w:val="6"/>
    <w:autoRedefine/>
    <w:qFormat/>
    <w:uiPriority w:val="99"/>
    <w:pPr>
      <w:spacing w:before="240" w:after="120" w:line="400" w:lineRule="exact"/>
      <w:ind w:left="1140" w:hanging="630"/>
      <w:jc w:val="center"/>
    </w:pPr>
    <w:rPr>
      <w:rFonts w:ascii="宋体" w:hAnsi="宋体" w:eastAsia="宋体"/>
      <w:bCs w:val="0"/>
      <w:kern w:val="0"/>
      <w:sz w:val="24"/>
      <w:szCs w:val="20"/>
    </w:rPr>
  </w:style>
  <w:style w:type="paragraph" w:customStyle="1" w:styleId="218">
    <w:name w:val="Normal_0"/>
    <w:autoRedefine/>
    <w:qFormat/>
    <w:uiPriority w:val="99"/>
    <w:rPr>
      <w:rFonts w:ascii="黑体" w:hAnsi="黑体" w:eastAsia="黑体" w:cs="Times New Roman"/>
      <w:b/>
      <w:sz w:val="32"/>
      <w:szCs w:val="24"/>
      <w:lang w:val="en-US" w:eastAsia="zh-CN" w:bidi="ar-SA"/>
    </w:rPr>
  </w:style>
  <w:style w:type="paragraph" w:customStyle="1" w:styleId="219">
    <w:name w:val="pa-17"/>
    <w:basedOn w:val="1"/>
    <w:autoRedefine/>
    <w:qFormat/>
    <w:uiPriority w:val="99"/>
    <w:pPr>
      <w:widowControl/>
      <w:spacing w:line="240" w:lineRule="atLeast"/>
      <w:jc w:val="center"/>
    </w:pPr>
    <w:rPr>
      <w:rFonts w:ascii="宋体" w:hAnsi="宋体" w:eastAsia="宋体" w:cs="宋体"/>
      <w:kern w:val="0"/>
      <w:sz w:val="24"/>
    </w:rPr>
  </w:style>
  <w:style w:type="paragraph" w:customStyle="1" w:styleId="220">
    <w:name w:val="pa-12"/>
    <w:basedOn w:val="1"/>
    <w:autoRedefine/>
    <w:qFormat/>
    <w:uiPriority w:val="99"/>
    <w:pPr>
      <w:widowControl/>
      <w:spacing w:line="360" w:lineRule="atLeast"/>
    </w:pPr>
    <w:rPr>
      <w:rFonts w:ascii="宋体" w:hAnsi="宋体" w:eastAsia="宋体" w:cs="宋体"/>
      <w:kern w:val="0"/>
      <w:sz w:val="24"/>
    </w:rPr>
  </w:style>
  <w:style w:type="paragraph" w:customStyle="1" w:styleId="221">
    <w:name w:val="6'"/>
    <w:basedOn w:val="1"/>
    <w:autoRedefine/>
    <w:qFormat/>
    <w:uiPriority w:val="99"/>
    <w:pPr>
      <w:autoSpaceDE w:val="0"/>
      <w:autoSpaceDN w:val="0"/>
      <w:adjustRightInd w:val="0"/>
      <w:snapToGrid w:val="0"/>
      <w:spacing w:line="320" w:lineRule="exact"/>
      <w:jc w:val="center"/>
    </w:pPr>
    <w:rPr>
      <w:rFonts w:ascii="Calibri" w:hAnsi="Calibri" w:eastAsia="宋体" w:cs="Times New Roman"/>
      <w:spacing w:val="20"/>
      <w:kern w:val="28"/>
      <w:szCs w:val="20"/>
    </w:rPr>
  </w:style>
  <w:style w:type="paragraph" w:customStyle="1" w:styleId="222">
    <w:name w:val="pa-8"/>
    <w:basedOn w:val="1"/>
    <w:autoRedefine/>
    <w:qFormat/>
    <w:uiPriority w:val="99"/>
    <w:pPr>
      <w:widowControl/>
      <w:spacing w:line="360" w:lineRule="atLeast"/>
    </w:pPr>
    <w:rPr>
      <w:rFonts w:ascii="宋体" w:hAnsi="宋体" w:eastAsia="宋体" w:cs="宋体"/>
      <w:kern w:val="0"/>
      <w:sz w:val="24"/>
    </w:rPr>
  </w:style>
  <w:style w:type="paragraph" w:customStyle="1" w:styleId="223">
    <w:name w:val="样式 标题 1 + 黑体 三号 非加粗 居中 段前: 6 磅 段后: 6 磅 行距: 固定值 20 磅"/>
    <w:basedOn w:val="4"/>
    <w:autoRedefine/>
    <w:qFormat/>
    <w:uiPriority w:val="99"/>
    <w:pPr>
      <w:keepLines/>
      <w:spacing w:before="120" w:after="120" w:line="400" w:lineRule="exact"/>
    </w:pPr>
    <w:rPr>
      <w:rFonts w:ascii="黑体" w:hAnsi="黑体" w:eastAsia="黑体" w:cs="宋体"/>
      <w:b w:val="0"/>
      <w:bCs w:val="0"/>
      <w:kern w:val="44"/>
      <w:sz w:val="32"/>
      <w:szCs w:val="20"/>
    </w:rPr>
  </w:style>
  <w:style w:type="paragraph" w:customStyle="1" w:styleId="224">
    <w:name w:val="xl64"/>
    <w:basedOn w:val="1"/>
    <w:autoRedefine/>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25">
    <w:name w:val="样式 样式 标题 3section:33l3Level 3 HeadH3heading 3h3Bold Headbh... + ... Char"/>
    <w:basedOn w:val="1"/>
    <w:autoRedefine/>
    <w:qFormat/>
    <w:uiPriority w:val="99"/>
    <w:pPr>
      <w:keepNext/>
      <w:keepLines/>
      <w:spacing w:beforeLines="50" w:line="360" w:lineRule="auto"/>
      <w:ind w:left="800" w:leftChars="400"/>
      <w:outlineLvl w:val="2"/>
    </w:pPr>
    <w:rPr>
      <w:rFonts w:ascii="宋体" w:hAnsi="宋体" w:eastAsia="宋体" w:cs="宋体"/>
      <w:b/>
      <w:bCs/>
      <w:color w:val="FF0000"/>
      <w:sz w:val="24"/>
    </w:rPr>
  </w:style>
  <w:style w:type="paragraph" w:customStyle="1" w:styleId="226">
    <w:name w:val="正文_3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7">
    <w:name w:val="pa-53"/>
    <w:basedOn w:val="1"/>
    <w:autoRedefine/>
    <w:qFormat/>
    <w:uiPriority w:val="99"/>
    <w:pPr>
      <w:widowControl/>
      <w:spacing w:line="280" w:lineRule="atLeast"/>
      <w:ind w:firstLine="100"/>
    </w:pPr>
    <w:rPr>
      <w:rFonts w:ascii="宋体" w:hAnsi="宋体" w:eastAsia="宋体" w:cs="宋体"/>
      <w:kern w:val="0"/>
      <w:sz w:val="24"/>
    </w:rPr>
  </w:style>
  <w:style w:type="paragraph" w:customStyle="1" w:styleId="228">
    <w:name w:val="空半行"/>
    <w:basedOn w:val="1"/>
    <w:autoRedefine/>
    <w:qFormat/>
    <w:uiPriority w:val="99"/>
    <w:pPr>
      <w:adjustRightInd w:val="0"/>
      <w:spacing w:line="120" w:lineRule="exact"/>
    </w:pPr>
    <w:rPr>
      <w:rFonts w:ascii="Times New Roman" w:hAnsi="Times New Roman" w:eastAsia="仿宋_GB2312" w:cs="Times New Roman"/>
      <w:color w:val="FFFFFF"/>
      <w:kern w:val="0"/>
      <w:sz w:val="30"/>
      <w:szCs w:val="20"/>
    </w:rPr>
  </w:style>
  <w:style w:type="paragraph" w:customStyle="1" w:styleId="229">
    <w:name w:val="Rechtliche Stellung Unterzeichner"/>
    <w:basedOn w:val="39"/>
    <w:autoRedefine/>
    <w:qFormat/>
    <w:uiPriority w:val="99"/>
    <w:pPr>
      <w:numPr>
        <w:ilvl w:val="0"/>
        <w:numId w:val="3"/>
      </w:numPr>
      <w:tabs>
        <w:tab w:val="left" w:pos="360"/>
        <w:tab w:val="left" w:pos="567"/>
        <w:tab w:val="left" w:pos="1134"/>
        <w:tab w:val="right" w:pos="9639"/>
      </w:tabs>
      <w:ind w:left="4252" w:firstLine="0"/>
      <w:jc w:val="both"/>
    </w:pPr>
    <w:rPr>
      <w:rFonts w:ascii="Arial" w:hAnsi="Arial"/>
      <w:lang w:val="de-DE" w:eastAsia="de-DE"/>
    </w:rPr>
  </w:style>
  <w:style w:type="paragraph" w:customStyle="1" w:styleId="230">
    <w:name w:val="pa-61"/>
    <w:basedOn w:val="1"/>
    <w:autoRedefine/>
    <w:qFormat/>
    <w:uiPriority w:val="99"/>
    <w:pPr>
      <w:widowControl/>
      <w:spacing w:line="240" w:lineRule="atLeast"/>
    </w:pPr>
    <w:rPr>
      <w:rFonts w:ascii="宋体" w:hAnsi="宋体" w:eastAsia="宋体" w:cs="宋体"/>
      <w:kern w:val="0"/>
      <w:sz w:val="24"/>
    </w:rPr>
  </w:style>
  <w:style w:type="paragraph" w:customStyle="1" w:styleId="231">
    <w:name w:val="pa-63"/>
    <w:basedOn w:val="1"/>
    <w:autoRedefine/>
    <w:qFormat/>
    <w:uiPriority w:val="99"/>
    <w:pPr>
      <w:widowControl/>
      <w:spacing w:line="360" w:lineRule="atLeast"/>
      <w:ind w:firstLine="300"/>
      <w:jc w:val="left"/>
    </w:pPr>
    <w:rPr>
      <w:rFonts w:ascii="宋体" w:hAnsi="宋体" w:eastAsia="宋体" w:cs="宋体"/>
      <w:kern w:val="0"/>
      <w:sz w:val="24"/>
    </w:rPr>
  </w:style>
  <w:style w:type="paragraph" w:customStyle="1" w:styleId="232">
    <w:name w:val="pa-30"/>
    <w:basedOn w:val="1"/>
    <w:autoRedefine/>
    <w:qFormat/>
    <w:uiPriority w:val="99"/>
    <w:pPr>
      <w:widowControl/>
      <w:spacing w:line="360" w:lineRule="atLeast"/>
      <w:ind w:firstLine="4100"/>
    </w:pPr>
    <w:rPr>
      <w:rFonts w:ascii="宋体" w:hAnsi="宋体" w:eastAsia="宋体" w:cs="宋体"/>
      <w:kern w:val="0"/>
      <w:sz w:val="24"/>
    </w:rPr>
  </w:style>
  <w:style w:type="paragraph" w:customStyle="1" w:styleId="233">
    <w:name w:val="BJ-Blob"/>
    <w:autoRedefine/>
    <w:qFormat/>
    <w:uiPriority w:val="99"/>
    <w:pPr>
      <w:tabs>
        <w:tab w:val="left" w:pos="360"/>
        <w:tab w:val="left" w:pos="900"/>
        <w:tab w:val="left" w:pos="1200"/>
      </w:tabs>
      <w:spacing w:before="40" w:after="40" w:line="360" w:lineRule="auto"/>
      <w:ind w:left="900" w:hanging="720"/>
      <w:jc w:val="both"/>
    </w:pPr>
    <w:rPr>
      <w:rFonts w:ascii="Arial" w:hAnsi="Arial" w:eastAsia="宋体" w:cs="Times New Roman"/>
      <w:sz w:val="24"/>
      <w:lang w:val="en-GB" w:eastAsia="de-DE" w:bidi="ar-SA"/>
    </w:rPr>
  </w:style>
  <w:style w:type="paragraph" w:customStyle="1" w:styleId="234">
    <w:name w:val="pa-96"/>
    <w:basedOn w:val="1"/>
    <w:autoRedefine/>
    <w:qFormat/>
    <w:uiPriority w:val="99"/>
    <w:pPr>
      <w:widowControl/>
      <w:spacing w:line="480" w:lineRule="atLeast"/>
    </w:pPr>
    <w:rPr>
      <w:rFonts w:ascii="宋体" w:hAnsi="宋体" w:eastAsia="宋体" w:cs="宋体"/>
      <w:kern w:val="0"/>
      <w:sz w:val="24"/>
    </w:rPr>
  </w:style>
  <w:style w:type="paragraph" w:customStyle="1" w:styleId="235">
    <w:name w:val="ca-14"/>
    <w:basedOn w:val="1"/>
    <w:autoRedefine/>
    <w:qFormat/>
    <w:uiPriority w:val="99"/>
    <w:pPr>
      <w:widowControl/>
      <w:jc w:val="left"/>
    </w:pPr>
    <w:rPr>
      <w:rFonts w:ascii="Calibri" w:hAnsi="Calibri" w:eastAsia="宋体" w:cs="Times New Roman"/>
      <w:color w:val="000000"/>
      <w:kern w:val="0"/>
      <w:sz w:val="24"/>
    </w:rPr>
  </w:style>
  <w:style w:type="paragraph" w:customStyle="1" w:styleId="236">
    <w:name w:val="Normal_8"/>
    <w:autoRedefine/>
    <w:qFormat/>
    <w:uiPriority w:val="99"/>
    <w:rPr>
      <w:rFonts w:ascii="黑体" w:hAnsi="黑体" w:eastAsia="黑体" w:cs="Times New Roman"/>
      <w:b/>
      <w:sz w:val="32"/>
      <w:szCs w:val="24"/>
      <w:lang w:val="en-US" w:eastAsia="zh-CN" w:bidi="ar-SA"/>
    </w:rPr>
  </w:style>
  <w:style w:type="paragraph" w:customStyle="1" w:styleId="237">
    <w:name w:val="BJ-01"/>
    <w:autoRedefine/>
    <w:qFormat/>
    <w:uiPriority w:val="99"/>
    <w:pPr>
      <w:numPr>
        <w:ilvl w:val="0"/>
        <w:numId w:val="4"/>
      </w:numPr>
      <w:tabs>
        <w:tab w:val="left" w:pos="567"/>
        <w:tab w:val="left" w:pos="1244"/>
      </w:tabs>
      <w:spacing w:before="240" w:line="360" w:lineRule="auto"/>
      <w:jc w:val="both"/>
    </w:pPr>
    <w:rPr>
      <w:rFonts w:ascii="Arial" w:hAnsi="Arial" w:eastAsia="宋体" w:cs="Times New Roman"/>
      <w:sz w:val="24"/>
      <w:lang w:val="en-GB" w:eastAsia="de-DE" w:bidi="ar-SA"/>
    </w:rPr>
  </w:style>
  <w:style w:type="paragraph" w:customStyle="1" w:styleId="238">
    <w:name w:val="pa-31"/>
    <w:basedOn w:val="1"/>
    <w:autoRedefine/>
    <w:qFormat/>
    <w:uiPriority w:val="99"/>
    <w:pPr>
      <w:widowControl/>
      <w:spacing w:line="240" w:lineRule="atLeast"/>
      <w:ind w:firstLine="420"/>
      <w:jc w:val="left"/>
    </w:pPr>
    <w:rPr>
      <w:rFonts w:ascii="宋体" w:hAnsi="宋体" w:eastAsia="宋体" w:cs="宋体"/>
      <w:kern w:val="0"/>
      <w:sz w:val="24"/>
    </w:rPr>
  </w:style>
  <w:style w:type="paragraph" w:customStyle="1" w:styleId="239">
    <w:name w:val="Normal_14"/>
    <w:autoRedefine/>
    <w:qFormat/>
    <w:uiPriority w:val="99"/>
    <w:rPr>
      <w:rFonts w:ascii="黑体" w:hAnsi="黑体" w:eastAsia="黑体" w:cs="Times New Roman"/>
      <w:b/>
      <w:sz w:val="32"/>
      <w:szCs w:val="24"/>
      <w:lang w:val="en-US" w:eastAsia="zh-CN" w:bidi="ar-SA"/>
    </w:rPr>
  </w:style>
  <w:style w:type="paragraph" w:customStyle="1" w:styleId="240">
    <w:name w:val="ca-21"/>
    <w:basedOn w:val="1"/>
    <w:autoRedefine/>
    <w:qFormat/>
    <w:uiPriority w:val="99"/>
    <w:pPr>
      <w:widowControl/>
      <w:jc w:val="left"/>
    </w:pPr>
    <w:rPr>
      <w:rFonts w:ascii="宋体" w:hAnsi="宋体" w:eastAsia="宋体" w:cs="宋体"/>
      <w:color w:val="000000"/>
      <w:kern w:val="0"/>
      <w:szCs w:val="21"/>
    </w:rPr>
  </w:style>
  <w:style w:type="paragraph" w:customStyle="1" w:styleId="241">
    <w:name w:val="样式 正文缩进正文（首行缩进两字）特点ALT+Z表正文正文非缩进四号段1Normal Indent Char2...1"/>
    <w:basedOn w:val="5"/>
    <w:autoRedefine/>
    <w:qFormat/>
    <w:uiPriority w:val="99"/>
    <w:pPr>
      <w:spacing w:before="1320" w:after="240" w:line="300" w:lineRule="auto"/>
      <w:jc w:val="center"/>
    </w:pPr>
    <w:rPr>
      <w:rFonts w:ascii="Arial" w:hAnsi="Arial" w:eastAsia="宋体"/>
      <w:bCs w:val="0"/>
      <w:kern w:val="0"/>
      <w:sz w:val="24"/>
      <w:szCs w:val="20"/>
    </w:rPr>
  </w:style>
  <w:style w:type="paragraph" w:customStyle="1" w:styleId="242">
    <w:name w:val="Normal_13"/>
    <w:autoRedefine/>
    <w:qFormat/>
    <w:uiPriority w:val="99"/>
    <w:rPr>
      <w:rFonts w:ascii="黑体" w:hAnsi="黑体" w:eastAsia="黑体" w:cs="Times New Roman"/>
      <w:b/>
      <w:sz w:val="32"/>
      <w:szCs w:val="24"/>
      <w:lang w:val="en-US" w:eastAsia="zh-CN" w:bidi="ar-SA"/>
    </w:rPr>
  </w:style>
  <w:style w:type="paragraph" w:customStyle="1" w:styleId="243">
    <w:name w:val="Normal_23"/>
    <w:autoRedefine/>
    <w:qFormat/>
    <w:uiPriority w:val="99"/>
    <w:rPr>
      <w:rFonts w:ascii="黑体" w:hAnsi="黑体" w:eastAsia="黑体" w:cs="Times New Roman"/>
      <w:b/>
      <w:sz w:val="32"/>
      <w:szCs w:val="24"/>
      <w:lang w:val="en-US" w:eastAsia="zh-CN" w:bidi="ar-SA"/>
    </w:rPr>
  </w:style>
  <w:style w:type="paragraph" w:customStyle="1" w:styleId="244">
    <w:name w:val="pa-83"/>
    <w:basedOn w:val="1"/>
    <w:autoRedefine/>
    <w:qFormat/>
    <w:uiPriority w:val="99"/>
    <w:pPr>
      <w:widowControl/>
      <w:spacing w:line="560" w:lineRule="atLeast"/>
      <w:jc w:val="center"/>
    </w:pPr>
    <w:rPr>
      <w:rFonts w:ascii="宋体" w:hAnsi="宋体" w:eastAsia="宋体" w:cs="宋体"/>
      <w:kern w:val="0"/>
      <w:sz w:val="24"/>
    </w:rPr>
  </w:style>
  <w:style w:type="paragraph" w:customStyle="1" w:styleId="245">
    <w:name w:val="Char Char1 Char"/>
    <w:basedOn w:val="1"/>
    <w:autoRedefine/>
    <w:qFormat/>
    <w:uiPriority w:val="99"/>
    <w:rPr>
      <w:rFonts w:ascii="Calibri" w:hAnsi="Calibri" w:eastAsia="宋体" w:cs="Times New Roman"/>
    </w:rPr>
  </w:style>
  <w:style w:type="paragraph" w:customStyle="1" w:styleId="246">
    <w:name w:val="Normal_4"/>
    <w:autoRedefine/>
    <w:qFormat/>
    <w:uiPriority w:val="99"/>
    <w:rPr>
      <w:rFonts w:ascii="黑体" w:hAnsi="黑体" w:eastAsia="黑体" w:cs="Times New Roman"/>
      <w:b/>
      <w:sz w:val="32"/>
      <w:szCs w:val="24"/>
      <w:lang w:val="en-US" w:eastAsia="zh-CN" w:bidi="ar-SA"/>
    </w:rPr>
  </w:style>
  <w:style w:type="paragraph" w:customStyle="1" w:styleId="247">
    <w:name w:val="pa-84"/>
    <w:basedOn w:val="1"/>
    <w:autoRedefine/>
    <w:qFormat/>
    <w:uiPriority w:val="99"/>
    <w:pPr>
      <w:widowControl/>
      <w:spacing w:line="480" w:lineRule="atLeast"/>
      <w:jc w:val="center"/>
    </w:pPr>
    <w:rPr>
      <w:rFonts w:ascii="宋体" w:hAnsi="宋体" w:eastAsia="宋体" w:cs="宋体"/>
      <w:kern w:val="0"/>
      <w:sz w:val="24"/>
    </w:rPr>
  </w:style>
  <w:style w:type="paragraph" w:customStyle="1" w:styleId="248">
    <w:name w:val="xl73"/>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49">
    <w:name w:val="ca-46"/>
    <w:basedOn w:val="1"/>
    <w:autoRedefine/>
    <w:qFormat/>
    <w:uiPriority w:val="99"/>
    <w:pPr>
      <w:widowControl/>
      <w:jc w:val="left"/>
    </w:pPr>
    <w:rPr>
      <w:rFonts w:ascii="宋体" w:hAnsi="宋体" w:eastAsia="宋体" w:cs="宋体"/>
      <w:color w:val="000000"/>
      <w:spacing w:val="-20"/>
      <w:kern w:val="0"/>
      <w:sz w:val="28"/>
      <w:szCs w:val="28"/>
    </w:rPr>
  </w:style>
  <w:style w:type="paragraph" w:customStyle="1" w:styleId="250">
    <w:name w:val="Normal_22"/>
    <w:autoRedefine/>
    <w:qFormat/>
    <w:uiPriority w:val="99"/>
    <w:rPr>
      <w:rFonts w:ascii="黑体" w:hAnsi="黑体" w:eastAsia="黑体" w:cs="Times New Roman"/>
      <w:b/>
      <w:sz w:val="32"/>
      <w:szCs w:val="24"/>
      <w:lang w:val="en-US" w:eastAsia="zh-CN" w:bidi="ar-SA"/>
    </w:rPr>
  </w:style>
  <w:style w:type="paragraph" w:customStyle="1" w:styleId="251">
    <w:name w:val="xl22"/>
    <w:basedOn w:val="1"/>
    <w:autoRedefine/>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52">
    <w:name w:val="样式 标题 2 + Times New Roman 四号 非加粗 段前: 5 磅 段后: 0 磅 行距: 固定值 20..."/>
    <w:basedOn w:val="5"/>
    <w:autoRedefine/>
    <w:qFormat/>
    <w:uiPriority w:val="99"/>
    <w:pPr>
      <w:spacing w:before="100" w:after="0" w:line="400" w:lineRule="exact"/>
    </w:pPr>
    <w:rPr>
      <w:rFonts w:ascii="Times New Roman" w:hAnsi="Times New Roman" w:eastAsia="宋体" w:cs="宋体"/>
      <w:b w:val="0"/>
      <w:bCs w:val="0"/>
      <w:kern w:val="0"/>
      <w:sz w:val="28"/>
      <w:szCs w:val="20"/>
    </w:rPr>
  </w:style>
  <w:style w:type="paragraph" w:customStyle="1" w:styleId="253">
    <w:name w:val="ca-30"/>
    <w:basedOn w:val="1"/>
    <w:autoRedefine/>
    <w:qFormat/>
    <w:uiPriority w:val="99"/>
    <w:pPr>
      <w:widowControl/>
      <w:jc w:val="left"/>
    </w:pPr>
    <w:rPr>
      <w:rFonts w:ascii="??" w:hAnsi="??" w:eastAsia="宋体" w:cs="宋体"/>
      <w:color w:val="002060"/>
      <w:kern w:val="0"/>
      <w:szCs w:val="21"/>
    </w:rPr>
  </w:style>
  <w:style w:type="paragraph" w:customStyle="1" w:styleId="254">
    <w:name w:val="pa-13"/>
    <w:basedOn w:val="1"/>
    <w:autoRedefine/>
    <w:qFormat/>
    <w:uiPriority w:val="99"/>
    <w:pPr>
      <w:widowControl/>
      <w:spacing w:line="360" w:lineRule="atLeast"/>
    </w:pPr>
    <w:rPr>
      <w:rFonts w:ascii="宋体" w:hAnsi="宋体" w:eastAsia="宋体" w:cs="宋体"/>
      <w:kern w:val="0"/>
      <w:sz w:val="24"/>
    </w:rPr>
  </w:style>
  <w:style w:type="paragraph" w:customStyle="1" w:styleId="255">
    <w:name w:val="ca-47"/>
    <w:basedOn w:val="1"/>
    <w:autoRedefine/>
    <w:qFormat/>
    <w:uiPriority w:val="99"/>
    <w:pPr>
      <w:widowControl/>
      <w:jc w:val="left"/>
    </w:pPr>
    <w:rPr>
      <w:rFonts w:ascii="宋体" w:hAnsi="宋体" w:eastAsia="宋体" w:cs="宋体"/>
      <w:b/>
      <w:bCs/>
      <w:color w:val="000000"/>
      <w:spacing w:val="-20"/>
      <w:kern w:val="0"/>
      <w:sz w:val="24"/>
    </w:rPr>
  </w:style>
  <w:style w:type="paragraph" w:customStyle="1" w:styleId="256">
    <w:name w:val="pa-16"/>
    <w:basedOn w:val="1"/>
    <w:autoRedefine/>
    <w:qFormat/>
    <w:uiPriority w:val="99"/>
    <w:pPr>
      <w:widowControl/>
      <w:spacing w:line="240" w:lineRule="atLeast"/>
    </w:pPr>
    <w:rPr>
      <w:rFonts w:ascii="宋体" w:hAnsi="宋体" w:eastAsia="宋体" w:cs="宋体"/>
      <w:kern w:val="0"/>
      <w:sz w:val="24"/>
    </w:rPr>
  </w:style>
  <w:style w:type="paragraph" w:customStyle="1" w:styleId="257">
    <w:name w:val="Char Char Char Char Char Char"/>
    <w:basedOn w:val="1"/>
    <w:autoRedefine/>
    <w:qFormat/>
    <w:uiPriority w:val="99"/>
    <w:rPr>
      <w:rFonts w:ascii="仿宋_GB2312" w:hAnsi="Times New Roman" w:eastAsia="仿宋_GB2312" w:cs="Times New Roman"/>
      <w:b/>
      <w:sz w:val="32"/>
      <w:szCs w:val="32"/>
    </w:rPr>
  </w:style>
  <w:style w:type="paragraph" w:customStyle="1" w:styleId="258">
    <w:name w:val="td-7"/>
    <w:basedOn w:val="1"/>
    <w:autoRedefine/>
    <w:qFormat/>
    <w:uiPriority w:val="99"/>
    <w:pPr>
      <w:widowControl/>
      <w:pBdr>
        <w:top w:val="single" w:color="000000" w:sz="4"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259">
    <w:name w:val="ca-29"/>
    <w:basedOn w:val="1"/>
    <w:autoRedefine/>
    <w:qFormat/>
    <w:uiPriority w:val="99"/>
    <w:pPr>
      <w:widowControl/>
      <w:jc w:val="left"/>
    </w:pPr>
    <w:rPr>
      <w:rFonts w:ascii="宋体" w:hAnsi="宋体" w:eastAsia="宋体" w:cs="宋体"/>
      <w:color w:val="7030A0"/>
      <w:kern w:val="0"/>
      <w:szCs w:val="21"/>
    </w:rPr>
  </w:style>
  <w:style w:type="paragraph" w:customStyle="1" w:styleId="260">
    <w:name w:val="BJ-02-T"/>
    <w:autoRedefine/>
    <w:qFormat/>
    <w:uiPriority w:val="99"/>
    <w:pPr>
      <w:spacing w:before="120" w:line="360" w:lineRule="auto"/>
      <w:ind w:left="1985"/>
      <w:jc w:val="both"/>
    </w:pPr>
    <w:rPr>
      <w:rFonts w:ascii="Arial" w:hAnsi="Arial" w:eastAsia="宋体" w:cs="Times New Roman"/>
      <w:sz w:val="24"/>
      <w:lang w:val="en-GB" w:eastAsia="de-DE" w:bidi="ar-SA"/>
    </w:rPr>
  </w:style>
  <w:style w:type="paragraph" w:customStyle="1" w:styleId="261">
    <w:name w:val="Para----"/>
    <w:autoRedefine/>
    <w:qFormat/>
    <w:uiPriority w:val="99"/>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262">
    <w:name w:val="pa-99"/>
    <w:basedOn w:val="1"/>
    <w:autoRedefine/>
    <w:qFormat/>
    <w:uiPriority w:val="99"/>
    <w:pPr>
      <w:widowControl/>
      <w:spacing w:line="300" w:lineRule="atLeast"/>
      <w:ind w:firstLine="520"/>
    </w:pPr>
    <w:rPr>
      <w:rFonts w:ascii="宋体" w:hAnsi="宋体" w:eastAsia="宋体" w:cs="宋体"/>
      <w:kern w:val="0"/>
      <w:sz w:val="24"/>
    </w:rPr>
  </w:style>
  <w:style w:type="paragraph" w:customStyle="1" w:styleId="263">
    <w:name w:val="样式 正文缩进正文（首行缩进两字）特点ALT+Z表正文正文非缩进四号段1Normal Indent Char2...2"/>
    <w:basedOn w:val="6"/>
    <w:autoRedefine/>
    <w:qFormat/>
    <w:uiPriority w:val="99"/>
    <w:pPr>
      <w:spacing w:before="360" w:after="120" w:line="360" w:lineRule="auto"/>
      <w:jc w:val="center"/>
    </w:pPr>
    <w:rPr>
      <w:rFonts w:ascii="宋体" w:hAnsi="宋体"/>
      <w:bCs w:val="0"/>
      <w:sz w:val="28"/>
      <w:szCs w:val="20"/>
    </w:rPr>
  </w:style>
  <w:style w:type="paragraph" w:customStyle="1" w:styleId="264">
    <w:name w:val="pa-141"/>
    <w:basedOn w:val="1"/>
    <w:autoRedefine/>
    <w:qFormat/>
    <w:uiPriority w:val="99"/>
    <w:pPr>
      <w:widowControl/>
      <w:spacing w:line="320" w:lineRule="atLeast"/>
      <w:jc w:val="right"/>
    </w:pPr>
    <w:rPr>
      <w:rFonts w:ascii="宋体" w:hAnsi="宋体" w:eastAsia="宋体" w:cs="宋体"/>
      <w:kern w:val="0"/>
      <w:sz w:val="24"/>
    </w:rPr>
  </w:style>
  <w:style w:type="paragraph" w:customStyle="1" w:styleId="265">
    <w:name w:val="pa-52"/>
    <w:basedOn w:val="1"/>
    <w:autoRedefine/>
    <w:qFormat/>
    <w:uiPriority w:val="99"/>
    <w:pPr>
      <w:widowControl/>
      <w:spacing w:line="276" w:lineRule="atLeast"/>
      <w:jc w:val="left"/>
    </w:pPr>
    <w:rPr>
      <w:rFonts w:ascii="宋体" w:hAnsi="宋体" w:eastAsia="宋体" w:cs="宋体"/>
      <w:kern w:val="0"/>
      <w:sz w:val="24"/>
    </w:rPr>
  </w:style>
  <w:style w:type="paragraph" w:customStyle="1" w:styleId="266">
    <w:name w:val="标题A"/>
    <w:basedOn w:val="4"/>
    <w:autoRedefine/>
    <w:qFormat/>
    <w:uiPriority w:val="99"/>
    <w:pPr>
      <w:keepLines/>
      <w:adjustRightInd w:val="0"/>
      <w:spacing w:before="100" w:beforeAutospacing="1" w:after="60"/>
    </w:pPr>
    <w:rPr>
      <w:rFonts w:ascii="Arial" w:hAnsi="Arial"/>
      <w:kern w:val="44"/>
      <w:sz w:val="28"/>
      <w:szCs w:val="44"/>
    </w:rPr>
  </w:style>
  <w:style w:type="paragraph" w:customStyle="1" w:styleId="267">
    <w:name w:val="Normal_19"/>
    <w:autoRedefine/>
    <w:qFormat/>
    <w:uiPriority w:val="99"/>
    <w:rPr>
      <w:rFonts w:ascii="黑体" w:hAnsi="黑体" w:eastAsia="黑体" w:cs="Times New Roman"/>
      <w:b/>
      <w:sz w:val="32"/>
      <w:szCs w:val="24"/>
      <w:lang w:val="en-US" w:eastAsia="zh-CN" w:bidi="ar-SA"/>
    </w:rPr>
  </w:style>
  <w:style w:type="paragraph" w:customStyle="1" w:styleId="268">
    <w:name w:val="纯文本_2"/>
    <w:basedOn w:val="1"/>
    <w:autoRedefine/>
    <w:qFormat/>
    <w:uiPriority w:val="99"/>
    <w:rPr>
      <w:rFonts w:ascii="宋体" w:hAnsi="Courier New" w:eastAsia="宋体" w:cs="Times New Roman"/>
      <w:szCs w:val="21"/>
    </w:rPr>
  </w:style>
  <w:style w:type="paragraph" w:customStyle="1" w:styleId="269">
    <w:name w:val="pa-80"/>
    <w:basedOn w:val="1"/>
    <w:autoRedefine/>
    <w:qFormat/>
    <w:uiPriority w:val="99"/>
    <w:pPr>
      <w:widowControl/>
      <w:spacing w:line="360" w:lineRule="atLeast"/>
    </w:pPr>
    <w:rPr>
      <w:rFonts w:ascii="宋体" w:hAnsi="宋体" w:eastAsia="宋体" w:cs="宋体"/>
      <w:kern w:val="0"/>
      <w:sz w:val="24"/>
    </w:rPr>
  </w:style>
  <w:style w:type="paragraph" w:customStyle="1" w:styleId="270">
    <w:name w:val="正文_9"/>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1">
    <w:name w:val="xl78"/>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72">
    <w:name w:val="ca-13"/>
    <w:basedOn w:val="1"/>
    <w:autoRedefine/>
    <w:qFormat/>
    <w:uiPriority w:val="99"/>
    <w:pPr>
      <w:widowControl/>
      <w:jc w:val="left"/>
    </w:pPr>
    <w:rPr>
      <w:rFonts w:ascii="宋体" w:hAnsi="宋体" w:eastAsia="宋体" w:cs="宋体"/>
      <w:color w:val="000000"/>
      <w:kern w:val="0"/>
      <w:sz w:val="32"/>
      <w:szCs w:val="32"/>
    </w:rPr>
  </w:style>
  <w:style w:type="paragraph" w:customStyle="1" w:styleId="273">
    <w:name w:val="正文_4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4">
    <w:name w:val="pa-20"/>
    <w:basedOn w:val="1"/>
    <w:autoRedefine/>
    <w:qFormat/>
    <w:uiPriority w:val="99"/>
    <w:pPr>
      <w:widowControl/>
      <w:spacing w:line="360" w:lineRule="atLeast"/>
      <w:jc w:val="left"/>
    </w:pPr>
    <w:rPr>
      <w:rFonts w:ascii="宋体" w:hAnsi="宋体" w:eastAsia="宋体" w:cs="宋体"/>
      <w:kern w:val="0"/>
      <w:sz w:val="24"/>
    </w:rPr>
  </w:style>
  <w:style w:type="paragraph" w:customStyle="1" w:styleId="275">
    <w:name w:val="Char_0"/>
    <w:basedOn w:val="1"/>
    <w:autoRedefine/>
    <w:qFormat/>
    <w:uiPriority w:val="99"/>
    <w:rPr>
      <w:rFonts w:ascii="Tahoma" w:hAnsi="Tahoma" w:eastAsia="宋体" w:cs="Times New Roman"/>
      <w:sz w:val="24"/>
      <w:szCs w:val="20"/>
    </w:rPr>
  </w:style>
  <w:style w:type="paragraph" w:customStyle="1" w:styleId="276">
    <w:name w:val="td-11"/>
    <w:basedOn w:val="1"/>
    <w:autoRedefine/>
    <w:qFormat/>
    <w:uiPriority w:val="99"/>
    <w:pPr>
      <w:widowControl/>
      <w:pBdr>
        <w:top w:val="single" w:color="000000" w:sz="4" w:space="0"/>
        <w:left w:val="single" w:color="000000" w:sz="4" w:space="4"/>
        <w:bottom w:val="single" w:color="000000" w:sz="12" w:space="0"/>
        <w:right w:val="single" w:color="000000" w:sz="12" w:space="0"/>
      </w:pBdr>
      <w:jc w:val="left"/>
    </w:pPr>
    <w:rPr>
      <w:rFonts w:ascii="宋体" w:hAnsi="宋体" w:eastAsia="宋体" w:cs="宋体"/>
      <w:kern w:val="0"/>
      <w:sz w:val="24"/>
    </w:rPr>
  </w:style>
  <w:style w:type="paragraph" w:customStyle="1" w:styleId="277">
    <w:name w:val="pa-100"/>
    <w:basedOn w:val="1"/>
    <w:autoRedefine/>
    <w:qFormat/>
    <w:uiPriority w:val="99"/>
    <w:pPr>
      <w:widowControl/>
      <w:spacing w:line="300" w:lineRule="atLeast"/>
    </w:pPr>
    <w:rPr>
      <w:rFonts w:ascii="宋体" w:hAnsi="宋体" w:eastAsia="宋体" w:cs="宋体"/>
      <w:kern w:val="0"/>
      <w:sz w:val="24"/>
    </w:rPr>
  </w:style>
  <w:style w:type="paragraph" w:customStyle="1" w:styleId="278">
    <w:name w:val="ca-49"/>
    <w:basedOn w:val="1"/>
    <w:autoRedefine/>
    <w:qFormat/>
    <w:uiPriority w:val="99"/>
    <w:pPr>
      <w:widowControl/>
      <w:jc w:val="left"/>
    </w:pPr>
    <w:rPr>
      <w:rFonts w:ascii="宋体" w:hAnsi="宋体" w:eastAsia="宋体" w:cs="宋体"/>
      <w:kern w:val="0"/>
      <w:sz w:val="32"/>
      <w:szCs w:val="32"/>
    </w:rPr>
  </w:style>
  <w:style w:type="character" w:customStyle="1" w:styleId="279">
    <w:name w:val="Blockquote Char"/>
    <w:link w:val="280"/>
    <w:autoRedefine/>
    <w:qFormat/>
    <w:locked/>
    <w:uiPriority w:val="0"/>
    <w:rPr>
      <w:rFonts w:ascii="Calibri" w:hAnsi="Calibri" w:cs="Calibri"/>
      <w:sz w:val="24"/>
    </w:rPr>
  </w:style>
  <w:style w:type="paragraph" w:customStyle="1" w:styleId="280">
    <w:name w:val="Blockquote"/>
    <w:basedOn w:val="1"/>
    <w:link w:val="279"/>
    <w:autoRedefine/>
    <w:qFormat/>
    <w:uiPriority w:val="0"/>
    <w:pPr>
      <w:autoSpaceDE w:val="0"/>
      <w:autoSpaceDN w:val="0"/>
      <w:adjustRightInd w:val="0"/>
      <w:spacing w:before="100" w:after="100"/>
      <w:ind w:left="360" w:right="360"/>
      <w:jc w:val="left"/>
    </w:pPr>
    <w:rPr>
      <w:rFonts w:ascii="Calibri" w:hAnsi="Calibri" w:cs="Calibri"/>
      <w:sz w:val="24"/>
    </w:rPr>
  </w:style>
  <w:style w:type="paragraph" w:customStyle="1" w:styleId="281">
    <w:name w:val="xl29"/>
    <w:basedOn w:val="1"/>
    <w:autoRedefine/>
    <w:qFormat/>
    <w:uiPriority w:val="99"/>
    <w:pPr>
      <w:widowControl/>
      <w:pBdr>
        <w:bottom w:val="single" w:color="auto" w:sz="4" w:space="0"/>
        <w:right w:val="single" w:color="auto" w:sz="4" w:space="0"/>
      </w:pBdr>
      <w:adjustRightInd w:val="0"/>
      <w:spacing w:before="100" w:beforeAutospacing="1" w:after="100" w:afterAutospacing="1" w:line="312" w:lineRule="atLeast"/>
    </w:pPr>
    <w:rPr>
      <w:rFonts w:ascii="宋体" w:hAnsi="宋体" w:eastAsia="宋体" w:cs="Times New Roman"/>
      <w:kern w:val="0"/>
      <w:sz w:val="24"/>
      <w:szCs w:val="20"/>
    </w:rPr>
  </w:style>
  <w:style w:type="paragraph" w:customStyle="1" w:styleId="282">
    <w:name w:val="自由格式"/>
    <w:autoRedefine/>
    <w:qFormat/>
    <w:uiPriority w:val="99"/>
    <w:rPr>
      <w:rFonts w:ascii="Times New Roman" w:hAnsi="Times New Roman" w:eastAsia="ヒラギノ角ゴ Pro W3" w:cs="Times New Roman"/>
      <w:color w:val="000000"/>
      <w:lang w:val="en-US" w:eastAsia="zh-CN" w:bidi="ar-SA"/>
    </w:rPr>
  </w:style>
  <w:style w:type="paragraph" w:customStyle="1" w:styleId="283">
    <w:name w:val="Normal_15"/>
    <w:autoRedefine/>
    <w:qFormat/>
    <w:uiPriority w:val="99"/>
    <w:rPr>
      <w:rFonts w:ascii="黑体" w:hAnsi="黑体" w:eastAsia="黑体" w:cs="Times New Roman"/>
      <w:b/>
      <w:sz w:val="32"/>
      <w:szCs w:val="24"/>
      <w:lang w:val="en-US" w:eastAsia="zh-CN" w:bidi="ar-SA"/>
    </w:rPr>
  </w:style>
  <w:style w:type="paragraph" w:customStyle="1" w:styleId="284">
    <w:name w:val="ca-45"/>
    <w:basedOn w:val="1"/>
    <w:autoRedefine/>
    <w:qFormat/>
    <w:uiPriority w:val="99"/>
    <w:pPr>
      <w:widowControl/>
      <w:jc w:val="left"/>
    </w:pPr>
    <w:rPr>
      <w:rFonts w:ascii="宋体" w:hAnsi="宋体" w:eastAsia="宋体" w:cs="宋体"/>
      <w:color w:val="000000"/>
      <w:kern w:val="0"/>
      <w:sz w:val="72"/>
      <w:szCs w:val="72"/>
    </w:rPr>
  </w:style>
  <w:style w:type="paragraph" w:customStyle="1" w:styleId="285">
    <w:name w:val="pa-27"/>
    <w:basedOn w:val="1"/>
    <w:autoRedefine/>
    <w:qFormat/>
    <w:uiPriority w:val="99"/>
    <w:pPr>
      <w:widowControl/>
      <w:spacing w:line="276" w:lineRule="atLeast"/>
      <w:ind w:firstLine="300"/>
    </w:pPr>
    <w:rPr>
      <w:rFonts w:ascii="宋体" w:hAnsi="宋体" w:eastAsia="宋体" w:cs="宋体"/>
      <w:kern w:val="0"/>
      <w:sz w:val="24"/>
    </w:rPr>
  </w:style>
  <w:style w:type="paragraph" w:customStyle="1" w:styleId="286">
    <w:name w:val="pa-40"/>
    <w:basedOn w:val="1"/>
    <w:autoRedefine/>
    <w:qFormat/>
    <w:uiPriority w:val="99"/>
    <w:pPr>
      <w:widowControl/>
      <w:spacing w:line="280" w:lineRule="atLeast"/>
    </w:pPr>
    <w:rPr>
      <w:rFonts w:ascii="宋体" w:hAnsi="宋体" w:eastAsia="宋体" w:cs="宋体"/>
      <w:kern w:val="0"/>
      <w:sz w:val="24"/>
    </w:rPr>
  </w:style>
  <w:style w:type="paragraph" w:customStyle="1" w:styleId="287">
    <w:name w:val="cjk"/>
    <w:basedOn w:val="1"/>
    <w:autoRedefine/>
    <w:qFormat/>
    <w:uiPriority w:val="99"/>
    <w:pPr>
      <w:widowControl/>
      <w:spacing w:line="480" w:lineRule="auto"/>
      <w:jc w:val="left"/>
    </w:pPr>
    <w:rPr>
      <w:rFonts w:ascii="宋体" w:hAnsi="宋体" w:eastAsia="宋体" w:cs="宋体"/>
      <w:kern w:val="0"/>
      <w:sz w:val="24"/>
    </w:rPr>
  </w:style>
  <w:style w:type="paragraph" w:customStyle="1" w:styleId="288">
    <w:name w:val="pa-2"/>
    <w:basedOn w:val="1"/>
    <w:autoRedefine/>
    <w:qFormat/>
    <w:uiPriority w:val="99"/>
    <w:pPr>
      <w:widowControl/>
      <w:spacing w:line="400" w:lineRule="atLeast"/>
      <w:jc w:val="center"/>
    </w:pPr>
    <w:rPr>
      <w:rFonts w:ascii="宋体" w:hAnsi="宋体" w:eastAsia="宋体" w:cs="宋体"/>
      <w:kern w:val="0"/>
      <w:sz w:val="24"/>
    </w:rPr>
  </w:style>
  <w:style w:type="paragraph" w:customStyle="1" w:styleId="289">
    <w:name w:val="pa-109"/>
    <w:basedOn w:val="1"/>
    <w:autoRedefine/>
    <w:qFormat/>
    <w:uiPriority w:val="99"/>
    <w:pPr>
      <w:widowControl/>
      <w:spacing w:line="280" w:lineRule="atLeast"/>
    </w:pPr>
    <w:rPr>
      <w:rFonts w:ascii="宋体" w:hAnsi="宋体" w:eastAsia="宋体" w:cs="宋体"/>
      <w:kern w:val="0"/>
      <w:sz w:val="24"/>
    </w:rPr>
  </w:style>
  <w:style w:type="paragraph" w:customStyle="1" w:styleId="290">
    <w:name w:val="pa-108"/>
    <w:basedOn w:val="1"/>
    <w:autoRedefine/>
    <w:qFormat/>
    <w:uiPriority w:val="99"/>
    <w:pPr>
      <w:widowControl/>
      <w:spacing w:line="280" w:lineRule="atLeast"/>
      <w:jc w:val="center"/>
    </w:pPr>
    <w:rPr>
      <w:rFonts w:ascii="宋体" w:hAnsi="宋体" w:eastAsia="宋体" w:cs="宋体"/>
      <w:kern w:val="0"/>
      <w:sz w:val="24"/>
    </w:rPr>
  </w:style>
  <w:style w:type="paragraph" w:customStyle="1" w:styleId="291">
    <w:name w:val="pa-104"/>
    <w:basedOn w:val="1"/>
    <w:autoRedefine/>
    <w:qFormat/>
    <w:uiPriority w:val="99"/>
    <w:pPr>
      <w:widowControl/>
      <w:spacing w:line="280" w:lineRule="atLeast"/>
      <w:ind w:firstLine="500"/>
      <w:jc w:val="left"/>
    </w:pPr>
    <w:rPr>
      <w:rFonts w:ascii="宋体" w:hAnsi="宋体" w:eastAsia="宋体" w:cs="宋体"/>
      <w:kern w:val="0"/>
      <w:sz w:val="24"/>
    </w:rPr>
  </w:style>
  <w:style w:type="paragraph" w:customStyle="1" w:styleId="292">
    <w:name w:val="标题 1_0"/>
    <w:next w:val="177"/>
    <w:autoRedefine/>
    <w:qFormat/>
    <w:uiPriority w:val="99"/>
    <w:pPr>
      <w:keepNext/>
      <w:keepLines/>
      <w:widowControl w:val="0"/>
      <w:spacing w:line="360" w:lineRule="auto"/>
      <w:jc w:val="both"/>
      <w:outlineLvl w:val="1"/>
    </w:pPr>
    <w:rPr>
      <w:rFonts w:ascii="Calibri Bold" w:hAnsi="Calibri Bold" w:eastAsia="ヒラギノ角ゴ Pro W3" w:cs="Times New Roman"/>
      <w:color w:val="000000"/>
      <w:kern w:val="44"/>
      <w:sz w:val="32"/>
      <w:lang w:val="en-US" w:eastAsia="zh-CN" w:bidi="ar-SA"/>
    </w:rPr>
  </w:style>
  <w:style w:type="paragraph" w:customStyle="1" w:styleId="293">
    <w:name w:val="BJ-01-T"/>
    <w:autoRedefine/>
    <w:qFormat/>
    <w:uiPriority w:val="99"/>
    <w:pPr>
      <w:spacing w:before="120" w:line="360" w:lineRule="auto"/>
      <w:ind w:left="1418"/>
      <w:jc w:val="both"/>
    </w:pPr>
    <w:rPr>
      <w:rFonts w:ascii="Arial" w:hAnsi="Arial" w:eastAsia="宋体" w:cs="Times New Roman"/>
      <w:sz w:val="24"/>
      <w:lang w:val="en-GB" w:eastAsia="de-DE" w:bidi="ar-SA"/>
    </w:rPr>
  </w:style>
  <w:style w:type="paragraph" w:customStyle="1" w:styleId="294">
    <w:name w:val="pa-37"/>
    <w:basedOn w:val="1"/>
    <w:autoRedefine/>
    <w:qFormat/>
    <w:uiPriority w:val="99"/>
    <w:pPr>
      <w:widowControl/>
      <w:spacing w:line="360" w:lineRule="atLeast"/>
      <w:ind w:firstLine="300"/>
    </w:pPr>
    <w:rPr>
      <w:rFonts w:ascii="宋体" w:hAnsi="宋体" w:eastAsia="宋体" w:cs="宋体"/>
      <w:kern w:val="0"/>
      <w:sz w:val="24"/>
    </w:rPr>
  </w:style>
  <w:style w:type="paragraph" w:customStyle="1" w:styleId="295">
    <w:name w:val="ca-42"/>
    <w:basedOn w:val="1"/>
    <w:autoRedefine/>
    <w:qFormat/>
    <w:uiPriority w:val="99"/>
    <w:pPr>
      <w:widowControl/>
      <w:jc w:val="left"/>
    </w:pPr>
    <w:rPr>
      <w:rFonts w:ascii="宋体" w:hAnsi="宋体" w:eastAsia="宋体" w:cs="宋体"/>
      <w:color w:val="000000"/>
      <w:kern w:val="0"/>
      <w:sz w:val="36"/>
      <w:szCs w:val="36"/>
    </w:rPr>
  </w:style>
  <w:style w:type="paragraph" w:customStyle="1" w:styleId="296">
    <w:name w:val="xl27"/>
    <w:basedOn w:val="1"/>
    <w:autoRedefine/>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97">
    <w:name w:val="Char Char1 Char_0"/>
    <w:basedOn w:val="1"/>
    <w:autoRedefine/>
    <w:qFormat/>
    <w:uiPriority w:val="99"/>
    <w:rPr>
      <w:rFonts w:ascii="Calibri" w:hAnsi="Calibri" w:eastAsia="宋体" w:cs="Times New Roman"/>
    </w:rPr>
  </w:style>
  <w:style w:type="paragraph" w:customStyle="1" w:styleId="298">
    <w:name w:val="pa-32"/>
    <w:basedOn w:val="1"/>
    <w:autoRedefine/>
    <w:qFormat/>
    <w:uiPriority w:val="99"/>
    <w:pPr>
      <w:widowControl/>
      <w:spacing w:line="360" w:lineRule="atLeast"/>
      <w:ind w:firstLine="520"/>
    </w:pPr>
    <w:rPr>
      <w:rFonts w:ascii="宋体" w:hAnsi="宋体" w:eastAsia="宋体" w:cs="宋体"/>
      <w:kern w:val="0"/>
      <w:sz w:val="24"/>
    </w:rPr>
  </w:style>
  <w:style w:type="paragraph" w:customStyle="1" w:styleId="299">
    <w:name w:val="td-4"/>
    <w:basedOn w:val="1"/>
    <w:autoRedefine/>
    <w:qFormat/>
    <w:uiPriority w:val="99"/>
    <w:pPr>
      <w:widowControl/>
      <w:pBdr>
        <w:top w:val="single" w:color="000000" w:sz="12"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300">
    <w:name w:val="pa-86"/>
    <w:basedOn w:val="1"/>
    <w:autoRedefine/>
    <w:qFormat/>
    <w:uiPriority w:val="99"/>
    <w:pPr>
      <w:widowControl/>
      <w:spacing w:line="320" w:lineRule="atLeast"/>
      <w:ind w:firstLine="560"/>
    </w:pPr>
    <w:rPr>
      <w:rFonts w:ascii="宋体" w:hAnsi="宋体" w:eastAsia="宋体" w:cs="宋体"/>
      <w:kern w:val="0"/>
      <w:sz w:val="24"/>
    </w:rPr>
  </w:style>
  <w:style w:type="paragraph" w:customStyle="1" w:styleId="301">
    <w:name w:val="ca-44"/>
    <w:basedOn w:val="1"/>
    <w:autoRedefine/>
    <w:qFormat/>
    <w:uiPriority w:val="99"/>
    <w:pPr>
      <w:widowControl/>
      <w:jc w:val="left"/>
    </w:pPr>
    <w:rPr>
      <w:rFonts w:ascii="宋体" w:hAnsi="宋体" w:eastAsia="宋体" w:cs="宋体"/>
      <w:color w:val="000000"/>
      <w:kern w:val="0"/>
      <w:sz w:val="52"/>
      <w:szCs w:val="52"/>
    </w:rPr>
  </w:style>
  <w:style w:type="paragraph" w:customStyle="1" w:styleId="302">
    <w:name w:val="段"/>
    <w:next w:val="1"/>
    <w:autoRedefine/>
    <w:qFormat/>
    <w:uiPriority w:val="99"/>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303">
    <w:name w:val="样式 标题 3h33rd level3l3CTLevel 3 Topic Headingsect1.2.3Hea..."/>
    <w:basedOn w:val="6"/>
    <w:autoRedefine/>
    <w:qFormat/>
    <w:uiPriority w:val="99"/>
    <w:pPr>
      <w:adjustRightInd w:val="0"/>
      <w:spacing w:before="0" w:beforeLines="50" w:after="0" w:afterLines="50" w:line="240" w:lineRule="atLeast"/>
      <w:ind w:left="180"/>
      <w:jc w:val="left"/>
    </w:pPr>
    <w:rPr>
      <w:rFonts w:ascii="宋体" w:hAnsi="宋体" w:cs="宋体"/>
      <w:sz w:val="24"/>
      <w:szCs w:val="20"/>
    </w:rPr>
  </w:style>
  <w:style w:type="paragraph" w:customStyle="1" w:styleId="304">
    <w:name w:val="ca-35"/>
    <w:basedOn w:val="1"/>
    <w:autoRedefine/>
    <w:qFormat/>
    <w:uiPriority w:val="99"/>
    <w:pPr>
      <w:widowControl/>
      <w:jc w:val="left"/>
    </w:pPr>
    <w:rPr>
      <w:rFonts w:ascii="Calibri" w:hAnsi="Calibri" w:eastAsia="宋体" w:cs="Times New Roman"/>
      <w:kern w:val="0"/>
      <w:sz w:val="10"/>
      <w:szCs w:val="10"/>
    </w:rPr>
  </w:style>
  <w:style w:type="paragraph" w:customStyle="1" w:styleId="305">
    <w:name w:val="pa-9"/>
    <w:basedOn w:val="1"/>
    <w:autoRedefine/>
    <w:qFormat/>
    <w:uiPriority w:val="99"/>
    <w:pPr>
      <w:widowControl/>
      <w:spacing w:line="360" w:lineRule="atLeast"/>
      <w:ind w:firstLine="900"/>
    </w:pPr>
    <w:rPr>
      <w:rFonts w:ascii="宋体" w:hAnsi="宋体" w:eastAsia="宋体" w:cs="宋体"/>
      <w:kern w:val="0"/>
      <w:sz w:val="24"/>
    </w:rPr>
  </w:style>
  <w:style w:type="paragraph" w:customStyle="1" w:styleId="306">
    <w:name w:val="xl3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307">
    <w:name w:val="pa-28"/>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308">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09">
    <w:name w:val="ca-43"/>
    <w:basedOn w:val="1"/>
    <w:autoRedefine/>
    <w:qFormat/>
    <w:uiPriority w:val="99"/>
    <w:pPr>
      <w:widowControl/>
      <w:jc w:val="left"/>
    </w:pPr>
    <w:rPr>
      <w:rFonts w:ascii="宋体" w:hAnsi="宋体" w:eastAsia="宋体" w:cs="宋体"/>
      <w:color w:val="000000"/>
      <w:kern w:val="0"/>
      <w:sz w:val="44"/>
      <w:szCs w:val="44"/>
    </w:rPr>
  </w:style>
  <w:style w:type="paragraph" w:customStyle="1" w:styleId="310">
    <w:name w:val="正文_6"/>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11">
    <w:name w:val="pa-71"/>
    <w:basedOn w:val="1"/>
    <w:autoRedefine/>
    <w:qFormat/>
    <w:uiPriority w:val="99"/>
    <w:pPr>
      <w:widowControl/>
      <w:spacing w:line="240" w:lineRule="atLeast"/>
      <w:ind w:firstLine="320"/>
    </w:pPr>
    <w:rPr>
      <w:rFonts w:ascii="宋体" w:hAnsi="宋体" w:eastAsia="宋体" w:cs="宋体"/>
      <w:kern w:val="0"/>
      <w:sz w:val="24"/>
    </w:rPr>
  </w:style>
  <w:style w:type="paragraph" w:customStyle="1" w:styleId="312">
    <w:name w:val="正文_2_0"/>
    <w:autoRedefine/>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13">
    <w:name w:val="ca-27"/>
    <w:basedOn w:val="1"/>
    <w:autoRedefine/>
    <w:qFormat/>
    <w:uiPriority w:val="99"/>
    <w:pPr>
      <w:widowControl/>
      <w:jc w:val="left"/>
    </w:pPr>
    <w:rPr>
      <w:rFonts w:ascii="宋体" w:hAnsi="宋体" w:eastAsia="宋体" w:cs="宋体"/>
      <w:b/>
      <w:bCs/>
      <w:color w:val="002060"/>
      <w:spacing w:val="-20"/>
      <w:kern w:val="0"/>
      <w:szCs w:val="21"/>
    </w:rPr>
  </w:style>
  <w:style w:type="paragraph" w:customStyle="1" w:styleId="314">
    <w:name w:val="样式 样式 样式1 + 首行缩进:  2 字符 + 首行缩进:  2 字符1"/>
    <w:basedOn w:val="1"/>
    <w:autoRedefine/>
    <w:qFormat/>
    <w:uiPriority w:val="99"/>
    <w:pPr>
      <w:spacing w:line="360" w:lineRule="exact"/>
      <w:ind w:firstLine="480" w:firstLineChars="200"/>
    </w:pPr>
    <w:rPr>
      <w:rFonts w:ascii="Arial" w:hAnsi="Arial" w:eastAsia="宋体" w:cs="Times New Roman"/>
      <w:szCs w:val="20"/>
    </w:rPr>
  </w:style>
  <w:style w:type="paragraph" w:customStyle="1" w:styleId="315">
    <w:name w:val="pa-26"/>
    <w:basedOn w:val="1"/>
    <w:autoRedefine/>
    <w:qFormat/>
    <w:uiPriority w:val="99"/>
    <w:pPr>
      <w:widowControl/>
      <w:spacing w:line="276" w:lineRule="atLeast"/>
      <w:ind w:firstLine="720"/>
    </w:pPr>
    <w:rPr>
      <w:rFonts w:ascii="宋体" w:hAnsi="宋体" w:eastAsia="宋体" w:cs="宋体"/>
      <w:kern w:val="0"/>
      <w:sz w:val="24"/>
    </w:rPr>
  </w:style>
  <w:style w:type="paragraph" w:customStyle="1" w:styleId="316">
    <w:name w:val="样式 标题 1 + 宋体 居中 段前: 48 磅 段后: 12 磅 行距: 1.5 倍行距"/>
    <w:basedOn w:val="4"/>
    <w:autoRedefine/>
    <w:qFormat/>
    <w:uiPriority w:val="99"/>
    <w:pPr>
      <w:keepLines/>
      <w:spacing w:before="1560" w:after="240" w:line="360" w:lineRule="auto"/>
    </w:pPr>
    <w:rPr>
      <w:rFonts w:ascii="宋体" w:hAnsi="宋体"/>
      <w:b w:val="0"/>
      <w:bCs w:val="0"/>
      <w:sz w:val="36"/>
      <w:szCs w:val="20"/>
    </w:rPr>
  </w:style>
  <w:style w:type="paragraph" w:customStyle="1" w:styleId="317">
    <w:name w:val="ca-24"/>
    <w:basedOn w:val="1"/>
    <w:autoRedefine/>
    <w:qFormat/>
    <w:uiPriority w:val="99"/>
    <w:pPr>
      <w:widowControl/>
      <w:jc w:val="left"/>
    </w:pPr>
    <w:rPr>
      <w:rFonts w:ascii="宋体" w:hAnsi="宋体" w:eastAsia="宋体" w:cs="宋体"/>
      <w:kern w:val="0"/>
      <w:sz w:val="24"/>
    </w:rPr>
  </w:style>
  <w:style w:type="paragraph" w:customStyle="1" w:styleId="318">
    <w:name w:val="pa-88"/>
    <w:basedOn w:val="1"/>
    <w:autoRedefine/>
    <w:qFormat/>
    <w:uiPriority w:val="99"/>
    <w:pPr>
      <w:widowControl/>
      <w:spacing w:line="320" w:lineRule="atLeast"/>
      <w:ind w:firstLine="480"/>
    </w:pPr>
    <w:rPr>
      <w:rFonts w:ascii="宋体" w:hAnsi="宋体" w:eastAsia="宋体" w:cs="宋体"/>
      <w:kern w:val="0"/>
      <w:sz w:val="24"/>
    </w:rPr>
  </w:style>
  <w:style w:type="paragraph" w:customStyle="1" w:styleId="319">
    <w:name w:val="xl43"/>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20">
    <w:name w:val="pa-128"/>
    <w:basedOn w:val="1"/>
    <w:autoRedefine/>
    <w:qFormat/>
    <w:uiPriority w:val="99"/>
    <w:pPr>
      <w:widowControl/>
      <w:spacing w:line="360" w:lineRule="atLeast"/>
      <w:jc w:val="center"/>
    </w:pPr>
    <w:rPr>
      <w:rFonts w:ascii="宋体" w:hAnsi="宋体" w:eastAsia="宋体" w:cs="宋体"/>
      <w:kern w:val="0"/>
      <w:sz w:val="24"/>
    </w:rPr>
  </w:style>
  <w:style w:type="paragraph" w:customStyle="1" w:styleId="321">
    <w:name w:val="pa-35"/>
    <w:basedOn w:val="1"/>
    <w:autoRedefine/>
    <w:qFormat/>
    <w:uiPriority w:val="99"/>
    <w:pPr>
      <w:widowControl/>
      <w:spacing w:line="360" w:lineRule="atLeast"/>
      <w:jc w:val="left"/>
    </w:pPr>
    <w:rPr>
      <w:rFonts w:ascii="宋体" w:hAnsi="宋体" w:eastAsia="宋体" w:cs="宋体"/>
      <w:kern w:val="0"/>
      <w:sz w:val="24"/>
    </w:rPr>
  </w:style>
  <w:style w:type="paragraph" w:customStyle="1" w:styleId="322">
    <w:name w:val="ca-9"/>
    <w:basedOn w:val="1"/>
    <w:autoRedefine/>
    <w:qFormat/>
    <w:uiPriority w:val="99"/>
    <w:pPr>
      <w:widowControl/>
      <w:jc w:val="left"/>
    </w:pPr>
    <w:rPr>
      <w:rFonts w:ascii="楷体_GB2312" w:hAnsi="宋体" w:eastAsia="楷体_GB2312" w:cs="宋体"/>
      <w:color w:val="000000"/>
      <w:spacing w:val="20"/>
      <w:kern w:val="0"/>
      <w:sz w:val="96"/>
      <w:szCs w:val="96"/>
    </w:rPr>
  </w:style>
  <w:style w:type="paragraph" w:customStyle="1" w:styleId="323">
    <w:name w:val="pa-118"/>
    <w:basedOn w:val="1"/>
    <w:autoRedefine/>
    <w:qFormat/>
    <w:uiPriority w:val="99"/>
    <w:pPr>
      <w:widowControl/>
      <w:spacing w:line="480" w:lineRule="atLeast"/>
      <w:ind w:firstLine="1440"/>
    </w:pPr>
    <w:rPr>
      <w:rFonts w:ascii="宋体" w:hAnsi="宋体" w:eastAsia="宋体" w:cs="宋体"/>
      <w:kern w:val="0"/>
      <w:sz w:val="24"/>
    </w:rPr>
  </w:style>
  <w:style w:type="paragraph" w:customStyle="1" w:styleId="324">
    <w:name w:val="pa-58"/>
    <w:basedOn w:val="1"/>
    <w:autoRedefine/>
    <w:qFormat/>
    <w:uiPriority w:val="99"/>
    <w:pPr>
      <w:widowControl/>
      <w:spacing w:line="300" w:lineRule="atLeast"/>
      <w:ind w:firstLine="300"/>
    </w:pPr>
    <w:rPr>
      <w:rFonts w:ascii="宋体" w:hAnsi="宋体" w:eastAsia="宋体" w:cs="宋体"/>
      <w:kern w:val="0"/>
      <w:sz w:val="24"/>
    </w:rPr>
  </w:style>
  <w:style w:type="paragraph" w:customStyle="1" w:styleId="325">
    <w:name w:val="pa-33"/>
    <w:basedOn w:val="1"/>
    <w:autoRedefine/>
    <w:qFormat/>
    <w:uiPriority w:val="99"/>
    <w:pPr>
      <w:widowControl/>
      <w:spacing w:line="360" w:lineRule="atLeast"/>
      <w:ind w:firstLine="440"/>
    </w:pPr>
    <w:rPr>
      <w:rFonts w:ascii="宋体" w:hAnsi="宋体" w:eastAsia="宋体" w:cs="宋体"/>
      <w:kern w:val="0"/>
      <w:sz w:val="24"/>
    </w:rPr>
  </w:style>
  <w:style w:type="paragraph" w:customStyle="1" w:styleId="326">
    <w:name w:val="pa-101"/>
    <w:basedOn w:val="1"/>
    <w:autoRedefine/>
    <w:qFormat/>
    <w:uiPriority w:val="99"/>
    <w:pPr>
      <w:widowControl/>
      <w:spacing w:line="360" w:lineRule="atLeast"/>
      <w:jc w:val="center"/>
    </w:pPr>
    <w:rPr>
      <w:rFonts w:ascii="宋体" w:hAnsi="宋体" w:eastAsia="宋体" w:cs="宋体"/>
      <w:kern w:val="0"/>
      <w:sz w:val="24"/>
    </w:rPr>
  </w:style>
  <w:style w:type="paragraph" w:customStyle="1" w:styleId="327">
    <w:name w:val="目录"/>
    <w:basedOn w:val="1"/>
    <w:autoRedefine/>
    <w:qFormat/>
    <w:uiPriority w:val="99"/>
    <w:pPr>
      <w:widowControl/>
      <w:jc w:val="center"/>
    </w:pPr>
    <w:rPr>
      <w:rFonts w:ascii="宋体" w:hAnsi="Calibri" w:eastAsia="宋体" w:cs="Times New Roman"/>
      <w:b/>
      <w:kern w:val="0"/>
      <w:sz w:val="36"/>
      <w:szCs w:val="20"/>
    </w:rPr>
  </w:style>
  <w:style w:type="paragraph" w:customStyle="1" w:styleId="328">
    <w:name w:val="t1"/>
    <w:basedOn w:val="1"/>
    <w:autoRedefine/>
    <w:qFormat/>
    <w:uiPriority w:val="99"/>
    <w:pPr>
      <w:widowControl/>
      <w:spacing w:line="280" w:lineRule="atLeast"/>
      <w:jc w:val="left"/>
    </w:pPr>
    <w:rPr>
      <w:rFonts w:ascii="Calibri" w:hAnsi="Calibri" w:eastAsia="宋体" w:cs="Times New Roman"/>
      <w:kern w:val="0"/>
      <w:sz w:val="24"/>
      <w:szCs w:val="20"/>
      <w:lang w:val="de-DE" w:eastAsia="de-DE"/>
    </w:rPr>
  </w:style>
  <w:style w:type="paragraph" w:customStyle="1" w:styleId="329">
    <w:name w:val="正文_8"/>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0">
    <w:name w:val="xl44"/>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31">
    <w:name w:val="pa-73"/>
    <w:basedOn w:val="1"/>
    <w:autoRedefine/>
    <w:qFormat/>
    <w:uiPriority w:val="99"/>
    <w:pPr>
      <w:widowControl/>
      <w:spacing w:line="360" w:lineRule="atLeast"/>
      <w:ind w:firstLine="640"/>
    </w:pPr>
    <w:rPr>
      <w:rFonts w:ascii="宋体" w:hAnsi="宋体" w:eastAsia="宋体" w:cs="宋体"/>
      <w:kern w:val="0"/>
      <w:sz w:val="24"/>
    </w:rPr>
  </w:style>
  <w:style w:type="paragraph" w:customStyle="1" w:styleId="332">
    <w:name w:val="pa-36"/>
    <w:basedOn w:val="1"/>
    <w:autoRedefine/>
    <w:qFormat/>
    <w:uiPriority w:val="99"/>
    <w:pPr>
      <w:widowControl/>
      <w:spacing w:line="360" w:lineRule="atLeast"/>
      <w:ind w:firstLine="3100"/>
      <w:jc w:val="left"/>
    </w:pPr>
    <w:rPr>
      <w:rFonts w:ascii="宋体" w:hAnsi="宋体" w:eastAsia="宋体" w:cs="宋体"/>
      <w:kern w:val="0"/>
      <w:sz w:val="24"/>
    </w:rPr>
  </w:style>
  <w:style w:type="paragraph" w:customStyle="1" w:styleId="333">
    <w:name w:val="pa-4"/>
    <w:basedOn w:val="1"/>
    <w:autoRedefine/>
    <w:qFormat/>
    <w:uiPriority w:val="99"/>
    <w:pPr>
      <w:widowControl/>
      <w:spacing w:line="360" w:lineRule="atLeast"/>
      <w:jc w:val="center"/>
    </w:pPr>
    <w:rPr>
      <w:rFonts w:ascii="宋体" w:hAnsi="宋体" w:eastAsia="宋体" w:cs="宋体"/>
      <w:kern w:val="0"/>
      <w:sz w:val="24"/>
    </w:rPr>
  </w:style>
  <w:style w:type="paragraph" w:customStyle="1" w:styleId="334">
    <w:name w:val="pa-56"/>
    <w:basedOn w:val="1"/>
    <w:autoRedefine/>
    <w:qFormat/>
    <w:uiPriority w:val="99"/>
    <w:pPr>
      <w:widowControl/>
      <w:spacing w:line="300" w:lineRule="atLeast"/>
      <w:ind w:firstLine="420"/>
    </w:pPr>
    <w:rPr>
      <w:rFonts w:ascii="宋体" w:hAnsi="宋体" w:eastAsia="宋体" w:cs="宋体"/>
      <w:kern w:val="0"/>
      <w:sz w:val="24"/>
    </w:rPr>
  </w:style>
  <w:style w:type="paragraph" w:customStyle="1" w:styleId="335">
    <w:name w:val="pa-67"/>
    <w:basedOn w:val="1"/>
    <w:autoRedefine/>
    <w:qFormat/>
    <w:uiPriority w:val="99"/>
    <w:pPr>
      <w:widowControl/>
      <w:spacing w:line="240" w:lineRule="atLeast"/>
      <w:ind w:firstLine="420"/>
      <w:jc w:val="left"/>
    </w:pPr>
    <w:rPr>
      <w:rFonts w:ascii="宋体" w:hAnsi="宋体" w:eastAsia="宋体" w:cs="宋体"/>
      <w:kern w:val="0"/>
      <w:sz w:val="24"/>
    </w:rPr>
  </w:style>
  <w:style w:type="paragraph" w:customStyle="1" w:styleId="336">
    <w:name w:val="pa-66"/>
    <w:basedOn w:val="1"/>
    <w:autoRedefine/>
    <w:qFormat/>
    <w:uiPriority w:val="99"/>
    <w:pPr>
      <w:widowControl/>
      <w:spacing w:line="240" w:lineRule="atLeast"/>
      <w:ind w:firstLine="200"/>
    </w:pPr>
    <w:rPr>
      <w:rFonts w:ascii="宋体" w:hAnsi="宋体" w:eastAsia="宋体" w:cs="宋体"/>
      <w:kern w:val="0"/>
      <w:sz w:val="24"/>
    </w:rPr>
  </w:style>
  <w:style w:type="paragraph" w:customStyle="1" w:styleId="337">
    <w:name w:val="pa-44"/>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338">
    <w:name w:val="目录文字"/>
    <w:basedOn w:val="1"/>
    <w:autoRedefine/>
    <w:qFormat/>
    <w:uiPriority w:val="99"/>
    <w:pPr>
      <w:widowControl/>
      <w:spacing w:line="480" w:lineRule="auto"/>
      <w:jc w:val="left"/>
    </w:pPr>
    <w:rPr>
      <w:rFonts w:ascii="宋体" w:hAnsi="宋体" w:eastAsia="宋体" w:cs="Times New Roman"/>
      <w:kern w:val="0"/>
      <w:sz w:val="24"/>
      <w:szCs w:val="20"/>
    </w:rPr>
  </w:style>
  <w:style w:type="paragraph" w:customStyle="1" w:styleId="339">
    <w:name w:val="ca-15"/>
    <w:basedOn w:val="1"/>
    <w:autoRedefine/>
    <w:qFormat/>
    <w:uiPriority w:val="99"/>
    <w:pPr>
      <w:widowControl/>
      <w:jc w:val="left"/>
    </w:pPr>
    <w:rPr>
      <w:rFonts w:ascii="宋体" w:hAnsi="宋体" w:eastAsia="宋体" w:cs="宋体"/>
      <w:caps/>
      <w:color w:val="000000"/>
      <w:kern w:val="0"/>
      <w:sz w:val="24"/>
    </w:rPr>
  </w:style>
  <w:style w:type="paragraph" w:customStyle="1" w:styleId="340">
    <w:name w:val="CPara---"/>
    <w:autoRedefine/>
    <w:qFormat/>
    <w:uiPriority w:val="99"/>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341">
    <w:name w:val="pa-122"/>
    <w:basedOn w:val="1"/>
    <w:autoRedefine/>
    <w:qFormat/>
    <w:uiPriority w:val="99"/>
    <w:pPr>
      <w:widowControl/>
      <w:spacing w:line="360" w:lineRule="atLeast"/>
      <w:jc w:val="center"/>
    </w:pPr>
    <w:rPr>
      <w:rFonts w:ascii="宋体" w:hAnsi="宋体" w:eastAsia="宋体" w:cs="宋体"/>
      <w:kern w:val="0"/>
      <w:sz w:val="24"/>
    </w:rPr>
  </w:style>
  <w:style w:type="paragraph" w:customStyle="1" w:styleId="342">
    <w:name w:val="pa-111"/>
    <w:basedOn w:val="1"/>
    <w:autoRedefine/>
    <w:qFormat/>
    <w:uiPriority w:val="99"/>
    <w:pPr>
      <w:widowControl/>
      <w:spacing w:line="280" w:lineRule="atLeast"/>
      <w:ind w:firstLine="480"/>
    </w:pPr>
    <w:rPr>
      <w:rFonts w:ascii="宋体" w:hAnsi="宋体" w:eastAsia="宋体" w:cs="宋体"/>
      <w:kern w:val="0"/>
      <w:sz w:val="24"/>
    </w:rPr>
  </w:style>
  <w:style w:type="paragraph" w:customStyle="1" w:styleId="343">
    <w:name w:val="默认段落字体 Para Char Char Char Char Char Char Char Char Char1 Char Char Char Char"/>
    <w:basedOn w:val="1"/>
    <w:autoRedefine/>
    <w:qFormat/>
    <w:uiPriority w:val="99"/>
    <w:rPr>
      <w:rFonts w:ascii="Tahoma" w:hAnsi="Tahoma" w:eastAsia="宋体" w:cs="Times New Roman"/>
      <w:sz w:val="24"/>
      <w:szCs w:val="20"/>
    </w:rPr>
  </w:style>
  <w:style w:type="paragraph" w:customStyle="1" w:styleId="344">
    <w:name w:val="td-10"/>
    <w:basedOn w:val="1"/>
    <w:autoRedefine/>
    <w:qFormat/>
    <w:uiPriority w:val="99"/>
    <w:pPr>
      <w:widowControl/>
      <w:pBdr>
        <w:top w:val="single" w:color="000000" w:sz="4" w:space="0"/>
        <w:left w:val="single" w:color="000000" w:sz="4" w:space="4"/>
        <w:bottom w:val="single" w:color="000000" w:sz="12" w:space="0"/>
        <w:right w:val="single" w:color="000000" w:sz="4" w:space="0"/>
      </w:pBdr>
      <w:jc w:val="left"/>
    </w:pPr>
    <w:rPr>
      <w:rFonts w:ascii="宋体" w:hAnsi="宋体" w:eastAsia="宋体" w:cs="宋体"/>
      <w:kern w:val="0"/>
      <w:sz w:val="24"/>
    </w:rPr>
  </w:style>
  <w:style w:type="paragraph" w:customStyle="1" w:styleId="345">
    <w:name w:val="pa-29"/>
    <w:basedOn w:val="1"/>
    <w:autoRedefine/>
    <w:qFormat/>
    <w:uiPriority w:val="99"/>
    <w:pPr>
      <w:widowControl/>
      <w:spacing w:line="360" w:lineRule="atLeast"/>
      <w:ind w:firstLine="2820"/>
    </w:pPr>
    <w:rPr>
      <w:rFonts w:ascii="宋体" w:hAnsi="宋体" w:eastAsia="宋体" w:cs="宋体"/>
      <w:kern w:val="0"/>
      <w:sz w:val="24"/>
    </w:rPr>
  </w:style>
  <w:style w:type="paragraph" w:customStyle="1" w:styleId="346">
    <w:name w:val="xl74"/>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347">
    <w:name w:val="ca-20"/>
    <w:basedOn w:val="1"/>
    <w:autoRedefine/>
    <w:qFormat/>
    <w:uiPriority w:val="99"/>
    <w:pPr>
      <w:widowControl/>
      <w:jc w:val="left"/>
    </w:pPr>
    <w:rPr>
      <w:rFonts w:ascii="??" w:hAnsi="??" w:eastAsia="宋体" w:cs="宋体"/>
      <w:color w:val="000000"/>
      <w:kern w:val="0"/>
      <w:sz w:val="18"/>
      <w:szCs w:val="18"/>
    </w:rPr>
  </w:style>
  <w:style w:type="paragraph" w:customStyle="1" w:styleId="348">
    <w:name w:val="Normal_10"/>
    <w:autoRedefine/>
    <w:qFormat/>
    <w:uiPriority w:val="99"/>
    <w:rPr>
      <w:rFonts w:ascii="黑体" w:hAnsi="黑体" w:eastAsia="黑体" w:cs="Times New Roman"/>
      <w:b/>
      <w:sz w:val="32"/>
      <w:szCs w:val="24"/>
      <w:lang w:val="en-US" w:eastAsia="zh-CN" w:bidi="ar-SA"/>
    </w:rPr>
  </w:style>
  <w:style w:type="paragraph" w:customStyle="1" w:styleId="349">
    <w:name w:val="ca-48"/>
    <w:basedOn w:val="1"/>
    <w:autoRedefine/>
    <w:qFormat/>
    <w:uiPriority w:val="99"/>
    <w:pPr>
      <w:widowControl/>
      <w:jc w:val="left"/>
    </w:pPr>
    <w:rPr>
      <w:rFonts w:ascii="宋体" w:hAnsi="宋体" w:eastAsia="宋体" w:cs="宋体"/>
      <w:color w:val="000000"/>
      <w:kern w:val="0"/>
      <w:sz w:val="26"/>
      <w:szCs w:val="26"/>
    </w:rPr>
  </w:style>
  <w:style w:type="paragraph" w:customStyle="1" w:styleId="350">
    <w:name w:val="pa-137"/>
    <w:basedOn w:val="1"/>
    <w:autoRedefine/>
    <w:qFormat/>
    <w:uiPriority w:val="99"/>
    <w:pPr>
      <w:widowControl/>
      <w:spacing w:line="480" w:lineRule="atLeast"/>
      <w:jc w:val="center"/>
    </w:pPr>
    <w:rPr>
      <w:rFonts w:ascii="宋体" w:hAnsi="宋体" w:eastAsia="宋体" w:cs="宋体"/>
      <w:kern w:val="0"/>
      <w:sz w:val="24"/>
    </w:rPr>
  </w:style>
  <w:style w:type="paragraph" w:customStyle="1" w:styleId="351">
    <w:name w:val="ca-33"/>
    <w:basedOn w:val="1"/>
    <w:autoRedefine/>
    <w:qFormat/>
    <w:uiPriority w:val="99"/>
    <w:pPr>
      <w:widowControl/>
      <w:jc w:val="left"/>
    </w:pPr>
    <w:rPr>
      <w:rFonts w:ascii="宋体" w:hAnsi="宋体" w:eastAsia="宋体" w:cs="宋体"/>
      <w:b/>
      <w:bCs/>
      <w:color w:val="002060"/>
      <w:spacing w:val="-20"/>
      <w:kern w:val="0"/>
      <w:sz w:val="20"/>
      <w:szCs w:val="20"/>
    </w:rPr>
  </w:style>
  <w:style w:type="paragraph" w:customStyle="1" w:styleId="352">
    <w:name w:val="pa-75"/>
    <w:basedOn w:val="1"/>
    <w:autoRedefine/>
    <w:qFormat/>
    <w:uiPriority w:val="99"/>
    <w:pPr>
      <w:widowControl/>
      <w:spacing w:line="300" w:lineRule="atLeast"/>
      <w:jc w:val="center"/>
    </w:pPr>
    <w:rPr>
      <w:rFonts w:ascii="宋体" w:hAnsi="宋体" w:eastAsia="宋体" w:cs="宋体"/>
      <w:kern w:val="0"/>
      <w:sz w:val="24"/>
    </w:rPr>
  </w:style>
  <w:style w:type="paragraph" w:customStyle="1" w:styleId="353">
    <w:name w:val="ca-16"/>
    <w:basedOn w:val="1"/>
    <w:autoRedefine/>
    <w:qFormat/>
    <w:uiPriority w:val="99"/>
    <w:pPr>
      <w:widowControl/>
      <w:jc w:val="left"/>
    </w:pPr>
    <w:rPr>
      <w:rFonts w:ascii="宋体" w:hAnsi="宋体" w:eastAsia="宋体" w:cs="宋体"/>
      <w:kern w:val="0"/>
      <w:sz w:val="24"/>
    </w:rPr>
  </w:style>
  <w:style w:type="character" w:customStyle="1" w:styleId="354">
    <w:name w:val="正文2 Char Char"/>
    <w:link w:val="355"/>
    <w:autoRedefine/>
    <w:qFormat/>
    <w:locked/>
    <w:uiPriority w:val="0"/>
    <w:rPr>
      <w:rFonts w:ascii="Arial" w:hAnsi="Arial" w:cs="宋体"/>
      <w:sz w:val="24"/>
    </w:rPr>
  </w:style>
  <w:style w:type="paragraph" w:customStyle="1" w:styleId="355">
    <w:name w:val="正文2"/>
    <w:basedOn w:val="1"/>
    <w:link w:val="354"/>
    <w:autoRedefine/>
    <w:qFormat/>
    <w:uiPriority w:val="0"/>
    <w:pPr>
      <w:spacing w:before="156" w:line="360" w:lineRule="auto"/>
      <w:ind w:firstLine="510" w:firstLineChars="200"/>
    </w:pPr>
    <w:rPr>
      <w:rFonts w:ascii="Arial" w:hAnsi="Arial" w:cs="宋体"/>
      <w:sz w:val="24"/>
    </w:rPr>
  </w:style>
  <w:style w:type="paragraph" w:customStyle="1" w:styleId="356">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357">
    <w:name w:val="BJ-02"/>
    <w:next w:val="30"/>
    <w:autoRedefine/>
    <w:qFormat/>
    <w:uiPriority w:val="99"/>
    <w:pPr>
      <w:tabs>
        <w:tab w:val="left" w:pos="900"/>
        <w:tab w:val="left" w:pos="1200"/>
        <w:tab w:val="left" w:pos="1985"/>
      </w:tabs>
      <w:spacing w:before="240" w:line="360" w:lineRule="auto"/>
      <w:ind w:left="1200" w:hanging="360"/>
      <w:jc w:val="both"/>
    </w:pPr>
    <w:rPr>
      <w:rFonts w:ascii="Arial" w:hAnsi="Arial" w:eastAsia="宋体" w:cs="Times New Roman"/>
      <w:sz w:val="24"/>
      <w:lang w:val="en-GB" w:eastAsia="de-DE" w:bidi="ar-SA"/>
    </w:rPr>
  </w:style>
  <w:style w:type="paragraph" w:customStyle="1" w:styleId="358">
    <w:name w:val="Char Char1 Char Char Char Char Char Char Char"/>
    <w:basedOn w:val="1"/>
    <w:autoRedefine/>
    <w:qFormat/>
    <w:uiPriority w:val="99"/>
    <w:pPr>
      <w:widowControl/>
      <w:spacing w:after="160" w:line="240" w:lineRule="exact"/>
      <w:jc w:val="left"/>
    </w:pPr>
    <w:rPr>
      <w:rFonts w:ascii="Calibri" w:hAnsi="Calibri" w:eastAsia="宋体" w:cs="Times New Roman"/>
      <w:szCs w:val="20"/>
    </w:rPr>
  </w:style>
  <w:style w:type="paragraph" w:customStyle="1" w:styleId="359">
    <w:name w:val="BJ-03"/>
    <w:autoRedefine/>
    <w:qFormat/>
    <w:uiPriority w:val="99"/>
    <w:pPr>
      <w:widowControl w:val="0"/>
      <w:numPr>
        <w:ilvl w:val="0"/>
        <w:numId w:val="5"/>
      </w:numPr>
      <w:tabs>
        <w:tab w:val="left" w:pos="1200"/>
        <w:tab w:val="left" w:pos="1440"/>
      </w:tabs>
      <w:spacing w:before="120" w:after="120" w:line="360" w:lineRule="auto"/>
      <w:jc w:val="both"/>
    </w:pPr>
    <w:rPr>
      <w:rFonts w:ascii="Arial" w:hAnsi="Arial" w:eastAsia="宋体" w:cs="Times New Roman"/>
      <w:sz w:val="24"/>
      <w:lang w:val="de-DE" w:eastAsia="de-DE" w:bidi="ar-SA"/>
    </w:rPr>
  </w:style>
  <w:style w:type="paragraph" w:customStyle="1" w:styleId="360">
    <w:name w:val="Normal_11"/>
    <w:autoRedefine/>
    <w:qFormat/>
    <w:uiPriority w:val="99"/>
    <w:rPr>
      <w:rFonts w:ascii="黑体" w:hAnsi="黑体" w:eastAsia="黑体" w:cs="Times New Roman"/>
      <w:b/>
      <w:sz w:val="32"/>
      <w:szCs w:val="24"/>
      <w:lang w:val="en-US" w:eastAsia="zh-CN" w:bidi="ar-SA"/>
    </w:rPr>
  </w:style>
  <w:style w:type="paragraph" w:customStyle="1" w:styleId="361">
    <w:name w:val="表内文字"/>
    <w:basedOn w:val="1"/>
    <w:autoRedefine/>
    <w:qFormat/>
    <w:uiPriority w:val="99"/>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362">
    <w:name w:val="正文段"/>
    <w:basedOn w:val="1"/>
    <w:autoRedefine/>
    <w:qFormat/>
    <w:uiPriority w:val="99"/>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363">
    <w:name w:val="Normal_2"/>
    <w:autoRedefine/>
    <w:qFormat/>
    <w:uiPriority w:val="99"/>
    <w:rPr>
      <w:rFonts w:ascii="黑体" w:hAnsi="黑体" w:eastAsia="黑体" w:cs="Times New Roman"/>
      <w:b/>
      <w:sz w:val="32"/>
      <w:szCs w:val="24"/>
      <w:lang w:val="en-US" w:eastAsia="zh-CN" w:bidi="ar-SA"/>
    </w:rPr>
  </w:style>
  <w:style w:type="paragraph" w:customStyle="1" w:styleId="364">
    <w:name w:val="正文_12"/>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5">
    <w:name w:val="Char1"/>
    <w:basedOn w:val="1"/>
    <w:autoRedefine/>
    <w:qFormat/>
    <w:uiPriority w:val="99"/>
    <w:rPr>
      <w:rFonts w:ascii="仿宋_GB2312" w:hAnsi="Times New Roman" w:eastAsia="仿宋_GB2312" w:cs="Times New Roman"/>
      <w:b/>
      <w:sz w:val="32"/>
      <w:szCs w:val="32"/>
    </w:rPr>
  </w:style>
  <w:style w:type="paragraph" w:customStyle="1" w:styleId="366">
    <w:name w:val="xl71"/>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67">
    <w:name w:val="pa-18"/>
    <w:basedOn w:val="1"/>
    <w:autoRedefine/>
    <w:qFormat/>
    <w:uiPriority w:val="99"/>
    <w:pPr>
      <w:widowControl/>
      <w:spacing w:line="240" w:lineRule="atLeast"/>
      <w:ind w:firstLine="20"/>
    </w:pPr>
    <w:rPr>
      <w:rFonts w:ascii="宋体" w:hAnsi="宋体" w:eastAsia="宋体" w:cs="宋体"/>
      <w:kern w:val="0"/>
      <w:sz w:val="24"/>
    </w:rPr>
  </w:style>
  <w:style w:type="paragraph" w:customStyle="1" w:styleId="368">
    <w:name w:val="font5"/>
    <w:basedOn w:val="1"/>
    <w:autoRedefine/>
    <w:qFormat/>
    <w:uiPriority w:val="99"/>
    <w:pPr>
      <w:widowControl/>
      <w:spacing w:before="100" w:beforeAutospacing="1" w:after="100" w:afterAutospacing="1"/>
      <w:jc w:val="left"/>
    </w:pPr>
    <w:rPr>
      <w:rFonts w:ascii="宋体" w:hAnsi="宋体" w:eastAsia="宋体" w:cs="Times New Roman"/>
      <w:kern w:val="0"/>
      <w:sz w:val="18"/>
      <w:szCs w:val="18"/>
    </w:rPr>
  </w:style>
  <w:style w:type="paragraph" w:customStyle="1" w:styleId="369">
    <w:name w:val="正文 A_0"/>
    <w:autoRedefine/>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70">
    <w:name w:val="Normal_6"/>
    <w:autoRedefine/>
    <w:qFormat/>
    <w:uiPriority w:val="99"/>
    <w:rPr>
      <w:rFonts w:ascii="黑体" w:hAnsi="黑体" w:eastAsia="黑体" w:cs="Times New Roman"/>
      <w:b/>
      <w:sz w:val="32"/>
      <w:szCs w:val="24"/>
      <w:lang w:val="en-US" w:eastAsia="zh-CN" w:bidi="ar-SA"/>
    </w:rPr>
  </w:style>
  <w:style w:type="paragraph" w:customStyle="1" w:styleId="371">
    <w:name w:val="pa-119"/>
    <w:basedOn w:val="1"/>
    <w:autoRedefine/>
    <w:qFormat/>
    <w:uiPriority w:val="99"/>
    <w:pPr>
      <w:widowControl/>
      <w:spacing w:line="420" w:lineRule="atLeast"/>
      <w:jc w:val="center"/>
    </w:pPr>
    <w:rPr>
      <w:rFonts w:ascii="宋体" w:hAnsi="宋体" w:eastAsia="宋体" w:cs="宋体"/>
      <w:kern w:val="0"/>
      <w:sz w:val="24"/>
    </w:rPr>
  </w:style>
  <w:style w:type="paragraph" w:customStyle="1" w:styleId="372">
    <w:name w:val="xl24"/>
    <w:basedOn w:val="1"/>
    <w:autoRedefine/>
    <w:qFormat/>
    <w:uiPriority w:val="99"/>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pPr>
    <w:rPr>
      <w:rFonts w:ascii="仿宋_GB2312" w:hAnsi="宋体" w:eastAsia="仿宋_GB2312" w:cs="Times New Roman"/>
      <w:kern w:val="0"/>
      <w:sz w:val="24"/>
      <w:szCs w:val="20"/>
    </w:rPr>
  </w:style>
  <w:style w:type="paragraph" w:customStyle="1" w:styleId="373">
    <w:name w:val="td-2"/>
    <w:basedOn w:val="1"/>
    <w:autoRedefine/>
    <w:qFormat/>
    <w:uiPriority w:val="99"/>
    <w:pPr>
      <w:widowControl/>
      <w:pBdr>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374">
    <w:name w:val="pa-10"/>
    <w:basedOn w:val="1"/>
    <w:autoRedefine/>
    <w:qFormat/>
    <w:uiPriority w:val="99"/>
    <w:pPr>
      <w:widowControl/>
      <w:spacing w:line="360" w:lineRule="atLeast"/>
      <w:ind w:firstLine="3220"/>
    </w:pPr>
    <w:rPr>
      <w:rFonts w:ascii="宋体" w:hAnsi="宋体" w:eastAsia="宋体" w:cs="宋体"/>
      <w:kern w:val="0"/>
      <w:sz w:val="24"/>
    </w:rPr>
  </w:style>
  <w:style w:type="paragraph" w:customStyle="1" w:styleId="375">
    <w:name w:val="表头"/>
    <w:basedOn w:val="1"/>
    <w:autoRedefine/>
    <w:qFormat/>
    <w:uiPriority w:val="99"/>
    <w:pPr>
      <w:spacing w:line="360" w:lineRule="auto"/>
      <w:jc w:val="center"/>
    </w:pPr>
    <w:rPr>
      <w:rFonts w:ascii="黑体" w:hAnsi="Calibri" w:eastAsia="黑体" w:cs="Times New Roman"/>
      <w:kern w:val="0"/>
      <w:sz w:val="24"/>
      <w:szCs w:val="20"/>
    </w:rPr>
  </w:style>
  <w:style w:type="paragraph" w:customStyle="1" w:styleId="376">
    <w:name w:val="pa-59"/>
    <w:basedOn w:val="1"/>
    <w:autoRedefine/>
    <w:qFormat/>
    <w:uiPriority w:val="99"/>
    <w:pPr>
      <w:widowControl/>
      <w:spacing w:line="360" w:lineRule="atLeast"/>
      <w:ind w:firstLine="200"/>
    </w:pPr>
    <w:rPr>
      <w:rFonts w:ascii="宋体" w:hAnsi="宋体" w:eastAsia="宋体" w:cs="宋体"/>
      <w:kern w:val="0"/>
      <w:sz w:val="24"/>
    </w:rPr>
  </w:style>
  <w:style w:type="paragraph" w:customStyle="1" w:styleId="377">
    <w:name w:val="Normal_7"/>
    <w:autoRedefine/>
    <w:qFormat/>
    <w:uiPriority w:val="99"/>
    <w:rPr>
      <w:rFonts w:ascii="黑体" w:hAnsi="黑体" w:eastAsia="黑体" w:cs="Times New Roman"/>
      <w:b/>
      <w:sz w:val="32"/>
      <w:szCs w:val="24"/>
      <w:lang w:val="en-US" w:eastAsia="zh-CN" w:bidi="ar-SA"/>
    </w:rPr>
  </w:style>
  <w:style w:type="paragraph" w:customStyle="1" w:styleId="378">
    <w:name w:val="pa-3"/>
    <w:basedOn w:val="1"/>
    <w:autoRedefine/>
    <w:qFormat/>
    <w:uiPriority w:val="99"/>
    <w:pPr>
      <w:widowControl/>
      <w:spacing w:line="520" w:lineRule="atLeast"/>
      <w:jc w:val="center"/>
    </w:pPr>
    <w:rPr>
      <w:rFonts w:ascii="宋体" w:hAnsi="宋体" w:eastAsia="宋体" w:cs="宋体"/>
      <w:kern w:val="0"/>
      <w:sz w:val="24"/>
    </w:rPr>
  </w:style>
  <w:style w:type="paragraph" w:customStyle="1" w:styleId="379">
    <w:name w:val="pa-19"/>
    <w:basedOn w:val="1"/>
    <w:autoRedefine/>
    <w:qFormat/>
    <w:uiPriority w:val="99"/>
    <w:pPr>
      <w:widowControl/>
      <w:spacing w:line="240" w:lineRule="atLeast"/>
      <w:ind w:firstLine="20"/>
      <w:jc w:val="left"/>
    </w:pPr>
    <w:rPr>
      <w:rFonts w:ascii="宋体" w:hAnsi="宋体" w:eastAsia="宋体" w:cs="宋体"/>
      <w:kern w:val="0"/>
      <w:sz w:val="24"/>
    </w:rPr>
  </w:style>
  <w:style w:type="paragraph" w:customStyle="1" w:styleId="380">
    <w:name w:val="ca-34"/>
    <w:basedOn w:val="1"/>
    <w:autoRedefine/>
    <w:qFormat/>
    <w:uiPriority w:val="99"/>
    <w:pPr>
      <w:widowControl/>
      <w:jc w:val="left"/>
    </w:pPr>
    <w:rPr>
      <w:rFonts w:ascii="宋体" w:hAnsi="宋体" w:eastAsia="宋体" w:cs="宋体"/>
      <w:color w:val="000000"/>
      <w:kern w:val="0"/>
      <w:sz w:val="20"/>
      <w:szCs w:val="20"/>
    </w:rPr>
  </w:style>
  <w:style w:type="paragraph" w:customStyle="1" w:styleId="381">
    <w:name w:val="pa-139"/>
    <w:basedOn w:val="1"/>
    <w:autoRedefine/>
    <w:qFormat/>
    <w:uiPriority w:val="99"/>
    <w:pPr>
      <w:widowControl/>
      <w:spacing w:line="320" w:lineRule="atLeast"/>
      <w:ind w:firstLine="280"/>
    </w:pPr>
    <w:rPr>
      <w:rFonts w:ascii="宋体" w:hAnsi="宋体" w:eastAsia="宋体" w:cs="宋体"/>
      <w:kern w:val="0"/>
      <w:sz w:val="24"/>
    </w:rPr>
  </w:style>
  <w:style w:type="paragraph" w:customStyle="1" w:styleId="382">
    <w:name w:val="Normal_24"/>
    <w:autoRedefine/>
    <w:qFormat/>
    <w:uiPriority w:val="99"/>
    <w:rPr>
      <w:rFonts w:ascii="黑体" w:hAnsi="黑体" w:eastAsia="黑体" w:cs="Times New Roman"/>
      <w:b/>
      <w:sz w:val="32"/>
      <w:szCs w:val="24"/>
      <w:lang w:val="en-US" w:eastAsia="zh-CN" w:bidi="ar-SA"/>
    </w:rPr>
  </w:style>
  <w:style w:type="paragraph" w:customStyle="1" w:styleId="383">
    <w:name w:val="xl31"/>
    <w:basedOn w:val="1"/>
    <w:next w:val="1"/>
    <w:autoRedefine/>
    <w:qFormat/>
    <w:uiPriority w:val="99"/>
    <w:pPr>
      <w:widowControl/>
      <w:spacing w:before="280" w:after="280"/>
      <w:jc w:val="center"/>
    </w:pPr>
    <w:rPr>
      <w:rFonts w:ascii="宋体" w:hAnsi="Times New Roman" w:eastAsia="宋体" w:cs="Times New Roman"/>
      <w:kern w:val="0"/>
      <w:sz w:val="20"/>
      <w:szCs w:val="20"/>
    </w:rPr>
  </w:style>
  <w:style w:type="paragraph" w:customStyle="1" w:styleId="384">
    <w:name w:val="正文_0_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5">
    <w:name w:val="pa-116"/>
    <w:basedOn w:val="1"/>
    <w:autoRedefine/>
    <w:qFormat/>
    <w:uiPriority w:val="99"/>
    <w:pPr>
      <w:widowControl/>
      <w:spacing w:line="480" w:lineRule="atLeast"/>
      <w:ind w:firstLine="200"/>
    </w:pPr>
    <w:rPr>
      <w:rFonts w:ascii="宋体" w:hAnsi="宋体" w:eastAsia="宋体" w:cs="宋体"/>
      <w:kern w:val="0"/>
      <w:sz w:val="24"/>
    </w:rPr>
  </w:style>
  <w:style w:type="paragraph" w:customStyle="1" w:styleId="386">
    <w:name w:val="CPara----"/>
    <w:autoRedefine/>
    <w:qFormat/>
    <w:uiPriority w:val="99"/>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387">
    <w:name w:val="xl23"/>
    <w:basedOn w:val="1"/>
    <w:autoRedefine/>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388">
    <w:name w:val="默认段落字体 Para Char"/>
    <w:basedOn w:val="1"/>
    <w:autoRedefine/>
    <w:qFormat/>
    <w:uiPriority w:val="99"/>
    <w:pPr>
      <w:tabs>
        <w:tab w:val="left" w:pos="780"/>
      </w:tabs>
      <w:ind w:left="780" w:hanging="360"/>
    </w:pPr>
    <w:rPr>
      <w:rFonts w:ascii="Calibri" w:hAnsi="Calibri" w:eastAsia="宋体" w:cs="Times New Roman"/>
    </w:rPr>
  </w:style>
  <w:style w:type="paragraph" w:customStyle="1" w:styleId="389">
    <w:name w:val="ca-5"/>
    <w:basedOn w:val="1"/>
    <w:autoRedefine/>
    <w:qFormat/>
    <w:uiPriority w:val="99"/>
    <w:pPr>
      <w:widowControl/>
      <w:jc w:val="left"/>
    </w:pPr>
    <w:rPr>
      <w:rFonts w:ascii="宋体" w:hAnsi="宋体" w:eastAsia="宋体" w:cs="宋体"/>
      <w:b/>
      <w:bCs/>
      <w:color w:val="000000"/>
      <w:spacing w:val="40"/>
      <w:kern w:val="0"/>
      <w:sz w:val="48"/>
      <w:szCs w:val="48"/>
    </w:rPr>
  </w:style>
  <w:style w:type="paragraph" w:customStyle="1" w:styleId="390">
    <w:name w:val="pa-79"/>
    <w:basedOn w:val="1"/>
    <w:autoRedefine/>
    <w:qFormat/>
    <w:uiPriority w:val="99"/>
    <w:pPr>
      <w:widowControl/>
      <w:spacing w:line="360" w:lineRule="atLeast"/>
      <w:ind w:firstLine="3040"/>
      <w:jc w:val="left"/>
    </w:pPr>
    <w:rPr>
      <w:rFonts w:ascii="宋体" w:hAnsi="宋体" w:eastAsia="宋体" w:cs="宋体"/>
      <w:kern w:val="0"/>
      <w:sz w:val="24"/>
    </w:rPr>
  </w:style>
  <w:style w:type="paragraph" w:customStyle="1" w:styleId="391">
    <w:name w:val="ca-8"/>
    <w:basedOn w:val="1"/>
    <w:autoRedefine/>
    <w:qFormat/>
    <w:uiPriority w:val="99"/>
    <w:pPr>
      <w:widowControl/>
      <w:jc w:val="left"/>
    </w:pPr>
    <w:rPr>
      <w:rFonts w:ascii="宋体" w:hAnsi="宋体" w:eastAsia="宋体" w:cs="宋体"/>
      <w:color w:val="000000"/>
      <w:kern w:val="0"/>
      <w:sz w:val="28"/>
      <w:szCs w:val="28"/>
    </w:rPr>
  </w:style>
  <w:style w:type="paragraph" w:customStyle="1" w:styleId="392">
    <w:name w:val="ca-17"/>
    <w:basedOn w:val="1"/>
    <w:autoRedefine/>
    <w:qFormat/>
    <w:uiPriority w:val="99"/>
    <w:pPr>
      <w:widowControl/>
      <w:jc w:val="left"/>
    </w:pPr>
    <w:rPr>
      <w:rFonts w:ascii="Calibri" w:hAnsi="Calibri" w:eastAsia="宋体" w:cs="Times New Roman"/>
      <w:b/>
      <w:bCs/>
      <w:spacing w:val="-20"/>
      <w:kern w:val="0"/>
      <w:sz w:val="24"/>
    </w:rPr>
  </w:style>
  <w:style w:type="paragraph" w:customStyle="1" w:styleId="393">
    <w:name w:val="td-0"/>
    <w:basedOn w:val="1"/>
    <w:autoRedefine/>
    <w:qFormat/>
    <w:uiPriority w:val="99"/>
    <w:pPr>
      <w:widowControl/>
      <w:pBdr>
        <w:top w:val="single" w:color="000000" w:sz="4"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394">
    <w:name w:val="pa-51"/>
    <w:basedOn w:val="1"/>
    <w:autoRedefine/>
    <w:qFormat/>
    <w:uiPriority w:val="99"/>
    <w:pPr>
      <w:widowControl/>
      <w:spacing w:line="276" w:lineRule="atLeast"/>
      <w:jc w:val="center"/>
    </w:pPr>
    <w:rPr>
      <w:rFonts w:ascii="宋体" w:hAnsi="宋体" w:eastAsia="宋体" w:cs="宋体"/>
      <w:kern w:val="0"/>
      <w:sz w:val="24"/>
    </w:rPr>
  </w:style>
  <w:style w:type="paragraph" w:customStyle="1" w:styleId="395">
    <w:name w:val="Normal_12"/>
    <w:autoRedefine/>
    <w:qFormat/>
    <w:uiPriority w:val="99"/>
    <w:rPr>
      <w:rFonts w:ascii="黑体" w:hAnsi="黑体" w:eastAsia="黑体" w:cs="Times New Roman"/>
      <w:b/>
      <w:sz w:val="32"/>
      <w:szCs w:val="24"/>
      <w:lang w:val="en-US" w:eastAsia="zh-CN" w:bidi="ar-SA"/>
    </w:rPr>
  </w:style>
  <w:style w:type="paragraph" w:customStyle="1" w:styleId="396">
    <w:name w:val="Normal_5"/>
    <w:autoRedefine/>
    <w:qFormat/>
    <w:uiPriority w:val="99"/>
    <w:rPr>
      <w:rFonts w:ascii="黑体" w:hAnsi="黑体" w:eastAsia="黑体" w:cs="Times New Roman"/>
      <w:b/>
      <w:sz w:val="32"/>
      <w:szCs w:val="24"/>
      <w:lang w:val="en-US" w:eastAsia="zh-CN" w:bidi="ar-SA"/>
    </w:rPr>
  </w:style>
  <w:style w:type="paragraph" w:customStyle="1" w:styleId="397">
    <w:name w:val="pa-115"/>
    <w:basedOn w:val="1"/>
    <w:autoRedefine/>
    <w:qFormat/>
    <w:uiPriority w:val="99"/>
    <w:pPr>
      <w:widowControl/>
      <w:spacing w:line="480" w:lineRule="atLeast"/>
    </w:pPr>
    <w:rPr>
      <w:rFonts w:ascii="宋体" w:hAnsi="宋体" w:eastAsia="宋体" w:cs="宋体"/>
      <w:kern w:val="0"/>
      <w:sz w:val="24"/>
    </w:rPr>
  </w:style>
  <w:style w:type="paragraph" w:customStyle="1" w:styleId="398">
    <w:name w:val="ca-18"/>
    <w:basedOn w:val="1"/>
    <w:autoRedefine/>
    <w:qFormat/>
    <w:uiPriority w:val="99"/>
    <w:pPr>
      <w:widowControl/>
      <w:jc w:val="left"/>
    </w:pPr>
    <w:rPr>
      <w:rFonts w:ascii="宋体" w:hAnsi="宋体" w:eastAsia="宋体" w:cs="宋体"/>
      <w:color w:val="000000"/>
      <w:kern w:val="0"/>
      <w:sz w:val="18"/>
      <w:szCs w:val="18"/>
    </w:rPr>
  </w:style>
  <w:style w:type="paragraph" w:customStyle="1" w:styleId="399">
    <w:name w:val="Para---"/>
    <w:autoRedefine/>
    <w:qFormat/>
    <w:uiPriority w:val="99"/>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400">
    <w:name w:val="xl41"/>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01">
    <w:name w:val="pa-77"/>
    <w:basedOn w:val="1"/>
    <w:autoRedefine/>
    <w:qFormat/>
    <w:uiPriority w:val="99"/>
    <w:pPr>
      <w:widowControl/>
      <w:spacing w:line="360" w:lineRule="atLeast"/>
    </w:pPr>
    <w:rPr>
      <w:rFonts w:ascii="宋体" w:hAnsi="宋体" w:eastAsia="宋体" w:cs="宋体"/>
      <w:kern w:val="0"/>
      <w:sz w:val="24"/>
    </w:rPr>
  </w:style>
  <w:style w:type="paragraph" w:customStyle="1" w:styleId="402">
    <w:name w:val="td-8"/>
    <w:basedOn w:val="1"/>
    <w:autoRedefine/>
    <w:qFormat/>
    <w:uiPriority w:val="99"/>
    <w:pPr>
      <w:widowControl/>
      <w:pBdr>
        <w:top w:val="single" w:color="000000" w:sz="4"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403">
    <w:name w:val="表格"/>
    <w:basedOn w:val="1"/>
    <w:autoRedefine/>
    <w:qFormat/>
    <w:uiPriority w:val="99"/>
    <w:pPr>
      <w:jc w:val="center"/>
    </w:pPr>
    <w:rPr>
      <w:rFonts w:ascii="华文细黑" w:hAnsi="华文细黑" w:eastAsia="宋体" w:cs="Times New Roman"/>
      <w:kern w:val="0"/>
      <w:szCs w:val="20"/>
    </w:rPr>
  </w:style>
  <w:style w:type="paragraph" w:customStyle="1" w:styleId="404">
    <w:name w:val="Divn"/>
    <w:autoRedefine/>
    <w:qFormat/>
    <w:uiPriority w:val="99"/>
    <w:pPr>
      <w:spacing w:line="360" w:lineRule="auto"/>
    </w:pPr>
    <w:rPr>
      <w:rFonts w:ascii="Arial" w:hAnsi="Arial" w:eastAsia="宋体" w:cs="Arial"/>
      <w:b/>
      <w:caps/>
      <w:u w:val="single"/>
      <w:lang w:val="en-US" w:eastAsia="zh-CN" w:bidi="ar-SA"/>
    </w:rPr>
  </w:style>
  <w:style w:type="paragraph" w:customStyle="1" w:styleId="405">
    <w:name w:val="Para-"/>
    <w:autoRedefine/>
    <w:qFormat/>
    <w:uiPriority w:val="99"/>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406">
    <w:name w:val="Para--"/>
    <w:autoRedefine/>
    <w:qFormat/>
    <w:uiPriority w:val="99"/>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407">
    <w:name w:val="ca-38"/>
    <w:basedOn w:val="1"/>
    <w:autoRedefine/>
    <w:qFormat/>
    <w:uiPriority w:val="99"/>
    <w:pPr>
      <w:widowControl/>
      <w:jc w:val="left"/>
    </w:pPr>
    <w:rPr>
      <w:rFonts w:ascii="Calibri" w:hAnsi="Calibri" w:eastAsia="宋体" w:cs="Times New Roman"/>
      <w:b/>
      <w:bCs/>
      <w:spacing w:val="-20"/>
      <w:kern w:val="0"/>
      <w:szCs w:val="21"/>
    </w:rPr>
  </w:style>
  <w:style w:type="paragraph" w:customStyle="1" w:styleId="408">
    <w:name w:val="pa-68"/>
    <w:basedOn w:val="1"/>
    <w:autoRedefine/>
    <w:qFormat/>
    <w:uiPriority w:val="99"/>
    <w:pPr>
      <w:widowControl/>
      <w:spacing w:line="240" w:lineRule="atLeast"/>
      <w:ind w:firstLine="520"/>
    </w:pPr>
    <w:rPr>
      <w:rFonts w:ascii="宋体" w:hAnsi="宋体" w:eastAsia="宋体" w:cs="宋体"/>
      <w:kern w:val="0"/>
      <w:sz w:val="24"/>
    </w:rPr>
  </w:style>
  <w:style w:type="paragraph" w:customStyle="1" w:styleId="409">
    <w:name w:val="pa-121"/>
    <w:basedOn w:val="1"/>
    <w:autoRedefine/>
    <w:qFormat/>
    <w:uiPriority w:val="99"/>
    <w:pPr>
      <w:widowControl/>
      <w:spacing w:line="360" w:lineRule="atLeast"/>
      <w:jc w:val="center"/>
    </w:pPr>
    <w:rPr>
      <w:rFonts w:ascii="宋体" w:hAnsi="宋体" w:eastAsia="宋体" w:cs="宋体"/>
      <w:kern w:val="0"/>
      <w:sz w:val="24"/>
    </w:rPr>
  </w:style>
  <w:style w:type="paragraph" w:customStyle="1" w:styleId="410">
    <w:name w:val="xl25"/>
    <w:basedOn w:val="1"/>
    <w:autoRedefine/>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11">
    <w:name w:val="表格文字"/>
    <w:basedOn w:val="1"/>
    <w:next w:val="23"/>
    <w:autoRedefine/>
    <w:qFormat/>
    <w:uiPriority w:val="99"/>
    <w:pPr>
      <w:adjustRightInd w:val="0"/>
      <w:spacing w:line="420" w:lineRule="atLeast"/>
      <w:jc w:val="left"/>
    </w:pPr>
    <w:rPr>
      <w:rFonts w:ascii="Calibri" w:hAnsi="Calibri" w:eastAsia="宋体" w:cs="Times New Roman"/>
      <w:kern w:val="0"/>
      <w:szCs w:val="20"/>
    </w:rPr>
  </w:style>
  <w:style w:type="paragraph" w:customStyle="1" w:styleId="412">
    <w:name w:val="ca-37"/>
    <w:basedOn w:val="1"/>
    <w:autoRedefine/>
    <w:qFormat/>
    <w:uiPriority w:val="99"/>
    <w:pPr>
      <w:widowControl/>
      <w:jc w:val="left"/>
    </w:pPr>
    <w:rPr>
      <w:rFonts w:ascii="宋体" w:hAnsi="宋体" w:eastAsia="宋体" w:cs="宋体"/>
      <w:color w:val="000000"/>
      <w:kern w:val="0"/>
      <w:szCs w:val="21"/>
    </w:rPr>
  </w:style>
  <w:style w:type="paragraph" w:customStyle="1" w:styleId="413">
    <w:name w:val="ca-26"/>
    <w:basedOn w:val="1"/>
    <w:autoRedefine/>
    <w:qFormat/>
    <w:uiPriority w:val="99"/>
    <w:pPr>
      <w:widowControl/>
      <w:jc w:val="left"/>
    </w:pPr>
    <w:rPr>
      <w:rFonts w:ascii="宋体" w:hAnsi="宋体" w:eastAsia="宋体" w:cs="宋体"/>
      <w:color w:val="002060"/>
      <w:kern w:val="0"/>
      <w:szCs w:val="21"/>
    </w:rPr>
  </w:style>
  <w:style w:type="paragraph" w:customStyle="1" w:styleId="414">
    <w:name w:val="pa-54"/>
    <w:basedOn w:val="1"/>
    <w:autoRedefine/>
    <w:qFormat/>
    <w:uiPriority w:val="99"/>
    <w:pPr>
      <w:widowControl/>
      <w:spacing w:line="280" w:lineRule="atLeast"/>
      <w:jc w:val="left"/>
    </w:pPr>
    <w:rPr>
      <w:rFonts w:ascii="宋体" w:hAnsi="宋体" w:eastAsia="宋体" w:cs="宋体"/>
      <w:kern w:val="0"/>
      <w:sz w:val="24"/>
    </w:rPr>
  </w:style>
  <w:style w:type="paragraph" w:customStyle="1" w:styleId="415">
    <w:name w:val="样式 正文缩进正文（首行缩进两字）特点ALT+Z表正文正文非缩进四号段1Normal Indent Char2...4"/>
    <w:basedOn w:val="2"/>
    <w:autoRedefine/>
    <w:qFormat/>
    <w:uiPriority w:val="99"/>
    <w:pPr>
      <w:spacing w:line="240" w:lineRule="auto"/>
      <w:ind w:firstLine="570"/>
    </w:pPr>
    <w:rPr>
      <w:rFonts w:ascii="Times New Roman" w:hAnsi="Times New Roman"/>
      <w:spacing w:val="0"/>
      <w:sz w:val="28"/>
    </w:rPr>
  </w:style>
  <w:style w:type="paragraph" w:customStyle="1" w:styleId="416">
    <w:name w:val="xl32"/>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17">
    <w:name w:val="pa-7"/>
    <w:basedOn w:val="1"/>
    <w:autoRedefine/>
    <w:qFormat/>
    <w:uiPriority w:val="99"/>
    <w:pPr>
      <w:widowControl/>
      <w:spacing w:line="400" w:lineRule="atLeast"/>
    </w:pPr>
    <w:rPr>
      <w:rFonts w:ascii="宋体" w:hAnsi="宋体" w:eastAsia="宋体" w:cs="宋体"/>
      <w:kern w:val="0"/>
      <w:sz w:val="24"/>
    </w:rPr>
  </w:style>
  <w:style w:type="paragraph" w:customStyle="1" w:styleId="418">
    <w:name w:val="Text---"/>
    <w:autoRedefine/>
    <w:qFormat/>
    <w:uiPriority w:val="99"/>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419">
    <w:name w:val="ca-32"/>
    <w:basedOn w:val="1"/>
    <w:autoRedefine/>
    <w:qFormat/>
    <w:uiPriority w:val="99"/>
    <w:pPr>
      <w:widowControl/>
      <w:jc w:val="left"/>
    </w:pPr>
    <w:rPr>
      <w:rFonts w:ascii="宋体" w:hAnsi="宋体" w:eastAsia="宋体" w:cs="宋体"/>
      <w:b/>
      <w:bCs/>
      <w:color w:val="C00000"/>
      <w:spacing w:val="-20"/>
      <w:kern w:val="0"/>
      <w:szCs w:val="21"/>
    </w:rPr>
  </w:style>
  <w:style w:type="paragraph" w:customStyle="1" w:styleId="420">
    <w:name w:val="pa-39"/>
    <w:basedOn w:val="1"/>
    <w:autoRedefine/>
    <w:qFormat/>
    <w:uiPriority w:val="99"/>
    <w:pPr>
      <w:widowControl/>
      <w:spacing w:line="360" w:lineRule="atLeast"/>
      <w:jc w:val="center"/>
    </w:pPr>
    <w:rPr>
      <w:rFonts w:ascii="宋体" w:hAnsi="宋体" w:eastAsia="宋体" w:cs="宋体"/>
      <w:kern w:val="0"/>
      <w:sz w:val="24"/>
    </w:rPr>
  </w:style>
  <w:style w:type="paragraph" w:customStyle="1" w:styleId="421">
    <w:name w:val="标准文本"/>
    <w:basedOn w:val="1"/>
    <w:next w:val="1"/>
    <w:autoRedefine/>
    <w:qFormat/>
    <w:uiPriority w:val="99"/>
    <w:pPr>
      <w:spacing w:line="360" w:lineRule="auto"/>
      <w:ind w:firstLine="480"/>
    </w:pPr>
    <w:rPr>
      <w:rFonts w:ascii="Arial" w:hAnsi="Times New Roman" w:eastAsia="宋体" w:cs="Times New Roman"/>
      <w:kern w:val="0"/>
      <w:sz w:val="24"/>
      <w:szCs w:val="20"/>
    </w:rPr>
  </w:style>
  <w:style w:type="paragraph" w:customStyle="1" w:styleId="422">
    <w:name w:val="ca-10"/>
    <w:basedOn w:val="1"/>
    <w:autoRedefine/>
    <w:qFormat/>
    <w:uiPriority w:val="99"/>
    <w:pPr>
      <w:widowControl/>
      <w:jc w:val="left"/>
    </w:pPr>
    <w:rPr>
      <w:rFonts w:ascii="Calibri" w:hAnsi="Calibri" w:eastAsia="宋体" w:cs="Times New Roman"/>
      <w:color w:val="000000"/>
      <w:kern w:val="0"/>
      <w:sz w:val="52"/>
      <w:szCs w:val="52"/>
    </w:rPr>
  </w:style>
  <w:style w:type="paragraph" w:customStyle="1" w:styleId="423">
    <w:name w:val="标题C"/>
    <w:basedOn w:val="6"/>
    <w:autoRedefine/>
    <w:qFormat/>
    <w:uiPriority w:val="99"/>
    <w:pPr>
      <w:adjustRightInd w:val="0"/>
      <w:spacing w:before="100" w:beforeAutospacing="1" w:after="100" w:afterAutospacing="1" w:line="240" w:lineRule="auto"/>
      <w:jc w:val="center"/>
    </w:pPr>
    <w:rPr>
      <w:sz w:val="24"/>
      <w:szCs w:val="24"/>
    </w:rPr>
  </w:style>
  <w:style w:type="paragraph" w:customStyle="1" w:styleId="424">
    <w:name w:val="pa-55"/>
    <w:basedOn w:val="1"/>
    <w:autoRedefine/>
    <w:qFormat/>
    <w:uiPriority w:val="99"/>
    <w:pPr>
      <w:widowControl/>
      <w:spacing w:line="300" w:lineRule="atLeast"/>
      <w:ind w:firstLine="480"/>
      <w:jc w:val="center"/>
    </w:pPr>
    <w:rPr>
      <w:rFonts w:ascii="宋体" w:hAnsi="宋体" w:eastAsia="宋体" w:cs="宋体"/>
      <w:kern w:val="0"/>
      <w:sz w:val="24"/>
    </w:rPr>
  </w:style>
  <w:style w:type="paragraph" w:customStyle="1" w:styleId="425">
    <w:name w:val="正文_1_0_0"/>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26">
    <w:name w:val="简单回函地址"/>
    <w:basedOn w:val="1"/>
    <w:autoRedefine/>
    <w:qFormat/>
    <w:uiPriority w:val="99"/>
    <w:pPr>
      <w:adjustRightInd w:val="0"/>
      <w:spacing w:line="312" w:lineRule="atLeast"/>
    </w:pPr>
    <w:rPr>
      <w:rFonts w:ascii="Times New Roman" w:hAnsi="Times New Roman" w:eastAsia="宋体" w:cs="Times New Roman"/>
      <w:kern w:val="0"/>
      <w:szCs w:val="20"/>
    </w:rPr>
  </w:style>
  <w:style w:type="paragraph" w:customStyle="1" w:styleId="427">
    <w:name w:val="pa-25"/>
    <w:basedOn w:val="1"/>
    <w:autoRedefine/>
    <w:qFormat/>
    <w:uiPriority w:val="99"/>
    <w:pPr>
      <w:widowControl/>
      <w:spacing w:line="360" w:lineRule="atLeast"/>
      <w:ind w:firstLine="480"/>
      <w:jc w:val="center"/>
    </w:pPr>
    <w:rPr>
      <w:rFonts w:ascii="宋体" w:hAnsi="宋体" w:eastAsia="宋体" w:cs="宋体"/>
      <w:kern w:val="0"/>
      <w:sz w:val="24"/>
    </w:rPr>
  </w:style>
  <w:style w:type="paragraph" w:customStyle="1" w:styleId="428">
    <w:name w:val="ca-12"/>
    <w:basedOn w:val="1"/>
    <w:autoRedefine/>
    <w:qFormat/>
    <w:uiPriority w:val="99"/>
    <w:pPr>
      <w:widowControl/>
      <w:jc w:val="left"/>
    </w:pPr>
    <w:rPr>
      <w:rFonts w:ascii="Calibri" w:hAnsi="Calibri" w:eastAsia="宋体" w:cs="Times New Roman"/>
      <w:color w:val="000000"/>
      <w:kern w:val="0"/>
      <w:sz w:val="32"/>
      <w:szCs w:val="32"/>
    </w:rPr>
  </w:style>
  <w:style w:type="paragraph" w:customStyle="1" w:styleId="429">
    <w:name w:val="pa-38"/>
    <w:basedOn w:val="1"/>
    <w:autoRedefine/>
    <w:qFormat/>
    <w:uiPriority w:val="99"/>
    <w:pPr>
      <w:widowControl/>
      <w:spacing w:line="360" w:lineRule="atLeast"/>
      <w:ind w:firstLine="520"/>
    </w:pPr>
    <w:rPr>
      <w:rFonts w:ascii="宋体" w:hAnsi="宋体" w:eastAsia="宋体" w:cs="宋体"/>
      <w:kern w:val="0"/>
      <w:sz w:val="24"/>
    </w:rPr>
  </w:style>
  <w:style w:type="paragraph" w:customStyle="1" w:styleId="430">
    <w:name w:val="Normal_20"/>
    <w:autoRedefine/>
    <w:qFormat/>
    <w:uiPriority w:val="99"/>
    <w:rPr>
      <w:rFonts w:ascii="黑体" w:hAnsi="黑体" w:eastAsia="黑体" w:cs="Times New Roman"/>
      <w:b/>
      <w:sz w:val="32"/>
      <w:szCs w:val="24"/>
      <w:lang w:val="en-US" w:eastAsia="zh-CN" w:bidi="ar-SA"/>
    </w:rPr>
  </w:style>
  <w:style w:type="paragraph" w:customStyle="1" w:styleId="431">
    <w:name w:val="pa-50"/>
    <w:basedOn w:val="1"/>
    <w:autoRedefine/>
    <w:qFormat/>
    <w:uiPriority w:val="99"/>
    <w:pPr>
      <w:widowControl/>
      <w:spacing w:line="280" w:lineRule="atLeast"/>
      <w:ind w:hanging="200"/>
      <w:jc w:val="center"/>
    </w:pPr>
    <w:rPr>
      <w:rFonts w:ascii="宋体" w:hAnsi="宋体" w:eastAsia="宋体" w:cs="宋体"/>
      <w:kern w:val="0"/>
      <w:sz w:val="24"/>
    </w:rPr>
  </w:style>
  <w:style w:type="paragraph" w:customStyle="1" w:styleId="432">
    <w:name w:val="Char Char1 Char Char Char Char Char Char Char Char Char Char"/>
    <w:basedOn w:val="1"/>
    <w:next w:val="1"/>
    <w:autoRedefine/>
    <w:qFormat/>
    <w:uiPriority w:val="99"/>
    <w:rPr>
      <w:rFonts w:ascii="Times New Roman" w:hAnsi="Times New Roman" w:eastAsia="宋体" w:cs="Times New Roman"/>
      <w:kern w:val="0"/>
      <w:szCs w:val="20"/>
    </w:rPr>
  </w:style>
  <w:style w:type="paragraph" w:customStyle="1" w:styleId="433">
    <w:name w:val="pa-133"/>
    <w:basedOn w:val="1"/>
    <w:autoRedefine/>
    <w:qFormat/>
    <w:uiPriority w:val="99"/>
    <w:pPr>
      <w:widowControl/>
      <w:spacing w:line="280" w:lineRule="atLeast"/>
      <w:jc w:val="left"/>
    </w:pPr>
    <w:rPr>
      <w:rFonts w:ascii="宋体" w:hAnsi="宋体" w:eastAsia="宋体" w:cs="宋体"/>
      <w:kern w:val="0"/>
      <w:sz w:val="24"/>
    </w:rPr>
  </w:style>
  <w:style w:type="paragraph" w:customStyle="1" w:styleId="434">
    <w:name w:val="xl33"/>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435">
    <w:name w:val="pa-22"/>
    <w:basedOn w:val="1"/>
    <w:autoRedefine/>
    <w:qFormat/>
    <w:uiPriority w:val="99"/>
    <w:pPr>
      <w:widowControl/>
      <w:spacing w:line="280" w:lineRule="atLeast"/>
      <w:ind w:firstLine="480"/>
    </w:pPr>
    <w:rPr>
      <w:rFonts w:ascii="宋体" w:hAnsi="宋体" w:eastAsia="宋体" w:cs="宋体"/>
      <w:kern w:val="0"/>
      <w:sz w:val="24"/>
    </w:rPr>
  </w:style>
  <w:style w:type="paragraph" w:customStyle="1" w:styleId="436">
    <w:name w:val="ca-7"/>
    <w:basedOn w:val="1"/>
    <w:autoRedefine/>
    <w:qFormat/>
    <w:uiPriority w:val="99"/>
    <w:pPr>
      <w:widowControl/>
      <w:jc w:val="left"/>
    </w:pPr>
    <w:rPr>
      <w:rFonts w:ascii="Calibri" w:hAnsi="Calibri" w:eastAsia="宋体" w:cs="Times New Roman"/>
      <w:color w:val="000000"/>
      <w:kern w:val="0"/>
      <w:sz w:val="28"/>
      <w:szCs w:val="28"/>
    </w:rPr>
  </w:style>
  <w:style w:type="paragraph" w:customStyle="1" w:styleId="437">
    <w:name w:val="ARTICLE"/>
    <w:autoRedefine/>
    <w:qFormat/>
    <w:uiPriority w:val="99"/>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438">
    <w:name w:val="pa-110"/>
    <w:basedOn w:val="1"/>
    <w:autoRedefine/>
    <w:qFormat/>
    <w:uiPriority w:val="99"/>
    <w:pPr>
      <w:widowControl/>
      <w:spacing w:line="360" w:lineRule="atLeast"/>
      <w:jc w:val="center"/>
    </w:pPr>
    <w:rPr>
      <w:rFonts w:ascii="宋体" w:hAnsi="宋体" w:eastAsia="宋体" w:cs="宋体"/>
      <w:kern w:val="0"/>
      <w:sz w:val="24"/>
    </w:rPr>
  </w:style>
  <w:style w:type="paragraph" w:customStyle="1" w:styleId="439">
    <w:name w:val="xl39"/>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40">
    <w:name w:val="3"/>
    <w:basedOn w:val="1"/>
    <w:next w:val="1"/>
    <w:autoRedefine/>
    <w:qFormat/>
    <w:uiPriority w:val="99"/>
    <w:pPr>
      <w:spacing w:line="312" w:lineRule="atLeast"/>
      <w:ind w:left="1134" w:hanging="566"/>
    </w:pPr>
    <w:rPr>
      <w:rFonts w:ascii="昆仑楷体" w:hAnsi="Times New Roman" w:eastAsia="昆仑楷体" w:cs="Times New Roman"/>
      <w:kern w:val="0"/>
      <w:sz w:val="24"/>
      <w:szCs w:val="20"/>
    </w:rPr>
  </w:style>
  <w:style w:type="paragraph" w:customStyle="1" w:styleId="441">
    <w:name w:val="pa-103"/>
    <w:basedOn w:val="1"/>
    <w:autoRedefine/>
    <w:qFormat/>
    <w:uiPriority w:val="99"/>
    <w:pPr>
      <w:widowControl/>
      <w:spacing w:line="480" w:lineRule="atLeast"/>
      <w:ind w:firstLine="500"/>
      <w:jc w:val="left"/>
    </w:pPr>
    <w:rPr>
      <w:rFonts w:ascii="宋体" w:hAnsi="宋体" w:eastAsia="宋体" w:cs="宋体"/>
      <w:kern w:val="0"/>
      <w:sz w:val="24"/>
    </w:rPr>
  </w:style>
  <w:style w:type="paragraph" w:customStyle="1" w:styleId="442">
    <w:name w:val="xl68"/>
    <w:basedOn w:val="1"/>
    <w:autoRedefine/>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43">
    <w:name w:val="flNote"/>
    <w:basedOn w:val="1"/>
    <w:autoRedefine/>
    <w:qFormat/>
    <w:uiPriority w:val="99"/>
    <w:pPr>
      <w:adjustRightInd w:val="0"/>
      <w:spacing w:before="320" w:after="160" w:line="360" w:lineRule="atLeast"/>
      <w:jc w:val="center"/>
    </w:pPr>
    <w:rPr>
      <w:rFonts w:ascii="Arial" w:hAnsi="Times New Roman" w:eastAsia="黑体" w:cs="Times New Roman"/>
      <w:kern w:val="0"/>
      <w:sz w:val="30"/>
      <w:szCs w:val="20"/>
    </w:rPr>
  </w:style>
  <w:style w:type="paragraph" w:customStyle="1" w:styleId="444">
    <w:name w:val="正文_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5">
    <w:name w:val="Char Char Char"/>
    <w:basedOn w:val="1"/>
    <w:autoRedefine/>
    <w:qFormat/>
    <w:uiPriority w:val="99"/>
    <w:rPr>
      <w:rFonts w:ascii="Calibri" w:hAnsi="Calibri" w:eastAsia="宋体" w:cs="Times New Roman"/>
    </w:rPr>
  </w:style>
  <w:style w:type="paragraph" w:customStyle="1" w:styleId="446">
    <w:name w:val="pa-72"/>
    <w:basedOn w:val="1"/>
    <w:autoRedefine/>
    <w:qFormat/>
    <w:uiPriority w:val="99"/>
    <w:pPr>
      <w:widowControl/>
      <w:spacing w:line="240" w:lineRule="atLeast"/>
      <w:ind w:firstLine="560"/>
    </w:pPr>
    <w:rPr>
      <w:rFonts w:ascii="宋体" w:hAnsi="宋体" w:eastAsia="宋体" w:cs="宋体"/>
      <w:kern w:val="0"/>
      <w:sz w:val="24"/>
    </w:rPr>
  </w:style>
  <w:style w:type="paragraph" w:customStyle="1" w:styleId="447">
    <w:name w:val="pa-117"/>
    <w:basedOn w:val="1"/>
    <w:autoRedefine/>
    <w:qFormat/>
    <w:uiPriority w:val="99"/>
    <w:pPr>
      <w:widowControl/>
      <w:spacing w:line="360" w:lineRule="atLeast"/>
      <w:ind w:firstLine="3840"/>
    </w:pPr>
    <w:rPr>
      <w:rFonts w:ascii="宋体" w:hAnsi="宋体" w:eastAsia="宋体" w:cs="宋体"/>
      <w:kern w:val="0"/>
      <w:sz w:val="24"/>
    </w:rPr>
  </w:style>
  <w:style w:type="paragraph" w:customStyle="1" w:styleId="448">
    <w:name w:val="-PART-"/>
    <w:autoRedefine/>
    <w:qFormat/>
    <w:uiPriority w:val="99"/>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449">
    <w:name w:val="修订111"/>
    <w:autoRedefine/>
    <w:qFormat/>
    <w:uiPriority w:val="99"/>
    <w:rPr>
      <w:rFonts w:ascii="Times New Roman" w:hAnsi="Times New Roman" w:eastAsia="宋体" w:cs="Times New Roman"/>
      <w:kern w:val="2"/>
      <w:sz w:val="21"/>
      <w:szCs w:val="24"/>
      <w:lang w:val="en-US" w:eastAsia="zh-CN" w:bidi="ar-SA"/>
    </w:rPr>
  </w:style>
  <w:style w:type="paragraph" w:customStyle="1" w:styleId="450">
    <w:name w:val="pa-69"/>
    <w:basedOn w:val="1"/>
    <w:autoRedefine/>
    <w:qFormat/>
    <w:uiPriority w:val="99"/>
    <w:pPr>
      <w:widowControl/>
      <w:spacing w:line="240" w:lineRule="atLeast"/>
      <w:ind w:firstLine="1140"/>
    </w:pPr>
    <w:rPr>
      <w:rFonts w:ascii="宋体" w:hAnsi="宋体" w:eastAsia="宋体" w:cs="宋体"/>
      <w:kern w:val="0"/>
      <w:sz w:val="24"/>
    </w:rPr>
  </w:style>
  <w:style w:type="paragraph" w:customStyle="1" w:styleId="451">
    <w:name w:val="纯文本1"/>
    <w:basedOn w:val="215"/>
    <w:autoRedefine/>
    <w:qFormat/>
    <w:uiPriority w:val="99"/>
    <w:pPr>
      <w:widowControl/>
      <w:jc w:val="left"/>
    </w:pPr>
    <w:rPr>
      <w:rFonts w:ascii="宋体" w:hAnsi="Courier New"/>
    </w:rPr>
  </w:style>
  <w:style w:type="paragraph" w:customStyle="1" w:styleId="452">
    <w:name w:val="pa-6"/>
    <w:basedOn w:val="1"/>
    <w:autoRedefine/>
    <w:qFormat/>
    <w:uiPriority w:val="99"/>
    <w:pPr>
      <w:widowControl/>
      <w:spacing w:line="560" w:lineRule="atLeast"/>
    </w:pPr>
    <w:rPr>
      <w:rFonts w:ascii="宋体" w:hAnsi="宋体" w:eastAsia="宋体" w:cs="宋体"/>
      <w:kern w:val="0"/>
      <w:sz w:val="24"/>
    </w:rPr>
  </w:style>
  <w:style w:type="paragraph" w:customStyle="1" w:styleId="453">
    <w:name w:val="pa-46"/>
    <w:basedOn w:val="1"/>
    <w:autoRedefine/>
    <w:qFormat/>
    <w:uiPriority w:val="99"/>
    <w:pPr>
      <w:widowControl/>
      <w:spacing w:line="280" w:lineRule="atLeast"/>
      <w:ind w:firstLine="420"/>
      <w:jc w:val="left"/>
    </w:pPr>
    <w:rPr>
      <w:rFonts w:ascii="宋体" w:hAnsi="宋体" w:eastAsia="宋体" w:cs="宋体"/>
      <w:kern w:val="0"/>
      <w:sz w:val="24"/>
    </w:rPr>
  </w:style>
  <w:style w:type="paragraph" w:customStyle="1" w:styleId="454">
    <w:name w:val="样式 正文（首行缩进两字） + 首行缩进:  2 字符"/>
    <w:basedOn w:val="16"/>
    <w:autoRedefine/>
    <w:qFormat/>
    <w:uiPriority w:val="99"/>
    <w:pPr>
      <w:spacing w:line="460" w:lineRule="exact"/>
      <w:ind w:firstLine="536" w:firstLineChars="200"/>
    </w:pPr>
    <w:rPr>
      <w:rFonts w:ascii="Calibri" w:hAnsi="Calibri"/>
      <w:spacing w:val="6"/>
      <w:kern w:val="24"/>
      <w:sz w:val="24"/>
    </w:rPr>
  </w:style>
  <w:style w:type="paragraph" w:customStyle="1" w:styleId="455">
    <w:name w:val="pa-134"/>
    <w:basedOn w:val="1"/>
    <w:autoRedefine/>
    <w:qFormat/>
    <w:uiPriority w:val="99"/>
    <w:pPr>
      <w:widowControl/>
      <w:spacing w:line="360" w:lineRule="atLeast"/>
    </w:pPr>
    <w:rPr>
      <w:rFonts w:ascii="宋体" w:hAnsi="宋体" w:eastAsia="宋体" w:cs="宋体"/>
      <w:kern w:val="0"/>
      <w:sz w:val="24"/>
    </w:rPr>
  </w:style>
  <w:style w:type="paragraph" w:customStyle="1" w:styleId="456">
    <w:name w:val="ca-22"/>
    <w:basedOn w:val="1"/>
    <w:autoRedefine/>
    <w:qFormat/>
    <w:uiPriority w:val="99"/>
    <w:pPr>
      <w:widowControl/>
      <w:jc w:val="left"/>
    </w:pPr>
    <w:rPr>
      <w:rFonts w:ascii="宋体" w:hAnsi="宋体" w:eastAsia="宋体" w:cs="宋体"/>
      <w:kern w:val="0"/>
      <w:szCs w:val="21"/>
    </w:rPr>
  </w:style>
  <w:style w:type="paragraph" w:customStyle="1" w:styleId="457">
    <w:name w:val="表格格式"/>
    <w:basedOn w:val="1"/>
    <w:autoRedefine/>
    <w:qFormat/>
    <w:uiPriority w:val="99"/>
    <w:pPr>
      <w:spacing w:line="360" w:lineRule="exact"/>
      <w:ind w:left="-91"/>
      <w:jc w:val="left"/>
    </w:pPr>
    <w:rPr>
      <w:rFonts w:ascii="宋体" w:hAnsi="Calibri" w:eastAsia="宋体" w:cs="Times New Roman"/>
      <w:kern w:val="0"/>
      <w:sz w:val="24"/>
      <w:szCs w:val="11"/>
    </w:rPr>
  </w:style>
  <w:style w:type="paragraph" w:customStyle="1" w:styleId="458">
    <w:name w:val="pa-140"/>
    <w:basedOn w:val="1"/>
    <w:autoRedefine/>
    <w:qFormat/>
    <w:uiPriority w:val="99"/>
    <w:pPr>
      <w:widowControl/>
      <w:spacing w:line="320" w:lineRule="atLeast"/>
      <w:ind w:firstLine="560"/>
    </w:pPr>
    <w:rPr>
      <w:rFonts w:ascii="宋体" w:hAnsi="宋体" w:eastAsia="宋体" w:cs="宋体"/>
      <w:kern w:val="0"/>
      <w:sz w:val="24"/>
    </w:rPr>
  </w:style>
  <w:style w:type="paragraph" w:customStyle="1" w:styleId="459">
    <w:name w:val="style1"/>
    <w:basedOn w:val="1"/>
    <w:autoRedefine/>
    <w:qFormat/>
    <w:uiPriority w:val="99"/>
    <w:pPr>
      <w:widowControl/>
      <w:spacing w:before="100" w:beforeAutospacing="1" w:after="100" w:afterAutospacing="1" w:line="432" w:lineRule="auto"/>
      <w:jc w:val="left"/>
    </w:pPr>
    <w:rPr>
      <w:rFonts w:ascii="宋体" w:hAnsi="宋体" w:eastAsia="宋体" w:cs="宋体"/>
      <w:kern w:val="0"/>
      <w:sz w:val="27"/>
      <w:szCs w:val="27"/>
    </w:rPr>
  </w:style>
  <w:style w:type="paragraph" w:customStyle="1" w:styleId="460">
    <w:name w:val="List Paragraph1"/>
    <w:basedOn w:val="1"/>
    <w:autoRedefine/>
    <w:qFormat/>
    <w:uiPriority w:val="99"/>
    <w:pPr>
      <w:ind w:firstLine="420" w:firstLineChars="200"/>
    </w:pPr>
    <w:rPr>
      <w:rFonts w:ascii="Times New Roman" w:hAnsi="Times New Roman" w:eastAsia="宋体" w:cs="Times New Roman"/>
      <w:kern w:val="0"/>
      <w:sz w:val="20"/>
      <w:szCs w:val="24"/>
    </w:rPr>
  </w:style>
  <w:style w:type="paragraph" w:customStyle="1" w:styleId="461">
    <w:name w:val="正文_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2">
    <w:name w:val="ca-25"/>
    <w:basedOn w:val="1"/>
    <w:autoRedefine/>
    <w:qFormat/>
    <w:uiPriority w:val="99"/>
    <w:pPr>
      <w:widowControl/>
      <w:jc w:val="left"/>
    </w:pPr>
    <w:rPr>
      <w:rFonts w:ascii="Calibri" w:hAnsi="Calibri" w:eastAsia="宋体" w:cs="Times New Roman"/>
      <w:kern w:val="0"/>
      <w:szCs w:val="21"/>
    </w:rPr>
  </w:style>
  <w:style w:type="paragraph" w:customStyle="1" w:styleId="463">
    <w:name w:val="标题B"/>
    <w:basedOn w:val="5"/>
    <w:autoRedefine/>
    <w:qFormat/>
    <w:uiPriority w:val="99"/>
    <w:pPr>
      <w:adjustRightInd w:val="0"/>
      <w:spacing w:before="100" w:beforeAutospacing="1" w:after="100" w:afterAutospacing="1" w:line="240" w:lineRule="auto"/>
      <w:jc w:val="center"/>
    </w:pPr>
    <w:rPr>
      <w:rFonts w:ascii="Arial" w:hAnsi="Arial" w:eastAsia="宋体"/>
      <w:kern w:val="0"/>
      <w:sz w:val="28"/>
      <w:szCs w:val="28"/>
    </w:rPr>
  </w:style>
  <w:style w:type="paragraph" w:customStyle="1" w:styleId="464">
    <w:name w:val="pa-95"/>
    <w:basedOn w:val="1"/>
    <w:autoRedefine/>
    <w:qFormat/>
    <w:uiPriority w:val="99"/>
    <w:pPr>
      <w:widowControl/>
      <w:spacing w:line="440" w:lineRule="atLeast"/>
      <w:jc w:val="center"/>
    </w:pPr>
    <w:rPr>
      <w:rFonts w:ascii="宋体" w:hAnsi="宋体" w:eastAsia="宋体" w:cs="宋体"/>
      <w:kern w:val="0"/>
      <w:sz w:val="24"/>
    </w:rPr>
  </w:style>
  <w:style w:type="paragraph" w:customStyle="1" w:styleId="465">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6">
    <w:name w:val="pa-74"/>
    <w:basedOn w:val="1"/>
    <w:autoRedefine/>
    <w:qFormat/>
    <w:uiPriority w:val="99"/>
    <w:pPr>
      <w:widowControl/>
      <w:spacing w:line="360" w:lineRule="atLeast"/>
      <w:ind w:firstLine="640"/>
      <w:jc w:val="center"/>
    </w:pPr>
    <w:rPr>
      <w:rFonts w:ascii="宋体" w:hAnsi="宋体" w:eastAsia="宋体" w:cs="宋体"/>
      <w:kern w:val="0"/>
      <w:sz w:val="24"/>
    </w:rPr>
  </w:style>
  <w:style w:type="paragraph" w:customStyle="1" w:styleId="467">
    <w:name w:val="C Part --"/>
    <w:autoRedefine/>
    <w:qFormat/>
    <w:uiPriority w:val="99"/>
    <w:pPr>
      <w:spacing w:before="100" w:beforeAutospacing="1" w:line="360" w:lineRule="auto"/>
      <w:jc w:val="both"/>
    </w:pPr>
    <w:rPr>
      <w:rFonts w:ascii="宋体" w:hAnsi="宋体" w:eastAsia="宋体" w:cs="Times New Roman"/>
      <w:kern w:val="2"/>
      <w:lang w:val="en-US" w:eastAsia="zh-CN" w:bidi="ar-SA"/>
    </w:rPr>
  </w:style>
  <w:style w:type="paragraph" w:customStyle="1" w:styleId="468">
    <w:name w:val="pa-106"/>
    <w:basedOn w:val="1"/>
    <w:autoRedefine/>
    <w:qFormat/>
    <w:uiPriority w:val="99"/>
    <w:pPr>
      <w:widowControl/>
      <w:spacing w:line="720" w:lineRule="atLeast"/>
    </w:pPr>
    <w:rPr>
      <w:rFonts w:ascii="宋体" w:hAnsi="宋体" w:eastAsia="宋体" w:cs="宋体"/>
      <w:kern w:val="0"/>
      <w:sz w:val="24"/>
    </w:rPr>
  </w:style>
  <w:style w:type="paragraph" w:customStyle="1" w:styleId="469">
    <w:name w:val="xl70"/>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70">
    <w:name w:val="pa-49"/>
    <w:basedOn w:val="1"/>
    <w:autoRedefine/>
    <w:qFormat/>
    <w:uiPriority w:val="99"/>
    <w:pPr>
      <w:widowControl/>
      <w:spacing w:line="280" w:lineRule="atLeast"/>
      <w:ind w:firstLine="440"/>
      <w:jc w:val="left"/>
    </w:pPr>
    <w:rPr>
      <w:rFonts w:ascii="宋体" w:hAnsi="宋体" w:eastAsia="宋体" w:cs="宋体"/>
      <w:kern w:val="0"/>
      <w:sz w:val="24"/>
    </w:rPr>
  </w:style>
  <w:style w:type="paragraph" w:customStyle="1" w:styleId="471">
    <w:name w:val="pa-94"/>
    <w:basedOn w:val="1"/>
    <w:autoRedefine/>
    <w:qFormat/>
    <w:uiPriority w:val="99"/>
    <w:pPr>
      <w:widowControl/>
      <w:spacing w:line="480" w:lineRule="atLeast"/>
      <w:jc w:val="left"/>
    </w:pPr>
    <w:rPr>
      <w:rFonts w:ascii="宋体" w:hAnsi="宋体" w:eastAsia="宋体" w:cs="宋体"/>
      <w:kern w:val="0"/>
      <w:sz w:val="24"/>
    </w:rPr>
  </w:style>
  <w:style w:type="paragraph" w:customStyle="1" w:styleId="472">
    <w:name w:val="Char1_0"/>
    <w:basedOn w:val="1"/>
    <w:autoRedefine/>
    <w:qFormat/>
    <w:uiPriority w:val="99"/>
    <w:rPr>
      <w:rFonts w:ascii="Calibri" w:hAnsi="Calibri" w:eastAsia="宋体" w:cs="Times New Roman"/>
      <w:szCs w:val="20"/>
    </w:rPr>
  </w:style>
  <w:style w:type="paragraph" w:customStyle="1" w:styleId="473">
    <w:name w:val="ca-40"/>
    <w:basedOn w:val="1"/>
    <w:autoRedefine/>
    <w:qFormat/>
    <w:uiPriority w:val="99"/>
    <w:pPr>
      <w:widowControl/>
      <w:jc w:val="left"/>
    </w:pPr>
    <w:rPr>
      <w:rFonts w:ascii="Calibri" w:hAnsi="Calibri" w:eastAsia="宋体" w:cs="Times New Roman"/>
      <w:kern w:val="0"/>
      <w:sz w:val="20"/>
      <w:szCs w:val="20"/>
    </w:rPr>
  </w:style>
  <w:style w:type="paragraph" w:customStyle="1" w:styleId="474">
    <w:name w:val="pa-138"/>
    <w:basedOn w:val="1"/>
    <w:autoRedefine/>
    <w:qFormat/>
    <w:uiPriority w:val="99"/>
    <w:pPr>
      <w:widowControl/>
      <w:spacing w:line="480" w:lineRule="atLeast"/>
      <w:ind w:firstLine="960"/>
      <w:jc w:val="center"/>
    </w:pPr>
    <w:rPr>
      <w:rFonts w:ascii="宋体" w:hAnsi="宋体" w:eastAsia="宋体" w:cs="宋体"/>
      <w:kern w:val="0"/>
      <w:sz w:val="24"/>
    </w:rPr>
  </w:style>
  <w:style w:type="character" w:customStyle="1" w:styleId="475">
    <w:name w:val="列出段落 字符"/>
    <w:link w:val="476"/>
    <w:autoRedefine/>
    <w:qFormat/>
    <w:locked/>
    <w:uiPriority w:val="0"/>
    <w:rPr>
      <w:rFonts w:ascii="Calibri" w:hAnsi="Calibri" w:cs="Calibri"/>
    </w:rPr>
  </w:style>
  <w:style w:type="paragraph" w:customStyle="1" w:styleId="476">
    <w:name w:val="列出段落1"/>
    <w:basedOn w:val="1"/>
    <w:link w:val="475"/>
    <w:autoRedefine/>
    <w:qFormat/>
    <w:uiPriority w:val="0"/>
    <w:pPr>
      <w:ind w:firstLine="420" w:firstLineChars="200"/>
    </w:pPr>
    <w:rPr>
      <w:rFonts w:ascii="Calibri" w:hAnsi="Calibri" w:cs="Calibri"/>
    </w:rPr>
  </w:style>
  <w:style w:type="paragraph" w:customStyle="1" w:styleId="477">
    <w:name w:val="xl2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78">
    <w:name w:val="pa-5"/>
    <w:basedOn w:val="1"/>
    <w:autoRedefine/>
    <w:qFormat/>
    <w:uiPriority w:val="99"/>
    <w:pPr>
      <w:widowControl/>
      <w:spacing w:line="1000" w:lineRule="atLeast"/>
      <w:jc w:val="center"/>
    </w:pPr>
    <w:rPr>
      <w:rFonts w:ascii="宋体" w:hAnsi="宋体" w:eastAsia="宋体" w:cs="宋体"/>
      <w:kern w:val="0"/>
      <w:sz w:val="24"/>
    </w:rPr>
  </w:style>
  <w:style w:type="paragraph" w:customStyle="1" w:styleId="479">
    <w:name w:val="pa-102"/>
    <w:basedOn w:val="1"/>
    <w:autoRedefine/>
    <w:qFormat/>
    <w:uiPriority w:val="99"/>
    <w:pPr>
      <w:widowControl/>
      <w:spacing w:line="300" w:lineRule="atLeast"/>
      <w:jc w:val="center"/>
    </w:pPr>
    <w:rPr>
      <w:rFonts w:ascii="宋体" w:hAnsi="宋体" w:eastAsia="宋体" w:cs="宋体"/>
      <w:kern w:val="0"/>
      <w:sz w:val="24"/>
    </w:rPr>
  </w:style>
  <w:style w:type="paragraph" w:customStyle="1" w:styleId="480">
    <w:name w:val="pa-14"/>
    <w:basedOn w:val="1"/>
    <w:autoRedefine/>
    <w:qFormat/>
    <w:uiPriority w:val="99"/>
    <w:pPr>
      <w:widowControl/>
      <w:spacing w:line="360" w:lineRule="atLeast"/>
      <w:jc w:val="left"/>
    </w:pPr>
    <w:rPr>
      <w:rFonts w:ascii="宋体" w:hAnsi="宋体" w:eastAsia="宋体" w:cs="宋体"/>
      <w:kern w:val="0"/>
      <w:sz w:val="24"/>
    </w:rPr>
  </w:style>
  <w:style w:type="paragraph" w:customStyle="1" w:styleId="481">
    <w:name w:val="正文_1_2"/>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82">
    <w:name w:val="ca-0"/>
    <w:basedOn w:val="1"/>
    <w:autoRedefine/>
    <w:qFormat/>
    <w:uiPriority w:val="99"/>
    <w:pPr>
      <w:widowControl/>
      <w:jc w:val="left"/>
    </w:pPr>
    <w:rPr>
      <w:rFonts w:ascii="宋体" w:hAnsi="宋体" w:eastAsia="宋体" w:cs="宋体"/>
      <w:color w:val="000000"/>
      <w:kern w:val="0"/>
      <w:sz w:val="48"/>
      <w:szCs w:val="48"/>
    </w:rPr>
  </w:style>
  <w:style w:type="paragraph" w:customStyle="1" w:styleId="483">
    <w:name w:val="td-5"/>
    <w:basedOn w:val="1"/>
    <w:autoRedefine/>
    <w:qFormat/>
    <w:uiPriority w:val="99"/>
    <w:pPr>
      <w:widowControl/>
      <w:pBdr>
        <w:top w:val="single" w:color="000000" w:sz="12"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484">
    <w:name w:val="Default_0"/>
    <w:autoRedefine/>
    <w:qFormat/>
    <w:uiPriority w:val="99"/>
    <w:pPr>
      <w:widowControl w:val="0"/>
      <w:jc w:val="both"/>
    </w:pPr>
    <w:rPr>
      <w:rFonts w:ascii="Arial Unicode MS" w:hAnsi="Arial Unicode MS" w:eastAsia="ヒラギノ角ゴ Pro W3" w:cs="Times New Roman"/>
      <w:color w:val="000000"/>
      <w:sz w:val="24"/>
      <w:lang w:val="en-US" w:eastAsia="zh-CN" w:bidi="ar-SA"/>
    </w:rPr>
  </w:style>
  <w:style w:type="paragraph" w:customStyle="1" w:styleId="485">
    <w:name w:val="pa-92"/>
    <w:basedOn w:val="1"/>
    <w:autoRedefine/>
    <w:qFormat/>
    <w:uiPriority w:val="99"/>
    <w:pPr>
      <w:widowControl/>
      <w:spacing w:line="480" w:lineRule="atLeast"/>
      <w:ind w:firstLine="480"/>
    </w:pPr>
    <w:rPr>
      <w:rFonts w:ascii="宋体" w:hAnsi="宋体" w:eastAsia="宋体" w:cs="宋体"/>
      <w:kern w:val="0"/>
      <w:sz w:val="24"/>
    </w:rPr>
  </w:style>
  <w:style w:type="paragraph" w:customStyle="1" w:styleId="486">
    <w:name w:val="CPara-"/>
    <w:autoRedefine/>
    <w:qFormat/>
    <w:uiPriority w:val="9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487">
    <w:name w:val="ca-6"/>
    <w:basedOn w:val="1"/>
    <w:autoRedefine/>
    <w:qFormat/>
    <w:uiPriority w:val="99"/>
    <w:pPr>
      <w:widowControl/>
      <w:jc w:val="left"/>
    </w:pPr>
    <w:rPr>
      <w:rFonts w:ascii="宋体" w:hAnsi="宋体" w:eastAsia="宋体" w:cs="宋体"/>
      <w:color w:val="000000"/>
      <w:kern w:val="0"/>
      <w:sz w:val="30"/>
      <w:szCs w:val="30"/>
    </w:rPr>
  </w:style>
  <w:style w:type="paragraph" w:customStyle="1" w:styleId="488">
    <w:name w:val="pa-89"/>
    <w:basedOn w:val="1"/>
    <w:autoRedefine/>
    <w:qFormat/>
    <w:uiPriority w:val="99"/>
    <w:pPr>
      <w:widowControl/>
      <w:spacing w:line="320" w:lineRule="atLeast"/>
    </w:pPr>
    <w:rPr>
      <w:rFonts w:ascii="宋体" w:hAnsi="宋体" w:eastAsia="宋体" w:cs="宋体"/>
      <w:kern w:val="0"/>
      <w:sz w:val="24"/>
    </w:rPr>
  </w:style>
  <w:style w:type="paragraph" w:customStyle="1" w:styleId="489">
    <w:name w:val="msonormalcxspmiddle"/>
    <w:basedOn w:val="1"/>
    <w:autoRedefine/>
    <w:qFormat/>
    <w:uiPriority w:val="99"/>
    <w:pPr>
      <w:widowControl/>
      <w:spacing w:before="100" w:beforeAutospacing="1" w:after="100" w:afterAutospacing="1"/>
      <w:jc w:val="left"/>
    </w:pPr>
    <w:rPr>
      <w:rFonts w:ascii="宋体" w:hAnsi="宋体" w:eastAsia="宋体" w:cs="宋体"/>
      <w:kern w:val="0"/>
      <w:sz w:val="24"/>
    </w:rPr>
  </w:style>
  <w:style w:type="paragraph" w:customStyle="1" w:styleId="490">
    <w:name w:val="默认段落字体 Para Char Char Char Char Char Char Char Char Char1 Char"/>
    <w:basedOn w:val="1"/>
    <w:autoRedefine/>
    <w:qFormat/>
    <w:uiPriority w:val="99"/>
    <w:pPr>
      <w:tabs>
        <w:tab w:val="left" w:pos="1260"/>
      </w:tabs>
      <w:spacing w:line="360" w:lineRule="auto"/>
      <w:ind w:left="1260" w:firstLine="480" w:firstLineChars="200"/>
    </w:pPr>
    <w:rPr>
      <w:rFonts w:ascii="Tahoma" w:hAnsi="Tahoma" w:eastAsia="宋体" w:cs="Times New Roman"/>
      <w:sz w:val="24"/>
      <w:szCs w:val="20"/>
    </w:rPr>
  </w:style>
  <w:style w:type="paragraph" w:customStyle="1" w:styleId="491">
    <w:name w:val="Char Char Char Char Char Char Char Char Char Char Char Char Char Char Char Char Char Char Char Char Char Char Char Char Char Char Char Char Char1 Char Char Char Char Char Char Char Char Char Char Char Char"/>
    <w:basedOn w:val="1"/>
    <w:autoRedefine/>
    <w:qFormat/>
    <w:uiPriority w:val="99"/>
    <w:rPr>
      <w:rFonts w:ascii="仿宋_GB2312" w:hAnsi="Times New Roman" w:eastAsia="仿宋_GB2312" w:cs="Times New Roman"/>
      <w:b/>
      <w:sz w:val="32"/>
      <w:szCs w:val="24"/>
    </w:rPr>
  </w:style>
  <w:style w:type="paragraph" w:customStyle="1" w:styleId="492">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3">
    <w:name w:val="pa-34"/>
    <w:basedOn w:val="1"/>
    <w:autoRedefine/>
    <w:qFormat/>
    <w:uiPriority w:val="99"/>
    <w:pPr>
      <w:widowControl/>
      <w:spacing w:line="360" w:lineRule="atLeast"/>
      <w:ind w:firstLine="460"/>
    </w:pPr>
    <w:rPr>
      <w:rFonts w:ascii="宋体" w:hAnsi="宋体" w:eastAsia="宋体" w:cs="宋体"/>
      <w:kern w:val="0"/>
      <w:sz w:val="24"/>
    </w:rPr>
  </w:style>
  <w:style w:type="paragraph" w:customStyle="1" w:styleId="494">
    <w:name w:val="正文 A"/>
    <w:autoRedefine/>
    <w:qFormat/>
    <w:uiPriority w:val="99"/>
    <w:pPr>
      <w:widowControl w:val="0"/>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495">
    <w:name w:val="f1"/>
    <w:basedOn w:val="1"/>
    <w:autoRedefine/>
    <w:qFormat/>
    <w:uiPriority w:val="99"/>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496">
    <w:name w:val="文档正文"/>
    <w:basedOn w:val="1"/>
    <w:autoRedefine/>
    <w:qFormat/>
    <w:uiPriority w:val="99"/>
    <w:pPr>
      <w:adjustRightInd w:val="0"/>
      <w:spacing w:line="312" w:lineRule="atLeast"/>
      <w:ind w:firstLine="567"/>
    </w:pPr>
    <w:rPr>
      <w:rFonts w:ascii="长城仿宋" w:hAnsi="Calibri" w:eastAsia="长城仿宋" w:cs="Times New Roman"/>
      <w:sz w:val="28"/>
    </w:rPr>
  </w:style>
  <w:style w:type="paragraph" w:customStyle="1" w:styleId="497">
    <w:name w:val="pa-60"/>
    <w:basedOn w:val="1"/>
    <w:autoRedefine/>
    <w:qFormat/>
    <w:uiPriority w:val="99"/>
    <w:pPr>
      <w:widowControl/>
      <w:spacing w:line="360" w:lineRule="atLeast"/>
      <w:ind w:firstLine="560"/>
    </w:pPr>
    <w:rPr>
      <w:rFonts w:ascii="宋体" w:hAnsi="宋体" w:eastAsia="宋体" w:cs="宋体"/>
      <w:kern w:val="0"/>
      <w:sz w:val="24"/>
    </w:rPr>
  </w:style>
  <w:style w:type="paragraph" w:customStyle="1" w:styleId="498">
    <w:name w:val="xl3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99">
    <w:name w:val="pa-21"/>
    <w:basedOn w:val="1"/>
    <w:autoRedefine/>
    <w:qFormat/>
    <w:uiPriority w:val="99"/>
    <w:pPr>
      <w:widowControl/>
      <w:spacing w:line="240" w:lineRule="atLeast"/>
      <w:ind w:firstLine="420"/>
    </w:pPr>
    <w:rPr>
      <w:rFonts w:ascii="宋体" w:hAnsi="宋体" w:eastAsia="宋体" w:cs="宋体"/>
      <w:kern w:val="0"/>
      <w:sz w:val="24"/>
    </w:rPr>
  </w:style>
  <w:style w:type="paragraph" w:customStyle="1" w:styleId="500">
    <w:name w:val="Alinéa -"/>
    <w:autoRedefine/>
    <w:qFormat/>
    <w:uiPriority w:val="99"/>
    <w:pPr>
      <w:tabs>
        <w:tab w:val="left" w:pos="1381"/>
      </w:tabs>
      <w:spacing w:line="360" w:lineRule="auto"/>
      <w:ind w:left="284"/>
      <w:jc w:val="both"/>
    </w:pPr>
    <w:rPr>
      <w:rFonts w:ascii="Arial" w:hAnsi="Arial" w:eastAsia="宋体" w:cs="Arial"/>
      <w:lang w:val="en-GB" w:eastAsia="fr-FR" w:bidi="ar-SA"/>
    </w:rPr>
  </w:style>
  <w:style w:type="paragraph" w:customStyle="1" w:styleId="501">
    <w:name w:val="pa-81"/>
    <w:basedOn w:val="1"/>
    <w:autoRedefine/>
    <w:qFormat/>
    <w:uiPriority w:val="99"/>
    <w:pPr>
      <w:widowControl/>
      <w:spacing w:line="360" w:lineRule="atLeast"/>
      <w:jc w:val="center"/>
    </w:pPr>
    <w:rPr>
      <w:rFonts w:ascii="宋体" w:hAnsi="宋体" w:eastAsia="宋体" w:cs="宋体"/>
      <w:kern w:val="0"/>
      <w:sz w:val="24"/>
    </w:rPr>
  </w:style>
  <w:style w:type="paragraph" w:customStyle="1" w:styleId="502">
    <w:name w:val="pa-135"/>
    <w:basedOn w:val="1"/>
    <w:autoRedefine/>
    <w:qFormat/>
    <w:uiPriority w:val="99"/>
    <w:pPr>
      <w:widowControl/>
      <w:spacing w:line="480" w:lineRule="atLeast"/>
      <w:ind w:firstLine="520"/>
    </w:pPr>
    <w:rPr>
      <w:rFonts w:ascii="宋体" w:hAnsi="宋体" w:eastAsia="宋体" w:cs="宋体"/>
      <w:kern w:val="0"/>
      <w:sz w:val="24"/>
    </w:rPr>
  </w:style>
  <w:style w:type="paragraph" w:customStyle="1" w:styleId="503">
    <w:name w:val="ca-50"/>
    <w:basedOn w:val="1"/>
    <w:autoRedefine/>
    <w:qFormat/>
    <w:uiPriority w:val="99"/>
    <w:pPr>
      <w:widowControl/>
      <w:jc w:val="left"/>
    </w:pPr>
    <w:rPr>
      <w:rFonts w:ascii="宋体" w:hAnsi="宋体" w:eastAsia="宋体" w:cs="宋体"/>
      <w:kern w:val="0"/>
      <w:sz w:val="24"/>
    </w:rPr>
  </w:style>
  <w:style w:type="paragraph" w:customStyle="1" w:styleId="504">
    <w:name w:val="ca-11"/>
    <w:basedOn w:val="1"/>
    <w:autoRedefine/>
    <w:qFormat/>
    <w:uiPriority w:val="99"/>
    <w:pPr>
      <w:widowControl/>
      <w:jc w:val="left"/>
    </w:pPr>
    <w:rPr>
      <w:rFonts w:ascii="Calibri" w:hAnsi="Calibri" w:eastAsia="宋体" w:cs="Times New Roman"/>
      <w:color w:val="000000"/>
      <w:kern w:val="0"/>
      <w:sz w:val="30"/>
      <w:szCs w:val="30"/>
    </w:rPr>
  </w:style>
  <w:style w:type="paragraph" w:customStyle="1" w:styleId="505">
    <w:name w:val="ca-52"/>
    <w:basedOn w:val="1"/>
    <w:autoRedefine/>
    <w:qFormat/>
    <w:uiPriority w:val="99"/>
    <w:pPr>
      <w:widowControl/>
      <w:jc w:val="left"/>
    </w:pPr>
    <w:rPr>
      <w:rFonts w:ascii="宋体" w:hAnsi="宋体" w:eastAsia="宋体" w:cs="宋体"/>
      <w:b/>
      <w:bCs/>
      <w:spacing w:val="-20"/>
      <w:kern w:val="0"/>
      <w:sz w:val="36"/>
      <w:szCs w:val="36"/>
    </w:rPr>
  </w:style>
  <w:style w:type="paragraph" w:customStyle="1" w:styleId="506">
    <w:name w:val="pa-130"/>
    <w:basedOn w:val="1"/>
    <w:autoRedefine/>
    <w:qFormat/>
    <w:uiPriority w:val="99"/>
    <w:pPr>
      <w:widowControl/>
      <w:spacing w:line="300" w:lineRule="atLeast"/>
      <w:jc w:val="left"/>
    </w:pPr>
    <w:rPr>
      <w:rFonts w:ascii="宋体" w:hAnsi="宋体" w:eastAsia="宋体" w:cs="宋体"/>
      <w:kern w:val="0"/>
      <w:sz w:val="24"/>
    </w:rPr>
  </w:style>
  <w:style w:type="paragraph" w:customStyle="1" w:styleId="507">
    <w:name w:val="1"/>
    <w:basedOn w:val="1"/>
    <w:next w:val="1"/>
    <w:autoRedefine/>
    <w:qFormat/>
    <w:uiPriority w:val="99"/>
    <w:rPr>
      <w:rFonts w:ascii="Calibri" w:hAnsi="Calibri" w:eastAsia="宋体" w:cs="Times New Roman"/>
    </w:rPr>
  </w:style>
  <w:style w:type="paragraph" w:customStyle="1" w:styleId="508">
    <w:name w:val="TOC 标题111"/>
    <w:next w:val="1"/>
    <w:autoRedefine/>
    <w:qFormat/>
    <w:uiPriority w:val="99"/>
    <w:pPr>
      <w:wordWrap w:val="0"/>
    </w:pPr>
    <w:rPr>
      <w:rFonts w:ascii="宋体" w:hAnsi="宋体" w:eastAsia="宋体" w:cs="宋体"/>
      <w:sz w:val="32"/>
      <w:lang w:val="en-US" w:eastAsia="zh-CN" w:bidi="ar-SA"/>
    </w:rPr>
  </w:style>
  <w:style w:type="paragraph" w:customStyle="1" w:styleId="509">
    <w:name w:val="Char"/>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510">
    <w:name w:val="pa-105"/>
    <w:basedOn w:val="1"/>
    <w:autoRedefine/>
    <w:qFormat/>
    <w:uiPriority w:val="99"/>
    <w:pPr>
      <w:widowControl/>
      <w:spacing w:line="960" w:lineRule="atLeast"/>
    </w:pPr>
    <w:rPr>
      <w:rFonts w:ascii="宋体" w:hAnsi="宋体" w:eastAsia="宋体" w:cs="宋体"/>
      <w:kern w:val="0"/>
      <w:sz w:val="24"/>
    </w:rPr>
  </w:style>
  <w:style w:type="paragraph" w:customStyle="1" w:styleId="511">
    <w:name w:val="ca-23"/>
    <w:basedOn w:val="1"/>
    <w:autoRedefine/>
    <w:qFormat/>
    <w:uiPriority w:val="99"/>
    <w:pPr>
      <w:widowControl/>
      <w:jc w:val="left"/>
    </w:pPr>
    <w:rPr>
      <w:rFonts w:ascii="Calibri" w:hAnsi="Calibri" w:eastAsia="宋体" w:cs="Times New Roman"/>
      <w:kern w:val="0"/>
      <w:szCs w:val="21"/>
    </w:rPr>
  </w:style>
  <w:style w:type="paragraph" w:customStyle="1" w:styleId="512">
    <w:name w:val="pa-120"/>
    <w:basedOn w:val="1"/>
    <w:autoRedefine/>
    <w:qFormat/>
    <w:uiPriority w:val="99"/>
    <w:pPr>
      <w:widowControl/>
      <w:spacing w:line="280" w:lineRule="atLeast"/>
      <w:jc w:val="right"/>
    </w:pPr>
    <w:rPr>
      <w:rFonts w:ascii="宋体" w:hAnsi="宋体" w:eastAsia="宋体" w:cs="宋体"/>
      <w:kern w:val="0"/>
      <w:sz w:val="24"/>
    </w:rPr>
  </w:style>
  <w:style w:type="paragraph" w:customStyle="1" w:styleId="513">
    <w:name w:val="Normal_9"/>
    <w:autoRedefine/>
    <w:qFormat/>
    <w:uiPriority w:val="99"/>
    <w:rPr>
      <w:rFonts w:ascii="黑体" w:hAnsi="黑体" w:eastAsia="黑体" w:cs="Times New Roman"/>
      <w:b/>
      <w:sz w:val="32"/>
      <w:szCs w:val="24"/>
      <w:lang w:val="en-US" w:eastAsia="zh-CN" w:bidi="ar-SA"/>
    </w:rPr>
  </w:style>
  <w:style w:type="paragraph" w:customStyle="1" w:styleId="514">
    <w:name w:val="Normal_16"/>
    <w:autoRedefine/>
    <w:qFormat/>
    <w:uiPriority w:val="99"/>
    <w:rPr>
      <w:rFonts w:ascii="黑体" w:hAnsi="黑体" w:eastAsia="黑体" w:cs="Times New Roman"/>
      <w:b/>
      <w:sz w:val="32"/>
      <w:szCs w:val="24"/>
      <w:lang w:val="en-US" w:eastAsia="zh-CN" w:bidi="ar-SA"/>
    </w:rPr>
  </w:style>
  <w:style w:type="paragraph" w:customStyle="1" w:styleId="515">
    <w:name w:val="pa-126"/>
    <w:basedOn w:val="1"/>
    <w:autoRedefine/>
    <w:qFormat/>
    <w:uiPriority w:val="99"/>
    <w:pPr>
      <w:widowControl/>
      <w:spacing w:line="480" w:lineRule="atLeast"/>
      <w:ind w:firstLine="480"/>
    </w:pPr>
    <w:rPr>
      <w:rFonts w:ascii="宋体" w:hAnsi="宋体" w:eastAsia="宋体" w:cs="宋体"/>
      <w:kern w:val="0"/>
      <w:sz w:val="24"/>
    </w:rPr>
  </w:style>
  <w:style w:type="paragraph" w:customStyle="1" w:styleId="516">
    <w:name w:val="xl79"/>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17">
    <w:name w:val="BJ-03-T"/>
    <w:autoRedefine/>
    <w:qFormat/>
    <w:uiPriority w:val="99"/>
    <w:pPr>
      <w:numPr>
        <w:ilvl w:val="1"/>
        <w:numId w:val="5"/>
      </w:numPr>
      <w:tabs>
        <w:tab w:val="left" w:pos="1305"/>
        <w:tab w:val="left" w:pos="2552"/>
      </w:tabs>
      <w:spacing w:before="120" w:after="120" w:line="360" w:lineRule="auto"/>
      <w:jc w:val="both"/>
    </w:pPr>
    <w:rPr>
      <w:rFonts w:ascii="Arial" w:hAnsi="Arial" w:eastAsia="宋体" w:cs="Times New Roman"/>
      <w:sz w:val="24"/>
      <w:lang w:val="en-GB" w:eastAsia="de-DE" w:bidi="ar-SA"/>
    </w:rPr>
  </w:style>
  <w:style w:type="paragraph" w:customStyle="1" w:styleId="518">
    <w:name w:val="pa-112"/>
    <w:basedOn w:val="1"/>
    <w:autoRedefine/>
    <w:qFormat/>
    <w:uiPriority w:val="99"/>
    <w:pPr>
      <w:widowControl/>
      <w:spacing w:line="280" w:lineRule="atLeast"/>
    </w:pPr>
    <w:rPr>
      <w:rFonts w:ascii="宋体" w:hAnsi="宋体" w:eastAsia="宋体" w:cs="宋体"/>
      <w:kern w:val="0"/>
      <w:sz w:val="24"/>
    </w:rPr>
  </w:style>
  <w:style w:type="paragraph" w:customStyle="1" w:styleId="519">
    <w:name w:val="pa-64"/>
    <w:basedOn w:val="1"/>
    <w:autoRedefine/>
    <w:qFormat/>
    <w:uiPriority w:val="99"/>
    <w:pPr>
      <w:widowControl/>
      <w:spacing w:line="360" w:lineRule="atLeast"/>
      <w:ind w:firstLine="560"/>
      <w:jc w:val="left"/>
    </w:pPr>
    <w:rPr>
      <w:rFonts w:ascii="宋体" w:hAnsi="宋体" w:eastAsia="宋体" w:cs="宋体"/>
      <w:kern w:val="0"/>
      <w:sz w:val="24"/>
    </w:rPr>
  </w:style>
  <w:style w:type="paragraph" w:customStyle="1" w:styleId="520">
    <w:name w:val="ca-39"/>
    <w:basedOn w:val="1"/>
    <w:autoRedefine/>
    <w:qFormat/>
    <w:uiPriority w:val="99"/>
    <w:pPr>
      <w:widowControl/>
      <w:jc w:val="left"/>
    </w:pPr>
    <w:rPr>
      <w:rFonts w:ascii="宋体" w:hAnsi="宋体" w:eastAsia="宋体" w:cs="宋体"/>
      <w:b/>
      <w:bCs/>
      <w:color w:val="000000"/>
      <w:spacing w:val="-20"/>
      <w:kern w:val="0"/>
      <w:sz w:val="28"/>
      <w:szCs w:val="28"/>
    </w:rPr>
  </w:style>
  <w:style w:type="paragraph" w:customStyle="1" w:styleId="521">
    <w:name w:val="pa-57"/>
    <w:basedOn w:val="1"/>
    <w:autoRedefine/>
    <w:qFormat/>
    <w:uiPriority w:val="99"/>
    <w:pPr>
      <w:widowControl/>
      <w:spacing w:line="300" w:lineRule="atLeast"/>
      <w:ind w:firstLine="560"/>
    </w:pPr>
    <w:rPr>
      <w:rFonts w:ascii="宋体" w:hAnsi="宋体" w:eastAsia="宋体" w:cs="宋体"/>
      <w:kern w:val="0"/>
      <w:sz w:val="24"/>
    </w:rPr>
  </w:style>
  <w:style w:type="paragraph" w:customStyle="1" w:styleId="522">
    <w:name w:val="pa-87"/>
    <w:basedOn w:val="1"/>
    <w:autoRedefine/>
    <w:qFormat/>
    <w:uiPriority w:val="99"/>
    <w:pPr>
      <w:widowControl/>
      <w:spacing w:line="320" w:lineRule="atLeast"/>
      <w:ind w:firstLine="560"/>
      <w:jc w:val="left"/>
    </w:pPr>
    <w:rPr>
      <w:rFonts w:ascii="宋体" w:hAnsi="宋体" w:eastAsia="宋体" w:cs="宋体"/>
      <w:kern w:val="0"/>
      <w:sz w:val="24"/>
    </w:rPr>
  </w:style>
  <w:style w:type="paragraph" w:customStyle="1" w:styleId="523">
    <w:name w:val="xl35"/>
    <w:basedOn w:val="1"/>
    <w:autoRedefine/>
    <w:qFormat/>
    <w:uiPriority w:val="99"/>
    <w:pPr>
      <w:widowControl/>
      <w:spacing w:before="100" w:beforeAutospacing="1" w:after="100" w:afterAutospacing="1"/>
      <w:jc w:val="right"/>
    </w:pPr>
    <w:rPr>
      <w:rFonts w:ascii="宋体" w:hAnsi="宋体" w:eastAsia="宋体" w:cs="Times New Roman"/>
      <w:kern w:val="0"/>
      <w:sz w:val="18"/>
      <w:szCs w:val="18"/>
    </w:rPr>
  </w:style>
  <w:style w:type="paragraph" w:customStyle="1" w:styleId="524">
    <w:name w:val="ca-41"/>
    <w:basedOn w:val="1"/>
    <w:autoRedefine/>
    <w:qFormat/>
    <w:uiPriority w:val="99"/>
    <w:pPr>
      <w:widowControl/>
      <w:jc w:val="left"/>
    </w:pPr>
    <w:rPr>
      <w:rFonts w:ascii="宋体" w:hAnsi="宋体" w:eastAsia="宋体" w:cs="宋体"/>
      <w:b/>
      <w:bCs/>
      <w:color w:val="000000"/>
      <w:spacing w:val="-20"/>
      <w:kern w:val="0"/>
      <w:sz w:val="32"/>
      <w:szCs w:val="32"/>
    </w:rPr>
  </w:style>
  <w:style w:type="paragraph" w:customStyle="1" w:styleId="525">
    <w:name w:val="xl28"/>
    <w:basedOn w:val="1"/>
    <w:autoRedefine/>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26">
    <w:name w:val="正文11"/>
    <w:basedOn w:val="1"/>
    <w:autoRedefine/>
    <w:qFormat/>
    <w:uiPriority w:val="99"/>
    <w:pPr>
      <w:widowControl/>
      <w:spacing w:line="360" w:lineRule="auto"/>
      <w:ind w:left="499" w:firstLine="499"/>
    </w:pPr>
    <w:rPr>
      <w:rFonts w:ascii="宋体" w:hAnsi="Calibri" w:eastAsia="宋体" w:cs="Times New Roman"/>
      <w:kern w:val="21"/>
      <w:sz w:val="24"/>
      <w:szCs w:val="20"/>
    </w:rPr>
  </w:style>
  <w:style w:type="paragraph" w:customStyle="1" w:styleId="527">
    <w:name w:val="内文正文_0"/>
    <w:autoRedefine/>
    <w:qFormat/>
    <w:uiPriority w:val="99"/>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 w:type="paragraph" w:customStyle="1" w:styleId="528">
    <w:name w:val="TOC Heading1"/>
    <w:basedOn w:val="4"/>
    <w:next w:val="1"/>
    <w:autoRedefine/>
    <w:qFormat/>
    <w:uiPriority w:val="99"/>
    <w:pPr>
      <w:keepLines/>
      <w:widowControl/>
      <w:spacing w:before="480" w:line="276" w:lineRule="auto"/>
      <w:jc w:val="left"/>
      <w:outlineLvl w:val="9"/>
    </w:pPr>
    <w:rPr>
      <w:rFonts w:ascii="Cambria" w:hAnsi="Cambria"/>
      <w:color w:val="365F91"/>
      <w:sz w:val="28"/>
      <w:szCs w:val="28"/>
    </w:rPr>
  </w:style>
  <w:style w:type="paragraph" w:customStyle="1" w:styleId="529">
    <w:name w:val="pa-93"/>
    <w:basedOn w:val="1"/>
    <w:autoRedefine/>
    <w:qFormat/>
    <w:uiPriority w:val="99"/>
    <w:pPr>
      <w:widowControl/>
      <w:spacing w:line="480" w:lineRule="atLeast"/>
      <w:ind w:firstLine="480"/>
      <w:jc w:val="left"/>
    </w:pPr>
    <w:rPr>
      <w:rFonts w:ascii="宋体" w:hAnsi="宋体" w:eastAsia="宋体" w:cs="宋体"/>
      <w:kern w:val="0"/>
      <w:sz w:val="24"/>
    </w:rPr>
  </w:style>
  <w:style w:type="paragraph" w:customStyle="1" w:styleId="530">
    <w:name w:val="默认段落字体 Para Char Char Char Char Char Char Char"/>
    <w:basedOn w:val="1"/>
    <w:autoRedefine/>
    <w:qFormat/>
    <w:uiPriority w:val="99"/>
    <w:rPr>
      <w:rFonts w:ascii="Tahoma" w:hAnsi="Tahoma" w:eastAsia="宋体" w:cs="Times New Roman"/>
      <w:sz w:val="24"/>
      <w:szCs w:val="20"/>
    </w:rPr>
  </w:style>
  <w:style w:type="paragraph" w:customStyle="1" w:styleId="531">
    <w:name w:val="pa-85"/>
    <w:basedOn w:val="1"/>
    <w:autoRedefine/>
    <w:qFormat/>
    <w:uiPriority w:val="99"/>
    <w:pPr>
      <w:widowControl/>
      <w:spacing w:line="760" w:lineRule="atLeast"/>
      <w:jc w:val="center"/>
    </w:pPr>
    <w:rPr>
      <w:rFonts w:ascii="宋体" w:hAnsi="宋体" w:eastAsia="宋体" w:cs="宋体"/>
      <w:kern w:val="0"/>
      <w:sz w:val="24"/>
    </w:rPr>
  </w:style>
  <w:style w:type="paragraph" w:customStyle="1" w:styleId="532">
    <w:name w:val="Normal_1"/>
    <w:autoRedefine/>
    <w:qFormat/>
    <w:uiPriority w:val="99"/>
    <w:rPr>
      <w:rFonts w:ascii="黑体" w:hAnsi="黑体" w:eastAsia="黑体" w:cs="Times New Roman"/>
      <w:b/>
      <w:sz w:val="32"/>
      <w:szCs w:val="24"/>
      <w:lang w:val="en-US" w:eastAsia="zh-CN" w:bidi="ar-SA"/>
    </w:rPr>
  </w:style>
  <w:style w:type="paragraph" w:customStyle="1" w:styleId="533">
    <w:name w:val="226_Chinese Text"/>
    <w:autoRedefine/>
    <w:qFormat/>
    <w:uiPriority w:val="99"/>
    <w:pPr>
      <w:spacing w:after="120" w:line="336" w:lineRule="auto"/>
      <w:jc w:val="both"/>
    </w:pPr>
    <w:rPr>
      <w:rFonts w:ascii="华文中宋" w:hAnsi="华文中宋" w:eastAsia="华文中宋" w:cs="Times New Roman"/>
      <w:lang w:val="en-GB" w:eastAsia="zh-CN" w:bidi="ar-SA"/>
    </w:rPr>
  </w:style>
  <w:style w:type="paragraph" w:customStyle="1" w:styleId="534">
    <w:name w:val="pa-48"/>
    <w:basedOn w:val="1"/>
    <w:autoRedefine/>
    <w:qFormat/>
    <w:uiPriority w:val="99"/>
    <w:pPr>
      <w:widowControl/>
      <w:spacing w:line="280" w:lineRule="atLeast"/>
      <w:ind w:firstLine="440"/>
    </w:pPr>
    <w:rPr>
      <w:rFonts w:ascii="宋体" w:hAnsi="宋体" w:eastAsia="宋体" w:cs="宋体"/>
      <w:kern w:val="0"/>
      <w:sz w:val="24"/>
    </w:rPr>
  </w:style>
  <w:style w:type="paragraph" w:customStyle="1" w:styleId="535">
    <w:name w:val="pa-15"/>
    <w:basedOn w:val="1"/>
    <w:autoRedefine/>
    <w:qFormat/>
    <w:uiPriority w:val="99"/>
    <w:pPr>
      <w:widowControl/>
      <w:spacing w:line="240" w:lineRule="atLeast"/>
      <w:jc w:val="left"/>
    </w:pPr>
    <w:rPr>
      <w:rFonts w:ascii="宋体" w:hAnsi="宋体" w:eastAsia="宋体" w:cs="宋体"/>
      <w:kern w:val="0"/>
      <w:sz w:val="24"/>
    </w:rPr>
  </w:style>
  <w:style w:type="paragraph" w:customStyle="1" w:styleId="536">
    <w:name w:val="ca-4"/>
    <w:basedOn w:val="1"/>
    <w:autoRedefine/>
    <w:qFormat/>
    <w:uiPriority w:val="99"/>
    <w:pPr>
      <w:widowControl/>
      <w:jc w:val="left"/>
    </w:pPr>
    <w:rPr>
      <w:rFonts w:ascii="宋体" w:hAnsi="宋体" w:eastAsia="宋体" w:cs="宋体"/>
      <w:b/>
      <w:bCs/>
      <w:color w:val="000000"/>
      <w:spacing w:val="-20"/>
      <w:kern w:val="0"/>
      <w:sz w:val="48"/>
      <w:szCs w:val="48"/>
    </w:rPr>
  </w:style>
  <w:style w:type="paragraph" w:customStyle="1" w:styleId="537">
    <w:name w:val="pa-42"/>
    <w:basedOn w:val="1"/>
    <w:autoRedefine/>
    <w:qFormat/>
    <w:uiPriority w:val="99"/>
    <w:pPr>
      <w:widowControl/>
      <w:spacing w:line="280" w:lineRule="atLeast"/>
      <w:ind w:firstLine="420"/>
      <w:jc w:val="left"/>
    </w:pPr>
    <w:rPr>
      <w:rFonts w:ascii="宋体" w:hAnsi="宋体" w:eastAsia="宋体" w:cs="宋体"/>
      <w:kern w:val="0"/>
      <w:sz w:val="24"/>
    </w:rPr>
  </w:style>
  <w:style w:type="paragraph" w:customStyle="1" w:styleId="538">
    <w:name w:val="td-3"/>
    <w:basedOn w:val="1"/>
    <w:autoRedefine/>
    <w:qFormat/>
    <w:uiPriority w:val="99"/>
    <w:pPr>
      <w:widowControl/>
      <w:pBdr>
        <w:top w:val="single" w:color="000000" w:sz="6" w:space="0"/>
        <w:left w:val="single" w:color="000000" w:sz="6" w:space="4"/>
        <w:right w:val="single" w:color="000000" w:sz="6" w:space="0"/>
      </w:pBdr>
      <w:jc w:val="left"/>
    </w:pPr>
    <w:rPr>
      <w:rFonts w:ascii="宋体" w:hAnsi="宋体" w:eastAsia="宋体" w:cs="宋体"/>
      <w:kern w:val="0"/>
      <w:sz w:val="24"/>
    </w:rPr>
  </w:style>
  <w:style w:type="paragraph" w:customStyle="1" w:styleId="539">
    <w:name w:val="pa-136"/>
    <w:basedOn w:val="1"/>
    <w:autoRedefine/>
    <w:qFormat/>
    <w:uiPriority w:val="99"/>
    <w:pPr>
      <w:widowControl/>
      <w:spacing w:line="360" w:lineRule="atLeast"/>
      <w:ind w:firstLine="5640"/>
    </w:pPr>
    <w:rPr>
      <w:rFonts w:ascii="宋体" w:hAnsi="宋体" w:eastAsia="宋体" w:cs="宋体"/>
      <w:kern w:val="0"/>
      <w:sz w:val="24"/>
    </w:rPr>
  </w:style>
  <w:style w:type="paragraph" w:customStyle="1" w:styleId="540">
    <w:name w:val="Normal_3"/>
    <w:autoRedefine/>
    <w:qFormat/>
    <w:uiPriority w:val="99"/>
    <w:rPr>
      <w:rFonts w:ascii="黑体" w:hAnsi="黑体" w:eastAsia="黑体" w:cs="Times New Roman"/>
      <w:b/>
      <w:sz w:val="32"/>
      <w:szCs w:val="24"/>
      <w:lang w:val="en-US" w:eastAsia="zh-CN" w:bidi="ar-SA"/>
    </w:rPr>
  </w:style>
  <w:style w:type="paragraph" w:customStyle="1" w:styleId="541">
    <w:name w:val="Char Char Char_0"/>
    <w:basedOn w:val="1"/>
    <w:autoRedefine/>
    <w:qFormat/>
    <w:uiPriority w:val="99"/>
    <w:rPr>
      <w:rFonts w:ascii="Tahoma" w:hAnsi="Tahoma" w:eastAsia="宋体" w:cs="Times New Roman"/>
      <w:sz w:val="24"/>
      <w:szCs w:val="20"/>
    </w:rPr>
  </w:style>
  <w:style w:type="paragraph" w:customStyle="1" w:styleId="542">
    <w:name w:val="pa-91"/>
    <w:basedOn w:val="1"/>
    <w:autoRedefine/>
    <w:qFormat/>
    <w:uiPriority w:val="99"/>
    <w:pPr>
      <w:widowControl/>
      <w:spacing w:line="360" w:lineRule="atLeast"/>
      <w:ind w:firstLine="4000"/>
      <w:jc w:val="left"/>
    </w:pPr>
    <w:rPr>
      <w:rFonts w:ascii="宋体" w:hAnsi="宋体" w:eastAsia="宋体" w:cs="宋体"/>
      <w:kern w:val="0"/>
      <w:sz w:val="24"/>
    </w:rPr>
  </w:style>
  <w:style w:type="paragraph" w:customStyle="1" w:styleId="543">
    <w:name w:val="Char Char Char Char Char Char_0"/>
    <w:basedOn w:val="1"/>
    <w:autoRedefine/>
    <w:qFormat/>
    <w:uiPriority w:val="99"/>
    <w:rPr>
      <w:rFonts w:ascii="Calibri" w:hAnsi="Calibri" w:eastAsia="宋体" w:cs="Times New Roman"/>
    </w:rPr>
  </w:style>
  <w:style w:type="paragraph" w:customStyle="1" w:styleId="544">
    <w:name w:val="pa-65"/>
    <w:basedOn w:val="1"/>
    <w:autoRedefine/>
    <w:qFormat/>
    <w:uiPriority w:val="99"/>
    <w:pPr>
      <w:widowControl/>
      <w:spacing w:line="360" w:lineRule="atLeast"/>
    </w:pPr>
    <w:rPr>
      <w:rFonts w:ascii="宋体" w:hAnsi="宋体" w:eastAsia="宋体" w:cs="宋体"/>
      <w:kern w:val="0"/>
      <w:sz w:val="24"/>
    </w:rPr>
  </w:style>
  <w:style w:type="paragraph" w:customStyle="1" w:styleId="545">
    <w:name w:val="pa-98"/>
    <w:basedOn w:val="1"/>
    <w:autoRedefine/>
    <w:qFormat/>
    <w:uiPriority w:val="99"/>
    <w:pPr>
      <w:widowControl/>
      <w:spacing w:line="720" w:lineRule="atLeast"/>
      <w:ind w:firstLine="480"/>
    </w:pPr>
    <w:rPr>
      <w:rFonts w:ascii="宋体" w:hAnsi="宋体" w:eastAsia="宋体" w:cs="宋体"/>
      <w:kern w:val="0"/>
      <w:sz w:val="24"/>
    </w:rPr>
  </w:style>
  <w:style w:type="paragraph" w:customStyle="1" w:styleId="546">
    <w:name w:val="pa-45"/>
    <w:basedOn w:val="1"/>
    <w:autoRedefine/>
    <w:qFormat/>
    <w:uiPriority w:val="99"/>
    <w:pPr>
      <w:widowControl/>
      <w:spacing w:line="280" w:lineRule="atLeast"/>
      <w:ind w:firstLine="420"/>
    </w:pPr>
    <w:rPr>
      <w:rFonts w:ascii="宋体" w:hAnsi="宋体" w:eastAsia="宋体" w:cs="宋体"/>
      <w:kern w:val="0"/>
      <w:sz w:val="24"/>
    </w:rPr>
  </w:style>
  <w:style w:type="paragraph" w:customStyle="1" w:styleId="547">
    <w:name w:val="pa-125"/>
    <w:basedOn w:val="1"/>
    <w:autoRedefine/>
    <w:qFormat/>
    <w:uiPriority w:val="99"/>
    <w:pPr>
      <w:widowControl/>
      <w:spacing w:line="480" w:lineRule="atLeast"/>
      <w:ind w:firstLine="1080"/>
    </w:pPr>
    <w:rPr>
      <w:rFonts w:ascii="宋体" w:hAnsi="宋体" w:eastAsia="宋体" w:cs="宋体"/>
      <w:kern w:val="0"/>
      <w:sz w:val="24"/>
    </w:rPr>
  </w:style>
  <w:style w:type="paragraph" w:customStyle="1" w:styleId="548">
    <w:name w:val="pa-132"/>
    <w:basedOn w:val="1"/>
    <w:autoRedefine/>
    <w:qFormat/>
    <w:uiPriority w:val="99"/>
    <w:pPr>
      <w:widowControl/>
      <w:spacing w:line="360" w:lineRule="atLeast"/>
    </w:pPr>
    <w:rPr>
      <w:rFonts w:ascii="宋体" w:hAnsi="宋体" w:eastAsia="宋体" w:cs="宋体"/>
      <w:kern w:val="0"/>
      <w:sz w:val="24"/>
    </w:rPr>
  </w:style>
  <w:style w:type="paragraph" w:customStyle="1" w:styleId="549">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550">
    <w:name w:val="pa-0"/>
    <w:basedOn w:val="1"/>
    <w:autoRedefine/>
    <w:qFormat/>
    <w:uiPriority w:val="99"/>
    <w:pPr>
      <w:widowControl/>
      <w:spacing w:line="520" w:lineRule="atLeast"/>
      <w:jc w:val="center"/>
    </w:pPr>
    <w:rPr>
      <w:rFonts w:ascii="宋体" w:hAnsi="宋体" w:eastAsia="宋体" w:cs="宋体"/>
      <w:kern w:val="0"/>
      <w:sz w:val="24"/>
    </w:rPr>
  </w:style>
  <w:style w:type="paragraph" w:customStyle="1" w:styleId="551">
    <w:name w:val="pa-70"/>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552">
    <w:name w:val="Normal_17"/>
    <w:autoRedefine/>
    <w:qFormat/>
    <w:uiPriority w:val="99"/>
    <w:rPr>
      <w:rFonts w:ascii="黑体" w:hAnsi="黑体" w:eastAsia="黑体" w:cs="Times New Roman"/>
      <w:b/>
      <w:sz w:val="32"/>
      <w:szCs w:val="24"/>
      <w:lang w:val="en-US" w:eastAsia="zh-CN" w:bidi="ar-SA"/>
    </w:rPr>
  </w:style>
  <w:style w:type="paragraph" w:customStyle="1" w:styleId="553">
    <w:name w:val="pa-76"/>
    <w:basedOn w:val="1"/>
    <w:autoRedefine/>
    <w:qFormat/>
    <w:uiPriority w:val="99"/>
    <w:pPr>
      <w:widowControl/>
      <w:spacing w:line="400" w:lineRule="atLeast"/>
      <w:jc w:val="left"/>
    </w:pPr>
    <w:rPr>
      <w:rFonts w:ascii="宋体" w:hAnsi="宋体" w:eastAsia="宋体" w:cs="宋体"/>
      <w:kern w:val="0"/>
      <w:sz w:val="24"/>
    </w:rPr>
  </w:style>
  <w:style w:type="paragraph" w:customStyle="1" w:styleId="554">
    <w:name w:val="标题 4_0"/>
    <w:basedOn w:val="134"/>
    <w:next w:val="134"/>
    <w:autoRedefine/>
    <w:qFormat/>
    <w:uiPriority w:val="99"/>
    <w:pPr>
      <w:keepNext/>
      <w:keepLines/>
      <w:spacing w:before="280" w:after="290" w:line="374" w:lineRule="auto"/>
      <w:outlineLvl w:val="3"/>
    </w:pPr>
    <w:rPr>
      <w:rFonts w:ascii="Cambria Bold" w:hAnsi="Cambria Bold" w:eastAsia="ヒラギノ角ゴ Pro W3"/>
      <w:color w:val="000000"/>
      <w:sz w:val="28"/>
    </w:rPr>
  </w:style>
  <w:style w:type="paragraph" w:customStyle="1" w:styleId="555">
    <w:name w:val="ca-36"/>
    <w:basedOn w:val="1"/>
    <w:autoRedefine/>
    <w:qFormat/>
    <w:uiPriority w:val="99"/>
    <w:pPr>
      <w:widowControl/>
      <w:jc w:val="left"/>
    </w:pPr>
    <w:rPr>
      <w:rFonts w:ascii="宋体" w:hAnsi="宋体" w:eastAsia="宋体" w:cs="宋体"/>
      <w:b/>
      <w:bCs/>
      <w:spacing w:val="-20"/>
      <w:kern w:val="0"/>
      <w:szCs w:val="21"/>
    </w:rPr>
  </w:style>
  <w:style w:type="paragraph" w:customStyle="1" w:styleId="556">
    <w:name w:val="pa-123"/>
    <w:basedOn w:val="1"/>
    <w:autoRedefine/>
    <w:qFormat/>
    <w:uiPriority w:val="99"/>
    <w:pPr>
      <w:widowControl/>
      <w:spacing w:line="360" w:lineRule="atLeast"/>
    </w:pPr>
    <w:rPr>
      <w:rFonts w:ascii="宋体" w:hAnsi="宋体" w:eastAsia="宋体" w:cs="宋体"/>
      <w:kern w:val="0"/>
      <w:sz w:val="24"/>
    </w:rPr>
  </w:style>
  <w:style w:type="paragraph" w:customStyle="1" w:styleId="557">
    <w:name w:val="ca-31"/>
    <w:basedOn w:val="1"/>
    <w:autoRedefine/>
    <w:qFormat/>
    <w:uiPriority w:val="99"/>
    <w:pPr>
      <w:widowControl/>
      <w:jc w:val="left"/>
    </w:pPr>
    <w:rPr>
      <w:rFonts w:ascii="??" w:hAnsi="??" w:eastAsia="宋体" w:cs="宋体"/>
      <w:color w:val="000000"/>
      <w:kern w:val="0"/>
      <w:szCs w:val="21"/>
    </w:rPr>
  </w:style>
  <w:style w:type="paragraph" w:customStyle="1" w:styleId="558">
    <w:name w:val="ca-51"/>
    <w:basedOn w:val="1"/>
    <w:autoRedefine/>
    <w:qFormat/>
    <w:uiPriority w:val="99"/>
    <w:pPr>
      <w:widowControl/>
      <w:jc w:val="left"/>
    </w:pPr>
    <w:rPr>
      <w:rFonts w:ascii="Calibri" w:hAnsi="Calibri" w:eastAsia="宋体" w:cs="Times New Roman"/>
      <w:b/>
      <w:bCs/>
      <w:color w:val="000000"/>
      <w:spacing w:val="-20"/>
      <w:kern w:val="0"/>
      <w:sz w:val="32"/>
      <w:szCs w:val="32"/>
    </w:rPr>
  </w:style>
  <w:style w:type="paragraph" w:customStyle="1" w:styleId="559">
    <w:name w:val="pa-114"/>
    <w:basedOn w:val="1"/>
    <w:autoRedefine/>
    <w:qFormat/>
    <w:uiPriority w:val="99"/>
    <w:pPr>
      <w:widowControl/>
      <w:spacing w:line="280" w:lineRule="atLeast"/>
      <w:ind w:firstLine="2220"/>
    </w:pPr>
    <w:rPr>
      <w:rFonts w:ascii="宋体" w:hAnsi="宋体" w:eastAsia="宋体" w:cs="宋体"/>
      <w:kern w:val="0"/>
      <w:sz w:val="24"/>
    </w:rPr>
  </w:style>
  <w:style w:type="paragraph" w:customStyle="1" w:styleId="560">
    <w:name w:val="pa-142"/>
    <w:basedOn w:val="1"/>
    <w:autoRedefine/>
    <w:qFormat/>
    <w:uiPriority w:val="99"/>
    <w:pPr>
      <w:widowControl/>
      <w:spacing w:line="320" w:lineRule="atLeast"/>
      <w:ind w:firstLine="280"/>
      <w:jc w:val="right"/>
    </w:pPr>
    <w:rPr>
      <w:rFonts w:ascii="宋体" w:hAnsi="宋体" w:eastAsia="宋体" w:cs="宋体"/>
      <w:kern w:val="0"/>
      <w:sz w:val="24"/>
    </w:rPr>
  </w:style>
  <w:style w:type="paragraph" w:customStyle="1" w:styleId="561">
    <w:name w:val="xl42"/>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2">
    <w:name w:val="xl72"/>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563">
    <w:name w:val="xl66"/>
    <w:basedOn w:val="1"/>
    <w:autoRedefine/>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4">
    <w:name w:val="xl81"/>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Arial" w:hAnsi="Arial" w:eastAsia="宋体" w:cs="Arial"/>
      <w:color w:val="000000"/>
      <w:kern w:val="0"/>
      <w:sz w:val="18"/>
      <w:szCs w:val="18"/>
    </w:rPr>
  </w:style>
  <w:style w:type="paragraph" w:customStyle="1" w:styleId="565">
    <w:name w:val="xl6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6">
    <w:name w:val="xl63"/>
    <w:basedOn w:val="1"/>
    <w:autoRedefine/>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567">
    <w:name w:val="xl65"/>
    <w:basedOn w:val="1"/>
    <w:autoRedefine/>
    <w:qFormat/>
    <w:uiPriority w:val="99"/>
    <w:pPr>
      <w:widowControl/>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8">
    <w:name w:val="xl7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9">
    <w:name w:val="Normal_34"/>
    <w:autoRedefine/>
    <w:qFormat/>
    <w:uiPriority w:val="99"/>
    <w:pPr>
      <w:spacing w:before="120" w:after="240"/>
      <w:jc w:val="both"/>
    </w:pPr>
    <w:rPr>
      <w:rFonts w:ascii="Calibri" w:hAnsi="Calibri" w:eastAsia="Calibri" w:cs="Times New Roman"/>
      <w:sz w:val="22"/>
      <w:szCs w:val="22"/>
      <w:lang w:val="ru-RU" w:eastAsia="en-US" w:bidi="ar-SA"/>
    </w:rPr>
  </w:style>
  <w:style w:type="paragraph" w:customStyle="1" w:styleId="570">
    <w:name w:val="xl7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71">
    <w:name w:val="xl80"/>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72">
    <w:name w:val="xl69"/>
    <w:basedOn w:val="1"/>
    <w:autoRedefine/>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73">
    <w:name w:val="CM19"/>
    <w:basedOn w:val="163"/>
    <w:next w:val="163"/>
    <w:autoRedefine/>
    <w:qFormat/>
    <w:uiPriority w:val="99"/>
    <w:rPr>
      <w:rFonts w:ascii="仿宋" w:eastAsia="仿宋" w:cs="Times New Roman"/>
      <w:color w:val="auto"/>
    </w:rPr>
  </w:style>
  <w:style w:type="paragraph" w:customStyle="1" w:styleId="574">
    <w:name w:val="CM11"/>
    <w:basedOn w:val="163"/>
    <w:next w:val="163"/>
    <w:autoRedefine/>
    <w:qFormat/>
    <w:uiPriority w:val="99"/>
    <w:pPr>
      <w:spacing w:line="520" w:lineRule="atLeast"/>
    </w:pPr>
    <w:rPr>
      <w:rFonts w:ascii="仿宋" w:eastAsia="仿宋" w:cs="Times New Roman"/>
      <w:color w:val="auto"/>
    </w:rPr>
  </w:style>
  <w:style w:type="paragraph" w:customStyle="1" w:styleId="575">
    <w:name w:val="CM13"/>
    <w:basedOn w:val="163"/>
    <w:next w:val="163"/>
    <w:autoRedefine/>
    <w:qFormat/>
    <w:uiPriority w:val="99"/>
    <w:pPr>
      <w:spacing w:line="520" w:lineRule="atLeast"/>
    </w:pPr>
    <w:rPr>
      <w:rFonts w:ascii="仿宋" w:eastAsia="仿宋" w:cs="Times New Roman"/>
      <w:color w:val="auto"/>
    </w:rPr>
  </w:style>
  <w:style w:type="paragraph" w:customStyle="1" w:styleId="576">
    <w:name w:val="font0"/>
    <w:basedOn w:val="1"/>
    <w:autoRedefine/>
    <w:qFormat/>
    <w:uiPriority w:val="99"/>
    <w:pPr>
      <w:widowControl/>
      <w:spacing w:before="100" w:beforeAutospacing="1" w:after="100" w:afterAutospacing="1"/>
      <w:jc w:val="left"/>
    </w:pPr>
    <w:rPr>
      <w:rFonts w:ascii="宋体" w:hAnsi="宋体" w:eastAsia="宋体" w:cs="宋体"/>
      <w:color w:val="000000"/>
      <w:kern w:val="0"/>
      <w:sz w:val="22"/>
    </w:rPr>
  </w:style>
  <w:style w:type="paragraph" w:customStyle="1" w:styleId="577">
    <w:name w:val="font1"/>
    <w:basedOn w:val="1"/>
    <w:autoRedefine/>
    <w:qFormat/>
    <w:uiPriority w:val="99"/>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78">
    <w:name w:val="font2"/>
    <w:basedOn w:val="1"/>
    <w:autoRedefine/>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79">
    <w:name w:val="font3"/>
    <w:basedOn w:val="1"/>
    <w:autoRedefine/>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80">
    <w:name w:val="font4"/>
    <w:basedOn w:val="1"/>
    <w:autoRedefine/>
    <w:qFormat/>
    <w:uiPriority w:val="99"/>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581">
    <w:name w:val="font6"/>
    <w:basedOn w:val="1"/>
    <w:autoRedefine/>
    <w:qFormat/>
    <w:uiPriority w:val="99"/>
    <w:pPr>
      <w:widowControl/>
      <w:spacing w:before="100" w:beforeAutospacing="1" w:after="100" w:afterAutospacing="1"/>
      <w:jc w:val="left"/>
    </w:pPr>
    <w:rPr>
      <w:rFonts w:ascii="黑体" w:hAnsi="黑体" w:eastAsia="黑体" w:cs="宋体"/>
      <w:b/>
      <w:bCs/>
      <w:color w:val="000000"/>
      <w:kern w:val="0"/>
      <w:sz w:val="36"/>
      <w:szCs w:val="36"/>
    </w:rPr>
  </w:style>
  <w:style w:type="paragraph" w:customStyle="1" w:styleId="582">
    <w:name w:val="et3"/>
    <w:basedOn w:val="1"/>
    <w:autoRedefine/>
    <w:qFormat/>
    <w:uiPriority w:val="99"/>
    <w:pPr>
      <w:widowControl/>
      <w:spacing w:before="100" w:beforeAutospacing="1" w:after="100" w:afterAutospacing="1"/>
      <w:jc w:val="center"/>
    </w:pPr>
    <w:rPr>
      <w:rFonts w:ascii="黑体" w:hAnsi="黑体" w:eastAsia="黑体" w:cs="宋体"/>
      <w:b/>
      <w:bCs/>
      <w:kern w:val="0"/>
      <w:sz w:val="36"/>
      <w:szCs w:val="36"/>
    </w:rPr>
  </w:style>
  <w:style w:type="paragraph" w:customStyle="1" w:styleId="583">
    <w:name w:val="et4"/>
    <w:basedOn w:val="1"/>
    <w:autoRedefine/>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584">
    <w:name w:val="et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85">
    <w:name w:val="et6"/>
    <w:basedOn w:val="1"/>
    <w:autoRedefine/>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6">
    <w:name w:val="et7"/>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7">
    <w:name w:val="et8"/>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b/>
      <w:bCs/>
      <w:color w:val="000000"/>
      <w:kern w:val="0"/>
      <w:sz w:val="18"/>
      <w:szCs w:val="18"/>
    </w:rPr>
  </w:style>
  <w:style w:type="paragraph" w:customStyle="1" w:styleId="588">
    <w:name w:val="et9"/>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589">
    <w:name w:val="et10"/>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color w:val="000000"/>
      <w:kern w:val="0"/>
      <w:sz w:val="18"/>
      <w:szCs w:val="18"/>
    </w:rPr>
  </w:style>
  <w:style w:type="paragraph" w:customStyle="1" w:styleId="590">
    <w:name w:val="et1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591">
    <w:name w:val="et12"/>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592">
    <w:name w:val="et13"/>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3">
    <w:name w:val="et14"/>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4">
    <w:name w:val="et15"/>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5">
    <w:name w:val="et16"/>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596">
    <w:name w:val="et17"/>
    <w:basedOn w:val="1"/>
    <w:autoRedefine/>
    <w:qFormat/>
    <w:uiPriority w:val="99"/>
    <w:pPr>
      <w:widowControl/>
      <w:spacing w:before="100" w:beforeAutospacing="1" w:after="100" w:afterAutospacing="1"/>
      <w:jc w:val="center"/>
    </w:pPr>
    <w:rPr>
      <w:rFonts w:ascii="宋体" w:hAnsi="宋体" w:eastAsia="宋体" w:cs="宋体"/>
      <w:kern w:val="0"/>
      <w:sz w:val="18"/>
      <w:szCs w:val="18"/>
    </w:rPr>
  </w:style>
  <w:style w:type="paragraph" w:customStyle="1" w:styleId="597">
    <w:name w:val="et18"/>
    <w:basedOn w:val="1"/>
    <w:autoRedefine/>
    <w:qFormat/>
    <w:uiPriority w:val="99"/>
    <w:pPr>
      <w:widowControl/>
      <w:spacing w:before="100" w:beforeAutospacing="1" w:after="100" w:afterAutospacing="1"/>
      <w:jc w:val="right"/>
    </w:pPr>
    <w:rPr>
      <w:rFonts w:ascii="宋体" w:hAnsi="宋体" w:eastAsia="宋体" w:cs="宋体"/>
      <w:kern w:val="0"/>
      <w:sz w:val="18"/>
      <w:szCs w:val="18"/>
    </w:rPr>
  </w:style>
  <w:style w:type="paragraph" w:customStyle="1" w:styleId="598">
    <w:name w:val="et19"/>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9">
    <w:name w:val="et20"/>
    <w:basedOn w:val="1"/>
    <w:autoRedefine/>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0">
    <w:name w:val="et2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1">
    <w:name w:val="et22"/>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18"/>
      <w:szCs w:val="18"/>
    </w:rPr>
  </w:style>
  <w:style w:type="paragraph" w:customStyle="1" w:styleId="602">
    <w:name w:val="et23"/>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character" w:customStyle="1" w:styleId="603">
    <w:name w:val="样式3 Char"/>
    <w:link w:val="77"/>
    <w:autoRedefine/>
    <w:qFormat/>
    <w:locked/>
    <w:uiPriority w:val="0"/>
    <w:rPr>
      <w:rFonts w:ascii="宋体" w:hAnsi="宋体" w:eastAsia="宋体"/>
      <w:sz w:val="24"/>
      <w:szCs w:val="24"/>
    </w:rPr>
  </w:style>
  <w:style w:type="character" w:customStyle="1" w:styleId="604">
    <w:name w:val="样式 样式 首行缩进:  2.25 字符 + 首行缩进:  2.25 字符 Char"/>
    <w:link w:val="605"/>
    <w:autoRedefine/>
    <w:qFormat/>
    <w:locked/>
    <w:uiPriority w:val="0"/>
    <w:rPr>
      <w:rFonts w:ascii="宋体" w:hAnsi="宋体" w:eastAsia="宋体"/>
      <w:szCs w:val="21"/>
    </w:rPr>
  </w:style>
  <w:style w:type="paragraph" w:customStyle="1" w:styleId="605">
    <w:name w:val="样式 样式 首行缩进:  2.25 字符 + 首行缩进:  2.25 字符"/>
    <w:basedOn w:val="1"/>
    <w:link w:val="604"/>
    <w:autoRedefine/>
    <w:qFormat/>
    <w:uiPriority w:val="0"/>
    <w:pPr>
      <w:spacing w:line="360" w:lineRule="auto"/>
      <w:ind w:firstLine="420" w:firstLineChars="200"/>
    </w:pPr>
    <w:rPr>
      <w:rFonts w:ascii="宋体" w:hAnsi="宋体" w:eastAsia="宋体"/>
      <w:szCs w:val="21"/>
    </w:rPr>
  </w:style>
  <w:style w:type="character" w:customStyle="1" w:styleId="606">
    <w:name w:val="Char Char25"/>
    <w:link w:val="607"/>
    <w:autoRedefine/>
    <w:qFormat/>
    <w:locked/>
    <w:uiPriority w:val="0"/>
    <w:rPr>
      <w:rFonts w:ascii="Tahoma" w:hAnsi="Tahoma" w:cs="Tahoma"/>
      <w:sz w:val="24"/>
    </w:rPr>
  </w:style>
  <w:style w:type="paragraph" w:customStyle="1" w:styleId="607">
    <w:name w:val="Char3"/>
    <w:basedOn w:val="1"/>
    <w:link w:val="606"/>
    <w:autoRedefine/>
    <w:qFormat/>
    <w:uiPriority w:val="0"/>
    <w:rPr>
      <w:rFonts w:ascii="Tahoma" w:hAnsi="Tahoma" w:cs="Tahoma"/>
      <w:sz w:val="24"/>
    </w:rPr>
  </w:style>
  <w:style w:type="paragraph" w:customStyle="1" w:styleId="608">
    <w:name w:val="CM14"/>
    <w:basedOn w:val="163"/>
    <w:next w:val="163"/>
    <w:autoRedefine/>
    <w:qFormat/>
    <w:uiPriority w:val="99"/>
    <w:pPr>
      <w:spacing w:line="546" w:lineRule="atLeast"/>
    </w:pPr>
    <w:rPr>
      <w:rFonts w:ascii="仿宋" w:eastAsia="仿宋" w:cs="Times New Roman"/>
      <w:color w:val="auto"/>
    </w:rPr>
  </w:style>
  <w:style w:type="paragraph" w:customStyle="1" w:styleId="609">
    <w:name w:val="xl89"/>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10">
    <w:name w:val="表格(五号)"/>
    <w:basedOn w:val="1"/>
    <w:autoRedefine/>
    <w:qFormat/>
    <w:uiPriority w:val="99"/>
    <w:pPr>
      <w:adjustRightInd w:val="0"/>
      <w:snapToGrid w:val="0"/>
      <w:spacing w:before="60" w:after="60"/>
      <w:ind w:left="11"/>
      <w:jc w:val="center"/>
    </w:pPr>
    <w:rPr>
      <w:rFonts w:ascii="Times New Roman" w:hAnsi="Times New Roman" w:eastAsia="宋体" w:cs="Times New Roman"/>
      <w:kern w:val="0"/>
      <w:szCs w:val="20"/>
    </w:rPr>
  </w:style>
  <w:style w:type="paragraph" w:customStyle="1" w:styleId="611">
    <w:name w:val="标题6"/>
    <w:basedOn w:val="1"/>
    <w:next w:val="4"/>
    <w:autoRedefine/>
    <w:qFormat/>
    <w:uiPriority w:val="99"/>
    <w:pPr>
      <w:widowControl/>
      <w:snapToGrid w:val="0"/>
      <w:spacing w:beforeLines="50" w:afterLines="50" w:line="520" w:lineRule="atLeast"/>
      <w:ind w:firstLine="200" w:firstLineChars="200"/>
    </w:pPr>
    <w:rPr>
      <w:rFonts w:ascii="Times New Roman" w:hAnsi="Times New Roman" w:eastAsia="宋体" w:cs="Arial"/>
      <w:b/>
      <w:sz w:val="24"/>
      <w:szCs w:val="24"/>
    </w:rPr>
  </w:style>
  <w:style w:type="paragraph" w:customStyle="1" w:styleId="612">
    <w:name w:val="Char Char Char Char Char Char Char1"/>
    <w:basedOn w:val="1"/>
    <w:autoRedefine/>
    <w:qFormat/>
    <w:uiPriority w:val="99"/>
    <w:rPr>
      <w:rFonts w:ascii="Times New Roman" w:hAnsi="Times New Roman" w:eastAsia="宋体" w:cs="Times New Roman"/>
      <w:szCs w:val="24"/>
    </w:rPr>
  </w:style>
  <w:style w:type="paragraph" w:customStyle="1" w:styleId="613">
    <w:name w:val="Char11"/>
    <w:basedOn w:val="1"/>
    <w:autoRedefine/>
    <w:qFormat/>
    <w:uiPriority w:val="99"/>
    <w:rPr>
      <w:rFonts w:ascii="Times New Roman" w:hAnsi="Times New Roman" w:eastAsia="宋体" w:cs="Times New Roman"/>
      <w:szCs w:val="20"/>
    </w:rPr>
  </w:style>
  <w:style w:type="paragraph" w:customStyle="1" w:styleId="614">
    <w:name w:val="Char1 Char Char Char Char Char Char"/>
    <w:basedOn w:val="1"/>
    <w:autoRedefine/>
    <w:qFormat/>
    <w:uiPriority w:val="99"/>
    <w:rPr>
      <w:rFonts w:ascii="仿宋_GB2312" w:hAnsi="Times New Roman" w:eastAsia="仿宋_GB2312" w:cs="Times New Roman"/>
      <w:b/>
      <w:sz w:val="32"/>
      <w:szCs w:val="32"/>
    </w:rPr>
  </w:style>
  <w:style w:type="paragraph" w:customStyle="1" w:styleId="615">
    <w:name w:val="样式 样式 标题 3 + (符号) 宋体 四号 加粗 黑色 段前: 0 磅 段后: 0 磅 行距: 固定值 22 磅 + 段前:..."/>
    <w:basedOn w:val="1"/>
    <w:autoRedefine/>
    <w:qFormat/>
    <w:uiPriority w:val="99"/>
    <w:pPr>
      <w:keepNext/>
      <w:keepLines/>
      <w:tabs>
        <w:tab w:val="left" w:pos="1275"/>
      </w:tabs>
      <w:spacing w:beforeLines="50" w:afterLines="50" w:line="580" w:lineRule="exact"/>
      <w:jc w:val="left"/>
      <w:outlineLvl w:val="2"/>
    </w:pPr>
    <w:rPr>
      <w:rFonts w:ascii="宋体" w:hAnsi="宋体" w:eastAsia="宋体" w:cs="Times New Roman"/>
      <w:b/>
      <w:bCs/>
      <w:color w:val="000000"/>
      <w:kern w:val="24"/>
      <w:sz w:val="28"/>
      <w:szCs w:val="20"/>
    </w:rPr>
  </w:style>
  <w:style w:type="paragraph" w:customStyle="1" w:styleId="616">
    <w:name w:val="菲页2"/>
    <w:basedOn w:val="6"/>
    <w:autoRedefine/>
    <w:qFormat/>
    <w:uiPriority w:val="99"/>
    <w:pPr>
      <w:widowControl/>
      <w:tabs>
        <w:tab w:val="left" w:pos="1680"/>
      </w:tabs>
      <w:spacing w:before="120" w:after="120" w:line="360" w:lineRule="auto"/>
      <w:ind w:left="1680" w:hanging="420"/>
      <w:jc w:val="center"/>
    </w:pPr>
    <w:rPr>
      <w:rFonts w:ascii="黑体" w:hAnsi="宋体" w:eastAsia="黑体"/>
      <w:b w:val="0"/>
      <w:bCs w:val="0"/>
      <w:sz w:val="44"/>
      <w:szCs w:val="20"/>
    </w:rPr>
  </w:style>
  <w:style w:type="paragraph" w:customStyle="1" w:styleId="617">
    <w:name w:val="xl8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0"/>
      <w:szCs w:val="20"/>
    </w:rPr>
  </w:style>
  <w:style w:type="paragraph" w:customStyle="1" w:styleId="618">
    <w:name w:val="正文文本缩进1"/>
    <w:basedOn w:val="1"/>
    <w:autoRedefine/>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19">
    <w:name w:val="xl85"/>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0">
    <w:name w:val="样式4"/>
    <w:basedOn w:val="6"/>
    <w:autoRedefine/>
    <w:qFormat/>
    <w:uiPriority w:val="99"/>
    <w:pPr>
      <w:spacing w:line="412" w:lineRule="auto"/>
      <w:ind w:left="720" w:hanging="720"/>
    </w:pPr>
    <w:rPr>
      <w:rFonts w:eastAsia="Arial"/>
      <w:kern w:val="2"/>
    </w:rPr>
  </w:style>
  <w:style w:type="paragraph" w:customStyle="1" w:styleId="621">
    <w:name w:val="引用2"/>
    <w:basedOn w:val="1"/>
    <w:next w:val="1"/>
    <w:autoRedefine/>
    <w:qFormat/>
    <w:uiPriority w:val="99"/>
    <w:rPr>
      <w:rFonts w:ascii="Times New Roman" w:hAnsi="Times New Roman" w:eastAsia="Times New Roman" w:cs="Times New Roman"/>
      <w:i/>
      <w:color w:val="000000"/>
      <w:sz w:val="22"/>
      <w:szCs w:val="20"/>
    </w:rPr>
  </w:style>
  <w:style w:type="paragraph" w:customStyle="1" w:styleId="622">
    <w:name w:val="xl83"/>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3">
    <w:name w:val="Char Char1 Char1"/>
    <w:basedOn w:val="1"/>
    <w:autoRedefine/>
    <w:qFormat/>
    <w:uiPriority w:val="99"/>
    <w:rPr>
      <w:rFonts w:ascii="Times New Roman" w:hAnsi="Times New Roman" w:eastAsia="宋体" w:cs="Times New Roman"/>
      <w:szCs w:val="24"/>
    </w:rPr>
  </w:style>
  <w:style w:type="paragraph" w:customStyle="1" w:styleId="624">
    <w:name w:val="菲页(卷)"/>
    <w:basedOn w:val="4"/>
    <w:next w:val="526"/>
    <w:autoRedefine/>
    <w:qFormat/>
    <w:uiPriority w:val="99"/>
    <w:pPr>
      <w:widowControl/>
      <w:tabs>
        <w:tab w:val="left" w:pos="432"/>
        <w:tab w:val="left" w:pos="840"/>
      </w:tabs>
      <w:ind w:left="840" w:hanging="420"/>
      <w:outlineLvl w:val="1"/>
    </w:pPr>
    <w:rPr>
      <w:rFonts w:ascii="黑体" w:eastAsia="黑体"/>
      <w:b w:val="0"/>
      <w:bCs w:val="0"/>
      <w:sz w:val="52"/>
      <w:szCs w:val="20"/>
    </w:rPr>
  </w:style>
  <w:style w:type="paragraph" w:customStyle="1" w:styleId="625">
    <w:name w:val="xl8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6">
    <w:name w:val="部分1"/>
    <w:basedOn w:val="1"/>
    <w:autoRedefine/>
    <w:qFormat/>
    <w:uiPriority w:val="99"/>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627">
    <w:name w:val="Char Char Char Char2"/>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28">
    <w:name w:val="Char Char Char Char1"/>
    <w:basedOn w:val="1"/>
    <w:autoRedefine/>
    <w:qFormat/>
    <w:uiPriority w:val="99"/>
    <w:rPr>
      <w:rFonts w:ascii="Times New Roman" w:hAnsi="Times New Roman" w:eastAsia="宋体" w:cs="Times New Roman"/>
      <w:szCs w:val="24"/>
    </w:rPr>
  </w:style>
  <w:style w:type="paragraph" w:customStyle="1" w:styleId="629">
    <w:name w:val="菲页1"/>
    <w:basedOn w:val="5"/>
    <w:autoRedefine/>
    <w:qFormat/>
    <w:uiPriority w:val="99"/>
    <w:pPr>
      <w:widowControl/>
      <w:spacing w:line="412" w:lineRule="auto"/>
      <w:jc w:val="center"/>
    </w:pPr>
    <w:rPr>
      <w:rFonts w:ascii="黑体" w:hAnsi="宋体" w:eastAsia="黑体"/>
      <w:b w:val="0"/>
      <w:bCs w:val="0"/>
      <w:kern w:val="0"/>
      <w:sz w:val="52"/>
      <w:szCs w:val="20"/>
    </w:rPr>
  </w:style>
  <w:style w:type="paragraph" w:customStyle="1" w:styleId="630">
    <w:name w:val="样式 标题 2 + (中文) 黑体 四号 黑色"/>
    <w:basedOn w:val="5"/>
    <w:autoRedefine/>
    <w:qFormat/>
    <w:uiPriority w:val="99"/>
    <w:pPr>
      <w:spacing w:line="520" w:lineRule="exact"/>
      <w:jc w:val="left"/>
    </w:pPr>
    <w:rPr>
      <w:rFonts w:ascii="Arial" w:hAnsi="Arial" w:eastAsia="黑体"/>
      <w:color w:val="000000"/>
      <w:kern w:val="24"/>
      <w:sz w:val="28"/>
      <w:szCs w:val="20"/>
    </w:rPr>
  </w:style>
  <w:style w:type="paragraph" w:customStyle="1" w:styleId="631">
    <w:name w:val="Char Char Char Char Char Char Char Char Char Char Char Char Char Char Char Char Char Char Char Char Char Char Char Char Char Char Char Char Char Char Char Char Char1"/>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32">
    <w:name w:val="xl87"/>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33">
    <w:name w:val="样式 标题 3 + 段前: 7.8 磅"/>
    <w:basedOn w:val="6"/>
    <w:autoRedefine/>
    <w:qFormat/>
    <w:uiPriority w:val="99"/>
    <w:pPr>
      <w:keepNext w:val="0"/>
      <w:keepLines w:val="0"/>
      <w:tabs>
        <w:tab w:val="left" w:pos="432"/>
      </w:tabs>
      <w:spacing w:before="156" w:after="0" w:line="360" w:lineRule="auto"/>
      <w:ind w:left="432" w:hanging="432"/>
    </w:pPr>
    <w:rPr>
      <w:rFonts w:cs="宋体"/>
      <w:b w:val="0"/>
      <w:bCs w:val="0"/>
      <w:kern w:val="2"/>
      <w:sz w:val="24"/>
      <w:szCs w:val="20"/>
    </w:rPr>
  </w:style>
  <w:style w:type="paragraph" w:customStyle="1" w:styleId="634">
    <w:name w:val="_Style 5"/>
    <w:basedOn w:val="1"/>
    <w:autoRedefine/>
    <w:qFormat/>
    <w:uiPriority w:val="99"/>
    <w:pPr>
      <w:widowControl/>
      <w:spacing w:after="160" w:line="240" w:lineRule="exact"/>
      <w:jc w:val="left"/>
    </w:pPr>
    <w:rPr>
      <w:rFonts w:ascii="Times New Roman" w:hAnsi="Times New Roman" w:eastAsia="宋体" w:cs="Times New Roman"/>
      <w:szCs w:val="24"/>
    </w:rPr>
  </w:style>
  <w:style w:type="paragraph" w:customStyle="1" w:styleId="635">
    <w:name w:val="xl45"/>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Cs/>
      <w:kern w:val="0"/>
      <w:sz w:val="24"/>
      <w:szCs w:val="24"/>
    </w:rPr>
  </w:style>
  <w:style w:type="paragraph" w:customStyle="1" w:styleId="636">
    <w:name w:val="xl9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37">
    <w:name w:val="样式 标题 3h3标题 3(节)H3l3CTsect1.2.3Heading 3 - old一level_3..."/>
    <w:basedOn w:val="6"/>
    <w:autoRedefine/>
    <w:qFormat/>
    <w:uiPriority w:val="99"/>
    <w:pPr>
      <w:tabs>
        <w:tab w:val="left" w:pos="720"/>
      </w:tabs>
      <w:adjustRightInd w:val="0"/>
      <w:spacing w:line="360" w:lineRule="auto"/>
      <w:ind w:left="720" w:hanging="720"/>
      <w:jc w:val="left"/>
    </w:pPr>
    <w:rPr>
      <w:rFonts w:ascii="宋体" w:hAnsi="Arial"/>
      <w:kern w:val="24"/>
      <w:sz w:val="24"/>
      <w:szCs w:val="20"/>
    </w:rPr>
  </w:style>
  <w:style w:type="paragraph" w:customStyle="1" w:styleId="638">
    <w:name w:val="xl86"/>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39">
    <w:name w:val="正文文本缩进2"/>
    <w:basedOn w:val="1"/>
    <w:autoRedefine/>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40">
    <w:name w:val="明显引用21"/>
    <w:basedOn w:val="1"/>
    <w:next w:val="1"/>
    <w:autoRedefine/>
    <w:qFormat/>
    <w:uiPriority w:val="99"/>
    <w:pPr>
      <w:pBdr>
        <w:bottom w:val="single" w:color="4F81BD" w:sz="4" w:space="4"/>
      </w:pBdr>
      <w:spacing w:before="200" w:after="280"/>
      <w:ind w:left="936" w:right="936"/>
    </w:pPr>
    <w:rPr>
      <w:rFonts w:ascii="Times New Roman" w:hAnsi="Times New Roman" w:eastAsia="Times New Roman" w:cs="Times New Roman"/>
      <w:b/>
      <w:i/>
      <w:color w:val="4F81BD"/>
      <w:sz w:val="22"/>
      <w:szCs w:val="20"/>
    </w:rPr>
  </w:style>
  <w:style w:type="paragraph" w:customStyle="1" w:styleId="641">
    <w:name w:val="样式 样式 标题 4 + 非加粗 + (中文) 黑体 段前: 0 磅 段后: 0 磅 行距: 固定值 22 磅"/>
    <w:basedOn w:val="1"/>
    <w:autoRedefine/>
    <w:qFormat/>
    <w:uiPriority w:val="99"/>
    <w:pPr>
      <w:keepNext/>
      <w:keepLines/>
      <w:spacing w:beforeLines="50" w:afterLines="50" w:line="500" w:lineRule="exact"/>
      <w:outlineLvl w:val="3"/>
    </w:pPr>
    <w:rPr>
      <w:rFonts w:ascii="Arial" w:hAnsi="Arial" w:eastAsia="宋体" w:cs="宋体"/>
      <w:b/>
      <w:bCs/>
      <w:sz w:val="24"/>
      <w:szCs w:val="24"/>
    </w:rPr>
  </w:style>
  <w:style w:type="paragraph" w:customStyle="1" w:styleId="642">
    <w:name w:val="xl88"/>
    <w:basedOn w:val="1"/>
    <w:autoRedefine/>
    <w:qFormat/>
    <w:uiPriority w:val="99"/>
    <w:pPr>
      <w:widowControl/>
      <w:pBdr>
        <w:bottom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643">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44">
    <w:name w:val="Char Char Char Char Char Char Char"/>
    <w:basedOn w:val="1"/>
    <w:autoRedefine/>
    <w:qFormat/>
    <w:uiPriority w:val="99"/>
    <w:rPr>
      <w:rFonts w:ascii="Times New Roman" w:hAnsi="Times New Roman" w:eastAsia="宋体" w:cs="Times New Roman"/>
      <w:szCs w:val="24"/>
    </w:rPr>
  </w:style>
  <w:style w:type="paragraph" w:customStyle="1" w:styleId="645">
    <w:name w:val="Char Char Char Char Char Char Char Char Char Char Char Char Char Char Char Char Char Char Char Char Char Char Char Char Char Char Char Char Char Char Char Char Char2"/>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46">
    <w:name w:val="目录 71"/>
    <w:next w:val="1"/>
    <w:autoRedefine/>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647">
    <w:name w:val="Char4"/>
    <w:basedOn w:val="16"/>
    <w:autoRedefine/>
    <w:qFormat/>
    <w:uiPriority w:val="99"/>
    <w:pPr>
      <w:widowControl/>
      <w:spacing w:line="360" w:lineRule="auto"/>
      <w:ind w:firstLine="480" w:firstLineChars="200"/>
      <w:jc w:val="left"/>
    </w:pPr>
    <w:rPr>
      <w:rFonts w:ascii="Calibri" w:hAnsi="Calibri" w:eastAsia="微软雅黑"/>
      <w:szCs w:val="24"/>
    </w:rPr>
  </w:style>
  <w:style w:type="paragraph" w:customStyle="1" w:styleId="648">
    <w:name w:val="Char1 Char Char Char"/>
    <w:basedOn w:val="1"/>
    <w:autoRedefine/>
    <w:qFormat/>
    <w:uiPriority w:val="99"/>
    <w:rPr>
      <w:rFonts w:ascii="Times New Roman" w:hAnsi="Times New Roman" w:eastAsia="宋体" w:cs="Times New Roman"/>
      <w:szCs w:val="20"/>
    </w:rPr>
  </w:style>
  <w:style w:type="paragraph" w:customStyle="1" w:styleId="649">
    <w:name w:val="样式 标题 3 + Calibri 加粗 左侧:  0 厘米"/>
    <w:basedOn w:val="6"/>
    <w:autoRedefine/>
    <w:qFormat/>
    <w:uiPriority w:val="99"/>
    <w:pPr>
      <w:keepNext w:val="0"/>
      <w:keepLines w:val="0"/>
      <w:spacing w:before="0" w:after="0" w:line="360" w:lineRule="auto"/>
      <w:ind w:firstLine="200" w:firstLineChars="200"/>
      <w:jc w:val="center"/>
    </w:pPr>
    <w:rPr>
      <w:rFonts w:ascii="Calibri" w:hAnsi="Calibri" w:eastAsia="华文中宋" w:cs="宋体"/>
      <w:kern w:val="2"/>
      <w:sz w:val="28"/>
      <w:szCs w:val="20"/>
    </w:rPr>
  </w:style>
  <w:style w:type="paragraph" w:customStyle="1" w:styleId="650">
    <w:name w:val="Char Char4 Char Char Char Char"/>
    <w:basedOn w:val="1"/>
    <w:autoRedefine/>
    <w:qFormat/>
    <w:uiPriority w:val="99"/>
    <w:rPr>
      <w:rFonts w:ascii="Times New Roman" w:hAnsi="Times New Roman" w:eastAsia="仿宋_GB2312" w:cs="Times New Roman"/>
      <w:sz w:val="28"/>
      <w:szCs w:val="24"/>
    </w:rPr>
  </w:style>
  <w:style w:type="paragraph" w:customStyle="1" w:styleId="651">
    <w:name w:val="Char Char Char Char Char Char Char Char Char Char Char Char Char Char Char Char Char Char Char Char Char Char Char Char Char"/>
    <w:basedOn w:val="1"/>
    <w:autoRedefine/>
    <w:qFormat/>
    <w:uiPriority w:val="99"/>
    <w:rPr>
      <w:rFonts w:ascii="Tahoma" w:hAnsi="Tahoma" w:eastAsia="宋体" w:cs="Times New Roman"/>
      <w:sz w:val="24"/>
      <w:szCs w:val="20"/>
    </w:rPr>
  </w:style>
  <w:style w:type="paragraph" w:customStyle="1" w:styleId="652">
    <w:name w:val="样式 纯文本普通文字 Char纯文本 Char Char普通文字纯文本 Char Char Char Char Char..."/>
    <w:basedOn w:val="4"/>
    <w:next w:val="4"/>
    <w:autoRedefine/>
    <w:qFormat/>
    <w:uiPriority w:val="99"/>
    <w:pPr>
      <w:keepLines/>
      <w:spacing w:line="360" w:lineRule="auto"/>
      <w:jc w:val="both"/>
    </w:pPr>
    <w:rPr>
      <w:rFonts w:ascii="宋体" w:hAnsi="Calibri" w:eastAsia="微软雅黑"/>
      <w:color w:val="000000"/>
      <w:kern w:val="44"/>
      <w:sz w:val="36"/>
      <w:szCs w:val="44"/>
    </w:rPr>
  </w:style>
  <w:style w:type="paragraph" w:customStyle="1" w:styleId="653">
    <w:name w:val="正文宋体"/>
    <w:basedOn w:val="1"/>
    <w:autoRedefine/>
    <w:qFormat/>
    <w:uiPriority w:val="99"/>
    <w:pPr>
      <w:spacing w:line="360" w:lineRule="auto"/>
    </w:pPr>
    <w:rPr>
      <w:rFonts w:ascii="宋体" w:hAnsi="宋体" w:eastAsia="宋体" w:cs="Times New Roman"/>
      <w:sz w:val="24"/>
      <w:szCs w:val="24"/>
    </w:rPr>
  </w:style>
  <w:style w:type="paragraph" w:customStyle="1" w:styleId="654">
    <w:name w:val="样式 标题 3 + 小三"/>
    <w:basedOn w:val="6"/>
    <w:autoRedefine/>
    <w:qFormat/>
    <w:uiPriority w:val="99"/>
    <w:pPr>
      <w:tabs>
        <w:tab w:val="left" w:pos="420"/>
      </w:tabs>
      <w:adjustRightInd w:val="0"/>
      <w:snapToGrid w:val="0"/>
      <w:spacing w:before="0" w:beforeLines="200" w:after="0" w:line="408" w:lineRule="auto"/>
      <w:ind w:firstLine="604" w:firstLineChars="100"/>
      <w:jc w:val="center"/>
    </w:pPr>
    <w:rPr>
      <w:rFonts w:ascii="宋体" w:eastAsia="华文中宋"/>
      <w:bCs w:val="0"/>
      <w:kern w:val="2"/>
      <w:sz w:val="30"/>
      <w:szCs w:val="20"/>
    </w:rPr>
  </w:style>
  <w:style w:type="paragraph" w:customStyle="1" w:styleId="655">
    <w:name w:val="Char1 Char Char Char1"/>
    <w:basedOn w:val="1"/>
    <w:autoRedefine/>
    <w:qFormat/>
    <w:uiPriority w:val="99"/>
    <w:rPr>
      <w:rFonts w:ascii="Times New Roman" w:hAnsi="Times New Roman" w:eastAsia="宋体" w:cs="Times New Roman"/>
      <w:szCs w:val="20"/>
    </w:rPr>
  </w:style>
  <w:style w:type="paragraph" w:customStyle="1" w:styleId="656">
    <w:name w:val="Char41"/>
    <w:basedOn w:val="16"/>
    <w:autoRedefine/>
    <w:qFormat/>
    <w:uiPriority w:val="99"/>
    <w:pPr>
      <w:widowControl/>
      <w:spacing w:line="360" w:lineRule="auto"/>
      <w:ind w:firstLine="480" w:firstLineChars="200"/>
      <w:jc w:val="left"/>
    </w:pPr>
    <w:rPr>
      <w:rFonts w:ascii="Calibri" w:hAnsi="Calibri" w:eastAsia="微软雅黑"/>
      <w:szCs w:val="24"/>
    </w:rPr>
  </w:style>
  <w:style w:type="character" w:customStyle="1" w:styleId="657">
    <w:name w:val="样式 标题 2 + 小四 Char Char"/>
    <w:link w:val="658"/>
    <w:autoRedefine/>
    <w:qFormat/>
    <w:locked/>
    <w:uiPriority w:val="0"/>
    <w:rPr>
      <w:rFonts w:ascii="宋体" w:hAnsi="宋体" w:eastAsia="微软雅黑"/>
      <w:b/>
      <w:sz w:val="36"/>
    </w:rPr>
  </w:style>
  <w:style w:type="paragraph" w:customStyle="1" w:styleId="658">
    <w:name w:val="样式 标题 2 + 小四"/>
    <w:basedOn w:val="5"/>
    <w:link w:val="657"/>
    <w:autoRedefine/>
    <w:qFormat/>
    <w:uiPriority w:val="0"/>
    <w:pPr>
      <w:tabs>
        <w:tab w:val="left" w:pos="420"/>
      </w:tabs>
      <w:spacing w:line="408" w:lineRule="auto"/>
      <w:jc w:val="center"/>
    </w:pPr>
    <w:rPr>
      <w:rFonts w:ascii="宋体" w:hAnsi="宋体" w:eastAsia="微软雅黑" w:cstheme="minorBidi"/>
      <w:bCs w:val="0"/>
      <w:sz w:val="36"/>
      <w:szCs w:val="22"/>
    </w:rPr>
  </w:style>
  <w:style w:type="paragraph" w:customStyle="1" w:styleId="659">
    <w:name w:val="样式 纯文本普通文字 Char纯文本 Char Char普通文字纯文本 Char Char Char Char Char...2"/>
    <w:basedOn w:val="6"/>
    <w:next w:val="6"/>
    <w:autoRedefine/>
    <w:qFormat/>
    <w:uiPriority w:val="99"/>
    <w:pPr>
      <w:keepNext w:val="0"/>
      <w:keepLines w:val="0"/>
      <w:tabs>
        <w:tab w:val="left" w:pos="360"/>
      </w:tabs>
      <w:spacing w:before="0" w:after="0" w:line="240" w:lineRule="auto"/>
      <w:ind w:left="2223" w:firstLine="225" w:firstLineChars="225"/>
      <w:jc w:val="center"/>
    </w:pPr>
    <w:rPr>
      <w:rFonts w:eastAsia="华文中宋" w:cs="宋体"/>
      <w:b w:val="0"/>
      <w:color w:val="000000"/>
      <w:kern w:val="2"/>
      <w:sz w:val="28"/>
      <w:szCs w:val="20"/>
    </w:rPr>
  </w:style>
  <w:style w:type="paragraph" w:customStyle="1" w:styleId="660">
    <w:name w:val="No Spacing1"/>
    <w:autoRedefine/>
    <w:qFormat/>
    <w:uiPriority w:val="99"/>
    <w:rPr>
      <w:rFonts w:ascii="Calibri" w:hAnsi="Calibri" w:eastAsia="宋体" w:cs="Times New Roman"/>
      <w:sz w:val="22"/>
      <w:szCs w:val="22"/>
      <w:lang w:val="en-US" w:eastAsia="en-US" w:bidi="ar-SA"/>
    </w:rPr>
  </w:style>
  <w:style w:type="paragraph" w:customStyle="1" w:styleId="661">
    <w:name w:val="四级目录 Char Char Char Char Char"/>
    <w:next w:val="1"/>
    <w:autoRedefine/>
    <w:qFormat/>
    <w:uiPriority w:val="99"/>
    <w:pPr>
      <w:spacing w:line="360" w:lineRule="auto"/>
      <w:ind w:left="200" w:leftChars="200"/>
    </w:pPr>
    <w:rPr>
      <w:rFonts w:ascii="Times New Roman" w:hAnsi="Times New Roman" w:eastAsia="宋体" w:cs="Times New Roman"/>
      <w:lang w:val="en-US" w:eastAsia="zh-CN" w:bidi="ar-SA"/>
    </w:rPr>
  </w:style>
  <w:style w:type="paragraph" w:customStyle="1" w:styleId="662">
    <w:name w:val="普通(网站)1"/>
    <w:basedOn w:val="1"/>
    <w:autoRedefine/>
    <w:qFormat/>
    <w:uiPriority w:val="99"/>
    <w:pPr>
      <w:widowControl/>
      <w:jc w:val="left"/>
    </w:pPr>
    <w:rPr>
      <w:rFonts w:ascii="ˎ̥" w:hAnsi="ˎ̥" w:eastAsia="宋体" w:cs="宋体"/>
      <w:color w:val="000000"/>
      <w:kern w:val="0"/>
      <w:sz w:val="13"/>
      <w:szCs w:val="13"/>
    </w:rPr>
  </w:style>
  <w:style w:type="character" w:customStyle="1" w:styleId="663">
    <w:name w:val="无间隔 字符"/>
    <w:link w:val="664"/>
    <w:autoRedefine/>
    <w:qFormat/>
    <w:locked/>
    <w:uiPriority w:val="0"/>
    <w:rPr>
      <w:rFonts w:ascii="Calibri" w:hAnsi="Calibri" w:eastAsia="微软雅黑" w:cs="Calibri"/>
    </w:rPr>
  </w:style>
  <w:style w:type="paragraph" w:customStyle="1" w:styleId="664">
    <w:name w:val="无间隔11"/>
    <w:link w:val="663"/>
    <w:autoRedefine/>
    <w:qFormat/>
    <w:uiPriority w:val="0"/>
    <w:pPr>
      <w:widowControl w:val="0"/>
      <w:jc w:val="both"/>
    </w:pPr>
    <w:rPr>
      <w:rFonts w:ascii="Calibri" w:hAnsi="Calibri" w:eastAsia="微软雅黑" w:cs="Calibri"/>
      <w:kern w:val="2"/>
      <w:sz w:val="21"/>
      <w:szCs w:val="22"/>
      <w:lang w:val="en-US" w:eastAsia="zh-CN" w:bidi="ar-SA"/>
    </w:rPr>
  </w:style>
  <w:style w:type="paragraph" w:customStyle="1" w:styleId="665">
    <w:name w:val="Char2"/>
    <w:basedOn w:val="1"/>
    <w:autoRedefine/>
    <w:qFormat/>
    <w:uiPriority w:val="99"/>
    <w:rPr>
      <w:rFonts w:ascii="仿宋_GB2312" w:hAnsi="Times New Roman" w:eastAsia="仿宋_GB2312" w:cs="Times New Roman"/>
      <w:b/>
      <w:sz w:val="32"/>
      <w:szCs w:val="32"/>
    </w:rPr>
  </w:style>
  <w:style w:type="paragraph" w:customStyle="1" w:styleId="666">
    <w:name w:val="Char Char Char Char Char Char Char Char Char Char Char"/>
    <w:basedOn w:val="1"/>
    <w:autoRedefine/>
    <w:qFormat/>
    <w:uiPriority w:val="99"/>
    <w:rPr>
      <w:rFonts w:ascii="Tahoma" w:hAnsi="Tahoma" w:eastAsia="宋体" w:cs="Times New Roman"/>
      <w:sz w:val="24"/>
      <w:szCs w:val="20"/>
    </w:rPr>
  </w:style>
  <w:style w:type="paragraph" w:customStyle="1" w:styleId="667">
    <w:name w:val="样式 样式1 + 首行缩进:  2 字符"/>
    <w:basedOn w:val="1"/>
    <w:autoRedefine/>
    <w:qFormat/>
    <w:uiPriority w:val="99"/>
    <w:pPr>
      <w:spacing w:line="360" w:lineRule="exact"/>
      <w:ind w:firstLine="420" w:firstLineChars="200"/>
    </w:pPr>
    <w:rPr>
      <w:rFonts w:ascii="Arial" w:hAnsi="Arial" w:eastAsia="宋体" w:cs="Times New Roman"/>
      <w:szCs w:val="20"/>
    </w:rPr>
  </w:style>
  <w:style w:type="paragraph" w:customStyle="1" w:styleId="668">
    <w:name w:val="Char31"/>
    <w:basedOn w:val="1"/>
    <w:autoRedefine/>
    <w:qFormat/>
    <w:uiPriority w:val="99"/>
    <w:rPr>
      <w:rFonts w:ascii="Times New Roman" w:hAnsi="Times New Roman" w:eastAsia="宋体" w:cs="Times New Roman"/>
      <w:szCs w:val="20"/>
    </w:rPr>
  </w:style>
  <w:style w:type="paragraph" w:customStyle="1" w:styleId="669">
    <w:name w:val="样式 纯文本普通文字 Char纯文本 Char Char普通文字纯文本 Char Char Char Char Char...1"/>
    <w:basedOn w:val="5"/>
    <w:next w:val="5"/>
    <w:autoRedefine/>
    <w:qFormat/>
    <w:uiPriority w:val="99"/>
    <w:pPr>
      <w:spacing w:before="0" w:after="0" w:line="360" w:lineRule="auto"/>
    </w:pPr>
    <w:rPr>
      <w:rFonts w:ascii="Arial" w:hAnsi="Arial" w:eastAsia="黑体"/>
      <w:color w:val="000000"/>
      <w:sz w:val="30"/>
    </w:rPr>
  </w:style>
  <w:style w:type="character" w:customStyle="1" w:styleId="670">
    <w:name w:val="彩色列表 - 强调文字颜色 1 Char"/>
    <w:link w:val="671"/>
    <w:autoRedefine/>
    <w:qFormat/>
    <w:locked/>
    <w:uiPriority w:val="0"/>
    <w:rPr>
      <w:rFonts w:ascii="Calibri" w:hAnsi="Calibri" w:eastAsia="微软雅黑" w:cs="Calibri"/>
      <w:szCs w:val="24"/>
    </w:rPr>
  </w:style>
  <w:style w:type="paragraph" w:customStyle="1" w:styleId="671">
    <w:name w:val="彩色列表 - 强调文字颜色 11"/>
    <w:basedOn w:val="1"/>
    <w:link w:val="670"/>
    <w:autoRedefine/>
    <w:qFormat/>
    <w:uiPriority w:val="0"/>
    <w:pPr>
      <w:ind w:firstLine="420" w:firstLineChars="200"/>
    </w:pPr>
    <w:rPr>
      <w:rFonts w:ascii="Calibri" w:hAnsi="Calibri" w:eastAsia="微软雅黑" w:cs="Calibri"/>
      <w:szCs w:val="24"/>
    </w:rPr>
  </w:style>
  <w:style w:type="paragraph" w:customStyle="1" w:styleId="672">
    <w:name w:val="样式 正文文本 + 首行缩进:  2 字符1"/>
    <w:basedOn w:val="23"/>
    <w:autoRedefine/>
    <w:qFormat/>
    <w:uiPriority w:val="99"/>
    <w:pPr>
      <w:adjustRightInd w:val="0"/>
      <w:snapToGrid w:val="0"/>
      <w:spacing w:after="0" w:line="400" w:lineRule="exact"/>
      <w:ind w:firstLine="200" w:firstLineChars="200"/>
    </w:pPr>
    <w:rPr>
      <w:rFonts w:ascii="Arial" w:hAnsi="Arial" w:eastAsia="微软雅黑" w:cs="宋体"/>
      <w:kern w:val="2"/>
      <w:sz w:val="21"/>
      <w:szCs w:val="20"/>
    </w:rPr>
  </w:style>
  <w:style w:type="paragraph" w:customStyle="1" w:styleId="673">
    <w:name w:val="FA正文"/>
    <w:basedOn w:val="1"/>
    <w:autoRedefine/>
    <w:qFormat/>
    <w:uiPriority w:val="99"/>
    <w:pPr>
      <w:spacing w:line="360" w:lineRule="auto"/>
      <w:ind w:right="210" w:rightChars="100" w:firstLine="360"/>
    </w:pPr>
    <w:rPr>
      <w:rFonts w:ascii="Verdana" w:hAnsi="Verdana" w:eastAsia="仿宋_GB2312" w:cs="Times New Roman"/>
      <w:sz w:val="22"/>
      <w:lang w:val="sv-SE"/>
    </w:rPr>
  </w:style>
  <w:style w:type="paragraph" w:customStyle="1" w:styleId="674">
    <w:name w:val="CM2"/>
    <w:basedOn w:val="1"/>
    <w:next w:val="1"/>
    <w:autoRedefine/>
    <w:qFormat/>
    <w:uiPriority w:val="99"/>
    <w:pPr>
      <w:autoSpaceDE w:val="0"/>
      <w:autoSpaceDN w:val="0"/>
      <w:adjustRightInd w:val="0"/>
      <w:spacing w:line="500" w:lineRule="atLeast"/>
      <w:jc w:val="left"/>
    </w:pPr>
    <w:rPr>
      <w:rFonts w:ascii="宋体" w:hAnsi="Times New Roman" w:eastAsia="宋体" w:cs="Times New Roman"/>
      <w:kern w:val="0"/>
      <w:sz w:val="24"/>
      <w:szCs w:val="24"/>
    </w:rPr>
  </w:style>
  <w:style w:type="paragraph" w:customStyle="1" w:styleId="675">
    <w:name w:val="多级符号2"/>
    <w:basedOn w:val="1"/>
    <w:autoRedefine/>
    <w:qFormat/>
    <w:uiPriority w:val="99"/>
    <w:pPr>
      <w:tabs>
        <w:tab w:val="left" w:pos="454"/>
      </w:tabs>
      <w:spacing w:line="360" w:lineRule="auto"/>
      <w:ind w:firstLine="420"/>
      <w:jc w:val="left"/>
    </w:pPr>
    <w:rPr>
      <w:rFonts w:ascii="Times New Roman" w:hAnsi="Times New Roman" w:eastAsia="仿宋_GB2312" w:cs="Times New Roman"/>
      <w:sz w:val="24"/>
      <w:szCs w:val="24"/>
    </w:rPr>
  </w:style>
  <w:style w:type="paragraph" w:customStyle="1" w:styleId="676">
    <w:name w:val="正文文字缩进 2"/>
    <w:basedOn w:val="1"/>
    <w:autoRedefine/>
    <w:qFormat/>
    <w:uiPriority w:val="99"/>
    <w:pPr>
      <w:widowControl/>
      <w:spacing w:line="351" w:lineRule="atLeast"/>
      <w:ind w:firstLine="481"/>
    </w:pPr>
    <w:rPr>
      <w:rFonts w:ascii="仿宋_GB2312" w:hAnsi="Times New Roman" w:eastAsia="仿宋_GB2312" w:cs="Times New Roman"/>
      <w:color w:val="000000"/>
      <w:kern w:val="0"/>
      <w:sz w:val="24"/>
      <w:szCs w:val="20"/>
      <w:u w:color="000000"/>
    </w:rPr>
  </w:style>
  <w:style w:type="paragraph" w:customStyle="1" w:styleId="677">
    <w:name w:val="样式 纯文本普通文字 Char纯文本 Char Char普通文字纯文本 Char Char Char Char Char...5"/>
    <w:basedOn w:val="6"/>
    <w:autoRedefine/>
    <w:qFormat/>
    <w:uiPriority w:val="99"/>
    <w:pPr>
      <w:keepNext w:val="0"/>
      <w:keepLines w:val="0"/>
      <w:tabs>
        <w:tab w:val="left" w:pos="360"/>
      </w:tabs>
      <w:spacing w:before="0" w:after="0" w:line="480" w:lineRule="auto"/>
      <w:ind w:left="360" w:firstLine="540" w:firstLineChars="225"/>
      <w:jc w:val="left"/>
    </w:pPr>
    <w:rPr>
      <w:rFonts w:eastAsia="华文中宋" w:cs="宋体"/>
      <w:b w:val="0"/>
      <w:color w:val="000000"/>
      <w:kern w:val="2"/>
      <w:sz w:val="28"/>
      <w:szCs w:val="20"/>
    </w:rPr>
  </w:style>
  <w:style w:type="paragraph" w:customStyle="1" w:styleId="678">
    <w:name w:val="样式 纯文本普通文字 Char纯文本 Char Char普通文字纯文本 Char Char Char Char Char...4"/>
    <w:basedOn w:val="6"/>
    <w:autoRedefine/>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79">
    <w:name w:val="g11"/>
    <w:basedOn w:val="1"/>
    <w:autoRedefine/>
    <w:qFormat/>
    <w:uiPriority w:val="99"/>
    <w:pPr>
      <w:widowControl/>
      <w:spacing w:before="100" w:beforeAutospacing="1" w:after="100" w:afterAutospacing="1" w:line="900" w:lineRule="atLeast"/>
      <w:jc w:val="left"/>
    </w:pPr>
    <w:rPr>
      <w:rFonts w:ascii="华文中宋" w:hAnsi="华文中宋" w:eastAsia="华文中宋" w:cs="Times New Roman"/>
      <w:b/>
      <w:bCs/>
      <w:color w:val="FF0000"/>
      <w:kern w:val="0"/>
      <w:sz w:val="60"/>
      <w:szCs w:val="60"/>
    </w:rPr>
  </w:style>
  <w:style w:type="paragraph" w:customStyle="1" w:styleId="680">
    <w:name w:val="blockquote"/>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customStyle="1" w:styleId="681">
    <w:name w:val="正文文字缩进 3"/>
    <w:basedOn w:val="1"/>
    <w:autoRedefine/>
    <w:qFormat/>
    <w:uiPriority w:val="99"/>
    <w:pPr>
      <w:widowControl/>
      <w:spacing w:before="119" w:line="272" w:lineRule="atLeast"/>
      <w:ind w:left="719" w:firstLine="481"/>
      <w:jc w:val="left"/>
    </w:pPr>
    <w:rPr>
      <w:rFonts w:ascii="宋体" w:hAnsi="Times New Roman" w:eastAsia="宋体" w:cs="Times New Roman"/>
      <w:color w:val="000000"/>
      <w:kern w:val="0"/>
      <w:sz w:val="24"/>
      <w:szCs w:val="20"/>
      <w:u w:color="000000"/>
    </w:rPr>
  </w:style>
  <w:style w:type="paragraph" w:customStyle="1" w:styleId="682">
    <w:name w:val="title1"/>
    <w:basedOn w:val="1"/>
    <w:autoRedefine/>
    <w:qFormat/>
    <w:uiPriority w:val="99"/>
    <w:pPr>
      <w:widowControl/>
      <w:spacing w:before="150" w:line="480" w:lineRule="atLeast"/>
      <w:jc w:val="left"/>
    </w:pPr>
    <w:rPr>
      <w:rFonts w:ascii="宋体" w:hAnsi="宋体" w:eastAsia="宋体" w:cs="宋体"/>
      <w:b/>
      <w:bCs/>
      <w:kern w:val="0"/>
      <w:sz w:val="24"/>
      <w:szCs w:val="24"/>
    </w:rPr>
  </w:style>
  <w:style w:type="paragraph" w:customStyle="1" w:styleId="683">
    <w:name w:val="_Style 137"/>
    <w:basedOn w:val="4"/>
    <w:next w:val="1"/>
    <w:autoRedefine/>
    <w:qFormat/>
    <w:uiPriority w:val="99"/>
    <w:pPr>
      <w:keepLines/>
      <w:spacing w:before="340" w:after="330" w:line="576" w:lineRule="auto"/>
      <w:jc w:val="both"/>
      <w:outlineLvl w:val="9"/>
    </w:pPr>
    <w:rPr>
      <w:rFonts w:ascii="宋体" w:hAnsi="Calibri" w:eastAsia="微软雅黑"/>
      <w:kern w:val="44"/>
      <w:sz w:val="44"/>
      <w:szCs w:val="44"/>
    </w:rPr>
  </w:style>
  <w:style w:type="paragraph" w:customStyle="1" w:styleId="684">
    <w:name w:val="Char Char3 Char"/>
    <w:basedOn w:val="1"/>
    <w:autoRedefine/>
    <w:qFormat/>
    <w:uiPriority w:val="99"/>
    <w:rPr>
      <w:rFonts w:ascii="仿宋_GB2312" w:hAnsi="Times New Roman" w:eastAsia="仿宋_GB2312" w:cs="Times New Roman"/>
      <w:b/>
      <w:sz w:val="32"/>
      <w:szCs w:val="32"/>
    </w:rPr>
  </w:style>
  <w:style w:type="paragraph" w:customStyle="1" w:styleId="685">
    <w:name w:val="p18"/>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86">
    <w:name w:val="Char Char Char Char1 Char Char Char Char Char Char"/>
    <w:basedOn w:val="1"/>
    <w:autoRedefine/>
    <w:qFormat/>
    <w:uiPriority w:val="99"/>
    <w:rPr>
      <w:rFonts w:ascii="Times New Roman" w:hAnsi="Times New Roman" w:eastAsia="宋体" w:cs="Times New Roman"/>
      <w:szCs w:val="24"/>
    </w:rPr>
  </w:style>
  <w:style w:type="paragraph" w:customStyle="1" w:styleId="687">
    <w:name w:val="样式 样式 纯文本普通文字 Char纯文本 Char Char普通文字纯文本 Char Char Char Char Char...."/>
    <w:basedOn w:val="669"/>
    <w:autoRedefine/>
    <w:qFormat/>
    <w:uiPriority w:val="99"/>
    <w:pPr>
      <w:jc w:val="center"/>
    </w:pPr>
    <w:rPr>
      <w:rFonts w:ascii="宋体" w:hAnsi="宋体" w:eastAsia="宋体" w:cs="宋体"/>
      <w:bCs w:val="0"/>
      <w:szCs w:val="20"/>
    </w:rPr>
  </w:style>
  <w:style w:type="paragraph" w:customStyle="1" w:styleId="688">
    <w:name w:val="样式 样式 样式1 + 首行缩进:  2 字符 + 左侧:  0.74 厘米"/>
    <w:basedOn w:val="1"/>
    <w:autoRedefine/>
    <w:qFormat/>
    <w:uiPriority w:val="99"/>
    <w:pPr>
      <w:spacing w:line="360" w:lineRule="exact"/>
      <w:ind w:firstLine="200" w:firstLineChars="200"/>
    </w:pPr>
    <w:rPr>
      <w:rFonts w:ascii="Arial" w:hAnsi="Arial" w:eastAsia="宋体" w:cs="宋体"/>
      <w:szCs w:val="20"/>
    </w:rPr>
  </w:style>
  <w:style w:type="paragraph" w:customStyle="1" w:styleId="689">
    <w:name w:val="彩色列表 - 强调文字颜色 12"/>
    <w:basedOn w:val="1"/>
    <w:autoRedefine/>
    <w:qFormat/>
    <w:uiPriority w:val="34"/>
    <w:pPr>
      <w:ind w:firstLine="420" w:firstLineChars="200"/>
    </w:pPr>
    <w:rPr>
      <w:rFonts w:ascii="Times New Roman" w:hAnsi="Times New Roman" w:eastAsia="宋体" w:cs="Times New Roman"/>
      <w:szCs w:val="24"/>
    </w:rPr>
  </w:style>
  <w:style w:type="paragraph" w:customStyle="1" w:styleId="690">
    <w:name w:val="正文－恩普"/>
    <w:basedOn w:val="16"/>
    <w:autoRedefine/>
    <w:qFormat/>
    <w:uiPriority w:val="99"/>
    <w:pPr>
      <w:widowControl/>
      <w:spacing w:line="360" w:lineRule="auto"/>
      <w:ind w:firstLine="480" w:firstLineChars="200"/>
      <w:jc w:val="left"/>
    </w:pPr>
    <w:rPr>
      <w:rFonts w:ascii="Calibri" w:hAnsi="Calibri" w:eastAsia="微软雅黑"/>
      <w:kern w:val="0"/>
      <w:sz w:val="24"/>
    </w:rPr>
  </w:style>
  <w:style w:type="paragraph" w:customStyle="1" w:styleId="691">
    <w:name w:val="_Style 63"/>
    <w:basedOn w:val="1"/>
    <w:autoRedefine/>
    <w:qFormat/>
    <w:uiPriority w:val="99"/>
    <w:rPr>
      <w:rFonts w:ascii="Tahoma" w:hAnsi="Tahoma" w:eastAsia="宋体" w:cs="Times New Roman"/>
      <w:sz w:val="24"/>
      <w:szCs w:val="20"/>
    </w:rPr>
  </w:style>
  <w:style w:type="paragraph" w:customStyle="1" w:styleId="692">
    <w:name w:val="样式 纯文本普通文字 Char纯文本 Char Char普通文字纯文本 Char Char Char Char Char...3"/>
    <w:basedOn w:val="6"/>
    <w:next w:val="6"/>
    <w:autoRedefine/>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93">
    <w:name w:val="p16"/>
    <w:basedOn w:val="1"/>
    <w:autoRedefine/>
    <w:qFormat/>
    <w:uiPriority w:val="99"/>
    <w:pPr>
      <w:widowControl/>
      <w:spacing w:before="100" w:after="100"/>
      <w:jc w:val="left"/>
    </w:pPr>
    <w:rPr>
      <w:rFonts w:ascii="宋体" w:hAnsi="宋体" w:eastAsia="宋体" w:cs="宋体"/>
      <w:color w:val="000000"/>
      <w:kern w:val="0"/>
      <w:sz w:val="24"/>
      <w:szCs w:val="24"/>
    </w:rPr>
  </w:style>
  <w:style w:type="paragraph" w:customStyle="1" w:styleId="694">
    <w:name w:val="条文1"/>
    <w:basedOn w:val="1"/>
    <w:autoRedefine/>
    <w:qFormat/>
    <w:uiPriority w:val="99"/>
    <w:pPr>
      <w:tabs>
        <w:tab w:val="left" w:pos="720"/>
      </w:tabs>
      <w:spacing w:line="360" w:lineRule="auto"/>
    </w:pPr>
    <w:rPr>
      <w:rFonts w:ascii="MS UI Gothic" w:hAnsi="MS UI Gothic" w:eastAsia="宋体" w:cs="Times New Roman"/>
      <w:kern w:val="44"/>
      <w:sz w:val="24"/>
      <w:szCs w:val="20"/>
    </w:rPr>
  </w:style>
  <w:style w:type="paragraph" w:customStyle="1" w:styleId="695">
    <w:name w:val="样式 标题 3 + Arial"/>
    <w:basedOn w:val="6"/>
    <w:autoRedefine/>
    <w:qFormat/>
    <w:uiPriority w:val="99"/>
    <w:pPr>
      <w:spacing w:before="0" w:beforeLines="100" w:after="0" w:line="360" w:lineRule="auto"/>
      <w:ind w:firstLine="604" w:firstLineChars="100"/>
      <w:jc w:val="center"/>
    </w:pPr>
    <w:rPr>
      <w:rFonts w:ascii="宋体" w:hAnsi="宋体" w:eastAsia="华文中宋"/>
      <w:bCs w:val="0"/>
      <w:kern w:val="2"/>
      <w:sz w:val="28"/>
      <w:szCs w:val="20"/>
    </w:rPr>
  </w:style>
  <w:style w:type="paragraph" w:customStyle="1" w:styleId="696">
    <w:name w:val="纯文本11"/>
    <w:basedOn w:val="1"/>
    <w:autoRedefine/>
    <w:qFormat/>
    <w:uiPriority w:val="99"/>
    <w:pPr>
      <w:adjustRightInd w:val="0"/>
    </w:pPr>
    <w:rPr>
      <w:rFonts w:ascii="宋体" w:hAnsi="Courier New" w:eastAsia="宋体" w:cs="Times New Roman"/>
      <w:szCs w:val="20"/>
    </w:rPr>
  </w:style>
  <w:style w:type="paragraph" w:customStyle="1" w:styleId="697">
    <w:name w:val="[Normal]"/>
    <w:autoRedefine/>
    <w:qFormat/>
    <w:uiPriority w:val="99"/>
    <w:pPr>
      <w:spacing w:line="400" w:lineRule="exact"/>
      <w:ind w:firstLine="200" w:firstLineChars="200"/>
    </w:pPr>
    <w:rPr>
      <w:rFonts w:ascii="Times New Roman" w:hAnsi="Times New Roman" w:eastAsia="宋体" w:cs="Times New Roman"/>
      <w:sz w:val="21"/>
      <w:szCs w:val="22"/>
      <w:lang w:val="zh-CN" w:eastAsia="zh-CN" w:bidi="ar-SA"/>
    </w:rPr>
  </w:style>
  <w:style w:type="paragraph" w:customStyle="1" w:styleId="698">
    <w:name w:val="样式 纯文本普通文字 Char纯文本 Char Char普通文字纯文本 Char Char Char Char Char...7"/>
    <w:basedOn w:val="6"/>
    <w:next w:val="6"/>
    <w:autoRedefine/>
    <w:qFormat/>
    <w:uiPriority w:val="99"/>
    <w:pPr>
      <w:keepNext w:val="0"/>
      <w:keepLines w:val="0"/>
      <w:tabs>
        <w:tab w:val="left" w:pos="360"/>
      </w:tabs>
      <w:spacing w:before="0" w:after="0" w:line="600" w:lineRule="exact"/>
      <w:ind w:left="360" w:firstLine="540" w:firstLineChars="225"/>
      <w:jc w:val="center"/>
    </w:pPr>
    <w:rPr>
      <w:rFonts w:eastAsia="华文中宋" w:cs="宋体"/>
      <w:b w:val="0"/>
      <w:color w:val="000000"/>
      <w:kern w:val="2"/>
      <w:sz w:val="28"/>
      <w:szCs w:val="20"/>
    </w:rPr>
  </w:style>
  <w:style w:type="paragraph" w:customStyle="1" w:styleId="699">
    <w:name w:val="普通文字"/>
    <w:basedOn w:val="1"/>
    <w:autoRedefine/>
    <w:qFormat/>
    <w:uiPriority w:val="99"/>
    <w:pPr>
      <w:widowControl/>
      <w:spacing w:line="351" w:lineRule="atLeast"/>
      <w:ind w:firstLine="419"/>
    </w:pPr>
    <w:rPr>
      <w:rFonts w:ascii="宋体" w:hAnsi="Times New Roman" w:eastAsia="宋体" w:cs="Times New Roman"/>
      <w:color w:val="000000"/>
      <w:kern w:val="0"/>
      <w:szCs w:val="20"/>
      <w:u w:color="000000"/>
    </w:rPr>
  </w:style>
  <w:style w:type="paragraph" w:customStyle="1" w:styleId="700">
    <w:name w:val="p1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01">
    <w:name w:val="Char Char Char Char Char Char Char Char Char Char Char1"/>
    <w:basedOn w:val="1"/>
    <w:autoRedefine/>
    <w:qFormat/>
    <w:uiPriority w:val="99"/>
    <w:rPr>
      <w:rFonts w:ascii="Tahoma" w:hAnsi="Tahoma" w:eastAsia="宋体" w:cs="Times New Roman"/>
      <w:sz w:val="24"/>
      <w:szCs w:val="20"/>
    </w:rPr>
  </w:style>
  <w:style w:type="paragraph" w:customStyle="1" w:styleId="702">
    <w:name w:val="_Style 175"/>
    <w:autoRedefine/>
    <w:qFormat/>
    <w:uiPriority w:val="99"/>
    <w:rPr>
      <w:rFonts w:ascii="Times New Roman" w:hAnsi="Times New Roman" w:eastAsia="宋体" w:cs="Times New Roman"/>
      <w:kern w:val="2"/>
      <w:sz w:val="21"/>
      <w:szCs w:val="24"/>
      <w:lang w:val="en-US" w:eastAsia="zh-CN" w:bidi="ar-SA"/>
    </w:rPr>
  </w:style>
  <w:style w:type="paragraph" w:customStyle="1" w:styleId="703">
    <w:name w:val="引文目录1"/>
    <w:basedOn w:val="1"/>
    <w:next w:val="1"/>
    <w:autoRedefine/>
    <w:qFormat/>
    <w:uiPriority w:val="99"/>
    <w:pPr>
      <w:ind w:left="420" w:leftChars="200"/>
    </w:pPr>
    <w:rPr>
      <w:rFonts w:ascii="Times New Roman" w:hAnsi="Times New Roman" w:eastAsia="宋体" w:cs="Times New Roman"/>
    </w:rPr>
  </w:style>
  <w:style w:type="paragraph" w:customStyle="1" w:styleId="704">
    <w:name w:val="修订11"/>
    <w:autoRedefine/>
    <w:qFormat/>
    <w:uiPriority w:val="99"/>
    <w:rPr>
      <w:rFonts w:ascii="Times New Roman" w:hAnsi="Times New Roman" w:eastAsia="宋体" w:cs="Times New Roman"/>
      <w:kern w:val="2"/>
      <w:sz w:val="21"/>
      <w:szCs w:val="24"/>
      <w:lang w:val="en-US" w:eastAsia="zh-CN" w:bidi="ar-SA"/>
    </w:rPr>
  </w:style>
  <w:style w:type="paragraph" w:customStyle="1" w:styleId="705">
    <w:name w:val="TOC 标题11"/>
    <w:basedOn w:val="4"/>
    <w:next w:val="1"/>
    <w:autoRedefine/>
    <w:qFormat/>
    <w:uiPriority w:val="99"/>
    <w:pPr>
      <w:keepLines/>
      <w:spacing w:before="340" w:after="330" w:line="576" w:lineRule="auto"/>
      <w:jc w:val="both"/>
      <w:outlineLvl w:val="9"/>
    </w:pPr>
    <w:rPr>
      <w:rFonts w:ascii="Calibri" w:hAnsi="Calibri" w:eastAsia="微软雅黑"/>
      <w:kern w:val="44"/>
      <w:sz w:val="44"/>
      <w:szCs w:val="44"/>
    </w:rPr>
  </w:style>
  <w:style w:type="character" w:customStyle="1" w:styleId="706">
    <w:name w:val="不明显强调1"/>
    <w:autoRedefine/>
    <w:qFormat/>
    <w:uiPriority w:val="0"/>
    <w:rPr>
      <w:i/>
      <w:color w:val="auto"/>
      <w:sz w:val="21"/>
    </w:rPr>
  </w:style>
  <w:style w:type="character" w:customStyle="1" w:styleId="707">
    <w:name w:val="明显强调1"/>
    <w:autoRedefine/>
    <w:qFormat/>
    <w:uiPriority w:val="0"/>
    <w:rPr>
      <w:i/>
      <w:color w:val="auto"/>
      <w:sz w:val="21"/>
    </w:rPr>
  </w:style>
  <w:style w:type="character" w:customStyle="1" w:styleId="708">
    <w:name w:val="不明显参考1"/>
    <w:autoRedefine/>
    <w:qFormat/>
    <w:uiPriority w:val="0"/>
    <w:rPr>
      <w:color w:val="auto"/>
      <w:sz w:val="21"/>
    </w:rPr>
  </w:style>
  <w:style w:type="character" w:customStyle="1" w:styleId="709">
    <w:name w:val="明显参考1"/>
    <w:autoRedefine/>
    <w:qFormat/>
    <w:uiPriority w:val="0"/>
    <w:rPr>
      <w:b/>
      <w:color w:val="auto"/>
      <w:sz w:val="21"/>
    </w:rPr>
  </w:style>
  <w:style w:type="character" w:customStyle="1" w:styleId="710">
    <w:name w:val="书籍标题1"/>
    <w:autoRedefine/>
    <w:qFormat/>
    <w:uiPriority w:val="0"/>
    <w:rPr>
      <w:b/>
      <w:i/>
      <w:sz w:val="21"/>
    </w:rPr>
  </w:style>
  <w:style w:type="character" w:customStyle="1" w:styleId="711">
    <w:name w:val="批注文字 字符2"/>
    <w:link w:val="21"/>
    <w:autoRedefine/>
    <w:semiHidden/>
    <w:qFormat/>
    <w:locked/>
    <w:uiPriority w:val="99"/>
    <w:rPr>
      <w:rFonts w:ascii="Times New Roman" w:hAnsi="Times New Roman" w:eastAsia="宋体" w:cs="Times New Roman"/>
      <w:kern w:val="0"/>
      <w:sz w:val="20"/>
      <w:szCs w:val="24"/>
    </w:rPr>
  </w:style>
  <w:style w:type="character" w:customStyle="1" w:styleId="712">
    <w:name w:val="标题 Char1"/>
    <w:autoRedefine/>
    <w:qFormat/>
    <w:uiPriority w:val="0"/>
    <w:rPr>
      <w:rFonts w:hint="default" w:ascii="Cambria" w:hAnsi="Cambria" w:cs="Times New Roman"/>
      <w:b/>
      <w:bCs/>
      <w:sz w:val="32"/>
      <w:szCs w:val="32"/>
    </w:rPr>
  </w:style>
  <w:style w:type="character" w:customStyle="1" w:styleId="713">
    <w:name w:val="hui121"/>
    <w:autoRedefine/>
    <w:qFormat/>
    <w:uiPriority w:val="0"/>
    <w:rPr>
      <w:rFonts w:hint="eastAsia" w:ascii="宋体" w:hAnsi="宋体" w:eastAsia="宋体"/>
      <w:color w:val="333333"/>
      <w:kern w:val="2"/>
      <w:sz w:val="18"/>
      <w:szCs w:val="18"/>
      <w:lang w:val="en-US" w:eastAsia="zh-CN" w:bidi="ar-SA"/>
    </w:rPr>
  </w:style>
  <w:style w:type="character" w:customStyle="1" w:styleId="714">
    <w:name w:val="纯文本 Char"/>
    <w:autoRedefine/>
    <w:qFormat/>
    <w:uiPriority w:val="0"/>
    <w:rPr>
      <w:rFonts w:hint="eastAsia" w:ascii="宋体" w:hAnsi="Courier New" w:eastAsia="宋体" w:cs="Courier New"/>
      <w:szCs w:val="21"/>
    </w:rPr>
  </w:style>
  <w:style w:type="character" w:customStyle="1" w:styleId="715">
    <w:name w:val="class4"/>
    <w:autoRedefine/>
    <w:qFormat/>
    <w:uiPriority w:val="0"/>
  </w:style>
  <w:style w:type="character" w:customStyle="1" w:styleId="716">
    <w:name w:val="标准文本 Char"/>
    <w:autoRedefine/>
    <w:qFormat/>
    <w:uiPriority w:val="0"/>
    <w:rPr>
      <w:sz w:val="20"/>
    </w:rPr>
  </w:style>
  <w:style w:type="character" w:customStyle="1" w:styleId="717">
    <w:name w:val="列出段落 Char"/>
    <w:autoRedefine/>
    <w:qFormat/>
    <w:uiPriority w:val="0"/>
    <w:rPr>
      <w:sz w:val="20"/>
    </w:rPr>
  </w:style>
  <w:style w:type="character" w:customStyle="1" w:styleId="718">
    <w:name w:val="纯文本 Char1"/>
    <w:autoRedefine/>
    <w:qFormat/>
    <w:uiPriority w:val="0"/>
    <w:rPr>
      <w:sz w:val="20"/>
    </w:rPr>
  </w:style>
  <w:style w:type="character" w:customStyle="1" w:styleId="719">
    <w:name w:val="封面日期 Char Char"/>
    <w:autoRedefine/>
    <w:qFormat/>
    <w:uiPriority w:val="0"/>
    <w:rPr>
      <w:sz w:val="20"/>
    </w:rPr>
  </w:style>
  <w:style w:type="character" w:customStyle="1" w:styleId="720">
    <w:name w:val="ca-3"/>
    <w:autoRedefine/>
    <w:qFormat/>
    <w:uiPriority w:val="0"/>
    <w:rPr>
      <w:rFonts w:hint="eastAsia" w:ascii="宋体" w:hAnsi="宋体" w:eastAsia="宋体"/>
      <w:kern w:val="2"/>
      <w:sz w:val="24"/>
      <w:szCs w:val="24"/>
      <w:lang w:val="en-US" w:eastAsia="zh-CN" w:bidi="ar-SA"/>
    </w:rPr>
  </w:style>
  <w:style w:type="character" w:customStyle="1" w:styleId="721">
    <w:name w:val="class3"/>
    <w:autoRedefine/>
    <w:qFormat/>
    <w:uiPriority w:val="0"/>
  </w:style>
  <w:style w:type="character" w:customStyle="1" w:styleId="722">
    <w:name w:val="style41"/>
    <w:autoRedefine/>
    <w:qFormat/>
    <w:uiPriority w:val="0"/>
    <w:rPr>
      <w:sz w:val="18"/>
      <w:szCs w:val="18"/>
    </w:rPr>
  </w:style>
  <w:style w:type="character" w:customStyle="1" w:styleId="723">
    <w:name w:val="label_list1"/>
    <w:autoRedefine/>
    <w:qFormat/>
    <w:uiPriority w:val="0"/>
  </w:style>
  <w:style w:type="character" w:customStyle="1" w:styleId="724">
    <w:name w:val="普通文字 Char Char1"/>
    <w:autoRedefine/>
    <w:qFormat/>
    <w:uiPriority w:val="0"/>
    <w:rPr>
      <w:rFonts w:hint="eastAsia" w:ascii="宋体" w:hAnsi="Courier New" w:eastAsia="宋体"/>
      <w:kern w:val="2"/>
      <w:sz w:val="24"/>
      <w:szCs w:val="24"/>
    </w:rPr>
  </w:style>
  <w:style w:type="character" w:customStyle="1" w:styleId="725">
    <w:name w:val="zbggmain style9"/>
    <w:autoRedefine/>
    <w:qFormat/>
    <w:uiPriority w:val="0"/>
    <w:rPr>
      <w:sz w:val="20"/>
    </w:rPr>
  </w:style>
  <w:style w:type="character" w:customStyle="1" w:styleId="726">
    <w:name w:val="Body Text(ch) Char Char"/>
    <w:autoRedefine/>
    <w:qFormat/>
    <w:uiPriority w:val="0"/>
    <w:rPr>
      <w:sz w:val="20"/>
    </w:rPr>
  </w:style>
  <w:style w:type="character" w:customStyle="1" w:styleId="727">
    <w:name w:val="op-map-singlepoint-info-right1"/>
    <w:autoRedefine/>
    <w:qFormat/>
    <w:uiPriority w:val="0"/>
    <w:rPr>
      <w:sz w:val="20"/>
    </w:rPr>
  </w:style>
  <w:style w:type="character" w:customStyle="1" w:styleId="728">
    <w:name w:val="ca-451"/>
    <w:autoRedefine/>
    <w:qFormat/>
    <w:uiPriority w:val="0"/>
    <w:rPr>
      <w:rFonts w:hint="eastAsia" w:ascii="宋体" w:hAnsi="宋体" w:eastAsia="宋体"/>
      <w:color w:val="000000"/>
      <w:sz w:val="72"/>
      <w:szCs w:val="72"/>
    </w:rPr>
  </w:style>
  <w:style w:type="character" w:customStyle="1" w:styleId="729">
    <w:name w:val="Char Char39"/>
    <w:autoRedefine/>
    <w:qFormat/>
    <w:uiPriority w:val="0"/>
    <w:rPr>
      <w:rFonts w:hint="default" w:ascii="Times New Roman" w:hAnsi="Times New Roman" w:eastAsia="宋体" w:cs="Times New Roman"/>
      <w:b/>
      <w:bCs/>
      <w:sz w:val="28"/>
      <w:szCs w:val="28"/>
    </w:rPr>
  </w:style>
  <w:style w:type="character" w:customStyle="1" w:styleId="730">
    <w:name w:val="Char Char40"/>
    <w:autoRedefine/>
    <w:qFormat/>
    <w:uiPriority w:val="0"/>
    <w:rPr>
      <w:rFonts w:hint="default" w:ascii="Arial" w:hAnsi="Arial" w:eastAsia="黑体" w:cs="Times New Roman"/>
      <w:b/>
      <w:bCs/>
      <w:sz w:val="28"/>
      <w:szCs w:val="28"/>
    </w:rPr>
  </w:style>
  <w:style w:type="character" w:customStyle="1" w:styleId="731">
    <w:name w:val="Char Char42"/>
    <w:autoRedefine/>
    <w:qFormat/>
    <w:uiPriority w:val="0"/>
    <w:rPr>
      <w:rFonts w:hint="default" w:ascii="Arial" w:hAnsi="Arial" w:eastAsia="黑体" w:cs="Times New Roman"/>
      <w:b/>
      <w:bCs/>
      <w:sz w:val="32"/>
      <w:szCs w:val="32"/>
    </w:rPr>
  </w:style>
  <w:style w:type="character" w:customStyle="1" w:styleId="732">
    <w:name w:val="Char Char43"/>
    <w:autoRedefine/>
    <w:qFormat/>
    <w:uiPriority w:val="0"/>
    <w:rPr>
      <w:rFonts w:hint="default" w:ascii="Times New Roman" w:hAnsi="Times New Roman" w:eastAsia="宋体" w:cs="Times New Roman"/>
      <w:b/>
      <w:bCs/>
      <w:sz w:val="24"/>
      <w:szCs w:val="24"/>
    </w:rPr>
  </w:style>
  <w:style w:type="character" w:customStyle="1" w:styleId="733">
    <w:name w:val="Char Char41"/>
    <w:autoRedefine/>
    <w:qFormat/>
    <w:uiPriority w:val="0"/>
    <w:rPr>
      <w:rFonts w:hint="default" w:ascii="Times New Roman" w:hAnsi="Times New Roman" w:eastAsia="宋体" w:cs="Times New Roman"/>
      <w:b/>
      <w:bCs/>
      <w:sz w:val="32"/>
      <w:szCs w:val="32"/>
    </w:rPr>
  </w:style>
  <w:style w:type="character" w:customStyle="1" w:styleId="734">
    <w:name w:val="Char Char38"/>
    <w:autoRedefine/>
    <w:qFormat/>
    <w:uiPriority w:val="0"/>
    <w:rPr>
      <w:rFonts w:hint="default" w:ascii="Arial" w:hAnsi="Arial" w:eastAsia="黑体" w:cs="Arial"/>
      <w:b/>
      <w:bCs/>
      <w:sz w:val="24"/>
      <w:szCs w:val="24"/>
    </w:rPr>
  </w:style>
  <w:style w:type="character" w:customStyle="1" w:styleId="735">
    <w:name w:val="Char Char35"/>
    <w:autoRedefine/>
    <w:qFormat/>
    <w:uiPriority w:val="0"/>
    <w:rPr>
      <w:rFonts w:hint="default" w:ascii="Arial" w:hAnsi="Arial" w:eastAsia="黑体" w:cs="Times New Roman"/>
    </w:rPr>
  </w:style>
  <w:style w:type="character" w:customStyle="1" w:styleId="736">
    <w:name w:val="Char Char Char Char Char"/>
    <w:autoRedefine/>
    <w:qFormat/>
    <w:uiPriority w:val="0"/>
    <w:rPr>
      <w:rFonts w:hint="default" w:ascii="Arial" w:hAnsi="Arial" w:eastAsia="黑体" w:cs="Arial"/>
      <w:b/>
      <w:bCs/>
      <w:kern w:val="2"/>
      <w:sz w:val="32"/>
      <w:szCs w:val="32"/>
      <w:lang w:val="en-US" w:eastAsia="zh-CN" w:bidi="ar-SA"/>
    </w:rPr>
  </w:style>
  <w:style w:type="character" w:customStyle="1" w:styleId="737">
    <w:name w:val="正文文本 Char2"/>
    <w:autoRedefine/>
    <w:qFormat/>
    <w:locked/>
    <w:uiPriority w:val="0"/>
    <w:rPr>
      <w:rFonts w:hint="eastAsia" w:ascii="宋体" w:hAnsi="宋体" w:eastAsia="宋体"/>
      <w:kern w:val="2"/>
      <w:sz w:val="28"/>
      <w:szCs w:val="24"/>
      <w:lang w:val="en-US" w:eastAsia="zh-CN" w:bidi="ar-SA"/>
    </w:rPr>
  </w:style>
  <w:style w:type="character" w:customStyle="1" w:styleId="738">
    <w:name w:val="标题 2 Char1"/>
    <w:autoRedefine/>
    <w:qFormat/>
    <w:uiPriority w:val="0"/>
    <w:rPr>
      <w:rFonts w:hint="default" w:ascii="Arial" w:hAnsi="Arial" w:eastAsia="黑体" w:cs="Arial"/>
      <w:b/>
      <w:bCs/>
      <w:kern w:val="2"/>
      <w:sz w:val="32"/>
      <w:szCs w:val="32"/>
      <w:lang w:val="en-US" w:eastAsia="zh-CN" w:bidi="ar-SA"/>
    </w:rPr>
  </w:style>
  <w:style w:type="character" w:customStyle="1" w:styleId="739">
    <w:name w:val="ca-61"/>
    <w:autoRedefine/>
    <w:qFormat/>
    <w:uiPriority w:val="0"/>
    <w:rPr>
      <w:rFonts w:hint="eastAsia" w:ascii="宋体" w:hAnsi="宋体" w:eastAsia="宋体"/>
      <w:color w:val="000000"/>
      <w:sz w:val="30"/>
      <w:szCs w:val="30"/>
    </w:rPr>
  </w:style>
  <w:style w:type="character" w:customStyle="1" w:styleId="740">
    <w:name w:val="ca-161"/>
    <w:autoRedefine/>
    <w:qFormat/>
    <w:uiPriority w:val="0"/>
    <w:rPr>
      <w:rFonts w:hint="eastAsia" w:ascii="宋体" w:hAnsi="宋体" w:eastAsia="宋体"/>
      <w:sz w:val="24"/>
      <w:szCs w:val="24"/>
    </w:rPr>
  </w:style>
  <w:style w:type="character" w:customStyle="1" w:styleId="741">
    <w:name w:val="textcontents"/>
    <w:autoRedefine/>
    <w:qFormat/>
    <w:uiPriority w:val="0"/>
    <w:rPr>
      <w:rFonts w:hint="default" w:ascii="Times New Roman" w:hAnsi="Times New Roman" w:cs="Times New Roman"/>
    </w:rPr>
  </w:style>
  <w:style w:type="character" w:customStyle="1" w:styleId="742">
    <w:name w:val="ca-401"/>
    <w:autoRedefine/>
    <w:qFormat/>
    <w:uiPriority w:val="0"/>
    <w:rPr>
      <w:rFonts w:hint="default" w:ascii="Times New Roman" w:hAnsi="Times New Roman" w:cs="Times New Roman"/>
      <w:sz w:val="20"/>
      <w:szCs w:val="20"/>
    </w:rPr>
  </w:style>
  <w:style w:type="character" w:customStyle="1" w:styleId="743">
    <w:name w:val="ca-231"/>
    <w:autoRedefine/>
    <w:qFormat/>
    <w:uiPriority w:val="0"/>
    <w:rPr>
      <w:rFonts w:hint="default" w:ascii="Times New Roman" w:hAnsi="Times New Roman" w:cs="Times New Roman"/>
      <w:sz w:val="21"/>
      <w:szCs w:val="21"/>
    </w:rPr>
  </w:style>
  <w:style w:type="character" w:customStyle="1" w:styleId="744">
    <w:name w:val="ca-331"/>
    <w:autoRedefine/>
    <w:qFormat/>
    <w:uiPriority w:val="0"/>
    <w:rPr>
      <w:rFonts w:hint="eastAsia" w:ascii="宋体" w:hAnsi="宋体" w:eastAsia="宋体"/>
      <w:b/>
      <w:bCs/>
      <w:color w:val="002060"/>
      <w:spacing w:val="-20"/>
      <w:sz w:val="20"/>
      <w:szCs w:val="20"/>
    </w:rPr>
  </w:style>
  <w:style w:type="character" w:customStyle="1" w:styleId="745">
    <w:name w:val="ca-201"/>
    <w:autoRedefine/>
    <w:qFormat/>
    <w:uiPriority w:val="0"/>
    <w:rPr>
      <w:rFonts w:hint="default" w:ascii="??" w:hAnsi="??"/>
      <w:color w:val="000000"/>
      <w:sz w:val="18"/>
      <w:szCs w:val="18"/>
    </w:rPr>
  </w:style>
  <w:style w:type="character" w:customStyle="1" w:styleId="746">
    <w:name w:val="ca-191"/>
    <w:autoRedefine/>
    <w:qFormat/>
    <w:uiPriority w:val="0"/>
    <w:rPr>
      <w:rFonts w:hint="default" w:ascii="Times New Roman" w:hAnsi="Times New Roman" w:cs="Times New Roman"/>
      <w:sz w:val="18"/>
      <w:szCs w:val="18"/>
    </w:rPr>
  </w:style>
  <w:style w:type="character" w:customStyle="1" w:styleId="747">
    <w:name w:val="CPara--- Char Char"/>
    <w:autoRedefine/>
    <w:qFormat/>
    <w:uiPriority w:val="0"/>
    <w:rPr>
      <w:rFonts w:hint="default" w:ascii="Arial" w:hAnsi="Arial" w:eastAsia="宋体" w:cs="Arial"/>
      <w:lang w:val="en-US" w:eastAsia="en-US" w:bidi="ar-SA"/>
    </w:rPr>
  </w:style>
  <w:style w:type="character" w:customStyle="1" w:styleId="748">
    <w:name w:val="标题 5 Char1"/>
    <w:autoRedefine/>
    <w:qFormat/>
    <w:uiPriority w:val="0"/>
    <w:rPr>
      <w:rFonts w:hint="eastAsia" w:ascii="宋体" w:hAnsi="宋体" w:eastAsia="宋体"/>
      <w:b/>
      <w:bCs/>
      <w:kern w:val="2"/>
      <w:sz w:val="28"/>
      <w:szCs w:val="28"/>
      <w:lang w:val="en-US" w:eastAsia="zh-CN" w:bidi="ar-SA"/>
    </w:rPr>
  </w:style>
  <w:style w:type="character" w:customStyle="1" w:styleId="749">
    <w:name w:val="ca-81"/>
    <w:autoRedefine/>
    <w:qFormat/>
    <w:uiPriority w:val="0"/>
    <w:rPr>
      <w:rFonts w:hint="eastAsia" w:ascii="宋体" w:hAnsi="宋体" w:eastAsia="宋体"/>
      <w:color w:val="000000"/>
      <w:sz w:val="28"/>
      <w:szCs w:val="28"/>
    </w:rPr>
  </w:style>
  <w:style w:type="character" w:customStyle="1" w:styleId="750">
    <w:name w:val="ca-461"/>
    <w:autoRedefine/>
    <w:qFormat/>
    <w:uiPriority w:val="0"/>
    <w:rPr>
      <w:rFonts w:hint="eastAsia" w:ascii="宋体" w:hAnsi="宋体" w:eastAsia="宋体"/>
      <w:color w:val="000000"/>
      <w:spacing w:val="-20"/>
      <w:sz w:val="28"/>
      <w:szCs w:val="28"/>
    </w:rPr>
  </w:style>
  <w:style w:type="character" w:customStyle="1" w:styleId="751">
    <w:name w:val="ca-501"/>
    <w:autoRedefine/>
    <w:qFormat/>
    <w:uiPriority w:val="0"/>
    <w:rPr>
      <w:rFonts w:hint="eastAsia" w:ascii="宋体" w:hAnsi="宋体" w:eastAsia="宋体"/>
      <w:spacing w:val="0"/>
      <w:sz w:val="24"/>
      <w:szCs w:val="24"/>
    </w:rPr>
  </w:style>
  <w:style w:type="character" w:customStyle="1" w:styleId="752">
    <w:name w:val="2nd level Char1"/>
    <w:autoRedefine/>
    <w:qFormat/>
    <w:uiPriority w:val="0"/>
    <w:rPr>
      <w:rFonts w:hint="default" w:ascii="Arial" w:hAnsi="Arial" w:eastAsia="宋体" w:cs="Arial"/>
      <w:b/>
      <w:bCs/>
      <w:kern w:val="2"/>
      <w:sz w:val="24"/>
      <w:szCs w:val="32"/>
      <w:lang w:val="en-US" w:eastAsia="zh-CN" w:bidi="ar-SA"/>
    </w:rPr>
  </w:style>
  <w:style w:type="character" w:customStyle="1" w:styleId="753">
    <w:name w:val="日期 Char1"/>
    <w:autoRedefine/>
    <w:qFormat/>
    <w:uiPriority w:val="0"/>
    <w:rPr>
      <w:kern w:val="2"/>
      <w:sz w:val="21"/>
      <w:szCs w:val="22"/>
    </w:rPr>
  </w:style>
  <w:style w:type="character" w:customStyle="1" w:styleId="754">
    <w:name w:val="ca-210"/>
    <w:autoRedefine/>
    <w:qFormat/>
    <w:uiPriority w:val="0"/>
    <w:rPr>
      <w:rFonts w:hint="default" w:ascii="Times New Roman" w:hAnsi="Times New Roman" w:cs="Times New Roman"/>
      <w:color w:val="000000"/>
      <w:sz w:val="36"/>
      <w:szCs w:val="36"/>
    </w:rPr>
  </w:style>
  <w:style w:type="character" w:customStyle="1" w:styleId="755">
    <w:name w:val="页眉 Char Char"/>
    <w:autoRedefine/>
    <w:qFormat/>
    <w:uiPriority w:val="0"/>
    <w:rPr>
      <w:rFonts w:hint="default" w:ascii="Times New Roman" w:hAnsi="Times New Roman" w:eastAsia="宋体" w:cs="Times New Roman"/>
      <w:sz w:val="18"/>
      <w:szCs w:val="18"/>
    </w:rPr>
  </w:style>
  <w:style w:type="character" w:customStyle="1" w:styleId="756">
    <w:name w:val="页脚 Char1"/>
    <w:autoRedefine/>
    <w:qFormat/>
    <w:uiPriority w:val="0"/>
    <w:rPr>
      <w:rFonts w:hint="eastAsia" w:ascii="黑体" w:hAnsi="黑体" w:eastAsia="黑体"/>
      <w:snapToGrid w:val="0"/>
      <w:sz w:val="18"/>
      <w:szCs w:val="18"/>
      <w:lang w:val="en-US" w:eastAsia="zh-CN" w:bidi="ar-SA"/>
    </w:rPr>
  </w:style>
  <w:style w:type="character" w:customStyle="1" w:styleId="757">
    <w:name w:val="日期 Char2"/>
    <w:autoRedefine/>
    <w:qFormat/>
    <w:uiPriority w:val="0"/>
    <w:rPr>
      <w:rFonts w:hint="eastAsia" w:ascii="楷体_GB2312" w:eastAsia="楷体_GB2312"/>
      <w:kern w:val="2"/>
      <w:sz w:val="32"/>
      <w:lang w:val="en-US" w:eastAsia="zh-CN" w:bidi="ar-SA"/>
    </w:rPr>
  </w:style>
  <w:style w:type="character" w:customStyle="1" w:styleId="758">
    <w:name w:val="style11"/>
    <w:autoRedefine/>
    <w:qFormat/>
    <w:uiPriority w:val="0"/>
    <w:rPr>
      <w:sz w:val="27"/>
      <w:szCs w:val="27"/>
    </w:rPr>
  </w:style>
  <w:style w:type="character" w:customStyle="1" w:styleId="759">
    <w:name w:val="文档结构图 Char1"/>
    <w:autoRedefine/>
    <w:qFormat/>
    <w:uiPriority w:val="0"/>
    <w:rPr>
      <w:rFonts w:hint="eastAsia" w:ascii="宋体" w:hAnsi="宋体" w:eastAsia="宋体"/>
      <w:kern w:val="2"/>
      <w:sz w:val="18"/>
      <w:szCs w:val="18"/>
    </w:rPr>
  </w:style>
  <w:style w:type="character" w:customStyle="1" w:styleId="760">
    <w:name w:val="批注文字 Char1"/>
    <w:autoRedefine/>
    <w:semiHidden/>
    <w:qFormat/>
    <w:uiPriority w:val="0"/>
    <w:rPr>
      <w:rFonts w:hint="eastAsia" w:ascii="宋体" w:hAnsi="宋体" w:eastAsia="宋体"/>
      <w:kern w:val="2"/>
      <w:sz w:val="21"/>
      <w:szCs w:val="24"/>
      <w:lang w:val="en-US" w:eastAsia="zh-CN" w:bidi="ar-SA"/>
    </w:rPr>
  </w:style>
  <w:style w:type="character" w:customStyle="1" w:styleId="761">
    <w:name w:val="Char Char22"/>
    <w:autoRedefine/>
    <w:qFormat/>
    <w:uiPriority w:val="0"/>
    <w:rPr>
      <w:rFonts w:hint="eastAsia" w:ascii="宋体" w:hAnsi="宋体" w:eastAsia="宋体"/>
      <w:b/>
      <w:bCs/>
      <w:kern w:val="44"/>
      <w:sz w:val="44"/>
      <w:szCs w:val="44"/>
    </w:rPr>
  </w:style>
  <w:style w:type="character" w:customStyle="1" w:styleId="762">
    <w:name w:val="正文文字4 Char"/>
    <w:autoRedefine/>
    <w:qFormat/>
    <w:uiPriority w:val="0"/>
    <w:rPr>
      <w:rFonts w:hint="eastAsia" w:ascii="宋体" w:hAnsi="宋体" w:eastAsia="宋体"/>
      <w:kern w:val="2"/>
      <w:sz w:val="21"/>
      <w:szCs w:val="24"/>
      <w:lang w:val="en-US" w:eastAsia="zh-CN" w:bidi="ar-SA"/>
    </w:rPr>
  </w:style>
  <w:style w:type="character" w:customStyle="1" w:styleId="763">
    <w:name w:val="ca-410"/>
    <w:autoRedefine/>
    <w:qFormat/>
    <w:uiPriority w:val="0"/>
    <w:rPr>
      <w:rFonts w:hint="eastAsia" w:ascii="宋体" w:hAnsi="宋体" w:eastAsia="宋体"/>
      <w:b/>
      <w:bCs/>
      <w:color w:val="000000"/>
      <w:spacing w:val="-20"/>
      <w:sz w:val="48"/>
      <w:szCs w:val="48"/>
    </w:rPr>
  </w:style>
  <w:style w:type="character" w:customStyle="1" w:styleId="764">
    <w:name w:val="ca-101"/>
    <w:autoRedefine/>
    <w:qFormat/>
    <w:uiPriority w:val="0"/>
    <w:rPr>
      <w:rFonts w:hint="default" w:ascii="Times New Roman" w:hAnsi="Times New Roman" w:cs="Times New Roman"/>
      <w:color w:val="000000"/>
      <w:sz w:val="52"/>
      <w:szCs w:val="52"/>
    </w:rPr>
  </w:style>
  <w:style w:type="paragraph" w:customStyle="1" w:styleId="765">
    <w:name w:val="标题 3_1"/>
    <w:basedOn w:val="123"/>
    <w:next w:val="123"/>
    <w:link w:val="766"/>
    <w:autoRedefine/>
    <w:qFormat/>
    <w:uiPriority w:val="0"/>
    <w:pPr>
      <w:keepNext/>
      <w:keepLines/>
      <w:spacing w:before="260" w:after="260" w:line="415" w:lineRule="auto"/>
      <w:outlineLvl w:val="2"/>
    </w:pPr>
    <w:rPr>
      <w:rFonts w:ascii="Times New Roman" w:hAnsi="Times New Roman"/>
      <w:b/>
      <w:bCs/>
      <w:sz w:val="32"/>
      <w:szCs w:val="32"/>
    </w:rPr>
  </w:style>
  <w:style w:type="character" w:customStyle="1" w:styleId="766">
    <w:name w:val="标题 3 Char_0"/>
    <w:link w:val="765"/>
    <w:autoRedefine/>
    <w:qFormat/>
    <w:locked/>
    <w:uiPriority w:val="0"/>
    <w:rPr>
      <w:rFonts w:ascii="Times New Roman" w:hAnsi="Times New Roman" w:eastAsia="宋体" w:cs="Times New Roman"/>
      <w:b/>
      <w:bCs/>
      <w:sz w:val="32"/>
      <w:szCs w:val="32"/>
    </w:rPr>
  </w:style>
  <w:style w:type="character" w:customStyle="1" w:styleId="767">
    <w:name w:val="ca-361"/>
    <w:autoRedefine/>
    <w:qFormat/>
    <w:uiPriority w:val="0"/>
    <w:rPr>
      <w:rFonts w:hint="eastAsia" w:ascii="宋体" w:hAnsi="宋体" w:eastAsia="宋体"/>
      <w:b/>
      <w:bCs/>
      <w:spacing w:val="-20"/>
      <w:sz w:val="21"/>
      <w:szCs w:val="21"/>
    </w:rPr>
  </w:style>
  <w:style w:type="character" w:customStyle="1" w:styleId="768">
    <w:name w:val="标题 3 Char1"/>
    <w:autoRedefine/>
    <w:qFormat/>
    <w:uiPriority w:val="0"/>
    <w:rPr>
      <w:rFonts w:hint="eastAsia" w:ascii="宋体" w:hAnsi="宋体" w:eastAsia="宋体"/>
      <w:b/>
      <w:bCs/>
      <w:kern w:val="2"/>
      <w:sz w:val="32"/>
      <w:szCs w:val="32"/>
      <w:lang w:val="en-US" w:eastAsia="zh-CN" w:bidi="ar-SA"/>
    </w:rPr>
  </w:style>
  <w:style w:type="character" w:customStyle="1" w:styleId="769">
    <w:name w:val="ca-301"/>
    <w:autoRedefine/>
    <w:qFormat/>
    <w:uiPriority w:val="0"/>
    <w:rPr>
      <w:rFonts w:hint="default" w:ascii="??" w:hAnsi="??"/>
      <w:color w:val="002060"/>
      <w:sz w:val="21"/>
      <w:szCs w:val="21"/>
    </w:rPr>
  </w:style>
  <w:style w:type="character" w:customStyle="1" w:styleId="770">
    <w:name w:val="标题 Char Char"/>
    <w:autoRedefine/>
    <w:qFormat/>
    <w:uiPriority w:val="0"/>
    <w:rPr>
      <w:rFonts w:hint="default" w:ascii="Arial" w:hAnsi="Arial" w:eastAsia="宋体" w:cs="Arial"/>
      <w:b/>
      <w:kern w:val="2"/>
      <w:sz w:val="44"/>
      <w:lang w:val="en-US" w:eastAsia="zh-CN"/>
    </w:rPr>
  </w:style>
  <w:style w:type="character" w:customStyle="1" w:styleId="771">
    <w:name w:val="ca-381"/>
    <w:autoRedefine/>
    <w:qFormat/>
    <w:uiPriority w:val="0"/>
    <w:rPr>
      <w:rFonts w:hint="default" w:ascii="Times New Roman" w:hAnsi="Times New Roman" w:cs="Times New Roman"/>
      <w:b/>
      <w:bCs/>
      <w:spacing w:val="-20"/>
      <w:sz w:val="21"/>
      <w:szCs w:val="21"/>
    </w:rPr>
  </w:style>
  <w:style w:type="character" w:customStyle="1" w:styleId="772">
    <w:name w:val="文档结构图 Char2"/>
    <w:autoRedefine/>
    <w:qFormat/>
    <w:uiPriority w:val="0"/>
    <w:rPr>
      <w:kern w:val="2"/>
      <w:sz w:val="21"/>
      <w:szCs w:val="24"/>
      <w:shd w:val="clear" w:color="auto" w:fill="000080"/>
    </w:rPr>
  </w:style>
  <w:style w:type="character" w:customStyle="1" w:styleId="773">
    <w:name w:val="ca-241"/>
    <w:autoRedefine/>
    <w:qFormat/>
    <w:uiPriority w:val="0"/>
    <w:rPr>
      <w:rFonts w:hint="eastAsia" w:ascii="宋体" w:hAnsi="宋体" w:eastAsia="宋体"/>
      <w:sz w:val="24"/>
      <w:szCs w:val="24"/>
    </w:rPr>
  </w:style>
  <w:style w:type="character" w:customStyle="1" w:styleId="774">
    <w:name w:val="Char Char30"/>
    <w:autoRedefine/>
    <w:qFormat/>
    <w:uiPriority w:val="0"/>
    <w:rPr>
      <w:rFonts w:hint="default" w:ascii="Arial" w:hAnsi="Arial" w:eastAsia="黑体" w:cs="Times New Roman"/>
      <w:b/>
      <w:bCs/>
      <w:sz w:val="32"/>
      <w:szCs w:val="32"/>
    </w:rPr>
  </w:style>
  <w:style w:type="character" w:customStyle="1" w:styleId="775">
    <w:name w:val="表正文 Char1"/>
    <w:autoRedefine/>
    <w:qFormat/>
    <w:uiPriority w:val="0"/>
    <w:rPr>
      <w:rFonts w:hint="eastAsia" w:ascii="宋体" w:hAnsi="宋体" w:eastAsia="宋体"/>
      <w:kern w:val="2"/>
      <w:sz w:val="21"/>
      <w:szCs w:val="24"/>
      <w:lang w:val="en-US" w:eastAsia="zh-CN" w:bidi="ar-SA"/>
    </w:rPr>
  </w:style>
  <w:style w:type="character" w:customStyle="1" w:styleId="776">
    <w:name w:val="ca-171"/>
    <w:autoRedefine/>
    <w:qFormat/>
    <w:uiPriority w:val="0"/>
    <w:rPr>
      <w:rFonts w:hint="default" w:ascii="Times New Roman" w:hAnsi="Times New Roman" w:cs="Times New Roman"/>
      <w:b/>
      <w:bCs/>
      <w:spacing w:val="-20"/>
      <w:sz w:val="24"/>
      <w:szCs w:val="24"/>
    </w:rPr>
  </w:style>
  <w:style w:type="character" w:customStyle="1" w:styleId="777">
    <w:name w:val="Char Char23"/>
    <w:autoRedefine/>
    <w:qFormat/>
    <w:uiPriority w:val="0"/>
    <w:rPr>
      <w:rFonts w:hint="default" w:ascii="Times New Roman" w:hAnsi="Times New Roman" w:eastAsia="宋体" w:cs="Times New Roman"/>
      <w:b/>
      <w:bCs/>
      <w:sz w:val="32"/>
      <w:szCs w:val="32"/>
    </w:rPr>
  </w:style>
  <w:style w:type="character" w:customStyle="1" w:styleId="778">
    <w:name w:val="ca-511"/>
    <w:autoRedefine/>
    <w:qFormat/>
    <w:uiPriority w:val="0"/>
    <w:rPr>
      <w:rFonts w:hint="default" w:ascii="Times New Roman" w:hAnsi="Times New Roman" w:cs="Times New Roman"/>
      <w:b/>
      <w:bCs/>
      <w:color w:val="000000"/>
      <w:spacing w:val="-20"/>
      <w:sz w:val="32"/>
      <w:szCs w:val="32"/>
    </w:rPr>
  </w:style>
  <w:style w:type="character" w:customStyle="1" w:styleId="779">
    <w:name w:val="Heading 3 - old Char1"/>
    <w:autoRedefine/>
    <w:qFormat/>
    <w:uiPriority w:val="0"/>
    <w:rPr>
      <w:rFonts w:hint="eastAsia" w:ascii="宋体" w:hAnsi="宋体" w:eastAsia="宋体"/>
      <w:b/>
      <w:bCs/>
      <w:kern w:val="2"/>
      <w:sz w:val="21"/>
      <w:szCs w:val="32"/>
      <w:lang w:val="en-US" w:eastAsia="zh-CN" w:bidi="ar-SA"/>
    </w:rPr>
  </w:style>
  <w:style w:type="character" w:customStyle="1" w:styleId="780">
    <w:name w:val="Char Char21"/>
    <w:autoRedefine/>
    <w:qFormat/>
    <w:uiPriority w:val="0"/>
    <w:rPr>
      <w:rFonts w:hint="default" w:ascii="Arial" w:hAnsi="Arial" w:eastAsia="黑体" w:cs="Arial"/>
      <w:b/>
      <w:bCs/>
      <w:kern w:val="2"/>
      <w:sz w:val="28"/>
      <w:szCs w:val="28"/>
      <w:lang w:val="en-US" w:eastAsia="zh-CN" w:bidi="ar-SA"/>
    </w:rPr>
  </w:style>
  <w:style w:type="character" w:customStyle="1" w:styleId="781">
    <w:name w:val="ca-471"/>
    <w:autoRedefine/>
    <w:qFormat/>
    <w:uiPriority w:val="0"/>
    <w:rPr>
      <w:rFonts w:hint="eastAsia" w:ascii="宋体" w:hAnsi="宋体" w:eastAsia="宋体"/>
      <w:b/>
      <w:bCs/>
      <w:color w:val="000000"/>
      <w:spacing w:val="-20"/>
      <w:sz w:val="24"/>
      <w:szCs w:val="24"/>
    </w:rPr>
  </w:style>
  <w:style w:type="character" w:customStyle="1" w:styleId="782">
    <w:name w:val="zbggtop11 style5"/>
    <w:autoRedefine/>
    <w:qFormat/>
    <w:uiPriority w:val="0"/>
  </w:style>
  <w:style w:type="paragraph" w:customStyle="1" w:styleId="783">
    <w:name w:val="标题 3_0_0"/>
    <w:basedOn w:val="124"/>
    <w:next w:val="124"/>
    <w:link w:val="784"/>
    <w:autoRedefine/>
    <w:qFormat/>
    <w:uiPriority w:val="0"/>
    <w:pPr>
      <w:keepNext/>
      <w:keepLines/>
      <w:spacing w:before="260" w:after="260" w:line="415" w:lineRule="auto"/>
      <w:outlineLvl w:val="2"/>
    </w:pPr>
    <w:rPr>
      <w:rFonts w:ascii="Times New Roman" w:hAnsi="Times New Roman"/>
      <w:b/>
      <w:bCs/>
      <w:sz w:val="32"/>
      <w:szCs w:val="32"/>
    </w:rPr>
  </w:style>
  <w:style w:type="character" w:customStyle="1" w:styleId="784">
    <w:name w:val="Char Char2_0"/>
    <w:link w:val="783"/>
    <w:autoRedefine/>
    <w:qFormat/>
    <w:locked/>
    <w:uiPriority w:val="0"/>
    <w:rPr>
      <w:rFonts w:ascii="Times New Roman" w:hAnsi="Times New Roman" w:eastAsia="宋体" w:cs="Times New Roman"/>
      <w:b/>
      <w:bCs/>
      <w:sz w:val="32"/>
      <w:szCs w:val="32"/>
    </w:rPr>
  </w:style>
  <w:style w:type="character" w:customStyle="1" w:styleId="785">
    <w:name w:val="Char Char32"/>
    <w:autoRedefine/>
    <w:qFormat/>
    <w:uiPriority w:val="0"/>
    <w:rPr>
      <w:rFonts w:hint="eastAsia" w:ascii="仿宋_GB2312" w:hAnsi="宋体" w:eastAsia="宋体" w:cs="Arial"/>
      <w:b/>
      <w:bCs/>
      <w:color w:val="000000"/>
      <w:sz w:val="24"/>
      <w:szCs w:val="24"/>
    </w:rPr>
  </w:style>
  <w:style w:type="character" w:customStyle="1" w:styleId="786">
    <w:name w:val="Para- Char Char"/>
    <w:autoRedefine/>
    <w:qFormat/>
    <w:uiPriority w:val="0"/>
    <w:rPr>
      <w:rFonts w:hint="default" w:ascii="Arial" w:hAnsi="Arial" w:eastAsia="宋体" w:cs="Arial"/>
      <w:lang w:val="en-US" w:eastAsia="en-US" w:bidi="ar-SA"/>
    </w:rPr>
  </w:style>
  <w:style w:type="character" w:customStyle="1" w:styleId="787">
    <w:name w:val="不明显强调111"/>
    <w:autoRedefine/>
    <w:qFormat/>
    <w:uiPriority w:val="0"/>
    <w:rPr>
      <w:i/>
      <w:iCs/>
      <w:color w:val="808080"/>
    </w:rPr>
  </w:style>
  <w:style w:type="character" w:customStyle="1" w:styleId="788">
    <w:name w:val="页脚 Char Char"/>
    <w:autoRedefine/>
    <w:qFormat/>
    <w:uiPriority w:val="0"/>
    <w:rPr>
      <w:kern w:val="2"/>
      <w:sz w:val="18"/>
      <w:szCs w:val="18"/>
    </w:rPr>
  </w:style>
  <w:style w:type="character" w:customStyle="1" w:styleId="789">
    <w:name w:val="Char Char33"/>
    <w:autoRedefine/>
    <w:qFormat/>
    <w:uiPriority w:val="0"/>
    <w:rPr>
      <w:rFonts w:hint="default" w:ascii="Times New Roman" w:hAnsi="Times New Roman" w:eastAsia="宋体" w:cs="Times New Roman"/>
      <w:sz w:val="18"/>
      <w:szCs w:val="18"/>
    </w:rPr>
  </w:style>
  <w:style w:type="paragraph" w:customStyle="1" w:styleId="790">
    <w:name w:val="批注文字_0"/>
    <w:basedOn w:val="131"/>
    <w:link w:val="791"/>
    <w:autoRedefine/>
    <w:qFormat/>
    <w:uiPriority w:val="0"/>
    <w:pPr>
      <w:jc w:val="left"/>
    </w:pPr>
    <w:rPr>
      <w:szCs w:val="22"/>
    </w:rPr>
  </w:style>
  <w:style w:type="character" w:customStyle="1" w:styleId="791">
    <w:name w:val="批注文字 Char_0"/>
    <w:link w:val="790"/>
    <w:autoRedefine/>
    <w:qFormat/>
    <w:locked/>
    <w:uiPriority w:val="0"/>
    <w:rPr>
      <w:rFonts w:ascii="Times New Roman" w:hAnsi="Times New Roman" w:eastAsia="宋体" w:cs="Times New Roman"/>
    </w:rPr>
  </w:style>
  <w:style w:type="character" w:customStyle="1" w:styleId="792">
    <w:name w:val="正文文本缩进 2 Char Char"/>
    <w:autoRedefine/>
    <w:qFormat/>
    <w:uiPriority w:val="0"/>
    <w:rPr>
      <w:rFonts w:hint="default" w:ascii="Times New Roman" w:hAnsi="Times New Roman" w:eastAsia="宋体" w:cs="Times New Roman"/>
      <w:szCs w:val="24"/>
    </w:rPr>
  </w:style>
  <w:style w:type="character" w:customStyle="1" w:styleId="793">
    <w:name w:val="by jerry Char Char"/>
    <w:autoRedefine/>
    <w:qFormat/>
    <w:uiPriority w:val="0"/>
    <w:rPr>
      <w:rFonts w:hint="eastAsia" w:ascii="宋体" w:hAnsi="宋体" w:eastAsia="宋体"/>
      <w:b/>
      <w:bCs/>
      <w:kern w:val="44"/>
      <w:sz w:val="44"/>
      <w:szCs w:val="44"/>
      <w:lang w:val="en-US" w:eastAsia="zh-CN" w:bidi="ar-SA"/>
    </w:rPr>
  </w:style>
  <w:style w:type="character" w:customStyle="1" w:styleId="794">
    <w:name w:val="15"/>
    <w:autoRedefine/>
    <w:qFormat/>
    <w:uiPriority w:val="0"/>
    <w:rPr>
      <w:rFonts w:hint="default" w:ascii="Calibri" w:hAnsi="Calibri" w:eastAsia="ヒラギノ角ゴ Pro W3" w:cs="Calibri"/>
      <w:color w:val="000000"/>
      <w:sz w:val="20"/>
      <w:szCs w:val="20"/>
      <w:lang w:val="en-US" w:eastAsia="zh-CN" w:bidi="ar-SA"/>
    </w:rPr>
  </w:style>
  <w:style w:type="character" w:customStyle="1" w:styleId="795">
    <w:name w:val="ca-321"/>
    <w:autoRedefine/>
    <w:qFormat/>
    <w:uiPriority w:val="0"/>
    <w:rPr>
      <w:rFonts w:hint="eastAsia" w:ascii="宋体" w:hAnsi="宋体" w:eastAsia="宋体"/>
      <w:b/>
      <w:bCs/>
      <w:color w:val="C00000"/>
      <w:spacing w:val="-20"/>
      <w:sz w:val="21"/>
      <w:szCs w:val="21"/>
    </w:rPr>
  </w:style>
  <w:style w:type="character" w:customStyle="1" w:styleId="796">
    <w:name w:val="ca-310"/>
    <w:autoRedefine/>
    <w:qFormat/>
    <w:uiPriority w:val="0"/>
    <w:rPr>
      <w:rFonts w:hint="default" w:ascii="Times New Roman" w:hAnsi="Times New Roman" w:cs="Times New Roman"/>
      <w:b/>
      <w:bCs/>
      <w:color w:val="000000"/>
      <w:spacing w:val="-20"/>
      <w:sz w:val="48"/>
      <w:szCs w:val="48"/>
    </w:rPr>
  </w:style>
  <w:style w:type="paragraph" w:customStyle="1" w:styleId="797">
    <w:name w:val="正文缩进_0"/>
    <w:basedOn w:val="134"/>
    <w:link w:val="798"/>
    <w:autoRedefine/>
    <w:qFormat/>
    <w:uiPriority w:val="0"/>
    <w:pPr>
      <w:ind w:firstLine="420" w:firstLineChars="200"/>
    </w:pPr>
    <w:rPr>
      <w:rFonts w:ascii="Times New Roman" w:hAnsi="Times New Roman"/>
    </w:rPr>
  </w:style>
  <w:style w:type="character" w:customStyle="1" w:styleId="798">
    <w:name w:val="署名 Char1"/>
    <w:link w:val="797"/>
    <w:autoRedefine/>
    <w:qFormat/>
    <w:locked/>
    <w:uiPriority w:val="0"/>
    <w:rPr>
      <w:rFonts w:ascii="Times New Roman" w:hAnsi="Times New Roman" w:eastAsia="宋体" w:cs="Times New Roman"/>
    </w:rPr>
  </w:style>
  <w:style w:type="character" w:customStyle="1" w:styleId="799">
    <w:name w:val="ca-411"/>
    <w:autoRedefine/>
    <w:qFormat/>
    <w:uiPriority w:val="0"/>
    <w:rPr>
      <w:rFonts w:hint="eastAsia" w:ascii="宋体" w:hAnsi="宋体" w:eastAsia="宋体"/>
      <w:b/>
      <w:bCs/>
      <w:color w:val="000000"/>
      <w:spacing w:val="-20"/>
      <w:sz w:val="32"/>
      <w:szCs w:val="32"/>
    </w:rPr>
  </w:style>
  <w:style w:type="character" w:customStyle="1" w:styleId="800">
    <w:name w:val="ca-71"/>
    <w:autoRedefine/>
    <w:qFormat/>
    <w:uiPriority w:val="0"/>
    <w:rPr>
      <w:rFonts w:hint="default" w:ascii="Times New Roman" w:hAnsi="Times New Roman" w:cs="Times New Roman"/>
      <w:color w:val="000000"/>
      <w:sz w:val="28"/>
      <w:szCs w:val="28"/>
    </w:rPr>
  </w:style>
  <w:style w:type="character" w:customStyle="1" w:styleId="801">
    <w:name w:val="ca-531"/>
    <w:autoRedefine/>
    <w:qFormat/>
    <w:uiPriority w:val="0"/>
    <w:rPr>
      <w:rFonts w:hint="default" w:ascii="Times New Roman" w:hAnsi="Times New Roman" w:cs="Times New Roman"/>
      <w:b/>
      <w:bCs/>
      <w:spacing w:val="-20"/>
      <w:sz w:val="36"/>
      <w:szCs w:val="36"/>
    </w:rPr>
  </w:style>
  <w:style w:type="character" w:customStyle="1" w:styleId="802">
    <w:name w:val="ca-311"/>
    <w:autoRedefine/>
    <w:qFormat/>
    <w:uiPriority w:val="0"/>
    <w:rPr>
      <w:rFonts w:hint="default" w:ascii="??" w:hAnsi="??"/>
      <w:color w:val="000000"/>
      <w:sz w:val="21"/>
      <w:szCs w:val="21"/>
    </w:rPr>
  </w:style>
  <w:style w:type="character" w:customStyle="1" w:styleId="803">
    <w:name w:val="2nd level Char2"/>
    <w:autoRedefine/>
    <w:qFormat/>
    <w:uiPriority w:val="0"/>
    <w:rPr>
      <w:rFonts w:hint="default" w:ascii="Arial" w:hAnsi="Arial" w:eastAsia="宋体" w:cs="Arial"/>
      <w:b/>
      <w:bCs/>
      <w:kern w:val="2"/>
      <w:sz w:val="24"/>
      <w:szCs w:val="32"/>
      <w:lang w:val="en-US" w:eastAsia="zh-CN" w:bidi="ar-SA"/>
    </w:rPr>
  </w:style>
  <w:style w:type="character" w:customStyle="1" w:styleId="804">
    <w:name w:val="Footer-Even Char"/>
    <w:autoRedefine/>
    <w:qFormat/>
    <w:uiPriority w:val="0"/>
    <w:rPr>
      <w:rFonts w:hint="eastAsia" w:ascii="宋体" w:hAnsi="宋体" w:eastAsia="宋体"/>
      <w:kern w:val="2"/>
      <w:sz w:val="18"/>
      <w:szCs w:val="18"/>
      <w:lang w:val="en-US" w:eastAsia="zh-CN" w:bidi="ar-SA"/>
    </w:rPr>
  </w:style>
  <w:style w:type="character" w:customStyle="1" w:styleId="805">
    <w:name w:val="日期 Char Char"/>
    <w:autoRedefine/>
    <w:qFormat/>
    <w:uiPriority w:val="0"/>
    <w:rPr>
      <w:rFonts w:hint="default" w:ascii="Times New Roman" w:hAnsi="Times New Roman" w:cs="Times New Roman"/>
      <w:kern w:val="2"/>
      <w:sz w:val="21"/>
      <w:szCs w:val="24"/>
    </w:rPr>
  </w:style>
  <w:style w:type="character" w:customStyle="1" w:styleId="806">
    <w:name w:val="批注文字 Char Char"/>
    <w:autoRedefine/>
    <w:qFormat/>
    <w:uiPriority w:val="0"/>
    <w:rPr>
      <w:rFonts w:hint="default" w:ascii="Times New Roman" w:hAnsi="Times New Roman" w:eastAsia="宋体" w:cs="Times New Roman"/>
      <w:szCs w:val="24"/>
    </w:rPr>
  </w:style>
  <w:style w:type="character" w:customStyle="1" w:styleId="807">
    <w:name w:val="apple-style-span"/>
    <w:autoRedefine/>
    <w:qFormat/>
    <w:uiPriority w:val="0"/>
  </w:style>
  <w:style w:type="character" w:customStyle="1" w:styleId="808">
    <w:name w:val="书籍标题111"/>
    <w:autoRedefine/>
    <w:qFormat/>
    <w:uiPriority w:val="0"/>
    <w:rPr>
      <w:b/>
      <w:bCs/>
      <w:smallCaps/>
      <w:spacing w:val="5"/>
    </w:rPr>
  </w:style>
  <w:style w:type="character" w:customStyle="1" w:styleId="809">
    <w:name w:val="ca-221"/>
    <w:autoRedefine/>
    <w:qFormat/>
    <w:uiPriority w:val="0"/>
    <w:rPr>
      <w:rFonts w:hint="eastAsia" w:ascii="宋体" w:hAnsi="宋体" w:eastAsia="宋体"/>
      <w:sz w:val="21"/>
      <w:szCs w:val="21"/>
    </w:rPr>
  </w:style>
  <w:style w:type="character" w:customStyle="1" w:styleId="810">
    <w:name w:val="Heading 3 - old Char2"/>
    <w:autoRedefine/>
    <w:qFormat/>
    <w:uiPriority w:val="0"/>
    <w:rPr>
      <w:rFonts w:hint="eastAsia" w:ascii="宋体" w:hAnsi="宋体" w:eastAsia="宋体"/>
      <w:b/>
      <w:bCs/>
      <w:kern w:val="2"/>
      <w:sz w:val="21"/>
      <w:szCs w:val="32"/>
      <w:lang w:val="en-US" w:eastAsia="zh-CN" w:bidi="ar-SA"/>
    </w:rPr>
  </w:style>
  <w:style w:type="character" w:customStyle="1" w:styleId="811">
    <w:name w:val="标题 1 Char Char"/>
    <w:autoRedefine/>
    <w:qFormat/>
    <w:uiPriority w:val="0"/>
    <w:rPr>
      <w:rFonts w:hint="default" w:ascii="Times New Roman" w:hAnsi="Times New Roman" w:cs="Times New Roman"/>
      <w:b/>
      <w:bCs/>
      <w:kern w:val="44"/>
      <w:sz w:val="44"/>
      <w:szCs w:val="44"/>
    </w:rPr>
  </w:style>
  <w:style w:type="character" w:customStyle="1" w:styleId="812">
    <w:name w:val="ca-261"/>
    <w:autoRedefine/>
    <w:qFormat/>
    <w:uiPriority w:val="0"/>
    <w:rPr>
      <w:rFonts w:hint="eastAsia" w:ascii="宋体" w:hAnsi="宋体" w:eastAsia="宋体"/>
      <w:color w:val="002060"/>
      <w:sz w:val="21"/>
      <w:szCs w:val="21"/>
    </w:rPr>
  </w:style>
  <w:style w:type="character" w:customStyle="1" w:styleId="813">
    <w:name w:val="批注主题 Char1"/>
    <w:autoRedefine/>
    <w:qFormat/>
    <w:uiPriority w:val="0"/>
    <w:rPr>
      <w:b/>
      <w:bCs/>
      <w:kern w:val="2"/>
      <w:sz w:val="21"/>
      <w:szCs w:val="22"/>
    </w:rPr>
  </w:style>
  <w:style w:type="character" w:customStyle="1" w:styleId="814">
    <w:name w:val="ca-341"/>
    <w:autoRedefine/>
    <w:qFormat/>
    <w:uiPriority w:val="0"/>
    <w:rPr>
      <w:rFonts w:hint="eastAsia" w:ascii="宋体" w:hAnsi="宋体" w:eastAsia="宋体"/>
      <w:color w:val="000000"/>
      <w:sz w:val="20"/>
      <w:szCs w:val="20"/>
    </w:rPr>
  </w:style>
  <w:style w:type="character" w:customStyle="1" w:styleId="815">
    <w:name w:val="font161"/>
    <w:autoRedefine/>
    <w:qFormat/>
    <w:uiPriority w:val="0"/>
    <w:rPr>
      <w:b/>
      <w:bCs/>
      <w:sz w:val="32"/>
      <w:szCs w:val="32"/>
    </w:rPr>
  </w:style>
  <w:style w:type="character" w:customStyle="1" w:styleId="816">
    <w:name w:val="ca-421"/>
    <w:autoRedefine/>
    <w:qFormat/>
    <w:uiPriority w:val="0"/>
    <w:rPr>
      <w:rFonts w:hint="eastAsia" w:ascii="宋体" w:hAnsi="宋体" w:eastAsia="宋体"/>
      <w:color w:val="000000"/>
      <w:sz w:val="36"/>
      <w:szCs w:val="36"/>
    </w:rPr>
  </w:style>
  <w:style w:type="character" w:customStyle="1" w:styleId="817">
    <w:name w:val="Footer-Even Char2"/>
    <w:autoRedefine/>
    <w:qFormat/>
    <w:uiPriority w:val="0"/>
    <w:rPr>
      <w:rFonts w:hint="eastAsia" w:ascii="宋体" w:hAnsi="宋体" w:eastAsia="宋体"/>
      <w:kern w:val="2"/>
      <w:sz w:val="18"/>
      <w:szCs w:val="18"/>
      <w:lang w:val="en-US" w:eastAsia="zh-CN" w:bidi="ar-SA"/>
    </w:rPr>
  </w:style>
  <w:style w:type="character" w:customStyle="1" w:styleId="818">
    <w:name w:val="ca-211"/>
    <w:autoRedefine/>
    <w:qFormat/>
    <w:uiPriority w:val="0"/>
    <w:rPr>
      <w:rFonts w:hint="eastAsia" w:ascii="宋体" w:hAnsi="宋体" w:eastAsia="宋体"/>
      <w:color w:val="000000"/>
      <w:sz w:val="21"/>
      <w:szCs w:val="21"/>
    </w:rPr>
  </w:style>
  <w:style w:type="character" w:customStyle="1" w:styleId="819">
    <w:name w:val="ca-181"/>
    <w:autoRedefine/>
    <w:qFormat/>
    <w:uiPriority w:val="0"/>
    <w:rPr>
      <w:rFonts w:hint="eastAsia" w:ascii="宋体" w:hAnsi="宋体" w:eastAsia="宋体"/>
      <w:color w:val="000000"/>
      <w:sz w:val="18"/>
      <w:szCs w:val="18"/>
    </w:rPr>
  </w:style>
  <w:style w:type="character" w:customStyle="1" w:styleId="820">
    <w:name w:val="ca-54"/>
    <w:autoRedefine/>
    <w:qFormat/>
    <w:uiPriority w:val="0"/>
    <w:rPr>
      <w:rFonts w:hint="eastAsia" w:ascii="宋体" w:hAnsi="宋体" w:eastAsia="宋体"/>
      <w:b/>
      <w:bCs/>
      <w:color w:val="000000"/>
      <w:spacing w:val="40"/>
      <w:sz w:val="48"/>
      <w:szCs w:val="48"/>
    </w:rPr>
  </w:style>
  <w:style w:type="character" w:customStyle="1" w:styleId="821">
    <w:name w:val="ca-271"/>
    <w:autoRedefine/>
    <w:qFormat/>
    <w:uiPriority w:val="0"/>
    <w:rPr>
      <w:rFonts w:hint="eastAsia" w:ascii="宋体" w:hAnsi="宋体" w:eastAsia="宋体"/>
      <w:b/>
      <w:bCs/>
      <w:color w:val="002060"/>
      <w:spacing w:val="-20"/>
      <w:sz w:val="21"/>
      <w:szCs w:val="21"/>
    </w:rPr>
  </w:style>
  <w:style w:type="character" w:customStyle="1" w:styleId="822">
    <w:name w:val="ca-441"/>
    <w:autoRedefine/>
    <w:qFormat/>
    <w:uiPriority w:val="0"/>
    <w:rPr>
      <w:rFonts w:hint="eastAsia" w:ascii="宋体" w:hAnsi="宋体" w:eastAsia="宋体"/>
      <w:color w:val="000000"/>
      <w:sz w:val="52"/>
      <w:szCs w:val="52"/>
    </w:rPr>
  </w:style>
  <w:style w:type="character" w:customStyle="1" w:styleId="823">
    <w:name w:val="文档结构图 Char"/>
    <w:autoRedefine/>
    <w:qFormat/>
    <w:uiPriority w:val="0"/>
    <w:rPr>
      <w:szCs w:val="24"/>
      <w:shd w:val="clear" w:color="auto" w:fill="000080"/>
      <w:lang w:bidi="ar-SA"/>
    </w:rPr>
  </w:style>
  <w:style w:type="character" w:customStyle="1" w:styleId="824">
    <w:name w:val="ca-121"/>
    <w:autoRedefine/>
    <w:qFormat/>
    <w:uiPriority w:val="0"/>
    <w:rPr>
      <w:rFonts w:hint="default" w:ascii="Times New Roman" w:hAnsi="Times New Roman" w:cs="Times New Roman"/>
      <w:color w:val="000000"/>
      <w:sz w:val="32"/>
      <w:szCs w:val="32"/>
    </w:rPr>
  </w:style>
  <w:style w:type="character" w:customStyle="1" w:styleId="825">
    <w:name w:val="ca-251"/>
    <w:autoRedefine/>
    <w:qFormat/>
    <w:uiPriority w:val="0"/>
    <w:rPr>
      <w:rFonts w:hint="default" w:ascii="Times New Roman" w:hAnsi="Times New Roman" w:cs="Times New Roman"/>
      <w:sz w:val="21"/>
      <w:szCs w:val="21"/>
    </w:rPr>
  </w:style>
  <w:style w:type="character" w:customStyle="1" w:styleId="826">
    <w:name w:val="正文文本 Char1"/>
    <w:autoRedefine/>
    <w:qFormat/>
    <w:uiPriority w:val="0"/>
    <w:rPr>
      <w:kern w:val="2"/>
      <w:sz w:val="21"/>
      <w:szCs w:val="22"/>
    </w:rPr>
  </w:style>
  <w:style w:type="character" w:customStyle="1" w:styleId="827">
    <w:name w:val="明显参考111"/>
    <w:autoRedefine/>
    <w:qFormat/>
    <w:uiPriority w:val="0"/>
    <w:rPr>
      <w:b/>
      <w:bCs/>
      <w:smallCaps/>
      <w:color w:val="C0504D"/>
      <w:spacing w:val="5"/>
      <w:u w:val="single"/>
    </w:rPr>
  </w:style>
  <w:style w:type="character" w:customStyle="1" w:styleId="828">
    <w:name w:val="明显强调111"/>
    <w:autoRedefine/>
    <w:qFormat/>
    <w:uiPriority w:val="0"/>
    <w:rPr>
      <w:b/>
      <w:bCs/>
      <w:i/>
      <w:iCs/>
      <w:color w:val="4F81BD"/>
    </w:rPr>
  </w:style>
  <w:style w:type="character" w:customStyle="1" w:styleId="829">
    <w:name w:val="Footer-Even Char1"/>
    <w:autoRedefine/>
    <w:qFormat/>
    <w:uiPriority w:val="0"/>
    <w:rPr>
      <w:rFonts w:hint="eastAsia" w:ascii="宋体" w:hAnsi="宋体" w:eastAsia="宋体"/>
      <w:kern w:val="2"/>
      <w:sz w:val="18"/>
      <w:szCs w:val="18"/>
      <w:lang w:val="en-US" w:eastAsia="zh-CN" w:bidi="ar-SA"/>
    </w:rPr>
  </w:style>
  <w:style w:type="character" w:customStyle="1" w:styleId="830">
    <w:name w:val="Char Char28"/>
    <w:autoRedefine/>
    <w:qFormat/>
    <w:uiPriority w:val="0"/>
    <w:rPr>
      <w:rFonts w:hint="eastAsia" w:ascii="宋体" w:hAnsi="宋体" w:eastAsia="宋体"/>
      <w:kern w:val="2"/>
      <w:sz w:val="18"/>
      <w:lang w:val="en-US" w:eastAsia="zh-CN" w:bidi="ar-SA"/>
    </w:rPr>
  </w:style>
  <w:style w:type="character" w:customStyle="1" w:styleId="831">
    <w:name w:val="Char Char34"/>
    <w:autoRedefine/>
    <w:qFormat/>
    <w:uiPriority w:val="0"/>
    <w:rPr>
      <w:rFonts w:hint="default" w:ascii="Cambria" w:hAnsi="Cambria" w:eastAsia="宋体" w:cs="Times New Roman"/>
      <w:b/>
      <w:bCs/>
      <w:sz w:val="28"/>
      <w:szCs w:val="32"/>
    </w:rPr>
  </w:style>
  <w:style w:type="character" w:customStyle="1" w:styleId="832">
    <w:name w:val="正文首行缩进 Char Char"/>
    <w:autoRedefine/>
    <w:qFormat/>
    <w:uiPriority w:val="0"/>
    <w:rPr>
      <w:rFonts w:hint="eastAsia" w:ascii="宋体" w:hAnsi="宋体" w:eastAsia="宋体"/>
      <w:kern w:val="2"/>
      <w:sz w:val="21"/>
      <w:szCs w:val="24"/>
      <w:lang w:val="en-US" w:eastAsia="zh-CN" w:bidi="ar-SA"/>
    </w:rPr>
  </w:style>
  <w:style w:type="character" w:customStyle="1" w:styleId="833">
    <w:name w:val="by jerry Char1"/>
    <w:autoRedefine/>
    <w:qFormat/>
    <w:uiPriority w:val="0"/>
    <w:rPr>
      <w:rFonts w:hint="eastAsia" w:ascii="宋体" w:hAnsi="宋体" w:eastAsia="宋体"/>
      <w:b/>
      <w:bCs/>
      <w:kern w:val="44"/>
      <w:sz w:val="32"/>
      <w:szCs w:val="44"/>
      <w:lang w:val="en-US" w:eastAsia="zh-CN" w:bidi="ar-SA"/>
    </w:rPr>
  </w:style>
  <w:style w:type="character" w:customStyle="1" w:styleId="834">
    <w:name w:val="标题 1 Char1"/>
    <w:autoRedefine/>
    <w:qFormat/>
    <w:uiPriority w:val="0"/>
    <w:rPr>
      <w:rFonts w:hint="eastAsia" w:ascii="宋体" w:hAnsi="宋体" w:eastAsia="宋体"/>
      <w:b/>
      <w:bCs/>
      <w:kern w:val="2"/>
      <w:sz w:val="24"/>
      <w:szCs w:val="24"/>
      <w:lang w:val="en-US" w:eastAsia="zh-CN" w:bidi="ar-SA"/>
    </w:rPr>
  </w:style>
  <w:style w:type="character" w:customStyle="1" w:styleId="835">
    <w:name w:val="Char Char19"/>
    <w:autoRedefine/>
    <w:qFormat/>
    <w:uiPriority w:val="0"/>
    <w:rPr>
      <w:rFonts w:hint="default" w:ascii="Cambria" w:hAnsi="Cambria"/>
      <w:b/>
      <w:bCs/>
      <w:kern w:val="2"/>
      <w:sz w:val="28"/>
      <w:szCs w:val="28"/>
    </w:rPr>
  </w:style>
  <w:style w:type="character" w:customStyle="1" w:styleId="836">
    <w:name w:val="ca-481"/>
    <w:autoRedefine/>
    <w:qFormat/>
    <w:uiPriority w:val="0"/>
    <w:rPr>
      <w:rFonts w:hint="eastAsia" w:ascii="宋体" w:hAnsi="宋体" w:eastAsia="宋体"/>
      <w:color w:val="000000"/>
      <w:sz w:val="26"/>
      <w:szCs w:val="26"/>
    </w:rPr>
  </w:style>
  <w:style w:type="paragraph" w:customStyle="1" w:styleId="837">
    <w:name w:val="正文文本缩进_1"/>
    <w:basedOn w:val="145"/>
    <w:link w:val="838"/>
    <w:autoRedefine/>
    <w:qFormat/>
    <w:uiPriority w:val="0"/>
    <w:pPr>
      <w:spacing w:after="120"/>
      <w:ind w:left="420" w:leftChars="200"/>
    </w:pPr>
    <w:rPr>
      <w:rFonts w:ascii="Times New Roman" w:hAnsi="Times New Roman"/>
    </w:rPr>
  </w:style>
  <w:style w:type="character" w:customStyle="1" w:styleId="838">
    <w:name w:val="正文文字4 Char1_1"/>
    <w:link w:val="837"/>
    <w:autoRedefine/>
    <w:qFormat/>
    <w:locked/>
    <w:uiPriority w:val="0"/>
    <w:rPr>
      <w:rFonts w:ascii="Times New Roman" w:hAnsi="Times New Roman" w:eastAsia="宋体" w:cs="Times New Roman"/>
    </w:rPr>
  </w:style>
  <w:style w:type="character" w:customStyle="1" w:styleId="839">
    <w:name w:val="ca-91"/>
    <w:autoRedefine/>
    <w:qFormat/>
    <w:uiPriority w:val="0"/>
    <w:rPr>
      <w:rFonts w:hint="eastAsia" w:ascii="楷体_GB2312" w:eastAsia="楷体_GB2312"/>
      <w:color w:val="000000"/>
      <w:spacing w:val="20"/>
      <w:sz w:val="96"/>
      <w:szCs w:val="96"/>
    </w:rPr>
  </w:style>
  <w:style w:type="character" w:customStyle="1" w:styleId="840">
    <w:name w:val="Char Char26"/>
    <w:autoRedefine/>
    <w:qFormat/>
    <w:uiPriority w:val="0"/>
    <w:rPr>
      <w:rFonts w:hint="default" w:ascii="Arial" w:hAnsi="Arial" w:eastAsia="宋体" w:cs="Times New Roman"/>
      <w:bCs/>
      <w:kern w:val="2"/>
      <w:sz w:val="24"/>
      <w:szCs w:val="28"/>
    </w:rPr>
  </w:style>
  <w:style w:type="character" w:customStyle="1" w:styleId="841">
    <w:name w:val="标题 7 Char"/>
    <w:autoRedefine/>
    <w:qFormat/>
    <w:uiPriority w:val="0"/>
    <w:rPr>
      <w:rFonts w:hint="default" w:ascii="Times New Roman" w:hAnsi="Times New Roman" w:cs="Times New Roman"/>
      <w:b/>
      <w:bCs/>
      <w:kern w:val="2"/>
      <w:sz w:val="24"/>
      <w:szCs w:val="24"/>
    </w:rPr>
  </w:style>
  <w:style w:type="character" w:customStyle="1" w:styleId="842">
    <w:name w:val="正文文字4 Char1"/>
    <w:autoRedefine/>
    <w:qFormat/>
    <w:uiPriority w:val="0"/>
    <w:rPr>
      <w:rFonts w:hint="eastAsia" w:ascii="宋体" w:hAnsi="宋体" w:eastAsia="宋体"/>
      <w:kern w:val="2"/>
      <w:sz w:val="21"/>
      <w:szCs w:val="24"/>
      <w:lang w:val="en-US" w:eastAsia="zh-CN" w:bidi="ar-SA"/>
    </w:rPr>
  </w:style>
  <w:style w:type="character" w:customStyle="1" w:styleId="843">
    <w:name w:val="标题 4 Char1"/>
    <w:autoRedefine/>
    <w:qFormat/>
    <w:uiPriority w:val="0"/>
    <w:rPr>
      <w:rFonts w:hint="default" w:ascii="Arial" w:hAnsi="Arial" w:eastAsia="黑体" w:cs="Arial"/>
      <w:b/>
      <w:bCs/>
      <w:kern w:val="2"/>
      <w:sz w:val="28"/>
      <w:szCs w:val="28"/>
      <w:lang w:val="en-US" w:eastAsia="zh-CN" w:bidi="ar-SA"/>
    </w:rPr>
  </w:style>
  <w:style w:type="character" w:customStyle="1" w:styleId="844">
    <w:name w:val="引用 字符2"/>
    <w:autoRedefine/>
    <w:qFormat/>
    <w:locked/>
    <w:uiPriority w:val="0"/>
    <w:rPr>
      <w:i/>
      <w:sz w:val="21"/>
    </w:rPr>
  </w:style>
  <w:style w:type="character" w:customStyle="1" w:styleId="845">
    <w:name w:val="Char Char27"/>
    <w:autoRedefine/>
    <w:qFormat/>
    <w:uiPriority w:val="0"/>
    <w:rPr>
      <w:rFonts w:hint="default" w:ascii="Calibri" w:hAnsi="Calibri" w:eastAsia="宋体" w:cs="Times New Roman"/>
      <w:b/>
      <w:bCs/>
      <w:kern w:val="2"/>
      <w:sz w:val="24"/>
      <w:szCs w:val="32"/>
    </w:rPr>
  </w:style>
  <w:style w:type="character" w:customStyle="1" w:styleId="846">
    <w:name w:val="ca-351"/>
    <w:autoRedefine/>
    <w:qFormat/>
    <w:uiPriority w:val="0"/>
    <w:rPr>
      <w:rFonts w:hint="default" w:ascii="Times New Roman" w:hAnsi="Times New Roman" w:cs="Times New Roman"/>
      <w:sz w:val="10"/>
      <w:szCs w:val="10"/>
    </w:rPr>
  </w:style>
  <w:style w:type="character" w:customStyle="1" w:styleId="847">
    <w:name w:val="ca-131"/>
    <w:autoRedefine/>
    <w:qFormat/>
    <w:uiPriority w:val="0"/>
    <w:rPr>
      <w:rFonts w:hint="eastAsia" w:ascii="宋体" w:hAnsi="宋体" w:eastAsia="宋体"/>
      <w:color w:val="000000"/>
      <w:sz w:val="32"/>
      <w:szCs w:val="32"/>
    </w:rPr>
  </w:style>
  <w:style w:type="character" w:customStyle="1" w:styleId="848">
    <w:name w:val="页眉 Char1"/>
    <w:autoRedefine/>
    <w:qFormat/>
    <w:uiPriority w:val="0"/>
    <w:rPr>
      <w:rFonts w:hint="eastAsia" w:ascii="仿宋_GB2312" w:eastAsia="仿宋_GB2312"/>
      <w:kern w:val="2"/>
      <w:sz w:val="18"/>
      <w:lang w:val="en-US" w:eastAsia="zh-CN" w:bidi="ar-SA"/>
    </w:rPr>
  </w:style>
  <w:style w:type="paragraph" w:customStyle="1" w:styleId="849">
    <w:name w:val="标题 2_0"/>
    <w:basedOn w:val="152"/>
    <w:next w:val="152"/>
    <w:link w:val="850"/>
    <w:autoRedefine/>
    <w:qFormat/>
    <w:uiPriority w:val="0"/>
    <w:pPr>
      <w:keepNext/>
      <w:keepLines/>
      <w:spacing w:before="260" w:after="260" w:line="412" w:lineRule="auto"/>
      <w:outlineLvl w:val="1"/>
    </w:pPr>
    <w:rPr>
      <w:rFonts w:ascii="Cambria" w:hAnsi="Cambria"/>
      <w:b/>
      <w:bCs/>
      <w:sz w:val="32"/>
      <w:szCs w:val="32"/>
    </w:rPr>
  </w:style>
  <w:style w:type="character" w:customStyle="1" w:styleId="850">
    <w:name w:val="标题 2 Char_0"/>
    <w:link w:val="849"/>
    <w:autoRedefine/>
    <w:qFormat/>
    <w:locked/>
    <w:uiPriority w:val="0"/>
    <w:rPr>
      <w:rFonts w:ascii="Cambria" w:hAnsi="Cambria" w:eastAsia="宋体" w:cs="Times New Roman"/>
      <w:b/>
      <w:bCs/>
      <w:sz w:val="32"/>
      <w:szCs w:val="32"/>
    </w:rPr>
  </w:style>
  <w:style w:type="character" w:customStyle="1" w:styleId="851">
    <w:name w:val="手改 Char Char2"/>
    <w:autoRedefine/>
    <w:qFormat/>
    <w:uiPriority w:val="0"/>
    <w:rPr>
      <w:rFonts w:hint="eastAsia" w:ascii="宋体" w:hAnsi="宋体" w:eastAsia="宋体"/>
      <w:kern w:val="2"/>
      <w:sz w:val="21"/>
      <w:szCs w:val="24"/>
      <w:lang w:val="en-US" w:eastAsia="zh-CN" w:bidi="ar-SA"/>
    </w:rPr>
  </w:style>
  <w:style w:type="character" w:customStyle="1" w:styleId="852">
    <w:name w:val="Char Char31"/>
    <w:autoRedefine/>
    <w:qFormat/>
    <w:uiPriority w:val="0"/>
    <w:rPr>
      <w:rFonts w:hint="default" w:ascii="Arial" w:hAnsi="Arial" w:eastAsia="宋体" w:cs="Arial"/>
      <w:b/>
      <w:bCs/>
      <w:kern w:val="2"/>
      <w:sz w:val="21"/>
      <w:szCs w:val="32"/>
      <w:lang w:val="en-US" w:eastAsia="zh-CN" w:bidi="ar-SA"/>
    </w:rPr>
  </w:style>
  <w:style w:type="character" w:customStyle="1" w:styleId="853">
    <w:name w:val="样式1 Char"/>
    <w:autoRedefine/>
    <w:qFormat/>
    <w:uiPriority w:val="0"/>
    <w:rPr>
      <w:rFonts w:hint="eastAsia" w:ascii="宋体" w:hAnsi="宋体" w:eastAsia="宋体"/>
      <w:kern w:val="2"/>
      <w:sz w:val="24"/>
      <w:szCs w:val="24"/>
      <w:lang w:val="en-US" w:eastAsia="zh-CN" w:bidi="ar-SA"/>
    </w:rPr>
  </w:style>
  <w:style w:type="character" w:customStyle="1" w:styleId="854">
    <w:name w:val="ca-281"/>
    <w:autoRedefine/>
    <w:qFormat/>
    <w:uiPriority w:val="0"/>
    <w:rPr>
      <w:rFonts w:hint="eastAsia" w:ascii="宋体" w:hAnsi="宋体" w:eastAsia="宋体"/>
      <w:color w:val="FF0000"/>
      <w:sz w:val="21"/>
      <w:szCs w:val="21"/>
    </w:rPr>
  </w:style>
  <w:style w:type="character" w:customStyle="1" w:styleId="855">
    <w:name w:val="ca-521"/>
    <w:autoRedefine/>
    <w:qFormat/>
    <w:uiPriority w:val="0"/>
    <w:rPr>
      <w:rFonts w:hint="eastAsia" w:ascii="宋体" w:hAnsi="宋体" w:eastAsia="宋体"/>
      <w:b/>
      <w:bCs/>
      <w:spacing w:val="-20"/>
      <w:sz w:val="36"/>
      <w:szCs w:val="36"/>
    </w:rPr>
  </w:style>
  <w:style w:type="character" w:customStyle="1" w:styleId="856">
    <w:name w:val="CPara- Char Char"/>
    <w:autoRedefine/>
    <w:qFormat/>
    <w:uiPriority w:val="0"/>
    <w:rPr>
      <w:rFonts w:hint="eastAsia" w:ascii="宋体" w:hAnsi="宋体" w:eastAsia="宋体"/>
      <w:lang w:val="en-US" w:eastAsia="en-US" w:bidi="ar-SA"/>
    </w:rPr>
  </w:style>
  <w:style w:type="character" w:customStyle="1" w:styleId="857">
    <w:name w:val="ca-491"/>
    <w:autoRedefine/>
    <w:qFormat/>
    <w:uiPriority w:val="0"/>
    <w:rPr>
      <w:rFonts w:hint="eastAsia" w:ascii="宋体" w:hAnsi="宋体" w:eastAsia="宋体"/>
      <w:spacing w:val="0"/>
      <w:sz w:val="32"/>
      <w:szCs w:val="32"/>
    </w:rPr>
  </w:style>
  <w:style w:type="character" w:customStyle="1" w:styleId="858">
    <w:name w:val="ca-431"/>
    <w:autoRedefine/>
    <w:qFormat/>
    <w:uiPriority w:val="0"/>
    <w:rPr>
      <w:rFonts w:hint="eastAsia" w:ascii="宋体" w:hAnsi="宋体" w:eastAsia="宋体"/>
      <w:color w:val="000000"/>
      <w:sz w:val="44"/>
      <w:szCs w:val="44"/>
    </w:rPr>
  </w:style>
  <w:style w:type="character" w:customStyle="1" w:styleId="859">
    <w:name w:val="样式 正文缩进正文（首行缩进两字）特点ALT+Z表正文正文非缩进四号段1Normal Indent Char2... Char Char"/>
    <w:autoRedefine/>
    <w:qFormat/>
    <w:uiPriority w:val="0"/>
    <w:rPr>
      <w:rFonts w:hint="default" w:ascii="Arial" w:hAnsi="Arial" w:eastAsia="宋体" w:cs="Arial"/>
      <w:b/>
      <w:bCs/>
      <w:kern w:val="2"/>
      <w:sz w:val="24"/>
      <w:szCs w:val="32"/>
      <w:lang w:val="en-US" w:eastAsia="zh-CN" w:bidi="ar-SA"/>
    </w:rPr>
  </w:style>
  <w:style w:type="character" w:customStyle="1" w:styleId="860">
    <w:name w:val="Char Char29"/>
    <w:autoRedefine/>
    <w:qFormat/>
    <w:uiPriority w:val="0"/>
    <w:rPr>
      <w:rFonts w:hint="eastAsia" w:ascii="宋体" w:hAnsi="宋体" w:eastAsia="宋体"/>
      <w:b/>
      <w:bCs/>
      <w:kern w:val="44"/>
      <w:sz w:val="44"/>
      <w:szCs w:val="44"/>
      <w:lang w:val="en-US" w:eastAsia="zh-CN" w:bidi="ar-SA"/>
    </w:rPr>
  </w:style>
  <w:style w:type="character" w:customStyle="1" w:styleId="861">
    <w:name w:val="批注框文本 Char1"/>
    <w:autoRedefine/>
    <w:qFormat/>
    <w:uiPriority w:val="0"/>
    <w:rPr>
      <w:kern w:val="2"/>
      <w:sz w:val="18"/>
      <w:szCs w:val="18"/>
    </w:rPr>
  </w:style>
  <w:style w:type="character" w:customStyle="1" w:styleId="862">
    <w:name w:val="ca-111"/>
    <w:autoRedefine/>
    <w:qFormat/>
    <w:uiPriority w:val="0"/>
    <w:rPr>
      <w:rFonts w:hint="default" w:ascii="Times New Roman" w:hAnsi="Times New Roman" w:cs="Times New Roman"/>
      <w:color w:val="000000"/>
      <w:sz w:val="30"/>
      <w:szCs w:val="30"/>
    </w:rPr>
  </w:style>
  <w:style w:type="paragraph" w:customStyle="1" w:styleId="863">
    <w:name w:val="标题 1_1"/>
    <w:basedOn w:val="155"/>
    <w:next w:val="155"/>
    <w:link w:val="864"/>
    <w:autoRedefine/>
    <w:qFormat/>
    <w:uiPriority w:val="0"/>
    <w:pPr>
      <w:keepNext/>
      <w:keepLines/>
      <w:spacing w:line="360" w:lineRule="auto"/>
      <w:outlineLvl w:val="0"/>
    </w:pPr>
    <w:rPr>
      <w:rFonts w:ascii="Times New Roman" w:hAnsi="Times New Roman"/>
      <w:b/>
      <w:bCs/>
      <w:kern w:val="44"/>
      <w:sz w:val="32"/>
      <w:szCs w:val="44"/>
    </w:rPr>
  </w:style>
  <w:style w:type="character" w:customStyle="1" w:styleId="864">
    <w:name w:val="Char Char24"/>
    <w:link w:val="863"/>
    <w:autoRedefine/>
    <w:qFormat/>
    <w:locked/>
    <w:uiPriority w:val="0"/>
    <w:rPr>
      <w:rFonts w:ascii="Times New Roman" w:hAnsi="Times New Roman" w:eastAsia="宋体" w:cs="Times New Roman"/>
      <w:b/>
      <w:bCs/>
      <w:kern w:val="44"/>
      <w:sz w:val="32"/>
      <w:szCs w:val="44"/>
    </w:rPr>
  </w:style>
  <w:style w:type="character" w:customStyle="1" w:styleId="865">
    <w:name w:val="手改 Char Char1"/>
    <w:autoRedefine/>
    <w:qFormat/>
    <w:uiPriority w:val="0"/>
    <w:rPr>
      <w:rFonts w:hint="eastAsia" w:ascii="宋体" w:hAnsi="宋体" w:eastAsia="宋体"/>
      <w:kern w:val="2"/>
      <w:sz w:val="21"/>
      <w:szCs w:val="24"/>
      <w:lang w:val="en-US" w:eastAsia="zh-CN" w:bidi="ar-SA"/>
    </w:rPr>
  </w:style>
  <w:style w:type="character" w:customStyle="1" w:styleId="866">
    <w:name w:val="标题 8 Char"/>
    <w:autoRedefine/>
    <w:qFormat/>
    <w:uiPriority w:val="0"/>
    <w:rPr>
      <w:rFonts w:hint="default" w:ascii="Cambria" w:hAnsi="Cambria" w:eastAsia="宋体" w:cs="Times New Roman"/>
      <w:kern w:val="2"/>
      <w:sz w:val="24"/>
      <w:szCs w:val="24"/>
    </w:rPr>
  </w:style>
  <w:style w:type="character" w:customStyle="1" w:styleId="867">
    <w:name w:val="ca-151"/>
    <w:autoRedefine/>
    <w:qFormat/>
    <w:uiPriority w:val="0"/>
    <w:rPr>
      <w:rFonts w:hint="eastAsia" w:ascii="宋体" w:hAnsi="宋体" w:eastAsia="宋体"/>
      <w:caps/>
      <w:color w:val="000000"/>
      <w:sz w:val="24"/>
      <w:szCs w:val="24"/>
    </w:rPr>
  </w:style>
  <w:style w:type="character" w:customStyle="1" w:styleId="868">
    <w:name w:val="ca-291"/>
    <w:autoRedefine/>
    <w:qFormat/>
    <w:uiPriority w:val="0"/>
    <w:rPr>
      <w:rFonts w:hint="eastAsia" w:ascii="宋体" w:hAnsi="宋体" w:eastAsia="宋体"/>
      <w:color w:val="7030A0"/>
      <w:sz w:val="21"/>
      <w:szCs w:val="21"/>
    </w:rPr>
  </w:style>
  <w:style w:type="character" w:customStyle="1" w:styleId="869">
    <w:name w:val="ca-371"/>
    <w:autoRedefine/>
    <w:qFormat/>
    <w:uiPriority w:val="0"/>
    <w:rPr>
      <w:rFonts w:hint="eastAsia" w:ascii="宋体" w:hAnsi="宋体" w:eastAsia="宋体"/>
      <w:color w:val="000000"/>
      <w:spacing w:val="0"/>
      <w:sz w:val="21"/>
      <w:szCs w:val="21"/>
    </w:rPr>
  </w:style>
  <w:style w:type="character" w:customStyle="1" w:styleId="870">
    <w:name w:val="标题 9 Char1"/>
    <w:autoRedefine/>
    <w:qFormat/>
    <w:uiPriority w:val="0"/>
    <w:rPr>
      <w:rFonts w:hint="default" w:ascii="Arial" w:hAnsi="Arial" w:eastAsia="黑体" w:cs="Arial"/>
      <w:kern w:val="2"/>
      <w:sz w:val="21"/>
      <w:szCs w:val="22"/>
      <w:lang w:val="en-US" w:eastAsia="zh-CN" w:bidi="ar-SA"/>
    </w:rPr>
  </w:style>
  <w:style w:type="character" w:customStyle="1" w:styleId="871">
    <w:name w:val="正文首行缩进 Char"/>
    <w:autoRedefine/>
    <w:qFormat/>
    <w:uiPriority w:val="0"/>
    <w:rPr>
      <w:kern w:val="2"/>
      <w:sz w:val="21"/>
      <w:szCs w:val="24"/>
    </w:rPr>
  </w:style>
  <w:style w:type="character" w:customStyle="1" w:styleId="872">
    <w:name w:val="ca-141"/>
    <w:autoRedefine/>
    <w:qFormat/>
    <w:uiPriority w:val="0"/>
    <w:rPr>
      <w:rFonts w:hint="default" w:ascii="Times New Roman" w:hAnsi="Times New Roman" w:cs="Times New Roman"/>
      <w:color w:val="000000"/>
      <w:sz w:val="24"/>
      <w:szCs w:val="24"/>
    </w:rPr>
  </w:style>
  <w:style w:type="character" w:customStyle="1" w:styleId="873">
    <w:name w:val="批注主题 Char2"/>
    <w:autoRedefine/>
    <w:qFormat/>
    <w:uiPriority w:val="0"/>
    <w:rPr>
      <w:rFonts w:hint="eastAsia" w:ascii="宋体" w:hAnsi="宋体" w:eastAsia="宋体"/>
      <w:b/>
      <w:bCs/>
      <w:kern w:val="2"/>
      <w:sz w:val="21"/>
      <w:lang w:val="en-US" w:eastAsia="zh-CN" w:bidi="ar-SA"/>
    </w:rPr>
  </w:style>
  <w:style w:type="character" w:customStyle="1" w:styleId="874">
    <w:name w:val="zbggmain style9_1"/>
    <w:autoRedefine/>
    <w:qFormat/>
    <w:uiPriority w:val="0"/>
    <w:rPr>
      <w:rFonts w:hint="default" w:ascii="Calibri" w:hAnsi="Calibri" w:eastAsia="ヒラギノ角ゴ Pro W3" w:cs="Calibri"/>
      <w:color w:val="000000"/>
      <w:sz w:val="20"/>
      <w:lang w:val="en-US" w:eastAsia="zh-CN" w:bidi="ar-SA"/>
    </w:rPr>
  </w:style>
  <w:style w:type="character" w:customStyle="1" w:styleId="875">
    <w:name w:val="ca-391"/>
    <w:autoRedefine/>
    <w:qFormat/>
    <w:uiPriority w:val="0"/>
    <w:rPr>
      <w:rFonts w:hint="eastAsia" w:ascii="宋体" w:hAnsi="宋体" w:eastAsia="宋体"/>
      <w:b/>
      <w:bCs/>
      <w:color w:val="000000"/>
      <w:spacing w:val="-20"/>
      <w:sz w:val="28"/>
      <w:szCs w:val="28"/>
    </w:rPr>
  </w:style>
  <w:style w:type="character" w:customStyle="1" w:styleId="876">
    <w:name w:val="不明显参考111"/>
    <w:autoRedefine/>
    <w:qFormat/>
    <w:uiPriority w:val="0"/>
    <w:rPr>
      <w:smallCaps/>
      <w:color w:val="C0504D"/>
      <w:u w:val="single"/>
    </w:rPr>
  </w:style>
  <w:style w:type="character" w:customStyle="1" w:styleId="877">
    <w:name w:val="批注主题 Char Char"/>
    <w:autoRedefine/>
    <w:qFormat/>
    <w:uiPriority w:val="0"/>
    <w:rPr>
      <w:rFonts w:hint="default" w:ascii="Times New Roman" w:hAnsi="Times New Roman" w:eastAsia="宋体" w:cs="Times New Roman"/>
      <w:b/>
      <w:bCs/>
      <w:kern w:val="2"/>
      <w:sz w:val="21"/>
      <w:szCs w:val="24"/>
    </w:rPr>
  </w:style>
  <w:style w:type="character" w:customStyle="1" w:styleId="878">
    <w:name w:val="by jerry Char"/>
    <w:autoRedefine/>
    <w:qFormat/>
    <w:uiPriority w:val="0"/>
    <w:rPr>
      <w:rFonts w:hint="eastAsia" w:ascii="宋体" w:hAnsi="宋体" w:eastAsia="宋体"/>
      <w:b/>
      <w:bCs/>
      <w:kern w:val="44"/>
      <w:sz w:val="32"/>
      <w:szCs w:val="44"/>
      <w:lang w:val="en-US" w:eastAsia="zh-CN" w:bidi="ar-SA"/>
    </w:rPr>
  </w:style>
  <w:style w:type="character" w:customStyle="1" w:styleId="879">
    <w:name w:val="样式 纯文本普通文字 Char纯文本 Char Char普通文字纯文本 Char Char Char Char Char...6 Char"/>
    <w:autoRedefine/>
    <w:qFormat/>
    <w:locked/>
    <w:uiPriority w:val="0"/>
    <w:rPr>
      <w:rFonts w:hint="eastAsia" w:ascii="宋体" w:hAnsi="Courier New" w:eastAsia="宋体" w:cs="Courier New"/>
      <w:color w:val="000000"/>
      <w:szCs w:val="21"/>
    </w:rPr>
  </w:style>
  <w:style w:type="character" w:customStyle="1" w:styleId="880">
    <w:name w:val="样式 正文文本 Char"/>
    <w:autoRedefine/>
    <w:qFormat/>
    <w:locked/>
    <w:uiPriority w:val="0"/>
    <w:rPr>
      <w:rFonts w:hint="default" w:ascii="Arial" w:hAnsi="Arial" w:eastAsia="宋体" w:cs="宋体"/>
      <w:color w:val="000000"/>
    </w:rPr>
  </w:style>
  <w:style w:type="character" w:customStyle="1" w:styleId="881">
    <w:name w:val="内文 Char"/>
    <w:autoRedefine/>
    <w:qFormat/>
    <w:locked/>
    <w:uiPriority w:val="0"/>
    <w:rPr>
      <w:rFonts w:hint="default" w:ascii="Arial" w:hAnsi="Arial" w:eastAsia="Times New Roman" w:cs="Arial"/>
      <w:kern w:val="2"/>
      <w:sz w:val="21"/>
      <w:szCs w:val="22"/>
      <w:lang w:val="en-US" w:eastAsia="zh-CN" w:bidi="ar-SA"/>
    </w:rPr>
  </w:style>
  <w:style w:type="character" w:customStyle="1" w:styleId="882">
    <w:name w:val="明显引用 字符2"/>
    <w:autoRedefine/>
    <w:qFormat/>
    <w:locked/>
    <w:uiPriority w:val="0"/>
    <w:rPr>
      <w:i/>
      <w:sz w:val="21"/>
    </w:rPr>
  </w:style>
  <w:style w:type="character" w:customStyle="1" w:styleId="883">
    <w:name w:val="引用 Char2"/>
    <w:autoRedefine/>
    <w:qFormat/>
    <w:uiPriority w:val="0"/>
    <w:rPr>
      <w:rFonts w:hint="default" w:ascii="Times New Roman" w:hAnsi="Times New Roman" w:cs="Times New Roman"/>
      <w:i/>
      <w:iCs/>
      <w:color w:val="000000"/>
      <w:kern w:val="2"/>
      <w:sz w:val="21"/>
      <w:szCs w:val="24"/>
    </w:rPr>
  </w:style>
  <w:style w:type="character" w:customStyle="1" w:styleId="884">
    <w:name w:val="font91"/>
    <w:autoRedefine/>
    <w:qFormat/>
    <w:uiPriority w:val="0"/>
    <w:rPr>
      <w:rFonts w:hint="eastAsia" w:ascii="宋体" w:hAnsi="宋体" w:eastAsia="宋体"/>
      <w:color w:val="000000"/>
      <w:sz w:val="18"/>
      <w:szCs w:val="18"/>
      <w:u w:val="none"/>
    </w:rPr>
  </w:style>
  <w:style w:type="character" w:customStyle="1" w:styleId="885">
    <w:name w:val="font81"/>
    <w:autoRedefine/>
    <w:qFormat/>
    <w:uiPriority w:val="0"/>
    <w:rPr>
      <w:rFonts w:hint="default" w:ascii="Arial" w:hAnsi="Arial" w:cs="Arial"/>
      <w:color w:val="000000"/>
      <w:sz w:val="18"/>
      <w:szCs w:val="18"/>
      <w:u w:val="none"/>
    </w:rPr>
  </w:style>
  <w:style w:type="character" w:customStyle="1" w:styleId="886">
    <w:name w:val="font101"/>
    <w:autoRedefine/>
    <w:qFormat/>
    <w:uiPriority w:val="0"/>
    <w:rPr>
      <w:rFonts w:hint="default" w:ascii="Arial" w:hAnsi="Arial" w:cs="Arial"/>
      <w:color w:val="000000"/>
      <w:sz w:val="20"/>
      <w:szCs w:val="20"/>
      <w:u w:val="none"/>
    </w:rPr>
  </w:style>
  <w:style w:type="character" w:customStyle="1" w:styleId="887">
    <w:name w:val="font31"/>
    <w:autoRedefine/>
    <w:qFormat/>
    <w:uiPriority w:val="0"/>
    <w:rPr>
      <w:rFonts w:hint="eastAsia" w:ascii="宋体" w:hAnsi="宋体" w:eastAsia="宋体"/>
      <w:color w:val="000000"/>
      <w:sz w:val="20"/>
      <w:szCs w:val="20"/>
      <w:u w:val="none"/>
    </w:rPr>
  </w:style>
  <w:style w:type="character" w:customStyle="1" w:styleId="888">
    <w:name w:val="Heading 6 Char"/>
    <w:autoRedefine/>
    <w:qFormat/>
    <w:locked/>
    <w:uiPriority w:val="0"/>
    <w:rPr>
      <w:rFonts w:hint="default" w:ascii="Arial" w:hAnsi="Arial" w:eastAsia="黑体" w:cs="Arial"/>
      <w:b/>
      <w:bCs/>
      <w:sz w:val="24"/>
      <w:szCs w:val="24"/>
      <w:lang w:val="en-US" w:eastAsia="zh-CN" w:bidi="ar-SA"/>
    </w:rPr>
  </w:style>
  <w:style w:type="character" w:customStyle="1" w:styleId="889">
    <w:name w:val="正文2 Char"/>
    <w:autoRedefine/>
    <w:qFormat/>
    <w:uiPriority w:val="0"/>
    <w:rPr>
      <w:rFonts w:hint="eastAsia" w:ascii="宋体" w:hAnsi="宋体" w:eastAsia="宋体"/>
      <w:kern w:val="2"/>
      <w:sz w:val="24"/>
      <w:lang w:val="en-US" w:eastAsia="zh-CN" w:bidi="ar-SA"/>
    </w:rPr>
  </w:style>
  <w:style w:type="character" w:customStyle="1" w:styleId="890">
    <w:name w:val="Heading 4 Char"/>
    <w:autoRedefine/>
    <w:qFormat/>
    <w:locked/>
    <w:uiPriority w:val="0"/>
    <w:rPr>
      <w:rFonts w:hint="default" w:ascii="Arial" w:hAnsi="Arial" w:eastAsia="黑体" w:cs="Arial"/>
      <w:b/>
      <w:bCs/>
      <w:kern w:val="2"/>
      <w:sz w:val="28"/>
      <w:szCs w:val="28"/>
      <w:lang w:val="en-US" w:eastAsia="zh-CN" w:bidi="ar-SA"/>
    </w:rPr>
  </w:style>
  <w:style w:type="character" w:customStyle="1" w:styleId="891">
    <w:name w:val="副标题 Char1"/>
    <w:autoRedefine/>
    <w:qFormat/>
    <w:uiPriority w:val="0"/>
    <w:rPr>
      <w:rFonts w:hint="default" w:ascii="Cambria" w:hAnsi="Cambria" w:cs="Times New Roman"/>
      <w:b/>
      <w:bCs/>
      <w:kern w:val="28"/>
      <w:sz w:val="32"/>
      <w:szCs w:val="32"/>
    </w:rPr>
  </w:style>
  <w:style w:type="character" w:customStyle="1" w:styleId="892">
    <w:name w:val="Comment Subject Char"/>
    <w:autoRedefine/>
    <w:qFormat/>
    <w:locked/>
    <w:uiPriority w:val="0"/>
    <w:rPr>
      <w:rFonts w:hint="eastAsia" w:ascii="宋体" w:hAnsi="宋体" w:eastAsia="宋体"/>
      <w:b/>
      <w:bCs/>
      <w:kern w:val="2"/>
      <w:sz w:val="21"/>
      <w:szCs w:val="24"/>
      <w:lang w:val="en-US" w:eastAsia="zh-CN" w:bidi="ar-SA"/>
    </w:rPr>
  </w:style>
  <w:style w:type="character" w:customStyle="1" w:styleId="893">
    <w:name w:val="Heading 3 - old Char"/>
    <w:autoRedefine/>
    <w:qFormat/>
    <w:uiPriority w:val="0"/>
    <w:rPr>
      <w:rFonts w:hint="eastAsia" w:ascii="宋体" w:hAnsi="宋体" w:eastAsia="宋体"/>
      <w:b/>
      <w:bCs/>
      <w:kern w:val="2"/>
      <w:sz w:val="21"/>
      <w:szCs w:val="32"/>
      <w:lang w:val="en-US" w:eastAsia="zh-CN" w:bidi="ar-SA"/>
    </w:rPr>
  </w:style>
  <w:style w:type="character" w:customStyle="1" w:styleId="894">
    <w:name w:val="Heading 3 Char"/>
    <w:autoRedefine/>
    <w:qFormat/>
    <w:locked/>
    <w:uiPriority w:val="0"/>
    <w:rPr>
      <w:rFonts w:hint="eastAsia" w:ascii="宋体" w:hAnsi="宋体" w:eastAsia="宋体"/>
      <w:b/>
      <w:bCs/>
      <w:kern w:val="2"/>
      <w:sz w:val="32"/>
      <w:szCs w:val="32"/>
      <w:lang w:val="en-US" w:eastAsia="zh-CN" w:bidi="ar-SA"/>
    </w:rPr>
  </w:style>
  <w:style w:type="character" w:customStyle="1" w:styleId="895">
    <w:name w:val="Char Char"/>
    <w:autoRedefine/>
    <w:qFormat/>
    <w:uiPriority w:val="0"/>
    <w:rPr>
      <w:rFonts w:hint="default" w:ascii="Arial" w:hAnsi="Arial" w:eastAsia="黑体" w:cs="Arial"/>
      <w:b/>
      <w:bCs/>
      <w:kern w:val="2"/>
      <w:sz w:val="32"/>
      <w:szCs w:val="32"/>
      <w:lang w:val="en-US" w:eastAsia="zh-CN" w:bidi="ar-SA"/>
    </w:rPr>
  </w:style>
  <w:style w:type="character" w:customStyle="1" w:styleId="896">
    <w:name w:val="Body Text Char"/>
    <w:autoRedefine/>
    <w:qFormat/>
    <w:locked/>
    <w:uiPriority w:val="0"/>
    <w:rPr>
      <w:rFonts w:hint="eastAsia" w:ascii="宋体" w:hAnsi="宋体" w:eastAsia="宋体"/>
      <w:kern w:val="2"/>
      <w:sz w:val="21"/>
      <w:szCs w:val="24"/>
      <w:lang w:val="en-US" w:eastAsia="zh-CN" w:bidi="ar-SA"/>
    </w:rPr>
  </w:style>
  <w:style w:type="character" w:customStyle="1" w:styleId="897">
    <w:name w:val="正文文字4 Char Char1"/>
    <w:autoRedefine/>
    <w:qFormat/>
    <w:uiPriority w:val="0"/>
    <w:rPr>
      <w:rFonts w:hint="eastAsia" w:ascii="宋体" w:hAnsi="宋体" w:eastAsia="宋体"/>
      <w:kern w:val="2"/>
      <w:sz w:val="24"/>
      <w:szCs w:val="24"/>
      <w:lang w:val="en-US" w:eastAsia="zh-CN" w:bidi="ar-SA"/>
    </w:rPr>
  </w:style>
  <w:style w:type="character" w:customStyle="1" w:styleId="898">
    <w:name w:val="country-name"/>
    <w:autoRedefine/>
    <w:qFormat/>
    <w:uiPriority w:val="0"/>
  </w:style>
  <w:style w:type="character" w:customStyle="1" w:styleId="899">
    <w:name w:val="Title Char"/>
    <w:autoRedefine/>
    <w:qFormat/>
    <w:locked/>
    <w:uiPriority w:val="0"/>
    <w:rPr>
      <w:rFonts w:hint="default" w:ascii="Arial" w:hAnsi="Arial" w:eastAsia="宋体" w:cs="Arial"/>
      <w:b/>
      <w:sz w:val="32"/>
      <w:lang w:val="en-US" w:eastAsia="zh-CN" w:bidi="ar-SA"/>
    </w:rPr>
  </w:style>
  <w:style w:type="character" w:customStyle="1" w:styleId="900">
    <w:name w:val="Heading 8 Char"/>
    <w:autoRedefine/>
    <w:qFormat/>
    <w:locked/>
    <w:uiPriority w:val="0"/>
    <w:rPr>
      <w:rFonts w:hint="default" w:ascii="Arial" w:hAnsi="Arial" w:eastAsia="黑体" w:cs="Arial"/>
      <w:sz w:val="24"/>
      <w:szCs w:val="24"/>
      <w:lang w:val="en-US" w:eastAsia="zh-CN" w:bidi="ar-SA"/>
    </w:rPr>
  </w:style>
  <w:style w:type="character" w:customStyle="1" w:styleId="901">
    <w:name w:val="Balloon Text Char"/>
    <w:autoRedefine/>
    <w:qFormat/>
    <w:locked/>
    <w:uiPriority w:val="0"/>
    <w:rPr>
      <w:rFonts w:hint="eastAsia" w:ascii="宋体" w:hAnsi="宋体" w:eastAsia="宋体"/>
      <w:kern w:val="2"/>
      <w:sz w:val="18"/>
      <w:szCs w:val="18"/>
      <w:lang w:val="en-US" w:eastAsia="zh-CN" w:bidi="ar-SA"/>
    </w:rPr>
  </w:style>
  <w:style w:type="character" w:customStyle="1" w:styleId="902">
    <w:name w:val="手改 Char Char"/>
    <w:autoRedefine/>
    <w:qFormat/>
    <w:uiPriority w:val="0"/>
    <w:rPr>
      <w:rFonts w:hint="eastAsia" w:ascii="宋体" w:hAnsi="宋体" w:eastAsia="宋体"/>
      <w:kern w:val="2"/>
      <w:sz w:val="21"/>
      <w:szCs w:val="24"/>
      <w:lang w:val="en-US" w:eastAsia="zh-CN" w:bidi="ar-SA"/>
    </w:rPr>
  </w:style>
  <w:style w:type="character" w:customStyle="1" w:styleId="903">
    <w:name w:val="Para head"/>
    <w:autoRedefine/>
    <w:qFormat/>
    <w:uiPriority w:val="0"/>
    <w:rPr>
      <w:rFonts w:hint="default" w:ascii="Arial" w:hAnsi="Arial" w:eastAsia="Times New Roman" w:cs="Arial"/>
      <w:sz w:val="20"/>
    </w:rPr>
  </w:style>
  <w:style w:type="character" w:customStyle="1" w:styleId="904">
    <w:name w:val="正文文字4 Char Char2"/>
    <w:autoRedefine/>
    <w:qFormat/>
    <w:uiPriority w:val="0"/>
    <w:rPr>
      <w:rFonts w:hint="eastAsia" w:ascii="宋体" w:hAnsi="宋体" w:eastAsia="宋体"/>
      <w:kern w:val="2"/>
      <w:sz w:val="24"/>
      <w:szCs w:val="24"/>
      <w:lang w:val="en-US" w:eastAsia="zh-CN" w:bidi="ar-SA"/>
    </w:rPr>
  </w:style>
  <w:style w:type="character" w:customStyle="1" w:styleId="905">
    <w:name w:val="Char Char7"/>
    <w:autoRedefine/>
    <w:qFormat/>
    <w:uiPriority w:val="0"/>
    <w:rPr>
      <w:rFonts w:hint="default" w:ascii="Arial" w:hAnsi="Arial" w:eastAsia="黑体" w:cs="Arial"/>
      <w:b/>
      <w:bCs/>
      <w:kern w:val="2"/>
      <w:sz w:val="32"/>
      <w:szCs w:val="32"/>
      <w:lang w:val="en-US" w:eastAsia="zh-CN" w:bidi="ar-SA"/>
    </w:rPr>
  </w:style>
  <w:style w:type="character" w:customStyle="1" w:styleId="906">
    <w:name w:val="署名 Char2"/>
    <w:autoRedefine/>
    <w:qFormat/>
    <w:uiPriority w:val="0"/>
    <w:rPr>
      <w:rFonts w:hint="eastAsia" w:ascii="宋体" w:hAnsi="宋体" w:eastAsia="宋体"/>
      <w:snapToGrid w:val="0"/>
      <w:color w:val="000000"/>
      <w:kern w:val="28"/>
      <w:sz w:val="28"/>
      <w:lang w:val="en-US" w:eastAsia="zh-CN" w:bidi="ar-SA"/>
    </w:rPr>
  </w:style>
  <w:style w:type="character" w:customStyle="1" w:styleId="907">
    <w:name w:val="Char Char2"/>
    <w:autoRedefine/>
    <w:qFormat/>
    <w:uiPriority w:val="0"/>
    <w:rPr>
      <w:rFonts w:hint="eastAsia" w:ascii="宋体" w:hAnsi="宋体" w:eastAsia="宋体"/>
      <w:kern w:val="2"/>
      <w:sz w:val="21"/>
      <w:szCs w:val="24"/>
      <w:lang w:val="en-US" w:eastAsia="zh-CN" w:bidi="ar-SA"/>
    </w:rPr>
  </w:style>
  <w:style w:type="character" w:customStyle="1" w:styleId="908">
    <w:name w:val="Char Char1"/>
    <w:autoRedefine/>
    <w:qFormat/>
    <w:uiPriority w:val="0"/>
    <w:rPr>
      <w:rFonts w:hint="eastAsia" w:ascii="宋体" w:hAnsi="Courier New" w:eastAsia="宋体" w:cs="Courier New"/>
      <w:kern w:val="2"/>
      <w:sz w:val="21"/>
      <w:szCs w:val="21"/>
      <w:lang w:val="en-US" w:eastAsia="zh-CN" w:bidi="ar-SA"/>
    </w:rPr>
  </w:style>
  <w:style w:type="character" w:customStyle="1" w:styleId="909">
    <w:name w:val="正文文字4 Char Char"/>
    <w:autoRedefine/>
    <w:qFormat/>
    <w:uiPriority w:val="0"/>
    <w:rPr>
      <w:rFonts w:hint="eastAsia" w:ascii="宋体" w:hAnsi="宋体" w:eastAsia="宋体"/>
      <w:kern w:val="2"/>
      <w:sz w:val="21"/>
      <w:szCs w:val="24"/>
      <w:lang w:val="en-US" w:eastAsia="zh-CN" w:bidi="ar-SA"/>
    </w:rPr>
  </w:style>
  <w:style w:type="character" w:customStyle="1" w:styleId="910">
    <w:name w:val="个人撰写风格"/>
    <w:autoRedefine/>
    <w:qFormat/>
    <w:uiPriority w:val="0"/>
    <w:rPr>
      <w:rFonts w:hint="default" w:ascii="Arial" w:hAnsi="Arial" w:eastAsia="宋体" w:cs="Arial"/>
      <w:color w:val="auto"/>
      <w:sz w:val="20"/>
    </w:rPr>
  </w:style>
  <w:style w:type="character" w:customStyle="1" w:styleId="911">
    <w:name w:val="Header Char"/>
    <w:autoRedefine/>
    <w:qFormat/>
    <w:locked/>
    <w:uiPriority w:val="0"/>
    <w:rPr>
      <w:rFonts w:hint="eastAsia" w:ascii="宋体" w:hAnsi="宋体" w:eastAsia="宋体"/>
      <w:kern w:val="2"/>
      <w:sz w:val="18"/>
      <w:szCs w:val="18"/>
      <w:lang w:val="en-US" w:eastAsia="zh-CN" w:bidi="ar-SA"/>
    </w:rPr>
  </w:style>
  <w:style w:type="character" w:customStyle="1" w:styleId="912">
    <w:name w:val="locality"/>
    <w:autoRedefine/>
    <w:qFormat/>
    <w:uiPriority w:val="0"/>
  </w:style>
  <w:style w:type="character" w:customStyle="1" w:styleId="913">
    <w:name w:val="text"/>
    <w:autoRedefine/>
    <w:qFormat/>
    <w:uiPriority w:val="0"/>
  </w:style>
  <w:style w:type="character" w:customStyle="1" w:styleId="914">
    <w:name w:val="Char Char9"/>
    <w:autoRedefine/>
    <w:qFormat/>
    <w:uiPriority w:val="0"/>
    <w:rPr>
      <w:rFonts w:hint="eastAsia" w:ascii="宋体" w:hAnsi="宋体" w:eastAsia="宋体"/>
      <w:color w:val="000000"/>
      <w:kern w:val="2"/>
      <w:sz w:val="24"/>
      <w:lang w:val="en-US" w:eastAsia="zh-CN" w:bidi="ar-SA"/>
    </w:rPr>
  </w:style>
  <w:style w:type="character" w:customStyle="1" w:styleId="915">
    <w:name w:val="正文文本缩进 2 Char1"/>
    <w:autoRedefine/>
    <w:qFormat/>
    <w:uiPriority w:val="0"/>
    <w:rPr>
      <w:rFonts w:hint="eastAsia" w:ascii="宋体" w:hAnsi="宋体" w:eastAsia="宋体"/>
      <w:szCs w:val="24"/>
    </w:rPr>
  </w:style>
  <w:style w:type="character" w:customStyle="1" w:styleId="916">
    <w:name w:val="标题 Char3"/>
    <w:autoRedefine/>
    <w:qFormat/>
    <w:uiPriority w:val="0"/>
    <w:rPr>
      <w:rFonts w:hint="default" w:ascii="Cambria" w:hAnsi="Cambria" w:eastAsia="宋体" w:cs="Times New Roman"/>
      <w:b/>
      <w:bCs/>
      <w:sz w:val="32"/>
      <w:szCs w:val="32"/>
    </w:rPr>
  </w:style>
  <w:style w:type="character" w:customStyle="1" w:styleId="917">
    <w:name w:val="bookmark-item"/>
    <w:autoRedefine/>
    <w:qFormat/>
    <w:uiPriority w:val="0"/>
  </w:style>
  <w:style w:type="character" w:customStyle="1" w:styleId="918">
    <w:name w:val="正文首行缩进 Char1"/>
    <w:autoRedefine/>
    <w:qFormat/>
    <w:uiPriority w:val="0"/>
    <w:rPr>
      <w:rFonts w:hint="eastAsia" w:ascii="宋体" w:hAnsi="宋体" w:eastAsia="宋体"/>
      <w:szCs w:val="24"/>
    </w:rPr>
  </w:style>
  <w:style w:type="character" w:customStyle="1" w:styleId="919">
    <w:name w:val="样式 正文缩进正文（首行缩进两字）特点ALT+Z表正文正文非缩进四号段1Normal Indent Char2... Char"/>
    <w:autoRedefine/>
    <w:qFormat/>
    <w:uiPriority w:val="0"/>
    <w:rPr>
      <w:rFonts w:hint="default" w:ascii="Arial" w:hAnsi="Arial" w:eastAsia="宋体" w:cs="Arial"/>
      <w:b/>
      <w:kern w:val="2"/>
      <w:sz w:val="24"/>
      <w:szCs w:val="32"/>
      <w:lang w:val="en-US" w:eastAsia="zh-CN" w:bidi="ar-SA"/>
    </w:rPr>
  </w:style>
  <w:style w:type="character" w:customStyle="1" w:styleId="920">
    <w:name w:val="2nd level Char"/>
    <w:autoRedefine/>
    <w:qFormat/>
    <w:uiPriority w:val="0"/>
    <w:rPr>
      <w:rFonts w:hint="default" w:ascii="Arial" w:hAnsi="Arial" w:eastAsia="宋体" w:cs="Arial"/>
      <w:b/>
      <w:bCs/>
      <w:kern w:val="2"/>
      <w:sz w:val="24"/>
      <w:szCs w:val="32"/>
      <w:lang w:val="en-US" w:eastAsia="zh-CN" w:bidi="ar-SA"/>
    </w:rPr>
  </w:style>
  <w:style w:type="character" w:customStyle="1" w:styleId="921">
    <w:name w:val="明显引用 Char2"/>
    <w:autoRedefine/>
    <w:qFormat/>
    <w:uiPriority w:val="0"/>
    <w:rPr>
      <w:rFonts w:hint="default" w:ascii="Times New Roman" w:hAnsi="Times New Roman" w:eastAsia="宋体" w:cs="Times New Roman"/>
      <w:b/>
      <w:bCs/>
      <w:i/>
      <w:iCs/>
      <w:color w:val="4F81BD"/>
      <w:szCs w:val="24"/>
    </w:rPr>
  </w:style>
  <w:style w:type="character" w:customStyle="1" w:styleId="922">
    <w:name w:val="页眉 Char2"/>
    <w:autoRedefine/>
    <w:qFormat/>
    <w:uiPriority w:val="0"/>
    <w:rPr>
      <w:rFonts w:hint="eastAsia" w:ascii="宋体" w:hAnsi="宋体" w:eastAsia="宋体"/>
      <w:kern w:val="2"/>
      <w:sz w:val="18"/>
      <w:szCs w:val="18"/>
      <w:lang w:val="en-US" w:eastAsia="zh-CN" w:bidi="ar-SA"/>
    </w:rPr>
  </w:style>
  <w:style w:type="character" w:customStyle="1" w:styleId="923">
    <w:name w:val="Date Char"/>
    <w:autoRedefine/>
    <w:qFormat/>
    <w:locked/>
    <w:uiPriority w:val="0"/>
    <w:rPr>
      <w:rFonts w:hint="eastAsia" w:ascii="宋体" w:hAnsi="宋体" w:eastAsia="宋体"/>
      <w:kern w:val="2"/>
      <w:sz w:val="24"/>
      <w:lang w:val="en-US" w:eastAsia="zh-CN" w:bidi="ar-SA"/>
    </w:rPr>
  </w:style>
  <w:style w:type="character" w:customStyle="1" w:styleId="924">
    <w:name w:val="Char Char121"/>
    <w:autoRedefine/>
    <w:qFormat/>
    <w:uiPriority w:val="0"/>
    <w:rPr>
      <w:rFonts w:hint="default" w:ascii="Arial" w:hAnsi="Arial" w:eastAsia="宋体" w:cs="Arial"/>
      <w:b/>
      <w:sz w:val="32"/>
      <w:lang w:val="en-US" w:eastAsia="zh-CN" w:bidi="ar-SA"/>
    </w:rPr>
  </w:style>
  <w:style w:type="character" w:customStyle="1" w:styleId="925">
    <w:name w:val="Heading 5 Char"/>
    <w:autoRedefine/>
    <w:qFormat/>
    <w:locked/>
    <w:uiPriority w:val="0"/>
    <w:rPr>
      <w:rFonts w:hint="eastAsia" w:ascii="宋体" w:hAnsi="宋体" w:eastAsia="宋体"/>
      <w:b/>
      <w:bCs/>
      <w:kern w:val="2"/>
      <w:sz w:val="28"/>
      <w:szCs w:val="28"/>
      <w:lang w:val="en-US" w:eastAsia="zh-CN" w:bidi="ar-SA"/>
    </w:rPr>
  </w:style>
  <w:style w:type="character" w:customStyle="1" w:styleId="926">
    <w:name w:val="Char Char Char Char Char Char Char Char Char"/>
    <w:autoRedefine/>
    <w:qFormat/>
    <w:uiPriority w:val="0"/>
    <w:rPr>
      <w:rFonts w:hint="eastAsia" w:ascii="宋体" w:hAnsi="宋体" w:eastAsia="宋体"/>
      <w:kern w:val="2"/>
      <w:sz w:val="21"/>
      <w:szCs w:val="24"/>
      <w:lang w:val="en-US" w:eastAsia="zh-CN" w:bidi="ar-SA"/>
    </w:rPr>
  </w:style>
  <w:style w:type="character" w:customStyle="1" w:styleId="927">
    <w:name w:val="日期 Char"/>
    <w:autoRedefine/>
    <w:qFormat/>
    <w:uiPriority w:val="0"/>
    <w:rPr>
      <w:rFonts w:hint="eastAsia" w:ascii="宋体" w:hAnsi="宋体" w:eastAsia="宋体"/>
      <w:sz w:val="28"/>
      <w:lang w:bidi="ar-SA"/>
    </w:rPr>
  </w:style>
  <w:style w:type="character" w:customStyle="1" w:styleId="928">
    <w:name w:val="正文文本 Char"/>
    <w:autoRedefine/>
    <w:qFormat/>
    <w:uiPriority w:val="0"/>
    <w:rPr>
      <w:lang w:bidi="ar-SA"/>
    </w:rPr>
  </w:style>
  <w:style w:type="character" w:customStyle="1" w:styleId="929">
    <w:name w:val="标题 6 Char"/>
    <w:autoRedefine/>
    <w:qFormat/>
    <w:uiPriority w:val="0"/>
    <w:rPr>
      <w:rFonts w:hint="default" w:ascii="Cambria" w:hAnsi="Cambria" w:eastAsia="宋体"/>
      <w:b/>
      <w:bCs/>
      <w:kern w:val="2"/>
      <w:sz w:val="24"/>
      <w:szCs w:val="24"/>
      <w:lang w:val="en-US" w:eastAsia="zh-CN" w:bidi="ar-SA"/>
    </w:rPr>
  </w:style>
  <w:style w:type="character" w:customStyle="1" w:styleId="930">
    <w:name w:val="页脚 Char"/>
    <w:autoRedefine/>
    <w:qFormat/>
    <w:uiPriority w:val="99"/>
    <w:rPr>
      <w:kern w:val="2"/>
      <w:sz w:val="18"/>
      <w:szCs w:val="18"/>
      <w:lang w:bidi="ar-SA"/>
    </w:rPr>
  </w:style>
  <w:style w:type="character" w:customStyle="1" w:styleId="931">
    <w:name w:val="批注框文本 Char"/>
    <w:autoRedefine/>
    <w:qFormat/>
    <w:uiPriority w:val="0"/>
    <w:rPr>
      <w:rFonts w:hint="eastAsia" w:ascii="宋体" w:hAnsi="宋体" w:eastAsia="宋体"/>
      <w:sz w:val="18"/>
      <w:szCs w:val="18"/>
      <w:lang w:bidi="ar-SA"/>
    </w:rPr>
  </w:style>
  <w:style w:type="character" w:customStyle="1" w:styleId="932">
    <w:name w:val="标题 3 Char"/>
    <w:autoRedefine/>
    <w:qFormat/>
    <w:uiPriority w:val="0"/>
    <w:rPr>
      <w:rFonts w:hint="default" w:ascii="Calibri" w:hAnsi="Calibri" w:eastAsia="宋体" w:cs="Calibri"/>
      <w:b/>
      <w:bCs/>
      <w:kern w:val="2"/>
      <w:sz w:val="32"/>
      <w:szCs w:val="32"/>
      <w:lang w:val="en-US" w:eastAsia="zh-CN" w:bidi="ar-SA"/>
    </w:rPr>
  </w:style>
  <w:style w:type="character" w:customStyle="1" w:styleId="933">
    <w:name w:val="日期 Char3"/>
    <w:autoRedefine/>
    <w:qFormat/>
    <w:uiPriority w:val="0"/>
    <w:rPr>
      <w:rFonts w:hint="eastAsia" w:ascii="仿宋_GB2312" w:eastAsia="仿宋_GB2312"/>
      <w:kern w:val="2"/>
      <w:sz w:val="28"/>
      <w:lang w:val="en-US" w:eastAsia="zh-CN" w:bidi="ar-SA"/>
    </w:rPr>
  </w:style>
  <w:style w:type="character" w:customStyle="1" w:styleId="934">
    <w:name w:val="批注主题 Char3"/>
    <w:autoRedefine/>
    <w:qFormat/>
    <w:uiPriority w:val="0"/>
    <w:rPr>
      <w:rFonts w:hint="eastAsia" w:ascii="宋体" w:hAnsi="宋体" w:eastAsia="宋体"/>
      <w:b/>
      <w:bCs/>
      <w:kern w:val="2"/>
      <w:sz w:val="21"/>
      <w:szCs w:val="24"/>
      <w:lang w:val="en-US" w:eastAsia="zh-CN" w:bidi="ar-SA"/>
    </w:rPr>
  </w:style>
  <w:style w:type="character" w:customStyle="1" w:styleId="935">
    <w:name w:val="chs1"/>
    <w:autoRedefine/>
    <w:qFormat/>
    <w:uiPriority w:val="0"/>
    <w:rPr>
      <w:rFonts w:hint="default"/>
      <w:sz w:val="18"/>
      <w:szCs w:val="18"/>
    </w:rPr>
  </w:style>
  <w:style w:type="character" w:customStyle="1" w:styleId="936">
    <w:name w:val="个人答复风格"/>
    <w:autoRedefine/>
    <w:qFormat/>
    <w:uiPriority w:val="0"/>
    <w:rPr>
      <w:rFonts w:hint="default" w:ascii="Arial" w:hAnsi="Arial" w:eastAsia="宋体" w:cs="Arial"/>
      <w:color w:val="auto"/>
      <w:sz w:val="20"/>
    </w:rPr>
  </w:style>
  <w:style w:type="character" w:customStyle="1" w:styleId="937">
    <w:name w:val="htd01"/>
    <w:autoRedefine/>
    <w:qFormat/>
    <w:uiPriority w:val="0"/>
  </w:style>
  <w:style w:type="character" w:customStyle="1" w:styleId="938">
    <w:name w:val="标题 Char"/>
    <w:autoRedefine/>
    <w:qFormat/>
    <w:uiPriority w:val="0"/>
    <w:rPr>
      <w:rFonts w:hint="default" w:ascii="Cambria" w:hAnsi="Cambria"/>
      <w:b/>
      <w:bCs/>
      <w:kern w:val="2"/>
      <w:sz w:val="32"/>
      <w:szCs w:val="32"/>
      <w:lang w:bidi="ar-SA"/>
    </w:rPr>
  </w:style>
  <w:style w:type="character" w:customStyle="1" w:styleId="939">
    <w:name w:val="标题 1 Char"/>
    <w:autoRedefine/>
    <w:qFormat/>
    <w:uiPriority w:val="9"/>
    <w:rPr>
      <w:rFonts w:hint="default" w:ascii="Calibri" w:hAnsi="Calibri" w:eastAsia="宋体" w:cs="Calibri"/>
      <w:b/>
      <w:bCs/>
      <w:kern w:val="44"/>
      <w:sz w:val="44"/>
      <w:szCs w:val="44"/>
      <w:lang w:val="en-US" w:eastAsia="zh-CN" w:bidi="ar-SA"/>
    </w:rPr>
  </w:style>
  <w:style w:type="character" w:customStyle="1" w:styleId="940">
    <w:name w:val="页眉 Char"/>
    <w:autoRedefine/>
    <w:qFormat/>
    <w:uiPriority w:val="99"/>
    <w:rPr>
      <w:kern w:val="2"/>
      <w:sz w:val="18"/>
      <w:szCs w:val="18"/>
      <w:lang w:bidi="ar-SA"/>
    </w:rPr>
  </w:style>
  <w:style w:type="character" w:customStyle="1" w:styleId="941">
    <w:name w:val="批注文字 Char"/>
    <w:autoRedefine/>
    <w:qFormat/>
    <w:uiPriority w:val="0"/>
    <w:rPr>
      <w:rFonts w:hint="default" w:ascii="Calibri" w:hAnsi="Calibri" w:eastAsia="宋体" w:cs="Calibri"/>
      <w:kern w:val="2"/>
      <w:sz w:val="21"/>
      <w:szCs w:val="22"/>
      <w:lang w:val="en-US" w:eastAsia="zh-CN" w:bidi="ar-SA"/>
    </w:rPr>
  </w:style>
  <w:style w:type="character" w:customStyle="1" w:styleId="942">
    <w:name w:val="标题 4 Char"/>
    <w:autoRedefine/>
    <w:qFormat/>
    <w:uiPriority w:val="0"/>
    <w:rPr>
      <w:rFonts w:hint="default" w:ascii="Cambria" w:hAnsi="Cambria" w:eastAsia="宋体"/>
      <w:b/>
      <w:bCs/>
      <w:kern w:val="2"/>
      <w:sz w:val="28"/>
      <w:szCs w:val="28"/>
      <w:lang w:val="en-US" w:eastAsia="zh-CN" w:bidi="ar-SA"/>
    </w:rPr>
  </w:style>
  <w:style w:type="character" w:customStyle="1" w:styleId="943">
    <w:name w:val="标题 5 Char"/>
    <w:autoRedefine/>
    <w:qFormat/>
    <w:uiPriority w:val="0"/>
    <w:rPr>
      <w:rFonts w:hint="default" w:ascii="Calibri" w:hAnsi="Calibri" w:eastAsia="宋体" w:cs="Calibri"/>
      <w:b/>
      <w:bCs/>
      <w:kern w:val="2"/>
      <w:sz w:val="28"/>
      <w:szCs w:val="28"/>
      <w:lang w:val="en-US" w:eastAsia="zh-CN" w:bidi="ar-SA"/>
    </w:rPr>
  </w:style>
  <w:style w:type="character" w:customStyle="1" w:styleId="944">
    <w:name w:val="op-map-singlepoint-info-right"/>
    <w:autoRedefine/>
    <w:qFormat/>
    <w:uiPriority w:val="0"/>
  </w:style>
  <w:style w:type="character" w:customStyle="1" w:styleId="945">
    <w:name w:val="by jerry Char2"/>
    <w:autoRedefine/>
    <w:qFormat/>
    <w:uiPriority w:val="0"/>
    <w:rPr>
      <w:b/>
      <w:bCs/>
      <w:kern w:val="44"/>
      <w:sz w:val="44"/>
      <w:szCs w:val="44"/>
    </w:rPr>
  </w:style>
  <w:style w:type="character" w:customStyle="1" w:styleId="946">
    <w:name w:val="标题 9 Char"/>
    <w:autoRedefine/>
    <w:qFormat/>
    <w:uiPriority w:val="0"/>
    <w:rPr>
      <w:rFonts w:hint="default" w:ascii="Cambria" w:hAnsi="Cambria" w:eastAsia="宋体"/>
      <w:kern w:val="2"/>
      <w:sz w:val="21"/>
      <w:szCs w:val="21"/>
      <w:lang w:val="en-US" w:eastAsia="zh-CN" w:bidi="ar-SA"/>
    </w:rPr>
  </w:style>
  <w:style w:type="character" w:customStyle="1" w:styleId="947">
    <w:name w:val="H4 Char"/>
    <w:autoRedefine/>
    <w:qFormat/>
    <w:locked/>
    <w:uiPriority w:val="0"/>
    <w:rPr>
      <w:rFonts w:hint="default" w:ascii="Arial" w:hAnsi="Arial" w:eastAsia="黑体" w:cs="Arial"/>
      <w:b/>
      <w:bCs/>
      <w:kern w:val="2"/>
      <w:sz w:val="28"/>
      <w:szCs w:val="28"/>
      <w:lang w:val="zh-CN"/>
    </w:rPr>
  </w:style>
  <w:style w:type="character" w:customStyle="1" w:styleId="948">
    <w:name w:val="style13"/>
    <w:autoRedefine/>
    <w:qFormat/>
    <w:uiPriority w:val="0"/>
  </w:style>
  <w:style w:type="character" w:customStyle="1" w:styleId="949">
    <w:name w:val="Char Char8"/>
    <w:autoRedefine/>
    <w:qFormat/>
    <w:uiPriority w:val="0"/>
    <w:rPr>
      <w:rFonts w:hint="default" w:ascii="Arial" w:hAnsi="Arial" w:eastAsia="黑体" w:cs="Arial"/>
      <w:b/>
      <w:bCs/>
      <w:kern w:val="2"/>
      <w:sz w:val="32"/>
      <w:szCs w:val="32"/>
      <w:lang w:val="en-US" w:eastAsia="zh-CN" w:bidi="ar-SA"/>
    </w:rPr>
  </w:style>
  <w:style w:type="character" w:customStyle="1" w:styleId="950">
    <w:name w:val="普通文字 Char Char3"/>
    <w:autoRedefine/>
    <w:qFormat/>
    <w:uiPriority w:val="0"/>
    <w:rPr>
      <w:rFonts w:hint="eastAsia" w:ascii="宋体" w:hAnsi="Courier New" w:eastAsia="宋体"/>
      <w:kern w:val="2"/>
      <w:sz w:val="21"/>
      <w:lang w:val="en-US" w:eastAsia="zh-CN" w:bidi="ar-SA"/>
    </w:rPr>
  </w:style>
  <w:style w:type="character" w:customStyle="1" w:styleId="951">
    <w:name w:val="Heading 9 Char"/>
    <w:autoRedefine/>
    <w:qFormat/>
    <w:locked/>
    <w:uiPriority w:val="0"/>
    <w:rPr>
      <w:rFonts w:hint="default" w:ascii="Arial" w:hAnsi="Arial" w:eastAsia="黑体" w:cs="Arial"/>
      <w:sz w:val="21"/>
      <w:szCs w:val="21"/>
      <w:lang w:val="en-US" w:eastAsia="zh-CN" w:bidi="ar-SA"/>
    </w:rPr>
  </w:style>
  <w:style w:type="character" w:customStyle="1" w:styleId="952">
    <w:name w:val="Footer Char"/>
    <w:autoRedefine/>
    <w:qFormat/>
    <w:locked/>
    <w:uiPriority w:val="0"/>
    <w:rPr>
      <w:rFonts w:hint="eastAsia" w:ascii="宋体" w:hAnsi="宋体" w:eastAsia="宋体"/>
      <w:kern w:val="2"/>
      <w:sz w:val="18"/>
      <w:szCs w:val="18"/>
      <w:lang w:val="en-US" w:eastAsia="zh-CN" w:bidi="ar-SA"/>
    </w:rPr>
  </w:style>
  <w:style w:type="character" w:customStyle="1" w:styleId="953">
    <w:name w:val="标题 Char2"/>
    <w:autoRedefine/>
    <w:qFormat/>
    <w:uiPriority w:val="0"/>
    <w:rPr>
      <w:rFonts w:hint="default" w:ascii="Arial" w:hAnsi="Arial" w:eastAsia="宋体" w:cs="Arial"/>
      <w:b/>
      <w:sz w:val="32"/>
      <w:lang w:val="en-US" w:eastAsia="zh-CN" w:bidi="ar-SA"/>
    </w:rPr>
  </w:style>
  <w:style w:type="character" w:customStyle="1" w:styleId="954">
    <w:name w:val="引用 Char"/>
    <w:autoRedefine/>
    <w:qFormat/>
    <w:uiPriority w:val="0"/>
    <w:rPr>
      <w:i/>
      <w:iCs/>
      <w:color w:val="000000"/>
      <w:kern w:val="2"/>
      <w:sz w:val="21"/>
      <w:szCs w:val="22"/>
      <w:lang w:bidi="ar-SA"/>
    </w:rPr>
  </w:style>
  <w:style w:type="character" w:customStyle="1" w:styleId="955">
    <w:name w:val="批注主题 Char"/>
    <w:autoRedefine/>
    <w:qFormat/>
    <w:uiPriority w:val="0"/>
    <w:rPr>
      <w:rFonts w:hint="eastAsia" w:ascii="宋体" w:hAnsi="宋体" w:eastAsia="宋体"/>
      <w:b/>
      <w:bCs/>
      <w:sz w:val="28"/>
      <w:lang w:bidi="ar-SA"/>
    </w:rPr>
  </w:style>
  <w:style w:type="character" w:customStyle="1" w:styleId="956">
    <w:name w:val="street-address"/>
    <w:autoRedefine/>
    <w:qFormat/>
    <w:uiPriority w:val="0"/>
  </w:style>
  <w:style w:type="character" w:customStyle="1" w:styleId="957">
    <w:name w:val="by jerry Char3"/>
    <w:autoRedefine/>
    <w:qFormat/>
    <w:uiPriority w:val="0"/>
    <w:rPr>
      <w:b/>
      <w:bCs/>
      <w:kern w:val="44"/>
      <w:sz w:val="44"/>
      <w:szCs w:val="44"/>
    </w:rPr>
  </w:style>
  <w:style w:type="character" w:customStyle="1" w:styleId="958">
    <w:name w:val="Document Map Char"/>
    <w:autoRedefine/>
    <w:qFormat/>
    <w:locked/>
    <w:uiPriority w:val="0"/>
    <w:rPr>
      <w:rFonts w:hint="eastAsia" w:ascii="宋体" w:hAnsi="宋体" w:eastAsia="宋体"/>
      <w:kern w:val="2"/>
      <w:sz w:val="21"/>
      <w:szCs w:val="24"/>
      <w:lang w:val="en-US" w:eastAsia="zh-CN" w:bidi="ar-SA"/>
    </w:rPr>
  </w:style>
  <w:style w:type="character" w:customStyle="1" w:styleId="959">
    <w:name w:val="Char Char12"/>
    <w:autoRedefine/>
    <w:qFormat/>
    <w:uiPriority w:val="0"/>
    <w:rPr>
      <w:rFonts w:hint="default" w:ascii="Courier New" w:hAnsi="Courier New" w:eastAsia="宋体" w:cs="Courier New"/>
      <w:kern w:val="2"/>
      <w:sz w:val="21"/>
      <w:lang w:val="en-US" w:eastAsia="zh-CN" w:bidi="ar-SA"/>
    </w:rPr>
  </w:style>
  <w:style w:type="character" w:customStyle="1" w:styleId="960">
    <w:name w:val="Heading 7 Char"/>
    <w:autoRedefine/>
    <w:qFormat/>
    <w:locked/>
    <w:uiPriority w:val="0"/>
    <w:rPr>
      <w:rFonts w:hint="eastAsia" w:ascii="宋体" w:hAnsi="宋体" w:eastAsia="宋体"/>
      <w:b/>
      <w:bCs/>
      <w:sz w:val="24"/>
      <w:szCs w:val="24"/>
      <w:lang w:val="en-US" w:eastAsia="zh-CN" w:bidi="ar-SA"/>
    </w:rPr>
  </w:style>
  <w:style w:type="character" w:customStyle="1" w:styleId="961">
    <w:name w:val="批注文字 Char2"/>
    <w:autoRedefine/>
    <w:qFormat/>
    <w:uiPriority w:val="0"/>
    <w:rPr>
      <w:rFonts w:hint="eastAsia" w:ascii="宋体" w:hAnsi="宋体" w:eastAsia="宋体"/>
      <w:kern w:val="2"/>
      <w:sz w:val="21"/>
      <w:szCs w:val="24"/>
      <w:lang w:val="en-US" w:eastAsia="zh-CN" w:bidi="ar-SA"/>
    </w:rPr>
  </w:style>
  <w:style w:type="character" w:customStyle="1" w:styleId="962">
    <w:name w:val="正文文本缩进 Char1"/>
    <w:autoRedefine/>
    <w:qFormat/>
    <w:uiPriority w:val="0"/>
    <w:rPr>
      <w:rFonts w:hint="eastAsia" w:ascii="宋体" w:hAnsi="Courier New" w:eastAsia="宋体" w:cs="Times New Roman"/>
      <w:spacing w:val="-4"/>
      <w:sz w:val="18"/>
      <w:szCs w:val="20"/>
    </w:rPr>
  </w:style>
  <w:style w:type="character" w:customStyle="1" w:styleId="963">
    <w:name w:val="font121"/>
    <w:autoRedefine/>
    <w:qFormat/>
    <w:uiPriority w:val="0"/>
    <w:rPr>
      <w:rFonts w:hint="default" w:ascii="Times New Roman" w:hAnsi="Times New Roman" w:cs="Times New Roman"/>
      <w:color w:val="000000"/>
      <w:sz w:val="24"/>
      <w:szCs w:val="24"/>
      <w:u w:val="none"/>
    </w:rPr>
  </w:style>
  <w:style w:type="character" w:customStyle="1" w:styleId="964">
    <w:name w:val="Default Char"/>
    <w:autoRedefine/>
    <w:qFormat/>
    <w:uiPriority w:val="0"/>
    <w:rPr>
      <w:rFonts w:hint="eastAsia" w:ascii="宋体" w:hAnsi="宋体" w:eastAsia="宋体"/>
      <w:color w:val="000000"/>
      <w:sz w:val="24"/>
      <w:szCs w:val="24"/>
      <w:lang w:val="en-US" w:eastAsia="zh-CN" w:bidi="ar-SA"/>
    </w:rPr>
  </w:style>
  <w:style w:type="character" w:customStyle="1" w:styleId="965">
    <w:name w:val="Char Char3"/>
    <w:autoRedefine/>
    <w:qFormat/>
    <w:uiPriority w:val="0"/>
    <w:rPr>
      <w:rFonts w:hint="eastAsia" w:ascii="宋体" w:hAnsi="宋体" w:eastAsia="宋体"/>
      <w:kern w:val="2"/>
      <w:sz w:val="18"/>
      <w:szCs w:val="18"/>
      <w:lang w:val="en-US" w:eastAsia="zh-CN" w:bidi="ar-SA"/>
    </w:rPr>
  </w:style>
  <w:style w:type="character" w:customStyle="1" w:styleId="966">
    <w:name w:val="Char Char5"/>
    <w:autoRedefine/>
    <w:qFormat/>
    <w:uiPriority w:val="0"/>
    <w:rPr>
      <w:rFonts w:hint="eastAsia" w:ascii="宋体" w:hAnsi="宋体" w:eastAsia="宋体"/>
      <w:sz w:val="28"/>
      <w:szCs w:val="28"/>
      <w:lang w:bidi="ar-SA"/>
    </w:rPr>
  </w:style>
  <w:style w:type="character" w:customStyle="1" w:styleId="967">
    <w:name w:val="内文正文 Char Char"/>
    <w:autoRedefine/>
    <w:qFormat/>
    <w:uiPriority w:val="0"/>
    <w:rPr>
      <w:rFonts w:hint="eastAsia" w:ascii="宋体" w:hAnsi="???|CS?o｡ﾀ?" w:eastAsia="宋体"/>
      <w:sz w:val="21"/>
      <w:szCs w:val="28"/>
      <w:lang w:val="en-US" w:eastAsia="zh-CN" w:bidi="ar-SA"/>
    </w:rPr>
  </w:style>
  <w:style w:type="character" w:customStyle="1" w:styleId="968">
    <w:name w:val="Char Char18"/>
    <w:autoRedefine/>
    <w:qFormat/>
    <w:uiPriority w:val="0"/>
    <w:rPr>
      <w:rFonts w:hint="default" w:ascii="Calibri" w:hAnsi="Calibri" w:cs="Calibri"/>
      <w:b/>
      <w:bCs/>
      <w:kern w:val="2"/>
      <w:sz w:val="28"/>
      <w:szCs w:val="28"/>
    </w:rPr>
  </w:style>
  <w:style w:type="character" w:customStyle="1" w:styleId="969">
    <w:name w:val="_Style 196"/>
    <w:autoRedefine/>
    <w:qFormat/>
    <w:uiPriority w:val="0"/>
    <w:rPr>
      <w:b/>
      <w:bCs/>
      <w:smallCaps/>
      <w:color w:val="C0504D"/>
      <w:spacing w:val="5"/>
      <w:u w:val="single"/>
    </w:rPr>
  </w:style>
  <w:style w:type="character" w:customStyle="1" w:styleId="970">
    <w:name w:val="Char Char10"/>
    <w:autoRedefine/>
    <w:qFormat/>
    <w:uiPriority w:val="0"/>
    <w:rPr>
      <w:rFonts w:hint="default" w:ascii="Arial" w:hAnsi="Arial" w:eastAsia="黑体" w:cs="Arial"/>
      <w:b/>
      <w:bCs/>
      <w:kern w:val="2"/>
      <w:sz w:val="28"/>
      <w:szCs w:val="28"/>
    </w:rPr>
  </w:style>
  <w:style w:type="character" w:customStyle="1" w:styleId="971">
    <w:name w:val="_Style 201"/>
    <w:autoRedefine/>
    <w:qFormat/>
    <w:uiPriority w:val="0"/>
    <w:rPr>
      <w:b/>
      <w:bCs/>
      <w:smallCaps/>
      <w:spacing w:val="5"/>
    </w:rPr>
  </w:style>
  <w:style w:type="character" w:customStyle="1" w:styleId="972">
    <w:name w:val="unnamed51"/>
    <w:autoRedefine/>
    <w:qFormat/>
    <w:uiPriority w:val="0"/>
    <w:rPr>
      <w:sz w:val="22"/>
      <w:szCs w:val="22"/>
    </w:rPr>
  </w:style>
  <w:style w:type="character" w:customStyle="1" w:styleId="973">
    <w:name w:val="Char Char101"/>
    <w:autoRedefine/>
    <w:qFormat/>
    <w:uiPriority w:val="0"/>
    <w:rPr>
      <w:rFonts w:hint="default" w:ascii="Arial" w:hAnsi="Arial" w:eastAsia="黑体" w:cs="Arial"/>
      <w:b/>
      <w:bCs/>
      <w:kern w:val="2"/>
      <w:sz w:val="28"/>
      <w:szCs w:val="28"/>
    </w:rPr>
  </w:style>
  <w:style w:type="character" w:customStyle="1" w:styleId="974">
    <w:name w:val="dz1"/>
    <w:autoRedefine/>
    <w:qFormat/>
    <w:uiPriority w:val="0"/>
  </w:style>
  <w:style w:type="character" w:customStyle="1" w:styleId="975">
    <w:name w:val="font141"/>
    <w:autoRedefine/>
    <w:qFormat/>
    <w:uiPriority w:val="0"/>
    <w:rPr>
      <w:rFonts w:hint="default" w:ascii="Tahoma" w:hAnsi="Tahoma" w:eastAsia="Tahoma" w:cs="Tahoma"/>
      <w:color w:val="000000"/>
      <w:sz w:val="24"/>
      <w:szCs w:val="24"/>
      <w:u w:val="none"/>
    </w:rPr>
  </w:style>
  <w:style w:type="character" w:customStyle="1" w:styleId="976">
    <w:name w:val="font112"/>
    <w:autoRedefine/>
    <w:qFormat/>
    <w:uiPriority w:val="0"/>
    <w:rPr>
      <w:rFonts w:hint="default" w:ascii="Times New Roman" w:hAnsi="Times New Roman" w:cs="Times New Roman"/>
      <w:color w:val="000000"/>
      <w:sz w:val="24"/>
      <w:szCs w:val="24"/>
      <w:u w:val="none"/>
    </w:rPr>
  </w:style>
  <w:style w:type="character" w:customStyle="1" w:styleId="977">
    <w:name w:val="_Style 225"/>
    <w:autoRedefine/>
    <w:qFormat/>
    <w:uiPriority w:val="0"/>
    <w:rPr>
      <w:b/>
      <w:bCs/>
      <w:i/>
      <w:iCs/>
      <w:color w:val="4F81BD"/>
    </w:rPr>
  </w:style>
  <w:style w:type="character" w:customStyle="1" w:styleId="978">
    <w:name w:val="apple-converted-space"/>
    <w:autoRedefine/>
    <w:qFormat/>
    <w:uiPriority w:val="0"/>
  </w:style>
  <w:style w:type="character" w:customStyle="1" w:styleId="979">
    <w:name w:val="Char Char20"/>
    <w:autoRedefine/>
    <w:qFormat/>
    <w:uiPriority w:val="0"/>
    <w:rPr>
      <w:bCs/>
      <w:kern w:val="2"/>
      <w:sz w:val="24"/>
      <w:szCs w:val="21"/>
    </w:rPr>
  </w:style>
  <w:style w:type="character" w:customStyle="1" w:styleId="980">
    <w:name w:val="Char Char81"/>
    <w:autoRedefine/>
    <w:qFormat/>
    <w:uiPriority w:val="0"/>
    <w:rPr>
      <w:rFonts w:hint="eastAsia" w:ascii="宋体" w:hAnsi="宋体" w:eastAsia="宋体"/>
      <w:kern w:val="2"/>
      <w:sz w:val="18"/>
      <w:szCs w:val="18"/>
      <w:lang w:val="en-US" w:eastAsia="zh-CN" w:bidi="ar-SA"/>
    </w:rPr>
  </w:style>
  <w:style w:type="character" w:customStyle="1" w:styleId="981">
    <w:name w:val="font131"/>
    <w:autoRedefine/>
    <w:qFormat/>
    <w:uiPriority w:val="0"/>
    <w:rPr>
      <w:rFonts w:hint="default" w:ascii="Calibri" w:hAnsi="Calibri" w:cs="Calibri"/>
      <w:color w:val="000000"/>
      <w:sz w:val="24"/>
      <w:szCs w:val="24"/>
      <w:u w:val="none"/>
    </w:rPr>
  </w:style>
  <w:style w:type="character" w:customStyle="1" w:styleId="982">
    <w:name w:val="font01"/>
    <w:autoRedefine/>
    <w:qFormat/>
    <w:uiPriority w:val="0"/>
    <w:rPr>
      <w:rFonts w:hint="eastAsia" w:ascii="宋体" w:hAnsi="宋体" w:eastAsia="宋体" w:cs="宋体"/>
      <w:color w:val="000000"/>
      <w:sz w:val="24"/>
      <w:szCs w:val="24"/>
      <w:u w:val="none"/>
    </w:rPr>
  </w:style>
  <w:style w:type="character" w:customStyle="1" w:styleId="983">
    <w:name w:val="EmailStyle161"/>
    <w:autoRedefine/>
    <w:qFormat/>
    <w:uiPriority w:val="0"/>
    <w:rPr>
      <w:rFonts w:hint="default" w:ascii="Arial" w:hAnsi="Arial" w:eastAsia="宋体" w:cs="Arial"/>
      <w:color w:val="auto"/>
      <w:sz w:val="20"/>
    </w:rPr>
  </w:style>
  <w:style w:type="character" w:customStyle="1" w:styleId="984">
    <w:name w:val="样式1 Char Char Char"/>
    <w:autoRedefine/>
    <w:qFormat/>
    <w:uiPriority w:val="0"/>
    <w:rPr>
      <w:rFonts w:hint="default" w:ascii="Arial" w:hAnsi="Arial" w:eastAsia="宋体" w:cs="Arial"/>
      <w:kern w:val="2"/>
      <w:sz w:val="21"/>
      <w:szCs w:val="24"/>
      <w:lang w:val="en-US" w:eastAsia="zh-CN" w:bidi="ar-SA"/>
    </w:rPr>
  </w:style>
  <w:style w:type="character" w:customStyle="1" w:styleId="985">
    <w:name w:val="EmailStyle151"/>
    <w:autoRedefine/>
    <w:qFormat/>
    <w:uiPriority w:val="0"/>
    <w:rPr>
      <w:rFonts w:hint="default" w:ascii="Arial" w:hAnsi="Arial" w:eastAsia="宋体" w:cs="Arial"/>
      <w:color w:val="auto"/>
      <w:sz w:val="20"/>
    </w:rPr>
  </w:style>
  <w:style w:type="character" w:customStyle="1" w:styleId="986">
    <w:name w:val="Char Char11"/>
    <w:autoRedefine/>
    <w:qFormat/>
    <w:uiPriority w:val="0"/>
    <w:rPr>
      <w:bCs/>
      <w:kern w:val="2"/>
      <w:sz w:val="24"/>
      <w:szCs w:val="21"/>
    </w:rPr>
  </w:style>
  <w:style w:type="character" w:customStyle="1" w:styleId="987">
    <w:name w:val="Char Char13"/>
    <w:autoRedefine/>
    <w:qFormat/>
    <w:uiPriority w:val="0"/>
    <w:rPr>
      <w:rFonts w:hint="eastAsia" w:ascii="宋体" w:hAnsi="宋体" w:eastAsia="宋体"/>
      <w:kern w:val="2"/>
      <w:sz w:val="18"/>
      <w:szCs w:val="18"/>
    </w:rPr>
  </w:style>
  <w:style w:type="character" w:customStyle="1" w:styleId="988">
    <w:name w:val="_Style 267"/>
    <w:autoRedefine/>
    <w:qFormat/>
    <w:uiPriority w:val="0"/>
    <w:rPr>
      <w:i/>
      <w:iCs/>
      <w:color w:val="808080"/>
    </w:rPr>
  </w:style>
  <w:style w:type="character" w:customStyle="1" w:styleId="989">
    <w:name w:val="Char Char71"/>
    <w:autoRedefine/>
    <w:qFormat/>
    <w:uiPriority w:val="0"/>
    <w:rPr>
      <w:rFonts w:hint="eastAsia" w:ascii="宋体" w:hAnsi="宋体" w:eastAsia="宋体"/>
      <w:sz w:val="24"/>
      <w:szCs w:val="28"/>
      <w:lang w:val="en-US" w:eastAsia="zh-CN" w:bidi="ar-SA"/>
    </w:rPr>
  </w:style>
  <w:style w:type="character" w:customStyle="1" w:styleId="990">
    <w:name w:val="font41"/>
    <w:autoRedefine/>
    <w:qFormat/>
    <w:uiPriority w:val="0"/>
    <w:rPr>
      <w:rFonts w:hint="eastAsia" w:ascii="宋体" w:hAnsi="宋体" w:eastAsia="宋体" w:cs="宋体"/>
      <w:color w:val="000000"/>
      <w:sz w:val="24"/>
      <w:szCs w:val="24"/>
      <w:u w:val="none"/>
    </w:rPr>
  </w:style>
  <w:style w:type="character" w:customStyle="1" w:styleId="991">
    <w:name w:val="Char Char16"/>
    <w:autoRedefine/>
    <w:qFormat/>
    <w:uiPriority w:val="0"/>
    <w:rPr>
      <w:rFonts w:hint="eastAsia" w:ascii="宋体" w:hAnsi="宋体" w:eastAsia="宋体"/>
      <w:b/>
      <w:bCs/>
      <w:kern w:val="2"/>
      <w:sz w:val="28"/>
      <w:szCs w:val="28"/>
      <w:lang w:val="en-US" w:eastAsia="zh-CN" w:bidi="ar-SA"/>
    </w:rPr>
  </w:style>
  <w:style w:type="character" w:customStyle="1" w:styleId="992">
    <w:name w:val="未处理的提及1"/>
    <w:autoRedefine/>
    <w:qFormat/>
    <w:uiPriority w:val="99"/>
    <w:rPr>
      <w:color w:val="605E5C"/>
      <w:shd w:val="clear" w:color="auto" w:fill="E1DFDD"/>
    </w:rPr>
  </w:style>
  <w:style w:type="character" w:customStyle="1" w:styleId="993">
    <w:name w:val="_Style 282"/>
    <w:autoRedefine/>
    <w:qFormat/>
    <w:uiPriority w:val="0"/>
    <w:rPr>
      <w:smallCaps/>
      <w:color w:val="C0504D"/>
      <w:u w:val="single"/>
    </w:rPr>
  </w:style>
  <w:style w:type="character" w:customStyle="1" w:styleId="994">
    <w:name w:val="Char Char111"/>
    <w:autoRedefine/>
    <w:qFormat/>
    <w:uiPriority w:val="0"/>
    <w:rPr>
      <w:bCs/>
      <w:kern w:val="2"/>
      <w:sz w:val="24"/>
      <w:szCs w:val="21"/>
    </w:rPr>
  </w:style>
  <w:style w:type="character" w:customStyle="1" w:styleId="995">
    <w:name w:val="font11"/>
    <w:autoRedefine/>
    <w:qFormat/>
    <w:uiPriority w:val="0"/>
    <w:rPr>
      <w:rFonts w:hint="eastAsia" w:ascii="宋体" w:hAnsi="宋体" w:eastAsia="宋体" w:cs="宋体"/>
      <w:color w:val="000000"/>
      <w:sz w:val="24"/>
      <w:szCs w:val="24"/>
      <w:u w:val="none"/>
    </w:rPr>
  </w:style>
  <w:style w:type="character" w:customStyle="1" w:styleId="996">
    <w:name w:val="明显引用 字符1"/>
    <w:autoRedefine/>
    <w:qFormat/>
    <w:uiPriority w:val="99"/>
    <w:rPr>
      <w:i/>
      <w:iCs/>
      <w:color w:val="4F81BD"/>
      <w:kern w:val="2"/>
      <w:sz w:val="21"/>
      <w:szCs w:val="24"/>
    </w:rPr>
  </w:style>
  <w:style w:type="character" w:customStyle="1" w:styleId="997">
    <w:name w:val="书籍标题11"/>
    <w:autoRedefine/>
    <w:qFormat/>
    <w:uiPriority w:val="0"/>
    <w:rPr>
      <w:b/>
      <w:bCs/>
      <w:smallCaps/>
      <w:spacing w:val="5"/>
    </w:rPr>
  </w:style>
  <w:style w:type="character" w:customStyle="1" w:styleId="998">
    <w:name w:val="明显强调11"/>
    <w:autoRedefine/>
    <w:qFormat/>
    <w:uiPriority w:val="0"/>
    <w:rPr>
      <w:b/>
      <w:bCs/>
      <w:i/>
      <w:iCs/>
      <w:color w:val="4F81BD"/>
    </w:rPr>
  </w:style>
  <w:style w:type="character" w:customStyle="1" w:styleId="999">
    <w:name w:val="不明显强调11"/>
    <w:autoRedefine/>
    <w:qFormat/>
    <w:uiPriority w:val="0"/>
    <w:rPr>
      <w:i/>
      <w:iCs/>
      <w:color w:val="808080"/>
    </w:rPr>
  </w:style>
  <w:style w:type="character" w:customStyle="1" w:styleId="1000">
    <w:name w:val="不明显参考11"/>
    <w:autoRedefine/>
    <w:qFormat/>
    <w:uiPriority w:val="0"/>
    <w:rPr>
      <w:smallCaps/>
      <w:color w:val="C0504D"/>
      <w:u w:val="single"/>
    </w:rPr>
  </w:style>
  <w:style w:type="character" w:customStyle="1" w:styleId="1001">
    <w:name w:val="明显参考11"/>
    <w:autoRedefine/>
    <w:qFormat/>
    <w:uiPriority w:val="0"/>
    <w:rPr>
      <w:b/>
      <w:bCs/>
      <w:smallCaps/>
      <w:color w:val="C0504D"/>
      <w:spacing w:val="5"/>
      <w:u w:val="single"/>
    </w:rPr>
  </w:style>
  <w:style w:type="character" w:customStyle="1" w:styleId="1002">
    <w:name w:val="引用 字符1"/>
    <w:autoRedefine/>
    <w:qFormat/>
    <w:uiPriority w:val="99"/>
    <w:rPr>
      <w:i/>
      <w:iCs/>
      <w:color w:val="404040"/>
      <w:kern w:val="2"/>
      <w:sz w:val="21"/>
      <w:szCs w:val="24"/>
    </w:rPr>
  </w:style>
  <w:style w:type="character" w:customStyle="1" w:styleId="1003">
    <w:name w:val="批注文字 字符1"/>
    <w:autoRedefine/>
    <w:semiHidden/>
    <w:qFormat/>
    <w:uiPriority w:val="99"/>
    <w:rPr>
      <w:rFonts w:hint="default" w:ascii="Calibri" w:hAnsi="Calibri" w:eastAsia="宋体" w:cs="Times New Roman"/>
      <w:kern w:val="2"/>
      <w:sz w:val="21"/>
      <w:szCs w:val="22"/>
    </w:rPr>
  </w:style>
  <w:style w:type="character" w:customStyle="1" w:styleId="1004">
    <w:name w:val="副标题 字符1"/>
    <w:autoRedefine/>
    <w:qFormat/>
    <w:uiPriority w:val="11"/>
    <w:rPr>
      <w:rFonts w:hint="default" w:ascii="Calibri" w:hAnsi="Calibri" w:eastAsia="宋体" w:cs="Times New Roman"/>
      <w:b/>
      <w:bCs/>
      <w:kern w:val="28"/>
      <w:sz w:val="32"/>
      <w:szCs w:val="32"/>
    </w:rPr>
  </w:style>
  <w:style w:type="character" w:customStyle="1" w:styleId="1005">
    <w:name w:val="标题 字符1"/>
    <w:autoRedefine/>
    <w:qFormat/>
    <w:uiPriority w:val="10"/>
    <w:rPr>
      <w:rFonts w:hint="default" w:ascii="Cambria" w:hAnsi="Cambria" w:eastAsia="宋体" w:cs="Times New Roman"/>
      <w:b/>
      <w:bCs/>
      <w:kern w:val="2"/>
      <w:sz w:val="32"/>
      <w:szCs w:val="32"/>
    </w:rPr>
  </w:style>
  <w:style w:type="character" w:customStyle="1" w:styleId="1006">
    <w:name w:val="文档结构图 字符1"/>
    <w:autoRedefine/>
    <w:semiHidden/>
    <w:qFormat/>
    <w:uiPriority w:val="99"/>
    <w:rPr>
      <w:rFonts w:hint="eastAsia" w:ascii="Microsoft YaHei UI" w:hAnsi="Calibri" w:eastAsia="Microsoft YaHei UI" w:cs="Times New Roman"/>
      <w:kern w:val="2"/>
      <w:sz w:val="18"/>
      <w:szCs w:val="18"/>
    </w:rPr>
  </w:style>
  <w:style w:type="character" w:customStyle="1" w:styleId="1007">
    <w:name w:val="正文文本 字符1"/>
    <w:autoRedefine/>
    <w:semiHidden/>
    <w:qFormat/>
    <w:uiPriority w:val="99"/>
    <w:rPr>
      <w:rFonts w:hint="default" w:ascii="Calibri" w:hAnsi="Calibri" w:eastAsia="宋体" w:cs="Times New Roman"/>
      <w:kern w:val="2"/>
      <w:sz w:val="21"/>
      <w:szCs w:val="22"/>
    </w:rPr>
  </w:style>
  <w:style w:type="character" w:customStyle="1" w:styleId="1008">
    <w:name w:val="批注主题 字符1"/>
    <w:autoRedefine/>
    <w:semiHidden/>
    <w:qFormat/>
    <w:uiPriority w:val="99"/>
    <w:rPr>
      <w:rFonts w:hint="default" w:ascii="Calibri" w:hAnsi="Calibri" w:eastAsia="宋体" w:cs="Times New Roman"/>
      <w:b/>
      <w:bCs/>
      <w:kern w:val="2"/>
      <w:sz w:val="21"/>
      <w:szCs w:val="22"/>
    </w:rPr>
  </w:style>
  <w:style w:type="character" w:customStyle="1" w:styleId="1009">
    <w:name w:val="日期 字符1"/>
    <w:autoRedefine/>
    <w:semiHidden/>
    <w:qFormat/>
    <w:uiPriority w:val="99"/>
    <w:rPr>
      <w:rFonts w:hint="default" w:ascii="Calibri" w:hAnsi="Calibri" w:eastAsia="宋体" w:cs="Times New Roman"/>
      <w:kern w:val="2"/>
      <w:sz w:val="21"/>
      <w:szCs w:val="22"/>
    </w:rPr>
  </w:style>
  <w:style w:type="character" w:customStyle="1" w:styleId="1010">
    <w:name w:val="批注框文本 字符1"/>
    <w:autoRedefine/>
    <w:semiHidden/>
    <w:qFormat/>
    <w:uiPriority w:val="99"/>
    <w:rPr>
      <w:rFonts w:hint="default" w:ascii="Calibri" w:hAnsi="Calibri" w:eastAsia="宋体" w:cs="Times New Roman"/>
      <w:kern w:val="2"/>
      <w:sz w:val="18"/>
      <w:szCs w:val="18"/>
    </w:rPr>
  </w:style>
  <w:style w:type="character" w:customStyle="1" w:styleId="1011">
    <w:name w:val="doc_title"/>
    <w:autoRedefine/>
    <w:qFormat/>
    <w:uiPriority w:val="0"/>
  </w:style>
  <w:style w:type="character" w:customStyle="1" w:styleId="1012">
    <w:name w:val="未处理的提及2"/>
    <w:autoRedefine/>
    <w:qFormat/>
    <w:uiPriority w:val="99"/>
    <w:rPr>
      <w:color w:val="605E5C"/>
      <w:shd w:val="clear" w:color="auto" w:fill="E1DFDD"/>
    </w:rPr>
  </w:style>
  <w:style w:type="table" w:customStyle="1" w:styleId="1013">
    <w:name w:val="网格型1"/>
    <w:basedOn w:val="61"/>
    <w:autoRedefine/>
    <w:qFormat/>
    <w:uiPriority w:val="59"/>
    <w:rPr>
      <w:rFonts w:ascii="Calibri" w:hAnsi="Calibri"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14">
    <w:name w:val="网格型2"/>
    <w:basedOn w:val="61"/>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15">
    <w:name w:val="页眉1"/>
    <w:basedOn w:val="202"/>
    <w:autoRedefine/>
    <w:qFormat/>
    <w:uiPriority w:val="0"/>
    <w:pPr>
      <w:pBdr>
        <w:bottom w:val="none" w:color="auto" w:sz="0" w:space="0"/>
      </w:pBdr>
    </w:pPr>
    <w:rPr>
      <w:rFonts w:ascii="Calibri" w:hAnsi="Calibri"/>
    </w:rPr>
  </w:style>
  <w:style w:type="paragraph" w:customStyle="1" w:styleId="1016">
    <w:name w:val="样式 标题 3 + (中文) 黑体 小四 非加粗 段前: 7.8 磅 段后: 0 磅 行距: 固定值 20 磅_0"/>
    <w:basedOn w:val="765"/>
    <w:autoRedefine/>
    <w:qFormat/>
    <w:uiPriority w:val="0"/>
    <w:pPr>
      <w:spacing w:before="0" w:after="0" w:line="400" w:lineRule="exact"/>
      <w:jc w:val="left"/>
    </w:pPr>
    <w:rPr>
      <w:rFonts w:ascii="黑体" w:hAnsi="宋体" w:eastAsia="黑体"/>
      <w:b w:val="0"/>
      <w:sz w:val="30"/>
      <w:szCs w:val="20"/>
    </w:rPr>
  </w:style>
  <w:style w:type="paragraph" w:customStyle="1" w:styleId="1017">
    <w:name w:val="样式 标题 3 + (中文) 黑体 小四 非加粗 段前: 7.8 磅 段后: 0 磅 行距: 固定值 20 磅_0_0"/>
    <w:basedOn w:val="783"/>
    <w:autoRedefine/>
    <w:qFormat/>
    <w:uiPriority w:val="0"/>
    <w:pPr>
      <w:spacing w:before="0" w:after="0" w:line="400" w:lineRule="exact"/>
    </w:pPr>
    <w:rPr>
      <w:rFonts w:eastAsia="黑体"/>
      <w:b w:val="0"/>
      <w:bCs w:val="0"/>
      <w:sz w:val="24"/>
      <w:szCs w:val="20"/>
    </w:rPr>
  </w:style>
  <w:style w:type="paragraph" w:customStyle="1" w:styleId="1018">
    <w:name w:val="样式 标题 2 + Times New Roman 四号 非加粗 段前: 5 磅 段后: 0 磅 行距: 固定值 20..._0"/>
    <w:basedOn w:val="849"/>
    <w:autoRedefine/>
    <w:qFormat/>
    <w:uiPriority w:val="0"/>
    <w:pPr>
      <w:spacing w:before="100" w:after="0" w:line="400" w:lineRule="exact"/>
    </w:pPr>
    <w:rPr>
      <w:rFonts w:ascii="Times New Roman" w:hAnsi="Times New Roman"/>
      <w:b w:val="0"/>
      <w:bCs w:val="0"/>
      <w:sz w:val="28"/>
      <w:szCs w:val="20"/>
    </w:rPr>
  </w:style>
  <w:style w:type="paragraph" w:customStyle="1" w:styleId="1019">
    <w:name w:val="样式 样式 标题 3 + Calibri 加粗 左侧:  0 厘米 + 黑色 首行缩进:  2 字符"/>
    <w:basedOn w:val="649"/>
    <w:autoRedefine/>
    <w:qFormat/>
    <w:uiPriority w:val="0"/>
    <w:pPr>
      <w:spacing w:beforeLines="100"/>
    </w:pPr>
    <w:rPr>
      <w:color w:val="000000"/>
    </w:rPr>
  </w:style>
  <w:style w:type="paragraph" w:customStyle="1" w:styleId="1020">
    <w:name w:val="修订2"/>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021">
    <w:name w:val="NormalCharacter"/>
    <w:autoRedefine/>
    <w:semiHidden/>
    <w:qFormat/>
    <w:uiPriority w:val="0"/>
  </w:style>
  <w:style w:type="paragraph" w:customStyle="1" w:styleId="1022">
    <w:name w:val="一级条标题"/>
    <w:basedOn w:val="1023"/>
    <w:next w:val="302"/>
    <w:autoRedefine/>
    <w:unhideWhenUsed/>
    <w:qFormat/>
    <w:uiPriority w:val="0"/>
    <w:pPr>
      <w:spacing w:line="240" w:lineRule="auto"/>
      <w:ind w:left="420"/>
      <w:outlineLvl w:val="2"/>
    </w:pPr>
  </w:style>
  <w:style w:type="paragraph" w:customStyle="1" w:styleId="1023">
    <w:name w:val="章标题"/>
    <w:next w:val="1"/>
    <w:autoRedefine/>
    <w:unhideWhenUsed/>
    <w:qFormat/>
    <w:uiPriority w:val="0"/>
    <w:pPr>
      <w:spacing w:line="360" w:lineRule="auto"/>
      <w:jc w:val="both"/>
      <w:outlineLvl w:val="1"/>
    </w:pPr>
    <w:rPr>
      <w:rFonts w:hint="eastAsia"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153</Pages>
  <Words>15278</Words>
  <Characters>16530</Characters>
  <Lines>711</Lines>
  <Paragraphs>200</Paragraphs>
  <TotalTime>0</TotalTime>
  <ScaleCrop>false</ScaleCrop>
  <LinksUpToDate>false</LinksUpToDate>
  <CharactersWithSpaces>16653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2024-04-19T03:58:00Z</dcterms:created>
  <dc:creator>钱闯</dc:creator>
  <cp:lastModifiedBy>administrator1</cp:lastModifiedBy>
  <dcterms:modified xsi:type="dcterms:W3CDTF">2025-02-08T09:10:12Z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481579BDFE2646168C29EF341B7CE641_13</vt:lpwstr>
  </property>
  <property fmtid="{D5CDD505-2E9C-101B-9397-08002B2CF9AE}" pid="4" name="KSOTemplateDocerSaveRecord">
    <vt:lpwstr>eyJoZGlkIjoiMWJlZGE5MzQ1ZGQyMmZkNjUxN2JlMGQ5ZjRiMjUzMmQifQ==</vt:lpwstr>
  </property>
</Properties>
</file>