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2B3A4">
      <w:pPr>
        <w:spacing w:line="360" w:lineRule="auto"/>
        <w:jc w:val="center"/>
        <w:rPr>
          <w:rFonts w:ascii="宋体" w:hAnsi="宋体" w:cs="宋体"/>
          <w:b/>
          <w:color w:val="auto"/>
          <w:sz w:val="24"/>
          <w:highlight w:val="none"/>
        </w:rPr>
      </w:pPr>
    </w:p>
    <w:p w14:paraId="5B12887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杭州市源清中学屋面防水改造项目</w:t>
      </w:r>
    </w:p>
    <w:p w14:paraId="710B5BF5">
      <w:pPr>
        <w:adjustRightInd/>
        <w:spacing w:line="360" w:lineRule="auto"/>
        <w:jc w:val="center"/>
        <w:rPr>
          <w:rFonts w:ascii="宋体" w:hAnsi="宋体" w:cs="宋体"/>
          <w:color w:val="auto"/>
          <w:sz w:val="48"/>
          <w:szCs w:val="48"/>
          <w:highlight w:val="none"/>
        </w:rPr>
      </w:pPr>
    </w:p>
    <w:p w14:paraId="5BD3AE7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62D87A1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5CFEDE4">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项目编号:HCZX-24239</w:t>
      </w:r>
    </w:p>
    <w:p w14:paraId="34E60624">
      <w:pPr>
        <w:adjustRightInd/>
        <w:spacing w:line="360" w:lineRule="auto"/>
        <w:rPr>
          <w:rFonts w:ascii="宋体" w:hAnsi="宋体" w:cs="宋体"/>
          <w:color w:val="auto"/>
          <w:sz w:val="28"/>
          <w:szCs w:val="20"/>
          <w:highlight w:val="none"/>
        </w:rPr>
      </w:pPr>
    </w:p>
    <w:p w14:paraId="7786636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9A03577">
      <w:pPr>
        <w:spacing w:line="360" w:lineRule="auto"/>
        <w:jc w:val="center"/>
        <w:rPr>
          <w:rFonts w:ascii="宋体" w:hAnsi="宋体" w:cs="宋体"/>
          <w:b/>
          <w:color w:val="auto"/>
          <w:sz w:val="44"/>
          <w:szCs w:val="44"/>
          <w:highlight w:val="none"/>
        </w:rPr>
      </w:pPr>
    </w:p>
    <w:p w14:paraId="12300859">
      <w:pPr>
        <w:pStyle w:val="26"/>
        <w:ind w:firstLine="883"/>
        <w:rPr>
          <w:rFonts w:cs="宋体"/>
          <w:b/>
          <w:color w:val="auto"/>
          <w:sz w:val="44"/>
          <w:szCs w:val="44"/>
          <w:highlight w:val="none"/>
        </w:rPr>
      </w:pPr>
    </w:p>
    <w:p w14:paraId="57BD0A62">
      <w:pPr>
        <w:pStyle w:val="27"/>
        <w:rPr>
          <w:rFonts w:ascii="宋体" w:hAnsi="宋体" w:cs="宋体"/>
          <w:b/>
          <w:color w:val="auto"/>
          <w:sz w:val="44"/>
          <w:szCs w:val="44"/>
          <w:highlight w:val="none"/>
        </w:rPr>
      </w:pPr>
    </w:p>
    <w:p w14:paraId="0A443975">
      <w:pPr>
        <w:pStyle w:val="27"/>
        <w:rPr>
          <w:rFonts w:ascii="宋体" w:hAnsi="宋体" w:cs="宋体"/>
          <w:b/>
          <w:color w:val="auto"/>
          <w:sz w:val="44"/>
          <w:szCs w:val="44"/>
          <w:highlight w:val="none"/>
        </w:rPr>
      </w:pPr>
    </w:p>
    <w:p w14:paraId="765CE789">
      <w:pPr>
        <w:pStyle w:val="27"/>
        <w:rPr>
          <w:rFonts w:ascii="宋体" w:hAnsi="宋体" w:cs="宋体"/>
          <w:b/>
          <w:color w:val="auto"/>
          <w:sz w:val="44"/>
          <w:szCs w:val="44"/>
          <w:highlight w:val="none"/>
        </w:rPr>
      </w:pPr>
    </w:p>
    <w:p w14:paraId="652B6F26">
      <w:pPr>
        <w:pStyle w:val="27"/>
        <w:rPr>
          <w:rFonts w:ascii="宋体" w:hAnsi="宋体" w:cs="宋体"/>
          <w:b/>
          <w:color w:val="auto"/>
          <w:sz w:val="44"/>
          <w:szCs w:val="44"/>
          <w:highlight w:val="none"/>
        </w:rPr>
      </w:pPr>
    </w:p>
    <w:p w14:paraId="4E53F2B9">
      <w:pPr>
        <w:spacing w:line="360" w:lineRule="auto"/>
        <w:jc w:val="center"/>
        <w:rPr>
          <w:rFonts w:ascii="宋体" w:hAnsi="宋体" w:cs="宋体"/>
          <w:color w:val="auto"/>
          <w:sz w:val="24"/>
          <w:highlight w:val="none"/>
        </w:rPr>
      </w:pPr>
    </w:p>
    <w:p w14:paraId="05938EF5">
      <w:pPr>
        <w:spacing w:line="360" w:lineRule="auto"/>
        <w:jc w:val="center"/>
        <w:rPr>
          <w:rFonts w:ascii="宋体" w:hAnsi="宋体" w:cs="宋体"/>
          <w:color w:val="auto"/>
          <w:sz w:val="24"/>
          <w:highlight w:val="none"/>
        </w:rPr>
      </w:pPr>
    </w:p>
    <w:p w14:paraId="08E00820">
      <w:pPr>
        <w:spacing w:line="360" w:lineRule="auto"/>
        <w:rPr>
          <w:rFonts w:ascii="宋体" w:hAnsi="宋体" w:cs="宋体"/>
          <w:color w:val="auto"/>
          <w:sz w:val="32"/>
          <w:szCs w:val="32"/>
          <w:highlight w:val="none"/>
        </w:rPr>
      </w:pPr>
    </w:p>
    <w:p w14:paraId="15A473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采购人：杭州市源清中学</w:t>
      </w:r>
    </w:p>
    <w:p w14:paraId="60E2ED4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ab/>
      </w:r>
      <w:r>
        <w:rPr>
          <w:rFonts w:hint="eastAsia" w:ascii="宋体" w:hAnsi="宋体" w:cs="宋体"/>
          <w:bCs/>
          <w:color w:val="auto"/>
          <w:sz w:val="32"/>
          <w:szCs w:val="32"/>
          <w:highlight w:val="none"/>
        </w:rPr>
        <w:tab/>
      </w:r>
      <w:bookmarkStart w:id="0" w:name="_Toc7631"/>
      <w:bookmarkStart w:id="1" w:name="_Toc18566"/>
      <w:r>
        <w:rPr>
          <w:rFonts w:hint="eastAsia" w:ascii="宋体" w:hAnsi="宋体" w:cs="宋体"/>
          <w:bCs/>
          <w:color w:val="auto"/>
          <w:sz w:val="32"/>
          <w:szCs w:val="32"/>
          <w:highlight w:val="none"/>
        </w:rPr>
        <w:t>采购代理机构：华诚工程咨询集团有限公司</w:t>
      </w:r>
      <w:bookmarkEnd w:id="0"/>
      <w:bookmarkEnd w:id="1"/>
    </w:p>
    <w:p w14:paraId="7CB64AA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二〇二四年六月</w:t>
      </w:r>
    </w:p>
    <w:p w14:paraId="785BFF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7C6F636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84573F5">
      <w:pPr>
        <w:pStyle w:val="45"/>
        <w:tabs>
          <w:tab w:val="right" w:leader="dot" w:pos="9240"/>
        </w:tabs>
        <w:snapToGrid w:val="0"/>
        <w:spacing w:line="360" w:lineRule="auto"/>
        <w:jc w:val="left"/>
        <w:rPr>
          <w:rFonts w:ascii="宋体" w:hAnsi="宋体" w:cs="宋体"/>
          <w:color w:val="auto"/>
          <w:sz w:val="28"/>
          <w:szCs w:val="28"/>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"_Toc21043" </w:instrText>
      </w:r>
      <w:r>
        <w:rPr>
          <w:color w:val="auto"/>
          <w:highlight w:val="none"/>
        </w:rPr>
        <w:fldChar w:fldCharType="separate"/>
      </w:r>
      <w:r>
        <w:rPr>
          <w:rFonts w:hint="eastAsia" w:ascii="宋体" w:hAnsi="宋体" w:cs="宋体"/>
          <w:color w:val="auto"/>
          <w:sz w:val="28"/>
          <w:szCs w:val="28"/>
          <w:highlight w:val="none"/>
        </w:rPr>
        <w:t>第一部分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_Toc21043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B7E5C7C">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"_Toc29733" </w:instrText>
      </w:r>
      <w:r>
        <w:rPr>
          <w:color w:val="auto"/>
          <w:highlight w:val="none"/>
        </w:rPr>
        <w:fldChar w:fldCharType="separate"/>
      </w:r>
      <w:r>
        <w:rPr>
          <w:rFonts w:hint="eastAsia" w:ascii="宋体" w:hAnsi="宋体" w:cs="宋体"/>
          <w:color w:val="auto"/>
          <w:sz w:val="28"/>
          <w:szCs w:val="28"/>
          <w:highlight w:val="none"/>
        </w:rPr>
        <w:t>第二部分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_Toc29733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9AF0320">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"_Toc5649" </w:instrText>
      </w:r>
      <w:r>
        <w:rPr>
          <w:color w:val="auto"/>
          <w:highlight w:val="none"/>
        </w:rPr>
        <w:fldChar w:fldCharType="separate"/>
      </w:r>
      <w:r>
        <w:rPr>
          <w:rFonts w:hint="eastAsia" w:ascii="宋体" w:hAnsi="宋体" w:cs="宋体"/>
          <w:color w:val="auto"/>
          <w:sz w:val="28"/>
          <w:szCs w:val="28"/>
          <w:highlight w:val="none"/>
        </w:rPr>
        <w:t>第三部分 采购需求</w:t>
      </w:r>
      <w:bookmarkStart w:id="1041" w:name="_GoBack"/>
      <w:bookmarkEnd w:id="1041"/>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_Toc5649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A17A2B1">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"_Toc27879" </w:instrText>
      </w:r>
      <w:r>
        <w:rPr>
          <w:color w:val="auto"/>
          <w:highlight w:val="none"/>
        </w:rPr>
        <w:fldChar w:fldCharType="separate"/>
      </w:r>
      <w:r>
        <w:rPr>
          <w:rFonts w:hint="eastAsia" w:ascii="宋体" w:hAnsi="宋体" w:cs="宋体"/>
          <w:color w:val="auto"/>
          <w:sz w:val="28"/>
          <w:szCs w:val="28"/>
          <w:highlight w:val="none"/>
        </w:rPr>
        <w:t>第四部分 评审办法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_Toc27879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7C91F64">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"_Toc12059"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_Toc12059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9C616EC">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"_Toc18246"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_Toc18246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F6A1C2D">
      <w:pPr>
        <w:pStyle w:val="45"/>
        <w:tabs>
          <w:tab w:val="right" w:leader="dot" w:pos="9746"/>
        </w:tabs>
        <w:rPr>
          <w:color w:val="auto"/>
          <w:highlight w:val="none"/>
        </w:rPr>
      </w:pPr>
    </w:p>
    <w:p w14:paraId="74C7A5EA">
      <w:pPr>
        <w:spacing w:line="360" w:lineRule="auto"/>
        <w:rPr>
          <w:rFonts w:ascii="宋体" w:hAnsi="宋体" w:cs="宋体"/>
          <w:color w:val="auto"/>
          <w:sz w:val="32"/>
          <w:szCs w:val="32"/>
          <w:highlight w:val="none"/>
        </w:rPr>
      </w:pPr>
      <w:r>
        <w:rPr>
          <w:rFonts w:ascii="宋体" w:hAnsi="宋体" w:cs="宋体"/>
          <w:color w:val="auto"/>
          <w:szCs w:val="32"/>
          <w:highlight w:val="none"/>
        </w:rPr>
        <w:fldChar w:fldCharType="end"/>
      </w:r>
    </w:p>
    <w:p w14:paraId="2A34EB5C">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4B35EAE2">
      <w:pPr>
        <w:spacing w:line="360" w:lineRule="auto"/>
        <w:ind w:firstLine="549" w:firstLineChars="229"/>
        <w:rPr>
          <w:rFonts w:ascii="宋体" w:hAnsi="宋体" w:cs="宋体"/>
          <w:color w:val="auto"/>
          <w:sz w:val="24"/>
          <w:highlight w:val="none"/>
        </w:rPr>
      </w:pPr>
    </w:p>
    <w:p w14:paraId="6E80BE5C">
      <w:pPr>
        <w:spacing w:line="360" w:lineRule="auto"/>
        <w:ind w:firstLine="549" w:firstLineChars="229"/>
        <w:rPr>
          <w:rFonts w:ascii="宋体" w:hAnsi="宋体" w:cs="宋体"/>
          <w:color w:val="auto"/>
          <w:sz w:val="24"/>
          <w:highlight w:val="none"/>
        </w:rPr>
      </w:pPr>
    </w:p>
    <w:p w14:paraId="5C13BC97">
      <w:pPr>
        <w:spacing w:line="360" w:lineRule="auto"/>
        <w:ind w:firstLine="549" w:firstLineChars="229"/>
        <w:rPr>
          <w:rFonts w:ascii="宋体" w:hAnsi="宋体" w:cs="宋体"/>
          <w:color w:val="auto"/>
          <w:sz w:val="24"/>
          <w:highlight w:val="none"/>
        </w:rPr>
      </w:pPr>
    </w:p>
    <w:p w14:paraId="7C36DFB8">
      <w:pPr>
        <w:spacing w:line="360" w:lineRule="auto"/>
        <w:ind w:firstLine="549" w:firstLineChars="229"/>
        <w:rPr>
          <w:rFonts w:ascii="宋体" w:hAnsi="宋体" w:cs="宋体"/>
          <w:color w:val="auto"/>
          <w:sz w:val="24"/>
          <w:highlight w:val="none"/>
        </w:rPr>
      </w:pPr>
    </w:p>
    <w:p w14:paraId="60318124">
      <w:pPr>
        <w:spacing w:line="360" w:lineRule="auto"/>
        <w:ind w:firstLine="549" w:firstLineChars="229"/>
        <w:rPr>
          <w:rFonts w:ascii="宋体" w:hAnsi="宋体" w:cs="宋体"/>
          <w:color w:val="auto"/>
          <w:sz w:val="24"/>
          <w:highlight w:val="none"/>
        </w:rPr>
      </w:pPr>
    </w:p>
    <w:p w14:paraId="6634201C">
      <w:pPr>
        <w:spacing w:line="360" w:lineRule="auto"/>
        <w:ind w:firstLine="549" w:firstLineChars="229"/>
        <w:rPr>
          <w:rFonts w:ascii="宋体" w:hAnsi="宋体" w:cs="宋体"/>
          <w:color w:val="auto"/>
          <w:sz w:val="24"/>
          <w:highlight w:val="none"/>
        </w:rPr>
      </w:pPr>
    </w:p>
    <w:p w14:paraId="78C0D0CC">
      <w:pPr>
        <w:spacing w:line="360" w:lineRule="auto"/>
        <w:ind w:firstLine="549" w:firstLineChars="229"/>
        <w:rPr>
          <w:rFonts w:ascii="宋体" w:hAnsi="宋体" w:cs="宋体"/>
          <w:color w:val="auto"/>
          <w:sz w:val="24"/>
          <w:highlight w:val="none"/>
        </w:rPr>
      </w:pPr>
    </w:p>
    <w:p w14:paraId="18172144">
      <w:pPr>
        <w:spacing w:line="360" w:lineRule="auto"/>
        <w:ind w:firstLine="549" w:firstLineChars="229"/>
        <w:rPr>
          <w:rFonts w:ascii="宋体" w:hAnsi="宋体" w:cs="宋体"/>
          <w:color w:val="auto"/>
          <w:sz w:val="24"/>
          <w:highlight w:val="none"/>
        </w:rPr>
      </w:pPr>
    </w:p>
    <w:p w14:paraId="4A63EA9F">
      <w:pPr>
        <w:spacing w:line="360" w:lineRule="auto"/>
        <w:ind w:firstLine="549" w:firstLineChars="229"/>
        <w:rPr>
          <w:rFonts w:ascii="宋体" w:hAnsi="宋体" w:cs="宋体"/>
          <w:color w:val="auto"/>
          <w:sz w:val="24"/>
          <w:highlight w:val="none"/>
        </w:rPr>
      </w:pPr>
    </w:p>
    <w:p w14:paraId="762CA316">
      <w:pPr>
        <w:spacing w:line="360" w:lineRule="auto"/>
        <w:ind w:firstLine="549" w:firstLineChars="229"/>
        <w:rPr>
          <w:rFonts w:ascii="宋体" w:hAnsi="宋体" w:cs="宋体"/>
          <w:color w:val="auto"/>
          <w:sz w:val="24"/>
          <w:highlight w:val="none"/>
        </w:rPr>
      </w:pPr>
    </w:p>
    <w:bookmarkEnd w:id="4"/>
    <w:p w14:paraId="29796E37">
      <w:pPr>
        <w:rPr>
          <w:color w:val="auto"/>
          <w:highlight w:val="none"/>
        </w:rPr>
      </w:pPr>
      <w:bookmarkStart w:id="5" w:name="_Hlt74649545"/>
      <w:bookmarkEnd w:id="5"/>
      <w:bookmarkStart w:id="6" w:name="_Hlt74728647"/>
      <w:bookmarkEnd w:id="6"/>
      <w:bookmarkStart w:id="7" w:name="_Hlt74707423"/>
      <w:bookmarkEnd w:id="7"/>
      <w:bookmarkStart w:id="8" w:name="_Hlt74729822"/>
      <w:bookmarkEnd w:id="8"/>
      <w:bookmarkStart w:id="9" w:name="_Toc21043"/>
      <w:bookmarkStart w:id="10" w:name="第二部分"/>
      <w:bookmarkStart w:id="11" w:name="_Toc91899870"/>
      <w:bookmarkStart w:id="12" w:name="_Toc91899871"/>
      <w:r>
        <w:rPr>
          <w:rFonts w:hint="eastAsia"/>
          <w:color w:val="auto"/>
          <w:highlight w:val="none"/>
        </w:rPr>
        <w:br w:type="page"/>
      </w:r>
    </w:p>
    <w:p w14:paraId="32860B20">
      <w:pPr>
        <w:pStyle w:val="5"/>
        <w:snapToGrid w:val="0"/>
        <w:spacing w:before="0" w:after="0" w:line="360" w:lineRule="auto"/>
        <w:ind w:left="0" w:firstLine="0"/>
        <w:jc w:val="center"/>
        <w:rPr>
          <w:color w:val="auto"/>
          <w:highlight w:val="none"/>
        </w:rPr>
      </w:pPr>
      <w:r>
        <w:rPr>
          <w:rFonts w:hint="eastAsia"/>
          <w:color w:val="auto"/>
          <w:highlight w:val="none"/>
        </w:rPr>
        <w:t>第一部分 竞争性磋商公告</w:t>
      </w:r>
      <w:bookmarkEnd w:id="9"/>
    </w:p>
    <w:p w14:paraId="5B65879E">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61108CB1">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杭州市源清中学屋面防水改造项目</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2024年6月25日9:3</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0</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52F249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3F6CBDC">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HCZX-24239</w:t>
      </w:r>
    </w:p>
    <w:p w14:paraId="1DF78FCA">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杭州市源清中学屋面防水改造项目</w:t>
      </w:r>
    </w:p>
    <w:p w14:paraId="3D53FC32">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：2360000   </w:t>
      </w:r>
    </w:p>
    <w:p w14:paraId="59FECC66">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2360000 </w:t>
      </w:r>
    </w:p>
    <w:p w14:paraId="1EF454C6">
      <w:pPr>
        <w:pStyle w:val="18"/>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杭州市源清中学屋面防水改造项目</w:t>
      </w:r>
      <w:r>
        <w:rPr>
          <w:rFonts w:hint="eastAsia" w:hAnsi="宋体" w:cs="宋体"/>
          <w:bCs/>
          <w:snapToGrid/>
          <w:color w:val="auto"/>
          <w:kern w:val="2"/>
          <w:sz w:val="24"/>
          <w:szCs w:val="24"/>
          <w:highlight w:val="none"/>
        </w:rPr>
        <w:t>，详见采购文件第三部分采购需求。</w:t>
      </w:r>
    </w:p>
    <w:p w14:paraId="1E65031A">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按签署合同规定。</w:t>
      </w:r>
    </w:p>
    <w:p w14:paraId="2434C7C0">
      <w:pPr>
        <w:pStyle w:val="18"/>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17DFD949">
      <w:pPr>
        <w:pStyle w:val="18"/>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019F7268">
      <w:pPr>
        <w:pStyle w:val="18"/>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5CF4ABB0">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16B69B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00C34A3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02739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7C1A869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0A9F6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350DD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5B2C6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4C3B7E7">
      <w:pPr>
        <w:spacing w:line="360" w:lineRule="auto"/>
        <w:ind w:firstLine="960" w:firstLineChars="4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6372C0C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45A846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967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（1）须具有房屋建筑工程施工总承包三级（含）以上资质；</w:t>
      </w:r>
    </w:p>
    <w:p w14:paraId="2B2492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（2）须具有安全生产许可证，且在有效期内；</w:t>
      </w:r>
    </w:p>
    <w:p w14:paraId="350769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8D8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4F03B6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2024年6月25日</w:t>
      </w:r>
      <w:r>
        <w:rPr>
          <w:rFonts w:hint="eastAsia" w:ascii="宋体" w:hAnsi="宋体" w:cs="宋体"/>
          <w:color w:val="auto"/>
          <w:sz w:val="24"/>
          <w:highlight w:val="none"/>
        </w:rPr>
        <w:t>，每天上午00:00至12:00 ，下午12:00至23:59（北京时间，线上获取法定节假日均可，线下获取文件法定节假日除外）</w:t>
      </w:r>
    </w:p>
    <w:p w14:paraId="5C7069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F9625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E1720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836BBB6">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CC3F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2024年6月25日9:30（北京时间）</w:t>
      </w:r>
      <w:r>
        <w:rPr>
          <w:rFonts w:hint="eastAsia" w:ascii="宋体" w:hAnsi="宋体" w:cs="宋体"/>
          <w:bCs/>
          <w:color w:val="auto"/>
          <w:sz w:val="24"/>
          <w:highlight w:val="none"/>
          <w:u w:val="single"/>
        </w:rPr>
        <w:t xml:space="preserve"> </w:t>
      </w:r>
    </w:p>
    <w:p w14:paraId="44AD4A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21154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5B395BA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2024年6月25日9:30（北京时间）</w:t>
      </w:r>
      <w:r>
        <w:rPr>
          <w:rFonts w:hint="eastAsia" w:ascii="宋体" w:hAnsi="宋体" w:cs="宋体"/>
          <w:bCs/>
          <w:color w:val="auto"/>
          <w:sz w:val="24"/>
          <w:highlight w:val="none"/>
          <w:u w:val="single"/>
        </w:rPr>
        <w:t xml:space="preserve"> </w:t>
      </w:r>
    </w:p>
    <w:p w14:paraId="427E8F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0C41EC9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81D3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738D78D3">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15613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A494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514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B0A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0192CC3">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0D6F7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1DA23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称：杭州市源清中学 </w:t>
      </w:r>
    </w:p>
    <w:p w14:paraId="38867B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址：杭州市湖州街69号       </w:t>
      </w:r>
    </w:p>
    <w:p w14:paraId="1A40C1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41409D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项目联系人（询问）：杨老师  </w:t>
      </w:r>
    </w:p>
    <w:p w14:paraId="66F412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项目联系方式（询问）：18868721216  </w:t>
      </w:r>
    </w:p>
    <w:p w14:paraId="3C7896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质疑联系人：裴老师</w:t>
      </w:r>
    </w:p>
    <w:p w14:paraId="79220B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质疑联系方式：0571-88282493（请通过以下路径在线提起质疑：政采云-项目采购-询问质疑投诉-质疑列表）</w:t>
      </w:r>
    </w:p>
    <w:p w14:paraId="2A11BB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5577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14:paraId="06E159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14:paraId="0E3438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046B69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项目联系人（询问）：宓圣杰           </w:t>
      </w:r>
    </w:p>
    <w:p w14:paraId="27C95D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项目联系方式（询问）：18969923366</w:t>
      </w:r>
    </w:p>
    <w:p w14:paraId="730BB7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质疑联系人：金册玲               </w:t>
      </w:r>
    </w:p>
    <w:p w14:paraId="238F1D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质疑联系方式：0571-88399280（请通过以下路径在线提起质疑：政采云-项目采购-询问质疑投诉-质疑列表）</w:t>
      </w:r>
    </w:p>
    <w:p w14:paraId="4467F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40FF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53E58D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（快递仅限ems或顺丰）</w:t>
      </w:r>
    </w:p>
    <w:p w14:paraId="286FB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0777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33FBB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14:paraId="1F0504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1E86E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0C9CEFB7">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11581894">
      <w:pPr>
        <w:pStyle w:val="5"/>
        <w:snapToGrid w:val="0"/>
        <w:spacing w:before="0" w:after="0" w:line="360" w:lineRule="auto"/>
        <w:ind w:left="0" w:firstLine="0"/>
        <w:jc w:val="center"/>
        <w:rPr>
          <w:color w:val="auto"/>
          <w:highlight w:val="none"/>
        </w:rPr>
      </w:pPr>
      <w:bookmarkStart w:id="15" w:name="_Toc29733"/>
      <w:r>
        <w:rPr>
          <w:rFonts w:hint="eastAsia"/>
          <w:color w:val="auto"/>
          <w:highlight w:val="none"/>
        </w:rPr>
        <w:t>第二部分</w:t>
      </w:r>
      <w:bookmarkEnd w:id="10"/>
      <w:r>
        <w:rPr>
          <w:rFonts w:hint="eastAsia"/>
          <w:color w:val="auto"/>
          <w:highlight w:val="none"/>
        </w:rPr>
        <w:t xml:space="preserve"> 供应商须知</w:t>
      </w:r>
      <w:bookmarkEnd w:id="11"/>
      <w:bookmarkEnd w:id="15"/>
    </w:p>
    <w:p w14:paraId="7BB39F3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62C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4F0A6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F3DBB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E6079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F09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DBE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35D31A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7EA87126">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22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37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535B7B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77931F8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杭州市源清中学屋面防水改造项目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tc>
      </w:tr>
      <w:tr w14:paraId="0B07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3370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F6DDD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4D806D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8A4F0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53B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A195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9ED4F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100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63759FD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81B64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D18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0A3B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79D51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948705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B0AEC4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0962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420D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2714BD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1B230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BF28E7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35095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58E69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3828E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729AEF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CDA4AA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D6E32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7A53EB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FAD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4A53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7781D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4CBCBE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E97EF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BBA07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6ABAE3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EB81F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89450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CDCDA4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DC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88C3F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75A82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641C12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639B10B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F5C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CD9ED28">
            <w:pPr>
              <w:snapToGrid w:val="0"/>
              <w:spacing w:line="360" w:lineRule="auto"/>
              <w:jc w:val="center"/>
              <w:rPr>
                <w:rFonts w:ascii="宋体" w:hAnsi="宋体" w:cs="宋体"/>
                <w:color w:val="auto"/>
                <w:sz w:val="24"/>
                <w:highlight w:val="none"/>
              </w:rPr>
            </w:pPr>
          </w:p>
        </w:tc>
        <w:tc>
          <w:tcPr>
            <w:tcW w:w="2093" w:type="dxa"/>
            <w:vMerge w:val="continue"/>
            <w:vAlign w:val="center"/>
          </w:tcPr>
          <w:p w14:paraId="7F6C139C">
            <w:pPr>
              <w:snapToGrid w:val="0"/>
              <w:spacing w:line="360" w:lineRule="auto"/>
              <w:jc w:val="center"/>
              <w:rPr>
                <w:rFonts w:ascii="宋体" w:hAnsi="宋体" w:cs="宋体"/>
                <w:b/>
                <w:color w:val="auto"/>
                <w:sz w:val="24"/>
                <w:highlight w:val="none"/>
              </w:rPr>
            </w:pPr>
          </w:p>
        </w:tc>
        <w:tc>
          <w:tcPr>
            <w:tcW w:w="6927" w:type="dxa"/>
            <w:vAlign w:val="center"/>
          </w:tcPr>
          <w:p w14:paraId="7039401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DD3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6637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1C5B57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773E587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8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56EB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78C55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DCB8CE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44EA148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63231E6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551D2D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3F13881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595E8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660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6032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17CCD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0BDE312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5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BE37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616704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829627D">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华诚工程咨询集团有限公司（杭州市拱墅区彩云路105号锦盛大楼8楼 </w:t>
            </w:r>
            <w:r>
              <w:rPr>
                <w:rFonts w:hint="eastAsia" w:hAnsi="宋体" w:cs="宋体"/>
                <w:color w:val="auto"/>
                <w:kern w:val="28"/>
                <w:sz w:val="24"/>
                <w:szCs w:val="24"/>
                <w:highlight w:val="none"/>
              </w:rPr>
              <w:t>；</w:t>
            </w:r>
          </w:p>
          <w:p w14:paraId="76B4329E">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宓圣杰；18969923366 </w:t>
            </w:r>
            <w:r>
              <w:rPr>
                <w:rFonts w:hint="eastAsia" w:hAnsi="宋体" w:cs="宋体"/>
                <w:color w:val="auto"/>
                <w:sz w:val="24"/>
                <w:szCs w:val="24"/>
                <w:highlight w:val="none"/>
              </w:rPr>
              <w:t>。</w:t>
            </w:r>
          </w:p>
          <w:p w14:paraId="7A06D619">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50EB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C920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2900C7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DEE10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1EC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3A807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60370B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3AB5DFA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参照国家《招标代理服务收费管理暂行办法》（计价格[2002]1980号），发改办价格[2003]857号）收费标准的60%向中标人收取。不足伍仟元按伍仟元计取。工程量清单编制费参照浙价服（2009）84号文收取标准的60%向中标人收取。</w:t>
            </w:r>
          </w:p>
          <w:p w14:paraId="6E52A72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2、费用支付：</w:t>
            </w:r>
          </w:p>
          <w:p w14:paraId="73E3123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①缴纳形式：电汇/现金。</w:t>
            </w:r>
          </w:p>
          <w:p w14:paraId="693F28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②汇入以下账户 ：</w:t>
            </w:r>
          </w:p>
          <w:p w14:paraId="37031E8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收款单位（户名）：华诚工程咨询集团有限公司</w:t>
            </w:r>
          </w:p>
          <w:p w14:paraId="0DB63C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开户银行：上海浦东发展银行股份有限公司杭州和睦支行</w:t>
            </w:r>
          </w:p>
          <w:p w14:paraId="232A2B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号：95220078801100000315</w:t>
            </w:r>
          </w:p>
          <w:p w14:paraId="23C6DAC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3、增值税发票开票资料：单位名称、税号（统一社会信用代码）、开户行名称、账号、地址及联系电话。</w:t>
            </w:r>
          </w:p>
        </w:tc>
      </w:tr>
    </w:tbl>
    <w:p w14:paraId="7CA94E5F">
      <w:pPr>
        <w:snapToGrid w:val="0"/>
        <w:spacing w:line="360" w:lineRule="auto"/>
        <w:jc w:val="center"/>
        <w:rPr>
          <w:rFonts w:ascii="宋体" w:hAnsi="宋体" w:cs="宋体"/>
          <w:b/>
          <w:color w:val="auto"/>
          <w:sz w:val="32"/>
          <w:szCs w:val="20"/>
          <w:highlight w:val="none"/>
        </w:rPr>
      </w:pPr>
    </w:p>
    <w:bookmarkEnd w:id="12"/>
    <w:p w14:paraId="06308588">
      <w:pPr>
        <w:widowControl/>
        <w:adjustRightInd/>
        <w:jc w:val="left"/>
        <w:rPr>
          <w:rFonts w:ascii="宋体" w:hAnsi="宋体" w:cs="宋体"/>
          <w:b/>
          <w:color w:val="auto"/>
          <w:sz w:val="32"/>
          <w:szCs w:val="20"/>
          <w:highlight w:val="none"/>
        </w:rPr>
      </w:pPr>
      <w:bookmarkStart w:id="16" w:name="第三部分"/>
      <w:bookmarkStart w:id="17" w:name="_Toc164416483"/>
      <w:r>
        <w:rPr>
          <w:rFonts w:hint="eastAsia" w:ascii="宋体" w:hAnsi="宋体" w:cs="宋体"/>
          <w:b/>
          <w:color w:val="auto"/>
          <w:sz w:val="32"/>
          <w:szCs w:val="20"/>
          <w:highlight w:val="none"/>
        </w:rPr>
        <w:br w:type="page"/>
      </w:r>
    </w:p>
    <w:p w14:paraId="0E7F5EFE">
      <w:pPr>
        <w:snapToGrid w:val="0"/>
        <w:spacing w:line="360" w:lineRule="auto"/>
        <w:jc w:val="center"/>
        <w:outlineLvl w:val="0"/>
        <w:rPr>
          <w:rFonts w:ascii="宋体" w:hAnsi="宋体" w:cs="宋体"/>
          <w:b/>
          <w:color w:val="auto"/>
          <w:sz w:val="32"/>
          <w:szCs w:val="20"/>
          <w:highlight w:val="none"/>
        </w:rPr>
      </w:pPr>
      <w:bookmarkStart w:id="18" w:name="_Toc18539"/>
      <w:bookmarkStart w:id="19" w:name="_Toc20114"/>
      <w:r>
        <w:rPr>
          <w:rFonts w:hint="eastAsia" w:ascii="宋体" w:hAnsi="宋体" w:cs="宋体"/>
          <w:b/>
          <w:color w:val="auto"/>
          <w:sz w:val="32"/>
          <w:szCs w:val="20"/>
          <w:highlight w:val="none"/>
        </w:rPr>
        <w:t>一、总则</w:t>
      </w:r>
      <w:bookmarkEnd w:id="18"/>
      <w:bookmarkEnd w:id="19"/>
    </w:p>
    <w:p w14:paraId="476BECAC">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263576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81BF65D">
      <w:pPr>
        <w:snapToGrid w:val="0"/>
        <w:spacing w:line="360" w:lineRule="auto"/>
        <w:outlineLvl w:val="0"/>
        <w:rPr>
          <w:rFonts w:ascii="宋体" w:hAnsi="宋体" w:cs="宋体"/>
          <w:b/>
          <w:color w:val="auto"/>
          <w:sz w:val="24"/>
          <w:highlight w:val="none"/>
        </w:rPr>
      </w:pPr>
      <w:bookmarkStart w:id="20" w:name="_Toc12086"/>
      <w:bookmarkStart w:id="21" w:name="_Toc8756"/>
      <w:r>
        <w:rPr>
          <w:rFonts w:hint="eastAsia" w:ascii="宋体" w:hAnsi="宋体" w:cs="宋体"/>
          <w:b/>
          <w:color w:val="auto"/>
          <w:sz w:val="24"/>
          <w:highlight w:val="none"/>
        </w:rPr>
        <w:t>2.定义</w:t>
      </w:r>
      <w:bookmarkEnd w:id="20"/>
      <w:bookmarkEnd w:id="21"/>
    </w:p>
    <w:p w14:paraId="33C704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4FB33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64008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43222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252D2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E5032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5A1EE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203AD13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B7842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F976D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F52FD7D">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DD365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1EA9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136D35">
      <w:pPr>
        <w:pStyle w:val="6"/>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514F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E7481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8C97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8EA98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0E0A600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12F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4C365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0817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697F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65C98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9539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748E0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1D86B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6997802">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289DDB6B">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AF7578F">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DE6F1E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FDBD6EE">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D14D6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B92C29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3F8C0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8EB7727">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C46FD1F">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A693B99">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2200BF0">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276C83C">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11EC7BAB">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85108B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7C92EA7">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C0F770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856813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9A7F8D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C0326F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FFB25D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E7FEA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F211A11">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3F1F05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9F1918">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9928A7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D76594">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360B0E3">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F6ED14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196052D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F56A9BF">
      <w:pPr>
        <w:pStyle w:val="891"/>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ABABB3C">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48ADC52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D70AF79">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7708940A">
      <w:pPr>
        <w:pStyle w:val="133"/>
        <w:snapToGrid w:val="0"/>
        <w:spacing w:before="0"/>
        <w:ind w:firstLine="360"/>
        <w:rPr>
          <w:rFonts w:ascii="宋体" w:hAnsi="宋体" w:cs="宋体"/>
          <w:color w:val="auto"/>
          <w:sz w:val="18"/>
          <w:szCs w:val="18"/>
          <w:highlight w:val="none"/>
        </w:rPr>
      </w:pPr>
    </w:p>
    <w:p w14:paraId="1F2430BB">
      <w:pPr>
        <w:snapToGrid w:val="0"/>
        <w:spacing w:line="360" w:lineRule="auto"/>
        <w:jc w:val="center"/>
        <w:outlineLvl w:val="0"/>
        <w:rPr>
          <w:rFonts w:ascii="宋体" w:hAnsi="宋体" w:cs="宋体"/>
          <w:b/>
          <w:color w:val="auto"/>
          <w:sz w:val="32"/>
          <w:szCs w:val="20"/>
          <w:highlight w:val="none"/>
        </w:rPr>
      </w:pPr>
      <w:bookmarkStart w:id="23" w:name="_Toc23086"/>
      <w:bookmarkStart w:id="24" w:name="_Toc7883"/>
      <w:r>
        <w:rPr>
          <w:rFonts w:hint="eastAsia" w:ascii="宋体" w:hAnsi="宋体" w:cs="宋体"/>
          <w:b/>
          <w:color w:val="auto"/>
          <w:sz w:val="32"/>
          <w:szCs w:val="20"/>
          <w:highlight w:val="none"/>
        </w:rPr>
        <w:t>二、采购文件的构成、澄清、修改</w:t>
      </w:r>
      <w:bookmarkEnd w:id="23"/>
      <w:bookmarkEnd w:id="24"/>
    </w:p>
    <w:p w14:paraId="4A6E3B6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01E953C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F3FDB1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FC443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27575C0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73790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1F5CEC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09FFE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AB4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57AED9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37F9D5D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068E132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3812B17">
      <w:pPr>
        <w:pStyle w:val="3"/>
        <w:rPr>
          <w:rFonts w:hAnsi="宋体" w:cs="宋体"/>
          <w:color w:val="auto"/>
          <w:sz w:val="18"/>
          <w:szCs w:val="18"/>
          <w:highlight w:val="none"/>
          <w:lang w:val="en-US"/>
        </w:rPr>
      </w:pPr>
    </w:p>
    <w:p w14:paraId="5D5ED11E">
      <w:pPr>
        <w:snapToGrid w:val="0"/>
        <w:spacing w:line="360" w:lineRule="auto"/>
        <w:jc w:val="center"/>
        <w:outlineLvl w:val="0"/>
        <w:rPr>
          <w:rFonts w:ascii="宋体" w:hAnsi="宋体" w:cs="宋体"/>
          <w:b/>
          <w:color w:val="auto"/>
          <w:sz w:val="32"/>
          <w:szCs w:val="20"/>
          <w:highlight w:val="none"/>
        </w:rPr>
      </w:pPr>
      <w:bookmarkStart w:id="25" w:name="_Toc23723"/>
      <w:bookmarkStart w:id="26" w:name="_Toc27707"/>
      <w:r>
        <w:rPr>
          <w:rFonts w:hint="eastAsia" w:ascii="宋体" w:hAnsi="宋体" w:cs="宋体"/>
          <w:b/>
          <w:color w:val="auto"/>
          <w:sz w:val="32"/>
          <w:szCs w:val="20"/>
          <w:highlight w:val="none"/>
        </w:rPr>
        <w:t>三、提交响应文件</w:t>
      </w:r>
      <w:bookmarkEnd w:id="25"/>
      <w:bookmarkEnd w:id="26"/>
    </w:p>
    <w:p w14:paraId="19895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5952F2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073FDD0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380EAC1C">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5ED76DB">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1F56A61">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EFED54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71487D3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04F8E6A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BB53A5B">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28C9C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满足《中华人民共和国政府采购法》第二十二条规定；未被“信用中国”（www.creditchina.gov.cn)、中国政府采购网（www.ccgp.gov.cn）列入失信被执行人、重大税收违法案件当事人名单、政府采购严重违法失信行为记录名单：</w:t>
      </w:r>
    </w:p>
    <w:p w14:paraId="776C67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（1）营业执照(或事业法人登记证书或其它工商等登记证明材料；自然人参与政府采购，提供身份证)复印件； </w:t>
      </w:r>
    </w:p>
    <w:p w14:paraId="14B9E7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w:t>
      </w:r>
    </w:p>
    <w:p w14:paraId="3AE04C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7" w:name="_Hlk101259339"/>
      <w:r>
        <w:rPr>
          <w:rFonts w:hint="eastAsia" w:ascii="宋体" w:hAnsi="宋体" w:cs="宋体"/>
          <w:snapToGrid w:val="0"/>
          <w:color w:val="auto"/>
          <w:kern w:val="28"/>
          <w:sz w:val="24"/>
          <w:szCs w:val="20"/>
          <w:highlight w:val="none"/>
        </w:rPr>
        <w:t>联合协议</w:t>
      </w:r>
      <w:bookmarkStart w:id="28" w:name="_Hlk101257010"/>
      <w:r>
        <w:rPr>
          <w:rFonts w:hint="eastAsia" w:ascii="宋体" w:hAnsi="宋体" w:cs="宋体"/>
          <w:snapToGrid w:val="0"/>
          <w:color w:val="auto"/>
          <w:kern w:val="28"/>
          <w:sz w:val="24"/>
          <w:szCs w:val="20"/>
          <w:highlight w:val="none"/>
        </w:rPr>
        <w:t>（如果有)</w:t>
      </w:r>
      <w:bookmarkEnd w:id="27"/>
      <w:bookmarkEnd w:id="28"/>
      <w:r>
        <w:rPr>
          <w:rFonts w:hint="eastAsia" w:ascii="宋体" w:hAnsi="宋体" w:cs="宋体"/>
          <w:snapToGrid w:val="0"/>
          <w:color w:val="auto"/>
          <w:kern w:val="28"/>
          <w:sz w:val="24"/>
          <w:szCs w:val="20"/>
          <w:highlight w:val="none"/>
        </w:rPr>
        <w:t>；</w:t>
      </w:r>
    </w:p>
    <w:p w14:paraId="49D0D479">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p>
    <w:p w14:paraId="6B740770">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工程全部由符合政策要求的中小微企业承建，提供《中小企业声明函》或《残疾人福利性单位声明函》或提供由省级以上监狱管理局、戒毒管理局（含新疆生产建设兵团）出具的属于监狱企业证明文件的，视同为小型、微型企业。</w:t>
      </w:r>
    </w:p>
    <w:p w14:paraId="5D4E3997">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如果以联合体形式或合同分包形式参加的，提供联合协议或分包意向协议和相应的提供《中小企业声明函》或或《残疾人福利性单位声明函》或提供由省级以上监狱管理局、戒毒管理局（含新疆生产建设兵团）出具的属于监狱企业证明文件的，视同为小型、微型企业。</w:t>
      </w:r>
    </w:p>
    <w:p w14:paraId="1D0430E5">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14:paraId="44D48F44">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（1）须具有房屋建筑工程施工总承包三级（含）以上资质；</w:t>
      </w:r>
    </w:p>
    <w:p w14:paraId="298907E2">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（2）须具有安全生产许可证，且在有效期内；</w:t>
      </w:r>
    </w:p>
    <w:p w14:paraId="09003D53">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提供承诺函。</w:t>
      </w:r>
    </w:p>
    <w:p w14:paraId="693D52EB">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0A303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8C253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1FAD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E9E30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5A480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2D2B1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7E2BAA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0203758">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F803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E0D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9810C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66D52741">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11.3.4 报价情况说明（如供应商报价低于项目预算50%的，应当提交本文档，详细阐述不影响产品质量或者诚信履约的具体原因）。</w:t>
      </w:r>
    </w:p>
    <w:p w14:paraId="1A4FE28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05B1F67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748E729">
      <w:pPr>
        <w:spacing w:line="360" w:lineRule="auto"/>
        <w:ind w:firstLine="720" w:firstLineChars="300"/>
        <w:rPr>
          <w:rFonts w:ascii="宋体" w:hAnsi="宋体" w:cs="宋体"/>
          <w:b/>
          <w:color w:val="auto"/>
          <w:sz w:val="24"/>
          <w:szCs w:val="21"/>
          <w:highlight w:val="none"/>
        </w:rPr>
      </w:pPr>
      <w:r>
        <w:rPr>
          <w:rFonts w:hint="eastAsia"/>
          <w:color w:val="auto"/>
          <w:sz w:val="24"/>
          <w:highlight w:val="none"/>
          <w:shd w:val="clear" w:color="auto" w:fill="FFFFFF"/>
        </w:rPr>
        <w:t>供应商应对响应文件中材料的真实性、合法性负责。</w:t>
      </w:r>
    </w:p>
    <w:p w14:paraId="62D8BEA6">
      <w:pPr>
        <w:pStyle w:val="133"/>
        <w:snapToGrid w:val="0"/>
        <w:spacing w:before="0"/>
        <w:ind w:firstLine="0" w:firstLineChars="0"/>
        <w:outlineLvl w:val="0"/>
        <w:rPr>
          <w:rFonts w:ascii="宋体" w:hAnsi="宋体" w:cs="宋体"/>
          <w:b/>
          <w:color w:val="auto"/>
          <w:szCs w:val="24"/>
          <w:highlight w:val="none"/>
        </w:rPr>
      </w:pPr>
      <w:bookmarkStart w:id="29" w:name="_Toc32065"/>
      <w:bookmarkStart w:id="30" w:name="_Toc9914"/>
      <w:r>
        <w:rPr>
          <w:rFonts w:hint="eastAsia" w:ascii="宋体" w:hAnsi="宋体" w:cs="宋体"/>
          <w:b/>
          <w:color w:val="auto"/>
          <w:szCs w:val="24"/>
          <w:highlight w:val="none"/>
        </w:rPr>
        <w:t>12</w:t>
      </w:r>
      <w:r>
        <w:rPr>
          <w:rFonts w:hint="eastAsia" w:ascii="宋体" w:hAnsi="宋体" w:cs="宋体"/>
          <w:b/>
          <w:color w:val="auto"/>
          <w:kern w:val="0"/>
          <w:szCs w:val="24"/>
          <w:highlight w:val="none"/>
        </w:rPr>
        <w:t>.</w:t>
      </w:r>
      <w:r>
        <w:rPr>
          <w:rFonts w:hint="eastAsia" w:ascii="宋体" w:hAnsi="宋体" w:cs="宋体"/>
          <w:b/>
          <w:color w:val="auto"/>
          <w:szCs w:val="24"/>
          <w:highlight w:val="none"/>
        </w:rPr>
        <w:t>响应文件的编制</w:t>
      </w:r>
      <w:bookmarkEnd w:id="29"/>
      <w:bookmarkEnd w:id="30"/>
    </w:p>
    <w:p w14:paraId="3016CD5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D0065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89087A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BB2081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7ED00B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A416CA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AF3473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2011546">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2E9A1305">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7D8729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5B01703">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F6FD555">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05818D7">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4EBDA66E">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CA697E3">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E1DC417">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6F8A462">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1BC73186">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3C3A710">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3ECF24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4180D2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9BD45D7">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D2D3D9E">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BA1C18B">
      <w:pPr>
        <w:snapToGrid w:val="0"/>
        <w:spacing w:line="360" w:lineRule="auto"/>
        <w:jc w:val="center"/>
        <w:outlineLvl w:val="0"/>
        <w:rPr>
          <w:rFonts w:ascii="宋体" w:hAnsi="宋体" w:cs="宋体"/>
          <w:b/>
          <w:color w:val="auto"/>
          <w:sz w:val="32"/>
          <w:szCs w:val="20"/>
          <w:highlight w:val="none"/>
        </w:rPr>
      </w:pPr>
      <w:bookmarkStart w:id="31" w:name="_Toc21858"/>
      <w:bookmarkStart w:id="32" w:name="_Toc235"/>
      <w:r>
        <w:rPr>
          <w:rFonts w:hint="eastAsia" w:ascii="宋体" w:hAnsi="宋体" w:cs="宋体"/>
          <w:b/>
          <w:color w:val="auto"/>
          <w:sz w:val="32"/>
          <w:szCs w:val="20"/>
          <w:highlight w:val="none"/>
        </w:rPr>
        <w:t>四、响应文件开启、资格审查与信用信息查询</w:t>
      </w:r>
      <w:bookmarkEnd w:id="31"/>
      <w:bookmarkEnd w:id="32"/>
    </w:p>
    <w:p w14:paraId="678AE7F5">
      <w:pPr>
        <w:pStyle w:val="56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6F18283">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0A28B3A2">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568011BC">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0A3548DE">
      <w:pPr>
        <w:pStyle w:val="560"/>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39393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623B7EA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1F766E1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D6A1C4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0ACBCB47">
      <w:pPr>
        <w:pStyle w:val="13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422375">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F570FFA">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5A0CC6C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733B6A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5F250F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C193E6B">
      <w:pPr>
        <w:snapToGrid w:val="0"/>
        <w:spacing w:line="360" w:lineRule="auto"/>
        <w:jc w:val="center"/>
        <w:outlineLvl w:val="0"/>
        <w:rPr>
          <w:rFonts w:ascii="宋体" w:hAnsi="宋体" w:cs="宋体"/>
          <w:b/>
          <w:color w:val="auto"/>
          <w:sz w:val="32"/>
          <w:szCs w:val="20"/>
          <w:highlight w:val="none"/>
        </w:rPr>
      </w:pPr>
      <w:bookmarkStart w:id="33" w:name="_Toc1490"/>
      <w:bookmarkStart w:id="34" w:name="_Toc626"/>
      <w:r>
        <w:rPr>
          <w:rFonts w:hint="eastAsia" w:ascii="宋体" w:hAnsi="宋体" w:cs="宋体"/>
          <w:b/>
          <w:color w:val="auto"/>
          <w:sz w:val="32"/>
          <w:szCs w:val="20"/>
          <w:highlight w:val="none"/>
        </w:rPr>
        <w:t>五、评审</w:t>
      </w:r>
      <w:bookmarkEnd w:id="33"/>
      <w:bookmarkEnd w:id="34"/>
    </w:p>
    <w:p w14:paraId="7F7C602A">
      <w:pPr>
        <w:spacing w:line="360" w:lineRule="auto"/>
        <w:rPr>
          <w:rFonts w:ascii="宋体" w:hAnsi="宋体" w:cs="宋体"/>
          <w:b/>
          <w:color w:val="auto"/>
          <w:sz w:val="24"/>
          <w:highlight w:val="none"/>
        </w:rPr>
      </w:pPr>
      <w:bookmarkStart w:id="3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1822E88">
      <w:pPr>
        <w:snapToGrid w:val="0"/>
        <w:spacing w:line="360" w:lineRule="auto"/>
        <w:jc w:val="center"/>
        <w:outlineLvl w:val="0"/>
        <w:rPr>
          <w:rFonts w:ascii="宋体" w:hAnsi="宋体" w:cs="宋体"/>
          <w:b/>
          <w:color w:val="auto"/>
          <w:sz w:val="32"/>
          <w:szCs w:val="20"/>
          <w:highlight w:val="none"/>
        </w:rPr>
      </w:pPr>
      <w:bookmarkStart w:id="36" w:name="_Toc25086"/>
      <w:bookmarkStart w:id="37" w:name="_Toc31413"/>
      <w:r>
        <w:rPr>
          <w:rFonts w:hint="eastAsia" w:ascii="宋体" w:hAnsi="宋体" w:cs="宋体"/>
          <w:b/>
          <w:color w:val="auto"/>
          <w:sz w:val="32"/>
          <w:szCs w:val="20"/>
          <w:highlight w:val="none"/>
        </w:rPr>
        <w:t>六、成交供应商确定</w:t>
      </w:r>
      <w:bookmarkEnd w:id="36"/>
      <w:bookmarkEnd w:id="37"/>
    </w:p>
    <w:p w14:paraId="5A3FFA3C">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36FC00A">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1271D3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6498C22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535D90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779ED1A">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89D9EF">
      <w:pPr>
        <w:widowControl/>
        <w:shd w:val="clear" w:color="auto" w:fill="FFFFFF"/>
        <w:spacing w:line="360" w:lineRule="auto"/>
        <w:ind w:firstLine="480"/>
        <w:rPr>
          <w:rFonts w:ascii="宋体" w:hAnsi="宋体" w:cs="宋体"/>
          <w:b/>
          <w:color w:val="auto"/>
          <w:sz w:val="32"/>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627A7758">
      <w:pPr>
        <w:snapToGrid w:val="0"/>
        <w:spacing w:line="360" w:lineRule="auto"/>
        <w:jc w:val="center"/>
        <w:outlineLvl w:val="0"/>
        <w:rPr>
          <w:rFonts w:ascii="宋体" w:hAnsi="宋体" w:cs="宋体"/>
          <w:b/>
          <w:color w:val="auto"/>
          <w:sz w:val="32"/>
          <w:szCs w:val="20"/>
          <w:highlight w:val="none"/>
        </w:rPr>
      </w:pPr>
      <w:bookmarkStart w:id="38" w:name="_Toc6566"/>
      <w:bookmarkStart w:id="39" w:name="_Toc14181"/>
      <w:r>
        <w:rPr>
          <w:rFonts w:hint="eastAsia" w:ascii="宋体" w:hAnsi="宋体" w:cs="宋体"/>
          <w:b/>
          <w:color w:val="auto"/>
          <w:sz w:val="32"/>
          <w:szCs w:val="20"/>
          <w:highlight w:val="none"/>
        </w:rPr>
        <w:t>七、合同授予</w:t>
      </w:r>
      <w:bookmarkEnd w:id="38"/>
      <w:bookmarkEnd w:id="39"/>
    </w:p>
    <w:p w14:paraId="0F415CCA">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991617C">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3955C36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A368C88">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9B9FAC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D64EB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E9621E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209EDAC8">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93BF1EB">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BBC6DE1">
      <w:pPr>
        <w:pStyle w:val="6"/>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D042B4">
      <w:pPr>
        <w:pStyle w:val="6"/>
        <w:rPr>
          <w:color w:val="auto"/>
          <w:highlight w:val="none"/>
        </w:rPr>
      </w:pPr>
      <w:r>
        <w:rPr>
          <w:rFonts w:ascii="宋体" w:hAnsi="宋体" w:eastAsia="宋体"/>
          <w:color w:val="auto"/>
          <w:sz w:val="24"/>
          <w:highlight w:val="none"/>
          <w:lang w:val="en-US"/>
        </w:rPr>
        <w:t>27.预付款</w:t>
      </w:r>
    </w:p>
    <w:p w14:paraId="5E9BD7C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BB26FDF">
      <w:pPr>
        <w:rPr>
          <w:color w:val="auto"/>
          <w:highlight w:val="none"/>
        </w:rPr>
      </w:pPr>
    </w:p>
    <w:p w14:paraId="277A91C9">
      <w:pPr>
        <w:snapToGrid w:val="0"/>
        <w:spacing w:line="360" w:lineRule="auto"/>
        <w:jc w:val="center"/>
        <w:outlineLvl w:val="0"/>
        <w:rPr>
          <w:rFonts w:ascii="宋体" w:hAnsi="宋体" w:cs="宋体"/>
          <w:b/>
          <w:color w:val="auto"/>
          <w:sz w:val="32"/>
          <w:szCs w:val="20"/>
          <w:highlight w:val="none"/>
        </w:rPr>
      </w:pPr>
      <w:bookmarkStart w:id="40" w:name="_Toc10166"/>
      <w:bookmarkStart w:id="41" w:name="_Toc25981"/>
      <w:r>
        <w:rPr>
          <w:rFonts w:hint="eastAsia" w:ascii="宋体" w:hAnsi="宋体" w:cs="宋体"/>
          <w:b/>
          <w:color w:val="auto"/>
          <w:sz w:val="32"/>
          <w:szCs w:val="20"/>
          <w:highlight w:val="none"/>
        </w:rPr>
        <w:t>八、电子交易活动的中止</w:t>
      </w:r>
      <w:bookmarkEnd w:id="40"/>
      <w:bookmarkEnd w:id="41"/>
    </w:p>
    <w:p w14:paraId="24378258">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09037E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7BD22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DDED8C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2F81D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E95FC6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B003A87">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szCs w:val="24"/>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D241B6">
      <w:pPr>
        <w:snapToGrid w:val="0"/>
        <w:spacing w:line="360" w:lineRule="auto"/>
        <w:jc w:val="center"/>
        <w:outlineLvl w:val="0"/>
        <w:rPr>
          <w:rFonts w:ascii="宋体" w:hAnsi="宋体" w:cs="宋体"/>
          <w:b/>
          <w:color w:val="auto"/>
          <w:sz w:val="32"/>
          <w:szCs w:val="20"/>
          <w:highlight w:val="none"/>
        </w:rPr>
      </w:pPr>
      <w:bookmarkStart w:id="42" w:name="_Toc30366"/>
      <w:bookmarkStart w:id="43" w:name="_Toc19500"/>
      <w:r>
        <w:rPr>
          <w:rFonts w:hint="eastAsia" w:ascii="宋体" w:hAnsi="宋体" w:cs="宋体"/>
          <w:b/>
          <w:color w:val="auto"/>
          <w:sz w:val="32"/>
          <w:szCs w:val="20"/>
          <w:highlight w:val="none"/>
        </w:rPr>
        <w:t>九、验收</w:t>
      </w:r>
      <w:bookmarkEnd w:id="42"/>
      <w:bookmarkEnd w:id="43"/>
    </w:p>
    <w:p w14:paraId="572F8F8C">
      <w:pPr>
        <w:pStyle w:val="26"/>
        <w:spacing w:line="360" w:lineRule="auto"/>
        <w:ind w:firstLine="0" w:firstLineChars="0"/>
        <w:rPr>
          <w:rFonts w:cs="宋体"/>
          <w:b/>
          <w:color w:val="auto"/>
          <w:highlight w:val="none"/>
        </w:rPr>
      </w:pPr>
      <w:r>
        <w:rPr>
          <w:rFonts w:hint="eastAsia" w:cs="宋体"/>
          <w:b/>
          <w:color w:val="auto"/>
          <w:highlight w:val="none"/>
        </w:rPr>
        <w:t>30.验收</w:t>
      </w:r>
    </w:p>
    <w:p w14:paraId="56A2E3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ED37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476F1C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27508B">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14:paraId="59499CC4">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44" w:name="_Hlt68072990"/>
      <w:bookmarkEnd w:id="44"/>
      <w:bookmarkStart w:id="45" w:name="_Hlt68072998"/>
      <w:bookmarkEnd w:id="45"/>
      <w:bookmarkStart w:id="46" w:name="_Hlt74729768"/>
      <w:bookmarkEnd w:id="46"/>
      <w:bookmarkStart w:id="47" w:name="_Hlt68073093"/>
      <w:bookmarkEnd w:id="47"/>
      <w:bookmarkStart w:id="48" w:name="_Hlt74714665"/>
      <w:bookmarkEnd w:id="48"/>
      <w:bookmarkStart w:id="49" w:name="_Hlt75236101"/>
      <w:bookmarkEnd w:id="49"/>
      <w:bookmarkStart w:id="50" w:name="_Hlt68057669"/>
      <w:bookmarkEnd w:id="50"/>
      <w:bookmarkStart w:id="51" w:name="_Hlt75236290"/>
      <w:bookmarkEnd w:id="51"/>
      <w:bookmarkStart w:id="52" w:name="_Hlt68403820"/>
      <w:bookmarkEnd w:id="52"/>
      <w:bookmarkStart w:id="53" w:name="_Hlt75236011"/>
      <w:bookmarkEnd w:id="53"/>
      <w:bookmarkStart w:id="54" w:name="_Hlt74707468"/>
      <w:bookmarkEnd w:id="54"/>
      <w:bookmarkStart w:id="55" w:name="_Hlt74730295"/>
      <w:bookmarkEnd w:id="5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9F6C156">
      <w:pPr>
        <w:pStyle w:val="80"/>
        <w:rPr>
          <w:color w:val="auto"/>
          <w:highlight w:val="none"/>
        </w:rPr>
        <w:sectPr>
          <w:pgSz w:w="11906" w:h="16838"/>
          <w:pgMar w:top="1440" w:right="1080" w:bottom="1440" w:left="1080" w:header="851" w:footer="992" w:gutter="0"/>
          <w:cols w:space="720" w:num="1"/>
          <w:titlePg/>
          <w:docGrid w:linePitch="312" w:charSpace="0"/>
        </w:sectPr>
      </w:pPr>
    </w:p>
    <w:bookmarkEnd w:id="16"/>
    <w:bookmarkEnd w:id="17"/>
    <w:p w14:paraId="17312D62">
      <w:pPr>
        <w:pStyle w:val="5"/>
        <w:snapToGrid w:val="0"/>
        <w:spacing w:before="0" w:after="0" w:line="360" w:lineRule="auto"/>
        <w:ind w:left="0" w:firstLine="0"/>
        <w:jc w:val="center"/>
        <w:rPr>
          <w:color w:val="auto"/>
          <w:highlight w:val="none"/>
        </w:rPr>
      </w:pPr>
      <w:bookmarkStart w:id="56" w:name="_Toc5649"/>
      <w:bookmarkStart w:id="57" w:name="第四部分"/>
      <w:r>
        <w:rPr>
          <w:rFonts w:hint="eastAsia"/>
          <w:color w:val="auto"/>
          <w:highlight w:val="none"/>
        </w:rPr>
        <w:t>第三部分 采购需求</w:t>
      </w:r>
      <w:bookmarkEnd w:id="56"/>
    </w:p>
    <w:p w14:paraId="54A6C884">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1D674779">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s="宋体"/>
          <w:bCs/>
          <w:color w:val="auto"/>
          <w:sz w:val="24"/>
          <w:highlight w:val="none"/>
        </w:rPr>
        <w:t>杭州市源清中学屋面防水改造项目</w:t>
      </w:r>
      <w:r>
        <w:rPr>
          <w:rFonts w:hint="eastAsia" w:ascii="宋体" w:hAnsi="宋体"/>
          <w:color w:val="auto"/>
          <w:sz w:val="24"/>
          <w:highlight w:val="none"/>
        </w:rPr>
        <w:t>，预算金额为236万元，最高限价为236万元。</w:t>
      </w:r>
    </w:p>
    <w:p w14:paraId="1E2DA66E">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85689A6">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0AEB8E48">
      <w:pPr>
        <w:spacing w:line="360" w:lineRule="auto"/>
        <w:ind w:left="210" w:leftChars="100"/>
        <w:jc w:val="left"/>
        <w:rPr>
          <w:rFonts w:ascii="宋体" w:hAnsi="宋体" w:cs="宋体"/>
          <w:bCs/>
          <w:color w:val="auto"/>
          <w:sz w:val="24"/>
          <w:highlight w:val="none"/>
        </w:rPr>
      </w:pPr>
      <w:r>
        <w:rPr>
          <w:rFonts w:hint="eastAsia" w:ascii="宋体" w:hAnsi="宋体" w:cs="宋体"/>
          <w:bCs/>
          <w:color w:val="auto"/>
          <w:sz w:val="24"/>
          <w:highlight w:val="none"/>
        </w:rPr>
        <w:t>杭州市源清中学屋面防水改造项目</w:t>
      </w:r>
    </w:p>
    <w:p w14:paraId="09BE25FE">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5EC43FD6">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  目前项目通水、通电工作均已完成，具备项目施工条件。 </w:t>
      </w:r>
    </w:p>
    <w:p w14:paraId="29D1E84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3.工程承包范围（施工范围）</w:t>
      </w:r>
    </w:p>
    <w:p w14:paraId="74C8EF70">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工程施工图中所包括的一切内容和工程量清单等已明确的工程内容。 </w:t>
      </w:r>
    </w:p>
    <w:p w14:paraId="5B96A15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3CB9220F">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工程质量符合（工程施工质量验收规范）合格标准。 </w:t>
      </w:r>
    </w:p>
    <w:p w14:paraId="255C78E9">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679745DA">
      <w:pPr>
        <w:pStyle w:val="22"/>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（1）工程技术规范要求：</w:t>
      </w:r>
    </w:p>
    <w:p w14:paraId="315FB9C7">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本工程的材料、设备、施工须达到现行中华人民共和国及省、市、行业的一切有关法规、规范的要求，如标准及规范要求有出入则以较严格者为准。</w:t>
      </w:r>
    </w:p>
    <w:p w14:paraId="4066CB41">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42904CC9">
      <w:pPr>
        <w:pStyle w:val="22"/>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34DEA27F">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①成交供应商应对进度施工现场的施工人员进行安全文明施工教育，配备必要的劳动保护用具，保证工程的施工安全和人身安全。</w:t>
      </w:r>
    </w:p>
    <w:p w14:paraId="5C0CB60E">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②成交供应商应强化安全意识，抓好安全生产，杜绝事故发生，施工中若因承包人原因发生安全及人身事故由成交供应商自行负责处理，并承担全部费用。</w:t>
      </w:r>
    </w:p>
    <w:p w14:paraId="6EB121B5">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③成交供应商须遵守地方政府和有关部门及采购人对施工场地交通、环卫、安全和施工噪音等的管理规定，并按规定办理相关审批手续。</w:t>
      </w:r>
    </w:p>
    <w:p w14:paraId="1C6708CE">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④成交供应商应采取有效措施尽量减小尘土和噪音污染，需要进行夜间作业时应经有关部门批准。</w:t>
      </w:r>
    </w:p>
    <w:p w14:paraId="37C9779D">
      <w:pPr>
        <w:pStyle w:val="22"/>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46FEA564">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①本工程在施工期间，成交供应商应注意保护好采购人周边现有成品，如有损坏，须无条件修复至采购人满意。</w:t>
      </w:r>
    </w:p>
    <w:p w14:paraId="321BC1A0">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②废弃材料不得丢弃或随意堆放，清理产生的拆除费、搬运费、交通运输费等各项费用均由供应商自行考虑并计入响应总价且一次性包干。</w:t>
      </w:r>
    </w:p>
    <w:p w14:paraId="6DDFD7DC">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③工程完工后，成交供应商需对施工现场进行全面的清洁工作。</w:t>
      </w:r>
    </w:p>
    <w:p w14:paraId="3F6910BA">
      <w:pPr>
        <w:pStyle w:val="971"/>
        <w:ind w:left="21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6.工程管理要求</w:t>
      </w:r>
    </w:p>
    <w:p w14:paraId="3CB38883">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（1）工程管理原则：</w:t>
      </w:r>
    </w:p>
    <w:p w14:paraId="4E88D45E">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①本工程承包范围内的工程项目，成交供应商未经采购人同意，一律不得转包，一经发现采购人有权立即取消其承包资格，成交供应商应承担由此引起的一切经济责任和法律责任。</w:t>
      </w:r>
    </w:p>
    <w:p w14:paraId="7247FEA0">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②在工程实施过程中，如发现成交供应商为挂靠单位，采购人可立即终止合同。成交供应商应承担由此引起的一切经济责任和法律责任。</w:t>
      </w:r>
    </w:p>
    <w:p w14:paraId="4F003038">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③成交供应商须严格按照已确认的施工技术方案组织实施，并无条件接受采购人的项目管理部门的管理。</w:t>
      </w:r>
    </w:p>
    <w:p w14:paraId="5546A3FE">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20E2456">
      <w:pPr>
        <w:pStyle w:val="971"/>
        <w:snapToGrid w:val="0"/>
        <w:ind w:left="480" w:hanging="480" w:hangingChars="200"/>
        <w:jc w:val="left"/>
        <w:rPr>
          <w:rFonts w:ascii="宋体" w:hAnsi="宋体" w:eastAsia="宋体" w:cs="宋体"/>
          <w:b/>
          <w:bCs/>
          <w:color w:val="auto"/>
          <w:highlight w:val="none"/>
        </w:rPr>
      </w:pPr>
      <w:r>
        <w:rPr>
          <w:rFonts w:hint="eastAsia" w:ascii="宋体" w:hAnsi="宋体" w:eastAsia="宋体" w:cs="宋体"/>
          <w:color w:val="auto"/>
          <w:highlight w:val="none"/>
        </w:rPr>
        <w:t>（2）项目管理人员要求:</w:t>
      </w:r>
      <w:r>
        <w:rPr>
          <w:rFonts w:hint="eastAsia" w:ascii="宋体" w:hAnsi="宋体" w:eastAsia="宋体" w:cs="宋体"/>
          <w:color w:val="auto"/>
          <w:highlight w:val="none"/>
        </w:rPr>
        <w:br w:type="textWrapping"/>
      </w:r>
      <w:r>
        <w:rPr>
          <w:rFonts w:hint="eastAsia" w:ascii="宋体" w:hAnsi="宋体" w:eastAsia="宋体" w:cs="宋体"/>
          <w:color w:val="auto"/>
          <w:highlight w:val="none"/>
        </w:rPr>
        <w:t>①企业管理人员要求：</w:t>
      </w:r>
    </w:p>
    <w:p w14:paraId="4394C1A5">
      <w:pPr>
        <w:pStyle w:val="971"/>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企业主要负责人（法定代表人、企业经理、企业分管安全生产的副经理、企业技术负责人）具有“三类人员”A类证书，企业分管安全生产副经理具有企业任命书。</w:t>
      </w:r>
    </w:p>
    <w:p w14:paraId="3CD5BEF1">
      <w:pPr>
        <w:pStyle w:val="971"/>
        <w:snapToGrid w:val="0"/>
        <w:ind w:left="479" w:leftChars="228" w:firstLine="0" w:firstLineChars="0"/>
        <w:jc w:val="left"/>
        <w:rPr>
          <w:rFonts w:ascii="宋体" w:hAnsi="宋体" w:eastAsia="宋体" w:cs="宋体"/>
          <w:color w:val="auto"/>
          <w:highlight w:val="none"/>
        </w:rPr>
      </w:pPr>
      <w:r>
        <w:rPr>
          <w:rFonts w:hint="eastAsia" w:ascii="宋体" w:hAnsi="宋体" w:eastAsia="宋体" w:cs="宋体"/>
          <w:color w:val="auto"/>
          <w:highlight w:val="none"/>
        </w:rPr>
        <w:t>②项目经理要求：</w:t>
      </w:r>
    </w:p>
    <w:p w14:paraId="6F0B01E2">
      <w:pPr>
        <w:pStyle w:val="971"/>
        <w:snapToGrid w:val="0"/>
        <w:ind w:firstLine="482"/>
        <w:jc w:val="left"/>
        <w:rPr>
          <w:rFonts w:ascii="宋体" w:hAnsi="宋体" w:eastAsia="宋体" w:cs="宋体"/>
          <w:b/>
          <w:color w:val="auto"/>
          <w:highlight w:val="none"/>
        </w:rPr>
      </w:pPr>
      <w:r>
        <w:rPr>
          <w:rFonts w:hint="eastAsia" w:ascii="宋体" w:hAnsi="宋体" w:eastAsia="宋体" w:cs="宋体"/>
          <w:b/>
          <w:color w:val="auto"/>
          <w:highlight w:val="none"/>
        </w:rPr>
        <w:t>本项目拟派项目经理须具备建筑工程专业二级（含）以上建造师注册证书和“三类人员”B类证书。</w:t>
      </w:r>
    </w:p>
    <w:p w14:paraId="14542F3E">
      <w:pPr>
        <w:pStyle w:val="971"/>
        <w:snapToGrid w:val="0"/>
        <w:ind w:firstLine="482"/>
        <w:jc w:val="left"/>
        <w:rPr>
          <w:rFonts w:ascii="宋体" w:hAnsi="宋体" w:eastAsia="宋体" w:cs="宋体"/>
          <w:color w:val="auto"/>
          <w:highlight w:val="none"/>
        </w:rPr>
      </w:pPr>
      <w:r>
        <w:rPr>
          <w:rFonts w:hint="eastAsia" w:ascii="宋体" w:hAnsi="宋体" w:eastAsia="宋体" w:cs="宋体"/>
          <w:b/>
          <w:bCs/>
          <w:color w:val="auto"/>
          <w:highlight w:val="none"/>
        </w:rPr>
        <w:t>拟派项目经理还应具有工程师以上技术职称，在施工过程中，应确保到位率达到:85%（含）以上。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③拟派技术负责人具有工程师及以上职称证书。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④拟派项目管理班子中施工员、安全员（拟派现场安全管理人员具有“三类人员”C类证书）、质检员、材料员等重要岗位应人员配置齐全。</w:t>
      </w:r>
    </w:p>
    <w:p w14:paraId="7CA525FA">
      <w:pPr>
        <w:pStyle w:val="971"/>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以上人员须提供近三个月投标单位为在职人员缴纳的社保证明复印件加盖公章。</w:t>
      </w:r>
    </w:p>
    <w:p w14:paraId="66AEDA75">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（3）工程管理其他要求：</w:t>
      </w:r>
    </w:p>
    <w:p w14:paraId="5CFFB768">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①本项目施工现场采购人不提供食宿，施工期间，所有施工人员的食宿均由成交供应商自行安排，材料的堆放及停车必须服从采购人的安排。</w:t>
      </w:r>
    </w:p>
    <w:p w14:paraId="592C091D">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②施工现场严禁吸烟。</w:t>
      </w:r>
    </w:p>
    <w:p w14:paraId="096692C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3F1A8037">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b/>
          <w:color w:val="auto"/>
          <w:highlight w:val="none"/>
        </w:rPr>
        <w:t>（1）本项目涉及的所有材料设备，必须经采购人确认后方能采购、进场、加工、安装。否则一律不予承认，不予支付相应款项。</w:t>
      </w:r>
    </w:p>
    <w:p w14:paraId="76B58B3B">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2DAB3AB0">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1CF74D47">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（4）供应商应当有详细的材料（设备）供应计划及质量保证措施。</w:t>
      </w:r>
    </w:p>
    <w:p w14:paraId="565C6061">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（5）材料的质量要求：材料检验按法律、法规、文件规定的见证取样和送检规定的程序进行。凡检验结果证明其有害物质含量指标超标的产品不得在工程上使用。</w:t>
      </w:r>
    </w:p>
    <w:p w14:paraId="30EA3CEF">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2530728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1.工期要求：施工工期30日历天。    </w:t>
      </w:r>
      <w:r>
        <w:rPr>
          <w:rFonts w:hint="eastAsia" w:ascii="宋体" w:hAnsi="宋体"/>
          <w:color w:val="auto"/>
          <w:sz w:val="24"/>
          <w:highlight w:val="none"/>
        </w:rPr>
        <w:t xml:space="preserve">                                 </w:t>
      </w:r>
    </w:p>
    <w:p w14:paraId="4EA7108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2.工程地点：杭州市源清中学。</w:t>
      </w:r>
    </w:p>
    <w:p w14:paraId="7A327A5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p w14:paraId="7D8D21C4">
      <w:pPr>
        <w:pStyle w:val="2"/>
        <w:rPr>
          <w:color w:val="auto"/>
          <w:highlight w:val="none"/>
          <w:lang w:val="en-US"/>
        </w:rPr>
      </w:pPr>
      <w:r>
        <w:rPr>
          <w:rFonts w:hint="eastAsia"/>
          <w:color w:val="auto"/>
          <w:highlight w:val="none"/>
          <w:lang w:val="en-US"/>
        </w:rPr>
        <w:t>详见合同相关条款</w:t>
      </w:r>
    </w:p>
    <w:p w14:paraId="2A555045">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25F528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（1）保修期：按工程质量保修书规定执行，质量保证期为本项目验收合格后2年。</w:t>
      </w:r>
    </w:p>
    <w:p w14:paraId="491EC0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3BBCF2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5AB69E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2AD961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708A384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5.其他商务要求（包装、运输和保险等）</w:t>
      </w:r>
    </w:p>
    <w:p w14:paraId="019E2C8E">
      <w:pPr>
        <w:spacing w:line="360" w:lineRule="auto"/>
        <w:jc w:val="left"/>
        <w:rPr>
          <w:rFonts w:ascii="宋体" w:hAnsi="宋体" w:cs="宋体"/>
          <w:color w:val="auto"/>
          <w:sz w:val="24"/>
          <w:highlight w:val="none"/>
        </w:rPr>
      </w:pPr>
      <w:r>
        <w:rPr>
          <w:rFonts w:hint="eastAsia" w:ascii="宋体" w:hAnsi="宋体" w:cs="宋体"/>
          <w:color w:val="auto"/>
          <w:sz w:val="24"/>
          <w:highlight w:val="none"/>
        </w:rPr>
        <w:t>（1）供应商应当将因学校内搬运不便而产生的二次搬运费用计算在磋商报价中，总价包干。</w:t>
      </w:r>
    </w:p>
    <w:p w14:paraId="2C1FE395">
      <w:pPr>
        <w:spacing w:line="360" w:lineRule="auto"/>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（2）供应商应当将与本项目有关的农民工工伤保险相关费用计算在磋商报价中，总价包干。</w:t>
      </w:r>
    </w:p>
    <w:p w14:paraId="5E6A941C">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四、工程量清单报价要求</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具体详见工程量清单。</w:t>
      </w:r>
    </w:p>
    <w:p w14:paraId="39C0D85E">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36395661">
      <w:pPr>
        <w:spacing w:line="360" w:lineRule="auto"/>
        <w:jc w:val="left"/>
        <w:rPr>
          <w:rFonts w:ascii="宋体" w:hAnsi="宋体"/>
          <w:color w:val="auto"/>
          <w:sz w:val="24"/>
          <w:highlight w:val="none"/>
        </w:rPr>
      </w:pPr>
      <w:r>
        <w:rPr>
          <w:rFonts w:hint="eastAsia" w:ascii="宋体" w:hAnsi="宋体"/>
          <w:color w:val="auto"/>
          <w:sz w:val="24"/>
          <w:highlight w:val="none"/>
        </w:rPr>
        <w:t>1.依据设计施工图纸和技术文件要求，本工程的材料、设备、施工须达到现行中华人民共和国及省、市、行业的一切有关法规、规范和标准的要求。如有出入则以较严格者为准。</w:t>
      </w:r>
    </w:p>
    <w:p w14:paraId="50B3A4F9">
      <w:pPr>
        <w:spacing w:line="360" w:lineRule="auto"/>
        <w:jc w:val="left"/>
        <w:rPr>
          <w:rFonts w:ascii="宋体" w:hAnsi="宋体"/>
          <w:color w:val="auto"/>
          <w:sz w:val="24"/>
          <w:highlight w:val="none"/>
        </w:rPr>
      </w:pPr>
      <w:r>
        <w:rPr>
          <w:rFonts w:hint="eastAsia" w:ascii="宋体" w:hAnsi="宋体"/>
          <w:color w:val="auto"/>
          <w:sz w:val="24"/>
          <w:highlight w:val="none"/>
        </w:rPr>
        <w:t>2.要求磋商供应商项目经理与招标结果一致，项目经理不得同时担任两个及以上建设工程施工管理工作。其它相关要求按照《关于修订印发《杭州市建设施工企业项目经理管理办法》的通知（杭建市发〔2018〕580号）执行。施工管理班子与招标结果一致，一旦发现磋商供应商中标后，有未经采购人书面允许，随意更换施工管理班子或项目经理的现象，履约保证金不予退还。同时项目经理每月带班生产时间不得少于当月施工时间的85%，即到岗率不得小于85％；从工程正式开工到工程竣工验收合格期间，项目经理因事因病离岗不在施工现场，需向采购人口头请假。请假连续超过3天的，应向采购人书面请假。对磋商供应商项目经理在岗情况不定期检查中，如发现项目经理未请假擅离岗位，从工程结算款中扣除1000元/天。</w:t>
      </w:r>
    </w:p>
    <w:p w14:paraId="16CCC737">
      <w:pPr>
        <w:spacing w:line="360" w:lineRule="auto"/>
        <w:jc w:val="left"/>
        <w:rPr>
          <w:rFonts w:ascii="宋体" w:hAnsi="宋体"/>
          <w:color w:val="auto"/>
          <w:sz w:val="24"/>
          <w:highlight w:val="none"/>
        </w:rPr>
      </w:pPr>
      <w:r>
        <w:rPr>
          <w:rFonts w:hint="eastAsia" w:ascii="宋体" w:hAnsi="宋体"/>
          <w:color w:val="auto"/>
          <w:sz w:val="24"/>
          <w:highlight w:val="none"/>
        </w:rPr>
        <w:t>3.磋商供应商应对施工现场进行踏勘，充分了解建筑物结构、现场情况等，对技术难度和安全性引起特别重视，所发生的费用全部包括在投标报价中。</w:t>
      </w:r>
    </w:p>
    <w:p w14:paraId="49034BE4">
      <w:pPr>
        <w:spacing w:line="360" w:lineRule="auto"/>
        <w:jc w:val="left"/>
        <w:rPr>
          <w:rFonts w:ascii="宋体" w:hAnsi="宋体"/>
          <w:color w:val="auto"/>
          <w:sz w:val="24"/>
          <w:highlight w:val="none"/>
        </w:rPr>
      </w:pPr>
      <w:r>
        <w:rPr>
          <w:rFonts w:hint="eastAsia" w:ascii="宋体" w:hAnsi="宋体"/>
          <w:color w:val="auto"/>
          <w:sz w:val="24"/>
          <w:highlight w:val="none"/>
        </w:rPr>
        <w:t>4.中标单位有责任为采购人和设计单位等进行工程检查时免费提供安全保护用具和各种设施的方便，该项费用在投标时应考虑。</w:t>
      </w:r>
    </w:p>
    <w:p w14:paraId="1E834B89">
      <w:pPr>
        <w:spacing w:line="360" w:lineRule="auto"/>
        <w:jc w:val="left"/>
        <w:rPr>
          <w:rFonts w:ascii="宋体" w:hAnsi="宋体"/>
          <w:color w:val="auto"/>
          <w:sz w:val="24"/>
          <w:highlight w:val="none"/>
        </w:rPr>
      </w:pPr>
      <w:r>
        <w:rPr>
          <w:rFonts w:hint="eastAsia" w:ascii="宋体" w:hAnsi="宋体"/>
          <w:color w:val="auto"/>
          <w:sz w:val="24"/>
          <w:highlight w:val="none"/>
        </w:rPr>
        <w:t>5.垃圾清运由磋商供应商自行负责处理，倾倒至政府规定合法地点，运距自行考虑，垃圾清运相关费用计入投标报价，今后不作调整。</w:t>
      </w:r>
    </w:p>
    <w:p w14:paraId="2DF59B37">
      <w:pPr>
        <w:spacing w:line="360" w:lineRule="auto"/>
        <w:jc w:val="left"/>
        <w:rPr>
          <w:rFonts w:ascii="宋体" w:hAnsi="宋体"/>
          <w:color w:val="auto"/>
          <w:sz w:val="24"/>
          <w:highlight w:val="none"/>
        </w:rPr>
      </w:pPr>
      <w:r>
        <w:rPr>
          <w:rFonts w:hint="eastAsia" w:ascii="宋体" w:hAnsi="宋体"/>
          <w:color w:val="auto"/>
          <w:sz w:val="24"/>
          <w:highlight w:val="none"/>
        </w:rPr>
        <w:t>6.本工程为改造工程，如须对现有的装修进行改动，包括且不限于凿除、凿洞、拆除、移位等，施工完成以后应无条件复原，包括且不限于粉刷、补洞、油漆（乳胶漆）、饰面材料修补等内容。该项费用应考虑在投标报价中，今后不得追加。</w:t>
      </w:r>
    </w:p>
    <w:p w14:paraId="42505BA8">
      <w:pPr>
        <w:spacing w:line="360" w:lineRule="auto"/>
        <w:jc w:val="left"/>
        <w:rPr>
          <w:rFonts w:ascii="宋体" w:hAnsi="宋体"/>
          <w:color w:val="auto"/>
          <w:sz w:val="24"/>
          <w:highlight w:val="none"/>
        </w:rPr>
      </w:pPr>
      <w:r>
        <w:rPr>
          <w:rFonts w:hint="eastAsia" w:ascii="宋体" w:hAnsi="宋体"/>
          <w:color w:val="auto"/>
          <w:sz w:val="24"/>
          <w:highlight w:val="none"/>
        </w:rPr>
        <w:t>7.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14:paraId="1FD90B3C">
      <w:pPr>
        <w:spacing w:line="360" w:lineRule="auto"/>
        <w:jc w:val="left"/>
        <w:rPr>
          <w:color w:val="auto"/>
          <w:highlight w:val="none"/>
        </w:rPr>
      </w:pPr>
      <w:r>
        <w:rPr>
          <w:rFonts w:hint="eastAsia" w:ascii="宋体" w:hAnsi="宋体"/>
          <w:color w:val="auto"/>
          <w:sz w:val="24"/>
          <w:highlight w:val="none"/>
        </w:rPr>
        <w:t>8.本工程完工后，中标单位负责施工及周边区域的建筑垃圾清运、卫生保洁等工作，达到采购人入场就可开展工作要求。</w:t>
      </w:r>
    </w:p>
    <w:p w14:paraId="6490B00C">
      <w:pPr>
        <w:pStyle w:val="80"/>
        <w:rPr>
          <w:color w:val="auto"/>
          <w:highlight w:val="none"/>
        </w:rPr>
      </w:pPr>
    </w:p>
    <w:p w14:paraId="1DBE9F7E">
      <w:pPr>
        <w:rPr>
          <w:rFonts w:ascii="宋体" w:hAnsi="宋体" w:cs="宋体"/>
          <w:snapToGrid w:val="0"/>
          <w:color w:val="auto"/>
          <w:kern w:val="0"/>
          <w:sz w:val="24"/>
          <w:highlight w:val="none"/>
        </w:rPr>
      </w:pPr>
    </w:p>
    <w:p w14:paraId="34F9642A">
      <w:pPr>
        <w:snapToGrid w:val="0"/>
        <w:spacing w:line="360" w:lineRule="auto"/>
        <w:jc w:val="center"/>
        <w:rPr>
          <w:rStyle w:val="285"/>
          <w:color w:val="auto"/>
          <w:highlight w:val="none"/>
        </w:rPr>
      </w:pPr>
      <w:r>
        <w:rPr>
          <w:rFonts w:hint="eastAsia" w:ascii="宋体" w:hAnsi="宋体" w:cs="宋体"/>
          <w:b/>
          <w:color w:val="auto"/>
          <w:sz w:val="24"/>
          <w:highlight w:val="none"/>
        </w:rPr>
        <w:br w:type="page"/>
      </w:r>
      <w:bookmarkStart w:id="58" w:name="_Toc27879"/>
      <w:r>
        <w:rPr>
          <w:rStyle w:val="285"/>
          <w:rFonts w:hint="eastAsia"/>
          <w:color w:val="auto"/>
          <w:highlight w:val="none"/>
        </w:rPr>
        <w:t>第四部分</w:t>
      </w:r>
      <w:bookmarkStart w:id="59" w:name="_Toc184313294"/>
      <w:bookmarkEnd w:id="59"/>
      <w:bookmarkStart w:id="60" w:name="_Toc184313301"/>
      <w:bookmarkEnd w:id="60"/>
      <w:bookmarkStart w:id="61" w:name="_Toc184313309"/>
      <w:bookmarkEnd w:id="61"/>
      <w:bookmarkStart w:id="62" w:name="_Toc184314468"/>
      <w:bookmarkEnd w:id="62"/>
      <w:bookmarkStart w:id="63" w:name="_Toc184310275"/>
      <w:bookmarkEnd w:id="63"/>
      <w:bookmarkStart w:id="64" w:name="_Toc184312074"/>
      <w:bookmarkEnd w:id="64"/>
      <w:bookmarkStart w:id="65" w:name="_Toc184308074"/>
      <w:bookmarkEnd w:id="65"/>
      <w:bookmarkStart w:id="66" w:name="_Toc184314476"/>
      <w:bookmarkEnd w:id="66"/>
      <w:bookmarkStart w:id="67" w:name="_Toc184313305"/>
      <w:bookmarkEnd w:id="67"/>
      <w:bookmarkStart w:id="68" w:name="_Toc184312075"/>
      <w:bookmarkEnd w:id="68"/>
      <w:bookmarkStart w:id="69" w:name="_Toc184308094"/>
      <w:bookmarkEnd w:id="69"/>
      <w:bookmarkStart w:id="70" w:name="_Toc184312093"/>
      <w:bookmarkEnd w:id="70"/>
      <w:bookmarkStart w:id="71" w:name="_Toc184314421"/>
      <w:bookmarkEnd w:id="71"/>
      <w:bookmarkStart w:id="72" w:name="_Toc184310288"/>
      <w:bookmarkEnd w:id="72"/>
      <w:bookmarkStart w:id="73" w:name="_Toc184314467"/>
      <w:bookmarkEnd w:id="73"/>
      <w:bookmarkStart w:id="74" w:name="_Toc184312123"/>
      <w:bookmarkEnd w:id="74"/>
      <w:bookmarkStart w:id="75" w:name="_Toc184314455"/>
      <w:bookmarkEnd w:id="75"/>
      <w:bookmarkStart w:id="76" w:name="_Toc184313287"/>
      <w:bookmarkEnd w:id="76"/>
      <w:bookmarkStart w:id="77" w:name="_Toc184308040"/>
      <w:bookmarkEnd w:id="77"/>
      <w:bookmarkStart w:id="78" w:name="_Toc184308073"/>
      <w:bookmarkEnd w:id="78"/>
      <w:bookmarkStart w:id="79" w:name="_Toc184314482"/>
      <w:bookmarkEnd w:id="79"/>
      <w:bookmarkStart w:id="80" w:name="_Toc184308107"/>
      <w:bookmarkEnd w:id="80"/>
      <w:bookmarkStart w:id="81" w:name="_Toc184310281"/>
      <w:bookmarkEnd w:id="81"/>
      <w:bookmarkStart w:id="82" w:name="_Toc184313251"/>
      <w:bookmarkEnd w:id="82"/>
      <w:bookmarkStart w:id="83" w:name="_Toc184312087"/>
      <w:bookmarkEnd w:id="83"/>
      <w:bookmarkStart w:id="84" w:name="_Toc184314466"/>
      <w:bookmarkEnd w:id="84"/>
      <w:bookmarkStart w:id="85" w:name="_Toc184313271"/>
      <w:bookmarkEnd w:id="85"/>
      <w:bookmarkStart w:id="86" w:name="_Toc184310291"/>
      <w:bookmarkEnd w:id="86"/>
      <w:bookmarkStart w:id="87" w:name="_Toc184313265"/>
      <w:bookmarkEnd w:id="87"/>
      <w:bookmarkStart w:id="88" w:name="_Toc184314429"/>
      <w:bookmarkEnd w:id="88"/>
      <w:bookmarkStart w:id="89" w:name="_Toc184312101"/>
      <w:bookmarkEnd w:id="89"/>
      <w:bookmarkStart w:id="90" w:name="_Toc184313290"/>
      <w:bookmarkEnd w:id="90"/>
      <w:bookmarkStart w:id="91" w:name="_Toc184308088"/>
      <w:bookmarkEnd w:id="91"/>
      <w:bookmarkStart w:id="92" w:name="_Toc184310340"/>
      <w:bookmarkEnd w:id="92"/>
      <w:bookmarkStart w:id="93" w:name="_Toc184314458"/>
      <w:bookmarkEnd w:id="93"/>
      <w:bookmarkStart w:id="94" w:name="_Toc184308091"/>
      <w:bookmarkEnd w:id="94"/>
      <w:bookmarkStart w:id="95" w:name="_Toc184310305"/>
      <w:bookmarkEnd w:id="95"/>
      <w:bookmarkStart w:id="96" w:name="_Toc184308095"/>
      <w:bookmarkEnd w:id="96"/>
      <w:bookmarkStart w:id="97" w:name="_Toc184310272"/>
      <w:bookmarkEnd w:id="97"/>
      <w:bookmarkStart w:id="98" w:name="_Toc184310316"/>
      <w:bookmarkEnd w:id="98"/>
      <w:bookmarkStart w:id="99" w:name="_Toc184312137"/>
      <w:bookmarkEnd w:id="99"/>
      <w:bookmarkStart w:id="100" w:name="_Toc184313289"/>
      <w:bookmarkEnd w:id="100"/>
      <w:bookmarkStart w:id="101" w:name="_Toc184310330"/>
      <w:bookmarkEnd w:id="101"/>
      <w:bookmarkStart w:id="102" w:name="_Toc184312099"/>
      <w:bookmarkEnd w:id="102"/>
      <w:bookmarkStart w:id="103" w:name="_Toc184308085"/>
      <w:bookmarkEnd w:id="103"/>
      <w:bookmarkStart w:id="104" w:name="_Toc184313288"/>
      <w:bookmarkEnd w:id="104"/>
      <w:bookmarkStart w:id="105" w:name="_Toc184312103"/>
      <w:bookmarkEnd w:id="105"/>
      <w:bookmarkStart w:id="106" w:name="_Toc184314480"/>
      <w:bookmarkEnd w:id="106"/>
      <w:bookmarkStart w:id="107" w:name="_Toc184310273"/>
      <w:bookmarkEnd w:id="107"/>
      <w:bookmarkStart w:id="108" w:name="_Toc184310310"/>
      <w:bookmarkEnd w:id="108"/>
      <w:bookmarkStart w:id="109" w:name="_Toc184313284"/>
      <w:bookmarkEnd w:id="109"/>
      <w:bookmarkStart w:id="110" w:name="_Toc184313293"/>
      <w:bookmarkEnd w:id="110"/>
      <w:bookmarkStart w:id="111" w:name="_Toc184312086"/>
      <w:bookmarkEnd w:id="111"/>
      <w:bookmarkStart w:id="112" w:name="_Toc184313299"/>
      <w:bookmarkEnd w:id="112"/>
      <w:bookmarkStart w:id="113" w:name="_Toc184312078"/>
      <w:bookmarkEnd w:id="113"/>
      <w:bookmarkStart w:id="114" w:name="_Toc184312110"/>
      <w:bookmarkEnd w:id="114"/>
      <w:bookmarkStart w:id="115" w:name="_Toc184312071"/>
      <w:bookmarkEnd w:id="115"/>
      <w:bookmarkStart w:id="116" w:name="_Toc184314449"/>
      <w:bookmarkEnd w:id="116"/>
      <w:bookmarkStart w:id="117" w:name="_Toc184310336"/>
      <w:bookmarkEnd w:id="117"/>
      <w:bookmarkStart w:id="118" w:name="_Toc184312135"/>
      <w:bookmarkEnd w:id="118"/>
      <w:bookmarkStart w:id="119" w:name="_Toc184308069"/>
      <w:bookmarkEnd w:id="119"/>
      <w:bookmarkStart w:id="120" w:name="_Toc184313279"/>
      <w:bookmarkEnd w:id="120"/>
      <w:bookmarkStart w:id="121" w:name="_Toc184314427"/>
      <w:bookmarkEnd w:id="121"/>
      <w:bookmarkStart w:id="122" w:name="_Toc184308052"/>
      <w:bookmarkEnd w:id="122"/>
      <w:bookmarkStart w:id="123" w:name="_Toc184314441"/>
      <w:bookmarkEnd w:id="123"/>
      <w:bookmarkStart w:id="124" w:name="_Toc184314460"/>
      <w:bookmarkEnd w:id="124"/>
      <w:bookmarkStart w:id="125" w:name="_Toc184312124"/>
      <w:bookmarkEnd w:id="125"/>
      <w:bookmarkStart w:id="126" w:name="_Toc184308071"/>
      <w:bookmarkEnd w:id="126"/>
      <w:bookmarkStart w:id="127" w:name="_Toc184310304"/>
      <w:bookmarkEnd w:id="127"/>
      <w:bookmarkStart w:id="128" w:name="_Toc184310296"/>
      <w:bookmarkEnd w:id="128"/>
      <w:bookmarkStart w:id="129" w:name="_Toc184310301"/>
      <w:bookmarkEnd w:id="129"/>
      <w:bookmarkStart w:id="130" w:name="_Toc184314439"/>
      <w:bookmarkEnd w:id="130"/>
      <w:bookmarkStart w:id="131" w:name="_Toc184313255"/>
      <w:bookmarkEnd w:id="131"/>
      <w:bookmarkStart w:id="132" w:name="_Toc184308044"/>
      <w:bookmarkEnd w:id="132"/>
      <w:bookmarkStart w:id="133" w:name="_Toc184314443"/>
      <w:bookmarkEnd w:id="133"/>
      <w:bookmarkStart w:id="134" w:name="_Toc184308077"/>
      <w:bookmarkEnd w:id="134"/>
      <w:bookmarkStart w:id="135" w:name="_Toc184310300"/>
      <w:bookmarkEnd w:id="135"/>
      <w:bookmarkStart w:id="136" w:name="_Toc184310334"/>
      <w:bookmarkEnd w:id="136"/>
      <w:bookmarkStart w:id="137" w:name="_Toc184312121"/>
      <w:bookmarkEnd w:id="137"/>
      <w:bookmarkStart w:id="138" w:name="_Toc184310289"/>
      <w:bookmarkEnd w:id="138"/>
      <w:bookmarkStart w:id="139" w:name="_Toc184313244"/>
      <w:bookmarkEnd w:id="139"/>
      <w:bookmarkStart w:id="140" w:name="_Toc184313248"/>
      <w:bookmarkEnd w:id="140"/>
      <w:bookmarkStart w:id="141" w:name="_Toc184308056"/>
      <w:bookmarkEnd w:id="141"/>
      <w:bookmarkStart w:id="142" w:name="_Toc184314462"/>
      <w:bookmarkEnd w:id="142"/>
      <w:bookmarkStart w:id="143" w:name="_Toc184308075"/>
      <w:bookmarkEnd w:id="143"/>
      <w:bookmarkStart w:id="144" w:name="_Toc184308106"/>
      <w:bookmarkEnd w:id="144"/>
      <w:bookmarkStart w:id="145" w:name="_Toc184312090"/>
      <w:bookmarkEnd w:id="145"/>
      <w:bookmarkStart w:id="146" w:name="_Toc184310328"/>
      <w:bookmarkEnd w:id="146"/>
      <w:bookmarkStart w:id="147" w:name="_Toc184313262"/>
      <w:bookmarkEnd w:id="147"/>
      <w:bookmarkStart w:id="148" w:name="_Toc184312067"/>
      <w:bookmarkEnd w:id="148"/>
      <w:bookmarkStart w:id="149" w:name="_Toc184314457"/>
      <w:bookmarkEnd w:id="149"/>
      <w:bookmarkStart w:id="150" w:name="_Toc184308093"/>
      <w:bookmarkEnd w:id="150"/>
      <w:bookmarkStart w:id="151" w:name="_Toc184313243"/>
      <w:bookmarkEnd w:id="151"/>
      <w:bookmarkStart w:id="152" w:name="_Toc184308043"/>
      <w:bookmarkEnd w:id="152"/>
      <w:bookmarkStart w:id="153" w:name="_Toc184312133"/>
      <w:bookmarkEnd w:id="153"/>
      <w:bookmarkStart w:id="154" w:name="_Toc184310317"/>
      <w:bookmarkEnd w:id="154"/>
      <w:bookmarkStart w:id="155" w:name="_Toc184314412"/>
      <w:bookmarkEnd w:id="155"/>
      <w:bookmarkStart w:id="156" w:name="_Toc184308049"/>
      <w:bookmarkEnd w:id="156"/>
      <w:bookmarkStart w:id="157" w:name="_Toc184313304"/>
      <w:bookmarkEnd w:id="157"/>
      <w:bookmarkStart w:id="158" w:name="_Toc184308087"/>
      <w:bookmarkEnd w:id="158"/>
      <w:bookmarkStart w:id="159" w:name="_Toc184310312"/>
      <w:bookmarkEnd w:id="159"/>
      <w:bookmarkStart w:id="160" w:name="_Toc184310326"/>
      <w:bookmarkEnd w:id="160"/>
      <w:bookmarkStart w:id="161" w:name="_Toc184314452"/>
      <w:bookmarkEnd w:id="161"/>
      <w:bookmarkStart w:id="162" w:name="_Toc184308055"/>
      <w:bookmarkEnd w:id="162"/>
      <w:bookmarkStart w:id="163" w:name="_Toc184308084"/>
      <w:bookmarkEnd w:id="163"/>
      <w:bookmarkStart w:id="164" w:name="_Toc184308053"/>
      <w:bookmarkEnd w:id="164"/>
      <w:bookmarkStart w:id="165" w:name="_Toc184310324"/>
      <w:bookmarkEnd w:id="165"/>
      <w:bookmarkStart w:id="166" w:name="_Toc184308097"/>
      <w:bookmarkEnd w:id="166"/>
      <w:bookmarkStart w:id="167" w:name="_Toc184310338"/>
      <w:bookmarkEnd w:id="167"/>
      <w:bookmarkStart w:id="168" w:name="_Toc184312134"/>
      <w:bookmarkEnd w:id="168"/>
      <w:bookmarkStart w:id="169" w:name="_Toc184310318"/>
      <w:bookmarkEnd w:id="169"/>
      <w:bookmarkStart w:id="170" w:name="_Toc184308103"/>
      <w:bookmarkEnd w:id="170"/>
      <w:bookmarkStart w:id="171" w:name="_Toc184313249"/>
      <w:bookmarkEnd w:id="171"/>
      <w:bookmarkStart w:id="172" w:name="_Toc184308045"/>
      <w:bookmarkEnd w:id="172"/>
      <w:bookmarkStart w:id="173" w:name="_Toc184313300"/>
      <w:bookmarkEnd w:id="173"/>
      <w:bookmarkStart w:id="174" w:name="_Toc184310297"/>
      <w:bookmarkEnd w:id="174"/>
      <w:bookmarkStart w:id="175" w:name="_Toc184310276"/>
      <w:bookmarkEnd w:id="175"/>
      <w:bookmarkStart w:id="176" w:name="_Toc184312070"/>
      <w:bookmarkEnd w:id="176"/>
      <w:bookmarkStart w:id="177" w:name="_Toc184308079"/>
      <w:bookmarkEnd w:id="177"/>
      <w:bookmarkStart w:id="178" w:name="_Toc184308066"/>
      <w:bookmarkEnd w:id="178"/>
      <w:bookmarkStart w:id="179" w:name="_Toc184310315"/>
      <w:bookmarkEnd w:id="179"/>
      <w:bookmarkStart w:id="180" w:name="_Toc184314434"/>
      <w:bookmarkEnd w:id="180"/>
      <w:bookmarkStart w:id="181" w:name="_Toc184312106"/>
      <w:bookmarkEnd w:id="181"/>
      <w:bookmarkStart w:id="182" w:name="_Toc184308078"/>
      <w:bookmarkEnd w:id="182"/>
      <w:bookmarkStart w:id="183" w:name="_Toc184308086"/>
      <w:bookmarkEnd w:id="183"/>
      <w:bookmarkStart w:id="184" w:name="_Toc184310333"/>
      <w:bookmarkEnd w:id="184"/>
      <w:bookmarkStart w:id="185" w:name="_Toc184310306"/>
      <w:bookmarkEnd w:id="185"/>
      <w:bookmarkStart w:id="186" w:name="_Toc184312126"/>
      <w:bookmarkEnd w:id="186"/>
      <w:bookmarkStart w:id="187" w:name="_Toc184314442"/>
      <w:bookmarkEnd w:id="187"/>
      <w:bookmarkStart w:id="188" w:name="_Toc184313275"/>
      <w:bookmarkEnd w:id="188"/>
      <w:bookmarkStart w:id="189" w:name="_Toc184313256"/>
      <w:bookmarkEnd w:id="189"/>
      <w:bookmarkStart w:id="190" w:name="_Toc184310335"/>
      <w:bookmarkEnd w:id="190"/>
      <w:bookmarkStart w:id="191" w:name="_Toc184310329"/>
      <w:bookmarkEnd w:id="191"/>
      <w:bookmarkStart w:id="192" w:name="_Toc184312069"/>
      <w:bookmarkEnd w:id="192"/>
      <w:bookmarkStart w:id="193" w:name="_Toc184310321"/>
      <w:bookmarkEnd w:id="193"/>
      <w:bookmarkStart w:id="194" w:name="_Toc184314410"/>
      <w:bookmarkEnd w:id="194"/>
      <w:bookmarkStart w:id="195" w:name="_Toc184313295"/>
      <w:bookmarkEnd w:id="195"/>
      <w:bookmarkStart w:id="196" w:name="_Toc184314475"/>
      <w:bookmarkEnd w:id="196"/>
      <w:bookmarkStart w:id="197" w:name="_Toc184310332"/>
      <w:bookmarkEnd w:id="197"/>
      <w:bookmarkStart w:id="198" w:name="_Toc184314463"/>
      <w:bookmarkEnd w:id="198"/>
      <w:bookmarkStart w:id="199" w:name="_Toc184310314"/>
      <w:bookmarkEnd w:id="199"/>
      <w:bookmarkStart w:id="200" w:name="_Toc184313263"/>
      <w:bookmarkEnd w:id="200"/>
      <w:bookmarkStart w:id="201" w:name="_Toc184313270"/>
      <w:bookmarkEnd w:id="201"/>
      <w:bookmarkStart w:id="202" w:name="_Toc184308089"/>
      <w:bookmarkEnd w:id="202"/>
      <w:bookmarkStart w:id="203" w:name="_Toc184312091"/>
      <w:bookmarkEnd w:id="203"/>
      <w:bookmarkStart w:id="204" w:name="_Toc184312081"/>
      <w:bookmarkEnd w:id="204"/>
      <w:bookmarkStart w:id="205" w:name="_Toc184308082"/>
      <w:bookmarkEnd w:id="205"/>
      <w:bookmarkStart w:id="206" w:name="_Toc184313307"/>
      <w:bookmarkEnd w:id="206"/>
      <w:bookmarkStart w:id="207" w:name="_Toc184312088"/>
      <w:bookmarkEnd w:id="207"/>
      <w:bookmarkStart w:id="208" w:name="_Toc184308099"/>
      <w:bookmarkEnd w:id="208"/>
      <w:bookmarkStart w:id="209" w:name="_Toc184310322"/>
      <w:bookmarkEnd w:id="209"/>
      <w:bookmarkStart w:id="210" w:name="_Toc184314411"/>
      <w:bookmarkEnd w:id="210"/>
      <w:bookmarkStart w:id="211" w:name="_Toc184313252"/>
      <w:bookmarkEnd w:id="211"/>
      <w:bookmarkStart w:id="212" w:name="_Toc184313283"/>
      <w:bookmarkEnd w:id="212"/>
      <w:bookmarkStart w:id="213" w:name="_Toc184313266"/>
      <w:bookmarkEnd w:id="213"/>
      <w:bookmarkStart w:id="214" w:name="_Toc184313259"/>
      <w:bookmarkEnd w:id="214"/>
      <w:bookmarkStart w:id="215" w:name="_Toc184314426"/>
      <w:bookmarkEnd w:id="215"/>
      <w:bookmarkStart w:id="216" w:name="_Toc184313297"/>
      <w:bookmarkEnd w:id="216"/>
      <w:bookmarkStart w:id="217" w:name="_Toc184313292"/>
      <w:bookmarkEnd w:id="217"/>
      <w:bookmarkStart w:id="218" w:name="_Toc184312089"/>
      <w:bookmarkEnd w:id="218"/>
      <w:bookmarkStart w:id="219" w:name="_Toc184308046"/>
      <w:bookmarkEnd w:id="219"/>
      <w:bookmarkStart w:id="220" w:name="_Toc184313267"/>
      <w:bookmarkEnd w:id="220"/>
      <w:bookmarkStart w:id="221" w:name="_Toc184312102"/>
      <w:bookmarkEnd w:id="221"/>
      <w:bookmarkStart w:id="222" w:name="_Toc184314420"/>
      <w:bookmarkEnd w:id="222"/>
      <w:bookmarkStart w:id="223" w:name="_Toc184312073"/>
      <w:bookmarkEnd w:id="223"/>
      <w:bookmarkStart w:id="224" w:name="_Toc184312108"/>
      <w:bookmarkEnd w:id="224"/>
      <w:bookmarkStart w:id="225" w:name="_Toc184314450"/>
      <w:bookmarkEnd w:id="225"/>
      <w:bookmarkStart w:id="226" w:name="_Toc184308063"/>
      <w:bookmarkEnd w:id="226"/>
      <w:bookmarkStart w:id="227" w:name="_Toc184314431"/>
      <w:bookmarkEnd w:id="227"/>
      <w:bookmarkStart w:id="228" w:name="_Toc184310274"/>
      <w:bookmarkEnd w:id="228"/>
      <w:bookmarkStart w:id="229" w:name="_Toc184312131"/>
      <w:bookmarkEnd w:id="229"/>
      <w:bookmarkStart w:id="230" w:name="_Toc184310283"/>
      <w:bookmarkEnd w:id="230"/>
      <w:bookmarkStart w:id="231" w:name="_Toc184310279"/>
      <w:bookmarkEnd w:id="231"/>
      <w:bookmarkStart w:id="232" w:name="_Toc184310282"/>
      <w:bookmarkEnd w:id="232"/>
      <w:bookmarkStart w:id="233" w:name="_Toc184312107"/>
      <w:bookmarkEnd w:id="233"/>
      <w:bookmarkStart w:id="234" w:name="_Toc184310313"/>
      <w:bookmarkEnd w:id="234"/>
      <w:bookmarkStart w:id="235" w:name="_Toc184314469"/>
      <w:bookmarkEnd w:id="235"/>
      <w:bookmarkStart w:id="236" w:name="_Toc184308068"/>
      <w:bookmarkEnd w:id="236"/>
      <w:bookmarkStart w:id="237" w:name="_Toc184314422"/>
      <w:bookmarkEnd w:id="237"/>
      <w:bookmarkStart w:id="238" w:name="_Toc184310319"/>
      <w:bookmarkEnd w:id="238"/>
      <w:bookmarkStart w:id="239" w:name="_Toc184312130"/>
      <w:bookmarkEnd w:id="239"/>
      <w:bookmarkStart w:id="240" w:name="_Toc184313285"/>
      <w:bookmarkEnd w:id="240"/>
      <w:bookmarkStart w:id="241" w:name="_Toc184313282"/>
      <w:bookmarkEnd w:id="241"/>
      <w:bookmarkStart w:id="242" w:name="_Toc184308080"/>
      <w:bookmarkEnd w:id="242"/>
      <w:bookmarkStart w:id="243" w:name="_Toc184312125"/>
      <w:bookmarkEnd w:id="243"/>
      <w:bookmarkStart w:id="244" w:name="_Toc184310278"/>
      <w:bookmarkEnd w:id="244"/>
      <w:bookmarkStart w:id="245" w:name="_Toc184314424"/>
      <w:bookmarkEnd w:id="245"/>
      <w:bookmarkStart w:id="246" w:name="_Toc184308054"/>
      <w:bookmarkEnd w:id="246"/>
      <w:bookmarkStart w:id="247" w:name="_Toc184308104"/>
      <w:bookmarkEnd w:id="247"/>
      <w:bookmarkStart w:id="248" w:name="_Toc184310337"/>
      <w:bookmarkEnd w:id="248"/>
      <w:bookmarkStart w:id="249" w:name="_Toc184310311"/>
      <w:bookmarkEnd w:id="249"/>
      <w:bookmarkStart w:id="250" w:name="_Toc184314454"/>
      <w:bookmarkEnd w:id="250"/>
      <w:bookmarkStart w:id="251" w:name="_Toc184312098"/>
      <w:bookmarkEnd w:id="251"/>
      <w:bookmarkStart w:id="252" w:name="_Toc184314445"/>
      <w:bookmarkEnd w:id="252"/>
      <w:bookmarkStart w:id="253" w:name="_Toc184314413"/>
      <w:bookmarkEnd w:id="253"/>
      <w:bookmarkStart w:id="254" w:name="_Toc184310309"/>
      <w:bookmarkEnd w:id="254"/>
      <w:bookmarkStart w:id="255" w:name="_Toc184308042"/>
      <w:bookmarkEnd w:id="255"/>
      <w:bookmarkStart w:id="256" w:name="_Toc184310294"/>
      <w:bookmarkEnd w:id="256"/>
      <w:bookmarkStart w:id="257" w:name="_Toc184313239"/>
      <w:bookmarkEnd w:id="257"/>
      <w:bookmarkStart w:id="258" w:name="_Toc184313278"/>
      <w:bookmarkEnd w:id="258"/>
      <w:bookmarkStart w:id="259" w:name="_Toc184314444"/>
      <w:bookmarkEnd w:id="259"/>
      <w:bookmarkStart w:id="260" w:name="_Toc184308102"/>
      <w:bookmarkEnd w:id="260"/>
      <w:bookmarkStart w:id="261" w:name="_Toc184313308"/>
      <w:bookmarkEnd w:id="261"/>
      <w:bookmarkStart w:id="262" w:name="_Toc184310280"/>
      <w:bookmarkEnd w:id="262"/>
      <w:bookmarkStart w:id="263" w:name="_Toc184310302"/>
      <w:bookmarkEnd w:id="263"/>
      <w:bookmarkStart w:id="264" w:name="_Toc184314437"/>
      <w:bookmarkEnd w:id="264"/>
      <w:bookmarkStart w:id="265" w:name="_Toc184308058"/>
      <w:bookmarkEnd w:id="265"/>
      <w:bookmarkStart w:id="266" w:name="_Toc184314448"/>
      <w:bookmarkEnd w:id="266"/>
      <w:bookmarkStart w:id="267" w:name="_Toc184312128"/>
      <w:bookmarkEnd w:id="267"/>
      <w:bookmarkStart w:id="268" w:name="_Toc184312072"/>
      <w:bookmarkEnd w:id="268"/>
      <w:bookmarkStart w:id="269" w:name="_Toc184313241"/>
      <w:bookmarkEnd w:id="269"/>
      <w:bookmarkStart w:id="270" w:name="_Toc184314436"/>
      <w:bookmarkEnd w:id="270"/>
      <w:bookmarkStart w:id="271" w:name="_Toc184312068"/>
      <w:bookmarkEnd w:id="271"/>
      <w:bookmarkStart w:id="272" w:name="_Toc184310277"/>
      <w:bookmarkEnd w:id="272"/>
      <w:bookmarkStart w:id="273" w:name="_Toc184314419"/>
      <w:bookmarkEnd w:id="273"/>
      <w:bookmarkStart w:id="274" w:name="_Toc184312118"/>
      <w:bookmarkEnd w:id="274"/>
      <w:bookmarkStart w:id="275" w:name="_Toc184308081"/>
      <w:bookmarkEnd w:id="275"/>
      <w:bookmarkStart w:id="276" w:name="_Toc184313276"/>
      <w:bookmarkEnd w:id="276"/>
      <w:bookmarkStart w:id="277" w:name="_Toc184312082"/>
      <w:bookmarkEnd w:id="277"/>
      <w:bookmarkStart w:id="278" w:name="_Toc184312115"/>
      <w:bookmarkEnd w:id="278"/>
      <w:bookmarkStart w:id="279" w:name="_Toc184312119"/>
      <w:bookmarkEnd w:id="279"/>
      <w:bookmarkStart w:id="280" w:name="_Toc184312092"/>
      <w:bookmarkEnd w:id="280"/>
      <w:bookmarkStart w:id="281" w:name="_Toc184314459"/>
      <w:bookmarkEnd w:id="281"/>
      <w:bookmarkStart w:id="282" w:name="_Toc184308039"/>
      <w:bookmarkEnd w:id="282"/>
      <w:bookmarkStart w:id="283" w:name="_Toc184313238"/>
      <w:bookmarkEnd w:id="283"/>
      <w:bookmarkStart w:id="284" w:name="_Toc184310298"/>
      <w:bookmarkEnd w:id="284"/>
      <w:bookmarkStart w:id="285" w:name="_Toc184308041"/>
      <w:bookmarkEnd w:id="285"/>
      <w:bookmarkStart w:id="286" w:name="_Toc184313253"/>
      <w:bookmarkEnd w:id="286"/>
      <w:bookmarkStart w:id="287" w:name="_Toc184314470"/>
      <w:bookmarkEnd w:id="287"/>
      <w:bookmarkStart w:id="288" w:name="_Toc184314453"/>
      <w:bookmarkEnd w:id="288"/>
      <w:bookmarkStart w:id="289" w:name="_Toc184312100"/>
      <w:bookmarkEnd w:id="289"/>
      <w:bookmarkStart w:id="290" w:name="_Toc184308037"/>
      <w:bookmarkEnd w:id="290"/>
      <w:bookmarkStart w:id="291" w:name="_Toc184310344"/>
      <w:bookmarkEnd w:id="291"/>
      <w:bookmarkStart w:id="292" w:name="_Toc184313240"/>
      <w:bookmarkEnd w:id="292"/>
      <w:bookmarkStart w:id="293" w:name="_Toc184313303"/>
      <w:bookmarkEnd w:id="293"/>
      <w:bookmarkStart w:id="294" w:name="_Toc184308051"/>
      <w:bookmarkEnd w:id="294"/>
      <w:bookmarkStart w:id="295" w:name="_Toc184310331"/>
      <w:bookmarkEnd w:id="295"/>
      <w:bookmarkStart w:id="296" w:name="_Toc184310286"/>
      <w:bookmarkEnd w:id="296"/>
      <w:bookmarkStart w:id="297" w:name="_Toc184312127"/>
      <w:bookmarkEnd w:id="297"/>
      <w:bookmarkStart w:id="298" w:name="_Toc184312096"/>
      <w:bookmarkEnd w:id="298"/>
      <w:bookmarkStart w:id="299" w:name="_Toc184308101"/>
      <w:bookmarkEnd w:id="299"/>
      <w:bookmarkStart w:id="300" w:name="_Toc184313286"/>
      <w:bookmarkEnd w:id="300"/>
      <w:bookmarkStart w:id="301" w:name="_Toc184310307"/>
      <w:bookmarkEnd w:id="301"/>
      <w:bookmarkStart w:id="302" w:name="_Toc184313274"/>
      <w:bookmarkEnd w:id="302"/>
      <w:bookmarkStart w:id="303" w:name="_Toc184314417"/>
      <w:bookmarkEnd w:id="303"/>
      <w:bookmarkStart w:id="304" w:name="_Toc184308060"/>
      <w:bookmarkEnd w:id="304"/>
      <w:bookmarkStart w:id="305" w:name="_Toc184312084"/>
      <w:bookmarkEnd w:id="305"/>
      <w:bookmarkStart w:id="306" w:name="_Toc184314471"/>
      <w:bookmarkEnd w:id="306"/>
      <w:bookmarkStart w:id="307" w:name="_Toc184314447"/>
      <w:bookmarkEnd w:id="307"/>
      <w:bookmarkStart w:id="308" w:name="_Toc184308108"/>
      <w:bookmarkEnd w:id="308"/>
      <w:bookmarkStart w:id="309" w:name="_Toc184310339"/>
      <w:bookmarkEnd w:id="309"/>
      <w:bookmarkStart w:id="310" w:name="_Toc184314415"/>
      <w:bookmarkEnd w:id="310"/>
      <w:bookmarkStart w:id="311" w:name="_Toc184314433"/>
      <w:bookmarkEnd w:id="311"/>
      <w:bookmarkStart w:id="312" w:name="_Toc184308050"/>
      <w:bookmarkEnd w:id="312"/>
      <w:bookmarkStart w:id="313" w:name="_Toc184314461"/>
      <w:bookmarkEnd w:id="313"/>
      <w:bookmarkStart w:id="314" w:name="_Toc184308070"/>
      <w:bookmarkEnd w:id="314"/>
      <w:bookmarkStart w:id="315" w:name="_Toc184310284"/>
      <w:bookmarkEnd w:id="315"/>
      <w:bookmarkStart w:id="316" w:name="_Toc184312136"/>
      <w:bookmarkEnd w:id="316"/>
      <w:bookmarkStart w:id="317" w:name="_Toc184314425"/>
      <w:bookmarkEnd w:id="317"/>
      <w:bookmarkStart w:id="318" w:name="_Toc184314477"/>
      <w:bookmarkEnd w:id="318"/>
      <w:bookmarkStart w:id="319" w:name="_Toc184312076"/>
      <w:bookmarkEnd w:id="319"/>
      <w:bookmarkStart w:id="320" w:name="_Toc184314416"/>
      <w:bookmarkEnd w:id="320"/>
      <w:bookmarkStart w:id="321" w:name="_Toc184313245"/>
      <w:bookmarkEnd w:id="321"/>
      <w:bookmarkStart w:id="322" w:name="_Toc184313260"/>
      <w:bookmarkEnd w:id="322"/>
      <w:bookmarkStart w:id="323" w:name="_Toc184310293"/>
      <w:bookmarkEnd w:id="323"/>
      <w:bookmarkStart w:id="324" w:name="_Toc184308048"/>
      <w:bookmarkEnd w:id="324"/>
      <w:bookmarkStart w:id="325" w:name="_Toc184312094"/>
      <w:bookmarkEnd w:id="325"/>
      <w:bookmarkStart w:id="326" w:name="_Toc184312138"/>
      <w:bookmarkEnd w:id="326"/>
      <w:bookmarkStart w:id="327" w:name="_Toc184310320"/>
      <w:bookmarkEnd w:id="327"/>
      <w:bookmarkStart w:id="328" w:name="_Toc184312113"/>
      <w:bookmarkEnd w:id="328"/>
      <w:bookmarkStart w:id="329" w:name="_Toc184312139"/>
      <w:bookmarkEnd w:id="329"/>
      <w:bookmarkStart w:id="330" w:name="_Toc184313273"/>
      <w:bookmarkEnd w:id="330"/>
      <w:bookmarkStart w:id="331" w:name="_Toc184313280"/>
      <w:bookmarkEnd w:id="331"/>
      <w:bookmarkStart w:id="332" w:name="_Toc184312132"/>
      <w:bookmarkEnd w:id="332"/>
      <w:bookmarkStart w:id="333" w:name="_Toc184308100"/>
      <w:bookmarkEnd w:id="333"/>
      <w:bookmarkStart w:id="334" w:name="_Toc184312077"/>
      <w:bookmarkEnd w:id="334"/>
      <w:bookmarkStart w:id="335" w:name="_Toc184313242"/>
      <w:bookmarkEnd w:id="335"/>
      <w:bookmarkStart w:id="336" w:name="_Toc184308059"/>
      <w:bookmarkEnd w:id="336"/>
      <w:bookmarkStart w:id="337" w:name="_Toc184312122"/>
      <w:bookmarkEnd w:id="337"/>
      <w:bookmarkStart w:id="338" w:name="_Toc184312129"/>
      <w:bookmarkEnd w:id="338"/>
      <w:bookmarkStart w:id="339" w:name="_Toc184314481"/>
      <w:bookmarkEnd w:id="339"/>
      <w:bookmarkStart w:id="340" w:name="_Toc184313261"/>
      <w:bookmarkEnd w:id="340"/>
      <w:bookmarkStart w:id="341" w:name="_Toc184312114"/>
      <w:bookmarkEnd w:id="341"/>
      <w:bookmarkStart w:id="342" w:name="_Toc184312111"/>
      <w:bookmarkEnd w:id="342"/>
      <w:bookmarkStart w:id="343" w:name="_Toc184313254"/>
      <w:bookmarkEnd w:id="343"/>
      <w:bookmarkStart w:id="344" w:name="_Toc184314423"/>
      <w:bookmarkEnd w:id="344"/>
      <w:bookmarkStart w:id="345" w:name="_Toc184312085"/>
      <w:bookmarkEnd w:id="345"/>
      <w:bookmarkStart w:id="346" w:name="_Toc184312079"/>
      <w:bookmarkEnd w:id="346"/>
      <w:bookmarkStart w:id="347" w:name="_Toc184314456"/>
      <w:bookmarkEnd w:id="347"/>
      <w:bookmarkStart w:id="348" w:name="_Toc184308047"/>
      <w:bookmarkEnd w:id="348"/>
      <w:bookmarkStart w:id="349" w:name="_Toc184313269"/>
      <w:bookmarkEnd w:id="349"/>
      <w:bookmarkStart w:id="350" w:name="_Toc184312120"/>
      <w:bookmarkEnd w:id="350"/>
      <w:bookmarkStart w:id="351" w:name="_Toc184313257"/>
      <w:bookmarkEnd w:id="351"/>
      <w:bookmarkStart w:id="352" w:name="_Toc184310285"/>
      <w:bookmarkEnd w:id="352"/>
      <w:bookmarkStart w:id="353" w:name="_Toc184308076"/>
      <w:bookmarkEnd w:id="353"/>
      <w:bookmarkStart w:id="354" w:name="_Toc184308062"/>
      <w:bookmarkEnd w:id="354"/>
      <w:bookmarkStart w:id="355" w:name="_Toc184312095"/>
      <w:bookmarkEnd w:id="355"/>
      <w:bookmarkStart w:id="356" w:name="_Toc184314478"/>
      <w:bookmarkEnd w:id="356"/>
      <w:bookmarkStart w:id="357" w:name="_Toc184308067"/>
      <w:bookmarkEnd w:id="357"/>
      <w:bookmarkStart w:id="358" w:name="_Toc184308072"/>
      <w:bookmarkEnd w:id="358"/>
      <w:bookmarkStart w:id="359" w:name="_Toc184314435"/>
      <w:bookmarkEnd w:id="359"/>
      <w:bookmarkStart w:id="360" w:name="_Toc184308092"/>
      <w:bookmarkEnd w:id="360"/>
      <w:bookmarkStart w:id="361" w:name="_Toc184313250"/>
      <w:bookmarkEnd w:id="361"/>
      <w:bookmarkStart w:id="362" w:name="_Toc184310292"/>
      <w:bookmarkEnd w:id="362"/>
      <w:bookmarkStart w:id="363" w:name="_Toc184314432"/>
      <w:bookmarkEnd w:id="363"/>
      <w:bookmarkStart w:id="364" w:name="_Toc184310295"/>
      <w:bookmarkEnd w:id="364"/>
      <w:bookmarkStart w:id="365" w:name="_Toc184312117"/>
      <w:bookmarkEnd w:id="365"/>
      <w:bookmarkStart w:id="366" w:name="_Toc184310342"/>
      <w:bookmarkEnd w:id="366"/>
      <w:bookmarkStart w:id="367" w:name="_Toc184310327"/>
      <w:bookmarkEnd w:id="367"/>
      <w:bookmarkStart w:id="368" w:name="_Toc184314428"/>
      <w:bookmarkEnd w:id="368"/>
      <w:bookmarkStart w:id="369" w:name="_Toc184308098"/>
      <w:bookmarkEnd w:id="369"/>
      <w:bookmarkStart w:id="370" w:name="_Toc184308065"/>
      <w:bookmarkEnd w:id="370"/>
      <w:bookmarkStart w:id="371" w:name="_Toc184308057"/>
      <w:bookmarkEnd w:id="371"/>
      <w:bookmarkStart w:id="372" w:name="_Toc184308083"/>
      <w:bookmarkEnd w:id="372"/>
      <w:bookmarkStart w:id="373" w:name="_Toc184313302"/>
      <w:bookmarkEnd w:id="373"/>
      <w:bookmarkStart w:id="374" w:name="_Toc184310343"/>
      <w:bookmarkEnd w:id="374"/>
      <w:bookmarkStart w:id="375" w:name="_Toc184314430"/>
      <w:bookmarkEnd w:id="375"/>
      <w:bookmarkStart w:id="376" w:name="_Toc184313296"/>
      <w:bookmarkEnd w:id="376"/>
      <w:bookmarkStart w:id="377" w:name="_Toc184310325"/>
      <w:bookmarkEnd w:id="377"/>
      <w:bookmarkStart w:id="378" w:name="_Toc184312080"/>
      <w:bookmarkEnd w:id="378"/>
      <w:bookmarkStart w:id="379" w:name="_Toc184313277"/>
      <w:bookmarkEnd w:id="379"/>
      <w:bookmarkStart w:id="380" w:name="_Toc184312097"/>
      <w:bookmarkEnd w:id="380"/>
      <w:bookmarkStart w:id="381" w:name="_Toc184314472"/>
      <w:bookmarkEnd w:id="381"/>
      <w:bookmarkStart w:id="382" w:name="_Toc184313246"/>
      <w:bookmarkEnd w:id="382"/>
      <w:bookmarkStart w:id="383" w:name="_Toc184314465"/>
      <w:bookmarkEnd w:id="383"/>
      <w:bookmarkStart w:id="384" w:name="_Toc184314446"/>
      <w:bookmarkEnd w:id="384"/>
      <w:bookmarkStart w:id="385" w:name="_Toc184313268"/>
      <w:bookmarkEnd w:id="385"/>
      <w:bookmarkStart w:id="386" w:name="_Toc184310308"/>
      <w:bookmarkEnd w:id="386"/>
      <w:bookmarkStart w:id="387" w:name="_Toc184313306"/>
      <w:bookmarkEnd w:id="387"/>
      <w:bookmarkStart w:id="388" w:name="_Toc184310341"/>
      <w:bookmarkEnd w:id="388"/>
      <w:bookmarkStart w:id="389" w:name="_Toc184308105"/>
      <w:bookmarkEnd w:id="389"/>
      <w:bookmarkStart w:id="390" w:name="_Toc184312083"/>
      <w:bookmarkEnd w:id="390"/>
      <w:bookmarkStart w:id="391" w:name="_Toc184314418"/>
      <w:bookmarkEnd w:id="391"/>
      <w:bookmarkStart w:id="392" w:name="_Toc184313264"/>
      <w:bookmarkEnd w:id="392"/>
      <w:bookmarkStart w:id="393" w:name="_Toc184308061"/>
      <w:bookmarkEnd w:id="393"/>
      <w:bookmarkStart w:id="394" w:name="_Toc184313258"/>
      <w:bookmarkEnd w:id="394"/>
      <w:bookmarkStart w:id="395" w:name="_Toc184314479"/>
      <w:bookmarkEnd w:id="395"/>
      <w:bookmarkStart w:id="396" w:name="_Toc184310287"/>
      <w:bookmarkEnd w:id="396"/>
      <w:bookmarkStart w:id="397" w:name="_Toc184313247"/>
      <w:bookmarkEnd w:id="397"/>
      <w:bookmarkStart w:id="398" w:name="_Toc184313291"/>
      <w:bookmarkEnd w:id="398"/>
      <w:bookmarkStart w:id="399" w:name="_Toc184310303"/>
      <w:bookmarkEnd w:id="399"/>
      <w:bookmarkStart w:id="400" w:name="_Toc184313298"/>
      <w:bookmarkEnd w:id="400"/>
      <w:bookmarkStart w:id="401" w:name="_Toc184314451"/>
      <w:bookmarkEnd w:id="401"/>
      <w:bookmarkStart w:id="402" w:name="_Toc184308096"/>
      <w:bookmarkEnd w:id="402"/>
      <w:bookmarkStart w:id="403" w:name="_Toc184314438"/>
      <w:bookmarkEnd w:id="403"/>
      <w:bookmarkStart w:id="404" w:name="_Toc184308090"/>
      <w:bookmarkEnd w:id="404"/>
      <w:bookmarkStart w:id="405" w:name="_Toc184313281"/>
      <w:bookmarkEnd w:id="405"/>
      <w:bookmarkStart w:id="406" w:name="_Toc184314473"/>
      <w:bookmarkEnd w:id="406"/>
      <w:bookmarkStart w:id="407" w:name="_Toc184310290"/>
      <w:bookmarkEnd w:id="407"/>
      <w:bookmarkStart w:id="408" w:name="_Toc184312116"/>
      <w:bookmarkEnd w:id="408"/>
      <w:bookmarkStart w:id="409" w:name="_Toc184314474"/>
      <w:bookmarkEnd w:id="409"/>
      <w:bookmarkStart w:id="410" w:name="_Toc184314414"/>
      <w:bookmarkEnd w:id="410"/>
      <w:bookmarkStart w:id="411" w:name="_Toc184312112"/>
      <w:bookmarkEnd w:id="411"/>
      <w:bookmarkStart w:id="412" w:name="_Toc184312104"/>
      <w:bookmarkEnd w:id="412"/>
      <w:bookmarkStart w:id="413" w:name="_Toc184314464"/>
      <w:bookmarkEnd w:id="413"/>
      <w:bookmarkStart w:id="414" w:name="_Toc184308038"/>
      <w:bookmarkEnd w:id="414"/>
      <w:bookmarkStart w:id="415" w:name="_Toc184313272"/>
      <w:bookmarkEnd w:id="415"/>
      <w:bookmarkStart w:id="416" w:name="_Toc184312105"/>
      <w:bookmarkEnd w:id="416"/>
      <w:bookmarkStart w:id="417" w:name="_Toc184308064"/>
      <w:bookmarkEnd w:id="417"/>
      <w:bookmarkStart w:id="418" w:name="_Toc184310299"/>
      <w:bookmarkEnd w:id="418"/>
      <w:bookmarkStart w:id="419" w:name="_Toc184308036"/>
      <w:bookmarkEnd w:id="419"/>
      <w:bookmarkStart w:id="420" w:name="_Toc184310323"/>
      <w:bookmarkEnd w:id="420"/>
      <w:bookmarkStart w:id="421" w:name="_Toc184314440"/>
      <w:bookmarkEnd w:id="421"/>
      <w:bookmarkStart w:id="422" w:name="_Toc184313310"/>
      <w:bookmarkEnd w:id="422"/>
      <w:bookmarkStart w:id="423" w:name="_Toc184312109"/>
      <w:bookmarkEnd w:id="423"/>
      <w:r>
        <w:rPr>
          <w:rStyle w:val="285"/>
          <w:rFonts w:hint="eastAsia"/>
          <w:color w:val="auto"/>
          <w:highlight w:val="none"/>
        </w:rPr>
        <w:t xml:space="preserve"> 评审办法</w:t>
      </w:r>
    </w:p>
    <w:bookmarkEnd w:id="58"/>
    <w:p w14:paraId="5E846C5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897"/>
        <w:gridCol w:w="953"/>
        <w:gridCol w:w="1824"/>
      </w:tblGrid>
      <w:tr w14:paraId="3B0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93DDBBE">
            <w:pPr>
              <w:snapToGrid w:val="0"/>
              <w:jc w:val="center"/>
              <w:outlineLvl w:val="0"/>
              <w:rPr>
                <w:rFonts w:ascii="宋体" w:hAnsi="宋体" w:cs="宋体"/>
                <w:bCs/>
                <w:color w:val="auto"/>
                <w:sz w:val="24"/>
                <w:highlight w:val="none"/>
              </w:rPr>
            </w:pPr>
            <w:bookmarkStart w:id="424" w:name="_Toc6165"/>
            <w:bookmarkStart w:id="425" w:name="_Toc3755"/>
            <w:bookmarkStart w:id="426" w:name="_Toc5721"/>
            <w:r>
              <w:rPr>
                <w:rFonts w:hint="eastAsia" w:ascii="宋体" w:hAnsi="宋体" w:cs="宋体"/>
                <w:bCs/>
                <w:color w:val="auto"/>
                <w:sz w:val="24"/>
                <w:highlight w:val="none"/>
              </w:rPr>
              <w:t>序号</w:t>
            </w:r>
            <w:bookmarkEnd w:id="424"/>
            <w:bookmarkEnd w:id="425"/>
            <w:bookmarkEnd w:id="426"/>
          </w:p>
        </w:tc>
        <w:tc>
          <w:tcPr>
            <w:tcW w:w="5897" w:type="dxa"/>
            <w:vAlign w:val="center"/>
          </w:tcPr>
          <w:p w14:paraId="7523C516">
            <w:pPr>
              <w:snapToGrid w:val="0"/>
              <w:jc w:val="center"/>
              <w:outlineLvl w:val="0"/>
              <w:rPr>
                <w:rFonts w:ascii="宋体" w:hAnsi="宋体" w:cs="宋体"/>
                <w:bCs/>
                <w:color w:val="auto"/>
                <w:sz w:val="24"/>
                <w:highlight w:val="none"/>
              </w:rPr>
            </w:pPr>
            <w:bookmarkStart w:id="427" w:name="_Toc795"/>
            <w:bookmarkStart w:id="428" w:name="_Toc23005"/>
            <w:bookmarkStart w:id="429" w:name="_Toc8145"/>
            <w:r>
              <w:rPr>
                <w:rFonts w:hint="eastAsia" w:ascii="宋体" w:hAnsi="宋体" w:cs="宋体"/>
                <w:bCs/>
                <w:color w:val="auto"/>
                <w:sz w:val="24"/>
                <w:highlight w:val="none"/>
              </w:rPr>
              <w:t>评审标准</w:t>
            </w:r>
            <w:bookmarkEnd w:id="427"/>
            <w:bookmarkEnd w:id="428"/>
            <w:bookmarkEnd w:id="429"/>
          </w:p>
        </w:tc>
        <w:tc>
          <w:tcPr>
            <w:tcW w:w="953" w:type="dxa"/>
            <w:vAlign w:val="center"/>
          </w:tcPr>
          <w:p w14:paraId="784CDE9D">
            <w:pPr>
              <w:snapToGrid w:val="0"/>
              <w:jc w:val="center"/>
              <w:outlineLvl w:val="0"/>
              <w:rPr>
                <w:rFonts w:ascii="宋体" w:hAnsi="宋体" w:cs="宋体"/>
                <w:bCs/>
                <w:color w:val="auto"/>
                <w:sz w:val="24"/>
                <w:highlight w:val="none"/>
              </w:rPr>
            </w:pPr>
            <w:bookmarkStart w:id="430" w:name="_Toc6326"/>
            <w:bookmarkStart w:id="431" w:name="_Toc24457"/>
            <w:bookmarkStart w:id="432" w:name="_Toc10466"/>
            <w:r>
              <w:rPr>
                <w:rFonts w:hint="eastAsia" w:ascii="宋体" w:hAnsi="宋体" w:cs="宋体"/>
                <w:bCs/>
                <w:color w:val="auto"/>
                <w:sz w:val="24"/>
                <w:highlight w:val="none"/>
              </w:rPr>
              <w:t>权重</w:t>
            </w:r>
            <w:bookmarkEnd w:id="430"/>
            <w:bookmarkEnd w:id="431"/>
            <w:bookmarkEnd w:id="432"/>
          </w:p>
        </w:tc>
        <w:tc>
          <w:tcPr>
            <w:tcW w:w="1824" w:type="dxa"/>
          </w:tcPr>
          <w:p w14:paraId="38053688">
            <w:pPr>
              <w:snapToGrid w:val="0"/>
              <w:jc w:val="center"/>
              <w:outlineLvl w:val="0"/>
              <w:rPr>
                <w:rFonts w:ascii="宋体" w:hAnsi="宋体" w:cs="宋体"/>
                <w:bCs/>
                <w:color w:val="auto"/>
                <w:sz w:val="24"/>
                <w:highlight w:val="none"/>
              </w:rPr>
            </w:pPr>
            <w:bookmarkStart w:id="433" w:name="_Toc3923"/>
            <w:bookmarkStart w:id="434" w:name="_Toc29899"/>
            <w:bookmarkStart w:id="435" w:name="_Toc27087"/>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bookmarkEnd w:id="433"/>
            <w:bookmarkEnd w:id="434"/>
            <w:bookmarkEnd w:id="435"/>
          </w:p>
        </w:tc>
      </w:tr>
      <w:tr w14:paraId="48CB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FEC4514">
            <w:pPr>
              <w:numPr>
                <w:ilvl w:val="0"/>
                <w:numId w:val="2"/>
              </w:numPr>
              <w:snapToGrid w:val="0"/>
              <w:jc w:val="center"/>
              <w:outlineLvl w:val="0"/>
              <w:rPr>
                <w:rFonts w:ascii="宋体" w:hAnsi="宋体" w:cs="宋体"/>
                <w:color w:val="auto"/>
                <w:sz w:val="24"/>
                <w:highlight w:val="none"/>
              </w:rPr>
            </w:pPr>
            <w:bookmarkStart w:id="436" w:name="_Toc15719"/>
            <w:bookmarkEnd w:id="436"/>
          </w:p>
        </w:tc>
        <w:tc>
          <w:tcPr>
            <w:tcW w:w="5897" w:type="dxa"/>
            <w:vAlign w:val="center"/>
          </w:tcPr>
          <w:p w14:paraId="262308D4">
            <w:pPr>
              <w:spacing w:line="360" w:lineRule="auto"/>
              <w:rPr>
                <w:rFonts w:ascii="宋体" w:hAnsi="宋体" w:cs="宋体"/>
                <w:color w:val="auto"/>
                <w:sz w:val="24"/>
                <w:highlight w:val="none"/>
              </w:rPr>
            </w:pPr>
            <w:r>
              <w:rPr>
                <w:rFonts w:hint="eastAsia" w:ascii="宋体" w:hAnsi="宋体" w:cs="宋体"/>
                <w:color w:val="auto"/>
                <w:sz w:val="24"/>
                <w:highlight w:val="none"/>
              </w:rPr>
              <w:t>供应商类似项目业绩：自2021年1月1日至响应文件提交截止时间，具有类似工程业绩的，每提供一个项目的证明材料得1分，最高2分，未提供的得0分。</w:t>
            </w:r>
          </w:p>
          <w:p w14:paraId="29166A89">
            <w:pPr>
              <w:spacing w:line="360" w:lineRule="auto"/>
              <w:rPr>
                <w:rFonts w:ascii="宋体" w:hAnsi="宋体" w:cs="宋体"/>
                <w:color w:val="auto"/>
                <w:sz w:val="24"/>
                <w:highlight w:val="none"/>
              </w:rPr>
            </w:pPr>
            <w:r>
              <w:rPr>
                <w:rFonts w:hint="eastAsia" w:ascii="宋体" w:hAnsi="宋体" w:cs="宋体"/>
                <w:color w:val="auto"/>
                <w:sz w:val="24"/>
                <w:highlight w:val="none"/>
              </w:rPr>
              <w:t>业绩证明材料须提供施工合同及竣工验收证明（以合同签订时间为准），要求证明材料能反映评审要素，提供的证明材料不能反映评审要素的可提供其他的佐证材料。</w:t>
            </w:r>
          </w:p>
        </w:tc>
        <w:tc>
          <w:tcPr>
            <w:tcW w:w="953" w:type="dxa"/>
            <w:vAlign w:val="center"/>
          </w:tcPr>
          <w:p w14:paraId="5C01C21D">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vAlign w:val="center"/>
          </w:tcPr>
          <w:p w14:paraId="4A80C327">
            <w:pPr>
              <w:snapToGrid w:val="0"/>
              <w:jc w:val="center"/>
              <w:rPr>
                <w:rFonts w:ascii="宋体" w:hAnsi="宋体" w:cs="宋体"/>
                <w:color w:val="auto"/>
                <w:sz w:val="24"/>
                <w:highlight w:val="none"/>
              </w:rPr>
            </w:pPr>
          </w:p>
        </w:tc>
      </w:tr>
      <w:tr w14:paraId="5E4D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35C8303">
            <w:pPr>
              <w:numPr>
                <w:ilvl w:val="0"/>
                <w:numId w:val="2"/>
              </w:numPr>
              <w:snapToGrid w:val="0"/>
              <w:jc w:val="center"/>
              <w:outlineLvl w:val="0"/>
              <w:rPr>
                <w:rFonts w:ascii="宋体" w:hAnsi="宋体" w:cs="宋体"/>
                <w:color w:val="auto"/>
                <w:sz w:val="24"/>
                <w:highlight w:val="none"/>
              </w:rPr>
            </w:pPr>
            <w:bookmarkStart w:id="437" w:name="_Toc6368"/>
            <w:bookmarkEnd w:id="437"/>
          </w:p>
        </w:tc>
        <w:tc>
          <w:tcPr>
            <w:tcW w:w="5897" w:type="dxa"/>
            <w:vAlign w:val="center"/>
          </w:tcPr>
          <w:p w14:paraId="4F1AD71E">
            <w:pPr>
              <w:spacing w:line="360" w:lineRule="auto"/>
              <w:rPr>
                <w:rFonts w:ascii="宋体" w:hAnsi="宋体" w:cs="宋体"/>
                <w:color w:val="auto"/>
                <w:sz w:val="24"/>
                <w:highlight w:val="none"/>
              </w:rPr>
            </w:pPr>
            <w:r>
              <w:rPr>
                <w:rFonts w:hint="eastAsia" w:ascii="宋体" w:hAnsi="宋体" w:cs="宋体"/>
                <w:color w:val="auto"/>
                <w:sz w:val="24"/>
                <w:highlight w:val="none"/>
              </w:rPr>
              <w:t>供应商具有质量管理体系认证证书、环境认证体系认证证书和职业健康管理体系认证证书且在有效期内的，每提供一个证书得1分。</w:t>
            </w:r>
          </w:p>
          <w:p w14:paraId="53BB693F">
            <w:pPr>
              <w:spacing w:line="360" w:lineRule="auto"/>
              <w:rPr>
                <w:rFonts w:ascii="宋体" w:hAnsi="宋体" w:cs="宋体"/>
                <w:color w:val="auto"/>
                <w:sz w:val="24"/>
                <w:highlight w:val="none"/>
              </w:rPr>
            </w:pPr>
            <w:r>
              <w:rPr>
                <w:rFonts w:hint="eastAsia" w:ascii="宋体" w:hAnsi="宋体" w:cs="宋体"/>
                <w:color w:val="auto"/>
                <w:sz w:val="24"/>
                <w:highlight w:val="none"/>
              </w:rPr>
              <w:t>须提供证书复印件及《国家认证认可监督管理委员会》网站（http://www.cnca.gov.cn）查询截图并加盖公章。</w:t>
            </w:r>
          </w:p>
        </w:tc>
        <w:tc>
          <w:tcPr>
            <w:tcW w:w="953" w:type="dxa"/>
            <w:vAlign w:val="center"/>
          </w:tcPr>
          <w:p w14:paraId="57C17D70">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34F60C94">
            <w:pPr>
              <w:snapToGrid w:val="0"/>
              <w:rPr>
                <w:rFonts w:ascii="宋体" w:hAnsi="宋体" w:cs="宋体"/>
                <w:color w:val="auto"/>
                <w:sz w:val="24"/>
                <w:highlight w:val="none"/>
              </w:rPr>
            </w:pPr>
          </w:p>
        </w:tc>
      </w:tr>
      <w:tr w14:paraId="0D7D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6190F57">
            <w:pPr>
              <w:numPr>
                <w:ilvl w:val="0"/>
                <w:numId w:val="2"/>
              </w:numPr>
              <w:snapToGrid w:val="0"/>
              <w:jc w:val="center"/>
              <w:outlineLvl w:val="0"/>
              <w:rPr>
                <w:rFonts w:ascii="宋体" w:hAnsi="宋体" w:cs="宋体"/>
                <w:color w:val="auto"/>
                <w:sz w:val="24"/>
                <w:highlight w:val="none"/>
              </w:rPr>
            </w:pPr>
            <w:bookmarkStart w:id="438" w:name="_Toc15165"/>
            <w:bookmarkEnd w:id="438"/>
          </w:p>
        </w:tc>
        <w:tc>
          <w:tcPr>
            <w:tcW w:w="5897" w:type="dxa"/>
            <w:vAlign w:val="center"/>
          </w:tcPr>
          <w:p w14:paraId="1A6E5014">
            <w:pPr>
              <w:spacing w:line="360" w:lineRule="auto"/>
              <w:rPr>
                <w:rFonts w:ascii="宋体" w:hAnsi="宋体" w:cs="宋体"/>
                <w:color w:val="auto"/>
                <w:sz w:val="24"/>
                <w:highlight w:val="none"/>
              </w:rPr>
            </w:pPr>
            <w:r>
              <w:rPr>
                <w:rFonts w:hint="eastAsia" w:ascii="宋体" w:hAnsi="宋体" w:cs="宋体"/>
                <w:color w:val="auto"/>
                <w:sz w:val="24"/>
                <w:highlight w:val="none"/>
              </w:rPr>
              <w:t>完全响应采购文件合同条款要求的，得1分；未响应或部分不响应的均不得分。评审小组认定的优于合同要求的条款，每项加0.5分，最高加1分。</w:t>
            </w:r>
          </w:p>
        </w:tc>
        <w:tc>
          <w:tcPr>
            <w:tcW w:w="953" w:type="dxa"/>
            <w:vAlign w:val="center"/>
          </w:tcPr>
          <w:p w14:paraId="1502D015">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27F56DAD">
            <w:pPr>
              <w:snapToGrid w:val="0"/>
              <w:rPr>
                <w:rFonts w:ascii="宋体" w:hAnsi="宋体" w:cs="宋体"/>
                <w:color w:val="auto"/>
                <w:sz w:val="24"/>
                <w:highlight w:val="none"/>
              </w:rPr>
            </w:pPr>
          </w:p>
        </w:tc>
      </w:tr>
      <w:tr w14:paraId="4E2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D093D68">
            <w:pPr>
              <w:numPr>
                <w:ilvl w:val="0"/>
                <w:numId w:val="2"/>
              </w:numPr>
              <w:snapToGrid w:val="0"/>
              <w:jc w:val="center"/>
              <w:outlineLvl w:val="0"/>
              <w:rPr>
                <w:rFonts w:ascii="宋体" w:hAnsi="宋体" w:cs="宋体"/>
                <w:color w:val="auto"/>
                <w:sz w:val="24"/>
                <w:highlight w:val="none"/>
              </w:rPr>
            </w:pPr>
            <w:bookmarkStart w:id="439" w:name="_Toc30653"/>
            <w:bookmarkEnd w:id="439"/>
          </w:p>
        </w:tc>
        <w:tc>
          <w:tcPr>
            <w:tcW w:w="5897" w:type="dxa"/>
            <w:vAlign w:val="center"/>
          </w:tcPr>
          <w:p w14:paraId="06857D80">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w:t>
            </w:r>
          </w:p>
          <w:p w14:paraId="4A2C4C40">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项目经理到位率承诺100%的得2分；</w:t>
            </w:r>
          </w:p>
          <w:p w14:paraId="2076084C">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项目经理到位率承诺95%的得1分；</w:t>
            </w:r>
          </w:p>
          <w:p w14:paraId="6B2905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项目经理到位率承诺90%的得0.5分；其余不得分，提供承诺书，如合同履约阶段未按承诺到位的，采购人有权终止合同。 </w:t>
            </w:r>
          </w:p>
        </w:tc>
        <w:tc>
          <w:tcPr>
            <w:tcW w:w="953" w:type="dxa"/>
            <w:vAlign w:val="center"/>
          </w:tcPr>
          <w:p w14:paraId="1FBD55E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3D966826">
            <w:pPr>
              <w:snapToGrid w:val="0"/>
              <w:rPr>
                <w:rFonts w:ascii="宋体" w:hAnsi="宋体" w:cs="宋体"/>
                <w:color w:val="auto"/>
                <w:sz w:val="24"/>
                <w:highlight w:val="none"/>
              </w:rPr>
            </w:pPr>
          </w:p>
        </w:tc>
      </w:tr>
      <w:tr w14:paraId="705C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D9AA72D">
            <w:pPr>
              <w:numPr>
                <w:ilvl w:val="0"/>
                <w:numId w:val="2"/>
              </w:numPr>
              <w:snapToGrid w:val="0"/>
              <w:jc w:val="center"/>
              <w:outlineLvl w:val="0"/>
              <w:rPr>
                <w:rFonts w:ascii="宋体" w:hAnsi="宋体" w:cs="宋体"/>
                <w:color w:val="auto"/>
                <w:sz w:val="24"/>
                <w:highlight w:val="none"/>
              </w:rPr>
            </w:pPr>
            <w:bookmarkStart w:id="440" w:name="_Toc20899"/>
            <w:bookmarkEnd w:id="440"/>
          </w:p>
        </w:tc>
        <w:tc>
          <w:tcPr>
            <w:tcW w:w="5897" w:type="dxa"/>
            <w:vAlign w:val="center"/>
          </w:tcPr>
          <w:p w14:paraId="210C45D0">
            <w:pPr>
              <w:spacing w:line="360" w:lineRule="auto"/>
              <w:rPr>
                <w:rFonts w:ascii="宋体" w:hAnsi="宋体" w:cs="宋体"/>
                <w:color w:val="auto"/>
                <w:sz w:val="24"/>
                <w:highlight w:val="none"/>
              </w:rPr>
            </w:pPr>
            <w:r>
              <w:rPr>
                <w:rFonts w:hint="eastAsia" w:ascii="宋体" w:hAnsi="宋体" w:cs="宋体"/>
                <w:color w:val="auto"/>
                <w:sz w:val="24"/>
                <w:highlight w:val="none"/>
              </w:rPr>
              <w:t>拟派项目经理具有建筑工程二级建造师证书的，得1分，没有不得分。</w:t>
            </w:r>
          </w:p>
          <w:p w14:paraId="6EDEF595">
            <w:pPr>
              <w:pStyle w:val="45"/>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7A8037BB">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23E702A3">
            <w:pPr>
              <w:snapToGrid w:val="0"/>
              <w:rPr>
                <w:rFonts w:ascii="宋体" w:hAnsi="宋体" w:cs="宋体"/>
                <w:color w:val="auto"/>
                <w:sz w:val="24"/>
                <w:highlight w:val="none"/>
              </w:rPr>
            </w:pPr>
          </w:p>
        </w:tc>
      </w:tr>
      <w:tr w14:paraId="274D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7AB6E0A">
            <w:pPr>
              <w:numPr>
                <w:ilvl w:val="0"/>
                <w:numId w:val="2"/>
              </w:numPr>
              <w:snapToGrid w:val="0"/>
              <w:jc w:val="center"/>
              <w:outlineLvl w:val="0"/>
              <w:rPr>
                <w:rFonts w:ascii="宋体" w:hAnsi="宋体" w:cs="宋体"/>
                <w:color w:val="auto"/>
                <w:sz w:val="24"/>
                <w:highlight w:val="none"/>
              </w:rPr>
            </w:pPr>
            <w:bookmarkStart w:id="441" w:name="_Toc26417"/>
            <w:bookmarkEnd w:id="441"/>
          </w:p>
        </w:tc>
        <w:tc>
          <w:tcPr>
            <w:tcW w:w="5897" w:type="dxa"/>
            <w:vAlign w:val="center"/>
          </w:tcPr>
          <w:p w14:paraId="46A94761">
            <w:pPr>
              <w:spacing w:line="360" w:lineRule="auto"/>
              <w:rPr>
                <w:rFonts w:ascii="宋体" w:hAnsi="宋体" w:cs="宋体"/>
                <w:color w:val="auto"/>
                <w:sz w:val="24"/>
                <w:highlight w:val="none"/>
              </w:rPr>
            </w:pPr>
            <w:r>
              <w:rPr>
                <w:rFonts w:hint="eastAsia" w:ascii="宋体" w:hAnsi="宋体" w:cs="宋体"/>
                <w:color w:val="auto"/>
                <w:sz w:val="24"/>
                <w:highlight w:val="none"/>
              </w:rPr>
              <w:t>拟派技术负责人具有工程师职称证书且具有建筑工程二级建造师证书的，得1分，没有不得分。</w:t>
            </w:r>
          </w:p>
          <w:p w14:paraId="67243498">
            <w:pPr>
              <w:pStyle w:val="45"/>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73029BA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461B7B11">
            <w:pPr>
              <w:snapToGrid w:val="0"/>
              <w:rPr>
                <w:rFonts w:ascii="宋体" w:hAnsi="宋体" w:cs="宋体"/>
                <w:color w:val="auto"/>
                <w:sz w:val="24"/>
                <w:highlight w:val="none"/>
              </w:rPr>
            </w:pPr>
          </w:p>
        </w:tc>
      </w:tr>
      <w:tr w14:paraId="33B3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0912A21">
            <w:pPr>
              <w:numPr>
                <w:ilvl w:val="0"/>
                <w:numId w:val="2"/>
              </w:numPr>
              <w:snapToGrid w:val="0"/>
              <w:jc w:val="center"/>
              <w:outlineLvl w:val="0"/>
              <w:rPr>
                <w:rFonts w:ascii="宋体" w:hAnsi="宋体" w:cs="宋体"/>
                <w:color w:val="auto"/>
                <w:sz w:val="24"/>
                <w:highlight w:val="none"/>
              </w:rPr>
            </w:pPr>
            <w:bookmarkStart w:id="442" w:name="_Toc2168"/>
            <w:bookmarkEnd w:id="442"/>
          </w:p>
        </w:tc>
        <w:tc>
          <w:tcPr>
            <w:tcW w:w="5897" w:type="dxa"/>
            <w:vAlign w:val="center"/>
          </w:tcPr>
          <w:p w14:paraId="6C0A0A61">
            <w:pPr>
              <w:spacing w:line="360" w:lineRule="auto"/>
              <w:rPr>
                <w:rFonts w:ascii="宋体" w:hAnsi="宋体" w:cs="宋体"/>
                <w:color w:val="auto"/>
                <w:sz w:val="24"/>
                <w:highlight w:val="none"/>
              </w:rPr>
            </w:pPr>
            <w:r>
              <w:rPr>
                <w:rFonts w:hint="eastAsia" w:ascii="宋体" w:hAnsi="宋体" w:cs="宋体"/>
                <w:color w:val="auto"/>
                <w:sz w:val="24"/>
                <w:highlight w:val="none"/>
              </w:rPr>
              <w:t>拟派项目班子成员具备施工员、安全员、质检员、材料员重要岗位的，每个岗位工种得0.5分，最高得2分。</w:t>
            </w:r>
          </w:p>
          <w:p w14:paraId="583D15A3">
            <w:pPr>
              <w:pStyle w:val="45"/>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需提供上岗证书及近三个月投标单位为在职人员缴纳的社保证明复印件加盖公章。</w:t>
            </w:r>
          </w:p>
        </w:tc>
        <w:tc>
          <w:tcPr>
            <w:tcW w:w="953" w:type="dxa"/>
            <w:vAlign w:val="center"/>
          </w:tcPr>
          <w:p w14:paraId="3A73E55B">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0B32B76B">
            <w:pPr>
              <w:snapToGrid w:val="0"/>
              <w:rPr>
                <w:rFonts w:ascii="宋体" w:hAnsi="宋体" w:cs="宋体"/>
                <w:color w:val="auto"/>
                <w:sz w:val="24"/>
                <w:highlight w:val="none"/>
              </w:rPr>
            </w:pPr>
          </w:p>
        </w:tc>
      </w:tr>
      <w:tr w14:paraId="275F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C8A6C92">
            <w:pPr>
              <w:numPr>
                <w:ilvl w:val="0"/>
                <w:numId w:val="2"/>
              </w:numPr>
              <w:snapToGrid w:val="0"/>
              <w:jc w:val="center"/>
              <w:outlineLvl w:val="0"/>
              <w:rPr>
                <w:rFonts w:ascii="宋体" w:hAnsi="宋体" w:cs="宋体"/>
                <w:color w:val="auto"/>
                <w:sz w:val="24"/>
                <w:highlight w:val="none"/>
              </w:rPr>
            </w:pPr>
            <w:bookmarkStart w:id="443" w:name="_Toc23484"/>
            <w:bookmarkEnd w:id="443"/>
          </w:p>
        </w:tc>
        <w:tc>
          <w:tcPr>
            <w:tcW w:w="5897" w:type="dxa"/>
            <w:vAlign w:val="center"/>
          </w:tcPr>
          <w:p w14:paraId="65741AD7">
            <w:pPr>
              <w:spacing w:line="360" w:lineRule="auto"/>
              <w:rPr>
                <w:rFonts w:ascii="宋体" w:hAnsi="宋体" w:cs="宋体"/>
                <w:color w:val="auto"/>
                <w:sz w:val="24"/>
                <w:highlight w:val="none"/>
              </w:rPr>
            </w:pPr>
            <w:r>
              <w:rPr>
                <w:rFonts w:hint="eastAsia" w:ascii="宋体" w:hAnsi="宋体" w:cs="宋体"/>
                <w:color w:val="auto"/>
                <w:sz w:val="24"/>
                <w:highlight w:val="none"/>
              </w:rPr>
              <w:t>针对采购人工程的特点和施工环境、特殊区域环境条件下组织施工和养护的技术方案和措施。</w:t>
            </w:r>
          </w:p>
          <w:p w14:paraId="3236A969">
            <w:pPr>
              <w:spacing w:line="360" w:lineRule="auto"/>
              <w:rPr>
                <w:rFonts w:ascii="宋体" w:hAnsi="宋体" w:cs="宋体"/>
                <w:color w:val="auto"/>
                <w:sz w:val="24"/>
                <w:highlight w:val="none"/>
              </w:rPr>
            </w:pPr>
            <w:r>
              <w:rPr>
                <w:rFonts w:hint="eastAsia" w:ascii="宋体" w:hAnsi="宋体" w:cs="宋体"/>
                <w:color w:val="auto"/>
                <w:sz w:val="24"/>
                <w:highlight w:val="none"/>
              </w:rPr>
              <w:t>（1）施工技术方案和措施:（4分）</w:t>
            </w:r>
          </w:p>
          <w:p w14:paraId="760DEBEC">
            <w:pPr>
              <w:spacing w:line="360" w:lineRule="auto"/>
              <w:rPr>
                <w:rFonts w:ascii="宋体" w:hAnsi="宋体" w:cs="宋体"/>
                <w:color w:val="auto"/>
                <w:sz w:val="24"/>
                <w:highlight w:val="none"/>
              </w:rPr>
            </w:pPr>
            <w:r>
              <w:rPr>
                <w:rFonts w:hint="eastAsia" w:ascii="宋体" w:hAnsi="宋体" w:cs="宋体"/>
                <w:color w:val="auto"/>
                <w:sz w:val="24"/>
                <w:highlight w:val="none"/>
              </w:rPr>
              <w:t>（2）施工组织设计:（4分）</w:t>
            </w:r>
          </w:p>
          <w:p w14:paraId="0F20A137">
            <w:pPr>
              <w:spacing w:line="360" w:lineRule="auto"/>
              <w:rPr>
                <w:rFonts w:ascii="宋体" w:hAnsi="宋体" w:cs="宋体"/>
                <w:color w:val="auto"/>
                <w:sz w:val="24"/>
                <w:highlight w:val="none"/>
              </w:rPr>
            </w:pPr>
            <w:r>
              <w:rPr>
                <w:rFonts w:hint="eastAsia" w:ascii="宋体" w:hAnsi="宋体" w:cs="宋体"/>
                <w:color w:val="auto"/>
                <w:sz w:val="24"/>
                <w:highlight w:val="none"/>
              </w:rPr>
              <w:t>（3）针对本项目的主要施工方法:（4分）</w:t>
            </w:r>
          </w:p>
          <w:p w14:paraId="71D584C8">
            <w:pPr>
              <w:spacing w:line="360" w:lineRule="auto"/>
              <w:rPr>
                <w:rFonts w:ascii="宋体" w:hAnsi="宋体" w:cs="宋体"/>
                <w:color w:val="auto"/>
                <w:sz w:val="24"/>
                <w:highlight w:val="none"/>
              </w:rPr>
            </w:pPr>
            <w:r>
              <w:rPr>
                <w:rFonts w:hint="eastAsia" w:ascii="宋体" w:hAnsi="宋体" w:cs="宋体"/>
                <w:color w:val="auto"/>
                <w:sz w:val="24"/>
                <w:highlight w:val="none"/>
              </w:rPr>
              <w:t>（4）工程养护技术方案和措施:（4分）</w:t>
            </w:r>
          </w:p>
          <w:p w14:paraId="2753E9A3">
            <w:pPr>
              <w:spacing w:line="360" w:lineRule="auto"/>
              <w:rPr>
                <w:rFonts w:ascii="宋体" w:hAnsi="宋体" w:cs="宋体"/>
                <w:color w:val="auto"/>
                <w:sz w:val="24"/>
                <w:highlight w:val="none"/>
              </w:rPr>
            </w:pPr>
            <w:r>
              <w:rPr>
                <w:rFonts w:hint="eastAsia" w:ascii="宋体" w:hAnsi="宋体" w:cs="宋体"/>
                <w:color w:val="auto"/>
                <w:sz w:val="24"/>
                <w:highlight w:val="none"/>
              </w:rPr>
              <w:t>单项打分依据：内容合理能满足项目需求，具有明确的针对性及可操作性的，得4分；内容较合理能满足项目需求，具有较明确的针对性及可操作性的，得3分；内容能基本满足项目需求，针对性及可操作性基本满足的，得2分；内容较差，方案无针对性，可操作性差的，得0.5分；未提供的得0分。</w:t>
            </w:r>
          </w:p>
        </w:tc>
        <w:tc>
          <w:tcPr>
            <w:tcW w:w="953" w:type="dxa"/>
            <w:vAlign w:val="center"/>
          </w:tcPr>
          <w:p w14:paraId="5936EB27">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16分</w:t>
            </w:r>
          </w:p>
        </w:tc>
        <w:tc>
          <w:tcPr>
            <w:tcW w:w="1824" w:type="dxa"/>
          </w:tcPr>
          <w:p w14:paraId="2AE82850">
            <w:pPr>
              <w:snapToGrid w:val="0"/>
              <w:rPr>
                <w:rFonts w:ascii="宋体" w:hAnsi="宋体" w:cs="宋体"/>
                <w:color w:val="auto"/>
                <w:sz w:val="24"/>
                <w:highlight w:val="none"/>
              </w:rPr>
            </w:pPr>
          </w:p>
        </w:tc>
      </w:tr>
      <w:tr w14:paraId="7F44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CA10572">
            <w:pPr>
              <w:numPr>
                <w:ilvl w:val="0"/>
                <w:numId w:val="2"/>
              </w:numPr>
              <w:snapToGrid w:val="0"/>
              <w:jc w:val="center"/>
              <w:outlineLvl w:val="0"/>
              <w:rPr>
                <w:rFonts w:ascii="宋体" w:hAnsi="宋体" w:cs="宋体"/>
                <w:color w:val="auto"/>
                <w:sz w:val="24"/>
                <w:highlight w:val="none"/>
              </w:rPr>
            </w:pPr>
            <w:bookmarkStart w:id="444" w:name="_Toc26071"/>
            <w:bookmarkEnd w:id="444"/>
          </w:p>
        </w:tc>
        <w:tc>
          <w:tcPr>
            <w:tcW w:w="5897" w:type="dxa"/>
            <w:vAlign w:val="center"/>
          </w:tcPr>
          <w:p w14:paraId="185A8FB4">
            <w:pPr>
              <w:spacing w:line="360" w:lineRule="auto"/>
              <w:rPr>
                <w:rFonts w:ascii="宋体" w:hAnsi="宋体" w:cs="宋体"/>
                <w:color w:val="auto"/>
                <w:sz w:val="24"/>
                <w:highlight w:val="none"/>
              </w:rPr>
            </w:pPr>
            <w:r>
              <w:rPr>
                <w:rFonts w:hint="eastAsia" w:ascii="宋体" w:hAnsi="宋体" w:cs="宋体"/>
                <w:color w:val="auto"/>
                <w:sz w:val="24"/>
                <w:highlight w:val="none"/>
              </w:rPr>
              <w:t>特殊施工环境的具体措施、预防自然灾害(雪灾、台风、干旱及防汛等)及灾后重建的组织和技术措施：</w:t>
            </w:r>
          </w:p>
          <w:p w14:paraId="6547A316">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084873C3">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5E8DC17A">
            <w:pPr>
              <w:snapToGrid w:val="0"/>
              <w:rPr>
                <w:rFonts w:ascii="宋体" w:hAnsi="宋体" w:cs="宋体"/>
                <w:color w:val="auto"/>
                <w:sz w:val="24"/>
                <w:highlight w:val="none"/>
              </w:rPr>
            </w:pPr>
          </w:p>
        </w:tc>
      </w:tr>
      <w:tr w14:paraId="7286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8E451CE">
            <w:pPr>
              <w:numPr>
                <w:ilvl w:val="0"/>
                <w:numId w:val="2"/>
              </w:numPr>
              <w:snapToGrid w:val="0"/>
              <w:jc w:val="center"/>
              <w:outlineLvl w:val="0"/>
              <w:rPr>
                <w:rFonts w:ascii="宋体" w:hAnsi="宋体" w:cs="宋体"/>
                <w:color w:val="auto"/>
                <w:sz w:val="24"/>
                <w:highlight w:val="none"/>
              </w:rPr>
            </w:pPr>
            <w:bookmarkStart w:id="445" w:name="_Toc66"/>
            <w:bookmarkEnd w:id="445"/>
            <w:bookmarkStart w:id="446" w:name="_Toc31098"/>
            <w:bookmarkEnd w:id="446"/>
          </w:p>
        </w:tc>
        <w:tc>
          <w:tcPr>
            <w:tcW w:w="5897" w:type="dxa"/>
            <w:vAlign w:val="center"/>
          </w:tcPr>
          <w:p w14:paraId="6A233AA7">
            <w:pPr>
              <w:spacing w:line="360" w:lineRule="auto"/>
              <w:rPr>
                <w:rFonts w:ascii="宋体" w:hAnsi="宋体" w:cs="宋体"/>
                <w:color w:val="auto"/>
                <w:sz w:val="24"/>
                <w:highlight w:val="none"/>
              </w:rPr>
            </w:pPr>
            <w:r>
              <w:rPr>
                <w:rFonts w:hint="eastAsia" w:ascii="宋体" w:hAnsi="宋体" w:cs="宋体"/>
                <w:color w:val="auto"/>
                <w:sz w:val="24"/>
                <w:highlight w:val="none"/>
              </w:rPr>
              <w:t>供应商的施工降噪措施：</w:t>
            </w:r>
          </w:p>
          <w:p w14:paraId="648E0B62">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38578BF7">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1A142A6">
            <w:pPr>
              <w:snapToGrid w:val="0"/>
              <w:rPr>
                <w:rFonts w:ascii="宋体" w:hAnsi="宋体" w:cs="宋体"/>
                <w:color w:val="auto"/>
                <w:sz w:val="24"/>
                <w:highlight w:val="none"/>
              </w:rPr>
            </w:pPr>
          </w:p>
        </w:tc>
      </w:tr>
      <w:tr w14:paraId="18EC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EA0E757">
            <w:pPr>
              <w:numPr>
                <w:ilvl w:val="0"/>
                <w:numId w:val="2"/>
              </w:numPr>
              <w:snapToGrid w:val="0"/>
              <w:jc w:val="center"/>
              <w:outlineLvl w:val="0"/>
              <w:rPr>
                <w:rFonts w:ascii="宋体" w:hAnsi="宋体" w:cs="宋体"/>
                <w:color w:val="auto"/>
                <w:sz w:val="24"/>
                <w:highlight w:val="none"/>
              </w:rPr>
            </w:pPr>
            <w:bookmarkStart w:id="447" w:name="_Toc7254"/>
            <w:bookmarkEnd w:id="447"/>
          </w:p>
        </w:tc>
        <w:tc>
          <w:tcPr>
            <w:tcW w:w="5897" w:type="dxa"/>
            <w:vAlign w:val="center"/>
          </w:tcPr>
          <w:p w14:paraId="6DD7B45E">
            <w:pPr>
              <w:spacing w:line="360" w:lineRule="auto"/>
              <w:rPr>
                <w:rFonts w:ascii="宋体" w:hAnsi="宋体" w:cs="宋体"/>
                <w:color w:val="auto"/>
                <w:sz w:val="24"/>
                <w:highlight w:val="none"/>
              </w:rPr>
            </w:pPr>
            <w:r>
              <w:rPr>
                <w:rFonts w:hint="eastAsia" w:ascii="宋体" w:hAnsi="宋体" w:cs="宋体"/>
                <w:color w:val="auto"/>
                <w:sz w:val="24"/>
                <w:highlight w:val="none"/>
              </w:rPr>
              <w:t>材料设备进场计划及施工计划情况：具有详细的材料设备进场计划且计划周密，材料数量、质量控制，时间安排合理，满足施工需要的，得3分；各项内容及措施基本完善的，得2分；各项内容及措施部分不善的，得0.5分；未提供的得0分。</w:t>
            </w:r>
          </w:p>
        </w:tc>
        <w:tc>
          <w:tcPr>
            <w:tcW w:w="953" w:type="dxa"/>
            <w:vAlign w:val="center"/>
          </w:tcPr>
          <w:p w14:paraId="072F6A18">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4105DC95">
            <w:pPr>
              <w:snapToGrid w:val="0"/>
              <w:rPr>
                <w:rFonts w:ascii="宋体" w:hAnsi="宋体" w:cs="宋体"/>
                <w:color w:val="auto"/>
                <w:sz w:val="24"/>
                <w:highlight w:val="none"/>
              </w:rPr>
            </w:pPr>
          </w:p>
        </w:tc>
      </w:tr>
      <w:tr w14:paraId="60CD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2BBC724">
            <w:pPr>
              <w:numPr>
                <w:ilvl w:val="0"/>
                <w:numId w:val="2"/>
              </w:numPr>
              <w:snapToGrid w:val="0"/>
              <w:jc w:val="center"/>
              <w:outlineLvl w:val="0"/>
              <w:rPr>
                <w:rFonts w:ascii="宋体" w:hAnsi="宋体" w:cs="宋体"/>
                <w:color w:val="auto"/>
                <w:sz w:val="24"/>
                <w:highlight w:val="none"/>
              </w:rPr>
            </w:pPr>
            <w:bookmarkStart w:id="448" w:name="_Toc4199"/>
            <w:bookmarkEnd w:id="448"/>
          </w:p>
        </w:tc>
        <w:tc>
          <w:tcPr>
            <w:tcW w:w="5897" w:type="dxa"/>
            <w:vAlign w:val="center"/>
          </w:tcPr>
          <w:p w14:paraId="68D37981">
            <w:pPr>
              <w:spacing w:line="360" w:lineRule="auto"/>
              <w:rPr>
                <w:rFonts w:ascii="宋体" w:hAnsi="宋体" w:cs="宋体"/>
                <w:color w:val="auto"/>
                <w:sz w:val="24"/>
                <w:highlight w:val="none"/>
              </w:rPr>
            </w:pPr>
            <w:r>
              <w:rPr>
                <w:rFonts w:hint="eastAsia" w:ascii="宋体" w:hAnsi="宋体" w:cs="宋体"/>
                <w:color w:val="auto"/>
                <w:sz w:val="24"/>
                <w:highlight w:val="none"/>
              </w:rPr>
              <w:t>项目保修期内措施：</w:t>
            </w:r>
          </w:p>
          <w:p w14:paraId="13E94A5E">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77D6BF54">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0476E8CA">
            <w:pPr>
              <w:snapToGrid w:val="0"/>
              <w:rPr>
                <w:rFonts w:ascii="宋体" w:hAnsi="宋体" w:cs="宋体"/>
                <w:color w:val="auto"/>
                <w:sz w:val="24"/>
                <w:highlight w:val="none"/>
              </w:rPr>
            </w:pPr>
          </w:p>
        </w:tc>
      </w:tr>
      <w:tr w14:paraId="7A00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BBCDAED">
            <w:pPr>
              <w:numPr>
                <w:ilvl w:val="0"/>
                <w:numId w:val="2"/>
              </w:numPr>
              <w:snapToGrid w:val="0"/>
              <w:jc w:val="center"/>
              <w:outlineLvl w:val="0"/>
              <w:rPr>
                <w:rFonts w:ascii="宋体" w:hAnsi="宋体" w:cs="宋体"/>
                <w:color w:val="auto"/>
                <w:sz w:val="24"/>
                <w:highlight w:val="none"/>
              </w:rPr>
            </w:pPr>
            <w:bookmarkStart w:id="449" w:name="_Toc17849"/>
            <w:bookmarkEnd w:id="449"/>
          </w:p>
        </w:tc>
        <w:tc>
          <w:tcPr>
            <w:tcW w:w="5897" w:type="dxa"/>
            <w:vAlign w:val="center"/>
          </w:tcPr>
          <w:p w14:paraId="57277842">
            <w:pPr>
              <w:spacing w:line="360" w:lineRule="auto"/>
              <w:rPr>
                <w:rFonts w:ascii="宋体" w:hAnsi="宋体" w:cs="宋体"/>
                <w:color w:val="auto"/>
                <w:sz w:val="24"/>
                <w:highlight w:val="none"/>
              </w:rPr>
            </w:pPr>
            <w:r>
              <w:rPr>
                <w:rFonts w:hint="eastAsia" w:ascii="宋体" w:hAnsi="宋体" w:cs="宋体"/>
                <w:color w:val="auto"/>
                <w:sz w:val="24"/>
                <w:highlight w:val="none"/>
              </w:rPr>
              <w:t>分析本工程的特点、难点,具体施工方案及措施：</w:t>
            </w:r>
          </w:p>
          <w:p w14:paraId="203D64BB">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各项内容及措施完善且到位的，工程特点、难点分析到位的得3分；各项内容及措施基本完善的，得2分；各项内容及措施部分不善的，得0.5分；未提供的得0分。</w:t>
            </w:r>
          </w:p>
        </w:tc>
        <w:tc>
          <w:tcPr>
            <w:tcW w:w="953" w:type="dxa"/>
            <w:vAlign w:val="center"/>
          </w:tcPr>
          <w:p w14:paraId="6E4E0ADC">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43038B37">
            <w:pPr>
              <w:snapToGrid w:val="0"/>
              <w:rPr>
                <w:rFonts w:ascii="宋体" w:hAnsi="宋体" w:cs="宋体"/>
                <w:color w:val="auto"/>
                <w:sz w:val="24"/>
                <w:highlight w:val="none"/>
              </w:rPr>
            </w:pPr>
          </w:p>
        </w:tc>
      </w:tr>
      <w:tr w14:paraId="303C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195DFC3">
            <w:pPr>
              <w:numPr>
                <w:ilvl w:val="0"/>
                <w:numId w:val="2"/>
              </w:numPr>
              <w:snapToGrid w:val="0"/>
              <w:jc w:val="center"/>
              <w:outlineLvl w:val="0"/>
              <w:rPr>
                <w:rFonts w:ascii="宋体" w:hAnsi="宋体" w:cs="宋体"/>
                <w:color w:val="auto"/>
                <w:sz w:val="24"/>
                <w:highlight w:val="none"/>
              </w:rPr>
            </w:pPr>
            <w:bookmarkStart w:id="450" w:name="_Toc15071"/>
            <w:bookmarkEnd w:id="450"/>
          </w:p>
        </w:tc>
        <w:tc>
          <w:tcPr>
            <w:tcW w:w="5897" w:type="dxa"/>
            <w:vAlign w:val="center"/>
          </w:tcPr>
          <w:p w14:paraId="6DB5E606">
            <w:pPr>
              <w:spacing w:line="360" w:lineRule="auto"/>
              <w:rPr>
                <w:rFonts w:ascii="宋体" w:hAnsi="宋体" w:cs="宋体"/>
                <w:color w:val="auto"/>
                <w:sz w:val="24"/>
                <w:highlight w:val="none"/>
              </w:rPr>
            </w:pPr>
            <w:r>
              <w:rPr>
                <w:rFonts w:hint="eastAsia" w:ascii="宋体" w:hAnsi="宋体" w:cs="宋体"/>
                <w:color w:val="auto"/>
                <w:sz w:val="24"/>
                <w:highlight w:val="none"/>
              </w:rPr>
              <w:t>安全、文明施工及市政、市容、环保、消防等的保证措施：</w:t>
            </w:r>
          </w:p>
          <w:p w14:paraId="76465822">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各项内容及措施完善且到位的，得5分；各项内容及措施基本完善的，得4分；各项内容及措施部分完善的，得3分；各项内容及措施不足的，得2分；各项内容及措施较多不足的，得1分；未提供的得0分。</w:t>
            </w:r>
          </w:p>
        </w:tc>
        <w:tc>
          <w:tcPr>
            <w:tcW w:w="953" w:type="dxa"/>
            <w:vAlign w:val="center"/>
          </w:tcPr>
          <w:p w14:paraId="03B00192">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5分</w:t>
            </w:r>
          </w:p>
        </w:tc>
        <w:tc>
          <w:tcPr>
            <w:tcW w:w="1824" w:type="dxa"/>
          </w:tcPr>
          <w:p w14:paraId="12390333">
            <w:pPr>
              <w:snapToGrid w:val="0"/>
              <w:rPr>
                <w:rFonts w:ascii="宋体" w:hAnsi="宋体" w:cs="宋体"/>
                <w:color w:val="auto"/>
                <w:sz w:val="24"/>
                <w:highlight w:val="none"/>
              </w:rPr>
            </w:pPr>
          </w:p>
        </w:tc>
      </w:tr>
      <w:tr w14:paraId="71DD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D3E3FB7">
            <w:pPr>
              <w:numPr>
                <w:ilvl w:val="0"/>
                <w:numId w:val="2"/>
              </w:numPr>
              <w:snapToGrid w:val="0"/>
              <w:jc w:val="center"/>
              <w:outlineLvl w:val="0"/>
              <w:rPr>
                <w:rFonts w:ascii="宋体" w:hAnsi="宋体" w:cs="宋体"/>
                <w:color w:val="auto"/>
                <w:sz w:val="24"/>
                <w:highlight w:val="none"/>
              </w:rPr>
            </w:pPr>
            <w:bookmarkStart w:id="451" w:name="_Toc32523"/>
            <w:bookmarkEnd w:id="451"/>
          </w:p>
        </w:tc>
        <w:tc>
          <w:tcPr>
            <w:tcW w:w="5897" w:type="dxa"/>
            <w:vAlign w:val="center"/>
          </w:tcPr>
          <w:p w14:paraId="781F0307">
            <w:pPr>
              <w:spacing w:line="360" w:lineRule="auto"/>
              <w:rPr>
                <w:rFonts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58C4228C">
            <w:pPr>
              <w:spacing w:line="360" w:lineRule="auto"/>
              <w:rPr>
                <w:rFonts w:ascii="宋体" w:hAnsi="宋体" w:cs="宋体"/>
                <w:color w:val="auto"/>
                <w:sz w:val="24"/>
                <w:highlight w:val="none"/>
              </w:rPr>
            </w:pPr>
            <w:r>
              <w:rPr>
                <w:rFonts w:hint="eastAsia" w:ascii="宋体" w:hAnsi="宋体" w:cs="宋体"/>
                <w:color w:val="auto"/>
                <w:sz w:val="24"/>
                <w:highlight w:val="none"/>
              </w:rPr>
              <w:t>成品保护各项内容及措施完善且到位的，得3分；成品保护各项内容及措施基本完善的，得2分；成品保护各项内容及措施部分不善的，得0.5分；未提供的得0分。</w:t>
            </w:r>
          </w:p>
        </w:tc>
        <w:tc>
          <w:tcPr>
            <w:tcW w:w="953" w:type="dxa"/>
            <w:vAlign w:val="center"/>
          </w:tcPr>
          <w:p w14:paraId="776E2A33">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5855E275">
            <w:pPr>
              <w:snapToGrid w:val="0"/>
              <w:rPr>
                <w:rFonts w:ascii="宋体" w:hAnsi="宋体" w:cs="宋体"/>
                <w:color w:val="auto"/>
                <w:sz w:val="24"/>
                <w:highlight w:val="none"/>
              </w:rPr>
            </w:pPr>
          </w:p>
        </w:tc>
      </w:tr>
      <w:tr w14:paraId="389D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B7BF0AC">
            <w:pPr>
              <w:numPr>
                <w:ilvl w:val="0"/>
                <w:numId w:val="2"/>
              </w:numPr>
              <w:snapToGrid w:val="0"/>
              <w:jc w:val="center"/>
              <w:outlineLvl w:val="0"/>
              <w:rPr>
                <w:rFonts w:ascii="宋体" w:hAnsi="宋体" w:cs="宋体"/>
                <w:color w:val="auto"/>
                <w:sz w:val="24"/>
                <w:highlight w:val="none"/>
              </w:rPr>
            </w:pPr>
            <w:bookmarkStart w:id="452" w:name="_Toc24290"/>
            <w:bookmarkEnd w:id="452"/>
          </w:p>
        </w:tc>
        <w:tc>
          <w:tcPr>
            <w:tcW w:w="5897" w:type="dxa"/>
            <w:vAlign w:val="center"/>
          </w:tcPr>
          <w:p w14:paraId="3CCCCDA0">
            <w:pPr>
              <w:spacing w:line="360" w:lineRule="auto"/>
              <w:rPr>
                <w:rFonts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17F9567C">
            <w:pPr>
              <w:spacing w:line="360" w:lineRule="auto"/>
              <w:rPr>
                <w:rFonts w:ascii="宋体" w:hAnsi="宋体" w:cs="宋体"/>
                <w:color w:val="auto"/>
                <w:sz w:val="24"/>
                <w:highlight w:val="none"/>
              </w:rPr>
            </w:pPr>
            <w:r>
              <w:rPr>
                <w:rFonts w:hint="eastAsia" w:ascii="宋体" w:hAnsi="宋体" w:cs="宋体"/>
                <w:color w:val="auto"/>
                <w:sz w:val="24"/>
                <w:highlight w:val="none"/>
              </w:rPr>
              <w:t>进度计划制定及进度控制措施针对性和可行性强的得3分；进度计划制定及进度控制措施基本保障项目的实施的得2分；进度计划制定及进度控制措施针对性和可行性差的得0.5分；未提供的得0分。</w:t>
            </w:r>
          </w:p>
        </w:tc>
        <w:tc>
          <w:tcPr>
            <w:tcW w:w="953" w:type="dxa"/>
            <w:vAlign w:val="center"/>
          </w:tcPr>
          <w:p w14:paraId="537780FA">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A9BDDEC">
            <w:pPr>
              <w:snapToGrid w:val="0"/>
              <w:rPr>
                <w:rFonts w:ascii="宋体" w:hAnsi="宋体" w:cs="宋体"/>
                <w:color w:val="auto"/>
                <w:sz w:val="24"/>
                <w:highlight w:val="none"/>
              </w:rPr>
            </w:pPr>
          </w:p>
        </w:tc>
      </w:tr>
      <w:tr w14:paraId="3975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CFE5D37">
            <w:pPr>
              <w:numPr>
                <w:ilvl w:val="0"/>
                <w:numId w:val="2"/>
              </w:numPr>
              <w:snapToGrid w:val="0"/>
              <w:jc w:val="center"/>
              <w:outlineLvl w:val="0"/>
              <w:rPr>
                <w:rFonts w:ascii="宋体" w:hAnsi="宋体" w:cs="宋体"/>
                <w:color w:val="auto"/>
                <w:sz w:val="24"/>
                <w:highlight w:val="none"/>
              </w:rPr>
            </w:pPr>
            <w:bookmarkStart w:id="453" w:name="_Toc13497"/>
            <w:bookmarkEnd w:id="453"/>
          </w:p>
        </w:tc>
        <w:tc>
          <w:tcPr>
            <w:tcW w:w="5897" w:type="dxa"/>
            <w:vAlign w:val="center"/>
          </w:tcPr>
          <w:p w14:paraId="154ACACB">
            <w:pPr>
              <w:spacing w:line="360" w:lineRule="auto"/>
              <w:rPr>
                <w:rFonts w:ascii="宋体" w:hAnsi="宋体" w:cs="宋体"/>
                <w:color w:val="auto"/>
                <w:sz w:val="24"/>
                <w:highlight w:val="none"/>
              </w:rPr>
            </w:pPr>
            <w:r>
              <w:rPr>
                <w:rFonts w:hint="eastAsia" w:ascii="宋体" w:hAnsi="宋体" w:cs="宋体"/>
                <w:color w:val="auto"/>
                <w:sz w:val="24"/>
                <w:highlight w:val="none"/>
              </w:rPr>
              <w:t>施工质量控制措施：</w:t>
            </w:r>
          </w:p>
          <w:p w14:paraId="71528FFB">
            <w:pPr>
              <w:spacing w:line="360" w:lineRule="auto"/>
              <w:rPr>
                <w:rFonts w:ascii="宋体" w:hAnsi="宋体" w:cs="宋体"/>
                <w:color w:val="auto"/>
                <w:sz w:val="24"/>
                <w:highlight w:val="none"/>
              </w:rPr>
            </w:pPr>
            <w:r>
              <w:rPr>
                <w:rFonts w:hint="eastAsia" w:ascii="宋体" w:hAnsi="宋体" w:cs="宋体"/>
                <w:color w:val="auto"/>
                <w:sz w:val="24"/>
                <w:highlight w:val="none"/>
              </w:rPr>
              <w:t>质量控制措施内容完善并到位的，得3分；质量控制措施内容基本完善的，得2分；质量控制措施内容存在缺陷的，得0.5分；未提供的得0分。</w:t>
            </w:r>
          </w:p>
        </w:tc>
        <w:tc>
          <w:tcPr>
            <w:tcW w:w="953" w:type="dxa"/>
            <w:vAlign w:val="center"/>
          </w:tcPr>
          <w:p w14:paraId="076A7FE8">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BB9942A">
            <w:pPr>
              <w:snapToGrid w:val="0"/>
              <w:rPr>
                <w:rFonts w:ascii="宋体" w:hAnsi="宋体" w:cs="宋体"/>
                <w:color w:val="auto"/>
                <w:sz w:val="24"/>
                <w:highlight w:val="none"/>
              </w:rPr>
            </w:pPr>
          </w:p>
        </w:tc>
      </w:tr>
      <w:tr w14:paraId="5E5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A59E2D0">
            <w:pPr>
              <w:numPr>
                <w:ilvl w:val="0"/>
                <w:numId w:val="2"/>
              </w:numPr>
              <w:snapToGrid w:val="0"/>
              <w:jc w:val="center"/>
              <w:outlineLvl w:val="0"/>
              <w:rPr>
                <w:rFonts w:ascii="宋体" w:hAnsi="宋体" w:cs="宋体"/>
                <w:color w:val="auto"/>
                <w:sz w:val="24"/>
                <w:highlight w:val="none"/>
              </w:rPr>
            </w:pPr>
            <w:bookmarkStart w:id="454" w:name="_Toc9166"/>
            <w:bookmarkEnd w:id="454"/>
          </w:p>
        </w:tc>
        <w:tc>
          <w:tcPr>
            <w:tcW w:w="5897" w:type="dxa"/>
            <w:vAlign w:val="center"/>
          </w:tcPr>
          <w:p w14:paraId="655F3F8B">
            <w:pPr>
              <w:spacing w:line="360" w:lineRule="auto"/>
              <w:rPr>
                <w:rFonts w:ascii="宋体" w:hAnsi="宋体" w:cs="宋体"/>
                <w:color w:val="auto"/>
                <w:sz w:val="24"/>
                <w:highlight w:val="none"/>
              </w:rPr>
            </w:pPr>
            <w:r>
              <w:rPr>
                <w:rFonts w:hint="eastAsia" w:ascii="宋体" w:hAnsi="宋体" w:cs="宋体"/>
                <w:color w:val="auto"/>
                <w:sz w:val="24"/>
                <w:highlight w:val="none"/>
              </w:rPr>
              <w:t>施工机具和检验仪器的投入满足项目实施需求的，得3分；不满足的不得分。</w:t>
            </w:r>
          </w:p>
        </w:tc>
        <w:tc>
          <w:tcPr>
            <w:tcW w:w="953" w:type="dxa"/>
            <w:vAlign w:val="center"/>
          </w:tcPr>
          <w:p w14:paraId="1215AC9D">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648BB2D6">
            <w:pPr>
              <w:snapToGrid w:val="0"/>
              <w:rPr>
                <w:rFonts w:ascii="宋体" w:hAnsi="宋体" w:cs="宋体"/>
                <w:color w:val="auto"/>
                <w:sz w:val="24"/>
                <w:highlight w:val="none"/>
              </w:rPr>
            </w:pPr>
          </w:p>
        </w:tc>
      </w:tr>
      <w:tr w14:paraId="1538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C884C17">
            <w:pPr>
              <w:numPr>
                <w:ilvl w:val="0"/>
                <w:numId w:val="2"/>
              </w:numPr>
              <w:snapToGrid w:val="0"/>
              <w:jc w:val="center"/>
              <w:outlineLvl w:val="0"/>
              <w:rPr>
                <w:rFonts w:ascii="宋体" w:hAnsi="宋体" w:cs="宋体"/>
                <w:color w:val="auto"/>
                <w:sz w:val="24"/>
                <w:highlight w:val="none"/>
              </w:rPr>
            </w:pPr>
            <w:bookmarkStart w:id="455" w:name="_Toc21169"/>
            <w:bookmarkEnd w:id="455"/>
          </w:p>
        </w:tc>
        <w:tc>
          <w:tcPr>
            <w:tcW w:w="5897" w:type="dxa"/>
            <w:vAlign w:val="center"/>
          </w:tcPr>
          <w:p w14:paraId="63DBCA39">
            <w:pPr>
              <w:spacing w:line="360" w:lineRule="auto"/>
              <w:rPr>
                <w:rFonts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01E9CB92">
            <w:pPr>
              <w:spacing w:line="360" w:lineRule="auto"/>
              <w:rPr>
                <w:rFonts w:ascii="宋体" w:hAnsi="宋体" w:cs="宋体"/>
                <w:color w:val="auto"/>
                <w:sz w:val="24"/>
                <w:highlight w:val="none"/>
              </w:rPr>
            </w:pPr>
            <w:r>
              <w:rPr>
                <w:rFonts w:hint="eastAsia" w:ascii="宋体" w:hAnsi="宋体" w:cs="宋体"/>
                <w:color w:val="auto"/>
                <w:sz w:val="24"/>
                <w:highlight w:val="none"/>
              </w:rPr>
              <w:t>材料规格详细、供应计划及质量保证措施全面合理的得3分；材料规格详细、供应计划及质量保证措施基本满足项目需求的得2分；材料规格不详细、供应计划及质量保证措施部分满足项目需求的，得0.5分；未提供的得0分。</w:t>
            </w:r>
          </w:p>
        </w:tc>
        <w:tc>
          <w:tcPr>
            <w:tcW w:w="953" w:type="dxa"/>
            <w:vAlign w:val="center"/>
          </w:tcPr>
          <w:p w14:paraId="013351D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8D88379">
            <w:pPr>
              <w:snapToGrid w:val="0"/>
              <w:rPr>
                <w:rFonts w:ascii="宋体" w:hAnsi="宋体" w:cs="宋体"/>
                <w:color w:val="auto"/>
                <w:sz w:val="24"/>
                <w:highlight w:val="none"/>
              </w:rPr>
            </w:pPr>
          </w:p>
        </w:tc>
      </w:tr>
      <w:tr w14:paraId="672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61C5782">
            <w:pPr>
              <w:numPr>
                <w:ilvl w:val="0"/>
                <w:numId w:val="2"/>
              </w:numPr>
              <w:snapToGrid w:val="0"/>
              <w:jc w:val="center"/>
              <w:outlineLvl w:val="0"/>
              <w:rPr>
                <w:rFonts w:ascii="宋体" w:hAnsi="宋体" w:cs="宋体"/>
                <w:color w:val="auto"/>
                <w:sz w:val="24"/>
                <w:highlight w:val="none"/>
              </w:rPr>
            </w:pPr>
            <w:bookmarkStart w:id="456" w:name="_Toc10199"/>
            <w:bookmarkEnd w:id="456"/>
          </w:p>
        </w:tc>
        <w:tc>
          <w:tcPr>
            <w:tcW w:w="5897" w:type="dxa"/>
            <w:vAlign w:val="center"/>
          </w:tcPr>
          <w:p w14:paraId="7855E709">
            <w:pPr>
              <w:spacing w:line="360" w:lineRule="auto"/>
              <w:rPr>
                <w:rFonts w:ascii="宋体" w:hAnsi="宋体" w:cs="宋体"/>
                <w:color w:val="auto"/>
                <w:sz w:val="24"/>
                <w:highlight w:val="none"/>
              </w:rPr>
            </w:pPr>
            <w:r>
              <w:rPr>
                <w:rFonts w:hint="eastAsia" w:ascii="宋体" w:hAnsi="宋体" w:cs="宋体"/>
                <w:color w:val="auto"/>
                <w:sz w:val="24"/>
                <w:highlight w:val="none"/>
              </w:rPr>
              <w:t>缺陷责任期内具备完善的售后技术支持和服务体系，能够提供服务标准、服务流程、服务内容：服务体系及内容完善满足采购需求的，得3分；服务体系及内容基本满足采购需求的，得2分；服务体系及内容仅部分满足采购需求的，得0.5分；未提供的得0分。</w:t>
            </w:r>
          </w:p>
        </w:tc>
        <w:tc>
          <w:tcPr>
            <w:tcW w:w="953" w:type="dxa"/>
            <w:vAlign w:val="center"/>
          </w:tcPr>
          <w:p w14:paraId="128D2D79">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4D162F55">
            <w:pPr>
              <w:snapToGrid w:val="0"/>
              <w:rPr>
                <w:rFonts w:ascii="宋体" w:hAnsi="宋体" w:cs="宋体"/>
                <w:color w:val="auto"/>
                <w:sz w:val="24"/>
                <w:highlight w:val="none"/>
              </w:rPr>
            </w:pPr>
          </w:p>
        </w:tc>
      </w:tr>
      <w:tr w14:paraId="0852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7A4EBB7">
            <w:pPr>
              <w:numPr>
                <w:ilvl w:val="0"/>
                <w:numId w:val="2"/>
              </w:numPr>
              <w:snapToGrid w:val="0"/>
              <w:jc w:val="center"/>
              <w:outlineLvl w:val="0"/>
              <w:rPr>
                <w:rFonts w:ascii="宋体" w:hAnsi="宋体" w:cs="宋体"/>
                <w:color w:val="auto"/>
                <w:sz w:val="24"/>
                <w:highlight w:val="none"/>
              </w:rPr>
            </w:pPr>
            <w:bookmarkStart w:id="457" w:name="_Toc16484"/>
            <w:bookmarkEnd w:id="457"/>
          </w:p>
        </w:tc>
        <w:tc>
          <w:tcPr>
            <w:tcW w:w="5897" w:type="dxa"/>
            <w:vAlign w:val="center"/>
          </w:tcPr>
          <w:p w14:paraId="4CF39E33">
            <w:pPr>
              <w:spacing w:line="360" w:lineRule="auto"/>
              <w:rPr>
                <w:rFonts w:ascii="宋体" w:hAnsi="宋体" w:cs="宋体"/>
                <w:color w:val="auto"/>
                <w:sz w:val="24"/>
                <w:highlight w:val="none"/>
              </w:rPr>
            </w:pPr>
            <w:r>
              <w:rPr>
                <w:rFonts w:hint="eastAsia" w:ascii="宋体" w:hAnsi="宋体" w:cs="宋体"/>
                <w:color w:val="auto"/>
                <w:sz w:val="24"/>
                <w:highlight w:val="none"/>
              </w:rPr>
              <w:t>应急预案完整性，承诺紧急的响应时间情况：</w:t>
            </w:r>
          </w:p>
          <w:p w14:paraId="3908F8BF">
            <w:pPr>
              <w:pStyle w:val="969"/>
              <w:ind w:firstLine="0" w:firstLineChars="0"/>
              <w:rPr>
                <w:rFonts w:ascii="宋体" w:hAnsi="宋体" w:eastAsia="宋体" w:cs="宋体"/>
                <w:color w:val="auto"/>
                <w:highlight w:val="none"/>
              </w:rPr>
            </w:pPr>
            <w:r>
              <w:rPr>
                <w:rFonts w:hint="eastAsia" w:ascii="宋体" w:hAnsi="宋体" w:eastAsia="宋体" w:cs="宋体"/>
                <w:color w:val="auto"/>
                <w:highlight w:val="none"/>
              </w:rPr>
              <w:t>内容完善并到位的，得3分；内容基本完善的，得2分；内容存在缺陷的，得0.5分；未提供的得0分。</w:t>
            </w:r>
          </w:p>
        </w:tc>
        <w:tc>
          <w:tcPr>
            <w:tcW w:w="953" w:type="dxa"/>
            <w:vAlign w:val="center"/>
          </w:tcPr>
          <w:p w14:paraId="283B98A5">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15BC2F1">
            <w:pPr>
              <w:snapToGrid w:val="0"/>
              <w:rPr>
                <w:rFonts w:ascii="宋体" w:hAnsi="宋体" w:cs="宋体"/>
                <w:color w:val="auto"/>
                <w:sz w:val="24"/>
                <w:highlight w:val="none"/>
              </w:rPr>
            </w:pPr>
          </w:p>
        </w:tc>
      </w:tr>
      <w:tr w14:paraId="226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A1D65CE">
            <w:pPr>
              <w:numPr>
                <w:ilvl w:val="0"/>
                <w:numId w:val="2"/>
              </w:numPr>
              <w:snapToGrid w:val="0"/>
              <w:jc w:val="center"/>
              <w:outlineLvl w:val="0"/>
              <w:rPr>
                <w:rFonts w:ascii="宋体" w:hAnsi="宋体" w:cs="宋体"/>
                <w:color w:val="auto"/>
                <w:sz w:val="24"/>
                <w:highlight w:val="none"/>
              </w:rPr>
            </w:pPr>
            <w:bookmarkStart w:id="458" w:name="_Toc13938"/>
            <w:bookmarkEnd w:id="458"/>
          </w:p>
        </w:tc>
        <w:tc>
          <w:tcPr>
            <w:tcW w:w="5897" w:type="dxa"/>
          </w:tcPr>
          <w:p w14:paraId="34D77E95">
            <w:pPr>
              <w:spacing w:line="360" w:lineRule="auto"/>
              <w:rPr>
                <w:rFonts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4A1FDF70">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43CBA63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因落实政府采购政策需要进行价格调整的，以调整后的价格计算评审基准价和报价。</w:t>
            </w:r>
          </w:p>
        </w:tc>
        <w:tc>
          <w:tcPr>
            <w:tcW w:w="953" w:type="dxa"/>
            <w:vAlign w:val="center"/>
          </w:tcPr>
          <w:p w14:paraId="76B3DC8C">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30分</w:t>
            </w:r>
          </w:p>
        </w:tc>
        <w:tc>
          <w:tcPr>
            <w:tcW w:w="1824" w:type="dxa"/>
          </w:tcPr>
          <w:p w14:paraId="6D20E7E2">
            <w:pPr>
              <w:snapToGrid w:val="0"/>
              <w:rPr>
                <w:rFonts w:ascii="宋体" w:hAnsi="宋体" w:cs="宋体"/>
                <w:color w:val="auto"/>
                <w:sz w:val="24"/>
                <w:highlight w:val="none"/>
              </w:rPr>
            </w:pPr>
          </w:p>
        </w:tc>
      </w:tr>
    </w:tbl>
    <w:p w14:paraId="413D150D">
      <w:pPr>
        <w:pStyle w:val="27"/>
        <w:rPr>
          <w:color w:val="auto"/>
          <w:highlight w:val="none"/>
        </w:rPr>
      </w:pPr>
    </w:p>
    <w:p w14:paraId="5F5D64C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1CF0AE1E">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8547DBA">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C6837B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052D431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4738F4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504BE93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B3F923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20D925A5">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4585E05E">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BFD3D2E">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7D20EF0A">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37F50F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51D0C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BC3FD7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DEE86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A87EB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B5CAD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0D70E8A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F9ABA78">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2DF058F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89217F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7ADE122">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04A281A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69540B1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83AC9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25D74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6428C5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20F3A41">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D3A96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B9DFA2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1693852A">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468568E">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1CD45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AE497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E962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23E99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269D9E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07D7DF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FAC33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C4D39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99A92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0A01D6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038509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1BDD8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0B2634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53AF9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27850C4">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CBF32A4">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E06835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AE95834">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4E99431">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FE6D25A">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2520832A">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B54AC23">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A5C984D">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D4B96DE">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7E794C6">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0290A49">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57"/>
    <w:p w14:paraId="6D251947">
      <w:pPr>
        <w:pStyle w:val="5"/>
        <w:snapToGrid w:val="0"/>
        <w:spacing w:before="0" w:after="0" w:line="360" w:lineRule="auto"/>
        <w:ind w:left="0" w:firstLine="0"/>
        <w:jc w:val="center"/>
        <w:rPr>
          <w:color w:val="auto"/>
          <w:highlight w:val="none"/>
        </w:rPr>
      </w:pPr>
      <w:bookmarkStart w:id="459" w:name="_Toc12059"/>
      <w:bookmarkStart w:id="460" w:name="第五部分"/>
      <w:bookmarkStart w:id="461" w:name="_Toc86217003"/>
      <w:r>
        <w:rPr>
          <w:rFonts w:hint="eastAsia"/>
          <w:color w:val="auto"/>
          <w:highlight w:val="none"/>
        </w:rPr>
        <w:t>第五部分 拟签订的合同文本</w:t>
      </w:r>
      <w:bookmarkEnd w:id="459"/>
    </w:p>
    <w:p w14:paraId="4347AD28">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2FCAB4D1">
      <w:pPr>
        <w:pStyle w:val="6"/>
        <w:spacing w:before="312" w:beforeLines="100" w:after="312" w:afterLines="100" w:line="336" w:lineRule="auto"/>
        <w:jc w:val="center"/>
        <w:rPr>
          <w:rFonts w:eastAsia="华文中宋"/>
          <w:b w:val="0"/>
          <w:color w:val="auto"/>
          <w:sz w:val="24"/>
          <w:szCs w:val="24"/>
          <w:highlight w:val="none"/>
        </w:rPr>
      </w:pPr>
      <w:r>
        <w:rPr>
          <w:rFonts w:hint="eastAsia" w:ascii="宋体" w:hAnsi="宋体" w:cs="宋体"/>
          <w:snapToGrid w:val="0"/>
          <w:color w:val="auto"/>
          <w:kern w:val="44"/>
          <w:sz w:val="24"/>
          <w:szCs w:val="20"/>
          <w:highlight w:val="none"/>
        </w:rPr>
        <w:br w:type="page"/>
      </w:r>
      <w:r>
        <w:rPr>
          <w:rFonts w:hAnsi="宋体"/>
          <w:color w:val="auto"/>
          <w:sz w:val="24"/>
          <w:szCs w:val="24"/>
          <w:highlight w:val="none"/>
        </w:rPr>
        <w:t>第一部分 合同协议书</w:t>
      </w:r>
    </w:p>
    <w:p w14:paraId="0E87953D">
      <w:pPr>
        <w:adjustRightInd/>
        <w:spacing w:line="336" w:lineRule="auto"/>
        <w:rPr>
          <w:rFonts w:eastAsia="仿宋_GB2312"/>
          <w:b/>
          <w:color w:val="auto"/>
          <w:sz w:val="24"/>
          <w:highlight w:val="none"/>
          <w:u w:val="single"/>
        </w:rPr>
      </w:pPr>
      <w:r>
        <w:rPr>
          <w:rFonts w:eastAsia="仿宋_GB2312"/>
          <w:b/>
          <w:color w:val="auto"/>
          <w:sz w:val="24"/>
          <w:highlight w:val="none"/>
        </w:rPr>
        <w:t>发包人（全称）：</w:t>
      </w:r>
      <w:r>
        <w:rPr>
          <w:rFonts w:hint="eastAsia" w:eastAsia="仿宋_GB2312"/>
          <w:b/>
          <w:color w:val="auto"/>
          <w:sz w:val="24"/>
          <w:highlight w:val="none"/>
          <w:u w:val="single"/>
        </w:rPr>
        <w:t xml:space="preserve"> 杭州市源清中学                                 </w:t>
      </w:r>
    </w:p>
    <w:p w14:paraId="0274FA70">
      <w:pPr>
        <w:adjustRightInd/>
        <w:spacing w:line="336" w:lineRule="auto"/>
        <w:rPr>
          <w:rFonts w:eastAsia="仿宋_GB2312"/>
          <w:b/>
          <w:color w:val="auto"/>
          <w:sz w:val="24"/>
          <w:highlight w:val="none"/>
          <w:u w:val="single"/>
        </w:rPr>
      </w:pPr>
      <w:r>
        <w:rPr>
          <w:rFonts w:eastAsia="仿宋_GB2312"/>
          <w:b/>
          <w:color w:val="auto"/>
          <w:sz w:val="24"/>
          <w:highlight w:val="none"/>
        </w:rPr>
        <w:t>承包人（全称）：</w:t>
      </w:r>
      <w:r>
        <w:rPr>
          <w:rFonts w:eastAsia="仿宋_GB2312"/>
          <w:b/>
          <w:color w:val="auto"/>
          <w:sz w:val="24"/>
          <w:highlight w:val="none"/>
          <w:u w:val="single"/>
        </w:rPr>
        <w:t>     </w:t>
      </w:r>
    </w:p>
    <w:p w14:paraId="5CB853C8">
      <w:pPr>
        <w:adjustRightInd/>
        <w:spacing w:line="336" w:lineRule="auto"/>
        <w:ind w:firstLine="480" w:firstLineChars="200"/>
        <w:rPr>
          <w:rFonts w:eastAsia="仿宋_GB2312"/>
          <w:color w:val="auto"/>
          <w:sz w:val="24"/>
          <w:highlight w:val="none"/>
        </w:rPr>
      </w:pPr>
      <w:r>
        <w:rPr>
          <w:rFonts w:eastAsia="仿宋_GB2312"/>
          <w:color w:val="auto"/>
          <w:sz w:val="24"/>
          <w:highlight w:val="none"/>
        </w:rPr>
        <w:t>根据</w:t>
      </w:r>
      <w:r>
        <w:rPr>
          <w:rFonts w:hint="eastAsia" w:eastAsia="仿宋_GB2312"/>
          <w:color w:val="auto"/>
          <w:sz w:val="24"/>
          <w:highlight w:val="none"/>
        </w:rPr>
        <w:t>《中华人民共和国民法典》</w:t>
      </w:r>
      <w:r>
        <w:rPr>
          <w:rFonts w:eastAsia="仿宋_GB2312"/>
          <w:color w:val="auto"/>
          <w:sz w:val="24"/>
          <w:highlight w:val="none"/>
        </w:rPr>
        <w:t>、《中华人民共和国建筑法》及有关法律规定，遵循平等、自愿、公平和诚实信用的原则，双方就工程施工及有关事项协商一致</w:t>
      </w:r>
      <w:r>
        <w:rPr>
          <w:rFonts w:hint="eastAsia" w:eastAsia="仿宋_GB2312"/>
          <w:color w:val="auto"/>
          <w:sz w:val="24"/>
          <w:highlight w:val="none"/>
        </w:rPr>
        <w:t>，</w:t>
      </w:r>
      <w:r>
        <w:rPr>
          <w:rFonts w:eastAsia="仿宋_GB2312"/>
          <w:color w:val="auto"/>
          <w:sz w:val="24"/>
          <w:highlight w:val="none"/>
        </w:rPr>
        <w:t>共同达成如下协议：</w:t>
      </w:r>
    </w:p>
    <w:p w14:paraId="2673093C">
      <w:pPr>
        <w:pStyle w:val="8"/>
        <w:spacing w:before="0" w:after="0" w:line="336" w:lineRule="auto"/>
        <w:rPr>
          <w:rFonts w:ascii="Times New Roman" w:hAnsi="Times New Roman"/>
          <w:bCs w:val="0"/>
          <w:color w:val="auto"/>
          <w:sz w:val="24"/>
          <w:szCs w:val="24"/>
          <w:highlight w:val="none"/>
        </w:rPr>
      </w:pPr>
      <w:bookmarkStart w:id="462" w:name="_Toc351203481"/>
      <w:r>
        <w:rPr>
          <w:rFonts w:ascii="Times New Roman" w:hAnsi="Times New Roman"/>
          <w:b w:val="0"/>
          <w:color w:val="auto"/>
          <w:sz w:val="24"/>
          <w:szCs w:val="24"/>
          <w:highlight w:val="none"/>
        </w:rPr>
        <w:t>一、工程概况</w:t>
      </w:r>
      <w:bookmarkEnd w:id="462"/>
    </w:p>
    <w:p w14:paraId="26360AA8">
      <w:pPr>
        <w:adjustRightInd/>
        <w:spacing w:line="336" w:lineRule="auto"/>
        <w:ind w:firstLine="470" w:firstLineChars="196"/>
        <w:rPr>
          <w:rFonts w:eastAsia="仿宋_GB2312"/>
          <w:color w:val="auto"/>
          <w:sz w:val="24"/>
          <w:highlight w:val="none"/>
          <w:u w:val="single"/>
        </w:rPr>
      </w:pPr>
      <w:r>
        <w:rPr>
          <w:rFonts w:eastAsia="仿宋_GB2312"/>
          <w:bCs/>
          <w:color w:val="auto"/>
          <w:sz w:val="24"/>
          <w:highlight w:val="none"/>
        </w:rPr>
        <w:t>1.工程名称</w:t>
      </w:r>
      <w:r>
        <w:rPr>
          <w:rFonts w:eastAsia="仿宋_GB2312"/>
          <w:color w:val="auto"/>
          <w:sz w:val="24"/>
          <w:highlight w:val="none"/>
        </w:rPr>
        <w:t>：。</w:t>
      </w:r>
    </w:p>
    <w:p w14:paraId="024389EE">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2.工程地点：</w:t>
      </w:r>
      <w:r>
        <w:rPr>
          <w:rFonts w:eastAsia="仿宋_GB2312"/>
          <w:color w:val="auto"/>
          <w:sz w:val="24"/>
          <w:highlight w:val="none"/>
        </w:rPr>
        <w:t>。</w:t>
      </w:r>
    </w:p>
    <w:p w14:paraId="740F1A18">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3.工程立项批准文号：。</w:t>
      </w:r>
    </w:p>
    <w:p w14:paraId="0268F220">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4.资金来源：。</w:t>
      </w:r>
    </w:p>
    <w:p w14:paraId="0F1D734B">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5.工程内容：</w:t>
      </w:r>
      <w:bookmarkStart w:id="463" w:name="SOA_hhxys_gcnr"/>
      <w:r>
        <w:rPr>
          <w:rFonts w:eastAsia="仿宋_GB2312"/>
          <w:bCs/>
          <w:color w:val="auto"/>
          <w:sz w:val="24"/>
          <w:highlight w:val="none"/>
          <w:u w:val="single"/>
        </w:rPr>
        <w:t>具体以提供的施工图、工程量清单及其编制说明、招标文件中明确的内容为准</w:t>
      </w:r>
      <w:bookmarkEnd w:id="463"/>
      <w:r>
        <w:rPr>
          <w:rFonts w:eastAsia="仿宋_GB2312"/>
          <w:bCs/>
          <w:color w:val="auto"/>
          <w:sz w:val="24"/>
          <w:highlight w:val="none"/>
        </w:rPr>
        <w:t>。</w:t>
      </w:r>
    </w:p>
    <w:p w14:paraId="77DCCA87">
      <w:pPr>
        <w:adjustRightInd/>
        <w:spacing w:line="336" w:lineRule="auto"/>
        <w:ind w:firstLine="470" w:firstLineChars="196"/>
        <w:rPr>
          <w:rFonts w:eastAsia="仿宋_GB2312"/>
          <w:bCs/>
          <w:color w:val="auto"/>
          <w:sz w:val="24"/>
          <w:highlight w:val="none"/>
        </w:rPr>
      </w:pPr>
      <w:r>
        <w:rPr>
          <w:rFonts w:hint="eastAsia" w:eastAsia="仿宋_GB2312"/>
          <w:color w:val="auto"/>
          <w:sz w:val="24"/>
          <w:highlight w:val="none"/>
        </w:rPr>
        <w:t>群体工程应附《</w:t>
      </w:r>
      <w:r>
        <w:rPr>
          <w:rFonts w:eastAsia="仿宋_GB2312"/>
          <w:color w:val="auto"/>
          <w:sz w:val="24"/>
          <w:highlight w:val="none"/>
        </w:rPr>
        <w:t>承包人承揽工程项目一览表</w:t>
      </w:r>
      <w:r>
        <w:rPr>
          <w:rFonts w:hint="eastAsia" w:eastAsia="仿宋_GB2312"/>
          <w:color w:val="auto"/>
          <w:sz w:val="24"/>
          <w:highlight w:val="none"/>
        </w:rPr>
        <w:t>》（附件1）。</w:t>
      </w:r>
    </w:p>
    <w:p w14:paraId="6C529C6B">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6</w:t>
      </w:r>
      <w:r>
        <w:rPr>
          <w:rFonts w:eastAsia="仿宋_GB2312"/>
          <w:bCs/>
          <w:color w:val="auto"/>
          <w:sz w:val="24"/>
          <w:highlight w:val="none"/>
        </w:rPr>
        <w:t>.工程承包范围：</w:t>
      </w:r>
    </w:p>
    <w:p w14:paraId="3847ACFB">
      <w:pPr>
        <w:adjustRightInd/>
        <w:spacing w:line="336" w:lineRule="auto"/>
        <w:ind w:firstLine="463" w:firstLineChars="193"/>
        <w:rPr>
          <w:rFonts w:eastAsia="仿宋_GB2312"/>
          <w:color w:val="auto"/>
          <w:sz w:val="24"/>
          <w:highlight w:val="none"/>
        </w:rPr>
      </w:pPr>
      <w:r>
        <w:rPr>
          <w:rFonts w:hint="eastAsia" w:eastAsia="仿宋_GB2312"/>
          <w:color w:val="auto"/>
          <w:sz w:val="24"/>
          <w:highlight w:val="none"/>
          <w:u w:val="single"/>
        </w:rPr>
        <w:t>施工图范围内所有工程以及因需要变更增减的该项目的工程内容，具体以提供的施工图、工程量清单及其编制说明、招标文件、联系单中明确的内容为准。</w:t>
      </w:r>
    </w:p>
    <w:p w14:paraId="30C3F99E">
      <w:pPr>
        <w:pStyle w:val="8"/>
        <w:spacing w:before="0" w:after="0" w:line="336" w:lineRule="auto"/>
        <w:rPr>
          <w:rFonts w:ascii="Times New Roman" w:hAnsi="Times New Roman"/>
          <w:b w:val="0"/>
          <w:color w:val="auto"/>
          <w:sz w:val="24"/>
          <w:szCs w:val="24"/>
          <w:highlight w:val="none"/>
        </w:rPr>
      </w:pPr>
      <w:bookmarkStart w:id="464" w:name="_Toc351203482"/>
      <w:r>
        <w:rPr>
          <w:rFonts w:ascii="Times New Roman" w:hAnsi="Times New Roman"/>
          <w:b w:val="0"/>
          <w:color w:val="auto"/>
          <w:sz w:val="24"/>
          <w:szCs w:val="24"/>
          <w:highlight w:val="none"/>
        </w:rPr>
        <w:t>二、合同工期</w:t>
      </w:r>
      <w:bookmarkEnd w:id="464"/>
    </w:p>
    <w:p w14:paraId="694BF378">
      <w:pPr>
        <w:adjustRightInd/>
        <w:spacing w:line="336" w:lineRule="auto"/>
        <w:ind w:firstLine="459"/>
        <w:rPr>
          <w:rFonts w:eastAsia="仿宋_GB2312"/>
          <w:color w:val="auto"/>
          <w:sz w:val="24"/>
          <w:highlight w:val="none"/>
        </w:rPr>
      </w:pPr>
      <w:r>
        <w:rPr>
          <w:rFonts w:eastAsia="仿宋_GB2312"/>
          <w:color w:val="auto"/>
          <w:sz w:val="24"/>
          <w:highlight w:val="none"/>
        </w:rPr>
        <w:t>计划开工日期：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21C830F7">
      <w:pPr>
        <w:adjustRightInd/>
        <w:spacing w:line="336" w:lineRule="auto"/>
        <w:ind w:firstLine="459"/>
        <w:rPr>
          <w:rFonts w:eastAsia="仿宋_GB2312"/>
          <w:color w:val="auto"/>
          <w:sz w:val="24"/>
          <w:highlight w:val="none"/>
        </w:rPr>
      </w:pPr>
      <w:r>
        <w:rPr>
          <w:rFonts w:eastAsia="仿宋_GB2312"/>
          <w:color w:val="auto"/>
          <w:sz w:val="24"/>
          <w:highlight w:val="none"/>
        </w:rPr>
        <w:t>计划竣工日期：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180B3C90">
      <w:pPr>
        <w:adjustRightInd/>
        <w:spacing w:line="336" w:lineRule="auto"/>
        <w:ind w:firstLine="459"/>
        <w:rPr>
          <w:rFonts w:eastAsia="仿宋_GB2312"/>
          <w:color w:val="auto"/>
          <w:sz w:val="24"/>
          <w:highlight w:val="none"/>
        </w:rPr>
      </w:pPr>
      <w:r>
        <w:rPr>
          <w:rFonts w:eastAsia="仿宋_GB2312"/>
          <w:color w:val="auto"/>
          <w:sz w:val="24"/>
          <w:highlight w:val="none"/>
        </w:rPr>
        <w:t>工期总日历天数：天。工期总日历天数与根据前述计划开竣工日期计算的工期天数不一致的，以工期总日历天数为准。</w:t>
      </w:r>
    </w:p>
    <w:p w14:paraId="021F2912">
      <w:pPr>
        <w:pStyle w:val="8"/>
        <w:spacing w:before="0" w:after="0" w:line="336" w:lineRule="auto"/>
        <w:rPr>
          <w:rFonts w:ascii="Times New Roman" w:hAnsi="Times New Roman"/>
          <w:bCs w:val="0"/>
          <w:color w:val="auto"/>
          <w:sz w:val="24"/>
          <w:szCs w:val="24"/>
          <w:highlight w:val="none"/>
        </w:rPr>
      </w:pPr>
      <w:bookmarkStart w:id="465" w:name="_Toc351203483"/>
      <w:r>
        <w:rPr>
          <w:rFonts w:ascii="Times New Roman" w:hAnsi="Times New Roman"/>
          <w:b w:val="0"/>
          <w:color w:val="auto"/>
          <w:sz w:val="24"/>
          <w:szCs w:val="24"/>
          <w:highlight w:val="none"/>
        </w:rPr>
        <w:t>三、质量标准</w:t>
      </w:r>
      <w:bookmarkEnd w:id="465"/>
    </w:p>
    <w:p w14:paraId="00775955">
      <w:pPr>
        <w:adjustRightInd/>
        <w:spacing w:line="336" w:lineRule="auto"/>
        <w:ind w:firstLine="459"/>
        <w:rPr>
          <w:rFonts w:eastAsia="仿宋_GB2312"/>
          <w:color w:val="auto"/>
          <w:sz w:val="24"/>
          <w:highlight w:val="none"/>
        </w:rPr>
      </w:pPr>
      <w:r>
        <w:rPr>
          <w:rFonts w:eastAsia="仿宋_GB2312"/>
          <w:color w:val="auto"/>
          <w:sz w:val="24"/>
          <w:highlight w:val="none"/>
        </w:rPr>
        <w:t>工程质量符合</w:t>
      </w:r>
      <w:r>
        <w:rPr>
          <w:rFonts w:eastAsia="仿宋_GB2312"/>
          <w:color w:val="auto"/>
          <w:sz w:val="24"/>
          <w:highlight w:val="none"/>
          <w:u w:val="single"/>
        </w:rPr>
        <w:t></w:t>
      </w:r>
      <w:r>
        <w:rPr>
          <w:rFonts w:hint="eastAsia" w:eastAsia="仿宋_GB2312"/>
          <w:color w:val="auto"/>
          <w:sz w:val="24"/>
          <w:highlight w:val="none"/>
          <w:u w:val="single"/>
        </w:rPr>
        <w:t>工程施工质量验收合格</w:t>
      </w:r>
      <w:r>
        <w:rPr>
          <w:rFonts w:eastAsia="仿宋_GB2312"/>
          <w:color w:val="auto"/>
          <w:sz w:val="24"/>
          <w:highlight w:val="none"/>
          <w:u w:val="single"/>
        </w:rPr>
        <w:t></w:t>
      </w:r>
      <w:r>
        <w:rPr>
          <w:rFonts w:eastAsia="仿宋_GB2312"/>
          <w:color w:val="auto"/>
          <w:sz w:val="24"/>
          <w:highlight w:val="none"/>
        </w:rPr>
        <w:t>标准。</w:t>
      </w:r>
    </w:p>
    <w:p w14:paraId="7DAAB16C">
      <w:pPr>
        <w:pStyle w:val="8"/>
        <w:spacing w:before="0" w:after="0" w:line="336" w:lineRule="auto"/>
        <w:rPr>
          <w:rFonts w:ascii="Times New Roman" w:hAnsi="Times New Roman"/>
          <w:bCs w:val="0"/>
          <w:color w:val="auto"/>
          <w:sz w:val="24"/>
          <w:szCs w:val="24"/>
          <w:highlight w:val="none"/>
        </w:rPr>
      </w:pPr>
      <w:bookmarkStart w:id="466" w:name="_Toc351203484"/>
      <w:r>
        <w:rPr>
          <w:rFonts w:ascii="Times New Roman" w:hAnsi="Times New Roman"/>
          <w:b w:val="0"/>
          <w:color w:val="auto"/>
          <w:sz w:val="24"/>
          <w:szCs w:val="24"/>
          <w:highlight w:val="none"/>
        </w:rPr>
        <w:t>四、签约合同价与合同价格形式</w:t>
      </w:r>
      <w:bookmarkEnd w:id="466"/>
      <w:r>
        <w:rPr>
          <w:rFonts w:ascii="Times New Roman" w:hAnsi="Times New Roman"/>
          <w:b w:val="0"/>
          <w:color w:val="auto"/>
          <w:sz w:val="24"/>
          <w:szCs w:val="24"/>
          <w:highlight w:val="none"/>
        </w:rPr>
        <w:tab/>
      </w:r>
    </w:p>
    <w:p w14:paraId="18657F22">
      <w:pPr>
        <w:adjustRightInd/>
        <w:spacing w:line="336" w:lineRule="auto"/>
        <w:ind w:firstLine="480" w:firstLineChars="200"/>
        <w:rPr>
          <w:rFonts w:eastAsia="仿宋_GB2312"/>
          <w:color w:val="auto"/>
          <w:sz w:val="24"/>
          <w:highlight w:val="none"/>
        </w:rPr>
      </w:pPr>
      <w:r>
        <w:rPr>
          <w:rFonts w:eastAsia="仿宋_GB2312"/>
          <w:color w:val="auto"/>
          <w:sz w:val="24"/>
          <w:highlight w:val="none"/>
        </w:rPr>
        <w:t>1.签约合同价为：</w:t>
      </w:r>
    </w:p>
    <w:p w14:paraId="08CAE83D">
      <w:pPr>
        <w:adjustRightInd/>
        <w:spacing w:line="336" w:lineRule="auto"/>
        <w:ind w:firstLine="600" w:firstLineChars="2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r>
        <w:rPr>
          <w:rFonts w:hint="eastAsia"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元)；</w:t>
      </w:r>
    </w:p>
    <w:p w14:paraId="6B3C1811">
      <w:pPr>
        <w:adjustRightInd/>
        <w:spacing w:line="336" w:lineRule="auto"/>
        <w:ind w:firstLine="480" w:firstLineChars="200"/>
        <w:rPr>
          <w:rFonts w:eastAsia="仿宋_GB2312"/>
          <w:color w:val="auto"/>
          <w:sz w:val="24"/>
          <w:highlight w:val="none"/>
        </w:rPr>
      </w:pPr>
      <w:bookmarkStart w:id="467" w:name="_Toc351203485"/>
      <w:r>
        <w:rPr>
          <w:rFonts w:eastAsia="仿宋_GB2312"/>
          <w:color w:val="auto"/>
          <w:sz w:val="24"/>
          <w:highlight w:val="none"/>
        </w:rPr>
        <w:t>其中：</w:t>
      </w:r>
    </w:p>
    <w:p w14:paraId="7B742EF2">
      <w:pPr>
        <w:adjustRightInd/>
        <w:spacing w:line="336" w:lineRule="auto"/>
        <w:ind w:firstLine="480" w:firstLineChars="200"/>
        <w:rPr>
          <w:rFonts w:eastAsia="仿宋_GB2312"/>
          <w:color w:val="auto"/>
          <w:sz w:val="24"/>
          <w:highlight w:val="none"/>
        </w:rPr>
      </w:pPr>
      <w:r>
        <w:rPr>
          <w:rFonts w:eastAsia="仿宋_GB2312"/>
          <w:color w:val="auto"/>
          <w:sz w:val="24"/>
          <w:highlight w:val="none"/>
        </w:rPr>
        <w:t>（1）安全文明施工费：</w:t>
      </w:r>
    </w:p>
    <w:p w14:paraId="3339F3F9">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元)；</w:t>
      </w:r>
    </w:p>
    <w:p w14:paraId="51516D40">
      <w:pPr>
        <w:adjustRightInd/>
        <w:spacing w:line="336" w:lineRule="auto"/>
        <w:ind w:firstLine="480" w:firstLineChars="200"/>
        <w:rPr>
          <w:rFonts w:eastAsia="仿宋_GB2312"/>
          <w:color w:val="auto"/>
          <w:sz w:val="24"/>
          <w:highlight w:val="none"/>
        </w:rPr>
      </w:pPr>
      <w:r>
        <w:rPr>
          <w:rFonts w:eastAsia="仿宋_GB2312"/>
          <w:color w:val="auto"/>
          <w:sz w:val="24"/>
          <w:highlight w:val="none"/>
        </w:rPr>
        <w:t>（2）材料和工程设备暂估价金额：</w:t>
      </w:r>
    </w:p>
    <w:p w14:paraId="3BD90944">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元)；</w:t>
      </w:r>
    </w:p>
    <w:p w14:paraId="10454774">
      <w:pPr>
        <w:adjustRightInd/>
        <w:spacing w:line="336" w:lineRule="auto"/>
        <w:ind w:firstLine="480" w:firstLineChars="200"/>
        <w:rPr>
          <w:rFonts w:eastAsia="仿宋_GB2312"/>
          <w:color w:val="auto"/>
          <w:sz w:val="24"/>
          <w:highlight w:val="none"/>
        </w:rPr>
      </w:pPr>
      <w:r>
        <w:rPr>
          <w:rFonts w:eastAsia="仿宋_GB2312"/>
          <w:color w:val="auto"/>
          <w:sz w:val="24"/>
          <w:highlight w:val="none"/>
        </w:rPr>
        <w:t>（3）专业工程暂估价金额：</w:t>
      </w:r>
    </w:p>
    <w:p w14:paraId="4CD2E722">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元)；</w:t>
      </w:r>
    </w:p>
    <w:p w14:paraId="51F9F3D1">
      <w:pPr>
        <w:adjustRightInd/>
        <w:spacing w:line="336" w:lineRule="auto"/>
        <w:ind w:firstLine="480" w:firstLineChars="200"/>
        <w:rPr>
          <w:rFonts w:eastAsia="仿宋_GB2312"/>
          <w:color w:val="auto"/>
          <w:sz w:val="24"/>
          <w:highlight w:val="none"/>
        </w:rPr>
      </w:pPr>
      <w:r>
        <w:rPr>
          <w:rFonts w:eastAsia="仿宋_GB2312"/>
          <w:color w:val="auto"/>
          <w:sz w:val="24"/>
          <w:highlight w:val="none"/>
        </w:rPr>
        <w:t>（4）暂列金额：</w:t>
      </w:r>
    </w:p>
    <w:p w14:paraId="7D0B8B6A">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元)。</w:t>
      </w:r>
    </w:p>
    <w:p w14:paraId="3EF05054">
      <w:pPr>
        <w:adjustRightInd/>
        <w:spacing w:line="336" w:lineRule="auto"/>
        <w:ind w:firstLine="480" w:firstLineChars="200"/>
        <w:rPr>
          <w:rFonts w:eastAsia="仿宋_GB2312"/>
          <w:color w:val="auto"/>
          <w:sz w:val="24"/>
          <w:highlight w:val="none"/>
        </w:rPr>
      </w:pPr>
      <w:r>
        <w:rPr>
          <w:rFonts w:eastAsia="仿宋_GB2312"/>
          <w:color w:val="auto"/>
          <w:sz w:val="24"/>
          <w:highlight w:val="none"/>
        </w:rPr>
        <w:t>2.合同价格形式：</w:t>
      </w:r>
      <w:r>
        <w:rPr>
          <w:rFonts w:eastAsia="仿宋_GB2312"/>
          <w:color w:val="auto"/>
          <w:sz w:val="24"/>
          <w:highlight w:val="none"/>
          <w:u w:val="single"/>
        </w:rPr>
        <w:t></w:t>
      </w:r>
      <w:r>
        <w:rPr>
          <w:rFonts w:hint="eastAsia" w:eastAsia="仿宋_GB2312"/>
          <w:color w:val="auto"/>
          <w:sz w:val="24"/>
          <w:highlight w:val="none"/>
          <w:u w:val="single"/>
        </w:rPr>
        <w:t>单价合同</w:t>
      </w:r>
      <w:r>
        <w:rPr>
          <w:rFonts w:eastAsia="仿宋_GB2312"/>
          <w:color w:val="auto"/>
          <w:sz w:val="24"/>
          <w:highlight w:val="none"/>
          <w:u w:val="single"/>
        </w:rPr>
        <w:t></w:t>
      </w:r>
      <w:r>
        <w:rPr>
          <w:rFonts w:eastAsia="仿宋_GB2312"/>
          <w:color w:val="auto"/>
          <w:sz w:val="24"/>
          <w:highlight w:val="none"/>
        </w:rPr>
        <w:t>。</w:t>
      </w:r>
    </w:p>
    <w:p w14:paraId="244672DF">
      <w:pPr>
        <w:pStyle w:val="8"/>
        <w:spacing w:before="0" w:after="0" w:line="336"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五、</w:t>
      </w:r>
      <w:bookmarkEnd w:id="467"/>
      <w:r>
        <w:rPr>
          <w:rFonts w:ascii="Times New Roman" w:hAnsi="Times New Roman"/>
          <w:b w:val="0"/>
          <w:color w:val="auto"/>
          <w:sz w:val="24"/>
          <w:szCs w:val="24"/>
          <w:highlight w:val="none"/>
        </w:rPr>
        <w:t>项目经理</w:t>
      </w:r>
    </w:p>
    <w:p w14:paraId="3DB18C02">
      <w:pPr>
        <w:adjustRightInd/>
        <w:spacing w:line="336" w:lineRule="auto"/>
        <w:ind w:firstLine="480" w:firstLineChars="200"/>
        <w:rPr>
          <w:rFonts w:eastAsia="仿宋_GB2312"/>
          <w:color w:val="auto"/>
          <w:sz w:val="24"/>
          <w:highlight w:val="none"/>
        </w:rPr>
      </w:pPr>
      <w:r>
        <w:rPr>
          <w:rFonts w:eastAsia="仿宋_GB2312"/>
          <w:color w:val="auto"/>
          <w:sz w:val="24"/>
          <w:highlight w:val="none"/>
        </w:rPr>
        <w:t>承包人项目经理：</w:t>
      </w:r>
      <w:r>
        <w:rPr>
          <w:rFonts w:eastAsia="仿宋_GB2312"/>
          <w:color w:val="auto"/>
          <w:sz w:val="24"/>
          <w:highlight w:val="none"/>
          <w:u w:val="single"/>
        </w:rPr>
        <w:t>         </w:t>
      </w:r>
      <w:r>
        <w:rPr>
          <w:rFonts w:eastAsia="仿宋_GB2312"/>
          <w:color w:val="auto"/>
          <w:sz w:val="24"/>
          <w:highlight w:val="none"/>
        </w:rPr>
        <w:t>。</w:t>
      </w:r>
    </w:p>
    <w:p w14:paraId="5F550F01">
      <w:pPr>
        <w:pStyle w:val="8"/>
        <w:spacing w:before="0" w:after="0" w:line="336" w:lineRule="auto"/>
        <w:rPr>
          <w:rFonts w:ascii="Times New Roman" w:hAnsi="Times New Roman"/>
          <w:bCs w:val="0"/>
          <w:color w:val="auto"/>
          <w:sz w:val="24"/>
          <w:szCs w:val="24"/>
          <w:highlight w:val="none"/>
        </w:rPr>
      </w:pPr>
      <w:bookmarkStart w:id="468" w:name="_Toc351203486"/>
      <w:r>
        <w:rPr>
          <w:rFonts w:ascii="Times New Roman" w:hAnsi="Times New Roman"/>
          <w:b w:val="0"/>
          <w:color w:val="auto"/>
          <w:sz w:val="24"/>
          <w:szCs w:val="24"/>
          <w:highlight w:val="none"/>
        </w:rPr>
        <w:t>六、合同文件构成</w:t>
      </w:r>
      <w:bookmarkEnd w:id="468"/>
    </w:p>
    <w:p w14:paraId="5D2D70E1">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本协议书与下列文件一起构成合同文件：</w:t>
      </w:r>
    </w:p>
    <w:p w14:paraId="33504793">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（1）中标通知书（如果有）；</w:t>
      </w:r>
    </w:p>
    <w:p w14:paraId="29D69218">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 xml:space="preserve">（2）投标函及其附录（如果有）； </w:t>
      </w:r>
    </w:p>
    <w:p w14:paraId="27AF6555">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（3）专用合同条款及其附件；</w:t>
      </w:r>
    </w:p>
    <w:p w14:paraId="0ECF33B7">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（4）通用合同条款；</w:t>
      </w:r>
    </w:p>
    <w:p w14:paraId="3DFFB20C">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（5）技术标准和要求；</w:t>
      </w:r>
    </w:p>
    <w:p w14:paraId="155E438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（6）图纸；</w:t>
      </w:r>
    </w:p>
    <w:p w14:paraId="5C51BC0E">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（7）已标价工程量清单或预算书；</w:t>
      </w:r>
    </w:p>
    <w:p w14:paraId="46A84465">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（8）其他合同文件。</w:t>
      </w:r>
    </w:p>
    <w:p w14:paraId="4054B254">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在合同订立及履行过程中形成的与合同有关的文件均构成合同文件组成部分。</w:t>
      </w:r>
    </w:p>
    <w:p w14:paraId="0C4A1FF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上述各项合同文件包括合同当事人就该项合同文件所作出的补充和修改，属于同一类内容的文件，应以最新签署的为准。</w:t>
      </w:r>
      <w:r>
        <w:rPr>
          <w:rFonts w:hint="eastAsia" w:eastAsia="仿宋_GB2312"/>
          <w:color w:val="auto"/>
          <w:sz w:val="24"/>
          <w:highlight w:val="none"/>
        </w:rPr>
        <w:t>专用合同条款及其附件须经合同当事人签字或盖章。</w:t>
      </w:r>
    </w:p>
    <w:p w14:paraId="12B97D09">
      <w:pPr>
        <w:pStyle w:val="8"/>
        <w:spacing w:before="0" w:after="0" w:line="336" w:lineRule="auto"/>
        <w:rPr>
          <w:rFonts w:ascii="Times New Roman" w:hAnsi="Times New Roman"/>
          <w:b w:val="0"/>
          <w:bCs w:val="0"/>
          <w:color w:val="auto"/>
          <w:sz w:val="24"/>
          <w:szCs w:val="24"/>
          <w:highlight w:val="none"/>
        </w:rPr>
      </w:pPr>
      <w:bookmarkStart w:id="469" w:name="_Toc351203487"/>
      <w:r>
        <w:rPr>
          <w:rFonts w:ascii="Times New Roman" w:hAnsi="Times New Roman"/>
          <w:b w:val="0"/>
          <w:color w:val="auto"/>
          <w:sz w:val="24"/>
          <w:szCs w:val="24"/>
          <w:highlight w:val="none"/>
        </w:rPr>
        <w:t>七、承诺</w:t>
      </w:r>
      <w:bookmarkEnd w:id="469"/>
    </w:p>
    <w:p w14:paraId="70FE731F">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1.发包人承诺按照法律规定履行项目审批手续、筹集工程建设资金并按照合同约定的期限和方式支付合同价款。</w:t>
      </w:r>
    </w:p>
    <w:p w14:paraId="6C935695">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B6D88B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3.发包人和承包人通过招投标形式签订合同的，双方理解并</w:t>
      </w:r>
      <w:r>
        <w:rPr>
          <w:rFonts w:hint="eastAsia" w:eastAsia="仿宋_GB2312"/>
          <w:bCs/>
          <w:color w:val="auto"/>
          <w:sz w:val="24"/>
          <w:highlight w:val="none"/>
        </w:rPr>
        <w:t>承诺</w:t>
      </w:r>
      <w:r>
        <w:rPr>
          <w:rFonts w:eastAsia="仿宋_GB2312"/>
          <w:bCs/>
          <w:color w:val="auto"/>
          <w:sz w:val="24"/>
          <w:highlight w:val="none"/>
        </w:rPr>
        <w:t>不再就同一工程另行签订与合同实质性内容相背离的协议。</w:t>
      </w:r>
    </w:p>
    <w:p w14:paraId="6423A92D">
      <w:pPr>
        <w:adjustRightInd/>
        <w:spacing w:line="336" w:lineRule="auto"/>
        <w:rPr>
          <w:rFonts w:eastAsia="黑体"/>
          <w:bCs/>
          <w:color w:val="auto"/>
          <w:sz w:val="24"/>
          <w:highlight w:val="none"/>
        </w:rPr>
      </w:pPr>
      <w:bookmarkStart w:id="470" w:name="_Toc351203488"/>
      <w:r>
        <w:rPr>
          <w:rFonts w:eastAsia="黑体"/>
          <w:b/>
          <w:color w:val="auto"/>
          <w:sz w:val="24"/>
          <w:highlight w:val="none"/>
        </w:rPr>
        <w:t>八、词语含义</w:t>
      </w:r>
      <w:bookmarkEnd w:id="470"/>
    </w:p>
    <w:p w14:paraId="471E208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本协议书中词语含义与第二部分通用合同条款中赋予的含义相同。</w:t>
      </w:r>
    </w:p>
    <w:p w14:paraId="69D3AF11">
      <w:pPr>
        <w:pStyle w:val="8"/>
        <w:spacing w:before="0" w:after="0" w:line="336" w:lineRule="auto"/>
        <w:rPr>
          <w:rFonts w:ascii="Times New Roman" w:hAnsi="Times New Roman"/>
          <w:bCs w:val="0"/>
          <w:color w:val="auto"/>
          <w:sz w:val="24"/>
          <w:szCs w:val="24"/>
          <w:highlight w:val="none"/>
        </w:rPr>
      </w:pPr>
      <w:bookmarkStart w:id="471" w:name="_Toc351203489"/>
      <w:r>
        <w:rPr>
          <w:rFonts w:ascii="Times New Roman" w:hAnsi="Times New Roman"/>
          <w:b w:val="0"/>
          <w:color w:val="auto"/>
          <w:sz w:val="24"/>
          <w:szCs w:val="24"/>
          <w:highlight w:val="none"/>
        </w:rPr>
        <w:t>九、签订时间</w:t>
      </w:r>
      <w:bookmarkEnd w:id="471"/>
    </w:p>
    <w:p w14:paraId="78F003F4">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本合同于</w:t>
      </w:r>
      <w:r>
        <w:rPr>
          <w:rFonts w:eastAsia="仿宋_GB2312"/>
          <w:bCs/>
          <w:color w:val="auto"/>
          <w:sz w:val="24"/>
          <w:highlight w:val="none"/>
          <w:u w:val="single"/>
        </w:rPr>
        <w:t xml:space="preserve">        </w:t>
      </w:r>
      <w:r>
        <w:rPr>
          <w:rFonts w:eastAsia="仿宋_GB2312"/>
          <w:bCs/>
          <w:color w:val="auto"/>
          <w:sz w:val="24"/>
          <w:highlight w:val="none"/>
        </w:rPr>
        <w:t>年</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月</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日签订。</w:t>
      </w:r>
    </w:p>
    <w:p w14:paraId="2AD48D3F">
      <w:pPr>
        <w:pStyle w:val="8"/>
        <w:spacing w:before="0" w:after="0" w:line="336" w:lineRule="auto"/>
        <w:rPr>
          <w:rFonts w:ascii="Times New Roman" w:hAnsi="Times New Roman"/>
          <w:bCs w:val="0"/>
          <w:color w:val="auto"/>
          <w:sz w:val="24"/>
          <w:szCs w:val="24"/>
          <w:highlight w:val="none"/>
        </w:rPr>
      </w:pPr>
      <w:bookmarkStart w:id="472" w:name="_Toc351203490"/>
      <w:r>
        <w:rPr>
          <w:rFonts w:ascii="Times New Roman" w:hAnsi="Times New Roman"/>
          <w:b w:val="0"/>
          <w:color w:val="auto"/>
          <w:sz w:val="24"/>
          <w:szCs w:val="24"/>
          <w:highlight w:val="none"/>
        </w:rPr>
        <w:t>十、签订地点</w:t>
      </w:r>
      <w:bookmarkEnd w:id="472"/>
    </w:p>
    <w:p w14:paraId="373B690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本合同在</w:t>
      </w:r>
      <w:r>
        <w:rPr>
          <w:rFonts w:hint="eastAsia" w:eastAsia="仿宋_GB2312"/>
          <w:bCs/>
          <w:color w:val="auto"/>
          <w:sz w:val="24"/>
          <w:highlight w:val="none"/>
          <w:u w:val="single"/>
        </w:rPr>
        <w:t>工程所在地</w:t>
      </w:r>
      <w:r>
        <w:rPr>
          <w:rFonts w:eastAsia="仿宋_GB2312"/>
          <w:bCs/>
          <w:color w:val="auto"/>
          <w:sz w:val="24"/>
          <w:highlight w:val="none"/>
        </w:rPr>
        <w:t>签订。</w:t>
      </w:r>
    </w:p>
    <w:p w14:paraId="7D39F647">
      <w:pPr>
        <w:pStyle w:val="8"/>
        <w:spacing w:before="0" w:after="0" w:line="336" w:lineRule="auto"/>
        <w:rPr>
          <w:rFonts w:ascii="Times New Roman" w:hAnsi="Times New Roman"/>
          <w:bCs w:val="0"/>
          <w:color w:val="auto"/>
          <w:sz w:val="24"/>
          <w:szCs w:val="24"/>
          <w:highlight w:val="none"/>
        </w:rPr>
      </w:pPr>
      <w:bookmarkStart w:id="473" w:name="_Toc351203491"/>
      <w:r>
        <w:rPr>
          <w:rFonts w:ascii="Times New Roman" w:hAnsi="Times New Roman"/>
          <w:b w:val="0"/>
          <w:color w:val="auto"/>
          <w:sz w:val="24"/>
          <w:szCs w:val="24"/>
          <w:highlight w:val="none"/>
        </w:rPr>
        <w:t>十一、补充协议</w:t>
      </w:r>
      <w:bookmarkEnd w:id="473"/>
    </w:p>
    <w:p w14:paraId="33AA0AD7">
      <w:pPr>
        <w:adjustRightInd/>
        <w:spacing w:line="336" w:lineRule="auto"/>
        <w:ind w:firstLine="480" w:firstLineChars="200"/>
        <w:rPr>
          <w:rFonts w:eastAsia="仿宋_GB2312"/>
          <w:b/>
          <w:bCs/>
          <w:color w:val="auto"/>
          <w:sz w:val="24"/>
          <w:highlight w:val="none"/>
        </w:rPr>
      </w:pPr>
      <w:r>
        <w:rPr>
          <w:rFonts w:eastAsia="仿宋_GB2312"/>
          <w:bCs/>
          <w:color w:val="auto"/>
          <w:sz w:val="24"/>
          <w:highlight w:val="none"/>
        </w:rPr>
        <w:t>合同未尽事宜，合同当事人另行签订补充协议</w:t>
      </w:r>
      <w:r>
        <w:rPr>
          <w:rFonts w:hint="eastAsia" w:eastAsia="仿宋_GB2312"/>
          <w:bCs/>
          <w:color w:val="auto"/>
          <w:sz w:val="24"/>
          <w:highlight w:val="none"/>
        </w:rPr>
        <w:t>，</w:t>
      </w:r>
      <w:r>
        <w:rPr>
          <w:rFonts w:eastAsia="仿宋_GB2312"/>
          <w:bCs/>
          <w:color w:val="auto"/>
          <w:sz w:val="24"/>
          <w:highlight w:val="none"/>
        </w:rPr>
        <w:t>补充协议是合同的组成部分。</w:t>
      </w:r>
    </w:p>
    <w:p w14:paraId="1D6E9620">
      <w:pPr>
        <w:pStyle w:val="8"/>
        <w:spacing w:before="0" w:after="0" w:line="336" w:lineRule="auto"/>
        <w:rPr>
          <w:rFonts w:ascii="Times New Roman" w:hAnsi="Times New Roman"/>
          <w:bCs w:val="0"/>
          <w:color w:val="auto"/>
          <w:sz w:val="24"/>
          <w:szCs w:val="24"/>
          <w:highlight w:val="none"/>
        </w:rPr>
      </w:pPr>
      <w:bookmarkStart w:id="474" w:name="_Toc351203492"/>
      <w:r>
        <w:rPr>
          <w:rFonts w:ascii="Times New Roman" w:hAnsi="Times New Roman"/>
          <w:b w:val="0"/>
          <w:color w:val="auto"/>
          <w:sz w:val="24"/>
          <w:szCs w:val="24"/>
          <w:highlight w:val="none"/>
        </w:rPr>
        <w:t>十二、合同生效</w:t>
      </w:r>
      <w:bookmarkEnd w:id="474"/>
    </w:p>
    <w:p w14:paraId="3682100F">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本合同自</w:t>
      </w:r>
      <w:r>
        <w:rPr>
          <w:rFonts w:hint="eastAsia" w:eastAsia="仿宋_GB2312"/>
          <w:bCs/>
          <w:color w:val="auto"/>
          <w:sz w:val="24"/>
          <w:highlight w:val="none"/>
          <w:u w:val="single"/>
        </w:rPr>
        <w:t>双方签字盖章后</w:t>
      </w:r>
      <w:r>
        <w:rPr>
          <w:rFonts w:eastAsia="仿宋_GB2312"/>
          <w:bCs/>
          <w:color w:val="auto"/>
          <w:sz w:val="24"/>
          <w:highlight w:val="none"/>
        </w:rPr>
        <w:t>生效。</w:t>
      </w:r>
    </w:p>
    <w:p w14:paraId="36AEDF66">
      <w:pPr>
        <w:pStyle w:val="8"/>
        <w:spacing w:before="0" w:after="0" w:line="336" w:lineRule="auto"/>
        <w:rPr>
          <w:rFonts w:ascii="Times New Roman" w:hAnsi="Times New Roman"/>
          <w:bCs w:val="0"/>
          <w:color w:val="auto"/>
          <w:sz w:val="24"/>
          <w:szCs w:val="24"/>
          <w:highlight w:val="none"/>
        </w:rPr>
      </w:pPr>
      <w:bookmarkStart w:id="475" w:name="_Toc351203493"/>
      <w:r>
        <w:rPr>
          <w:rFonts w:ascii="Times New Roman" w:hAnsi="Times New Roman"/>
          <w:b w:val="0"/>
          <w:color w:val="auto"/>
          <w:sz w:val="24"/>
          <w:szCs w:val="24"/>
          <w:highlight w:val="none"/>
        </w:rPr>
        <w:t>十三、合同份数</w:t>
      </w:r>
      <w:bookmarkEnd w:id="475"/>
    </w:p>
    <w:p w14:paraId="6DBD1EA0">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本合同一式</w:t>
      </w:r>
      <w:r>
        <w:rPr>
          <w:rFonts w:hint="eastAsia" w:eastAsia="仿宋_GB2312"/>
          <w:bCs/>
          <w:color w:val="auto"/>
          <w:sz w:val="24"/>
          <w:highlight w:val="none"/>
          <w:u w:val="single"/>
        </w:rPr>
        <w:t>壹拾陆</w:t>
      </w:r>
      <w:r>
        <w:rPr>
          <w:rFonts w:eastAsia="仿宋_GB2312"/>
          <w:bCs/>
          <w:color w:val="auto"/>
          <w:sz w:val="24"/>
          <w:highlight w:val="none"/>
        </w:rPr>
        <w:t>份，均具有同等法律效力，发包人执</w:t>
      </w:r>
      <w:r>
        <w:rPr>
          <w:rFonts w:hint="eastAsia" w:eastAsia="仿宋_GB2312"/>
          <w:bCs/>
          <w:color w:val="auto"/>
          <w:sz w:val="24"/>
          <w:highlight w:val="none"/>
          <w:u w:val="single"/>
        </w:rPr>
        <w:t>捌</w:t>
      </w:r>
      <w:r>
        <w:rPr>
          <w:rFonts w:eastAsia="仿宋_GB2312"/>
          <w:bCs/>
          <w:color w:val="auto"/>
          <w:sz w:val="24"/>
          <w:highlight w:val="none"/>
        </w:rPr>
        <w:t>份，承包人执</w:t>
      </w:r>
      <w:r>
        <w:rPr>
          <w:rFonts w:hint="eastAsia" w:eastAsia="仿宋_GB2312"/>
          <w:bCs/>
          <w:color w:val="auto"/>
          <w:sz w:val="24"/>
          <w:highlight w:val="none"/>
          <w:u w:val="single"/>
        </w:rPr>
        <w:t>捌</w:t>
      </w:r>
      <w:r>
        <w:rPr>
          <w:rFonts w:eastAsia="仿宋_GB2312"/>
          <w:bCs/>
          <w:color w:val="auto"/>
          <w:sz w:val="24"/>
          <w:highlight w:val="none"/>
        </w:rPr>
        <w:t>份。</w:t>
      </w:r>
    </w:p>
    <w:p w14:paraId="0B4CC069">
      <w:pPr>
        <w:adjustRightInd/>
        <w:spacing w:line="336" w:lineRule="auto"/>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 xml:space="preserve">：  </w:t>
      </w:r>
      <w:r>
        <w:rPr>
          <w:rFonts w:eastAsia="仿宋_GB2312"/>
          <w:color w:val="auto"/>
          <w:sz w:val="24"/>
          <w:highlight w:val="none"/>
        </w:rPr>
        <w:t>(公章)承包人</w:t>
      </w:r>
      <w:r>
        <w:rPr>
          <w:rFonts w:hint="eastAsia" w:eastAsia="仿宋_GB2312"/>
          <w:color w:val="auto"/>
          <w:sz w:val="24"/>
          <w:highlight w:val="none"/>
        </w:rPr>
        <w:t xml:space="preserve">：  </w:t>
      </w:r>
      <w:r>
        <w:rPr>
          <w:rFonts w:eastAsia="仿宋_GB2312"/>
          <w:color w:val="auto"/>
          <w:sz w:val="24"/>
          <w:highlight w:val="none"/>
        </w:rPr>
        <w:t>(公章)</w:t>
      </w:r>
    </w:p>
    <w:p w14:paraId="1A7E3F5C">
      <w:pPr>
        <w:adjustRightInd/>
        <w:spacing w:line="336" w:lineRule="auto"/>
        <w:rPr>
          <w:rFonts w:eastAsia="仿宋_GB2312"/>
          <w:color w:val="auto"/>
          <w:sz w:val="24"/>
          <w:highlight w:val="none"/>
        </w:rPr>
      </w:pPr>
      <w:r>
        <w:rPr>
          <w:rFonts w:hint="eastAsia" w:eastAsia="仿宋_GB2312"/>
          <w:color w:val="auto"/>
          <w:sz w:val="24"/>
          <w:highlight w:val="none"/>
        </w:rPr>
        <w:t>法定代表人或其委托代理人：          法定代表人或其委托代理人：</w:t>
      </w:r>
    </w:p>
    <w:p w14:paraId="78515D46">
      <w:pPr>
        <w:adjustRightInd/>
        <w:spacing w:line="336" w:lineRule="auto"/>
        <w:rPr>
          <w:rFonts w:eastAsia="仿宋_GB2312"/>
          <w:color w:val="auto"/>
          <w:sz w:val="24"/>
          <w:highlight w:val="none"/>
        </w:rPr>
      </w:pPr>
      <w:r>
        <w:rPr>
          <w:rFonts w:hint="eastAsia" w:eastAsia="仿宋_GB2312"/>
          <w:color w:val="auto"/>
          <w:sz w:val="24"/>
          <w:highlight w:val="none"/>
        </w:rPr>
        <w:t>（签字）                                            （签字）</w:t>
      </w:r>
    </w:p>
    <w:p w14:paraId="647430C0">
      <w:pPr>
        <w:tabs>
          <w:tab w:val="left" w:pos="4410"/>
        </w:tabs>
        <w:adjustRightInd/>
        <w:spacing w:line="336" w:lineRule="auto"/>
        <w:rPr>
          <w:rFonts w:eastAsia="仿宋_GB2312"/>
          <w:color w:val="auto"/>
          <w:sz w:val="24"/>
          <w:highlight w:val="none"/>
        </w:rPr>
      </w:pP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rPr>
        <w:t xml:space="preserve"> 组织机构代码：</w:t>
      </w:r>
      <w:r>
        <w:rPr>
          <w:rFonts w:eastAsia="仿宋_GB2312"/>
          <w:color w:val="auto"/>
          <w:sz w:val="24"/>
          <w:highlight w:val="none"/>
          <w:u w:val="single"/>
        </w:rPr>
        <w:t xml:space="preserve">   </w:t>
      </w:r>
    </w:p>
    <w:p w14:paraId="587F2C5C">
      <w:pPr>
        <w:adjustRightInd/>
        <w:spacing w:line="336" w:lineRule="auto"/>
        <w:rPr>
          <w:rFonts w:eastAsia="仿宋_GB2312"/>
          <w:color w:val="auto"/>
          <w:sz w:val="24"/>
          <w:highlight w:val="none"/>
        </w:rPr>
      </w:pPr>
      <w:r>
        <w:rPr>
          <w:rFonts w:eastAsia="仿宋_GB2312"/>
          <w:color w:val="auto"/>
          <w:sz w:val="24"/>
          <w:highlight w:val="none"/>
        </w:rPr>
        <w:t>地  址：</w:t>
      </w:r>
      <w:r>
        <w:rPr>
          <w:rFonts w:eastAsia="仿宋_GB2312"/>
          <w:color w:val="auto"/>
          <w:sz w:val="24"/>
          <w:highlight w:val="none"/>
          <w:u w:val="single"/>
        </w:rPr>
        <w:t xml:space="preserve">     </w:t>
      </w:r>
      <w:r>
        <w:rPr>
          <w:rFonts w:eastAsia="仿宋_GB2312"/>
          <w:color w:val="auto"/>
          <w:sz w:val="24"/>
          <w:highlight w:val="none"/>
        </w:rPr>
        <w:t>地  址：</w:t>
      </w:r>
      <w:r>
        <w:rPr>
          <w:rFonts w:eastAsia="仿宋_GB2312"/>
          <w:color w:val="auto"/>
          <w:sz w:val="24"/>
          <w:highlight w:val="none"/>
          <w:u w:val="single"/>
        </w:rPr>
        <w:t xml:space="preserve"> </w:t>
      </w:r>
    </w:p>
    <w:p w14:paraId="21D5B3DE">
      <w:pPr>
        <w:adjustRightInd/>
        <w:spacing w:line="336" w:lineRule="auto"/>
        <w:rPr>
          <w:rFonts w:eastAsia="仿宋_GB2312"/>
          <w:color w:val="auto"/>
          <w:sz w:val="24"/>
          <w:highlight w:val="none"/>
        </w:rPr>
      </w:pPr>
      <w:r>
        <w:rPr>
          <w:rFonts w:eastAsia="仿宋_GB2312"/>
          <w:color w:val="auto"/>
          <w:sz w:val="24"/>
          <w:highlight w:val="none"/>
        </w:rPr>
        <w:t>邮政编码：</w:t>
      </w:r>
      <w:r>
        <w:rPr>
          <w:rFonts w:eastAsia="仿宋_GB2312"/>
          <w:color w:val="auto"/>
          <w:sz w:val="24"/>
          <w:highlight w:val="none"/>
          <w:u w:val="single"/>
        </w:rPr>
        <w:t xml:space="preserve">   </w:t>
      </w:r>
      <w:r>
        <w:rPr>
          <w:rFonts w:eastAsia="仿宋_GB2312"/>
          <w:color w:val="auto"/>
          <w:sz w:val="24"/>
          <w:highlight w:val="none"/>
        </w:rPr>
        <w:t>邮政编码：</w:t>
      </w:r>
      <w:r>
        <w:rPr>
          <w:rFonts w:eastAsia="仿宋_GB2312"/>
          <w:color w:val="auto"/>
          <w:sz w:val="24"/>
          <w:highlight w:val="none"/>
          <w:u w:val="single"/>
        </w:rPr>
        <w:t xml:space="preserve">   </w:t>
      </w:r>
    </w:p>
    <w:p w14:paraId="1E621B73">
      <w:pPr>
        <w:adjustRightInd/>
        <w:spacing w:line="336" w:lineRule="auto"/>
        <w:rPr>
          <w:rFonts w:eastAsia="仿宋_GB2312"/>
          <w:color w:val="auto"/>
          <w:sz w:val="24"/>
          <w:highlight w:val="none"/>
        </w:rPr>
      </w:pPr>
      <w:r>
        <w:rPr>
          <w:rFonts w:eastAsia="仿宋_GB2312"/>
          <w:color w:val="auto"/>
          <w:sz w:val="24"/>
          <w:highlight w:val="none"/>
        </w:rPr>
        <w:t>法定代表人：</w:t>
      </w:r>
      <w:r>
        <w:rPr>
          <w:rFonts w:eastAsia="仿宋_GB2312"/>
          <w:color w:val="auto"/>
          <w:sz w:val="24"/>
          <w:highlight w:val="none"/>
          <w:u w:val="single"/>
        </w:rPr>
        <w:t></w:t>
      </w:r>
      <w:r>
        <w:rPr>
          <w:rFonts w:eastAsia="仿宋_GB2312"/>
          <w:color w:val="auto"/>
          <w:sz w:val="24"/>
          <w:highlight w:val="none"/>
        </w:rPr>
        <w:t>法定代表人：</w:t>
      </w:r>
      <w:r>
        <w:rPr>
          <w:rFonts w:eastAsia="仿宋_GB2312"/>
          <w:color w:val="auto"/>
          <w:sz w:val="24"/>
          <w:highlight w:val="none"/>
          <w:u w:val="single"/>
        </w:rPr>
        <w:t></w:t>
      </w:r>
    </w:p>
    <w:p w14:paraId="34C3CF6A">
      <w:pPr>
        <w:adjustRightInd/>
        <w:spacing w:line="336" w:lineRule="auto"/>
        <w:rPr>
          <w:rFonts w:eastAsia="仿宋_GB2312"/>
          <w:color w:val="auto"/>
          <w:sz w:val="24"/>
          <w:highlight w:val="none"/>
        </w:rPr>
      </w:pPr>
      <w:r>
        <w:rPr>
          <w:rFonts w:eastAsia="仿宋_GB2312"/>
          <w:color w:val="auto"/>
          <w:sz w:val="24"/>
          <w:highlight w:val="none"/>
        </w:rPr>
        <w:t>委托代理人：</w:t>
      </w:r>
      <w:r>
        <w:rPr>
          <w:rFonts w:eastAsia="仿宋_GB2312"/>
          <w:color w:val="auto"/>
          <w:sz w:val="24"/>
          <w:highlight w:val="none"/>
          <w:u w:val="single"/>
        </w:rPr>
        <w:t xml:space="preserve"> </w:t>
      </w:r>
      <w:r>
        <w:rPr>
          <w:rFonts w:eastAsia="仿宋_GB2312"/>
          <w:color w:val="auto"/>
          <w:sz w:val="24"/>
          <w:highlight w:val="none"/>
        </w:rPr>
        <w:t>委托代理人：</w:t>
      </w:r>
      <w:r>
        <w:rPr>
          <w:rFonts w:eastAsia="仿宋_GB2312"/>
          <w:color w:val="auto"/>
          <w:sz w:val="24"/>
          <w:highlight w:val="none"/>
          <w:u w:val="single"/>
        </w:rPr>
        <w:t xml:space="preserve">  </w:t>
      </w:r>
    </w:p>
    <w:p w14:paraId="56F8D7AB">
      <w:pPr>
        <w:adjustRightInd/>
        <w:spacing w:line="336" w:lineRule="auto"/>
        <w:rPr>
          <w:rFonts w:eastAsia="仿宋_GB2312"/>
          <w:color w:val="auto"/>
          <w:sz w:val="24"/>
          <w:highlight w:val="none"/>
        </w:rPr>
      </w:pPr>
      <w:r>
        <w:rPr>
          <w:rFonts w:eastAsia="仿宋_GB2312"/>
          <w:color w:val="auto"/>
          <w:sz w:val="24"/>
          <w:highlight w:val="none"/>
        </w:rPr>
        <w:t>电  话：</w:t>
      </w:r>
      <w:r>
        <w:rPr>
          <w:rFonts w:eastAsia="仿宋_GB2312"/>
          <w:color w:val="auto"/>
          <w:sz w:val="24"/>
          <w:highlight w:val="none"/>
          <w:u w:val="single"/>
        </w:rPr>
        <w:t></w:t>
      </w:r>
      <w:r>
        <w:rPr>
          <w:rFonts w:eastAsia="仿宋_GB2312"/>
          <w:color w:val="auto"/>
          <w:sz w:val="24"/>
          <w:highlight w:val="none"/>
        </w:rPr>
        <w:t>电  话：</w:t>
      </w:r>
      <w:r>
        <w:rPr>
          <w:rFonts w:eastAsia="仿宋_GB2312"/>
          <w:color w:val="auto"/>
          <w:sz w:val="24"/>
          <w:highlight w:val="none"/>
          <w:u w:val="single"/>
        </w:rPr>
        <w:t></w:t>
      </w:r>
    </w:p>
    <w:p w14:paraId="2376A3DF">
      <w:pPr>
        <w:adjustRightInd/>
        <w:spacing w:line="336" w:lineRule="auto"/>
        <w:rPr>
          <w:rFonts w:eastAsia="仿宋_GB2312"/>
          <w:color w:val="auto"/>
          <w:sz w:val="24"/>
          <w:highlight w:val="none"/>
        </w:rPr>
      </w:pPr>
      <w:r>
        <w:rPr>
          <w:rFonts w:eastAsia="仿宋_GB2312"/>
          <w:color w:val="auto"/>
          <w:sz w:val="24"/>
          <w:highlight w:val="none"/>
        </w:rPr>
        <w:t>传  真：</w:t>
      </w:r>
      <w:r>
        <w:rPr>
          <w:rFonts w:eastAsia="仿宋_GB2312"/>
          <w:color w:val="auto"/>
          <w:sz w:val="24"/>
          <w:highlight w:val="none"/>
          <w:u w:val="single"/>
        </w:rPr>
        <w:t xml:space="preserve"> </w:t>
      </w:r>
      <w:r>
        <w:rPr>
          <w:rFonts w:eastAsia="仿宋_GB2312"/>
          <w:color w:val="auto"/>
          <w:sz w:val="24"/>
          <w:highlight w:val="none"/>
        </w:rPr>
        <w:t>传  真：</w:t>
      </w:r>
      <w:r>
        <w:rPr>
          <w:rFonts w:eastAsia="仿宋_GB2312"/>
          <w:color w:val="auto"/>
          <w:sz w:val="24"/>
          <w:highlight w:val="none"/>
          <w:u w:val="single"/>
        </w:rPr>
        <w:t xml:space="preserve">   </w:t>
      </w:r>
    </w:p>
    <w:p w14:paraId="1979794E">
      <w:pPr>
        <w:adjustRightInd/>
        <w:spacing w:line="336" w:lineRule="auto"/>
        <w:rPr>
          <w:rFonts w:eastAsia="仿宋_GB2312"/>
          <w:color w:val="auto"/>
          <w:sz w:val="24"/>
          <w:highlight w:val="none"/>
        </w:rPr>
      </w:pPr>
      <w:r>
        <w:rPr>
          <w:rFonts w:eastAsia="仿宋_GB2312"/>
          <w:color w:val="auto"/>
          <w:sz w:val="24"/>
          <w:highlight w:val="none"/>
        </w:rPr>
        <w:t>电子信箱：电子信箱：</w:t>
      </w:r>
      <w:r>
        <w:rPr>
          <w:rFonts w:eastAsia="仿宋_GB2312"/>
          <w:color w:val="auto"/>
          <w:sz w:val="24"/>
          <w:highlight w:val="none"/>
          <w:u w:val="single"/>
        </w:rPr>
        <w:t xml:space="preserve">   </w:t>
      </w:r>
    </w:p>
    <w:p w14:paraId="642F7043">
      <w:pPr>
        <w:adjustRightInd/>
        <w:spacing w:line="336" w:lineRule="auto"/>
        <w:rPr>
          <w:rFonts w:eastAsia="仿宋_GB2312"/>
          <w:color w:val="auto"/>
          <w:sz w:val="24"/>
          <w:highlight w:val="none"/>
        </w:rPr>
      </w:pPr>
      <w:r>
        <w:rPr>
          <w:rFonts w:eastAsia="仿宋_GB2312"/>
          <w:color w:val="auto"/>
          <w:sz w:val="24"/>
          <w:highlight w:val="none"/>
        </w:rPr>
        <w:t>开户银行：</w:t>
      </w:r>
      <w:r>
        <w:rPr>
          <w:rFonts w:eastAsia="仿宋_GB2312"/>
          <w:color w:val="auto"/>
          <w:sz w:val="24"/>
          <w:highlight w:val="none"/>
          <w:u w:val="single"/>
        </w:rPr>
        <w:t xml:space="preserve">   </w:t>
      </w:r>
      <w:r>
        <w:rPr>
          <w:rFonts w:eastAsia="仿宋_GB2312"/>
          <w:color w:val="auto"/>
          <w:sz w:val="24"/>
          <w:highlight w:val="none"/>
        </w:rPr>
        <w:t>开户银行：</w:t>
      </w:r>
      <w:r>
        <w:rPr>
          <w:rFonts w:eastAsia="仿宋_GB2312"/>
          <w:color w:val="auto"/>
          <w:sz w:val="24"/>
          <w:highlight w:val="none"/>
          <w:u w:val="single"/>
        </w:rPr>
        <w:t xml:space="preserve">   </w:t>
      </w:r>
    </w:p>
    <w:p w14:paraId="0AF2ACC2">
      <w:pPr>
        <w:adjustRightInd/>
        <w:spacing w:line="336" w:lineRule="auto"/>
        <w:rPr>
          <w:rFonts w:eastAsia="仿宋_GB2312"/>
          <w:color w:val="auto"/>
          <w:sz w:val="24"/>
          <w:highlight w:val="none"/>
        </w:rPr>
      </w:pPr>
      <w:r>
        <w:rPr>
          <w:rFonts w:eastAsia="仿宋_GB2312"/>
          <w:color w:val="auto"/>
          <w:sz w:val="24"/>
          <w:highlight w:val="none"/>
        </w:rPr>
        <w:t>账  号：</w:t>
      </w:r>
      <w:r>
        <w:rPr>
          <w:rFonts w:eastAsia="仿宋_GB2312"/>
          <w:color w:val="auto"/>
          <w:sz w:val="24"/>
          <w:highlight w:val="none"/>
          <w:u w:val="single"/>
        </w:rPr>
        <w:t xml:space="preserve">       </w:t>
      </w:r>
      <w:r>
        <w:rPr>
          <w:rFonts w:eastAsia="仿宋_GB2312"/>
          <w:color w:val="auto"/>
          <w:sz w:val="24"/>
          <w:highlight w:val="none"/>
        </w:rPr>
        <w:t>账 号：</w:t>
      </w:r>
      <w:r>
        <w:rPr>
          <w:rFonts w:eastAsia="仿宋_GB2312"/>
          <w:color w:val="auto"/>
          <w:sz w:val="24"/>
          <w:highlight w:val="none"/>
          <w:u w:val="single"/>
        </w:rPr>
        <w:t></w:t>
      </w:r>
    </w:p>
    <w:p w14:paraId="1ADA4FF7">
      <w:pPr>
        <w:pStyle w:val="6"/>
        <w:spacing w:line="240" w:lineRule="auto"/>
        <w:jc w:val="center"/>
        <w:rPr>
          <w:rFonts w:hAnsi="宋体"/>
          <w:color w:val="auto"/>
          <w:sz w:val="28"/>
          <w:szCs w:val="28"/>
          <w:highlight w:val="none"/>
        </w:rPr>
      </w:pPr>
      <w:r>
        <w:rPr>
          <w:rFonts w:hAnsi="宋体"/>
          <w:color w:val="auto"/>
          <w:sz w:val="28"/>
          <w:szCs w:val="28"/>
          <w:highlight w:val="none"/>
        </w:rPr>
        <w:br w:type="page"/>
      </w:r>
      <w:bookmarkStart w:id="476" w:name="_Toc408212527"/>
      <w:r>
        <w:rPr>
          <w:rFonts w:hint="eastAsia" w:hAnsi="宋体"/>
          <w:color w:val="auto"/>
          <w:sz w:val="28"/>
          <w:szCs w:val="28"/>
          <w:highlight w:val="none"/>
        </w:rPr>
        <w:t>第二部分 通用合同条款（略）</w:t>
      </w:r>
      <w:bookmarkEnd w:id="476"/>
    </w:p>
    <w:p w14:paraId="443A8721">
      <w:pPr>
        <w:adjustRightInd/>
        <w:spacing w:line="296" w:lineRule="exact"/>
        <w:rPr>
          <w:rFonts w:ascii="宋体" w:hAnsi="宋体"/>
          <w:color w:val="auto"/>
          <w:szCs w:val="21"/>
          <w:highlight w:val="none"/>
        </w:rPr>
      </w:pPr>
      <w:r>
        <w:rPr>
          <w:rFonts w:hint="eastAsia" w:ascii="宋体" w:hAnsi="宋体"/>
          <w:color w:val="auto"/>
          <w:szCs w:val="21"/>
          <w:highlight w:val="none"/>
        </w:rPr>
        <w:t>1. 一般约定</w:t>
      </w:r>
    </w:p>
    <w:p w14:paraId="145ED302">
      <w:pPr>
        <w:adjustRightInd/>
        <w:spacing w:line="296" w:lineRule="exact"/>
        <w:rPr>
          <w:rFonts w:ascii="宋体" w:hAnsi="宋体"/>
          <w:color w:val="auto"/>
          <w:szCs w:val="21"/>
          <w:highlight w:val="none"/>
        </w:rPr>
      </w:pPr>
      <w:r>
        <w:rPr>
          <w:rFonts w:hint="eastAsia" w:ascii="宋体" w:hAnsi="宋体"/>
          <w:color w:val="auto"/>
          <w:szCs w:val="21"/>
          <w:highlight w:val="none"/>
        </w:rPr>
        <w:t>1.1词语定义与解释</w:t>
      </w:r>
    </w:p>
    <w:p w14:paraId="14D1BB49">
      <w:pPr>
        <w:adjustRightInd/>
        <w:spacing w:line="296" w:lineRule="exact"/>
        <w:rPr>
          <w:rFonts w:ascii="宋体" w:hAnsi="宋体"/>
          <w:color w:val="auto"/>
          <w:szCs w:val="21"/>
          <w:highlight w:val="none"/>
        </w:rPr>
      </w:pPr>
      <w:r>
        <w:rPr>
          <w:rFonts w:hint="eastAsia" w:ascii="宋体" w:hAnsi="宋体"/>
          <w:color w:val="auto"/>
          <w:szCs w:val="21"/>
          <w:highlight w:val="none"/>
        </w:rPr>
        <w:t>1.2语言文字</w:t>
      </w:r>
    </w:p>
    <w:p w14:paraId="4D0AA4E7">
      <w:pPr>
        <w:adjustRightInd/>
        <w:spacing w:line="296" w:lineRule="exact"/>
        <w:rPr>
          <w:rFonts w:ascii="宋体" w:hAnsi="宋体"/>
          <w:color w:val="auto"/>
          <w:szCs w:val="21"/>
          <w:highlight w:val="none"/>
        </w:rPr>
      </w:pPr>
      <w:r>
        <w:rPr>
          <w:rFonts w:hint="eastAsia" w:ascii="宋体" w:hAnsi="宋体"/>
          <w:color w:val="auto"/>
          <w:szCs w:val="21"/>
          <w:highlight w:val="none"/>
        </w:rPr>
        <w:t>1.3法律</w:t>
      </w:r>
    </w:p>
    <w:p w14:paraId="2C651367">
      <w:pPr>
        <w:adjustRightInd/>
        <w:spacing w:line="296" w:lineRule="exact"/>
        <w:rPr>
          <w:rFonts w:ascii="宋体" w:hAnsi="宋体"/>
          <w:color w:val="auto"/>
          <w:szCs w:val="21"/>
          <w:highlight w:val="none"/>
        </w:rPr>
      </w:pPr>
      <w:r>
        <w:rPr>
          <w:rFonts w:hint="eastAsia" w:ascii="宋体" w:hAnsi="宋体"/>
          <w:color w:val="auto"/>
          <w:szCs w:val="21"/>
          <w:highlight w:val="none"/>
        </w:rPr>
        <w:t>1.4 标准和规范</w:t>
      </w:r>
    </w:p>
    <w:p w14:paraId="3CA615F5">
      <w:pPr>
        <w:adjustRightInd/>
        <w:spacing w:line="296" w:lineRule="exact"/>
        <w:rPr>
          <w:rFonts w:ascii="宋体" w:hAnsi="宋体"/>
          <w:color w:val="auto"/>
          <w:szCs w:val="21"/>
          <w:highlight w:val="none"/>
        </w:rPr>
      </w:pPr>
      <w:r>
        <w:rPr>
          <w:rFonts w:hint="eastAsia" w:ascii="宋体" w:hAnsi="宋体"/>
          <w:color w:val="auto"/>
          <w:szCs w:val="21"/>
          <w:highlight w:val="none"/>
        </w:rPr>
        <w:t>1.5 合同文件的优先顺序</w:t>
      </w:r>
    </w:p>
    <w:p w14:paraId="4AA5330B">
      <w:pPr>
        <w:adjustRightInd/>
        <w:spacing w:line="296" w:lineRule="exact"/>
        <w:rPr>
          <w:rFonts w:ascii="宋体" w:hAnsi="宋体"/>
          <w:color w:val="auto"/>
          <w:szCs w:val="21"/>
          <w:highlight w:val="none"/>
        </w:rPr>
      </w:pPr>
      <w:r>
        <w:rPr>
          <w:rFonts w:hint="eastAsia" w:ascii="宋体" w:hAnsi="宋体"/>
          <w:color w:val="auto"/>
          <w:szCs w:val="21"/>
          <w:highlight w:val="none"/>
        </w:rPr>
        <w:t>1.6图纸和承包人文件</w:t>
      </w:r>
    </w:p>
    <w:p w14:paraId="3EA3FB12">
      <w:pPr>
        <w:adjustRightInd/>
        <w:spacing w:line="296" w:lineRule="exact"/>
        <w:rPr>
          <w:rFonts w:ascii="宋体" w:hAnsi="宋体"/>
          <w:color w:val="auto"/>
          <w:szCs w:val="21"/>
          <w:highlight w:val="none"/>
        </w:rPr>
      </w:pPr>
      <w:r>
        <w:rPr>
          <w:rFonts w:hint="eastAsia" w:ascii="宋体" w:hAnsi="宋体"/>
          <w:color w:val="auto"/>
          <w:szCs w:val="21"/>
          <w:highlight w:val="none"/>
        </w:rPr>
        <w:t>1.7联络</w:t>
      </w:r>
    </w:p>
    <w:p w14:paraId="33E3C5B8">
      <w:pPr>
        <w:adjustRightInd/>
        <w:spacing w:line="296" w:lineRule="exact"/>
        <w:rPr>
          <w:rFonts w:ascii="宋体" w:hAnsi="宋体"/>
          <w:color w:val="auto"/>
          <w:szCs w:val="21"/>
          <w:highlight w:val="none"/>
        </w:rPr>
      </w:pPr>
      <w:r>
        <w:rPr>
          <w:rFonts w:hint="eastAsia" w:ascii="宋体" w:hAnsi="宋体"/>
          <w:color w:val="auto"/>
          <w:szCs w:val="21"/>
          <w:highlight w:val="none"/>
        </w:rPr>
        <w:t>1.8严禁贿赂</w:t>
      </w:r>
    </w:p>
    <w:p w14:paraId="4424F810">
      <w:pPr>
        <w:adjustRightInd/>
        <w:spacing w:line="296" w:lineRule="exact"/>
        <w:rPr>
          <w:rFonts w:ascii="宋体" w:hAnsi="宋体"/>
          <w:color w:val="auto"/>
          <w:szCs w:val="21"/>
          <w:highlight w:val="none"/>
        </w:rPr>
      </w:pPr>
      <w:r>
        <w:rPr>
          <w:rFonts w:hint="eastAsia" w:ascii="宋体" w:hAnsi="宋体"/>
          <w:color w:val="auto"/>
          <w:szCs w:val="21"/>
          <w:highlight w:val="none"/>
        </w:rPr>
        <w:t>1.9化石、文物</w:t>
      </w:r>
    </w:p>
    <w:p w14:paraId="594D5DF2">
      <w:pPr>
        <w:adjustRightInd/>
        <w:spacing w:line="296" w:lineRule="exact"/>
        <w:rPr>
          <w:rFonts w:ascii="宋体" w:hAnsi="宋体"/>
          <w:color w:val="auto"/>
          <w:szCs w:val="21"/>
          <w:highlight w:val="none"/>
        </w:rPr>
      </w:pPr>
      <w:r>
        <w:rPr>
          <w:rFonts w:hint="eastAsia" w:ascii="宋体" w:hAnsi="宋体"/>
          <w:color w:val="auto"/>
          <w:szCs w:val="21"/>
          <w:highlight w:val="none"/>
        </w:rPr>
        <w:t>1.10交通运输</w:t>
      </w:r>
    </w:p>
    <w:p w14:paraId="0819E87B">
      <w:pPr>
        <w:adjustRightInd/>
        <w:spacing w:line="296" w:lineRule="exact"/>
        <w:rPr>
          <w:rFonts w:ascii="宋体" w:hAnsi="宋体"/>
          <w:color w:val="auto"/>
          <w:szCs w:val="21"/>
          <w:highlight w:val="none"/>
        </w:rPr>
      </w:pPr>
      <w:r>
        <w:rPr>
          <w:rFonts w:hint="eastAsia" w:ascii="宋体" w:hAnsi="宋体"/>
          <w:color w:val="auto"/>
          <w:szCs w:val="21"/>
          <w:highlight w:val="none"/>
        </w:rPr>
        <w:t>1.11知识产权</w:t>
      </w:r>
    </w:p>
    <w:p w14:paraId="64F868CF">
      <w:pPr>
        <w:adjustRightInd/>
        <w:spacing w:line="296" w:lineRule="exact"/>
        <w:rPr>
          <w:rFonts w:ascii="宋体" w:hAnsi="宋体"/>
          <w:color w:val="auto"/>
          <w:szCs w:val="21"/>
          <w:highlight w:val="none"/>
        </w:rPr>
      </w:pPr>
      <w:r>
        <w:rPr>
          <w:rFonts w:hint="eastAsia" w:ascii="宋体" w:hAnsi="宋体"/>
          <w:color w:val="auto"/>
          <w:szCs w:val="21"/>
          <w:highlight w:val="none"/>
        </w:rPr>
        <w:t>1.12保密</w:t>
      </w:r>
    </w:p>
    <w:p w14:paraId="28D9BAE5">
      <w:pPr>
        <w:adjustRightInd/>
        <w:spacing w:line="296" w:lineRule="exact"/>
        <w:rPr>
          <w:rFonts w:ascii="宋体" w:hAnsi="宋体"/>
          <w:color w:val="auto"/>
          <w:szCs w:val="21"/>
          <w:highlight w:val="none"/>
        </w:rPr>
      </w:pPr>
      <w:r>
        <w:rPr>
          <w:rFonts w:hint="eastAsia" w:ascii="宋体" w:hAnsi="宋体"/>
          <w:color w:val="auto"/>
          <w:szCs w:val="21"/>
          <w:highlight w:val="none"/>
        </w:rPr>
        <w:t>1.13工程量清单错误的修正</w:t>
      </w:r>
    </w:p>
    <w:p w14:paraId="43E3BA09">
      <w:pPr>
        <w:adjustRightInd/>
        <w:spacing w:line="296" w:lineRule="exact"/>
        <w:rPr>
          <w:rFonts w:ascii="宋体" w:hAnsi="宋体"/>
          <w:color w:val="auto"/>
          <w:szCs w:val="21"/>
          <w:highlight w:val="none"/>
        </w:rPr>
      </w:pPr>
      <w:r>
        <w:rPr>
          <w:rFonts w:hint="eastAsia" w:ascii="宋体" w:hAnsi="宋体"/>
          <w:color w:val="auto"/>
          <w:szCs w:val="21"/>
          <w:highlight w:val="none"/>
        </w:rPr>
        <w:t>2. 发包人</w:t>
      </w:r>
    </w:p>
    <w:p w14:paraId="1264B2C1">
      <w:pPr>
        <w:adjustRightInd/>
        <w:spacing w:line="296" w:lineRule="exact"/>
        <w:rPr>
          <w:rFonts w:ascii="宋体" w:hAnsi="宋体"/>
          <w:color w:val="auto"/>
          <w:szCs w:val="21"/>
          <w:highlight w:val="none"/>
        </w:rPr>
      </w:pPr>
      <w:r>
        <w:rPr>
          <w:rFonts w:hint="eastAsia" w:ascii="宋体" w:hAnsi="宋体"/>
          <w:color w:val="auto"/>
          <w:szCs w:val="21"/>
          <w:highlight w:val="none"/>
        </w:rPr>
        <w:t>2.1 许可或批准</w:t>
      </w:r>
    </w:p>
    <w:p w14:paraId="3C2A5487">
      <w:pPr>
        <w:adjustRightInd/>
        <w:spacing w:line="296" w:lineRule="exact"/>
        <w:rPr>
          <w:rFonts w:ascii="宋体" w:hAnsi="宋体"/>
          <w:color w:val="auto"/>
          <w:szCs w:val="21"/>
          <w:highlight w:val="none"/>
        </w:rPr>
      </w:pPr>
      <w:r>
        <w:rPr>
          <w:rFonts w:hint="eastAsia" w:ascii="宋体" w:hAnsi="宋体"/>
          <w:color w:val="auto"/>
          <w:szCs w:val="21"/>
          <w:highlight w:val="none"/>
        </w:rPr>
        <w:t>2.2 发包人代表</w:t>
      </w:r>
    </w:p>
    <w:p w14:paraId="3EF9A4A5">
      <w:pPr>
        <w:adjustRightInd/>
        <w:spacing w:line="296" w:lineRule="exact"/>
        <w:rPr>
          <w:rFonts w:ascii="宋体" w:hAnsi="宋体"/>
          <w:color w:val="auto"/>
          <w:szCs w:val="21"/>
          <w:highlight w:val="none"/>
        </w:rPr>
      </w:pPr>
      <w:r>
        <w:rPr>
          <w:rFonts w:hint="eastAsia" w:ascii="宋体" w:hAnsi="宋体"/>
          <w:color w:val="auto"/>
          <w:szCs w:val="21"/>
          <w:highlight w:val="none"/>
        </w:rPr>
        <w:t>2.3 发包人人员</w:t>
      </w:r>
    </w:p>
    <w:p w14:paraId="0A2E3379">
      <w:pPr>
        <w:adjustRightInd/>
        <w:spacing w:line="296" w:lineRule="exact"/>
        <w:rPr>
          <w:rFonts w:ascii="宋体" w:hAnsi="宋体"/>
          <w:color w:val="auto"/>
          <w:szCs w:val="21"/>
          <w:highlight w:val="none"/>
        </w:rPr>
      </w:pPr>
      <w:r>
        <w:rPr>
          <w:rFonts w:hint="eastAsia" w:ascii="宋体" w:hAnsi="宋体"/>
          <w:color w:val="auto"/>
          <w:szCs w:val="21"/>
          <w:highlight w:val="none"/>
        </w:rPr>
        <w:t>2.4 施工现场、施工条件和基础资料的提供</w:t>
      </w:r>
    </w:p>
    <w:p w14:paraId="29796128">
      <w:pPr>
        <w:adjustRightInd/>
        <w:spacing w:line="296" w:lineRule="exact"/>
        <w:rPr>
          <w:rFonts w:ascii="宋体" w:hAnsi="宋体"/>
          <w:color w:val="auto"/>
          <w:szCs w:val="21"/>
          <w:highlight w:val="none"/>
        </w:rPr>
      </w:pPr>
      <w:r>
        <w:rPr>
          <w:rFonts w:hint="eastAsia" w:ascii="宋体" w:hAnsi="宋体"/>
          <w:color w:val="auto"/>
          <w:szCs w:val="21"/>
          <w:highlight w:val="none"/>
        </w:rPr>
        <w:t>2.5 资金来源证明及支付担保</w:t>
      </w:r>
    </w:p>
    <w:p w14:paraId="3090F7DA">
      <w:pPr>
        <w:adjustRightInd/>
        <w:spacing w:line="296" w:lineRule="exact"/>
        <w:rPr>
          <w:rFonts w:ascii="宋体" w:hAnsi="宋体"/>
          <w:color w:val="auto"/>
          <w:szCs w:val="21"/>
          <w:highlight w:val="none"/>
        </w:rPr>
      </w:pPr>
      <w:r>
        <w:rPr>
          <w:rFonts w:hint="eastAsia" w:ascii="宋体" w:hAnsi="宋体"/>
          <w:color w:val="auto"/>
          <w:szCs w:val="21"/>
          <w:highlight w:val="none"/>
        </w:rPr>
        <w:t>2.6 支付合同价款</w:t>
      </w:r>
    </w:p>
    <w:p w14:paraId="44812223">
      <w:pPr>
        <w:adjustRightInd/>
        <w:spacing w:line="296" w:lineRule="exact"/>
        <w:rPr>
          <w:rFonts w:ascii="宋体" w:hAnsi="宋体"/>
          <w:color w:val="auto"/>
          <w:szCs w:val="21"/>
          <w:highlight w:val="none"/>
        </w:rPr>
      </w:pPr>
      <w:r>
        <w:rPr>
          <w:rFonts w:hint="eastAsia" w:ascii="宋体" w:hAnsi="宋体"/>
          <w:color w:val="auto"/>
          <w:szCs w:val="21"/>
          <w:highlight w:val="none"/>
        </w:rPr>
        <w:t>2.7 组织竣工验收</w:t>
      </w:r>
    </w:p>
    <w:p w14:paraId="29077E8B">
      <w:pPr>
        <w:adjustRightInd/>
        <w:spacing w:line="296" w:lineRule="exact"/>
        <w:rPr>
          <w:rFonts w:ascii="宋体" w:hAnsi="宋体"/>
          <w:color w:val="auto"/>
          <w:szCs w:val="21"/>
          <w:highlight w:val="none"/>
        </w:rPr>
      </w:pPr>
      <w:r>
        <w:rPr>
          <w:rFonts w:hint="eastAsia" w:ascii="宋体" w:hAnsi="宋体"/>
          <w:color w:val="auto"/>
          <w:szCs w:val="21"/>
          <w:highlight w:val="none"/>
        </w:rPr>
        <w:t>2.8 现场统一管理协议</w:t>
      </w:r>
    </w:p>
    <w:p w14:paraId="1F8E6E91">
      <w:pPr>
        <w:adjustRightInd/>
        <w:spacing w:line="296" w:lineRule="exact"/>
        <w:rPr>
          <w:rFonts w:ascii="宋体" w:hAnsi="宋体"/>
          <w:color w:val="auto"/>
          <w:szCs w:val="21"/>
          <w:highlight w:val="none"/>
        </w:rPr>
      </w:pPr>
      <w:r>
        <w:rPr>
          <w:rFonts w:hint="eastAsia" w:ascii="宋体" w:hAnsi="宋体"/>
          <w:color w:val="auto"/>
          <w:szCs w:val="21"/>
          <w:highlight w:val="none"/>
        </w:rPr>
        <w:t>3. 承包人</w:t>
      </w:r>
    </w:p>
    <w:p w14:paraId="363482DF">
      <w:pPr>
        <w:adjustRightInd/>
        <w:spacing w:line="296" w:lineRule="exact"/>
        <w:rPr>
          <w:rFonts w:ascii="宋体" w:hAnsi="宋体"/>
          <w:color w:val="auto"/>
          <w:szCs w:val="21"/>
          <w:highlight w:val="none"/>
        </w:rPr>
      </w:pPr>
      <w:r>
        <w:rPr>
          <w:rFonts w:hint="eastAsia" w:ascii="宋体" w:hAnsi="宋体"/>
          <w:color w:val="auto"/>
          <w:szCs w:val="21"/>
          <w:highlight w:val="none"/>
        </w:rPr>
        <w:t>3.1 承包人的一般义务</w:t>
      </w:r>
    </w:p>
    <w:p w14:paraId="178D88D2">
      <w:pPr>
        <w:adjustRightInd/>
        <w:spacing w:line="296" w:lineRule="exact"/>
        <w:rPr>
          <w:rFonts w:ascii="宋体" w:hAnsi="宋体"/>
          <w:color w:val="auto"/>
          <w:szCs w:val="21"/>
          <w:highlight w:val="none"/>
        </w:rPr>
      </w:pPr>
      <w:r>
        <w:rPr>
          <w:rFonts w:hint="eastAsia" w:ascii="宋体" w:hAnsi="宋体"/>
          <w:color w:val="auto"/>
          <w:szCs w:val="21"/>
          <w:highlight w:val="none"/>
        </w:rPr>
        <w:t>3.2 项目经理</w:t>
      </w:r>
    </w:p>
    <w:p w14:paraId="2BC691AB">
      <w:pPr>
        <w:adjustRightInd/>
        <w:spacing w:line="296" w:lineRule="exact"/>
        <w:rPr>
          <w:rFonts w:ascii="宋体" w:hAnsi="宋体"/>
          <w:color w:val="auto"/>
          <w:szCs w:val="21"/>
          <w:highlight w:val="none"/>
        </w:rPr>
      </w:pPr>
      <w:r>
        <w:rPr>
          <w:rFonts w:hint="eastAsia" w:ascii="宋体" w:hAnsi="宋体"/>
          <w:color w:val="auto"/>
          <w:szCs w:val="21"/>
          <w:highlight w:val="none"/>
        </w:rPr>
        <w:t>3.3 承包人人员</w:t>
      </w:r>
    </w:p>
    <w:p w14:paraId="7BCF1B7E">
      <w:pPr>
        <w:adjustRightInd/>
        <w:spacing w:line="296" w:lineRule="exact"/>
        <w:rPr>
          <w:rFonts w:ascii="宋体" w:hAnsi="宋体"/>
          <w:color w:val="auto"/>
          <w:szCs w:val="21"/>
          <w:highlight w:val="none"/>
        </w:rPr>
      </w:pPr>
      <w:r>
        <w:rPr>
          <w:rFonts w:hint="eastAsia" w:ascii="宋体" w:hAnsi="宋体"/>
          <w:color w:val="auto"/>
          <w:szCs w:val="21"/>
          <w:highlight w:val="none"/>
        </w:rPr>
        <w:t>3.4 承包人现场查勘</w:t>
      </w:r>
    </w:p>
    <w:p w14:paraId="535EB0D3">
      <w:pPr>
        <w:adjustRightInd/>
        <w:spacing w:line="296" w:lineRule="exact"/>
        <w:rPr>
          <w:rFonts w:ascii="宋体" w:hAnsi="宋体"/>
          <w:color w:val="auto"/>
          <w:szCs w:val="21"/>
          <w:highlight w:val="none"/>
        </w:rPr>
      </w:pPr>
      <w:r>
        <w:rPr>
          <w:rFonts w:hint="eastAsia" w:ascii="宋体" w:hAnsi="宋体"/>
          <w:color w:val="auto"/>
          <w:szCs w:val="21"/>
          <w:highlight w:val="none"/>
        </w:rPr>
        <w:t>3.5 分包</w:t>
      </w:r>
    </w:p>
    <w:p w14:paraId="72B278D3">
      <w:pPr>
        <w:adjustRightInd/>
        <w:spacing w:line="296" w:lineRule="exact"/>
        <w:rPr>
          <w:rFonts w:ascii="宋体" w:hAnsi="宋体"/>
          <w:color w:val="auto"/>
          <w:szCs w:val="21"/>
          <w:highlight w:val="none"/>
        </w:rPr>
      </w:pPr>
      <w:r>
        <w:rPr>
          <w:rFonts w:hint="eastAsia" w:ascii="宋体" w:hAnsi="宋体"/>
          <w:color w:val="auto"/>
          <w:szCs w:val="21"/>
          <w:highlight w:val="none"/>
        </w:rPr>
        <w:t>3.6 工程照管与成品、半成品保护</w:t>
      </w:r>
    </w:p>
    <w:p w14:paraId="43D21F41">
      <w:pPr>
        <w:adjustRightInd/>
        <w:spacing w:line="296" w:lineRule="exact"/>
        <w:rPr>
          <w:rFonts w:ascii="宋体" w:hAnsi="宋体"/>
          <w:color w:val="auto"/>
          <w:szCs w:val="21"/>
          <w:highlight w:val="none"/>
        </w:rPr>
      </w:pPr>
      <w:r>
        <w:rPr>
          <w:rFonts w:hint="eastAsia" w:ascii="宋体" w:hAnsi="宋体"/>
          <w:color w:val="auto"/>
          <w:szCs w:val="21"/>
          <w:highlight w:val="none"/>
        </w:rPr>
        <w:t>3.7 履约担保</w:t>
      </w:r>
    </w:p>
    <w:p w14:paraId="6F05C9F7">
      <w:pPr>
        <w:adjustRightInd/>
        <w:spacing w:line="296" w:lineRule="exact"/>
        <w:rPr>
          <w:rFonts w:ascii="宋体" w:hAnsi="宋体"/>
          <w:color w:val="auto"/>
          <w:szCs w:val="21"/>
          <w:highlight w:val="none"/>
        </w:rPr>
      </w:pPr>
      <w:r>
        <w:rPr>
          <w:rFonts w:hint="eastAsia" w:ascii="宋体" w:hAnsi="宋体"/>
          <w:color w:val="auto"/>
          <w:szCs w:val="21"/>
          <w:highlight w:val="none"/>
        </w:rPr>
        <w:t>3.8 联合体</w:t>
      </w:r>
    </w:p>
    <w:p w14:paraId="4C220244">
      <w:pPr>
        <w:adjustRightInd/>
        <w:spacing w:line="296" w:lineRule="exact"/>
        <w:rPr>
          <w:rFonts w:ascii="宋体" w:hAnsi="宋体"/>
          <w:color w:val="auto"/>
          <w:szCs w:val="21"/>
          <w:highlight w:val="none"/>
        </w:rPr>
      </w:pPr>
      <w:r>
        <w:rPr>
          <w:rFonts w:hint="eastAsia" w:ascii="宋体" w:hAnsi="宋体"/>
          <w:color w:val="auto"/>
          <w:szCs w:val="21"/>
          <w:highlight w:val="none"/>
        </w:rPr>
        <w:t>4. 监理人</w:t>
      </w:r>
    </w:p>
    <w:p w14:paraId="4FBDB628">
      <w:pPr>
        <w:adjustRightInd/>
        <w:spacing w:line="296" w:lineRule="exact"/>
        <w:rPr>
          <w:rFonts w:ascii="宋体" w:hAnsi="宋体"/>
          <w:color w:val="auto"/>
          <w:szCs w:val="21"/>
          <w:highlight w:val="none"/>
        </w:rPr>
      </w:pPr>
      <w:r>
        <w:rPr>
          <w:rFonts w:hint="eastAsia" w:ascii="宋体" w:hAnsi="宋体"/>
          <w:color w:val="auto"/>
          <w:szCs w:val="21"/>
          <w:highlight w:val="none"/>
        </w:rPr>
        <w:t>4.1监理人的一般规定</w:t>
      </w:r>
    </w:p>
    <w:p w14:paraId="3C01F300">
      <w:pPr>
        <w:adjustRightInd/>
        <w:spacing w:line="296" w:lineRule="exact"/>
        <w:rPr>
          <w:rFonts w:ascii="宋体" w:hAnsi="宋体"/>
          <w:color w:val="auto"/>
          <w:szCs w:val="21"/>
          <w:highlight w:val="none"/>
        </w:rPr>
      </w:pPr>
      <w:r>
        <w:rPr>
          <w:rFonts w:hint="eastAsia" w:ascii="宋体" w:hAnsi="宋体"/>
          <w:color w:val="auto"/>
          <w:szCs w:val="21"/>
          <w:highlight w:val="none"/>
        </w:rPr>
        <w:t>4.2监理人员</w:t>
      </w:r>
    </w:p>
    <w:p w14:paraId="31D41201">
      <w:pPr>
        <w:adjustRightInd/>
        <w:spacing w:line="296" w:lineRule="exact"/>
        <w:rPr>
          <w:rFonts w:ascii="宋体" w:hAnsi="宋体"/>
          <w:color w:val="auto"/>
          <w:szCs w:val="21"/>
          <w:highlight w:val="none"/>
        </w:rPr>
      </w:pPr>
      <w:r>
        <w:rPr>
          <w:rFonts w:hint="eastAsia" w:ascii="宋体" w:hAnsi="宋体"/>
          <w:color w:val="auto"/>
          <w:szCs w:val="21"/>
          <w:highlight w:val="none"/>
        </w:rPr>
        <w:t>4.3监理人的指示</w:t>
      </w:r>
    </w:p>
    <w:p w14:paraId="2FC38363">
      <w:pPr>
        <w:adjustRightInd/>
        <w:spacing w:line="296" w:lineRule="exact"/>
        <w:rPr>
          <w:rFonts w:ascii="宋体" w:hAnsi="宋体"/>
          <w:color w:val="auto"/>
          <w:szCs w:val="21"/>
          <w:highlight w:val="none"/>
        </w:rPr>
      </w:pPr>
      <w:r>
        <w:rPr>
          <w:rFonts w:hint="eastAsia" w:ascii="宋体" w:hAnsi="宋体"/>
          <w:color w:val="auto"/>
          <w:szCs w:val="21"/>
          <w:highlight w:val="none"/>
        </w:rPr>
        <w:t>4.4 商定或确定</w:t>
      </w:r>
    </w:p>
    <w:p w14:paraId="7A942A54">
      <w:pPr>
        <w:adjustRightInd/>
        <w:spacing w:line="296" w:lineRule="exact"/>
        <w:rPr>
          <w:rFonts w:ascii="宋体" w:hAnsi="宋体"/>
          <w:color w:val="auto"/>
          <w:szCs w:val="21"/>
          <w:highlight w:val="none"/>
        </w:rPr>
      </w:pPr>
      <w:r>
        <w:rPr>
          <w:rFonts w:hint="eastAsia" w:ascii="宋体" w:hAnsi="宋体"/>
          <w:color w:val="auto"/>
          <w:szCs w:val="21"/>
          <w:highlight w:val="none"/>
        </w:rPr>
        <w:t>5. 工程质量</w:t>
      </w:r>
    </w:p>
    <w:p w14:paraId="2128CFA7">
      <w:pPr>
        <w:adjustRightInd/>
        <w:spacing w:line="296" w:lineRule="exact"/>
        <w:rPr>
          <w:rFonts w:ascii="宋体" w:hAnsi="宋体"/>
          <w:color w:val="auto"/>
          <w:szCs w:val="21"/>
          <w:highlight w:val="none"/>
        </w:rPr>
      </w:pPr>
      <w:r>
        <w:rPr>
          <w:rFonts w:hint="eastAsia" w:ascii="宋体" w:hAnsi="宋体"/>
          <w:color w:val="auto"/>
          <w:szCs w:val="21"/>
          <w:highlight w:val="none"/>
        </w:rPr>
        <w:t>5.1质量要求</w:t>
      </w:r>
    </w:p>
    <w:p w14:paraId="35B30C51">
      <w:pPr>
        <w:adjustRightInd/>
        <w:spacing w:line="296" w:lineRule="exact"/>
        <w:rPr>
          <w:rFonts w:ascii="宋体" w:hAnsi="宋体"/>
          <w:color w:val="auto"/>
          <w:szCs w:val="21"/>
          <w:highlight w:val="none"/>
        </w:rPr>
      </w:pPr>
      <w:r>
        <w:rPr>
          <w:rFonts w:hint="eastAsia" w:ascii="宋体" w:hAnsi="宋体"/>
          <w:color w:val="auto"/>
          <w:szCs w:val="21"/>
          <w:highlight w:val="none"/>
        </w:rPr>
        <w:t>5.2质量保证措施</w:t>
      </w:r>
    </w:p>
    <w:p w14:paraId="30EC4051">
      <w:pPr>
        <w:adjustRightInd/>
        <w:spacing w:line="296" w:lineRule="exact"/>
        <w:rPr>
          <w:rFonts w:ascii="宋体" w:hAnsi="宋体"/>
          <w:color w:val="auto"/>
          <w:szCs w:val="21"/>
          <w:highlight w:val="none"/>
        </w:rPr>
      </w:pPr>
      <w:r>
        <w:rPr>
          <w:rFonts w:hint="eastAsia" w:ascii="宋体" w:hAnsi="宋体"/>
          <w:color w:val="auto"/>
          <w:szCs w:val="21"/>
          <w:highlight w:val="none"/>
        </w:rPr>
        <w:t>5.3 隐蔽工程检查</w:t>
      </w:r>
    </w:p>
    <w:p w14:paraId="726C2270">
      <w:pPr>
        <w:adjustRightInd/>
        <w:spacing w:line="296" w:lineRule="exact"/>
        <w:rPr>
          <w:rFonts w:ascii="宋体" w:hAnsi="宋体"/>
          <w:color w:val="auto"/>
          <w:szCs w:val="21"/>
          <w:highlight w:val="none"/>
        </w:rPr>
      </w:pPr>
      <w:r>
        <w:rPr>
          <w:rFonts w:hint="eastAsia" w:ascii="宋体" w:hAnsi="宋体"/>
          <w:color w:val="auto"/>
          <w:szCs w:val="21"/>
          <w:highlight w:val="none"/>
        </w:rPr>
        <w:t>5.4不合格工程的处理</w:t>
      </w:r>
    </w:p>
    <w:p w14:paraId="397219AD">
      <w:pPr>
        <w:adjustRightInd/>
        <w:spacing w:line="296" w:lineRule="exact"/>
        <w:rPr>
          <w:rFonts w:ascii="宋体" w:hAnsi="宋体"/>
          <w:color w:val="auto"/>
          <w:szCs w:val="21"/>
          <w:highlight w:val="none"/>
        </w:rPr>
      </w:pPr>
      <w:r>
        <w:rPr>
          <w:rFonts w:hint="eastAsia" w:ascii="宋体" w:hAnsi="宋体"/>
          <w:color w:val="auto"/>
          <w:szCs w:val="21"/>
          <w:highlight w:val="none"/>
        </w:rPr>
        <w:t>5.5 质量争议检测</w:t>
      </w:r>
    </w:p>
    <w:p w14:paraId="694FC668">
      <w:pPr>
        <w:adjustRightInd/>
        <w:spacing w:line="296" w:lineRule="exact"/>
        <w:rPr>
          <w:rFonts w:ascii="宋体" w:hAnsi="宋体"/>
          <w:color w:val="auto"/>
          <w:szCs w:val="21"/>
          <w:highlight w:val="none"/>
        </w:rPr>
      </w:pPr>
      <w:r>
        <w:rPr>
          <w:rFonts w:hint="eastAsia" w:ascii="宋体" w:hAnsi="宋体"/>
          <w:color w:val="auto"/>
          <w:szCs w:val="21"/>
          <w:highlight w:val="none"/>
        </w:rPr>
        <w:t>6. 安全文明施工与环境保护</w:t>
      </w:r>
    </w:p>
    <w:p w14:paraId="347B6557">
      <w:pPr>
        <w:adjustRightInd/>
        <w:spacing w:line="296" w:lineRule="exact"/>
        <w:rPr>
          <w:rFonts w:ascii="宋体" w:hAnsi="宋体"/>
          <w:color w:val="auto"/>
          <w:szCs w:val="21"/>
          <w:highlight w:val="none"/>
        </w:rPr>
      </w:pPr>
      <w:r>
        <w:rPr>
          <w:rFonts w:hint="eastAsia" w:ascii="宋体" w:hAnsi="宋体"/>
          <w:color w:val="auto"/>
          <w:szCs w:val="21"/>
          <w:highlight w:val="none"/>
        </w:rPr>
        <w:t>6.1安全文明施工</w:t>
      </w:r>
    </w:p>
    <w:p w14:paraId="7CEB811C">
      <w:pPr>
        <w:adjustRightInd/>
        <w:spacing w:line="296" w:lineRule="exact"/>
        <w:rPr>
          <w:rFonts w:ascii="宋体" w:hAnsi="宋体"/>
          <w:color w:val="auto"/>
          <w:szCs w:val="21"/>
          <w:highlight w:val="none"/>
        </w:rPr>
      </w:pPr>
      <w:r>
        <w:rPr>
          <w:rFonts w:hint="eastAsia" w:ascii="宋体" w:hAnsi="宋体"/>
          <w:color w:val="auto"/>
          <w:szCs w:val="21"/>
          <w:highlight w:val="none"/>
        </w:rPr>
        <w:t>6.2 职业健康</w:t>
      </w:r>
    </w:p>
    <w:p w14:paraId="71C50C73">
      <w:pPr>
        <w:adjustRightInd/>
        <w:spacing w:line="296" w:lineRule="exact"/>
        <w:rPr>
          <w:rFonts w:ascii="宋体" w:hAnsi="宋体"/>
          <w:color w:val="auto"/>
          <w:szCs w:val="21"/>
          <w:highlight w:val="none"/>
        </w:rPr>
      </w:pPr>
      <w:r>
        <w:rPr>
          <w:rFonts w:hint="eastAsia" w:ascii="宋体" w:hAnsi="宋体"/>
          <w:color w:val="auto"/>
          <w:szCs w:val="21"/>
          <w:highlight w:val="none"/>
        </w:rPr>
        <w:t>6.3 环境保护</w:t>
      </w:r>
    </w:p>
    <w:p w14:paraId="2F7B8C98">
      <w:pPr>
        <w:adjustRightInd/>
        <w:spacing w:line="296" w:lineRule="exact"/>
        <w:rPr>
          <w:rFonts w:ascii="宋体" w:hAnsi="宋体"/>
          <w:color w:val="auto"/>
          <w:szCs w:val="21"/>
          <w:highlight w:val="none"/>
        </w:rPr>
      </w:pPr>
      <w:r>
        <w:rPr>
          <w:rFonts w:hint="eastAsia" w:ascii="宋体" w:hAnsi="宋体"/>
          <w:color w:val="auto"/>
          <w:szCs w:val="21"/>
          <w:highlight w:val="none"/>
        </w:rPr>
        <w:t>7. 工期和进度</w:t>
      </w:r>
    </w:p>
    <w:p w14:paraId="31CD5D97">
      <w:pPr>
        <w:adjustRightInd/>
        <w:spacing w:line="296" w:lineRule="exact"/>
        <w:rPr>
          <w:rFonts w:ascii="宋体" w:hAnsi="宋体"/>
          <w:color w:val="auto"/>
          <w:szCs w:val="21"/>
          <w:highlight w:val="none"/>
        </w:rPr>
      </w:pPr>
      <w:r>
        <w:rPr>
          <w:rFonts w:hint="eastAsia" w:ascii="宋体" w:hAnsi="宋体"/>
          <w:color w:val="auto"/>
          <w:szCs w:val="21"/>
          <w:highlight w:val="none"/>
        </w:rPr>
        <w:t>7.1施工组织设计</w:t>
      </w:r>
    </w:p>
    <w:p w14:paraId="2E8C3070">
      <w:pPr>
        <w:adjustRightInd/>
        <w:spacing w:line="296" w:lineRule="exact"/>
        <w:rPr>
          <w:rFonts w:ascii="宋体" w:hAnsi="宋体"/>
          <w:color w:val="auto"/>
          <w:szCs w:val="21"/>
          <w:highlight w:val="none"/>
        </w:rPr>
      </w:pPr>
      <w:r>
        <w:rPr>
          <w:rFonts w:hint="eastAsia" w:ascii="宋体" w:hAnsi="宋体"/>
          <w:color w:val="auto"/>
          <w:szCs w:val="21"/>
          <w:highlight w:val="none"/>
        </w:rPr>
        <w:t>7.2 施工进度计划</w:t>
      </w:r>
    </w:p>
    <w:p w14:paraId="532B1692">
      <w:pPr>
        <w:adjustRightInd/>
        <w:spacing w:line="296" w:lineRule="exact"/>
        <w:rPr>
          <w:rFonts w:ascii="宋体" w:hAnsi="宋体"/>
          <w:color w:val="auto"/>
          <w:szCs w:val="21"/>
          <w:highlight w:val="none"/>
        </w:rPr>
      </w:pPr>
      <w:r>
        <w:rPr>
          <w:rFonts w:hint="eastAsia" w:ascii="宋体" w:hAnsi="宋体"/>
          <w:color w:val="auto"/>
          <w:szCs w:val="21"/>
          <w:highlight w:val="none"/>
        </w:rPr>
        <w:t>7.3 开工</w:t>
      </w:r>
    </w:p>
    <w:p w14:paraId="370DCFBB">
      <w:pPr>
        <w:adjustRightInd/>
        <w:spacing w:line="296" w:lineRule="exact"/>
        <w:rPr>
          <w:rFonts w:ascii="宋体" w:hAnsi="宋体"/>
          <w:color w:val="auto"/>
          <w:szCs w:val="21"/>
          <w:highlight w:val="none"/>
        </w:rPr>
      </w:pPr>
      <w:r>
        <w:rPr>
          <w:rFonts w:hint="eastAsia" w:ascii="宋体" w:hAnsi="宋体"/>
          <w:color w:val="auto"/>
          <w:szCs w:val="21"/>
          <w:highlight w:val="none"/>
        </w:rPr>
        <w:t>7.4测量放线</w:t>
      </w:r>
    </w:p>
    <w:p w14:paraId="27E719F8">
      <w:pPr>
        <w:adjustRightInd/>
        <w:spacing w:line="296" w:lineRule="exact"/>
        <w:rPr>
          <w:rFonts w:ascii="宋体" w:hAnsi="宋体"/>
          <w:color w:val="auto"/>
          <w:szCs w:val="21"/>
          <w:highlight w:val="none"/>
        </w:rPr>
      </w:pPr>
      <w:r>
        <w:rPr>
          <w:rFonts w:hint="eastAsia" w:ascii="宋体" w:hAnsi="宋体"/>
          <w:color w:val="auto"/>
          <w:szCs w:val="21"/>
          <w:highlight w:val="none"/>
        </w:rPr>
        <w:t>7.5工期延误</w:t>
      </w:r>
    </w:p>
    <w:p w14:paraId="67DBFB2F">
      <w:pPr>
        <w:adjustRightInd/>
        <w:spacing w:line="296" w:lineRule="exact"/>
        <w:rPr>
          <w:rFonts w:ascii="宋体" w:hAnsi="宋体"/>
          <w:color w:val="auto"/>
          <w:szCs w:val="21"/>
          <w:highlight w:val="none"/>
        </w:rPr>
      </w:pPr>
      <w:r>
        <w:rPr>
          <w:rFonts w:hint="eastAsia" w:ascii="宋体" w:hAnsi="宋体"/>
          <w:color w:val="auto"/>
          <w:szCs w:val="21"/>
          <w:highlight w:val="none"/>
        </w:rPr>
        <w:t>7.6 不利物质条件</w:t>
      </w:r>
    </w:p>
    <w:p w14:paraId="7D402DD6">
      <w:pPr>
        <w:adjustRightInd/>
        <w:spacing w:line="296" w:lineRule="exact"/>
        <w:rPr>
          <w:rFonts w:ascii="宋体" w:hAnsi="宋体"/>
          <w:color w:val="auto"/>
          <w:szCs w:val="21"/>
          <w:highlight w:val="none"/>
        </w:rPr>
      </w:pPr>
      <w:r>
        <w:rPr>
          <w:rFonts w:hint="eastAsia" w:ascii="宋体" w:hAnsi="宋体"/>
          <w:color w:val="auto"/>
          <w:szCs w:val="21"/>
          <w:highlight w:val="none"/>
        </w:rPr>
        <w:t>7.7异常恶劣的气候条件</w:t>
      </w:r>
    </w:p>
    <w:p w14:paraId="222B5CEF">
      <w:pPr>
        <w:adjustRightInd/>
        <w:spacing w:line="296" w:lineRule="exact"/>
        <w:rPr>
          <w:rFonts w:ascii="宋体" w:hAnsi="宋体"/>
          <w:color w:val="auto"/>
          <w:szCs w:val="21"/>
          <w:highlight w:val="none"/>
        </w:rPr>
      </w:pPr>
      <w:r>
        <w:rPr>
          <w:rFonts w:hint="eastAsia" w:ascii="宋体" w:hAnsi="宋体"/>
          <w:color w:val="auto"/>
          <w:szCs w:val="21"/>
          <w:highlight w:val="none"/>
        </w:rPr>
        <w:t>7.8 暂停施工</w:t>
      </w:r>
    </w:p>
    <w:p w14:paraId="74990FC4">
      <w:pPr>
        <w:adjustRightInd/>
        <w:spacing w:line="296" w:lineRule="exact"/>
        <w:rPr>
          <w:rFonts w:ascii="宋体" w:hAnsi="宋体"/>
          <w:color w:val="auto"/>
          <w:szCs w:val="21"/>
          <w:highlight w:val="none"/>
        </w:rPr>
      </w:pPr>
      <w:r>
        <w:rPr>
          <w:rFonts w:hint="eastAsia" w:ascii="宋体" w:hAnsi="宋体"/>
          <w:color w:val="auto"/>
          <w:szCs w:val="21"/>
          <w:highlight w:val="none"/>
        </w:rPr>
        <w:t>7.9 提前竣工</w:t>
      </w:r>
    </w:p>
    <w:p w14:paraId="2EFED554">
      <w:pPr>
        <w:adjustRightInd/>
        <w:spacing w:line="296" w:lineRule="exact"/>
        <w:rPr>
          <w:rFonts w:ascii="宋体" w:hAnsi="宋体"/>
          <w:color w:val="auto"/>
          <w:szCs w:val="21"/>
          <w:highlight w:val="none"/>
        </w:rPr>
      </w:pPr>
      <w:r>
        <w:rPr>
          <w:rFonts w:hint="eastAsia" w:ascii="宋体" w:hAnsi="宋体"/>
          <w:color w:val="auto"/>
          <w:szCs w:val="21"/>
          <w:highlight w:val="none"/>
        </w:rPr>
        <w:t>8. 材料与设备</w:t>
      </w:r>
    </w:p>
    <w:p w14:paraId="014ACC90">
      <w:pPr>
        <w:adjustRightInd/>
        <w:spacing w:line="296" w:lineRule="exact"/>
        <w:rPr>
          <w:rFonts w:ascii="宋体" w:hAnsi="宋体"/>
          <w:color w:val="auto"/>
          <w:szCs w:val="21"/>
          <w:highlight w:val="none"/>
        </w:rPr>
      </w:pPr>
      <w:r>
        <w:rPr>
          <w:rFonts w:hint="eastAsia" w:ascii="宋体" w:hAnsi="宋体"/>
          <w:color w:val="auto"/>
          <w:szCs w:val="21"/>
          <w:highlight w:val="none"/>
        </w:rPr>
        <w:t>8.1发包人供应材料与工程设备</w:t>
      </w:r>
    </w:p>
    <w:p w14:paraId="2D966A02">
      <w:pPr>
        <w:adjustRightInd/>
        <w:spacing w:line="296" w:lineRule="exact"/>
        <w:rPr>
          <w:rFonts w:ascii="宋体" w:hAnsi="宋体"/>
          <w:color w:val="auto"/>
          <w:szCs w:val="21"/>
          <w:highlight w:val="none"/>
        </w:rPr>
      </w:pPr>
      <w:r>
        <w:rPr>
          <w:rFonts w:hint="eastAsia" w:ascii="宋体" w:hAnsi="宋体"/>
          <w:color w:val="auto"/>
          <w:szCs w:val="21"/>
          <w:highlight w:val="none"/>
        </w:rPr>
        <w:t>8.2承包人采购材料与工程设备</w:t>
      </w:r>
    </w:p>
    <w:p w14:paraId="7E6DA351">
      <w:pPr>
        <w:adjustRightInd/>
        <w:spacing w:line="296" w:lineRule="exact"/>
        <w:rPr>
          <w:rFonts w:ascii="宋体" w:hAnsi="宋体"/>
          <w:color w:val="auto"/>
          <w:szCs w:val="21"/>
          <w:highlight w:val="none"/>
        </w:rPr>
      </w:pPr>
      <w:r>
        <w:rPr>
          <w:rFonts w:hint="eastAsia" w:ascii="宋体" w:hAnsi="宋体"/>
          <w:color w:val="auto"/>
          <w:szCs w:val="21"/>
          <w:highlight w:val="none"/>
        </w:rPr>
        <w:t>8.3材料与工程设备的接收与拒收</w:t>
      </w:r>
    </w:p>
    <w:p w14:paraId="4F1F68E7">
      <w:pPr>
        <w:adjustRightInd/>
        <w:spacing w:line="296" w:lineRule="exact"/>
        <w:rPr>
          <w:rFonts w:ascii="宋体" w:hAnsi="宋体"/>
          <w:color w:val="auto"/>
          <w:szCs w:val="21"/>
          <w:highlight w:val="none"/>
        </w:rPr>
      </w:pPr>
      <w:r>
        <w:rPr>
          <w:rFonts w:hint="eastAsia" w:ascii="宋体" w:hAnsi="宋体"/>
          <w:color w:val="auto"/>
          <w:szCs w:val="21"/>
          <w:highlight w:val="none"/>
        </w:rPr>
        <w:t>8.4材料与工程设备的保管与使用</w:t>
      </w:r>
    </w:p>
    <w:p w14:paraId="03083B91">
      <w:pPr>
        <w:adjustRightInd/>
        <w:spacing w:line="296" w:lineRule="exact"/>
        <w:rPr>
          <w:rFonts w:ascii="宋体" w:hAnsi="宋体"/>
          <w:color w:val="auto"/>
          <w:szCs w:val="21"/>
          <w:highlight w:val="none"/>
        </w:rPr>
      </w:pPr>
      <w:r>
        <w:rPr>
          <w:rFonts w:hint="eastAsia" w:ascii="宋体" w:hAnsi="宋体"/>
          <w:color w:val="auto"/>
          <w:szCs w:val="21"/>
          <w:highlight w:val="none"/>
        </w:rPr>
        <w:t>8.5 禁止使用不合格的材料和工程设备</w:t>
      </w:r>
    </w:p>
    <w:p w14:paraId="6DE1CE63">
      <w:pPr>
        <w:adjustRightInd/>
        <w:spacing w:line="296" w:lineRule="exact"/>
        <w:rPr>
          <w:rFonts w:ascii="宋体" w:hAnsi="宋体"/>
          <w:color w:val="auto"/>
          <w:szCs w:val="21"/>
          <w:highlight w:val="none"/>
        </w:rPr>
      </w:pPr>
      <w:r>
        <w:rPr>
          <w:rFonts w:hint="eastAsia" w:ascii="宋体" w:hAnsi="宋体"/>
          <w:color w:val="auto"/>
          <w:szCs w:val="21"/>
          <w:highlight w:val="none"/>
        </w:rPr>
        <w:t>8.6 样品</w:t>
      </w:r>
    </w:p>
    <w:p w14:paraId="0AB7AC53">
      <w:pPr>
        <w:adjustRightInd/>
        <w:spacing w:line="296" w:lineRule="exact"/>
        <w:rPr>
          <w:rFonts w:ascii="宋体" w:hAnsi="宋体"/>
          <w:color w:val="auto"/>
          <w:szCs w:val="21"/>
          <w:highlight w:val="none"/>
        </w:rPr>
      </w:pPr>
      <w:r>
        <w:rPr>
          <w:rFonts w:hint="eastAsia" w:ascii="宋体" w:hAnsi="宋体"/>
          <w:color w:val="auto"/>
          <w:szCs w:val="21"/>
          <w:highlight w:val="none"/>
        </w:rPr>
        <w:t>8.7 材料与工程设备的替代</w:t>
      </w:r>
    </w:p>
    <w:p w14:paraId="435A960A">
      <w:pPr>
        <w:adjustRightInd/>
        <w:spacing w:line="296" w:lineRule="exact"/>
        <w:rPr>
          <w:rFonts w:ascii="宋体" w:hAnsi="宋体"/>
          <w:color w:val="auto"/>
          <w:szCs w:val="21"/>
          <w:highlight w:val="none"/>
        </w:rPr>
      </w:pPr>
      <w:r>
        <w:rPr>
          <w:rFonts w:hint="eastAsia" w:ascii="宋体" w:hAnsi="宋体"/>
          <w:color w:val="auto"/>
          <w:szCs w:val="21"/>
          <w:highlight w:val="none"/>
        </w:rPr>
        <w:t>8.8 施工设备和临时设施</w:t>
      </w:r>
    </w:p>
    <w:p w14:paraId="053AC5B8">
      <w:pPr>
        <w:adjustRightInd/>
        <w:spacing w:line="296" w:lineRule="exact"/>
        <w:rPr>
          <w:rFonts w:ascii="宋体" w:hAnsi="宋体"/>
          <w:color w:val="auto"/>
          <w:szCs w:val="21"/>
          <w:highlight w:val="none"/>
        </w:rPr>
      </w:pPr>
      <w:r>
        <w:rPr>
          <w:rFonts w:hint="eastAsia" w:ascii="宋体" w:hAnsi="宋体"/>
          <w:color w:val="auto"/>
          <w:szCs w:val="21"/>
          <w:highlight w:val="none"/>
        </w:rPr>
        <w:t>8.9材料与设备专用要求</w:t>
      </w:r>
    </w:p>
    <w:p w14:paraId="3ABFCD48">
      <w:pPr>
        <w:adjustRightInd/>
        <w:spacing w:line="296" w:lineRule="exact"/>
        <w:rPr>
          <w:rFonts w:ascii="宋体" w:hAnsi="宋体"/>
          <w:color w:val="auto"/>
          <w:szCs w:val="21"/>
          <w:highlight w:val="none"/>
        </w:rPr>
      </w:pPr>
      <w:r>
        <w:rPr>
          <w:rFonts w:hint="eastAsia" w:ascii="宋体" w:hAnsi="宋体"/>
          <w:color w:val="auto"/>
          <w:szCs w:val="21"/>
          <w:highlight w:val="none"/>
        </w:rPr>
        <w:t>9. 试验与检验</w:t>
      </w:r>
    </w:p>
    <w:p w14:paraId="6B3307CA">
      <w:pPr>
        <w:adjustRightInd/>
        <w:spacing w:line="296" w:lineRule="exact"/>
        <w:rPr>
          <w:rFonts w:ascii="宋体" w:hAnsi="宋体"/>
          <w:color w:val="auto"/>
          <w:szCs w:val="21"/>
          <w:highlight w:val="none"/>
        </w:rPr>
      </w:pPr>
      <w:r>
        <w:rPr>
          <w:rFonts w:hint="eastAsia" w:ascii="宋体" w:hAnsi="宋体"/>
          <w:color w:val="auto"/>
          <w:szCs w:val="21"/>
          <w:highlight w:val="none"/>
        </w:rPr>
        <w:t>9.1试验设备与试验人员</w:t>
      </w:r>
    </w:p>
    <w:p w14:paraId="1FBEB8E9">
      <w:pPr>
        <w:adjustRightInd/>
        <w:spacing w:line="296" w:lineRule="exact"/>
        <w:rPr>
          <w:rFonts w:ascii="宋体" w:hAnsi="宋体"/>
          <w:color w:val="auto"/>
          <w:szCs w:val="21"/>
          <w:highlight w:val="none"/>
        </w:rPr>
      </w:pPr>
      <w:r>
        <w:rPr>
          <w:rFonts w:hint="eastAsia" w:ascii="宋体" w:hAnsi="宋体"/>
          <w:color w:val="auto"/>
          <w:szCs w:val="21"/>
          <w:highlight w:val="none"/>
        </w:rPr>
        <w:t>9.2取样</w:t>
      </w:r>
    </w:p>
    <w:p w14:paraId="72C8851A">
      <w:pPr>
        <w:adjustRightInd/>
        <w:spacing w:line="296" w:lineRule="exact"/>
        <w:rPr>
          <w:rFonts w:ascii="宋体" w:hAnsi="宋体"/>
          <w:color w:val="auto"/>
          <w:szCs w:val="21"/>
          <w:highlight w:val="none"/>
        </w:rPr>
      </w:pPr>
      <w:r>
        <w:rPr>
          <w:rFonts w:hint="eastAsia" w:ascii="宋体" w:hAnsi="宋体"/>
          <w:color w:val="auto"/>
          <w:szCs w:val="21"/>
          <w:highlight w:val="none"/>
        </w:rPr>
        <w:t>9.3 材料、工程设备和工程的试验和检验</w:t>
      </w:r>
    </w:p>
    <w:p w14:paraId="11A73B12">
      <w:pPr>
        <w:adjustRightInd/>
        <w:spacing w:line="296" w:lineRule="exact"/>
        <w:rPr>
          <w:rFonts w:ascii="宋体" w:hAnsi="宋体"/>
          <w:color w:val="auto"/>
          <w:szCs w:val="21"/>
          <w:highlight w:val="none"/>
        </w:rPr>
      </w:pPr>
      <w:r>
        <w:rPr>
          <w:rFonts w:hint="eastAsia" w:ascii="宋体" w:hAnsi="宋体"/>
          <w:color w:val="auto"/>
          <w:szCs w:val="21"/>
          <w:highlight w:val="none"/>
        </w:rPr>
        <w:t>9.4 现场工艺试验</w:t>
      </w:r>
    </w:p>
    <w:p w14:paraId="5791E87F">
      <w:pPr>
        <w:adjustRightInd/>
        <w:spacing w:line="296" w:lineRule="exact"/>
        <w:rPr>
          <w:rFonts w:ascii="宋体" w:hAnsi="宋体"/>
          <w:color w:val="auto"/>
          <w:szCs w:val="21"/>
          <w:highlight w:val="none"/>
        </w:rPr>
      </w:pPr>
      <w:r>
        <w:rPr>
          <w:rFonts w:hint="eastAsia" w:ascii="宋体" w:hAnsi="宋体"/>
          <w:color w:val="auto"/>
          <w:szCs w:val="21"/>
          <w:highlight w:val="none"/>
        </w:rPr>
        <w:t>10. 变更</w:t>
      </w:r>
    </w:p>
    <w:p w14:paraId="13912A81">
      <w:pPr>
        <w:adjustRightInd/>
        <w:spacing w:line="296" w:lineRule="exact"/>
        <w:rPr>
          <w:rFonts w:ascii="宋体" w:hAnsi="宋体"/>
          <w:color w:val="auto"/>
          <w:szCs w:val="21"/>
          <w:highlight w:val="none"/>
        </w:rPr>
      </w:pPr>
      <w:r>
        <w:rPr>
          <w:rFonts w:hint="eastAsia" w:ascii="宋体" w:hAnsi="宋体"/>
          <w:color w:val="auto"/>
          <w:szCs w:val="21"/>
          <w:highlight w:val="none"/>
        </w:rPr>
        <w:t>10.1变更的范围</w:t>
      </w:r>
    </w:p>
    <w:p w14:paraId="43184C96">
      <w:pPr>
        <w:adjustRightInd/>
        <w:spacing w:line="296" w:lineRule="exact"/>
        <w:rPr>
          <w:rFonts w:ascii="宋体" w:hAnsi="宋体"/>
          <w:color w:val="auto"/>
          <w:szCs w:val="21"/>
          <w:highlight w:val="none"/>
        </w:rPr>
      </w:pPr>
      <w:r>
        <w:rPr>
          <w:rFonts w:hint="eastAsia" w:ascii="宋体" w:hAnsi="宋体"/>
          <w:color w:val="auto"/>
          <w:szCs w:val="21"/>
          <w:highlight w:val="none"/>
        </w:rPr>
        <w:t>10.2 变更权</w:t>
      </w:r>
    </w:p>
    <w:p w14:paraId="163EF967">
      <w:pPr>
        <w:adjustRightInd/>
        <w:spacing w:line="296" w:lineRule="exact"/>
        <w:rPr>
          <w:rFonts w:ascii="宋体" w:hAnsi="宋体"/>
          <w:color w:val="auto"/>
          <w:szCs w:val="21"/>
          <w:highlight w:val="none"/>
        </w:rPr>
      </w:pPr>
      <w:r>
        <w:rPr>
          <w:rFonts w:hint="eastAsia" w:ascii="宋体" w:hAnsi="宋体"/>
          <w:color w:val="auto"/>
          <w:szCs w:val="21"/>
          <w:highlight w:val="none"/>
        </w:rPr>
        <w:t>10.3变更程序</w:t>
      </w:r>
    </w:p>
    <w:p w14:paraId="08F28EE8">
      <w:pPr>
        <w:adjustRightInd/>
        <w:spacing w:line="296" w:lineRule="exact"/>
        <w:rPr>
          <w:rFonts w:ascii="宋体" w:hAnsi="宋体"/>
          <w:color w:val="auto"/>
          <w:szCs w:val="21"/>
          <w:highlight w:val="none"/>
        </w:rPr>
      </w:pPr>
      <w:r>
        <w:rPr>
          <w:rFonts w:hint="eastAsia" w:ascii="宋体" w:hAnsi="宋体"/>
          <w:color w:val="auto"/>
          <w:szCs w:val="21"/>
          <w:highlight w:val="none"/>
        </w:rPr>
        <w:t>10.4变更估价</w:t>
      </w:r>
    </w:p>
    <w:p w14:paraId="5C610D62">
      <w:pPr>
        <w:adjustRightInd/>
        <w:spacing w:line="296" w:lineRule="exact"/>
        <w:rPr>
          <w:rFonts w:ascii="宋体" w:hAnsi="宋体"/>
          <w:color w:val="auto"/>
          <w:szCs w:val="21"/>
          <w:highlight w:val="none"/>
        </w:rPr>
      </w:pPr>
      <w:r>
        <w:rPr>
          <w:rFonts w:hint="eastAsia" w:ascii="宋体" w:hAnsi="宋体"/>
          <w:color w:val="auto"/>
          <w:szCs w:val="21"/>
          <w:highlight w:val="none"/>
        </w:rPr>
        <w:t>10.5 承包人的合理化建议</w:t>
      </w:r>
    </w:p>
    <w:p w14:paraId="124B3DCC">
      <w:pPr>
        <w:adjustRightInd/>
        <w:spacing w:line="296" w:lineRule="exact"/>
        <w:rPr>
          <w:rFonts w:ascii="宋体" w:hAnsi="宋体"/>
          <w:color w:val="auto"/>
          <w:szCs w:val="21"/>
          <w:highlight w:val="none"/>
        </w:rPr>
      </w:pPr>
      <w:r>
        <w:rPr>
          <w:rFonts w:hint="eastAsia" w:ascii="宋体" w:hAnsi="宋体"/>
          <w:color w:val="auto"/>
          <w:szCs w:val="21"/>
          <w:highlight w:val="none"/>
        </w:rPr>
        <w:t>10.6 变更引起的工期调整</w:t>
      </w:r>
    </w:p>
    <w:p w14:paraId="6B8E82BD">
      <w:pPr>
        <w:adjustRightInd/>
        <w:spacing w:line="296" w:lineRule="exact"/>
        <w:rPr>
          <w:rFonts w:ascii="宋体" w:hAnsi="宋体"/>
          <w:color w:val="auto"/>
          <w:szCs w:val="21"/>
          <w:highlight w:val="none"/>
        </w:rPr>
      </w:pPr>
      <w:r>
        <w:rPr>
          <w:rFonts w:hint="eastAsia" w:ascii="宋体" w:hAnsi="宋体"/>
          <w:color w:val="auto"/>
          <w:szCs w:val="21"/>
          <w:highlight w:val="none"/>
        </w:rPr>
        <w:t>10.7 暂估价</w:t>
      </w:r>
    </w:p>
    <w:p w14:paraId="553A7F60">
      <w:pPr>
        <w:adjustRightInd/>
        <w:spacing w:line="296" w:lineRule="exact"/>
        <w:rPr>
          <w:rFonts w:ascii="宋体" w:hAnsi="宋体"/>
          <w:color w:val="auto"/>
          <w:szCs w:val="21"/>
          <w:highlight w:val="none"/>
        </w:rPr>
      </w:pPr>
      <w:r>
        <w:rPr>
          <w:rFonts w:hint="eastAsia" w:ascii="宋体" w:hAnsi="宋体"/>
          <w:color w:val="auto"/>
          <w:szCs w:val="21"/>
          <w:highlight w:val="none"/>
        </w:rPr>
        <w:t>10.8 暂列金额</w:t>
      </w:r>
    </w:p>
    <w:p w14:paraId="40356350">
      <w:pPr>
        <w:adjustRightInd/>
        <w:spacing w:line="296" w:lineRule="exact"/>
        <w:rPr>
          <w:rFonts w:ascii="宋体" w:hAnsi="宋体"/>
          <w:color w:val="auto"/>
          <w:szCs w:val="21"/>
          <w:highlight w:val="none"/>
        </w:rPr>
      </w:pPr>
      <w:r>
        <w:rPr>
          <w:rFonts w:hint="eastAsia" w:ascii="宋体" w:hAnsi="宋体"/>
          <w:color w:val="auto"/>
          <w:szCs w:val="21"/>
          <w:highlight w:val="none"/>
        </w:rPr>
        <w:t>10.9 计日工</w:t>
      </w:r>
    </w:p>
    <w:p w14:paraId="5B2FBAF1">
      <w:pPr>
        <w:adjustRightInd/>
        <w:spacing w:line="296" w:lineRule="exact"/>
        <w:rPr>
          <w:rFonts w:ascii="宋体" w:hAnsi="宋体"/>
          <w:color w:val="auto"/>
          <w:szCs w:val="21"/>
          <w:highlight w:val="none"/>
        </w:rPr>
      </w:pPr>
      <w:r>
        <w:rPr>
          <w:rFonts w:hint="eastAsia" w:ascii="宋体" w:hAnsi="宋体"/>
          <w:color w:val="auto"/>
          <w:szCs w:val="21"/>
          <w:highlight w:val="none"/>
        </w:rPr>
        <w:t>11. 价格调整</w:t>
      </w:r>
    </w:p>
    <w:p w14:paraId="5123A94F">
      <w:pPr>
        <w:adjustRightInd/>
        <w:spacing w:line="296" w:lineRule="exact"/>
        <w:rPr>
          <w:rFonts w:ascii="宋体" w:hAnsi="宋体"/>
          <w:color w:val="auto"/>
          <w:szCs w:val="21"/>
          <w:highlight w:val="none"/>
        </w:rPr>
      </w:pPr>
      <w:r>
        <w:rPr>
          <w:rFonts w:hint="eastAsia" w:ascii="宋体" w:hAnsi="宋体"/>
          <w:color w:val="auto"/>
          <w:szCs w:val="21"/>
          <w:highlight w:val="none"/>
        </w:rPr>
        <w:t>11.1 市场价格波动引起的调整</w:t>
      </w:r>
    </w:p>
    <w:p w14:paraId="60231BE8">
      <w:pPr>
        <w:adjustRightInd/>
        <w:spacing w:line="296" w:lineRule="exact"/>
        <w:rPr>
          <w:rFonts w:ascii="宋体" w:hAnsi="宋体"/>
          <w:color w:val="auto"/>
          <w:szCs w:val="21"/>
          <w:highlight w:val="none"/>
        </w:rPr>
      </w:pPr>
      <w:r>
        <w:rPr>
          <w:rFonts w:hint="eastAsia" w:ascii="宋体" w:hAnsi="宋体"/>
          <w:color w:val="auto"/>
          <w:szCs w:val="21"/>
          <w:highlight w:val="none"/>
        </w:rPr>
        <w:t>11.2 法律变化引起的调整</w:t>
      </w:r>
    </w:p>
    <w:p w14:paraId="3DF275D0">
      <w:pPr>
        <w:adjustRightInd/>
        <w:spacing w:line="296" w:lineRule="exact"/>
        <w:rPr>
          <w:rFonts w:ascii="宋体" w:hAnsi="宋体"/>
          <w:color w:val="auto"/>
          <w:szCs w:val="21"/>
          <w:highlight w:val="none"/>
        </w:rPr>
      </w:pPr>
      <w:r>
        <w:rPr>
          <w:rFonts w:hint="eastAsia" w:ascii="宋体" w:hAnsi="宋体"/>
          <w:color w:val="auto"/>
          <w:szCs w:val="21"/>
          <w:highlight w:val="none"/>
        </w:rPr>
        <w:t>12. 合同价格、计量与支付</w:t>
      </w:r>
    </w:p>
    <w:p w14:paraId="199E80EF">
      <w:pPr>
        <w:adjustRightInd/>
        <w:spacing w:line="296" w:lineRule="exact"/>
        <w:rPr>
          <w:rFonts w:ascii="宋体" w:hAnsi="宋体"/>
          <w:color w:val="auto"/>
          <w:szCs w:val="21"/>
          <w:highlight w:val="none"/>
        </w:rPr>
      </w:pPr>
      <w:r>
        <w:rPr>
          <w:rFonts w:hint="eastAsia" w:ascii="宋体" w:hAnsi="宋体"/>
          <w:color w:val="auto"/>
          <w:szCs w:val="21"/>
          <w:highlight w:val="none"/>
        </w:rPr>
        <w:t>12.1 合同价格形式</w:t>
      </w:r>
    </w:p>
    <w:p w14:paraId="70C51887">
      <w:pPr>
        <w:adjustRightInd/>
        <w:spacing w:line="296" w:lineRule="exact"/>
        <w:rPr>
          <w:rFonts w:ascii="宋体" w:hAnsi="宋体"/>
          <w:color w:val="auto"/>
          <w:szCs w:val="21"/>
          <w:highlight w:val="none"/>
        </w:rPr>
      </w:pPr>
      <w:r>
        <w:rPr>
          <w:rFonts w:hint="eastAsia" w:ascii="宋体" w:hAnsi="宋体"/>
          <w:color w:val="auto"/>
          <w:szCs w:val="21"/>
          <w:highlight w:val="none"/>
        </w:rPr>
        <w:t>12.2 预付款</w:t>
      </w:r>
    </w:p>
    <w:p w14:paraId="544AECBA">
      <w:pPr>
        <w:adjustRightInd/>
        <w:spacing w:line="296" w:lineRule="exact"/>
        <w:rPr>
          <w:rFonts w:ascii="宋体" w:hAnsi="宋体"/>
          <w:color w:val="auto"/>
          <w:szCs w:val="21"/>
          <w:highlight w:val="none"/>
        </w:rPr>
      </w:pPr>
      <w:r>
        <w:rPr>
          <w:rFonts w:hint="eastAsia" w:ascii="宋体" w:hAnsi="宋体"/>
          <w:color w:val="auto"/>
          <w:szCs w:val="21"/>
          <w:highlight w:val="none"/>
        </w:rPr>
        <w:t>12.3 计量</w:t>
      </w:r>
    </w:p>
    <w:p w14:paraId="596874CF">
      <w:pPr>
        <w:adjustRightInd/>
        <w:spacing w:line="296" w:lineRule="exact"/>
        <w:rPr>
          <w:rFonts w:ascii="宋体" w:hAnsi="宋体"/>
          <w:color w:val="auto"/>
          <w:szCs w:val="21"/>
          <w:highlight w:val="none"/>
        </w:rPr>
      </w:pPr>
      <w:r>
        <w:rPr>
          <w:rFonts w:hint="eastAsia" w:ascii="宋体" w:hAnsi="宋体"/>
          <w:color w:val="auto"/>
          <w:szCs w:val="21"/>
          <w:highlight w:val="none"/>
        </w:rPr>
        <w:t>12.4 工程进度款支付</w:t>
      </w:r>
    </w:p>
    <w:p w14:paraId="17560FDB">
      <w:pPr>
        <w:adjustRightInd/>
        <w:spacing w:line="296" w:lineRule="exact"/>
        <w:rPr>
          <w:rFonts w:ascii="宋体" w:hAnsi="宋体"/>
          <w:color w:val="auto"/>
          <w:szCs w:val="21"/>
          <w:highlight w:val="none"/>
        </w:rPr>
      </w:pPr>
      <w:r>
        <w:rPr>
          <w:rFonts w:hint="eastAsia" w:ascii="宋体" w:hAnsi="宋体"/>
          <w:color w:val="auto"/>
          <w:szCs w:val="21"/>
          <w:highlight w:val="none"/>
        </w:rPr>
        <w:t>12.5 支付账户</w:t>
      </w:r>
    </w:p>
    <w:p w14:paraId="5BAAF230">
      <w:pPr>
        <w:adjustRightInd/>
        <w:spacing w:line="296" w:lineRule="exact"/>
        <w:rPr>
          <w:rFonts w:ascii="宋体" w:hAnsi="宋体"/>
          <w:color w:val="auto"/>
          <w:szCs w:val="21"/>
          <w:highlight w:val="none"/>
        </w:rPr>
      </w:pPr>
      <w:r>
        <w:rPr>
          <w:rFonts w:hint="eastAsia" w:ascii="宋体" w:hAnsi="宋体"/>
          <w:color w:val="auto"/>
          <w:szCs w:val="21"/>
          <w:highlight w:val="none"/>
        </w:rPr>
        <w:t>13. 验收和工程试车</w:t>
      </w:r>
    </w:p>
    <w:p w14:paraId="481A0D07">
      <w:pPr>
        <w:adjustRightInd/>
        <w:spacing w:line="296" w:lineRule="exact"/>
        <w:rPr>
          <w:rFonts w:ascii="宋体" w:hAnsi="宋体"/>
          <w:color w:val="auto"/>
          <w:szCs w:val="21"/>
          <w:highlight w:val="none"/>
        </w:rPr>
      </w:pPr>
      <w:r>
        <w:rPr>
          <w:rFonts w:hint="eastAsia" w:ascii="宋体" w:hAnsi="宋体"/>
          <w:color w:val="auto"/>
          <w:szCs w:val="21"/>
          <w:highlight w:val="none"/>
        </w:rPr>
        <w:t>13.1 分部分项工程验收</w:t>
      </w:r>
    </w:p>
    <w:p w14:paraId="2A72AD78">
      <w:pPr>
        <w:adjustRightInd/>
        <w:spacing w:line="296" w:lineRule="exact"/>
        <w:rPr>
          <w:rFonts w:ascii="宋体" w:hAnsi="宋体"/>
          <w:color w:val="auto"/>
          <w:szCs w:val="21"/>
          <w:highlight w:val="none"/>
        </w:rPr>
      </w:pPr>
      <w:r>
        <w:rPr>
          <w:rFonts w:hint="eastAsia" w:ascii="宋体" w:hAnsi="宋体"/>
          <w:color w:val="auto"/>
          <w:szCs w:val="21"/>
          <w:highlight w:val="none"/>
        </w:rPr>
        <w:t>13.2竣工验收</w:t>
      </w:r>
    </w:p>
    <w:p w14:paraId="0C75ABF7">
      <w:pPr>
        <w:adjustRightInd/>
        <w:spacing w:line="296" w:lineRule="exact"/>
        <w:rPr>
          <w:rFonts w:ascii="宋体" w:hAnsi="宋体"/>
          <w:color w:val="auto"/>
          <w:szCs w:val="21"/>
          <w:highlight w:val="none"/>
        </w:rPr>
      </w:pPr>
      <w:r>
        <w:rPr>
          <w:rFonts w:hint="eastAsia" w:ascii="宋体" w:hAnsi="宋体"/>
          <w:color w:val="auto"/>
          <w:szCs w:val="21"/>
          <w:highlight w:val="none"/>
        </w:rPr>
        <w:t>13.3工程试车</w:t>
      </w:r>
    </w:p>
    <w:p w14:paraId="1952CE44">
      <w:pPr>
        <w:adjustRightInd/>
        <w:spacing w:line="296" w:lineRule="exact"/>
        <w:rPr>
          <w:rFonts w:ascii="宋体" w:hAnsi="宋体"/>
          <w:color w:val="auto"/>
          <w:szCs w:val="21"/>
          <w:highlight w:val="none"/>
        </w:rPr>
      </w:pPr>
      <w:r>
        <w:rPr>
          <w:rFonts w:hint="eastAsia" w:ascii="宋体" w:hAnsi="宋体"/>
          <w:color w:val="auto"/>
          <w:szCs w:val="21"/>
          <w:highlight w:val="none"/>
        </w:rPr>
        <w:t>13.4提前交付单位工程的验收</w:t>
      </w:r>
    </w:p>
    <w:p w14:paraId="18BFCEA3">
      <w:pPr>
        <w:adjustRightInd/>
        <w:spacing w:line="296" w:lineRule="exact"/>
        <w:rPr>
          <w:rFonts w:ascii="宋体" w:hAnsi="宋体"/>
          <w:color w:val="auto"/>
          <w:szCs w:val="21"/>
          <w:highlight w:val="none"/>
        </w:rPr>
      </w:pPr>
      <w:r>
        <w:rPr>
          <w:rFonts w:hint="eastAsia" w:ascii="宋体" w:hAnsi="宋体"/>
          <w:color w:val="auto"/>
          <w:szCs w:val="21"/>
          <w:highlight w:val="none"/>
        </w:rPr>
        <w:t>13.5 施工期运行</w:t>
      </w:r>
    </w:p>
    <w:p w14:paraId="11670514">
      <w:pPr>
        <w:adjustRightInd/>
        <w:spacing w:line="296" w:lineRule="exact"/>
        <w:rPr>
          <w:rFonts w:ascii="宋体" w:hAnsi="宋体"/>
          <w:color w:val="auto"/>
          <w:szCs w:val="21"/>
          <w:highlight w:val="none"/>
        </w:rPr>
      </w:pPr>
      <w:r>
        <w:rPr>
          <w:rFonts w:hint="eastAsia" w:ascii="宋体" w:hAnsi="宋体"/>
          <w:color w:val="auto"/>
          <w:szCs w:val="21"/>
          <w:highlight w:val="none"/>
        </w:rPr>
        <w:t>13.6 竣工退场</w:t>
      </w:r>
    </w:p>
    <w:p w14:paraId="383A9D25">
      <w:pPr>
        <w:adjustRightInd/>
        <w:spacing w:line="296" w:lineRule="exact"/>
        <w:rPr>
          <w:rFonts w:ascii="宋体" w:hAnsi="宋体"/>
          <w:color w:val="auto"/>
          <w:szCs w:val="21"/>
          <w:highlight w:val="none"/>
        </w:rPr>
      </w:pPr>
      <w:r>
        <w:rPr>
          <w:rFonts w:hint="eastAsia" w:ascii="宋体" w:hAnsi="宋体"/>
          <w:color w:val="auto"/>
          <w:szCs w:val="21"/>
          <w:highlight w:val="none"/>
        </w:rPr>
        <w:t>14. 竣工结算</w:t>
      </w:r>
    </w:p>
    <w:p w14:paraId="3BAB55DB">
      <w:pPr>
        <w:adjustRightInd/>
        <w:spacing w:line="296" w:lineRule="exact"/>
        <w:rPr>
          <w:rFonts w:ascii="宋体" w:hAnsi="宋体"/>
          <w:color w:val="auto"/>
          <w:szCs w:val="21"/>
          <w:highlight w:val="none"/>
        </w:rPr>
      </w:pPr>
      <w:r>
        <w:rPr>
          <w:rFonts w:hint="eastAsia" w:ascii="宋体" w:hAnsi="宋体"/>
          <w:color w:val="auto"/>
          <w:szCs w:val="21"/>
          <w:highlight w:val="none"/>
        </w:rPr>
        <w:t>14.1 竣工结算申请</w:t>
      </w:r>
    </w:p>
    <w:p w14:paraId="37097BFD">
      <w:pPr>
        <w:adjustRightInd/>
        <w:spacing w:line="296" w:lineRule="exact"/>
        <w:rPr>
          <w:rFonts w:ascii="宋体" w:hAnsi="宋体"/>
          <w:color w:val="auto"/>
          <w:szCs w:val="21"/>
          <w:highlight w:val="none"/>
        </w:rPr>
      </w:pPr>
      <w:r>
        <w:rPr>
          <w:rFonts w:hint="eastAsia" w:ascii="宋体" w:hAnsi="宋体"/>
          <w:color w:val="auto"/>
          <w:szCs w:val="21"/>
          <w:highlight w:val="none"/>
        </w:rPr>
        <w:t>14.2 竣工结算审核</w:t>
      </w:r>
    </w:p>
    <w:p w14:paraId="01E6730E">
      <w:pPr>
        <w:adjustRightInd/>
        <w:spacing w:line="296" w:lineRule="exact"/>
        <w:rPr>
          <w:rFonts w:ascii="宋体" w:hAnsi="宋体"/>
          <w:color w:val="auto"/>
          <w:szCs w:val="21"/>
          <w:highlight w:val="none"/>
        </w:rPr>
      </w:pPr>
      <w:r>
        <w:rPr>
          <w:rFonts w:hint="eastAsia" w:ascii="宋体" w:hAnsi="宋体"/>
          <w:color w:val="auto"/>
          <w:szCs w:val="21"/>
          <w:highlight w:val="none"/>
        </w:rPr>
        <w:t>14.3 甩项竣工协议</w:t>
      </w:r>
    </w:p>
    <w:p w14:paraId="00D880E9">
      <w:pPr>
        <w:adjustRightInd/>
        <w:spacing w:line="296" w:lineRule="exact"/>
        <w:rPr>
          <w:rFonts w:ascii="宋体" w:hAnsi="宋体"/>
          <w:color w:val="auto"/>
          <w:szCs w:val="21"/>
          <w:highlight w:val="none"/>
        </w:rPr>
      </w:pPr>
      <w:r>
        <w:rPr>
          <w:rFonts w:hint="eastAsia" w:ascii="宋体" w:hAnsi="宋体"/>
          <w:color w:val="auto"/>
          <w:szCs w:val="21"/>
          <w:highlight w:val="none"/>
        </w:rPr>
        <w:t>14.4 最终结清</w:t>
      </w:r>
    </w:p>
    <w:p w14:paraId="0CD60D31">
      <w:pPr>
        <w:adjustRightInd/>
        <w:spacing w:line="296" w:lineRule="exact"/>
        <w:rPr>
          <w:rFonts w:ascii="宋体" w:hAnsi="宋体"/>
          <w:color w:val="auto"/>
          <w:szCs w:val="21"/>
          <w:highlight w:val="none"/>
        </w:rPr>
      </w:pPr>
      <w:r>
        <w:rPr>
          <w:rFonts w:hint="eastAsia" w:ascii="宋体" w:hAnsi="宋体"/>
          <w:color w:val="auto"/>
          <w:szCs w:val="21"/>
          <w:highlight w:val="none"/>
        </w:rPr>
        <w:t>15. 缺陷责任与保修</w:t>
      </w:r>
    </w:p>
    <w:p w14:paraId="0AC4D129">
      <w:pPr>
        <w:adjustRightInd/>
        <w:spacing w:line="296" w:lineRule="exact"/>
        <w:rPr>
          <w:rFonts w:ascii="宋体" w:hAnsi="宋体"/>
          <w:color w:val="auto"/>
          <w:szCs w:val="21"/>
          <w:highlight w:val="none"/>
        </w:rPr>
      </w:pPr>
      <w:r>
        <w:rPr>
          <w:rFonts w:hint="eastAsia" w:ascii="宋体" w:hAnsi="宋体"/>
          <w:color w:val="auto"/>
          <w:szCs w:val="21"/>
          <w:highlight w:val="none"/>
        </w:rPr>
        <w:t>15.1 工程保修的原则</w:t>
      </w:r>
    </w:p>
    <w:p w14:paraId="3B98D9BC">
      <w:pPr>
        <w:adjustRightInd/>
        <w:spacing w:line="296" w:lineRule="exact"/>
        <w:rPr>
          <w:rFonts w:ascii="宋体" w:hAnsi="宋体"/>
          <w:color w:val="auto"/>
          <w:szCs w:val="21"/>
          <w:highlight w:val="none"/>
        </w:rPr>
      </w:pPr>
      <w:r>
        <w:rPr>
          <w:rFonts w:hint="eastAsia" w:ascii="宋体" w:hAnsi="宋体"/>
          <w:color w:val="auto"/>
          <w:szCs w:val="21"/>
          <w:highlight w:val="none"/>
        </w:rPr>
        <w:t>15.2 缺陷责任期</w:t>
      </w:r>
    </w:p>
    <w:p w14:paraId="71E5C409">
      <w:pPr>
        <w:adjustRightInd/>
        <w:spacing w:line="296" w:lineRule="exact"/>
        <w:rPr>
          <w:rFonts w:ascii="宋体" w:hAnsi="宋体"/>
          <w:color w:val="auto"/>
          <w:szCs w:val="21"/>
          <w:highlight w:val="none"/>
        </w:rPr>
      </w:pPr>
      <w:r>
        <w:rPr>
          <w:rFonts w:hint="eastAsia" w:ascii="宋体" w:hAnsi="宋体"/>
          <w:color w:val="auto"/>
          <w:szCs w:val="21"/>
          <w:highlight w:val="none"/>
        </w:rPr>
        <w:t>15.3 质量保证金</w:t>
      </w:r>
    </w:p>
    <w:p w14:paraId="169E8F46">
      <w:pPr>
        <w:adjustRightInd/>
        <w:spacing w:line="296" w:lineRule="exact"/>
        <w:rPr>
          <w:rFonts w:ascii="宋体" w:hAnsi="宋体"/>
          <w:color w:val="auto"/>
          <w:szCs w:val="21"/>
          <w:highlight w:val="none"/>
        </w:rPr>
      </w:pPr>
      <w:r>
        <w:rPr>
          <w:rFonts w:hint="eastAsia" w:ascii="宋体" w:hAnsi="宋体"/>
          <w:color w:val="auto"/>
          <w:szCs w:val="21"/>
          <w:highlight w:val="none"/>
        </w:rPr>
        <w:t>15.4 保修</w:t>
      </w:r>
    </w:p>
    <w:p w14:paraId="5BEB2999">
      <w:pPr>
        <w:adjustRightInd/>
        <w:spacing w:line="296" w:lineRule="exact"/>
        <w:rPr>
          <w:rFonts w:ascii="宋体" w:hAnsi="宋体"/>
          <w:color w:val="auto"/>
          <w:szCs w:val="21"/>
          <w:highlight w:val="none"/>
        </w:rPr>
      </w:pPr>
      <w:r>
        <w:rPr>
          <w:rFonts w:hint="eastAsia" w:ascii="宋体" w:hAnsi="宋体"/>
          <w:color w:val="auto"/>
          <w:szCs w:val="21"/>
          <w:highlight w:val="none"/>
        </w:rPr>
        <w:t>16. 违约</w:t>
      </w:r>
    </w:p>
    <w:p w14:paraId="67A7C31F">
      <w:pPr>
        <w:adjustRightInd/>
        <w:spacing w:line="296" w:lineRule="exact"/>
        <w:rPr>
          <w:rFonts w:ascii="宋体" w:hAnsi="宋体"/>
          <w:color w:val="auto"/>
          <w:szCs w:val="21"/>
          <w:highlight w:val="none"/>
        </w:rPr>
      </w:pPr>
      <w:r>
        <w:rPr>
          <w:rFonts w:hint="eastAsia" w:ascii="宋体" w:hAnsi="宋体"/>
          <w:color w:val="auto"/>
          <w:szCs w:val="21"/>
          <w:highlight w:val="none"/>
        </w:rPr>
        <w:t>16.1 发包人违约</w:t>
      </w:r>
    </w:p>
    <w:p w14:paraId="29F575B9">
      <w:pPr>
        <w:adjustRightInd/>
        <w:spacing w:line="296" w:lineRule="exact"/>
        <w:rPr>
          <w:rFonts w:ascii="宋体" w:hAnsi="宋体"/>
          <w:color w:val="auto"/>
          <w:szCs w:val="21"/>
          <w:highlight w:val="none"/>
        </w:rPr>
      </w:pPr>
      <w:r>
        <w:rPr>
          <w:rFonts w:hint="eastAsia" w:ascii="宋体" w:hAnsi="宋体"/>
          <w:color w:val="auto"/>
          <w:szCs w:val="21"/>
          <w:highlight w:val="none"/>
        </w:rPr>
        <w:t>16.2 承包人违约</w:t>
      </w:r>
    </w:p>
    <w:p w14:paraId="48B1FE8B">
      <w:pPr>
        <w:adjustRightInd/>
        <w:spacing w:line="296" w:lineRule="exact"/>
        <w:rPr>
          <w:rFonts w:ascii="宋体" w:hAnsi="宋体"/>
          <w:color w:val="auto"/>
          <w:szCs w:val="21"/>
          <w:highlight w:val="none"/>
        </w:rPr>
      </w:pPr>
      <w:r>
        <w:rPr>
          <w:rFonts w:hint="eastAsia" w:ascii="宋体" w:hAnsi="宋体"/>
          <w:color w:val="auto"/>
          <w:szCs w:val="21"/>
          <w:highlight w:val="none"/>
        </w:rPr>
        <w:t>16.3 第三人造成的违约</w:t>
      </w:r>
    </w:p>
    <w:p w14:paraId="6F7EE725">
      <w:pPr>
        <w:adjustRightInd/>
        <w:spacing w:line="296" w:lineRule="exact"/>
        <w:rPr>
          <w:rFonts w:ascii="宋体" w:hAnsi="宋体"/>
          <w:color w:val="auto"/>
          <w:szCs w:val="21"/>
          <w:highlight w:val="none"/>
        </w:rPr>
      </w:pPr>
      <w:r>
        <w:rPr>
          <w:rFonts w:hint="eastAsia" w:ascii="宋体" w:hAnsi="宋体"/>
          <w:color w:val="auto"/>
          <w:szCs w:val="21"/>
          <w:highlight w:val="none"/>
        </w:rPr>
        <w:t>17. 不可抗力</w:t>
      </w:r>
    </w:p>
    <w:p w14:paraId="72766FAC">
      <w:pPr>
        <w:adjustRightInd/>
        <w:spacing w:line="296" w:lineRule="exact"/>
        <w:rPr>
          <w:rFonts w:ascii="宋体" w:hAnsi="宋体"/>
          <w:color w:val="auto"/>
          <w:szCs w:val="21"/>
          <w:highlight w:val="none"/>
        </w:rPr>
      </w:pPr>
      <w:r>
        <w:rPr>
          <w:rFonts w:hint="eastAsia" w:ascii="宋体" w:hAnsi="宋体"/>
          <w:color w:val="auto"/>
          <w:szCs w:val="21"/>
          <w:highlight w:val="none"/>
        </w:rPr>
        <w:t>17.1 不可抗力的确认</w:t>
      </w:r>
    </w:p>
    <w:p w14:paraId="44A715CA">
      <w:pPr>
        <w:adjustRightInd/>
        <w:spacing w:line="296" w:lineRule="exact"/>
        <w:rPr>
          <w:rFonts w:ascii="宋体" w:hAnsi="宋体"/>
          <w:color w:val="auto"/>
          <w:szCs w:val="21"/>
          <w:highlight w:val="none"/>
        </w:rPr>
      </w:pPr>
      <w:r>
        <w:rPr>
          <w:rFonts w:hint="eastAsia" w:ascii="宋体" w:hAnsi="宋体"/>
          <w:color w:val="auto"/>
          <w:szCs w:val="21"/>
          <w:highlight w:val="none"/>
        </w:rPr>
        <w:t>17.2 不可抗力的通知</w:t>
      </w:r>
    </w:p>
    <w:p w14:paraId="58FBCD68">
      <w:pPr>
        <w:adjustRightInd/>
        <w:spacing w:line="296" w:lineRule="exact"/>
        <w:rPr>
          <w:rFonts w:ascii="宋体" w:hAnsi="宋体"/>
          <w:color w:val="auto"/>
          <w:szCs w:val="21"/>
          <w:highlight w:val="none"/>
        </w:rPr>
      </w:pPr>
      <w:r>
        <w:rPr>
          <w:rFonts w:hint="eastAsia" w:ascii="宋体" w:hAnsi="宋体"/>
          <w:color w:val="auto"/>
          <w:szCs w:val="21"/>
          <w:highlight w:val="none"/>
        </w:rPr>
        <w:t>17.3 不可抗力后果的承担</w:t>
      </w:r>
    </w:p>
    <w:p w14:paraId="4F04059E">
      <w:pPr>
        <w:adjustRightInd/>
        <w:spacing w:line="296" w:lineRule="exact"/>
        <w:rPr>
          <w:rFonts w:ascii="宋体" w:hAnsi="宋体"/>
          <w:color w:val="auto"/>
          <w:szCs w:val="21"/>
          <w:highlight w:val="none"/>
        </w:rPr>
      </w:pPr>
      <w:r>
        <w:rPr>
          <w:rFonts w:hint="eastAsia" w:ascii="宋体" w:hAnsi="宋体"/>
          <w:color w:val="auto"/>
          <w:szCs w:val="21"/>
          <w:highlight w:val="none"/>
        </w:rPr>
        <w:t>17.4 因不可抗力解除合同</w:t>
      </w:r>
    </w:p>
    <w:p w14:paraId="68585B62">
      <w:pPr>
        <w:adjustRightInd/>
        <w:spacing w:line="296" w:lineRule="exact"/>
        <w:rPr>
          <w:rFonts w:ascii="宋体" w:hAnsi="宋体"/>
          <w:color w:val="auto"/>
          <w:szCs w:val="21"/>
          <w:highlight w:val="none"/>
        </w:rPr>
      </w:pPr>
      <w:r>
        <w:rPr>
          <w:rFonts w:hint="eastAsia" w:ascii="宋体" w:hAnsi="宋体"/>
          <w:color w:val="auto"/>
          <w:szCs w:val="21"/>
          <w:highlight w:val="none"/>
        </w:rPr>
        <w:t>18. 保险</w:t>
      </w:r>
    </w:p>
    <w:p w14:paraId="20B6A867">
      <w:pPr>
        <w:adjustRightInd/>
        <w:spacing w:line="296" w:lineRule="exact"/>
        <w:rPr>
          <w:rFonts w:ascii="宋体" w:hAnsi="宋体"/>
          <w:color w:val="auto"/>
          <w:szCs w:val="21"/>
          <w:highlight w:val="none"/>
        </w:rPr>
      </w:pPr>
      <w:r>
        <w:rPr>
          <w:rFonts w:hint="eastAsia" w:ascii="宋体" w:hAnsi="宋体"/>
          <w:color w:val="auto"/>
          <w:szCs w:val="21"/>
          <w:highlight w:val="none"/>
        </w:rPr>
        <w:t>18.1 工程保险</w:t>
      </w:r>
    </w:p>
    <w:p w14:paraId="1A673D2E">
      <w:pPr>
        <w:adjustRightInd/>
        <w:spacing w:line="296" w:lineRule="exact"/>
        <w:rPr>
          <w:rFonts w:ascii="宋体" w:hAnsi="宋体"/>
          <w:color w:val="auto"/>
          <w:szCs w:val="21"/>
          <w:highlight w:val="none"/>
        </w:rPr>
      </w:pPr>
      <w:r>
        <w:rPr>
          <w:rFonts w:hint="eastAsia" w:ascii="宋体" w:hAnsi="宋体"/>
          <w:color w:val="auto"/>
          <w:szCs w:val="21"/>
          <w:highlight w:val="none"/>
        </w:rPr>
        <w:t>18.2 工伤保险</w:t>
      </w:r>
    </w:p>
    <w:p w14:paraId="05A2C550">
      <w:pPr>
        <w:adjustRightInd/>
        <w:spacing w:line="296" w:lineRule="exact"/>
        <w:rPr>
          <w:rFonts w:ascii="宋体" w:hAnsi="宋体"/>
          <w:color w:val="auto"/>
          <w:szCs w:val="21"/>
          <w:highlight w:val="none"/>
        </w:rPr>
      </w:pPr>
      <w:r>
        <w:rPr>
          <w:rFonts w:hint="eastAsia" w:ascii="宋体" w:hAnsi="宋体"/>
          <w:color w:val="auto"/>
          <w:szCs w:val="21"/>
          <w:highlight w:val="none"/>
        </w:rPr>
        <w:t>18.3 其他保险</w:t>
      </w:r>
    </w:p>
    <w:p w14:paraId="507838FF">
      <w:pPr>
        <w:adjustRightInd/>
        <w:spacing w:line="296" w:lineRule="exact"/>
        <w:rPr>
          <w:rFonts w:ascii="宋体" w:hAnsi="宋体"/>
          <w:color w:val="auto"/>
          <w:szCs w:val="21"/>
          <w:highlight w:val="none"/>
        </w:rPr>
      </w:pPr>
      <w:r>
        <w:rPr>
          <w:rFonts w:hint="eastAsia" w:ascii="宋体" w:hAnsi="宋体"/>
          <w:color w:val="auto"/>
          <w:szCs w:val="21"/>
          <w:highlight w:val="none"/>
        </w:rPr>
        <w:t>18.4 持续保险</w:t>
      </w:r>
    </w:p>
    <w:p w14:paraId="2F2F6B8D">
      <w:pPr>
        <w:adjustRightInd/>
        <w:spacing w:line="296" w:lineRule="exact"/>
        <w:rPr>
          <w:rFonts w:ascii="宋体" w:hAnsi="宋体"/>
          <w:color w:val="auto"/>
          <w:szCs w:val="21"/>
          <w:highlight w:val="none"/>
        </w:rPr>
      </w:pPr>
      <w:r>
        <w:rPr>
          <w:rFonts w:hint="eastAsia" w:ascii="宋体" w:hAnsi="宋体"/>
          <w:color w:val="auto"/>
          <w:szCs w:val="21"/>
          <w:highlight w:val="none"/>
        </w:rPr>
        <w:t>18.5 保险凭证</w:t>
      </w:r>
    </w:p>
    <w:p w14:paraId="493DBCB1">
      <w:pPr>
        <w:adjustRightInd/>
        <w:spacing w:line="296" w:lineRule="exact"/>
        <w:rPr>
          <w:rFonts w:ascii="宋体" w:hAnsi="宋体"/>
          <w:color w:val="auto"/>
          <w:szCs w:val="21"/>
          <w:highlight w:val="none"/>
        </w:rPr>
      </w:pPr>
      <w:r>
        <w:rPr>
          <w:rFonts w:hint="eastAsia" w:ascii="宋体" w:hAnsi="宋体"/>
          <w:color w:val="auto"/>
          <w:szCs w:val="21"/>
          <w:highlight w:val="none"/>
        </w:rPr>
        <w:t>18.6 未按约定投保的补救</w:t>
      </w:r>
    </w:p>
    <w:p w14:paraId="607C9C2E">
      <w:pPr>
        <w:adjustRightInd/>
        <w:spacing w:line="296" w:lineRule="exact"/>
        <w:rPr>
          <w:rFonts w:ascii="宋体" w:hAnsi="宋体"/>
          <w:color w:val="auto"/>
          <w:szCs w:val="21"/>
          <w:highlight w:val="none"/>
        </w:rPr>
      </w:pPr>
      <w:r>
        <w:rPr>
          <w:rFonts w:hint="eastAsia" w:ascii="宋体" w:hAnsi="宋体"/>
          <w:color w:val="auto"/>
          <w:szCs w:val="21"/>
          <w:highlight w:val="none"/>
        </w:rPr>
        <w:t>18.7 通知义务</w:t>
      </w:r>
    </w:p>
    <w:p w14:paraId="27806E4C">
      <w:pPr>
        <w:adjustRightInd/>
        <w:spacing w:line="296" w:lineRule="exact"/>
        <w:rPr>
          <w:rFonts w:ascii="宋体" w:hAnsi="宋体"/>
          <w:color w:val="auto"/>
          <w:szCs w:val="21"/>
          <w:highlight w:val="none"/>
        </w:rPr>
      </w:pPr>
      <w:r>
        <w:rPr>
          <w:rFonts w:hint="eastAsia" w:ascii="宋体" w:hAnsi="宋体"/>
          <w:color w:val="auto"/>
          <w:szCs w:val="21"/>
          <w:highlight w:val="none"/>
        </w:rPr>
        <w:t>19. 索赔</w:t>
      </w:r>
    </w:p>
    <w:p w14:paraId="05142E6F">
      <w:pPr>
        <w:adjustRightInd/>
        <w:spacing w:line="296" w:lineRule="exact"/>
        <w:rPr>
          <w:rFonts w:ascii="宋体" w:hAnsi="宋体"/>
          <w:color w:val="auto"/>
          <w:szCs w:val="21"/>
          <w:highlight w:val="none"/>
        </w:rPr>
      </w:pPr>
      <w:r>
        <w:rPr>
          <w:rFonts w:hint="eastAsia" w:ascii="宋体" w:hAnsi="宋体"/>
          <w:color w:val="auto"/>
          <w:szCs w:val="21"/>
          <w:highlight w:val="none"/>
        </w:rPr>
        <w:t>19.1 承包人的索赔</w:t>
      </w:r>
    </w:p>
    <w:p w14:paraId="7245FD1C">
      <w:pPr>
        <w:adjustRightInd/>
        <w:spacing w:line="296" w:lineRule="exact"/>
        <w:rPr>
          <w:rFonts w:ascii="宋体" w:hAnsi="宋体"/>
          <w:color w:val="auto"/>
          <w:szCs w:val="21"/>
          <w:highlight w:val="none"/>
        </w:rPr>
      </w:pPr>
      <w:r>
        <w:rPr>
          <w:rFonts w:hint="eastAsia" w:ascii="宋体" w:hAnsi="宋体"/>
          <w:color w:val="auto"/>
          <w:szCs w:val="21"/>
          <w:highlight w:val="none"/>
        </w:rPr>
        <w:t>19.2 对承包人索赔的处理</w:t>
      </w:r>
    </w:p>
    <w:p w14:paraId="020C227F">
      <w:pPr>
        <w:adjustRightInd/>
        <w:spacing w:line="296" w:lineRule="exact"/>
        <w:rPr>
          <w:rFonts w:ascii="宋体" w:hAnsi="宋体"/>
          <w:color w:val="auto"/>
          <w:szCs w:val="21"/>
          <w:highlight w:val="none"/>
        </w:rPr>
      </w:pPr>
      <w:r>
        <w:rPr>
          <w:rFonts w:hint="eastAsia" w:ascii="宋体" w:hAnsi="宋体"/>
          <w:color w:val="auto"/>
          <w:szCs w:val="21"/>
          <w:highlight w:val="none"/>
        </w:rPr>
        <w:t>19.3 发包人的索赔</w:t>
      </w:r>
    </w:p>
    <w:p w14:paraId="2694176A">
      <w:pPr>
        <w:adjustRightInd/>
        <w:spacing w:line="296" w:lineRule="exact"/>
        <w:rPr>
          <w:rFonts w:ascii="宋体" w:hAnsi="宋体"/>
          <w:color w:val="auto"/>
          <w:szCs w:val="21"/>
          <w:highlight w:val="none"/>
        </w:rPr>
      </w:pPr>
      <w:r>
        <w:rPr>
          <w:rFonts w:hint="eastAsia" w:ascii="宋体" w:hAnsi="宋体"/>
          <w:color w:val="auto"/>
          <w:szCs w:val="21"/>
          <w:highlight w:val="none"/>
        </w:rPr>
        <w:t>19.4 对发包人索赔的处理</w:t>
      </w:r>
    </w:p>
    <w:p w14:paraId="1A52F69C">
      <w:pPr>
        <w:adjustRightInd/>
        <w:spacing w:line="296" w:lineRule="exact"/>
        <w:rPr>
          <w:rFonts w:ascii="宋体" w:hAnsi="宋体"/>
          <w:color w:val="auto"/>
          <w:szCs w:val="21"/>
          <w:highlight w:val="none"/>
        </w:rPr>
      </w:pPr>
      <w:r>
        <w:rPr>
          <w:rFonts w:hint="eastAsia" w:ascii="宋体" w:hAnsi="宋体"/>
          <w:color w:val="auto"/>
          <w:szCs w:val="21"/>
          <w:highlight w:val="none"/>
        </w:rPr>
        <w:t>19.5 提出索赔的期限</w:t>
      </w:r>
    </w:p>
    <w:p w14:paraId="7BCB7285">
      <w:pPr>
        <w:adjustRightInd/>
        <w:spacing w:line="296" w:lineRule="exact"/>
        <w:rPr>
          <w:rFonts w:ascii="宋体" w:hAnsi="宋体"/>
          <w:color w:val="auto"/>
          <w:szCs w:val="21"/>
          <w:highlight w:val="none"/>
        </w:rPr>
      </w:pPr>
      <w:r>
        <w:rPr>
          <w:rFonts w:hint="eastAsia" w:ascii="宋体" w:hAnsi="宋体"/>
          <w:color w:val="auto"/>
          <w:szCs w:val="21"/>
          <w:highlight w:val="none"/>
        </w:rPr>
        <w:t>20. 争议解决</w:t>
      </w:r>
    </w:p>
    <w:p w14:paraId="46F54CD4">
      <w:pPr>
        <w:adjustRightInd/>
        <w:spacing w:line="296" w:lineRule="exact"/>
        <w:rPr>
          <w:rFonts w:ascii="宋体" w:hAnsi="宋体"/>
          <w:color w:val="auto"/>
          <w:szCs w:val="21"/>
          <w:highlight w:val="none"/>
        </w:rPr>
      </w:pPr>
      <w:r>
        <w:rPr>
          <w:rFonts w:hint="eastAsia" w:ascii="宋体" w:hAnsi="宋体"/>
          <w:color w:val="auto"/>
          <w:szCs w:val="21"/>
          <w:highlight w:val="none"/>
        </w:rPr>
        <w:t>20.1和解</w:t>
      </w:r>
    </w:p>
    <w:p w14:paraId="4B914C3D">
      <w:pPr>
        <w:adjustRightInd/>
        <w:spacing w:line="296" w:lineRule="exact"/>
        <w:rPr>
          <w:rFonts w:ascii="宋体" w:hAnsi="宋体"/>
          <w:color w:val="auto"/>
          <w:szCs w:val="21"/>
          <w:highlight w:val="none"/>
        </w:rPr>
      </w:pPr>
      <w:r>
        <w:rPr>
          <w:rFonts w:hint="eastAsia" w:ascii="宋体" w:hAnsi="宋体"/>
          <w:color w:val="auto"/>
          <w:szCs w:val="21"/>
          <w:highlight w:val="none"/>
        </w:rPr>
        <w:t>20.2调解</w:t>
      </w:r>
    </w:p>
    <w:p w14:paraId="2026973B">
      <w:pPr>
        <w:adjustRightInd/>
        <w:spacing w:line="296" w:lineRule="exact"/>
        <w:rPr>
          <w:rFonts w:ascii="宋体" w:hAnsi="宋体"/>
          <w:color w:val="auto"/>
          <w:szCs w:val="21"/>
          <w:highlight w:val="none"/>
        </w:rPr>
      </w:pPr>
      <w:r>
        <w:rPr>
          <w:rFonts w:hint="eastAsia" w:ascii="宋体" w:hAnsi="宋体"/>
          <w:color w:val="auto"/>
          <w:szCs w:val="21"/>
          <w:highlight w:val="none"/>
        </w:rPr>
        <w:t>20.3争议评审</w:t>
      </w:r>
    </w:p>
    <w:p w14:paraId="03846876">
      <w:pPr>
        <w:adjustRightInd/>
        <w:spacing w:line="296" w:lineRule="exact"/>
        <w:rPr>
          <w:rFonts w:ascii="宋体" w:hAnsi="宋体"/>
          <w:color w:val="auto"/>
          <w:szCs w:val="21"/>
          <w:highlight w:val="none"/>
        </w:rPr>
      </w:pPr>
      <w:r>
        <w:rPr>
          <w:rFonts w:hint="eastAsia" w:ascii="宋体" w:hAnsi="宋体"/>
          <w:color w:val="auto"/>
          <w:szCs w:val="21"/>
          <w:highlight w:val="none"/>
        </w:rPr>
        <w:t>20.4仲裁或诉讼</w:t>
      </w:r>
    </w:p>
    <w:p w14:paraId="09A828EC">
      <w:pPr>
        <w:adjustRightInd/>
        <w:spacing w:line="296" w:lineRule="exact"/>
        <w:rPr>
          <w:rFonts w:ascii="宋体" w:hAnsi="宋体"/>
          <w:color w:val="auto"/>
          <w:sz w:val="24"/>
          <w:highlight w:val="none"/>
        </w:rPr>
      </w:pPr>
      <w:r>
        <w:rPr>
          <w:rFonts w:hint="eastAsia" w:ascii="宋体" w:hAnsi="宋体"/>
          <w:color w:val="auto"/>
          <w:szCs w:val="21"/>
          <w:highlight w:val="none"/>
        </w:rPr>
        <w:t>20.5争议解决条款效力</w:t>
      </w:r>
    </w:p>
    <w:p w14:paraId="1336A61A">
      <w:pPr>
        <w:rPr>
          <w:rFonts w:hAnsi="宋体"/>
          <w:color w:val="auto"/>
          <w:sz w:val="28"/>
          <w:szCs w:val="28"/>
          <w:highlight w:val="none"/>
        </w:rPr>
      </w:pPr>
    </w:p>
    <w:p w14:paraId="328EE80C">
      <w:pPr>
        <w:pStyle w:val="5"/>
        <w:jc w:val="center"/>
        <w:rPr>
          <w:color w:val="auto"/>
          <w:sz w:val="32"/>
          <w:szCs w:val="32"/>
          <w:highlight w:val="none"/>
        </w:rPr>
      </w:pPr>
      <w:r>
        <w:rPr>
          <w:rFonts w:hint="eastAsia"/>
          <w:color w:val="auto"/>
          <w:sz w:val="32"/>
          <w:szCs w:val="32"/>
          <w:highlight w:val="none"/>
        </w:rPr>
        <w:t>第三部分 专用合同条款</w:t>
      </w:r>
    </w:p>
    <w:p w14:paraId="2F68DB78">
      <w:pPr>
        <w:pStyle w:val="8"/>
        <w:spacing w:before="0" w:after="0" w:line="300" w:lineRule="auto"/>
        <w:rPr>
          <w:rFonts w:ascii="Times New Roman" w:hAnsi="Times New Roman"/>
          <w:b w:val="0"/>
          <w:color w:val="auto"/>
          <w:sz w:val="24"/>
          <w:szCs w:val="24"/>
          <w:highlight w:val="none"/>
        </w:rPr>
      </w:pPr>
      <w:bookmarkStart w:id="477" w:name="_Toc351203633"/>
      <w:r>
        <w:rPr>
          <w:rFonts w:ascii="Times New Roman" w:hAnsi="Times New Roman"/>
          <w:b w:val="0"/>
          <w:color w:val="auto"/>
          <w:sz w:val="24"/>
          <w:szCs w:val="24"/>
          <w:highlight w:val="none"/>
        </w:rPr>
        <w:t>1</w:t>
      </w:r>
      <w:bookmarkStart w:id="478" w:name="_Toc296346657"/>
      <w:bookmarkStart w:id="479" w:name="_Toc292559866"/>
      <w:bookmarkStart w:id="480" w:name="_Toc296944495"/>
      <w:bookmarkStart w:id="481" w:name="_Toc296503156"/>
      <w:bookmarkStart w:id="482" w:name="_Toc297120456"/>
      <w:bookmarkStart w:id="483" w:name="_Toc297048342"/>
      <w:bookmarkStart w:id="484" w:name="_Toc296891196"/>
      <w:bookmarkStart w:id="485" w:name="_Toc296347155"/>
      <w:bookmarkStart w:id="486" w:name="_Toc296890984"/>
      <w:bookmarkStart w:id="487" w:name="_Toc292559361"/>
      <w:r>
        <w:rPr>
          <w:rFonts w:ascii="Times New Roman" w:hAnsi="Times New Roman"/>
          <w:b w:val="0"/>
          <w:color w:val="auto"/>
          <w:sz w:val="24"/>
          <w:szCs w:val="24"/>
          <w:highlight w:val="none"/>
        </w:rPr>
        <w:t>. 一般约定</w:t>
      </w:r>
      <w:bookmarkEnd w:id="477"/>
    </w:p>
    <w:bookmarkEnd w:id="478"/>
    <w:bookmarkEnd w:id="479"/>
    <w:bookmarkEnd w:id="480"/>
    <w:bookmarkEnd w:id="481"/>
    <w:bookmarkEnd w:id="482"/>
    <w:bookmarkEnd w:id="483"/>
    <w:bookmarkEnd w:id="484"/>
    <w:bookmarkEnd w:id="485"/>
    <w:bookmarkEnd w:id="486"/>
    <w:bookmarkEnd w:id="487"/>
    <w:p w14:paraId="64B84C87">
      <w:pPr>
        <w:adjustRightInd/>
        <w:spacing w:line="300" w:lineRule="auto"/>
        <w:ind w:firstLine="420" w:firstLineChars="175"/>
        <w:rPr>
          <w:rFonts w:eastAsia="黑体"/>
          <w:color w:val="auto"/>
          <w:sz w:val="24"/>
          <w:highlight w:val="none"/>
        </w:rPr>
      </w:pPr>
      <w:r>
        <w:rPr>
          <w:rFonts w:eastAsia="黑体"/>
          <w:color w:val="auto"/>
          <w:sz w:val="24"/>
          <w:highlight w:val="none"/>
        </w:rPr>
        <w:t>1.1 词语定义</w:t>
      </w:r>
    </w:p>
    <w:p w14:paraId="0D5CD141">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1.1.1合同</w:t>
      </w:r>
    </w:p>
    <w:p w14:paraId="3CD467E8">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1.1.1.10其他合同文件包括：</w:t>
      </w:r>
    </w:p>
    <w:p w14:paraId="3BA2F916">
      <w:pPr>
        <w:autoSpaceDE w:val="0"/>
        <w:autoSpaceDN w:val="0"/>
        <w:adjustRightInd/>
        <w:spacing w:line="300" w:lineRule="auto"/>
        <w:ind w:left="596" w:leftChars="284"/>
        <w:rPr>
          <w:rFonts w:ascii="仿宋_GB2312" w:eastAsia="仿宋_GB2312"/>
          <w:b/>
          <w:color w:val="auto"/>
          <w:sz w:val="24"/>
          <w:highlight w:val="none"/>
          <w:u w:val="single"/>
        </w:rPr>
      </w:pPr>
      <w:r>
        <w:rPr>
          <w:rFonts w:hint="eastAsia" w:ascii="仿宋_GB2312" w:eastAsia="仿宋_GB2312"/>
          <w:b/>
          <w:color w:val="auto"/>
          <w:sz w:val="24"/>
          <w:highlight w:val="none"/>
          <w:u w:val="single"/>
        </w:rPr>
        <w:t>经发包人确认施工组织设计：施工组织设计是用来指导施工项目全过程各项活动的技术、经济和组织的综合性文件。</w:t>
      </w:r>
    </w:p>
    <w:p w14:paraId="763A979B">
      <w:pPr>
        <w:pStyle w:val="897"/>
        <w:spacing w:line="300" w:lineRule="auto"/>
        <w:ind w:left="420" w:firstLine="482"/>
        <w:rPr>
          <w:rFonts w:ascii="仿宋_GB2312" w:hAnsi="Tahoma" w:eastAsia="仿宋_GB2312"/>
          <w:b/>
          <w:color w:val="auto"/>
          <w:highlight w:val="none"/>
          <w:u w:val="single"/>
        </w:rPr>
      </w:pPr>
      <w:r>
        <w:rPr>
          <w:rFonts w:ascii="仿宋_GB2312" w:hAnsi="Tahoma" w:eastAsia="仿宋_GB2312"/>
          <w:b/>
          <w:color w:val="auto"/>
          <w:highlight w:val="none"/>
          <w:u w:val="single"/>
        </w:rPr>
        <w:t>投标文件中除投标函及其附录和已标价工程量清单或预算书外的其它文件</w:t>
      </w:r>
      <w:r>
        <w:rPr>
          <w:rFonts w:hint="eastAsia" w:ascii="仿宋_GB2312" w:hAnsi="Tahoma" w:eastAsia="仿宋_GB2312"/>
          <w:b/>
          <w:color w:val="auto"/>
          <w:highlight w:val="none"/>
          <w:u w:val="single"/>
        </w:rPr>
        <w:t>。</w:t>
      </w:r>
    </w:p>
    <w:p w14:paraId="40D7149D">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1.1.2 合同当事人及其他相关方</w:t>
      </w:r>
    </w:p>
    <w:p w14:paraId="163E95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1.1.2.4监理人：</w:t>
      </w:r>
    </w:p>
    <w:p w14:paraId="7A0910E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48DAA6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  </w:t>
      </w:r>
      <w:r>
        <w:rPr>
          <w:rFonts w:eastAsia="仿宋_GB2312"/>
          <w:color w:val="auto"/>
          <w:sz w:val="24"/>
          <w:highlight w:val="none"/>
        </w:rPr>
        <w:t>；</w:t>
      </w:r>
    </w:p>
    <w:p w14:paraId="0736CB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5C29A7A5">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45113CFB">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415D536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1.1.2.5 设计人：</w:t>
      </w:r>
    </w:p>
    <w:p w14:paraId="3456928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784030A3">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w:t>
      </w:r>
      <w:r>
        <w:rPr>
          <w:rFonts w:eastAsia="仿宋_GB2312"/>
          <w:color w:val="auto"/>
          <w:sz w:val="24"/>
          <w:highlight w:val="none"/>
        </w:rPr>
        <w:t>；</w:t>
      </w:r>
    </w:p>
    <w:p w14:paraId="5196D71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22C7AE7C">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617D85F0">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27883F8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 工程和设备</w:t>
      </w:r>
    </w:p>
    <w:p w14:paraId="30FAC54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1.1.3.7 作为施工现场组成部分的其他场所包括：</w:t>
      </w:r>
      <w:r>
        <w:rPr>
          <w:rFonts w:hint="eastAsia" w:eastAsia="仿宋_GB2312"/>
          <w:color w:val="auto"/>
          <w:sz w:val="24"/>
          <w:highlight w:val="none"/>
          <w:u w:val="single"/>
        </w:rPr>
        <w:t xml:space="preserve">指用于工程施工的场所 </w:t>
      </w:r>
      <w:r>
        <w:rPr>
          <w:rFonts w:eastAsia="仿宋_GB2312"/>
          <w:color w:val="auto"/>
          <w:sz w:val="24"/>
          <w:highlight w:val="none"/>
        </w:rPr>
        <w:t>。</w:t>
      </w:r>
    </w:p>
    <w:p w14:paraId="1F6E684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1.1.3.9 永久占地包括：</w:t>
      </w:r>
      <w:r>
        <w:rPr>
          <w:rFonts w:hint="eastAsia" w:eastAsia="仿宋_GB2312"/>
          <w:color w:val="auto"/>
          <w:sz w:val="24"/>
          <w:highlight w:val="none"/>
          <w:u w:val="single"/>
        </w:rPr>
        <w:t>规划红线范围内为实施本工程需永久占用的土地</w:t>
      </w:r>
      <w:r>
        <w:rPr>
          <w:rFonts w:eastAsia="仿宋_GB2312"/>
          <w:color w:val="auto"/>
          <w:sz w:val="24"/>
          <w:highlight w:val="none"/>
        </w:rPr>
        <w:t>。</w:t>
      </w:r>
    </w:p>
    <w:p w14:paraId="69A3CDA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1.1.3.10 临时占地包括：</w:t>
      </w:r>
      <w:r>
        <w:rPr>
          <w:rFonts w:hint="eastAsia" w:eastAsia="仿宋_GB2312"/>
          <w:color w:val="auto"/>
          <w:sz w:val="24"/>
          <w:highlight w:val="none"/>
          <w:u w:val="single"/>
        </w:rPr>
        <w:t>永久占地之外红线范围外为配合施工需要临时占用的土地，招标文件有另行规定的，以招标文件为准</w:t>
      </w:r>
      <w:r>
        <w:rPr>
          <w:rFonts w:eastAsia="仿宋_GB2312"/>
          <w:color w:val="auto"/>
          <w:sz w:val="24"/>
          <w:highlight w:val="none"/>
          <w:u w:val="single"/>
        </w:rPr>
        <w:t>。</w:t>
      </w:r>
    </w:p>
    <w:p w14:paraId="4C145ECC">
      <w:pPr>
        <w:adjustRightInd/>
        <w:spacing w:line="300" w:lineRule="auto"/>
        <w:ind w:firstLine="480" w:firstLineChars="200"/>
        <w:rPr>
          <w:rFonts w:eastAsia="黑体"/>
          <w:color w:val="auto"/>
          <w:sz w:val="24"/>
          <w:highlight w:val="none"/>
        </w:rPr>
      </w:pPr>
      <w:r>
        <w:rPr>
          <w:rFonts w:eastAsia="黑体"/>
          <w:color w:val="auto"/>
          <w:sz w:val="24"/>
          <w:highlight w:val="none"/>
        </w:rPr>
        <w:t xml:space="preserve">1.3法律 </w:t>
      </w:r>
    </w:p>
    <w:p w14:paraId="4485929F">
      <w:pPr>
        <w:autoSpaceDE w:val="0"/>
        <w:autoSpaceDN w:val="0"/>
        <w:adjustRightInd/>
        <w:spacing w:line="300" w:lineRule="auto"/>
        <w:ind w:left="596" w:leftChars="284"/>
        <w:rPr>
          <w:rFonts w:eastAsia="仿宋_GB2312"/>
          <w:color w:val="auto"/>
          <w:sz w:val="24"/>
          <w:highlight w:val="none"/>
        </w:rPr>
      </w:pPr>
      <w:r>
        <w:rPr>
          <w:rFonts w:eastAsia="仿宋_GB2312"/>
          <w:color w:val="auto"/>
          <w:sz w:val="24"/>
          <w:highlight w:val="none"/>
        </w:rPr>
        <w:t>适用于合同的其他规范性文件：</w:t>
      </w:r>
    </w:p>
    <w:p w14:paraId="5356C7C9">
      <w:pPr>
        <w:pStyle w:val="45"/>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1.3.1  《杭州市建设工程工程量清单计价实施细则》(杭建市发〔2018〕578号)；</w:t>
      </w:r>
    </w:p>
    <w:p w14:paraId="433B44AF">
      <w:pPr>
        <w:pStyle w:val="45"/>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1.3.2  《关于进一步加强杭州市建设工程市场要素价格动态管理 的指导意见》（杭建市发〔2018〕579号）；</w:t>
      </w:r>
    </w:p>
    <w:p w14:paraId="53C6BF2C">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1.3.3  省市建设行政部门颁发的其他现行有效文件(包括但不仅限于以下文件)：</w:t>
      </w:r>
    </w:p>
    <w:p w14:paraId="0AA0CD69">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（1）《关于转发省建设厅&lt;关于进一步加强建筑施工领域企业安全生产工作的实施意见&gt;的通知》（杭建工发〔2011〕130号）；</w:t>
      </w:r>
    </w:p>
    <w:p w14:paraId="55F4E120">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（2）《关于进一步加强建设工程安全质量物联网管理应用平台建设的通知》（杭建工发〔2012〕426号）；</w:t>
      </w:r>
    </w:p>
    <w:p w14:paraId="2E6D7A5E">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（3）《关于开展建筑工程扬尘在线监测设施安装工作的通知》（杭建工〔2019〕103号）；</w:t>
      </w:r>
    </w:p>
    <w:p w14:paraId="38FC37A6">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（4）《关于巩固G20杭州峰会成果进一步加强建设工程文明施工管理的若干意见》（杭建工发〔2017〕112号）；</w:t>
      </w:r>
    </w:p>
    <w:p w14:paraId="3EEFAA6E">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（5）《杭州市建设领域农民工“无欠薪”管理实施细则（试行）》（杭建市〔2018〕161号）；</w:t>
      </w:r>
    </w:p>
    <w:p w14:paraId="0B6A109C">
      <w:pPr>
        <w:pStyle w:val="45"/>
        <w:tabs>
          <w:tab w:val="right" w:leader="dot" w:pos="8296"/>
        </w:tabs>
        <w:ind w:left="458" w:leftChars="218"/>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（6）《关于在全省工程建设领域改革保证金制度的通知》浙建【2020】7号；</w:t>
      </w:r>
    </w:p>
    <w:p w14:paraId="7F0BF18E">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（7）关于印发《杭州市建设工地扬尘污染防治细则》和《杭州 市道路施工扬尘污染防治细则》的函 </w:t>
      </w:r>
    </w:p>
    <w:p w14:paraId="083EE055">
      <w:pPr>
        <w:autoSpaceDE w:val="0"/>
        <w:autoSpaceDN w:val="0"/>
        <w:adjustRightInd/>
        <w:spacing w:line="300" w:lineRule="auto"/>
        <w:ind w:firstLine="482" w:firstLineChars="200"/>
        <w:rPr>
          <w:rFonts w:ascii="仿宋_GB2312" w:eastAsia="仿宋_GB2312"/>
          <w:b/>
          <w:color w:val="auto"/>
          <w:sz w:val="24"/>
          <w:highlight w:val="none"/>
          <w:u w:val="single"/>
        </w:rPr>
      </w:pPr>
      <w:r>
        <w:rPr>
          <w:rFonts w:hint="eastAsia" w:ascii="仿宋_GB2312" w:eastAsia="仿宋_GB2312"/>
          <w:b/>
          <w:color w:val="auto"/>
          <w:sz w:val="24"/>
          <w:highlight w:val="none"/>
          <w:u w:val="single"/>
        </w:rPr>
        <w:t>（8）其他：</w:t>
      </w:r>
    </w:p>
    <w:p w14:paraId="6F30C736">
      <w:pPr>
        <w:autoSpaceDE w:val="0"/>
        <w:autoSpaceDN w:val="0"/>
        <w:adjustRightInd/>
        <w:spacing w:line="300" w:lineRule="auto"/>
        <w:ind w:left="420" w:leftChars="200"/>
        <w:rPr>
          <w:rFonts w:eastAsia="黑体"/>
          <w:color w:val="auto"/>
          <w:sz w:val="24"/>
          <w:highlight w:val="none"/>
        </w:rPr>
      </w:pPr>
      <w:r>
        <w:rPr>
          <w:rFonts w:eastAsia="黑体"/>
          <w:color w:val="auto"/>
          <w:sz w:val="24"/>
          <w:highlight w:val="none"/>
        </w:rPr>
        <w:t>1.4 标准和规范</w:t>
      </w:r>
    </w:p>
    <w:p w14:paraId="3D575482">
      <w:pPr>
        <w:adjustRightInd/>
        <w:spacing w:line="300" w:lineRule="auto"/>
        <w:ind w:left="420" w:leftChars="200"/>
        <w:rPr>
          <w:rFonts w:ascii="黑体" w:hAnsi="黑体" w:eastAsia="黑体"/>
          <w:b/>
          <w:color w:val="auto"/>
          <w:sz w:val="24"/>
          <w:highlight w:val="none"/>
          <w:u w:val="single"/>
        </w:rPr>
      </w:pPr>
      <w:r>
        <w:rPr>
          <w:rFonts w:eastAsia="仿宋_GB2312"/>
          <w:color w:val="auto"/>
          <w:sz w:val="24"/>
          <w:highlight w:val="none"/>
        </w:rPr>
        <w:t>1.4.1适用于工程的标准规范包括：</w:t>
      </w:r>
      <w:r>
        <w:rPr>
          <w:rFonts w:hint="eastAsia" w:ascii="仿宋_GB2312" w:hAnsi="黑体" w:eastAsia="仿宋_GB2312"/>
          <w:b/>
          <w:color w:val="auto"/>
          <w:sz w:val="24"/>
          <w:highlight w:val="none"/>
          <w:u w:val="single"/>
        </w:rPr>
        <w:t xml:space="preserve">（1）按通用条款约定；   </w:t>
      </w:r>
    </w:p>
    <w:p w14:paraId="5A51DCA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1.4.2 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118B2CA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发包人提供国外标准、规范的份数：</w:t>
      </w:r>
      <w:r>
        <w:rPr>
          <w:rFonts w:hint="eastAsia" w:eastAsia="仿宋_GB2312"/>
          <w:color w:val="auto"/>
          <w:sz w:val="24"/>
          <w:highlight w:val="none"/>
          <w:u w:val="single"/>
        </w:rPr>
        <w:t>/</w:t>
      </w:r>
      <w:r>
        <w:rPr>
          <w:rFonts w:eastAsia="仿宋_GB2312"/>
          <w:color w:val="auto"/>
          <w:sz w:val="24"/>
          <w:highlight w:val="none"/>
        </w:rPr>
        <w:t>；</w:t>
      </w:r>
    </w:p>
    <w:p w14:paraId="233C62FA">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5EADCAAA">
      <w:pPr>
        <w:adjustRightInd/>
        <w:spacing w:line="300" w:lineRule="auto"/>
        <w:ind w:left="420" w:leftChars="200"/>
        <w:rPr>
          <w:rFonts w:eastAsia="仿宋_GB2312"/>
          <w:color w:val="auto"/>
          <w:sz w:val="24"/>
          <w:highlight w:val="none"/>
        </w:rPr>
      </w:pPr>
      <w:r>
        <w:rPr>
          <w:rFonts w:eastAsia="仿宋_GB2312"/>
          <w:color w:val="auto"/>
          <w:sz w:val="24"/>
          <w:highlight w:val="none"/>
        </w:rPr>
        <w:t>1.4.3发包人对工程的技术标准和功能要求的特殊要求：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4C44BE4A">
      <w:pPr>
        <w:adjustRightInd/>
        <w:spacing w:line="300" w:lineRule="auto"/>
        <w:ind w:firstLine="480" w:firstLineChars="200"/>
        <w:rPr>
          <w:rFonts w:eastAsia="黑体"/>
          <w:color w:val="auto"/>
          <w:sz w:val="24"/>
          <w:highlight w:val="none"/>
        </w:rPr>
      </w:pPr>
      <w:r>
        <w:rPr>
          <w:rFonts w:eastAsia="黑体"/>
          <w:color w:val="auto"/>
          <w:sz w:val="24"/>
          <w:highlight w:val="none"/>
        </w:rPr>
        <w:t>1.5 合同文件的优先顺序</w:t>
      </w:r>
    </w:p>
    <w:p w14:paraId="0444F14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合同文件组成及优先顺序为：</w:t>
      </w:r>
    </w:p>
    <w:p w14:paraId="63E81251">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（1）合同协议书</w:t>
      </w:r>
      <w:r>
        <w:rPr>
          <w:rFonts w:hint="eastAsia" w:ascii="仿宋_GB2312" w:hAnsi="黑体" w:eastAsia="仿宋_GB2312"/>
          <w:b/>
          <w:color w:val="auto"/>
          <w:sz w:val="24"/>
          <w:highlight w:val="none"/>
        </w:rPr>
        <w:t>；</w:t>
      </w:r>
    </w:p>
    <w:p w14:paraId="5913A71C">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（2）中标通知书（或项目发承包基本情况表）</w:t>
      </w:r>
      <w:r>
        <w:rPr>
          <w:rFonts w:hint="eastAsia" w:ascii="仿宋_GB2312" w:hAnsi="黑体" w:eastAsia="仿宋_GB2312"/>
          <w:b/>
          <w:color w:val="auto"/>
          <w:sz w:val="24"/>
          <w:highlight w:val="none"/>
        </w:rPr>
        <w:t>；</w:t>
      </w:r>
    </w:p>
    <w:p w14:paraId="61FEB669">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（3）投标函及其附录（如果有）</w:t>
      </w:r>
      <w:r>
        <w:rPr>
          <w:rFonts w:hint="eastAsia" w:ascii="仿宋_GB2312" w:hAnsi="黑体" w:eastAsia="仿宋_GB2312"/>
          <w:b/>
          <w:color w:val="auto"/>
          <w:sz w:val="24"/>
          <w:highlight w:val="none"/>
        </w:rPr>
        <w:t>；</w:t>
      </w:r>
    </w:p>
    <w:p w14:paraId="03A8C0CD">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（4）专用合同条款及其附件</w:t>
      </w:r>
      <w:r>
        <w:rPr>
          <w:rFonts w:hint="eastAsia" w:ascii="仿宋_GB2312" w:hAnsi="黑体" w:eastAsia="仿宋_GB2312"/>
          <w:b/>
          <w:color w:val="auto"/>
          <w:sz w:val="24"/>
          <w:highlight w:val="none"/>
        </w:rPr>
        <w:t>；</w:t>
      </w:r>
    </w:p>
    <w:p w14:paraId="7BF9261A">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（5）通用合同条款</w:t>
      </w:r>
      <w:r>
        <w:rPr>
          <w:rFonts w:hint="eastAsia" w:ascii="仿宋_GB2312" w:hAnsi="黑体" w:eastAsia="仿宋_GB2312"/>
          <w:b/>
          <w:color w:val="auto"/>
          <w:sz w:val="24"/>
          <w:highlight w:val="none"/>
        </w:rPr>
        <w:t>；</w:t>
      </w:r>
    </w:p>
    <w:p w14:paraId="2037A50A">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（6）技术标准和要求</w:t>
      </w:r>
      <w:r>
        <w:rPr>
          <w:rFonts w:hint="eastAsia" w:ascii="仿宋_GB2312" w:hAnsi="黑体" w:eastAsia="仿宋_GB2312"/>
          <w:b/>
          <w:color w:val="auto"/>
          <w:sz w:val="24"/>
          <w:highlight w:val="none"/>
        </w:rPr>
        <w:t>；</w:t>
      </w:r>
    </w:p>
    <w:p w14:paraId="11C33233">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（7）图纸；</w:t>
      </w:r>
    </w:p>
    <w:p w14:paraId="08697F89">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（8）已标价工程量清单或预算书</w:t>
      </w:r>
      <w:r>
        <w:rPr>
          <w:rFonts w:hint="eastAsia" w:ascii="仿宋_GB2312" w:hAnsi="黑体" w:eastAsia="仿宋_GB2312"/>
          <w:b/>
          <w:color w:val="auto"/>
          <w:sz w:val="24"/>
          <w:highlight w:val="none"/>
        </w:rPr>
        <w:t>；</w:t>
      </w:r>
    </w:p>
    <w:p w14:paraId="524E564D">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（9）其他合同文件</w:t>
      </w:r>
      <w:r>
        <w:rPr>
          <w:rFonts w:hint="eastAsia" w:ascii="仿宋_GB2312" w:hAnsi="黑体" w:eastAsia="仿宋_GB2312"/>
          <w:b/>
          <w:color w:val="auto"/>
          <w:sz w:val="24"/>
          <w:highlight w:val="none"/>
        </w:rPr>
        <w:t>：</w:t>
      </w:r>
    </w:p>
    <w:p w14:paraId="2251B645">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①施工组织设计</w:t>
      </w:r>
      <w:r>
        <w:rPr>
          <w:rFonts w:hint="eastAsia" w:ascii="仿宋_GB2312" w:hAnsi="黑体" w:eastAsia="仿宋_GB2312"/>
          <w:b/>
          <w:color w:val="auto"/>
          <w:sz w:val="24"/>
          <w:highlight w:val="none"/>
        </w:rPr>
        <w:t>；</w:t>
      </w:r>
    </w:p>
    <w:p w14:paraId="33CA36EE">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②招标文件（含招标工程量清单）及招标答疑。</w:t>
      </w:r>
    </w:p>
    <w:p w14:paraId="6FAA1556">
      <w:pPr>
        <w:adjustRightInd/>
        <w:spacing w:line="300" w:lineRule="auto"/>
        <w:ind w:firstLine="480" w:firstLineChars="200"/>
        <w:rPr>
          <w:rFonts w:eastAsia="黑体"/>
          <w:color w:val="auto"/>
          <w:sz w:val="24"/>
          <w:highlight w:val="none"/>
        </w:rPr>
      </w:pPr>
      <w:r>
        <w:rPr>
          <w:rFonts w:eastAsia="黑体"/>
          <w:color w:val="auto"/>
          <w:sz w:val="24"/>
          <w:highlight w:val="none"/>
        </w:rPr>
        <w:t>1.6 图纸和承包人文件</w:t>
      </w:r>
      <w:r>
        <w:rPr>
          <w:rFonts w:eastAsia="黑体"/>
          <w:color w:val="auto"/>
          <w:sz w:val="24"/>
          <w:highlight w:val="none"/>
        </w:rPr>
        <w:tab/>
      </w:r>
    </w:p>
    <w:p w14:paraId="6B016C0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 图纸的提供</w:t>
      </w:r>
    </w:p>
    <w:p w14:paraId="3099C553">
      <w:pPr>
        <w:adjustRightInd/>
        <w:spacing w:line="300" w:lineRule="auto"/>
        <w:ind w:left="105" w:leftChars="50" w:firstLine="480" w:firstLineChars="200"/>
        <w:rPr>
          <w:rFonts w:eastAsia="仿宋_GB2312"/>
          <w:color w:val="auto"/>
          <w:sz w:val="24"/>
          <w:highlight w:val="none"/>
          <w:u w:val="single"/>
        </w:rPr>
      </w:pPr>
      <w:r>
        <w:rPr>
          <w:rFonts w:eastAsia="仿宋_GB2312"/>
          <w:color w:val="auto"/>
          <w:sz w:val="24"/>
          <w:highlight w:val="none"/>
        </w:rPr>
        <w:t>发包人向承包人提供图纸的期限：</w:t>
      </w:r>
      <w:r>
        <w:rPr>
          <w:rFonts w:hint="eastAsia" w:eastAsia="仿宋_GB2312"/>
          <w:color w:val="auto"/>
          <w:sz w:val="24"/>
          <w:highlight w:val="none"/>
          <w:u w:val="single"/>
        </w:rPr>
        <w:t>合同签订后5个工作日内（至迟不得晚于第7.3.2项〔开工通知〕载明的开工日期前14天）。</w:t>
      </w:r>
    </w:p>
    <w:p w14:paraId="1633BBF9">
      <w:pPr>
        <w:pStyle w:val="897"/>
        <w:spacing w:line="300" w:lineRule="auto"/>
        <w:ind w:left="420" w:firstLine="482" w:firstLineChars="0"/>
        <w:rPr>
          <w:rFonts w:eastAsia="仿宋_GB2312"/>
          <w:color w:val="auto"/>
          <w:highlight w:val="none"/>
          <w:u w:val="single"/>
        </w:rPr>
      </w:pPr>
      <w:r>
        <w:rPr>
          <w:rFonts w:eastAsia="仿宋_GB2312"/>
          <w:color w:val="auto"/>
          <w:highlight w:val="none"/>
        </w:rPr>
        <w:t>发包人向承包人提供图纸的数量：</w:t>
      </w:r>
      <w:r>
        <w:rPr>
          <w:rFonts w:hint="eastAsia" w:eastAsia="仿宋_GB2312"/>
          <w:color w:val="auto"/>
          <w:highlight w:val="none"/>
          <w:u w:val="single"/>
        </w:rPr>
        <w:t>肆套</w:t>
      </w:r>
      <w:r>
        <w:rPr>
          <w:rFonts w:eastAsia="仿宋_GB2312"/>
          <w:color w:val="auto"/>
          <w:highlight w:val="none"/>
          <w:u w:val="single"/>
        </w:rPr>
        <w:t>；</w:t>
      </w:r>
      <w:r>
        <w:rPr>
          <w:rFonts w:hint="eastAsia" w:eastAsia="仿宋_GB2312"/>
          <w:color w:val="auto"/>
          <w:highlight w:val="none"/>
          <w:u w:val="single"/>
        </w:rPr>
        <w:t>如承包人额外需要提供施工图纸的，则额外增加的施工图纸的制作费由承包人承担。承包人接收图纸后应出具相应书面签收单。</w:t>
      </w:r>
    </w:p>
    <w:p w14:paraId="59BF097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发包人向承包人提供图纸的内容：</w:t>
      </w:r>
      <w:r>
        <w:rPr>
          <w:rFonts w:hint="eastAsia" w:eastAsia="仿宋_GB2312"/>
          <w:color w:val="auto"/>
          <w:sz w:val="24"/>
          <w:highlight w:val="none"/>
          <w:u w:val="single"/>
        </w:rPr>
        <w:t>施工图、设计联系单等</w:t>
      </w:r>
      <w:r>
        <w:rPr>
          <w:rFonts w:eastAsia="仿宋_GB2312"/>
          <w:color w:val="auto"/>
          <w:sz w:val="24"/>
          <w:highlight w:val="none"/>
        </w:rPr>
        <w:t>。</w:t>
      </w:r>
    </w:p>
    <w:p w14:paraId="10DBC5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1.6.4 承包人文件</w:t>
      </w:r>
    </w:p>
    <w:p w14:paraId="5A373E9D">
      <w:pPr>
        <w:adjustRightInd/>
        <w:spacing w:line="300" w:lineRule="auto"/>
        <w:ind w:firstLine="475" w:firstLineChars="198"/>
        <w:rPr>
          <w:rFonts w:eastAsia="仿宋_GB2312"/>
          <w:color w:val="auto"/>
          <w:sz w:val="24"/>
          <w:highlight w:val="none"/>
          <w:u w:val="single"/>
        </w:rPr>
      </w:pPr>
      <w:r>
        <w:rPr>
          <w:rFonts w:eastAsia="仿宋_GB2312"/>
          <w:color w:val="auto"/>
          <w:sz w:val="24"/>
          <w:highlight w:val="none"/>
        </w:rPr>
        <w:t>需要由承包人提供的文件，包括：</w:t>
      </w:r>
      <w:r>
        <w:rPr>
          <w:rFonts w:hint="eastAsia" w:eastAsia="仿宋_GB2312"/>
          <w:color w:val="auto"/>
          <w:sz w:val="24"/>
          <w:highlight w:val="none"/>
          <w:u w:val="single"/>
        </w:rPr>
        <w:t>发包人、监理人、质监站要求提供的开工前所需的所有资料。包括本工程适用的国家现行的施工规范、国家现行的验收规范、国家现行的质量验评标准及国家及地方现行施工验收及施工安全技术规范等，对危险性较大的分部分项工程，投标人需提供与自身报价相应的安全专项施工方案，防范建筑施工生产安全事故的发生。还应提供符合监理工程师要求的施工组织设计、详细的工期质量安全文明保证措施方案、工程进度计划、专项施工方案、月工程量报表、月进度报表及发包人（监理）和政府规定要求必须提供的其他文件。</w:t>
      </w:r>
    </w:p>
    <w:p w14:paraId="1469FF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承包人提供的文件的期限为：</w:t>
      </w:r>
      <w:r>
        <w:rPr>
          <w:rFonts w:hint="eastAsia" w:eastAsia="仿宋_GB2312"/>
          <w:color w:val="auto"/>
          <w:sz w:val="24"/>
          <w:highlight w:val="none"/>
          <w:u w:val="single"/>
        </w:rPr>
        <w:t>合同签订后5个工作日内</w:t>
      </w:r>
      <w:r>
        <w:rPr>
          <w:rFonts w:eastAsia="仿宋_GB2312"/>
          <w:color w:val="auto"/>
          <w:sz w:val="24"/>
          <w:highlight w:val="none"/>
        </w:rPr>
        <w:t>；</w:t>
      </w:r>
    </w:p>
    <w:p w14:paraId="417406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承包人提供的文件的数量为：</w:t>
      </w:r>
      <w:r>
        <w:rPr>
          <w:rFonts w:hint="eastAsia" w:eastAsia="仿宋_GB2312"/>
          <w:color w:val="auto"/>
          <w:sz w:val="24"/>
          <w:highlight w:val="none"/>
          <w:u w:val="single"/>
        </w:rPr>
        <w:t>开工报告一式四份，其余两份</w:t>
      </w:r>
      <w:r>
        <w:rPr>
          <w:rFonts w:eastAsia="仿宋_GB2312"/>
          <w:color w:val="auto"/>
          <w:sz w:val="24"/>
          <w:highlight w:val="none"/>
        </w:rPr>
        <w:t>；</w:t>
      </w:r>
    </w:p>
    <w:p w14:paraId="1B390B1C">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承包人提供的文件的形式为：</w:t>
      </w:r>
      <w:r>
        <w:rPr>
          <w:rFonts w:hint="eastAsia" w:eastAsia="仿宋_GB2312"/>
          <w:color w:val="auto"/>
          <w:sz w:val="24"/>
          <w:highlight w:val="none"/>
          <w:u w:val="single"/>
        </w:rPr>
        <w:t>书面形式和电子资料</w:t>
      </w:r>
      <w:r>
        <w:rPr>
          <w:rFonts w:eastAsia="仿宋_GB2312"/>
          <w:color w:val="auto"/>
          <w:sz w:val="24"/>
          <w:highlight w:val="none"/>
        </w:rPr>
        <w:t>；</w:t>
      </w:r>
    </w:p>
    <w:p w14:paraId="766BE01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承包人文件的期限：</w:t>
      </w:r>
      <w:r>
        <w:rPr>
          <w:rFonts w:hint="eastAsia" w:eastAsia="仿宋_GB2312"/>
          <w:color w:val="auto"/>
          <w:sz w:val="24"/>
          <w:highlight w:val="none"/>
          <w:u w:val="single"/>
        </w:rPr>
        <w:t>收到承包人文件后7天内</w:t>
      </w:r>
      <w:r>
        <w:rPr>
          <w:rFonts w:eastAsia="仿宋_GB2312"/>
          <w:color w:val="auto"/>
          <w:sz w:val="24"/>
          <w:highlight w:val="none"/>
        </w:rPr>
        <w:t>。</w:t>
      </w:r>
    </w:p>
    <w:p w14:paraId="23802DD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1.6.5 现场图纸准备</w:t>
      </w:r>
    </w:p>
    <w:p w14:paraId="076C65F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关于现场图纸准备的约定</w:t>
      </w:r>
      <w:r>
        <w:rPr>
          <w:rFonts w:hint="eastAsia" w:eastAsia="仿宋_GB2312"/>
          <w:color w:val="auto"/>
          <w:sz w:val="24"/>
          <w:highlight w:val="none"/>
        </w:rPr>
        <w:t>：</w:t>
      </w:r>
      <w:r>
        <w:rPr>
          <w:rFonts w:hint="eastAsia" w:eastAsia="仿宋_GB2312"/>
          <w:color w:val="auto"/>
          <w:sz w:val="24"/>
          <w:highlight w:val="none"/>
          <w:u w:val="single"/>
        </w:rPr>
        <w:t xml:space="preserve">承包人应在现场保留1套完整图纸，供发包人代表、监理人员及其它有关人员进行工程检查时使用。  </w:t>
      </w:r>
    </w:p>
    <w:p w14:paraId="64902658">
      <w:pPr>
        <w:adjustRightInd/>
        <w:spacing w:line="300" w:lineRule="auto"/>
        <w:ind w:firstLine="480" w:firstLineChars="200"/>
        <w:rPr>
          <w:rFonts w:eastAsia="黑体"/>
          <w:color w:val="auto"/>
          <w:sz w:val="24"/>
          <w:highlight w:val="none"/>
        </w:rPr>
      </w:pPr>
      <w:r>
        <w:rPr>
          <w:rFonts w:eastAsia="黑体"/>
          <w:color w:val="auto"/>
          <w:sz w:val="24"/>
          <w:highlight w:val="none"/>
        </w:rPr>
        <w:t>1.7 联络</w:t>
      </w:r>
    </w:p>
    <w:p w14:paraId="091BDC9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1.7.1发包人和承包人应当在</w:t>
      </w:r>
      <w:r>
        <w:rPr>
          <w:rFonts w:hint="eastAsia" w:eastAsia="仿宋_GB2312"/>
          <w:color w:val="auto"/>
          <w:sz w:val="24"/>
          <w:highlight w:val="none"/>
          <w:u w:val="single"/>
        </w:rPr>
        <w:t>7</w:t>
      </w:r>
      <w:r>
        <w:rPr>
          <w:rFonts w:eastAsia="仿宋_GB2312"/>
          <w:color w:val="auto"/>
          <w:sz w:val="24"/>
          <w:highlight w:val="none"/>
        </w:rPr>
        <w:t>天内将与合同有关的通知、批准、证明、证书、指示、指令、要求、请求、同意、意见、确定和决定等书面函件送达对方当事人</w:t>
      </w:r>
      <w:r>
        <w:rPr>
          <w:rFonts w:hint="eastAsia" w:eastAsia="仿宋_GB2312"/>
          <w:color w:val="auto"/>
          <w:sz w:val="24"/>
          <w:highlight w:val="none"/>
        </w:rPr>
        <w:t>。</w:t>
      </w:r>
    </w:p>
    <w:p w14:paraId="0CEAE9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1.7.2 发包人接收文件的地点：</w:t>
      </w:r>
      <w:r>
        <w:rPr>
          <w:rFonts w:hint="eastAsia" w:eastAsia="仿宋_GB2312"/>
          <w:color w:val="auto"/>
          <w:sz w:val="24"/>
          <w:highlight w:val="none"/>
          <w:u w:val="single"/>
        </w:rPr>
        <w:t>工程现场或发包人所在地</w:t>
      </w:r>
      <w:r>
        <w:rPr>
          <w:rFonts w:eastAsia="仿宋_GB2312"/>
          <w:color w:val="auto"/>
          <w:sz w:val="24"/>
          <w:highlight w:val="none"/>
        </w:rPr>
        <w:t>；</w:t>
      </w:r>
    </w:p>
    <w:p w14:paraId="2B104A6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发包人指定的接收人为：</w:t>
      </w:r>
      <w:r>
        <w:rPr>
          <w:rFonts w:hint="eastAsia" w:eastAsia="仿宋_GB2312"/>
          <w:color w:val="auto"/>
          <w:sz w:val="24"/>
          <w:highlight w:val="none"/>
          <w:u w:val="single"/>
        </w:rPr>
        <w:t>发包人代表</w:t>
      </w:r>
      <w:r>
        <w:rPr>
          <w:rFonts w:eastAsia="仿宋_GB2312"/>
          <w:color w:val="auto"/>
          <w:sz w:val="24"/>
          <w:highlight w:val="none"/>
        </w:rPr>
        <w:t>。</w:t>
      </w:r>
    </w:p>
    <w:p w14:paraId="2B03379F">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35799F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承包人指定的接收人为：</w:t>
      </w:r>
      <w:r>
        <w:rPr>
          <w:rFonts w:hint="eastAsia" w:eastAsia="仿宋_GB2312"/>
          <w:color w:val="auto"/>
          <w:sz w:val="24"/>
          <w:highlight w:val="none"/>
          <w:u w:val="single"/>
        </w:rPr>
        <w:t>项目经理</w:t>
      </w:r>
      <w:r>
        <w:rPr>
          <w:rFonts w:eastAsia="仿宋_GB2312"/>
          <w:color w:val="auto"/>
          <w:sz w:val="24"/>
          <w:highlight w:val="none"/>
        </w:rPr>
        <w:t>。</w:t>
      </w:r>
    </w:p>
    <w:p w14:paraId="15E17DA8">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069E5559">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监理人指定的接收人为：</w:t>
      </w:r>
      <w:r>
        <w:rPr>
          <w:rFonts w:hint="eastAsia" w:eastAsia="仿宋_GB2312"/>
          <w:color w:val="auto"/>
          <w:sz w:val="24"/>
          <w:highlight w:val="none"/>
          <w:u w:val="single"/>
        </w:rPr>
        <w:t>总监或总监代表</w:t>
      </w:r>
      <w:r>
        <w:rPr>
          <w:rFonts w:eastAsia="仿宋_GB2312"/>
          <w:color w:val="auto"/>
          <w:sz w:val="24"/>
          <w:highlight w:val="none"/>
        </w:rPr>
        <w:t>。</w:t>
      </w:r>
    </w:p>
    <w:p w14:paraId="033CFD78">
      <w:pPr>
        <w:adjustRightInd/>
        <w:spacing w:line="300" w:lineRule="auto"/>
        <w:ind w:firstLine="480" w:firstLineChars="200"/>
        <w:rPr>
          <w:rFonts w:eastAsia="黑体"/>
          <w:color w:val="auto"/>
          <w:sz w:val="24"/>
          <w:highlight w:val="none"/>
        </w:rPr>
      </w:pPr>
      <w:r>
        <w:rPr>
          <w:rFonts w:eastAsia="黑体"/>
          <w:color w:val="auto"/>
          <w:sz w:val="24"/>
          <w:highlight w:val="none"/>
        </w:rPr>
        <w:t>1.10 交通运输</w:t>
      </w:r>
    </w:p>
    <w:p w14:paraId="55D498A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88" w:name="_Toc303539100"/>
      <w:bookmarkStart w:id="489" w:name="_Toc304295521"/>
      <w:bookmarkStart w:id="490" w:name="_Toc300934943"/>
      <w:bookmarkStart w:id="491" w:name="_Toc318581155"/>
      <w:bookmarkStart w:id="492" w:name="_Toc312677986"/>
      <w:r>
        <w:rPr>
          <w:rFonts w:eastAsia="仿宋_GB2312"/>
          <w:color w:val="auto"/>
          <w:sz w:val="24"/>
          <w:highlight w:val="none"/>
        </w:rPr>
        <w:t>.10.1 出入现场的权利</w:t>
      </w:r>
    </w:p>
    <w:p w14:paraId="57F1BB2D">
      <w:pPr>
        <w:pStyle w:val="897"/>
        <w:spacing w:line="300" w:lineRule="auto"/>
        <w:ind w:left="420" w:firstLineChars="0"/>
        <w:rPr>
          <w:rFonts w:eastAsia="仿宋_GB2312"/>
          <w:color w:val="auto"/>
          <w:highlight w:val="none"/>
          <w:u w:val="single"/>
        </w:rPr>
      </w:pPr>
      <w:r>
        <w:rPr>
          <w:rFonts w:hint="eastAsia" w:eastAsia="仿宋_GB2312"/>
          <w:color w:val="auto"/>
          <w:highlight w:val="none"/>
        </w:rPr>
        <w:t>关于出入现场的权利的约定：</w:t>
      </w:r>
      <w:r>
        <w:rPr>
          <w:rFonts w:hint="eastAsia" w:eastAsia="仿宋_GB2312"/>
          <w:color w:val="auto"/>
          <w:highlight w:val="none"/>
          <w:u w:val="single"/>
        </w:rPr>
        <w:t xml:space="preserve">由承包人按发包人要求负责取得出入施工现场所需的批准手续和全部权利，以及取得因施工所需修建道路、桥梁以及其他基础设施的权利，并负责实施施工现场内临时道路、场地硬化、给排水以及场地清理、平整、裸土全覆盖、扬尘防护措施、夜间施工车辆进出场噪音防护措施等，以及承担相关手续费用和建设费用。  </w:t>
      </w:r>
    </w:p>
    <w:bookmarkEnd w:id="488"/>
    <w:bookmarkEnd w:id="489"/>
    <w:bookmarkEnd w:id="490"/>
    <w:bookmarkEnd w:id="491"/>
    <w:bookmarkEnd w:id="492"/>
    <w:p w14:paraId="6FA6A32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93" w:name="_Toc318581156"/>
      <w:bookmarkStart w:id="494" w:name="_Toc312677987"/>
      <w:bookmarkStart w:id="495" w:name="_Toc303539101"/>
      <w:bookmarkStart w:id="496" w:name="_Toc304295522"/>
      <w:bookmarkStart w:id="497" w:name="_Toc300934944"/>
      <w:r>
        <w:rPr>
          <w:rFonts w:eastAsia="仿宋_GB2312"/>
          <w:color w:val="auto"/>
          <w:sz w:val="24"/>
          <w:highlight w:val="none"/>
        </w:rPr>
        <w:t>.10.3 场内交通</w:t>
      </w:r>
    </w:p>
    <w:p w14:paraId="66CD3DD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关于场外交通和场内交通的边界的约定：</w:t>
      </w:r>
      <w:r>
        <w:rPr>
          <w:rFonts w:hint="eastAsia" w:eastAsia="仿宋_GB2312"/>
          <w:color w:val="auto"/>
          <w:sz w:val="24"/>
          <w:highlight w:val="none"/>
          <w:u w:val="single"/>
        </w:rPr>
        <w:t>以规划用地红线为界</w:t>
      </w:r>
      <w:r>
        <w:rPr>
          <w:rFonts w:eastAsia="仿宋_GB2312"/>
          <w:color w:val="auto"/>
          <w:sz w:val="24"/>
          <w:highlight w:val="none"/>
        </w:rPr>
        <w:t>。</w:t>
      </w:r>
    </w:p>
    <w:p w14:paraId="6ACB6AD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关于发包人向承包人免费提供满足工程施工需要的场内道路和交通设施的约定：</w:t>
      </w:r>
      <w:r>
        <w:rPr>
          <w:rFonts w:hint="eastAsia" w:eastAsia="仿宋_GB2312"/>
          <w:color w:val="auto"/>
          <w:sz w:val="24"/>
          <w:highlight w:val="none"/>
          <w:u w:val="single"/>
        </w:rPr>
        <w:t>具体道路由承包人在投标前自行踏勘确定，在施工期间的维护及相应费用由承包人承担；发包人不提供场内道路和交通设施，由承包人自行解决承担</w:t>
      </w:r>
      <w:r>
        <w:rPr>
          <w:rFonts w:eastAsia="仿宋_GB2312"/>
          <w:color w:val="auto"/>
          <w:sz w:val="24"/>
          <w:highlight w:val="none"/>
          <w:u w:val="single"/>
        </w:rPr>
        <w:t>。</w:t>
      </w:r>
      <w:bookmarkEnd w:id="493"/>
      <w:bookmarkEnd w:id="494"/>
      <w:bookmarkEnd w:id="495"/>
      <w:bookmarkEnd w:id="496"/>
      <w:bookmarkEnd w:id="497"/>
      <w:bookmarkStart w:id="498" w:name="_Toc318581157"/>
    </w:p>
    <w:p w14:paraId="18CF1B0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1.10.4超大件和超重件的运输</w:t>
      </w:r>
    </w:p>
    <w:p w14:paraId="5C4D338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运输超大件或超重件所需的道路和桥梁临时加固改造费用和其他有关费用由</w:t>
      </w:r>
      <w:r>
        <w:rPr>
          <w:rFonts w:hint="eastAsia" w:eastAsia="仿宋_GB2312"/>
          <w:color w:val="auto"/>
          <w:sz w:val="24"/>
          <w:highlight w:val="none"/>
          <w:u w:val="single"/>
        </w:rPr>
        <w:t>承包人</w:t>
      </w:r>
      <w:r>
        <w:rPr>
          <w:rFonts w:eastAsia="仿宋_GB2312"/>
          <w:color w:val="auto"/>
          <w:sz w:val="24"/>
          <w:highlight w:val="none"/>
        </w:rPr>
        <w:t>承担。</w:t>
      </w:r>
    </w:p>
    <w:p w14:paraId="18BFE87E">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本工程的超大件：</w:t>
      </w:r>
      <w:r>
        <w:rPr>
          <w:rFonts w:hint="eastAsia" w:ascii="仿宋_GB2312" w:eastAsia="仿宋_GB2312"/>
          <w:color w:val="auto"/>
          <w:sz w:val="24"/>
          <w:highlight w:val="none"/>
          <w:u w:val="single"/>
        </w:rPr>
        <w:t>见设计文件。</w:t>
      </w:r>
    </w:p>
    <w:p w14:paraId="1546E0B3">
      <w:pPr>
        <w:adjustRightInd/>
        <w:spacing w:line="30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本工程的超重件：</w:t>
      </w:r>
      <w:r>
        <w:rPr>
          <w:rFonts w:hint="eastAsia" w:ascii="仿宋_GB2312" w:eastAsia="仿宋_GB2312"/>
          <w:color w:val="auto"/>
          <w:sz w:val="24"/>
          <w:highlight w:val="none"/>
          <w:u w:val="single"/>
        </w:rPr>
        <w:t>见设计文件。</w:t>
      </w:r>
    </w:p>
    <w:bookmarkEnd w:id="498"/>
    <w:p w14:paraId="5B26EBF9">
      <w:pPr>
        <w:adjustRightInd/>
        <w:spacing w:line="300" w:lineRule="auto"/>
        <w:ind w:firstLine="480" w:firstLineChars="200"/>
        <w:rPr>
          <w:rFonts w:eastAsia="黑体"/>
          <w:color w:val="auto"/>
          <w:sz w:val="24"/>
          <w:highlight w:val="none"/>
        </w:rPr>
      </w:pPr>
      <w:r>
        <w:rPr>
          <w:rFonts w:eastAsia="黑体"/>
          <w:color w:val="auto"/>
          <w:sz w:val="24"/>
          <w:highlight w:val="none"/>
        </w:rPr>
        <w:t>1.11 知识产权</w:t>
      </w:r>
    </w:p>
    <w:p w14:paraId="7F378B1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eastAsia="仿宋_GB2312"/>
          <w:color w:val="auto"/>
          <w:sz w:val="24"/>
          <w:highlight w:val="none"/>
          <w:u w:val="single"/>
        </w:rPr>
        <w:t></w:t>
      </w:r>
      <w:r>
        <w:rPr>
          <w:rFonts w:hint="eastAsia" w:eastAsia="仿宋_GB2312"/>
          <w:color w:val="auto"/>
          <w:sz w:val="24"/>
          <w:highlight w:val="none"/>
          <w:u w:val="single"/>
        </w:rPr>
        <w:t xml:space="preserve"> 发包人 。</w:t>
      </w:r>
    </w:p>
    <w:p w14:paraId="10DFF72E">
      <w:pPr>
        <w:pStyle w:val="897"/>
        <w:spacing w:line="300" w:lineRule="auto"/>
        <w:ind w:left="420" w:firstLine="480"/>
        <w:rPr>
          <w:rFonts w:ascii="宋体" w:hAnsi="宋体"/>
          <w:color w:val="auto"/>
          <w:highlight w:val="none"/>
          <w:u w:val="single"/>
        </w:rPr>
      </w:pPr>
      <w:r>
        <w:rPr>
          <w:rFonts w:eastAsia="仿宋_GB2312"/>
          <w:color w:val="auto"/>
          <w:highlight w:val="none"/>
        </w:rPr>
        <w:t>关于发包人提供的上述文件的使用限制的要求：</w:t>
      </w:r>
      <w:r>
        <w:rPr>
          <w:rFonts w:hint="eastAsia" w:eastAsia="仿宋_GB2312"/>
          <w:color w:val="auto"/>
          <w:highlight w:val="none"/>
          <w:u w:val="single"/>
        </w:rPr>
        <w:t>本工程设计图纸，未经发包人同意，承包人不得以任何方式或理由转给第三方 。</w:t>
      </w:r>
    </w:p>
    <w:p w14:paraId="7B1A6311">
      <w:pPr>
        <w:adjustRightInd/>
        <w:spacing w:line="300" w:lineRule="auto"/>
        <w:ind w:left="596" w:leftChars="284"/>
        <w:rPr>
          <w:rFonts w:eastAsia="仿宋_GB2312"/>
          <w:color w:val="auto"/>
          <w:sz w:val="24"/>
          <w:highlight w:val="none"/>
        </w:rPr>
      </w:pPr>
      <w:r>
        <w:rPr>
          <w:rFonts w:eastAsia="仿宋_GB2312"/>
          <w:color w:val="auto"/>
          <w:sz w:val="24"/>
          <w:highlight w:val="none"/>
        </w:rPr>
        <w:t>1.11.2 关于承包人为实施工程所编制文件的著作权的归属：</w:t>
      </w:r>
      <w:r>
        <w:rPr>
          <w:rFonts w:hint="eastAsia" w:eastAsia="仿宋_GB2312"/>
          <w:color w:val="auto"/>
          <w:sz w:val="24"/>
          <w:highlight w:val="none"/>
          <w:u w:val="single"/>
        </w:rPr>
        <w:t>/</w:t>
      </w:r>
      <w:r>
        <w:rPr>
          <w:rFonts w:eastAsia="仿宋_GB2312"/>
          <w:color w:val="auto"/>
          <w:sz w:val="24"/>
          <w:highlight w:val="none"/>
        </w:rPr>
        <w:t>。</w:t>
      </w:r>
    </w:p>
    <w:p w14:paraId="3E578E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关于承包人提供的上述文件的使用限制的要求：</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4009FE88">
      <w:pPr>
        <w:adjustRightInd/>
        <w:spacing w:line="300" w:lineRule="auto"/>
        <w:ind w:firstLine="480" w:firstLineChars="200"/>
        <w:rPr>
          <w:rFonts w:ascii="仿宋_GB2312" w:eastAsia="仿宋_GB2312"/>
          <w:color w:val="auto"/>
          <w:sz w:val="24"/>
          <w:highlight w:val="none"/>
        </w:rPr>
      </w:pPr>
      <w:r>
        <w:rPr>
          <w:rFonts w:eastAsia="仿宋_GB2312"/>
          <w:color w:val="auto"/>
          <w:sz w:val="24"/>
          <w:highlight w:val="none"/>
        </w:rPr>
        <w:t>1.11.4 承包人在施工过程中所采用的专利、专有技术、技术秘密的使用费的承担方式：</w:t>
      </w:r>
      <w:r>
        <w:rPr>
          <w:rFonts w:hint="eastAsia" w:eastAsia="仿宋_GB2312"/>
          <w:color w:val="auto"/>
          <w:sz w:val="24"/>
          <w:highlight w:val="none"/>
          <w:u w:val="single"/>
        </w:rPr>
        <w:t>/</w:t>
      </w:r>
      <w:r>
        <w:rPr>
          <w:rFonts w:hint="eastAsia" w:ascii="仿宋_GB2312" w:eastAsia="仿宋_GB2312"/>
          <w:b/>
          <w:color w:val="auto"/>
          <w:sz w:val="24"/>
          <w:highlight w:val="none"/>
          <w:u w:val="single"/>
        </w:rPr>
        <w:t>。</w:t>
      </w:r>
    </w:p>
    <w:p w14:paraId="5A768644">
      <w:pPr>
        <w:adjustRightInd/>
        <w:spacing w:line="300" w:lineRule="auto"/>
        <w:ind w:firstLine="480" w:firstLineChars="200"/>
        <w:rPr>
          <w:rFonts w:eastAsia="黑体"/>
          <w:color w:val="auto"/>
          <w:sz w:val="24"/>
          <w:highlight w:val="none"/>
        </w:rPr>
      </w:pPr>
      <w:r>
        <w:rPr>
          <w:rFonts w:eastAsia="黑体"/>
          <w:color w:val="auto"/>
          <w:sz w:val="24"/>
          <w:highlight w:val="none"/>
        </w:rPr>
        <w:t>1.13工程量清单错误的修正</w:t>
      </w:r>
    </w:p>
    <w:p w14:paraId="1009B6E6">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出现工程量清单错误时，是否调整合同价格：</w:t>
      </w:r>
      <w:r>
        <w:rPr>
          <w:rFonts w:hint="eastAsia" w:ascii="仿宋_GB2312" w:eastAsia="仿宋_GB2312"/>
          <w:b/>
          <w:color w:val="auto"/>
          <w:sz w:val="24"/>
          <w:highlight w:val="none"/>
          <w:u w:val="single"/>
        </w:rPr>
        <w:t xml:space="preserve">   是         </w:t>
      </w:r>
      <w:r>
        <w:rPr>
          <w:rFonts w:hint="eastAsia" w:ascii="仿宋_GB2312" w:eastAsia="仿宋_GB2312"/>
          <w:b/>
          <w:color w:val="auto"/>
          <w:sz w:val="24"/>
          <w:highlight w:val="none"/>
        </w:rPr>
        <w:t>；</w:t>
      </w:r>
    </w:p>
    <w:p w14:paraId="5FBA4103">
      <w:pPr>
        <w:adjustRightInd/>
        <w:spacing w:line="300" w:lineRule="auto"/>
        <w:ind w:firstLine="480" w:firstLineChars="200"/>
        <w:rPr>
          <w:rFonts w:ascii="黑体" w:eastAsia="黑体"/>
          <w:b/>
          <w:color w:val="auto"/>
          <w:sz w:val="24"/>
          <w:highlight w:val="none"/>
        </w:rPr>
      </w:pPr>
      <w:r>
        <w:rPr>
          <w:rFonts w:eastAsia="仿宋_GB2312"/>
          <w:color w:val="auto"/>
          <w:sz w:val="24"/>
          <w:highlight w:val="none"/>
        </w:rPr>
        <w:t>允许调整合同价格的工程量偏差范围：</w:t>
      </w:r>
      <w:r>
        <w:rPr>
          <w:rFonts w:hint="eastAsia" w:eastAsia="仿宋_GB2312"/>
          <w:color w:val="auto"/>
          <w:sz w:val="24"/>
          <w:highlight w:val="none"/>
          <w:u w:val="single"/>
        </w:rPr>
        <w:t>按专用合同条款10.4.1执行；</w:t>
      </w:r>
    </w:p>
    <w:p w14:paraId="075CF76B">
      <w:pPr>
        <w:adjustRightInd/>
        <w:spacing w:line="300" w:lineRule="auto"/>
        <w:ind w:firstLine="482" w:firstLineChars="200"/>
        <w:rPr>
          <w:rFonts w:ascii="仿宋_GB2312" w:hAnsi="宋体" w:eastAsia="仿宋_GB2312"/>
          <w:b/>
          <w:color w:val="auto"/>
          <w:sz w:val="24"/>
          <w:highlight w:val="none"/>
        </w:rPr>
      </w:pPr>
      <w:bookmarkStart w:id="499" w:name="_Toc351203634"/>
      <w:r>
        <w:rPr>
          <w:rFonts w:hint="eastAsia" w:ascii="仿宋_GB2312" w:hAnsi="宋体" w:eastAsia="仿宋_GB2312"/>
          <w:b/>
          <w:color w:val="auto"/>
          <w:sz w:val="24"/>
          <w:highlight w:val="none"/>
        </w:rPr>
        <w:t>调整合同价格的修正时间：</w:t>
      </w:r>
      <w:r>
        <w:rPr>
          <w:rFonts w:hint="eastAsia" w:eastAsia="仿宋_GB2312"/>
          <w:color w:val="auto"/>
          <w:sz w:val="24"/>
          <w:highlight w:val="none"/>
          <w:u w:val="single"/>
        </w:rPr>
        <w:t>工程竣工结算审计时，</w:t>
      </w:r>
      <w:r>
        <w:rPr>
          <w:rFonts w:hint="eastAsia" w:ascii="仿宋_GB2312" w:hAnsi="宋体" w:eastAsia="仿宋_GB2312"/>
          <w:color w:val="auto"/>
          <w:sz w:val="24"/>
          <w:highlight w:val="none"/>
          <w:u w:val="single"/>
        </w:rPr>
        <w:t>最终价格以竣工结算审计为准</w:t>
      </w:r>
      <w:r>
        <w:rPr>
          <w:rFonts w:hint="eastAsia" w:ascii="仿宋_GB2312" w:hAnsi="宋体" w:eastAsia="仿宋_GB2312"/>
          <w:b/>
          <w:color w:val="auto"/>
          <w:sz w:val="24"/>
          <w:highlight w:val="none"/>
        </w:rPr>
        <w:t>。</w:t>
      </w:r>
    </w:p>
    <w:p w14:paraId="148C89DB">
      <w:pPr>
        <w:pStyle w:val="8"/>
        <w:spacing w:before="0" w:after="0" w:line="300" w:lineRule="auto"/>
        <w:ind w:firstLine="470" w:firstLineChars="196"/>
        <w:rPr>
          <w:rFonts w:ascii="Times New Roman" w:hAnsi="Times New Roman"/>
          <w:b w:val="0"/>
          <w:color w:val="auto"/>
          <w:sz w:val="24"/>
          <w:szCs w:val="24"/>
          <w:highlight w:val="none"/>
        </w:rPr>
      </w:pPr>
      <w:r>
        <w:rPr>
          <w:rFonts w:ascii="Times New Roman" w:hAnsi="Times New Roman"/>
          <w:b w:val="0"/>
          <w:color w:val="auto"/>
          <w:sz w:val="24"/>
          <w:szCs w:val="24"/>
          <w:highlight w:val="none"/>
        </w:rPr>
        <w:t>2</w:t>
      </w:r>
      <w:bookmarkStart w:id="500" w:name="_Toc292559867"/>
      <w:bookmarkStart w:id="501" w:name="_Toc296944496"/>
      <w:bookmarkStart w:id="502" w:name="_Toc296347156"/>
      <w:bookmarkStart w:id="503" w:name="_Toc296346658"/>
      <w:bookmarkStart w:id="504" w:name="_Toc297120457"/>
      <w:bookmarkStart w:id="505" w:name="_Toc297048343"/>
      <w:bookmarkStart w:id="506" w:name="_Toc296890985"/>
      <w:bookmarkStart w:id="507" w:name="_Toc292559362"/>
      <w:bookmarkStart w:id="508" w:name="_Toc296891197"/>
      <w:bookmarkStart w:id="509" w:name="_Toc296503157"/>
      <w:r>
        <w:rPr>
          <w:rFonts w:ascii="Times New Roman" w:hAnsi="Times New Roman"/>
          <w:b w:val="0"/>
          <w:color w:val="auto"/>
          <w:sz w:val="24"/>
          <w:szCs w:val="24"/>
          <w:highlight w:val="none"/>
        </w:rPr>
        <w:t>. 发包人</w:t>
      </w:r>
      <w:bookmarkEnd w:id="499"/>
    </w:p>
    <w:bookmarkEnd w:id="500"/>
    <w:bookmarkEnd w:id="501"/>
    <w:bookmarkEnd w:id="502"/>
    <w:bookmarkEnd w:id="503"/>
    <w:bookmarkEnd w:id="504"/>
    <w:bookmarkEnd w:id="505"/>
    <w:bookmarkEnd w:id="506"/>
    <w:bookmarkEnd w:id="507"/>
    <w:bookmarkEnd w:id="508"/>
    <w:bookmarkEnd w:id="509"/>
    <w:p w14:paraId="6E91630F">
      <w:pPr>
        <w:adjustRightInd/>
        <w:spacing w:line="300" w:lineRule="auto"/>
        <w:ind w:left="149" w:leftChars="71" w:firstLine="354" w:firstLineChars="147"/>
        <w:rPr>
          <w:rFonts w:ascii="仿宋_GB2312" w:hAnsi="宋体" w:eastAsia="仿宋_GB2312"/>
          <w:b/>
          <w:color w:val="auto"/>
          <w:sz w:val="24"/>
          <w:highlight w:val="none"/>
        </w:rPr>
      </w:pPr>
      <w:r>
        <w:rPr>
          <w:rFonts w:hint="eastAsia" w:ascii="仿宋_GB2312" w:hAnsi="宋体" w:eastAsia="仿宋_GB2312"/>
          <w:b/>
          <w:color w:val="auto"/>
          <w:sz w:val="24"/>
          <w:highlight w:val="none"/>
        </w:rPr>
        <w:t>发包人应根据工程所需配备发包人代表，同时配备1-2名相关人员到岗履职。</w:t>
      </w:r>
    </w:p>
    <w:p w14:paraId="5A9221BF">
      <w:pPr>
        <w:adjustRightInd/>
        <w:spacing w:line="300" w:lineRule="auto"/>
        <w:ind w:firstLine="480" w:firstLineChars="200"/>
        <w:rPr>
          <w:rFonts w:eastAsia="黑体"/>
          <w:color w:val="auto"/>
          <w:sz w:val="24"/>
          <w:highlight w:val="none"/>
        </w:rPr>
      </w:pPr>
      <w:r>
        <w:rPr>
          <w:rFonts w:eastAsia="黑体"/>
          <w:color w:val="auto"/>
          <w:sz w:val="24"/>
          <w:highlight w:val="none"/>
        </w:rPr>
        <w:t>2.2 发包人代表</w:t>
      </w:r>
    </w:p>
    <w:p w14:paraId="33257A6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发包人代表：</w:t>
      </w:r>
    </w:p>
    <w:p w14:paraId="3FD659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 </w:t>
      </w:r>
      <w:r>
        <w:rPr>
          <w:rFonts w:eastAsia="仿宋_GB2312"/>
          <w:color w:val="auto"/>
          <w:sz w:val="24"/>
          <w:highlight w:val="none"/>
        </w:rPr>
        <w:t>；</w:t>
      </w:r>
    </w:p>
    <w:p w14:paraId="1D345C4B">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 </w:t>
      </w:r>
      <w:r>
        <w:rPr>
          <w:rFonts w:eastAsia="仿宋_GB2312"/>
          <w:color w:val="auto"/>
          <w:sz w:val="24"/>
          <w:highlight w:val="none"/>
        </w:rPr>
        <w:t>；</w:t>
      </w:r>
    </w:p>
    <w:p w14:paraId="7CC5661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3BEA46B7">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 </w:t>
      </w:r>
      <w:r>
        <w:rPr>
          <w:rFonts w:eastAsia="仿宋_GB2312"/>
          <w:color w:val="auto"/>
          <w:sz w:val="24"/>
          <w:highlight w:val="none"/>
        </w:rPr>
        <w:t>；</w:t>
      </w:r>
    </w:p>
    <w:p w14:paraId="25A7A3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 </w:t>
      </w:r>
      <w:r>
        <w:rPr>
          <w:rFonts w:eastAsia="仿宋_GB2312"/>
          <w:color w:val="auto"/>
          <w:sz w:val="24"/>
          <w:highlight w:val="none"/>
        </w:rPr>
        <w:t>；</w:t>
      </w:r>
    </w:p>
    <w:p w14:paraId="2B399C6E">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5C3303B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发包人对发包人代表的授权范围如下：</w:t>
      </w:r>
    </w:p>
    <w:p w14:paraId="2C23A3C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a．代表发包人对工程质量、进度、成本、安全及文明施工进行监督，工程存在质量问题或安全问题或施工进度不符合要求的，现场代表有权要求施工单位采取整改措施；</w:t>
      </w:r>
    </w:p>
    <w:p w14:paraId="6E4F10FC">
      <w:pPr>
        <w:adjustRightInd/>
        <w:spacing w:line="300" w:lineRule="auto"/>
        <w:ind w:firstLine="480" w:firstLineChars="200"/>
        <w:rPr>
          <w:rFonts w:eastAsia="黑体"/>
          <w:color w:val="auto"/>
          <w:sz w:val="24"/>
          <w:highlight w:val="none"/>
        </w:rPr>
      </w:pPr>
      <w:r>
        <w:rPr>
          <w:rFonts w:eastAsia="黑体"/>
          <w:color w:val="auto"/>
          <w:sz w:val="24"/>
          <w:highlight w:val="none"/>
        </w:rPr>
        <w:t>2.4 施工现场、施工条件和基础资料的提供</w:t>
      </w:r>
    </w:p>
    <w:p w14:paraId="6A4B91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2.4.1 提供施工现场</w:t>
      </w:r>
    </w:p>
    <w:p w14:paraId="702821C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关于发包人移交施工现场的期限要求</w:t>
      </w:r>
      <w:r>
        <w:rPr>
          <w:rFonts w:eastAsia="仿宋_GB2312"/>
          <w:color w:val="auto"/>
          <w:sz w:val="24"/>
          <w:highlight w:val="none"/>
          <w:u w:val="single"/>
        </w:rPr>
        <w:t>：</w:t>
      </w:r>
      <w:r>
        <w:rPr>
          <w:rFonts w:hint="eastAsia" w:eastAsia="仿宋_GB2312"/>
          <w:color w:val="auto"/>
          <w:sz w:val="24"/>
          <w:highlight w:val="none"/>
          <w:u w:val="single"/>
        </w:rPr>
        <w:t xml:space="preserve">  开工前移交</w:t>
      </w:r>
      <w:r>
        <w:rPr>
          <w:rFonts w:eastAsia="仿宋_GB2312"/>
          <w:color w:val="auto"/>
          <w:sz w:val="24"/>
          <w:highlight w:val="none"/>
        </w:rPr>
        <w:t>。</w:t>
      </w:r>
    </w:p>
    <w:p w14:paraId="4EA5B719">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2.4.2 提供施工条件</w:t>
      </w:r>
    </w:p>
    <w:p w14:paraId="466E1D36">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关于发包人应负责提供施工</w:t>
      </w:r>
      <w:r>
        <w:rPr>
          <w:rFonts w:hint="eastAsia" w:eastAsia="仿宋_GB2312"/>
          <w:color w:val="auto"/>
          <w:sz w:val="24"/>
          <w:highlight w:val="none"/>
        </w:rPr>
        <w:t>所需要的条件，</w:t>
      </w:r>
      <w:r>
        <w:rPr>
          <w:rFonts w:eastAsia="仿宋_GB2312"/>
          <w:color w:val="auto"/>
          <w:sz w:val="24"/>
          <w:highlight w:val="none"/>
        </w:rPr>
        <w:t>包括：</w:t>
      </w:r>
    </w:p>
    <w:p w14:paraId="09638660">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(1)施工用水、用电接入点由发包人提供，场地内水电线路架设及用水用电产生的费用由承包人承担，如因施工场地原因临时变压器位置需迁移的，所发生的费用由承包人承担，如需重新报批的，由承包人负责。由变压器下端和自来水出口接至施工现场的相关费用及场内的用电接线盒、用水接管（含水表和电表）等由承包人负责并自行考虑在技术措施项目中综合报价，结算时不作调整。承包人应考虑自备发电设备和临时蓄水池，以防止施工过程中的临时停电和停水对工程进度和质量等的影响，费用包含在相关措施费中。水准点与坐标点交验完毕即由承包人负责保护，施工期间因承包人原因造成水、电总计量表损坏导致无法抄表，或由于破坏和失准带来的重新测量、放点费用等，由承包人无条件承担所有费用及责任。</w:t>
      </w:r>
    </w:p>
    <w:p w14:paraId="4A26B79D">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(2)承包人在投标前已踏勘现场，进出场通道、临时施工便道和临时变压器的位置迁移由承包人自行考虑，费用已计入报价。通道在施工期间由承包人围护，道路围护、清洁所发生的费用由承包人承担。</w:t>
      </w:r>
    </w:p>
    <w:p w14:paraId="4A5ED85A">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(3)开工前向承包人提供工程地质和地下管网线资料，承包人在收到发包人提供的资料后（5）日内对资料进行复核。逾期未提出异议的，视为承包人对资料无异议。承包人需采取措施保护地下管网线，费用由承包人负责。如工程施工损坏地下管线的，由承包人承担责任。发包人向承包人提供的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339ED820">
      <w:pPr>
        <w:adjustRightInd/>
        <w:spacing w:line="300" w:lineRule="auto"/>
        <w:ind w:firstLine="480" w:firstLineChars="200"/>
        <w:rPr>
          <w:rFonts w:eastAsia="黑体"/>
          <w:color w:val="auto"/>
          <w:sz w:val="24"/>
          <w:highlight w:val="none"/>
        </w:rPr>
      </w:pPr>
      <w:r>
        <w:rPr>
          <w:rFonts w:eastAsia="黑体"/>
          <w:color w:val="auto"/>
          <w:sz w:val="24"/>
          <w:highlight w:val="none"/>
        </w:rPr>
        <w:t>2.5 资金来源证明及支付担保</w:t>
      </w:r>
    </w:p>
    <w:p w14:paraId="6FD61E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发包人提供资金来源证明的期限要求：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046BCD7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发包人是否提供支付担保：</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36B5664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发包人提供支付担保的形式：</w:t>
      </w:r>
      <w:r>
        <w:rPr>
          <w:rFonts w:hint="eastAsia" w:eastAsia="仿宋_GB2312"/>
          <w:color w:val="auto"/>
          <w:sz w:val="24"/>
          <w:highlight w:val="none"/>
          <w:u w:val="single"/>
        </w:rPr>
        <w:t xml:space="preserve">           /           </w:t>
      </w:r>
      <w:r>
        <w:rPr>
          <w:rFonts w:eastAsia="仿宋_GB2312"/>
          <w:color w:val="auto"/>
          <w:sz w:val="24"/>
          <w:highlight w:val="none"/>
        </w:rPr>
        <w:t>。</w:t>
      </w:r>
    </w:p>
    <w:p w14:paraId="68229AA5">
      <w:pPr>
        <w:pStyle w:val="8"/>
        <w:spacing w:before="0" w:after="0" w:line="300" w:lineRule="auto"/>
        <w:ind w:firstLine="470" w:firstLineChars="196"/>
        <w:rPr>
          <w:rFonts w:ascii="Times New Roman" w:hAnsi="Times New Roman"/>
          <w:b w:val="0"/>
          <w:color w:val="auto"/>
          <w:sz w:val="24"/>
          <w:szCs w:val="24"/>
          <w:highlight w:val="none"/>
        </w:rPr>
      </w:pPr>
      <w:bookmarkStart w:id="510" w:name="_Toc351203635"/>
      <w:r>
        <w:rPr>
          <w:rFonts w:ascii="Times New Roman" w:hAnsi="Times New Roman"/>
          <w:b w:val="0"/>
          <w:color w:val="auto"/>
          <w:sz w:val="24"/>
          <w:szCs w:val="24"/>
          <w:highlight w:val="none"/>
        </w:rPr>
        <w:t>3</w:t>
      </w:r>
      <w:bookmarkStart w:id="511" w:name="_Toc296503158"/>
      <w:bookmarkStart w:id="512" w:name="_Toc297048344"/>
      <w:bookmarkStart w:id="513" w:name="_Toc296944497"/>
      <w:bookmarkStart w:id="514" w:name="_Toc296346659"/>
      <w:bookmarkStart w:id="515" w:name="_Toc292559363"/>
      <w:bookmarkStart w:id="516" w:name="_Toc296891198"/>
      <w:bookmarkStart w:id="517" w:name="_Toc297120458"/>
      <w:bookmarkStart w:id="518" w:name="_Toc292559868"/>
      <w:bookmarkStart w:id="519" w:name="_Toc296890986"/>
      <w:bookmarkStart w:id="520" w:name="_Toc296347157"/>
      <w:r>
        <w:rPr>
          <w:rFonts w:ascii="Times New Roman" w:hAnsi="Times New Roman"/>
          <w:b w:val="0"/>
          <w:color w:val="auto"/>
          <w:sz w:val="24"/>
          <w:szCs w:val="24"/>
          <w:highlight w:val="none"/>
        </w:rPr>
        <w:t>. 承包人</w:t>
      </w:r>
      <w:bookmarkEnd w:id="510"/>
    </w:p>
    <w:bookmarkEnd w:id="511"/>
    <w:bookmarkEnd w:id="512"/>
    <w:bookmarkEnd w:id="513"/>
    <w:bookmarkEnd w:id="514"/>
    <w:bookmarkEnd w:id="515"/>
    <w:bookmarkEnd w:id="516"/>
    <w:bookmarkEnd w:id="517"/>
    <w:bookmarkEnd w:id="518"/>
    <w:bookmarkEnd w:id="519"/>
    <w:bookmarkEnd w:id="520"/>
    <w:p w14:paraId="1293A3C1">
      <w:pPr>
        <w:adjustRightInd/>
        <w:spacing w:line="300" w:lineRule="auto"/>
        <w:ind w:firstLine="480" w:firstLineChars="200"/>
        <w:rPr>
          <w:rFonts w:eastAsia="黑体"/>
          <w:color w:val="auto"/>
          <w:sz w:val="24"/>
          <w:highlight w:val="none"/>
        </w:rPr>
      </w:pPr>
      <w:r>
        <w:rPr>
          <w:rFonts w:eastAsia="黑体"/>
          <w:color w:val="auto"/>
          <w:sz w:val="24"/>
          <w:highlight w:val="none"/>
        </w:rPr>
        <w:t>3.1 承包人的一般义务</w:t>
      </w:r>
    </w:p>
    <w:p w14:paraId="44FDE799">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（1）</w:t>
      </w:r>
    </w:p>
    <w:p w14:paraId="5BAAB32B">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①办理法律规定应由承包人办理的许可和批准，并将办理结果书面报送发包人留存；</w:t>
      </w:r>
    </w:p>
    <w:p w14:paraId="3EA8699D">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②按法律规定和合同约定完成工程，并在保修期内承担保修义务；</w:t>
      </w:r>
    </w:p>
    <w:p w14:paraId="5DE88293">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③按法律规定和合同约定采取施工安全和环境保护措施，办理工伤保险，确保工程及人员、材料、设备和设施的安全；</w:t>
      </w:r>
    </w:p>
    <w:p w14:paraId="3BE639BD">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④按合同约定的工作内容和施工进度要求，编制施工组织设计和施工措施计划，并对所有施工作业和施工方法的完备性和安全可靠性负责；</w:t>
      </w:r>
    </w:p>
    <w:p w14:paraId="0A41D690">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⑤按第6.1款[安全文明施工]约定采取施工安全措施，确保工程及其人员、材料、设备和设施的安全，防止因工程施工造成的人身伤害和财产损失；</w:t>
      </w:r>
    </w:p>
    <w:p w14:paraId="1AD1100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⑥按照法律规定和合同约定编制竣工资料，完成竣工资料立卷及归档，并按专用合同条款约定的竣工资料的套数、内容、时间等要求移交发包人；</w:t>
      </w:r>
    </w:p>
    <w:p w14:paraId="6161B656">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⑦根据国家与工程所在地的相关档案管理规定及备案要求，提交完整、标准的竣工图及技术资料、光盘和竣工图电子文档(包括分包工程的竣工资料及政府部门验收所需的其他相关资料)，如因资料不符合城建档案馆及其他有关部门的要求，而产生的资料整理费用，由承包人承担</w:t>
      </w:r>
      <w:r>
        <w:rPr>
          <w:rFonts w:eastAsia="仿宋_GB2312"/>
          <w:color w:val="auto"/>
          <w:sz w:val="24"/>
          <w:highlight w:val="none"/>
          <w:u w:val="single"/>
        </w:rPr>
        <w:t>。</w:t>
      </w:r>
    </w:p>
    <w:p w14:paraId="7C9CE57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⑧承包人应履行的其他义务：</w:t>
      </w:r>
    </w:p>
    <w:p w14:paraId="2A1D1453">
      <w:pPr>
        <w:adjustRightInd/>
        <w:spacing w:line="300" w:lineRule="auto"/>
        <w:ind w:firstLine="240" w:firstLineChars="100"/>
        <w:rPr>
          <w:rFonts w:eastAsia="仿宋_GB2312"/>
          <w:color w:val="auto"/>
          <w:sz w:val="24"/>
          <w:highlight w:val="none"/>
          <w:u w:val="single"/>
        </w:rPr>
      </w:pPr>
      <w:r>
        <w:rPr>
          <w:rFonts w:eastAsia="仿宋_GB2312"/>
          <w:color w:val="auto"/>
          <w:sz w:val="24"/>
          <w:highlight w:val="none"/>
        </w:rPr>
        <w:t>（5）承包人提交的竣工资料的内容：</w:t>
      </w:r>
      <w:r>
        <w:rPr>
          <w:rFonts w:hint="eastAsia" w:eastAsia="仿宋_GB2312"/>
          <w:color w:val="auto"/>
          <w:sz w:val="24"/>
          <w:highlight w:val="none"/>
          <w:u w:val="single"/>
        </w:rPr>
        <w:t>按GB/T 50328—2014、JGJ／T185-2009、杭建办发〔2013〕153 号及杭州市城建档案馆资料归档要求的竣工图、技术资料、光盘和竣工图电子文档 (包括分包工程的竣工资料及政府部门验收所需的其他相关资料)</w:t>
      </w:r>
      <w:r>
        <w:rPr>
          <w:rFonts w:eastAsia="仿宋_GB2312"/>
          <w:color w:val="auto"/>
          <w:sz w:val="24"/>
          <w:highlight w:val="none"/>
          <w:u w:val="single"/>
        </w:rPr>
        <w:t>。</w:t>
      </w:r>
    </w:p>
    <w:p w14:paraId="38A1903D">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承包人需要提交的竣工资料套数：</w:t>
      </w:r>
      <w:r>
        <w:rPr>
          <w:rFonts w:hint="eastAsia" w:eastAsia="仿宋_GB2312"/>
          <w:color w:val="auto"/>
          <w:sz w:val="24"/>
          <w:highlight w:val="none"/>
          <w:u w:val="single"/>
        </w:rPr>
        <w:t>一式八套</w:t>
      </w:r>
      <w:r>
        <w:rPr>
          <w:rFonts w:eastAsia="仿宋_GB2312"/>
          <w:color w:val="auto"/>
          <w:sz w:val="24"/>
          <w:highlight w:val="none"/>
        </w:rPr>
        <w:t>。</w:t>
      </w:r>
    </w:p>
    <w:p w14:paraId="29275711">
      <w:pPr>
        <w:adjustRightInd/>
        <w:spacing w:line="300" w:lineRule="auto"/>
        <w:ind w:left="638" w:leftChars="304"/>
        <w:rPr>
          <w:rFonts w:eastAsia="仿宋_GB2312"/>
          <w:color w:val="auto"/>
          <w:sz w:val="24"/>
          <w:highlight w:val="none"/>
        </w:rPr>
      </w:pPr>
      <w:r>
        <w:rPr>
          <w:rFonts w:eastAsia="仿宋_GB2312"/>
          <w:color w:val="auto"/>
          <w:sz w:val="24"/>
          <w:highlight w:val="none"/>
        </w:rPr>
        <w:t>承包人提交的竣工资料的费用承担：</w:t>
      </w:r>
      <w:r>
        <w:rPr>
          <w:rFonts w:hint="eastAsia" w:eastAsia="仿宋_GB2312"/>
          <w:color w:val="auto"/>
          <w:sz w:val="24"/>
          <w:highlight w:val="none"/>
          <w:u w:val="single"/>
        </w:rPr>
        <w:t>由承包人承担</w:t>
      </w:r>
      <w:r>
        <w:rPr>
          <w:rFonts w:eastAsia="仿宋_GB2312"/>
          <w:color w:val="auto"/>
          <w:sz w:val="24"/>
          <w:highlight w:val="none"/>
        </w:rPr>
        <w:t>。</w:t>
      </w:r>
    </w:p>
    <w:p w14:paraId="6543F805">
      <w:pPr>
        <w:adjustRightInd/>
        <w:spacing w:line="300" w:lineRule="auto"/>
        <w:rPr>
          <w:rFonts w:eastAsia="仿宋_GB2312"/>
          <w:color w:val="auto"/>
          <w:sz w:val="24"/>
          <w:highlight w:val="none"/>
        </w:rPr>
      </w:pPr>
      <w:r>
        <w:rPr>
          <w:rFonts w:eastAsia="仿宋_GB2312"/>
          <w:color w:val="auto"/>
          <w:sz w:val="24"/>
          <w:highlight w:val="none"/>
        </w:rPr>
        <w:t>承包人提交的竣工资料移交时间：</w:t>
      </w:r>
      <w:r>
        <w:rPr>
          <w:rFonts w:hint="eastAsia" w:eastAsia="仿宋_GB2312"/>
          <w:color w:val="auto"/>
          <w:sz w:val="24"/>
          <w:highlight w:val="none"/>
          <w:u w:val="single"/>
        </w:rPr>
        <w:t>工程完工后60 个工作日移交</w:t>
      </w:r>
      <w:r>
        <w:rPr>
          <w:rFonts w:eastAsia="仿宋_GB2312"/>
          <w:color w:val="auto"/>
          <w:sz w:val="24"/>
          <w:highlight w:val="none"/>
        </w:rPr>
        <w:t>。</w:t>
      </w:r>
    </w:p>
    <w:p w14:paraId="7B8ED7A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承包人提交的竣工资料形式要求：</w:t>
      </w:r>
      <w:r>
        <w:rPr>
          <w:rFonts w:hint="eastAsia" w:eastAsia="仿宋_GB2312"/>
          <w:color w:val="auto"/>
          <w:sz w:val="24"/>
          <w:highlight w:val="none"/>
          <w:u w:val="single"/>
        </w:rPr>
        <w:t>按GB/T 50328—2014、JGJ／T185-2009、杭建办发〔2013〕153 号及杭州市城建档案馆资料归档要求，包括书面纸质文件、影像资料及档案馆要求的电子文档(光盘)等，需符合JGJ／T185-2009及杭州市城建档案馆资料归档要求</w:t>
      </w:r>
      <w:r>
        <w:rPr>
          <w:rFonts w:eastAsia="仿宋_GB2312"/>
          <w:color w:val="auto"/>
          <w:sz w:val="24"/>
          <w:highlight w:val="none"/>
          <w:u w:val="single"/>
        </w:rPr>
        <w:t>。</w:t>
      </w:r>
    </w:p>
    <w:p w14:paraId="31F3AA23">
      <w:pPr>
        <w:widowControl/>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（6）</w:t>
      </w:r>
      <w:r>
        <w:rPr>
          <w:rFonts w:hint="eastAsia" w:eastAsia="仿宋_GB2312"/>
          <w:color w:val="auto"/>
          <w:sz w:val="24"/>
          <w:highlight w:val="none"/>
          <w:u w:val="single"/>
        </w:rPr>
        <w:t>其它</w:t>
      </w:r>
    </w:p>
    <w:p w14:paraId="6BD2C86B">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①需由设计资质等级和业务范围允许的承包人完成的设计文件提交时间：开工前（7）天完成施工现场平面布置图。</w:t>
      </w:r>
    </w:p>
    <w:p w14:paraId="105FAA8F">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②提供计划、报表的名称及完成时间:a、合同签订后（15）天内，承包人应编制施工组织计划及详细的工期、质量、安全文明保证措施方案，并报监理工程师审定。b、按月提供已完成工程量统计报表和下月工程进度计划，每月25日前报发包人和监理方；</w:t>
      </w:r>
    </w:p>
    <w:p w14:paraId="411EE2D3">
      <w:pPr>
        <w:pStyle w:val="969"/>
        <w:spacing w:line="300" w:lineRule="auto"/>
        <w:ind w:firstLine="480"/>
        <w:rPr>
          <w:rFonts w:eastAsia="仿宋_GB2312"/>
          <w:color w:val="auto"/>
          <w:kern w:val="0"/>
          <w:highlight w:val="none"/>
          <w:u w:val="single"/>
        </w:rPr>
      </w:pPr>
      <w:r>
        <w:rPr>
          <w:rFonts w:hint="eastAsia" w:eastAsia="仿宋_GB2312"/>
          <w:color w:val="auto"/>
          <w:kern w:val="0"/>
          <w:highlight w:val="none"/>
          <w:u w:val="single"/>
        </w:rPr>
        <w:t>③承担施工安全保卫工作及非夜间施工照明的责任和要求: 严格按照《杭州市建筑工地文明施工管理规定》等有关规定、要求和投标文件承诺的安全文明措施执行。自费承担相应工作(如警卫)和提供相应设施(如护板、围栏等)以保护公共安全，并提供方便。</w:t>
      </w:r>
    </w:p>
    <w:p w14:paraId="58F09F4E">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④完工工程成品保护的特殊要求及费用承担</w:t>
      </w:r>
      <w:r>
        <w:rPr>
          <w:rFonts w:eastAsia="仿宋_GB2312"/>
          <w:color w:val="auto"/>
          <w:highlight w:val="none"/>
          <w:u w:val="single"/>
        </w:rPr>
        <w:t xml:space="preserve">: </w:t>
      </w:r>
      <w:r>
        <w:rPr>
          <w:rFonts w:hint="eastAsia" w:eastAsia="仿宋_GB2312"/>
          <w:color w:val="auto"/>
          <w:highlight w:val="none"/>
          <w:u w:val="single"/>
        </w:rPr>
        <w:t>工程未正式办理交接手续前，成品保护由承包人完全负责(包括所需费用)，如果保护期间发生损坏，承包人须自费予以修复，直至发包人满意为止。</w:t>
      </w:r>
    </w:p>
    <w:p w14:paraId="221C4755">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⑤施工场地周围地下管线和邻近建筑物、构筑物</w:t>
      </w:r>
      <w:r>
        <w:rPr>
          <w:rFonts w:eastAsia="仿宋_GB2312"/>
          <w:color w:val="auto"/>
          <w:highlight w:val="none"/>
          <w:u w:val="single"/>
        </w:rPr>
        <w:t>(</w:t>
      </w:r>
      <w:r>
        <w:rPr>
          <w:rFonts w:hint="eastAsia" w:eastAsia="仿宋_GB2312"/>
          <w:color w:val="auto"/>
          <w:highlight w:val="none"/>
          <w:u w:val="single"/>
        </w:rPr>
        <w:t>含文物保护建筑</w:t>
      </w:r>
      <w:r>
        <w:rPr>
          <w:rFonts w:eastAsia="仿宋_GB2312"/>
          <w:color w:val="auto"/>
          <w:highlight w:val="none"/>
          <w:u w:val="single"/>
        </w:rPr>
        <w:t>)</w:t>
      </w:r>
      <w:r>
        <w:rPr>
          <w:rFonts w:hint="eastAsia" w:eastAsia="仿宋_GB2312"/>
          <w:color w:val="auto"/>
          <w:highlight w:val="none"/>
          <w:u w:val="single"/>
        </w:rPr>
        <w:t>、古树名木的保护要求及费用承担</w:t>
      </w:r>
      <w:r>
        <w:rPr>
          <w:rFonts w:eastAsia="仿宋_GB2312"/>
          <w:color w:val="auto"/>
          <w:highlight w:val="none"/>
          <w:u w:val="single"/>
        </w:rPr>
        <w:t xml:space="preserve">: </w:t>
      </w:r>
      <w:r>
        <w:rPr>
          <w:rFonts w:hint="eastAsia" w:eastAsia="仿宋_GB2312"/>
          <w:color w:val="auto"/>
          <w:highlight w:val="none"/>
          <w:u w:val="single"/>
        </w:rPr>
        <w:t>承包人应采取相应保护措施，并承担费用。如因承包人原因造成损坏的，则因承担相应赔偿责任并无条件修复。</w:t>
      </w:r>
    </w:p>
    <w:p w14:paraId="31E9531C">
      <w:pPr>
        <w:adjustRightInd/>
        <w:spacing w:line="300" w:lineRule="auto"/>
        <w:ind w:firstLine="420" w:firstLineChars="200"/>
        <w:rPr>
          <w:rFonts w:eastAsia="仿宋_GB2312"/>
          <w:color w:val="auto"/>
          <w:sz w:val="24"/>
          <w:highlight w:val="none"/>
          <w:u w:val="single"/>
        </w:rPr>
      </w:pPr>
      <w:r>
        <w:rPr>
          <w:rFonts w:hint="eastAsia" w:eastAsia="仿宋_GB2312"/>
          <w:color w:val="auto"/>
          <w:highlight w:val="none"/>
          <w:u w:val="single"/>
        </w:rPr>
        <w:t>⑥</w:t>
      </w:r>
      <w:r>
        <w:rPr>
          <w:rFonts w:hint="eastAsia" w:eastAsia="仿宋_GB2312"/>
          <w:color w:val="auto"/>
          <w:sz w:val="24"/>
          <w:highlight w:val="none"/>
          <w:u w:val="single"/>
        </w:rPr>
        <w:t>在实际施工过程中，承包人必须仔细审核施工图纸，对于下列问题，应及时向监理人、设计单位、发包人提出；如未提出，或直接按图纸中的错误、矛盾之处施工或者擅自变更，由承包人自行承担损失。</w:t>
      </w:r>
    </w:p>
    <w:p w14:paraId="5F261ABC">
      <w:pPr>
        <w:pStyle w:val="969"/>
        <w:spacing w:line="300" w:lineRule="auto"/>
        <w:ind w:left="680" w:firstLine="0" w:firstLineChars="0"/>
        <w:rPr>
          <w:rFonts w:eastAsia="仿宋_GB2312"/>
          <w:color w:val="auto"/>
          <w:kern w:val="0"/>
          <w:highlight w:val="none"/>
          <w:u w:val="single"/>
        </w:rPr>
      </w:pPr>
      <w:r>
        <w:rPr>
          <w:rFonts w:hint="eastAsia" w:eastAsia="仿宋_GB2312"/>
          <w:color w:val="auto"/>
          <w:kern w:val="0"/>
          <w:highlight w:val="none"/>
          <w:u w:val="single"/>
        </w:rPr>
        <w:t>（a）施工图纸尺寸、标高的错误；</w:t>
      </w:r>
    </w:p>
    <w:p w14:paraId="53DC75AA">
      <w:pPr>
        <w:pStyle w:val="969"/>
        <w:spacing w:line="300" w:lineRule="auto"/>
        <w:ind w:left="680" w:firstLine="0" w:firstLineChars="0"/>
        <w:rPr>
          <w:rFonts w:eastAsia="仿宋_GB2312"/>
          <w:color w:val="auto"/>
          <w:kern w:val="0"/>
          <w:highlight w:val="none"/>
          <w:u w:val="single"/>
        </w:rPr>
      </w:pPr>
      <w:r>
        <w:rPr>
          <w:rFonts w:hint="eastAsia" w:eastAsia="仿宋_GB2312"/>
          <w:color w:val="auto"/>
          <w:kern w:val="0"/>
          <w:highlight w:val="none"/>
          <w:u w:val="single"/>
        </w:rPr>
        <w:t>（b）建筑、结构、安装等专业图纸中的互相矛盾；</w:t>
      </w:r>
    </w:p>
    <w:p w14:paraId="4B9ACCA7">
      <w:pPr>
        <w:pStyle w:val="969"/>
        <w:spacing w:line="300" w:lineRule="auto"/>
        <w:ind w:left="680" w:firstLine="0" w:firstLineChars="0"/>
        <w:rPr>
          <w:rFonts w:eastAsia="仿宋_GB2312"/>
          <w:color w:val="auto"/>
          <w:kern w:val="0"/>
          <w:highlight w:val="none"/>
          <w:u w:val="single"/>
        </w:rPr>
      </w:pPr>
      <w:r>
        <w:rPr>
          <w:rFonts w:hint="eastAsia" w:eastAsia="仿宋_GB2312"/>
          <w:color w:val="auto"/>
          <w:kern w:val="0"/>
          <w:highlight w:val="none"/>
          <w:u w:val="single"/>
        </w:rPr>
        <w:t>（c）节点详图与平立面图纸之间的矛盾；</w:t>
      </w:r>
    </w:p>
    <w:p w14:paraId="0CAA10F7">
      <w:pPr>
        <w:adjustRightInd/>
        <w:spacing w:line="300" w:lineRule="auto"/>
        <w:ind w:firstLine="480" w:firstLineChars="200"/>
        <w:rPr>
          <w:rFonts w:eastAsia="黑体"/>
          <w:color w:val="auto"/>
          <w:sz w:val="24"/>
          <w:highlight w:val="none"/>
        </w:rPr>
      </w:pPr>
      <w:r>
        <w:rPr>
          <w:rFonts w:eastAsia="黑体"/>
          <w:color w:val="auto"/>
          <w:sz w:val="24"/>
          <w:highlight w:val="none"/>
        </w:rPr>
        <w:t>3.2 项目经理</w:t>
      </w:r>
    </w:p>
    <w:p w14:paraId="73599597">
      <w:pPr>
        <w:adjustRightInd/>
        <w:spacing w:line="300" w:lineRule="auto"/>
        <w:ind w:firstLine="480" w:firstLineChars="200"/>
        <w:rPr>
          <w:rFonts w:eastAsia="仿宋_GB2312"/>
          <w:color w:val="auto"/>
          <w:sz w:val="24"/>
          <w:highlight w:val="none"/>
        </w:rPr>
      </w:pPr>
      <w:r>
        <w:rPr>
          <w:rFonts w:eastAsia="仿宋_GB2312"/>
          <w:color w:val="auto"/>
          <w:sz w:val="24"/>
          <w:highlight w:val="none"/>
        </w:rPr>
        <w:t>3.2.1 项目经理：</w:t>
      </w:r>
    </w:p>
    <w:p w14:paraId="4ECCB51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1E4C41A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w:t>
      </w:r>
      <w:r>
        <w:rPr>
          <w:rFonts w:eastAsia="仿宋_GB2312"/>
          <w:color w:val="auto"/>
          <w:sz w:val="24"/>
          <w:highlight w:val="none"/>
        </w:rPr>
        <w:t>；</w:t>
      </w:r>
    </w:p>
    <w:p w14:paraId="6E7F2E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建造师执业资格等级：</w:t>
      </w:r>
      <w:r>
        <w:rPr>
          <w:rFonts w:eastAsia="仿宋_GB2312"/>
          <w:color w:val="auto"/>
          <w:sz w:val="24"/>
          <w:highlight w:val="none"/>
          <w:u w:val="single"/>
        </w:rPr>
        <w:t>   </w:t>
      </w:r>
      <w:r>
        <w:rPr>
          <w:rFonts w:eastAsia="仿宋_GB2312"/>
          <w:color w:val="auto"/>
          <w:sz w:val="24"/>
          <w:highlight w:val="none"/>
        </w:rPr>
        <w:t>；</w:t>
      </w:r>
    </w:p>
    <w:p w14:paraId="20205E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建造师注册证书号：</w:t>
      </w:r>
      <w:r>
        <w:rPr>
          <w:rFonts w:eastAsia="仿宋_GB2312"/>
          <w:color w:val="auto"/>
          <w:sz w:val="24"/>
          <w:highlight w:val="none"/>
          <w:u w:val="single"/>
        </w:rPr>
        <w:t> </w:t>
      </w:r>
      <w:r>
        <w:rPr>
          <w:rFonts w:eastAsia="仿宋_GB2312"/>
          <w:color w:val="auto"/>
          <w:sz w:val="24"/>
          <w:highlight w:val="none"/>
        </w:rPr>
        <w:t>；</w:t>
      </w:r>
    </w:p>
    <w:p w14:paraId="14D9DB97">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建造师执业印章号：</w:t>
      </w:r>
      <w:r>
        <w:rPr>
          <w:rFonts w:eastAsia="仿宋_GB2312"/>
          <w:color w:val="auto"/>
          <w:sz w:val="24"/>
          <w:highlight w:val="none"/>
          <w:u w:val="single"/>
        </w:rPr>
        <w:t> </w:t>
      </w:r>
      <w:r>
        <w:rPr>
          <w:rFonts w:eastAsia="仿宋_GB2312"/>
          <w:color w:val="auto"/>
          <w:sz w:val="24"/>
          <w:highlight w:val="none"/>
        </w:rPr>
        <w:t>；</w:t>
      </w:r>
    </w:p>
    <w:p w14:paraId="04C9F8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安全生产考核合格证书号：</w:t>
      </w:r>
      <w:r>
        <w:rPr>
          <w:rFonts w:eastAsia="仿宋_GB2312"/>
          <w:color w:val="auto"/>
          <w:sz w:val="24"/>
          <w:highlight w:val="none"/>
          <w:u w:val="single"/>
        </w:rPr>
        <w:t> </w:t>
      </w:r>
      <w:r>
        <w:rPr>
          <w:rFonts w:eastAsia="仿宋_GB2312"/>
          <w:color w:val="auto"/>
          <w:sz w:val="24"/>
          <w:highlight w:val="none"/>
        </w:rPr>
        <w:t>；</w:t>
      </w:r>
    </w:p>
    <w:p w14:paraId="535640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2EFCAE7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2EBD5E0D">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31CDDE4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承包人对项目经理的授权范围如下：</w:t>
      </w:r>
      <w:r>
        <w:rPr>
          <w:rFonts w:hint="eastAsia" w:eastAsia="仿宋_GB2312"/>
          <w:color w:val="auto"/>
          <w:sz w:val="24"/>
          <w:highlight w:val="none"/>
          <w:u w:val="single"/>
        </w:rPr>
        <w:t>按国家相应法规约定，</w:t>
      </w:r>
      <w:bookmarkStart w:id="521" w:name="SOA_zyht_xmjlqlfw"/>
      <w:r>
        <w:rPr>
          <w:rFonts w:hint="eastAsia" w:eastAsia="仿宋_GB2312"/>
          <w:color w:val="auto"/>
          <w:sz w:val="24"/>
          <w:highlight w:val="none"/>
          <w:u w:val="single"/>
        </w:rPr>
        <w:t>项目经理负责处理项目部一切事务，为承包人法定代表人在该项目上的全权授权代表人</w:t>
      </w:r>
      <w:bookmarkEnd w:id="521"/>
      <w:r>
        <w:rPr>
          <w:rFonts w:eastAsia="仿宋_GB2312"/>
          <w:color w:val="auto"/>
          <w:sz w:val="24"/>
          <w:highlight w:val="none"/>
          <w:u w:val="single"/>
        </w:rPr>
        <w:t>。</w:t>
      </w:r>
    </w:p>
    <w:p w14:paraId="41D4530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关于项目经理每月在施工现场的时间要求：</w:t>
      </w:r>
      <w:r>
        <w:rPr>
          <w:rFonts w:hint="eastAsia" w:eastAsia="仿宋_GB2312"/>
          <w:color w:val="auto"/>
          <w:sz w:val="24"/>
          <w:highlight w:val="none"/>
          <w:u w:val="single"/>
        </w:rPr>
        <w:t>项目经理每月出勤率不得少于</w:t>
      </w:r>
      <w:r>
        <w:rPr>
          <w:rFonts w:eastAsia="仿宋_GB2312"/>
          <w:color w:val="auto"/>
          <w:sz w:val="24"/>
          <w:highlight w:val="none"/>
          <w:u w:val="single"/>
        </w:rPr>
        <w:t>〔</w:t>
      </w:r>
      <w:r>
        <w:rPr>
          <w:rFonts w:hint="eastAsia" w:eastAsia="仿宋_GB2312"/>
          <w:color w:val="auto"/>
          <w:sz w:val="24"/>
          <w:highlight w:val="none"/>
          <w:u w:val="single"/>
        </w:rPr>
        <w:t>26</w:t>
      </w:r>
      <w:r>
        <w:rPr>
          <w:rFonts w:eastAsia="仿宋_GB2312"/>
          <w:color w:val="auto"/>
          <w:sz w:val="24"/>
          <w:highlight w:val="none"/>
          <w:u w:val="single"/>
        </w:rPr>
        <w:t>〕</w:t>
      </w:r>
      <w:r>
        <w:rPr>
          <w:rFonts w:hint="eastAsia" w:eastAsia="仿宋_GB2312"/>
          <w:color w:val="auto"/>
          <w:sz w:val="24"/>
          <w:highlight w:val="none"/>
          <w:u w:val="single"/>
        </w:rPr>
        <w:t>天，且每天不少于</w:t>
      </w:r>
      <w:r>
        <w:rPr>
          <w:rFonts w:eastAsia="仿宋_GB2312"/>
          <w:color w:val="auto"/>
          <w:sz w:val="24"/>
          <w:highlight w:val="none"/>
          <w:u w:val="single"/>
        </w:rPr>
        <w:t>〔</w:t>
      </w:r>
      <w:r>
        <w:rPr>
          <w:rFonts w:hint="eastAsia" w:eastAsia="仿宋_GB2312"/>
          <w:color w:val="auto"/>
          <w:sz w:val="24"/>
          <w:highlight w:val="none"/>
          <w:u w:val="single"/>
        </w:rPr>
        <w:t>8</w:t>
      </w:r>
      <w:r>
        <w:rPr>
          <w:rFonts w:eastAsia="仿宋_GB2312"/>
          <w:color w:val="auto"/>
          <w:sz w:val="24"/>
          <w:highlight w:val="none"/>
          <w:u w:val="single"/>
        </w:rPr>
        <w:t>〕</w:t>
      </w:r>
      <w:r>
        <w:rPr>
          <w:rFonts w:hint="eastAsia" w:eastAsia="仿宋_GB2312"/>
          <w:color w:val="auto"/>
          <w:sz w:val="24"/>
          <w:highlight w:val="none"/>
          <w:u w:val="single"/>
        </w:rPr>
        <w:t>小时在工地)，项目技术负责人考勤要求参照项目经理每月到位率不少于80%（休息日必须保证通讯畅通）。</w:t>
      </w:r>
    </w:p>
    <w:p w14:paraId="09823792">
      <w:pPr>
        <w:adjustRightInd/>
        <w:spacing w:line="300" w:lineRule="auto"/>
        <w:ind w:firstLine="480" w:firstLineChars="200"/>
        <w:rPr>
          <w:rFonts w:eastAsia="黑体"/>
          <w:color w:val="auto"/>
          <w:sz w:val="24"/>
          <w:highlight w:val="none"/>
        </w:rPr>
      </w:pPr>
      <w:r>
        <w:rPr>
          <w:rFonts w:eastAsia="黑体"/>
          <w:color w:val="auto"/>
          <w:sz w:val="24"/>
          <w:highlight w:val="none"/>
        </w:rPr>
        <w:t>3.3 承包人人员</w:t>
      </w:r>
    </w:p>
    <w:p w14:paraId="639A9176">
      <w:pPr>
        <w:adjustRightInd/>
        <w:spacing w:line="300" w:lineRule="auto"/>
        <w:ind w:firstLine="480" w:firstLineChars="200"/>
        <w:rPr>
          <w:rFonts w:eastAsia="仿宋_GB2312"/>
          <w:color w:val="auto"/>
          <w:sz w:val="24"/>
          <w:highlight w:val="none"/>
        </w:rPr>
      </w:pPr>
      <w:r>
        <w:rPr>
          <w:rFonts w:eastAsia="仿宋_GB2312"/>
          <w:color w:val="auto"/>
          <w:sz w:val="24"/>
          <w:highlight w:val="none"/>
        </w:rPr>
        <w:t>3.3.1 承包人提交项目管理机构及施工现场管理人员安排报告的期限：</w:t>
      </w:r>
      <w:r>
        <w:rPr>
          <w:rFonts w:hint="eastAsia" w:eastAsia="仿宋_GB2312"/>
          <w:color w:val="auto"/>
          <w:sz w:val="24"/>
          <w:highlight w:val="none"/>
          <w:u w:val="single"/>
        </w:rPr>
        <w:t>/</w:t>
      </w:r>
      <w:r>
        <w:rPr>
          <w:rFonts w:eastAsia="仿宋_GB2312"/>
          <w:color w:val="auto"/>
          <w:sz w:val="24"/>
          <w:highlight w:val="none"/>
          <w:u w:val="single"/>
        </w:rPr>
        <w:t>。</w:t>
      </w:r>
    </w:p>
    <w:p w14:paraId="3BCB4943">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6承包人派驻施工现场人员有下列情形之一的，经监理人提出，发包人同意，必须在24小时内调离本工程范围，承包人应立即用资格、资历、管理经验、工作能力可为发包人接受的人员代替，由此发生的一切费用由承包人承担：</w:t>
      </w:r>
    </w:p>
    <w:p w14:paraId="00C670AD">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a.发包人有证据证明现场人员不胜任岗位的；</w:t>
      </w:r>
      <w:r>
        <w:rPr>
          <w:rFonts w:hint="eastAsia" w:eastAsia="仿宋_GB2312"/>
          <w:color w:val="auto"/>
          <w:highlight w:val="none"/>
          <w:u w:val="single"/>
        </w:rPr>
        <w:tab/>
      </w:r>
    </w:p>
    <w:p w14:paraId="57DD4E73">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b.不能积极配合监理人员及发包人的；</w:t>
      </w:r>
    </w:p>
    <w:p w14:paraId="6017750F">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c.违反发包人或承包人工地现场管理规定的；</w:t>
      </w:r>
    </w:p>
    <w:p w14:paraId="7EF2993C">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d.无证上岗的(适用于按规定必须有上岗证)；</w:t>
      </w:r>
    </w:p>
    <w:p w14:paraId="3BED9C5E">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e.与本合同规定人员名称不符的；</w:t>
      </w:r>
    </w:p>
    <w:p w14:paraId="25948882">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f.与本工程施工无关的人员。</w:t>
      </w:r>
    </w:p>
    <w:p w14:paraId="4E45AC35">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7联系单、通知等签收代表:/。</w:t>
      </w:r>
    </w:p>
    <w:p w14:paraId="61EC43F2">
      <w:pPr>
        <w:pStyle w:val="897"/>
        <w:spacing w:line="300" w:lineRule="auto"/>
        <w:ind w:left="420" w:firstLine="482" w:firstLineChars="0"/>
        <w:rPr>
          <w:rFonts w:eastAsia="仿宋_GB2312"/>
          <w:color w:val="auto"/>
          <w:highlight w:val="none"/>
          <w:u w:val="single"/>
        </w:rPr>
      </w:pPr>
    </w:p>
    <w:p w14:paraId="3FF77AD3">
      <w:pPr>
        <w:adjustRightInd/>
        <w:spacing w:line="300" w:lineRule="auto"/>
        <w:ind w:firstLine="480" w:firstLineChars="200"/>
        <w:rPr>
          <w:rFonts w:eastAsia="黑体"/>
          <w:color w:val="auto"/>
          <w:sz w:val="24"/>
          <w:highlight w:val="none"/>
        </w:rPr>
      </w:pPr>
      <w:r>
        <w:rPr>
          <w:rFonts w:eastAsia="黑体"/>
          <w:color w:val="auto"/>
          <w:sz w:val="24"/>
          <w:highlight w:val="none"/>
        </w:rPr>
        <w:t>3</w:t>
      </w:r>
      <w:bookmarkStart w:id="522" w:name="_Toc297120459"/>
      <w:bookmarkStart w:id="523" w:name="_Toc296346660"/>
      <w:bookmarkStart w:id="524" w:name="_Toc296944498"/>
      <w:bookmarkStart w:id="525" w:name="_Toc303539102"/>
      <w:bookmarkStart w:id="526" w:name="_Toc292559869"/>
      <w:bookmarkStart w:id="527" w:name="_Toc296347158"/>
      <w:bookmarkStart w:id="528" w:name="_Toc312677988"/>
      <w:bookmarkStart w:id="529" w:name="_Toc292559364"/>
      <w:bookmarkStart w:id="530" w:name="_Toc296891199"/>
      <w:bookmarkStart w:id="531" w:name="_Toc300934945"/>
      <w:bookmarkStart w:id="532" w:name="_Toc304295523"/>
      <w:bookmarkStart w:id="533" w:name="_Toc297123492"/>
      <w:bookmarkStart w:id="534" w:name="_Toc297048345"/>
      <w:bookmarkStart w:id="535" w:name="_Toc297216151"/>
      <w:bookmarkStart w:id="536" w:name="_Toc296890987"/>
      <w:bookmarkStart w:id="537" w:name="_Toc296503159"/>
      <w:r>
        <w:rPr>
          <w:rFonts w:eastAsia="黑体"/>
          <w:color w:val="auto"/>
          <w:sz w:val="24"/>
          <w:highlight w:val="none"/>
        </w:rPr>
        <w:t>.5 分包</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142FB7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bookmarkStart w:id="538" w:name="_Toc303539103"/>
      <w:bookmarkStart w:id="539" w:name="_Toc292559870"/>
      <w:bookmarkStart w:id="540" w:name="_Toc300934946"/>
      <w:bookmarkStart w:id="541" w:name="_Toc296890988"/>
      <w:bookmarkStart w:id="542" w:name="_Toc296347159"/>
      <w:bookmarkStart w:id="543" w:name="_Toc297120460"/>
      <w:bookmarkStart w:id="544" w:name="_Toc304295524"/>
      <w:bookmarkStart w:id="545" w:name="_Toc296944499"/>
      <w:bookmarkStart w:id="546" w:name="_Toc296346661"/>
      <w:bookmarkStart w:id="547" w:name="_Toc296503160"/>
      <w:bookmarkStart w:id="548" w:name="_Toc296891200"/>
      <w:bookmarkStart w:id="549" w:name="_Toc297216152"/>
      <w:bookmarkStart w:id="550" w:name="_Toc297048346"/>
      <w:bookmarkStart w:id="551" w:name="_Toc297123493"/>
      <w:bookmarkStart w:id="552" w:name="_Toc292559365"/>
      <w:bookmarkStart w:id="553" w:name="_Toc312677989"/>
      <w:bookmarkStart w:id="554" w:name="_Toc318581158"/>
      <w:r>
        <w:rPr>
          <w:rFonts w:eastAsia="仿宋_GB2312"/>
          <w:color w:val="auto"/>
          <w:sz w:val="24"/>
          <w:highlight w:val="none"/>
        </w:rPr>
        <w:t>.5.1 分包的一般约定</w:t>
      </w:r>
    </w:p>
    <w:p w14:paraId="0598368E">
      <w:pPr>
        <w:adjustRightInd/>
        <w:spacing w:line="300" w:lineRule="auto"/>
        <w:ind w:firstLine="480" w:firstLineChars="200"/>
        <w:rPr>
          <w:rFonts w:eastAsia="仿宋_GB2312"/>
          <w:color w:val="auto"/>
          <w:sz w:val="24"/>
          <w:highlight w:val="none"/>
        </w:rPr>
      </w:pPr>
      <w:r>
        <w:rPr>
          <w:rFonts w:eastAsia="仿宋_GB2312"/>
          <w:color w:val="auto"/>
          <w:sz w:val="24"/>
          <w:highlight w:val="none"/>
        </w:rPr>
        <w:t>禁止分包的工程包括：</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p>
    <w:p w14:paraId="3B71ABC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主体结构、关键性工作的范围：</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5" w:name="_Toc296944500"/>
      <w:bookmarkStart w:id="556" w:name="_Toc296347160"/>
      <w:bookmarkStart w:id="557" w:name="_Toc303539104"/>
      <w:bookmarkStart w:id="558" w:name="_Toc297216153"/>
      <w:bookmarkStart w:id="559" w:name="_Toc304295525"/>
      <w:bookmarkStart w:id="560" w:name="_Toc296890989"/>
      <w:bookmarkStart w:id="561" w:name="_Toc296503161"/>
      <w:bookmarkStart w:id="562" w:name="_Toc297120461"/>
      <w:bookmarkStart w:id="563" w:name="_Toc297048347"/>
      <w:bookmarkStart w:id="564" w:name="_Toc296346662"/>
      <w:bookmarkStart w:id="565" w:name="_Toc300934947"/>
      <w:bookmarkStart w:id="566" w:name="_Toc297123494"/>
      <w:bookmarkStart w:id="567" w:name="_Toc296891201"/>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12D86C28">
      <w:pPr>
        <w:adjustRightInd/>
        <w:spacing w:line="300" w:lineRule="auto"/>
        <w:ind w:firstLine="240"/>
        <w:rPr>
          <w:rFonts w:eastAsia="仿宋_GB2312"/>
          <w:color w:val="auto"/>
          <w:sz w:val="24"/>
          <w:highlight w:val="none"/>
        </w:rPr>
      </w:pPr>
      <w:r>
        <w:rPr>
          <w:rFonts w:eastAsia="仿宋_GB2312"/>
          <w:color w:val="auto"/>
          <w:sz w:val="24"/>
          <w:highlight w:val="none"/>
        </w:rPr>
        <w:t>3</w:t>
      </w:r>
      <w:bookmarkStart w:id="568" w:name="_Toc318581159"/>
      <w:bookmarkStart w:id="569" w:name="_Toc312677990"/>
      <w:r>
        <w:rPr>
          <w:rFonts w:eastAsia="仿宋_GB2312"/>
          <w:color w:val="auto"/>
          <w:sz w:val="24"/>
          <w:highlight w:val="none"/>
        </w:rPr>
        <w:t>.5.2分包的确定</w:t>
      </w:r>
    </w:p>
    <w:p w14:paraId="13B9F31B">
      <w:pPr>
        <w:adjustRightInd/>
        <w:spacing w:line="300" w:lineRule="auto"/>
        <w:ind w:firstLine="501" w:firstLineChars="209"/>
        <w:rPr>
          <w:rFonts w:eastAsia="仿宋_GB2312"/>
          <w:color w:val="auto"/>
          <w:sz w:val="24"/>
          <w:highlight w:val="none"/>
          <w:u w:val="single"/>
        </w:rPr>
      </w:pPr>
      <w:r>
        <w:rPr>
          <w:rFonts w:hint="eastAsia" w:eastAsia="仿宋_GB2312"/>
          <w:color w:val="auto"/>
          <w:sz w:val="24"/>
          <w:highlight w:val="none"/>
        </w:rPr>
        <w:t>禁止分包的工程包括：</w:t>
      </w:r>
      <w:r>
        <w:rPr>
          <w:rFonts w:hint="eastAsia" w:eastAsia="仿宋_GB2312"/>
          <w:color w:val="auto"/>
          <w:sz w:val="24"/>
          <w:highlight w:val="none"/>
          <w:u w:val="single"/>
        </w:rPr>
        <w:t>包括但不限于基础与主体结构工程（钢结构除外）、保温工程、防水工程。</w:t>
      </w:r>
    </w:p>
    <w:p w14:paraId="5FB00B9A">
      <w:pPr>
        <w:pStyle w:val="45"/>
        <w:tabs>
          <w:tab w:val="right" w:leader="dot" w:pos="8296"/>
        </w:tabs>
        <w:ind w:firstLine="501" w:firstLineChars="209"/>
        <w:rPr>
          <w:rFonts w:eastAsia="仿宋_GB2312"/>
          <w:color w:val="auto"/>
          <w:sz w:val="24"/>
          <w:highlight w:val="none"/>
          <w:u w:val="single"/>
        </w:rPr>
      </w:pPr>
      <w:r>
        <w:rPr>
          <w:rFonts w:hint="eastAsia" w:eastAsia="仿宋_GB2312"/>
          <w:color w:val="auto"/>
          <w:sz w:val="24"/>
          <w:highlight w:val="none"/>
        </w:rPr>
        <w:t>主体结构、关键性工作的范围：</w:t>
      </w:r>
      <w:r>
        <w:rPr>
          <w:rFonts w:hint="eastAsia" w:eastAsia="仿宋_GB2312"/>
          <w:color w:val="auto"/>
          <w:sz w:val="24"/>
          <w:highlight w:val="none"/>
          <w:u w:val="single"/>
        </w:rPr>
        <w:t>基础工程、钢筋工程、混凝土工程、结构防水工程、砌筑工程等主体工程及关键性工作。</w:t>
      </w:r>
    </w:p>
    <w:p w14:paraId="7FBA070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其他关于分包的约定：</w:t>
      </w:r>
    </w:p>
    <w:p w14:paraId="1EABBF6E">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①一旦发现转包或非法分包的，发包人将报请建设行政主管部门进行处理并没收全部履约保证金。</w:t>
      </w:r>
    </w:p>
    <w:bookmarkEnd w:id="568"/>
    <w:bookmarkEnd w:id="569"/>
    <w:p w14:paraId="3DDBA16C">
      <w:pPr>
        <w:adjustRightInd/>
        <w:spacing w:line="300" w:lineRule="auto"/>
        <w:ind w:firstLine="480" w:firstLineChars="200"/>
        <w:rPr>
          <w:rFonts w:eastAsia="黑体"/>
          <w:color w:val="auto"/>
          <w:sz w:val="24"/>
          <w:highlight w:val="none"/>
        </w:rPr>
      </w:pPr>
      <w:r>
        <w:rPr>
          <w:rFonts w:eastAsia="黑体"/>
          <w:color w:val="auto"/>
          <w:sz w:val="24"/>
          <w:highlight w:val="none"/>
        </w:rPr>
        <w:t>3.6 工程照管与成品、半成品保护</w:t>
      </w:r>
    </w:p>
    <w:p w14:paraId="2DCC8A7F">
      <w:pPr>
        <w:adjustRightInd/>
        <w:spacing w:line="300" w:lineRule="auto"/>
        <w:ind w:left="147" w:leftChars="70" w:firstLine="360" w:firstLineChars="150"/>
        <w:rPr>
          <w:rFonts w:eastAsia="仿宋_GB2312"/>
          <w:color w:val="auto"/>
          <w:sz w:val="24"/>
          <w:highlight w:val="none"/>
          <w:u w:val="single"/>
        </w:rPr>
      </w:pPr>
      <w:r>
        <w:rPr>
          <w:rFonts w:eastAsia="仿宋_GB2312"/>
          <w:color w:val="auto"/>
          <w:sz w:val="24"/>
          <w:highlight w:val="none"/>
        </w:rPr>
        <w:t>承包人负责照管工程及工程相关的材料、工程设备的起始时间：</w:t>
      </w:r>
      <w:r>
        <w:rPr>
          <w:rFonts w:hint="eastAsia" w:eastAsia="仿宋_GB2312"/>
          <w:color w:val="auto"/>
          <w:sz w:val="24"/>
          <w:highlight w:val="none"/>
          <w:u w:val="single"/>
        </w:rPr>
        <w:t xml:space="preserve">    /  。</w:t>
      </w:r>
    </w:p>
    <w:p w14:paraId="1AE9F0F2">
      <w:pPr>
        <w:adjustRightInd/>
        <w:spacing w:line="300" w:lineRule="auto"/>
        <w:ind w:firstLine="480" w:firstLineChars="200"/>
        <w:rPr>
          <w:rFonts w:eastAsia="黑体"/>
          <w:color w:val="auto"/>
          <w:sz w:val="24"/>
          <w:highlight w:val="none"/>
        </w:rPr>
      </w:pPr>
      <w:r>
        <w:rPr>
          <w:rFonts w:eastAsia="黑体"/>
          <w:color w:val="auto"/>
          <w:sz w:val="24"/>
          <w:highlight w:val="none"/>
        </w:rPr>
        <w:t>3.7 履约担保</w:t>
      </w:r>
    </w:p>
    <w:p w14:paraId="1BCD4058">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承包人是否提供履约担保：是。</w:t>
      </w:r>
    </w:p>
    <w:p w14:paraId="2C2A2DF0">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（1）承包人在合同签订后14天内，向发包人提交签约合同金额2％的履约保证金担保。执行本条各项要求所需的费用由承包人承担。</w:t>
      </w:r>
    </w:p>
    <w:p w14:paraId="69310BFA">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（2）履约保证金内容包括： 工程质量占30%，工期占30%，安全文明施工占10%，管理人员到岗率占30%。</w:t>
      </w:r>
    </w:p>
    <w:p w14:paraId="19A57414">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（3）履约担保的有效期: 履约担保自提交之日起至工程竣工验收后90天内有效。在此有效期截止日后14天内此履约担保退还给承包人。</w:t>
      </w:r>
    </w:p>
    <w:p w14:paraId="7B62D936">
      <w:pPr>
        <w:pStyle w:val="8"/>
        <w:spacing w:before="0" w:after="0" w:line="300" w:lineRule="auto"/>
        <w:ind w:firstLine="480" w:firstLineChars="200"/>
        <w:rPr>
          <w:rFonts w:ascii="Times New Roman" w:hAnsi="Times New Roman"/>
          <w:b w:val="0"/>
          <w:color w:val="auto"/>
          <w:sz w:val="24"/>
          <w:szCs w:val="24"/>
          <w:highlight w:val="none"/>
        </w:rPr>
      </w:pPr>
      <w:bookmarkStart w:id="570" w:name="_Toc351203636"/>
      <w:r>
        <w:rPr>
          <w:rFonts w:ascii="Times New Roman" w:hAnsi="Times New Roman"/>
          <w:b w:val="0"/>
          <w:color w:val="auto"/>
          <w:sz w:val="24"/>
          <w:szCs w:val="24"/>
          <w:highlight w:val="none"/>
        </w:rPr>
        <w:t>4</w:t>
      </w:r>
      <w:bookmarkStart w:id="571" w:name="_Toc296346663"/>
      <w:bookmarkStart w:id="572" w:name="_Toc296944501"/>
      <w:bookmarkStart w:id="573" w:name="_Toc267251413"/>
      <w:bookmarkStart w:id="574" w:name="_Toc296891202"/>
      <w:bookmarkStart w:id="575" w:name="_Toc292559366"/>
      <w:bookmarkStart w:id="576" w:name="_Toc297048348"/>
      <w:bookmarkStart w:id="577" w:name="_Toc296890990"/>
      <w:bookmarkStart w:id="578" w:name="_Toc297120462"/>
      <w:bookmarkStart w:id="579" w:name="_Toc296503162"/>
      <w:bookmarkStart w:id="580" w:name="_Toc292559871"/>
      <w:bookmarkStart w:id="581" w:name="_Toc296347161"/>
      <w:r>
        <w:rPr>
          <w:rFonts w:ascii="Times New Roman" w:hAnsi="Times New Roman"/>
          <w:b w:val="0"/>
          <w:color w:val="auto"/>
          <w:sz w:val="24"/>
          <w:szCs w:val="24"/>
          <w:highlight w:val="none"/>
        </w:rPr>
        <w:t>. 监</w:t>
      </w:r>
      <w:bookmarkEnd w:id="571"/>
      <w:bookmarkEnd w:id="572"/>
      <w:bookmarkEnd w:id="573"/>
      <w:bookmarkEnd w:id="574"/>
      <w:bookmarkEnd w:id="575"/>
      <w:bookmarkEnd w:id="576"/>
      <w:bookmarkEnd w:id="577"/>
      <w:bookmarkEnd w:id="578"/>
      <w:bookmarkEnd w:id="579"/>
      <w:bookmarkEnd w:id="580"/>
      <w:bookmarkEnd w:id="581"/>
      <w:r>
        <w:rPr>
          <w:rFonts w:ascii="Times New Roman" w:hAnsi="Times New Roman"/>
          <w:b w:val="0"/>
          <w:color w:val="auto"/>
          <w:sz w:val="24"/>
          <w:szCs w:val="24"/>
          <w:highlight w:val="none"/>
        </w:rPr>
        <w:t>理人</w:t>
      </w:r>
      <w:bookmarkEnd w:id="570"/>
    </w:p>
    <w:p w14:paraId="1A33E46E">
      <w:pPr>
        <w:adjustRightInd/>
        <w:spacing w:line="300" w:lineRule="auto"/>
        <w:ind w:firstLine="480" w:firstLineChars="200"/>
        <w:rPr>
          <w:rFonts w:eastAsia="黑体"/>
          <w:color w:val="auto"/>
          <w:sz w:val="24"/>
          <w:highlight w:val="none"/>
        </w:rPr>
      </w:pPr>
      <w:r>
        <w:rPr>
          <w:rFonts w:eastAsia="黑体"/>
          <w:color w:val="auto"/>
          <w:sz w:val="24"/>
          <w:highlight w:val="none"/>
        </w:rPr>
        <w:t>4.1监理人的一般规定</w:t>
      </w:r>
    </w:p>
    <w:p w14:paraId="53CF148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关于监理人的监理内容：</w:t>
      </w:r>
      <w:r>
        <w:rPr>
          <w:rFonts w:hint="eastAsia" w:eastAsia="仿宋_GB2312"/>
          <w:color w:val="auto"/>
          <w:sz w:val="24"/>
          <w:highlight w:val="none"/>
          <w:u w:val="single"/>
        </w:rPr>
        <w:t>详见监理合同。</w:t>
      </w:r>
    </w:p>
    <w:p w14:paraId="4A5313D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关于监理人的监理权限：</w:t>
      </w:r>
      <w:r>
        <w:rPr>
          <w:rFonts w:hint="eastAsia" w:eastAsia="仿宋_GB2312"/>
          <w:color w:val="auto"/>
          <w:sz w:val="24"/>
          <w:highlight w:val="none"/>
          <w:u w:val="single"/>
        </w:rPr>
        <w:t>详见监理合同。</w:t>
      </w:r>
    </w:p>
    <w:p w14:paraId="702E3EE1">
      <w:pPr>
        <w:adjustRightInd/>
        <w:spacing w:line="300" w:lineRule="auto"/>
        <w:ind w:firstLine="480" w:firstLineChars="200"/>
        <w:rPr>
          <w:rFonts w:eastAsia="黑体"/>
          <w:color w:val="auto"/>
          <w:sz w:val="24"/>
          <w:highlight w:val="none"/>
        </w:rPr>
      </w:pPr>
      <w:r>
        <w:rPr>
          <w:rFonts w:eastAsia="黑体"/>
          <w:color w:val="auto"/>
          <w:sz w:val="24"/>
          <w:highlight w:val="none"/>
        </w:rPr>
        <w:t>4.2 监理人员</w:t>
      </w:r>
    </w:p>
    <w:p w14:paraId="392F3B05">
      <w:pPr>
        <w:adjustRightInd/>
        <w:spacing w:line="300" w:lineRule="auto"/>
        <w:ind w:firstLine="480" w:firstLineChars="200"/>
        <w:rPr>
          <w:rFonts w:eastAsia="仿宋_GB2312"/>
          <w:color w:val="auto"/>
          <w:sz w:val="24"/>
          <w:highlight w:val="none"/>
        </w:rPr>
      </w:pPr>
      <w:r>
        <w:rPr>
          <w:rFonts w:eastAsia="仿宋_GB2312"/>
          <w:color w:val="auto"/>
          <w:sz w:val="24"/>
          <w:highlight w:val="none"/>
        </w:rPr>
        <w:t>总监理工程师：</w:t>
      </w:r>
    </w:p>
    <w:p w14:paraId="63F7FD4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3BBBFA5C">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35808166">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监理工程师执业资格证书号：</w:t>
      </w:r>
      <w:r>
        <w:rPr>
          <w:rFonts w:eastAsia="仿宋_GB2312"/>
          <w:color w:val="auto"/>
          <w:sz w:val="24"/>
          <w:highlight w:val="none"/>
          <w:u w:val="single"/>
        </w:rPr>
        <w:t> </w:t>
      </w:r>
      <w:r>
        <w:rPr>
          <w:rFonts w:eastAsia="仿宋_GB2312"/>
          <w:color w:val="auto"/>
          <w:sz w:val="24"/>
          <w:highlight w:val="none"/>
        </w:rPr>
        <w:t>；</w:t>
      </w:r>
    </w:p>
    <w:p w14:paraId="1DF1081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42CF17C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1DCF9EC2">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410A492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关于监理人的其他约定：</w:t>
      </w:r>
      <w:r>
        <w:rPr>
          <w:rFonts w:eastAsia="仿宋_GB2312"/>
          <w:color w:val="auto"/>
          <w:sz w:val="24"/>
          <w:highlight w:val="none"/>
          <w:u w:val="single"/>
        </w:rPr>
        <w:t>   </w:t>
      </w:r>
      <w:r>
        <w:rPr>
          <w:rFonts w:eastAsia="仿宋_GB2312"/>
          <w:color w:val="auto"/>
          <w:sz w:val="24"/>
          <w:highlight w:val="none"/>
        </w:rPr>
        <w:t>。</w:t>
      </w:r>
    </w:p>
    <w:p w14:paraId="42A60EE0">
      <w:pPr>
        <w:adjustRightInd/>
        <w:spacing w:line="300" w:lineRule="auto"/>
        <w:ind w:firstLine="480" w:firstLineChars="200"/>
        <w:rPr>
          <w:rFonts w:eastAsia="黑体"/>
          <w:color w:val="auto"/>
          <w:sz w:val="24"/>
          <w:highlight w:val="none"/>
        </w:rPr>
      </w:pPr>
      <w:r>
        <w:rPr>
          <w:rFonts w:eastAsia="黑体"/>
          <w:color w:val="auto"/>
          <w:sz w:val="24"/>
          <w:highlight w:val="none"/>
        </w:rPr>
        <w:t>4.4 商定或确定</w:t>
      </w:r>
    </w:p>
    <w:p w14:paraId="779584CF">
      <w:pPr>
        <w:adjustRightInd/>
        <w:spacing w:line="300" w:lineRule="auto"/>
        <w:ind w:firstLine="480" w:firstLineChars="200"/>
        <w:rPr>
          <w:rFonts w:eastAsia="仿宋_GB2312"/>
          <w:color w:val="auto"/>
          <w:sz w:val="24"/>
          <w:highlight w:val="none"/>
        </w:rPr>
      </w:pPr>
      <w:bookmarkStart w:id="582" w:name="_Toc267251418"/>
      <w:r>
        <w:rPr>
          <w:rFonts w:eastAsia="仿宋_GB2312"/>
          <w:color w:val="auto"/>
          <w:sz w:val="24"/>
          <w:highlight w:val="none"/>
        </w:rPr>
        <w:t>在发包人和承包人不能通过协商达成一致意见时，发包人授权监理人对以下事项进行确定：</w:t>
      </w:r>
    </w:p>
    <w:p w14:paraId="3E14E67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u w:val="single"/>
        </w:rPr>
        <w:t>/</w:t>
      </w:r>
      <w:r>
        <w:rPr>
          <w:rFonts w:eastAsia="仿宋_GB2312"/>
          <w:color w:val="auto"/>
          <w:sz w:val="24"/>
          <w:highlight w:val="none"/>
        </w:rPr>
        <w:t>；</w:t>
      </w:r>
    </w:p>
    <w:p w14:paraId="42D976F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w:t>
      </w:r>
      <w:r>
        <w:rPr>
          <w:rFonts w:eastAsia="仿宋_GB2312"/>
          <w:color w:val="auto"/>
          <w:sz w:val="24"/>
          <w:highlight w:val="none"/>
        </w:rPr>
        <w:t>；</w:t>
      </w:r>
    </w:p>
    <w:p w14:paraId="2BB5832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u w:val="single"/>
        </w:rPr>
        <w:t>/</w:t>
      </w:r>
      <w:r>
        <w:rPr>
          <w:rFonts w:eastAsia="仿宋_GB2312"/>
          <w:color w:val="auto"/>
          <w:sz w:val="24"/>
          <w:highlight w:val="none"/>
        </w:rPr>
        <w:t>。</w:t>
      </w:r>
    </w:p>
    <w:p w14:paraId="6D752317">
      <w:pPr>
        <w:pStyle w:val="8"/>
        <w:spacing w:before="0" w:after="0" w:line="300" w:lineRule="auto"/>
        <w:ind w:firstLine="480" w:firstLineChars="200"/>
        <w:rPr>
          <w:rFonts w:ascii="Times New Roman" w:hAnsi="Times New Roman"/>
          <w:b w:val="0"/>
          <w:color w:val="auto"/>
          <w:sz w:val="24"/>
          <w:szCs w:val="24"/>
          <w:highlight w:val="none"/>
        </w:rPr>
      </w:pPr>
      <w:bookmarkStart w:id="583" w:name="_Toc351203637"/>
      <w:r>
        <w:rPr>
          <w:rFonts w:ascii="Times New Roman" w:hAnsi="Times New Roman"/>
          <w:b w:val="0"/>
          <w:color w:val="auto"/>
          <w:sz w:val="24"/>
          <w:szCs w:val="24"/>
          <w:highlight w:val="none"/>
        </w:rPr>
        <w:t>5</w:t>
      </w:r>
      <w:bookmarkEnd w:id="582"/>
      <w:bookmarkStart w:id="584" w:name="_Toc297048349"/>
      <w:bookmarkStart w:id="585" w:name="_Toc292559872"/>
      <w:bookmarkStart w:id="586" w:name="_Toc296891203"/>
      <w:bookmarkStart w:id="587" w:name="_Toc292559367"/>
      <w:bookmarkStart w:id="588" w:name="_Toc297120463"/>
      <w:bookmarkStart w:id="589" w:name="_Toc296347162"/>
      <w:bookmarkStart w:id="590" w:name="_Toc296346664"/>
      <w:bookmarkStart w:id="591" w:name="_Toc296503163"/>
      <w:bookmarkStart w:id="592" w:name="_Toc296890991"/>
      <w:bookmarkStart w:id="593" w:name="_Toc296944502"/>
      <w:r>
        <w:rPr>
          <w:rFonts w:ascii="Times New Roman" w:hAnsi="Times New Roman"/>
          <w:b w:val="0"/>
          <w:color w:val="auto"/>
          <w:sz w:val="24"/>
          <w:szCs w:val="24"/>
          <w:highlight w:val="none"/>
        </w:rPr>
        <w:t>. 工程质量</w:t>
      </w:r>
      <w:bookmarkEnd w:id="583"/>
    </w:p>
    <w:p w14:paraId="41D024D6">
      <w:pPr>
        <w:adjustRightInd/>
        <w:spacing w:line="300" w:lineRule="auto"/>
        <w:ind w:firstLine="480" w:firstLineChars="200"/>
        <w:rPr>
          <w:rFonts w:eastAsia="黑体"/>
          <w:color w:val="auto"/>
          <w:sz w:val="24"/>
          <w:highlight w:val="none"/>
        </w:rPr>
      </w:pPr>
      <w:r>
        <w:rPr>
          <w:rFonts w:eastAsia="黑体"/>
          <w:color w:val="auto"/>
          <w:sz w:val="24"/>
          <w:highlight w:val="none"/>
        </w:rPr>
        <w:t>5.1 质量要求</w:t>
      </w:r>
    </w:p>
    <w:p w14:paraId="69220CC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w:t>
      </w:r>
      <w:bookmarkStart w:id="594" w:name="_Toc300934949"/>
      <w:bookmarkStart w:id="595" w:name="_Toc318581164"/>
      <w:bookmarkStart w:id="596" w:name="_Toc297216155"/>
      <w:bookmarkStart w:id="597" w:name="_Toc303539106"/>
      <w:bookmarkStart w:id="598" w:name="_Toc304295527"/>
      <w:bookmarkStart w:id="599" w:name="_Toc312677997"/>
      <w:bookmarkStart w:id="600" w:name="_Toc297123496"/>
      <w:r>
        <w:rPr>
          <w:rFonts w:eastAsia="仿宋_GB2312"/>
          <w:color w:val="auto"/>
          <w:sz w:val="24"/>
          <w:highlight w:val="none"/>
        </w:rPr>
        <w:t>.1.1 特殊质量标准和要求：</w:t>
      </w:r>
      <w:r>
        <w:rPr>
          <w:rFonts w:hint="eastAsia" w:eastAsia="仿宋_GB2312"/>
          <w:color w:val="auto"/>
          <w:sz w:val="24"/>
          <w:highlight w:val="none"/>
          <w:u w:val="single"/>
        </w:rPr>
        <w:t>详见通用条款</w:t>
      </w:r>
      <w:r>
        <w:rPr>
          <w:rFonts w:eastAsia="仿宋_GB2312"/>
          <w:color w:val="auto"/>
          <w:sz w:val="24"/>
          <w:highlight w:val="none"/>
          <w:u w:val="single"/>
        </w:rPr>
        <w:t>。</w:t>
      </w:r>
    </w:p>
    <w:p w14:paraId="5A50B20A">
      <w:pPr>
        <w:adjustRightInd/>
        <w:spacing w:line="300" w:lineRule="auto"/>
        <w:ind w:firstLine="480" w:firstLineChars="200"/>
        <w:rPr>
          <w:rFonts w:eastAsia="黑体"/>
          <w:color w:val="auto"/>
          <w:sz w:val="24"/>
          <w:highlight w:val="none"/>
        </w:rPr>
      </w:pPr>
      <w:r>
        <w:rPr>
          <w:rFonts w:eastAsia="黑体"/>
          <w:color w:val="auto"/>
          <w:sz w:val="24"/>
          <w:highlight w:val="none"/>
        </w:rPr>
        <w:t>5.3 隐蔽工程检查</w:t>
      </w:r>
    </w:p>
    <w:p w14:paraId="64CB06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5.3.2承包人提前通知监理人隐蔽工程检查的期限的约定：</w:t>
      </w:r>
    </w:p>
    <w:p w14:paraId="5BC9C532">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双方约定隐蔽工程和中间验收部位的程序：</w:t>
      </w:r>
      <w:r>
        <w:rPr>
          <w:rFonts w:hint="eastAsia" w:eastAsia="仿宋_GB2312"/>
          <w:color w:val="auto"/>
          <w:sz w:val="24"/>
          <w:highlight w:val="none"/>
          <w:u w:val="single"/>
        </w:rPr>
        <w:t>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669EFB49">
      <w:pPr>
        <w:pStyle w:val="8"/>
        <w:spacing w:before="0" w:after="0" w:line="300" w:lineRule="auto"/>
        <w:ind w:firstLine="480" w:firstLineChars="200"/>
        <w:rPr>
          <w:rFonts w:ascii="Times New Roman" w:hAnsi="Times New Roman"/>
          <w:b w:val="0"/>
          <w:color w:val="auto"/>
          <w:sz w:val="24"/>
          <w:szCs w:val="24"/>
          <w:highlight w:val="none"/>
        </w:rPr>
      </w:pPr>
      <w:bookmarkStart w:id="601" w:name="_Toc351203638"/>
      <w:r>
        <w:rPr>
          <w:rFonts w:ascii="Times New Roman" w:hAnsi="Times New Roman"/>
          <w:b w:val="0"/>
          <w:color w:val="auto"/>
          <w:sz w:val="24"/>
          <w:szCs w:val="24"/>
          <w:highlight w:val="none"/>
        </w:rPr>
        <w:t>6. 安全文明施工与环境保护</w:t>
      </w:r>
      <w:bookmarkEnd w:id="601"/>
    </w:p>
    <w:p w14:paraId="7C1AFD7A">
      <w:pPr>
        <w:adjustRightInd/>
        <w:spacing w:line="300" w:lineRule="auto"/>
        <w:ind w:firstLine="480" w:firstLineChars="200"/>
        <w:rPr>
          <w:rFonts w:eastAsia="黑体"/>
          <w:color w:val="auto"/>
          <w:sz w:val="24"/>
          <w:highlight w:val="none"/>
        </w:rPr>
      </w:pPr>
      <w:r>
        <w:rPr>
          <w:rFonts w:eastAsia="黑体"/>
          <w:color w:val="auto"/>
          <w:sz w:val="24"/>
          <w:highlight w:val="none"/>
        </w:rPr>
        <w:t>6.1安全文明施工</w:t>
      </w:r>
    </w:p>
    <w:p w14:paraId="327B28FB">
      <w:pPr>
        <w:adjustRightInd/>
        <w:spacing w:line="300" w:lineRule="auto"/>
        <w:ind w:firstLine="480" w:firstLineChars="200"/>
        <w:rPr>
          <w:rFonts w:ascii="仿宋_GB2312" w:eastAsia="仿宋_GB2312"/>
          <w:color w:val="auto"/>
          <w:sz w:val="24"/>
          <w:highlight w:val="none"/>
          <w:u w:val="single"/>
        </w:rPr>
      </w:pPr>
      <w:r>
        <w:rPr>
          <w:rFonts w:eastAsia="仿宋_GB2312"/>
          <w:color w:val="auto"/>
          <w:sz w:val="24"/>
          <w:highlight w:val="none"/>
        </w:rPr>
        <w:t>6.1.1 项目安全生产的达标目标及相应事项的约定：</w:t>
      </w:r>
      <w:r>
        <w:rPr>
          <w:rFonts w:hint="eastAsia" w:ascii="仿宋_GB2312" w:eastAsia="仿宋_GB2312"/>
          <w:color w:val="auto"/>
          <w:sz w:val="24"/>
          <w:highlight w:val="none"/>
          <w:u w:val="single"/>
        </w:rPr>
        <w:t>施工现场按照《建筑施工安全检查标准》（JGJ59-2011）评定达到“合格”标准。</w:t>
      </w:r>
    </w:p>
    <w:p w14:paraId="39E0022C">
      <w:pPr>
        <w:pStyle w:val="897"/>
        <w:spacing w:line="300" w:lineRule="auto"/>
        <w:ind w:left="420" w:firstLine="480"/>
        <w:rPr>
          <w:rFonts w:eastAsia="仿宋_GB2312"/>
          <w:color w:val="auto"/>
          <w:highlight w:val="none"/>
          <w:u w:val="single"/>
        </w:rPr>
      </w:pPr>
      <w:r>
        <w:rPr>
          <w:rFonts w:eastAsia="仿宋_GB2312"/>
          <w:color w:val="auto"/>
          <w:highlight w:val="none"/>
        </w:rPr>
        <w:t>6.1.4 关于治安保卫的约定：</w:t>
      </w:r>
    </w:p>
    <w:p w14:paraId="61C0156B">
      <w:pPr>
        <w:pStyle w:val="897"/>
        <w:spacing w:line="300" w:lineRule="auto"/>
        <w:ind w:left="420" w:firstLine="482" w:firstLineChars="0"/>
        <w:rPr>
          <w:rFonts w:ascii="仿宋_GB2312" w:hAnsi="Tahoma" w:eastAsia="仿宋_GB2312"/>
          <w:color w:val="auto"/>
          <w:highlight w:val="none"/>
          <w:u w:val="single"/>
          <w:lang w:val="zh-CN"/>
        </w:rPr>
      </w:pPr>
      <w:r>
        <w:rPr>
          <w:rFonts w:hint="eastAsia" w:eastAsia="仿宋_GB2312"/>
          <w:color w:val="auto"/>
          <w:highlight w:val="none"/>
          <w:u w:val="single"/>
        </w:rPr>
        <w:t>1）</w:t>
      </w:r>
      <w:r>
        <w:rPr>
          <w:rFonts w:hint="eastAsia" w:ascii="仿宋_GB2312" w:hAnsi="Tahoma" w:eastAsia="仿宋_GB2312"/>
          <w:color w:val="auto"/>
          <w:highlight w:val="none"/>
          <w:u w:val="single"/>
          <w:lang w:val="zh-CN"/>
        </w:rPr>
        <w:t>承包人应强化安全意识，抓好安全生产，杜绝事故发生，施工中若发生安全及人身事故均由承包人自行负责处理，承担一切责任包括全部费用，且发包人有权扣罚50000元</w:t>
      </w:r>
      <w:r>
        <w:rPr>
          <w:rFonts w:hint="eastAsia" w:ascii="仿宋_GB2312" w:eastAsia="仿宋_GB2312"/>
          <w:color w:val="auto"/>
          <w:highlight w:val="none"/>
          <w:u w:val="single"/>
          <w:lang w:val="zh-CN"/>
        </w:rPr>
        <w:t>安全生产、文明施工履约保证金。</w:t>
      </w:r>
      <w:r>
        <w:rPr>
          <w:rFonts w:hint="eastAsia" w:ascii="仿宋_GB2312" w:hAnsi="Tahoma" w:eastAsia="仿宋_GB2312"/>
          <w:color w:val="auto"/>
          <w:highlight w:val="none"/>
          <w:u w:val="single"/>
          <w:lang w:val="zh-CN"/>
        </w:rPr>
        <w:t>发包人、监理工程师有权对承包人的安全施工状况进行检查，发现有违反安全施工情况的，有权提出整改要求，承包人须按要求进行整改。</w:t>
      </w:r>
    </w:p>
    <w:p w14:paraId="210295FF">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2）施工过程中若发生死亡事故必须立即启动应急预案，并在</w:t>
      </w:r>
      <w:r>
        <w:rPr>
          <w:rFonts w:eastAsia="仿宋_GB2312"/>
          <w:color w:val="auto"/>
          <w:highlight w:val="none"/>
          <w:u w:val="single"/>
        </w:rPr>
        <w:t>24</w:t>
      </w:r>
      <w:r>
        <w:rPr>
          <w:rFonts w:hint="eastAsia" w:eastAsia="仿宋_GB2312"/>
          <w:color w:val="auto"/>
          <w:highlight w:val="none"/>
          <w:u w:val="single"/>
        </w:rPr>
        <w:t>小时内按事故等级通报上级，并做好事故处理和善后等各类事宜。否则发包人有权直接处理，所有费用在履约保证金及工程款中直接扣除，不足部分承包人应及时补足。</w:t>
      </w:r>
    </w:p>
    <w:p w14:paraId="7B410F3B">
      <w:pPr>
        <w:adjustRightInd/>
        <w:spacing w:line="300" w:lineRule="auto"/>
        <w:ind w:firstLine="475" w:firstLineChars="198"/>
        <w:rPr>
          <w:rFonts w:eastAsia="仿宋_GB2312"/>
          <w:color w:val="auto"/>
          <w:sz w:val="24"/>
          <w:highlight w:val="none"/>
        </w:rPr>
      </w:pPr>
      <w:r>
        <w:rPr>
          <w:rFonts w:hint="eastAsia" w:eastAsia="仿宋_GB2312"/>
          <w:color w:val="auto"/>
          <w:sz w:val="24"/>
          <w:highlight w:val="none"/>
        </w:rPr>
        <w:t>6.1.5 文明施工</w:t>
      </w:r>
    </w:p>
    <w:p w14:paraId="09F24219">
      <w:pPr>
        <w:adjustRightInd/>
        <w:spacing w:line="300" w:lineRule="auto"/>
        <w:ind w:firstLine="475" w:firstLineChars="198"/>
        <w:rPr>
          <w:rFonts w:eastAsia="仿宋_GB2312"/>
          <w:color w:val="auto"/>
          <w:sz w:val="24"/>
          <w:highlight w:val="none"/>
        </w:rPr>
      </w:pPr>
      <w:r>
        <w:rPr>
          <w:rFonts w:hint="eastAsia" w:eastAsia="仿宋_GB2312"/>
          <w:color w:val="auto"/>
          <w:sz w:val="24"/>
          <w:highlight w:val="none"/>
        </w:rPr>
        <w:t>合同当事人对文明施工的要求：</w:t>
      </w:r>
    </w:p>
    <w:p w14:paraId="2DDE6FB5">
      <w:pPr>
        <w:adjustRightInd/>
        <w:spacing w:line="300" w:lineRule="auto"/>
        <w:ind w:firstLine="475" w:firstLineChars="198"/>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（1）承包人应采取有效措施尽量减小尘土和噪音污染，需要进行夜间 作业时应经有关部门批准 。</w:t>
      </w:r>
    </w:p>
    <w:p w14:paraId="49703630">
      <w:pPr>
        <w:adjustRightInd/>
        <w:spacing w:line="300" w:lineRule="auto"/>
        <w:ind w:firstLine="475" w:firstLineChars="198"/>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2)扬尘要求：扬尘控制必须严格按杭建文领办[2015]1号文、杭建工发[2015]206号文、杭建监总2019（59）号文及杭建工2019（103）号）号文执行，施工现场出入口必须安装自动洗轮设备配套沉淀池，固定围挡上设置自动喷淋系统，两者应确保100%使用，并保证施工现场及施工车辆场尘不超过控制标准。发生空气重污染预警时，停止相应施工活动并加强洒水。</w:t>
      </w:r>
    </w:p>
    <w:p w14:paraId="70DBBB8E">
      <w:pPr>
        <w:adjustRightInd/>
        <w:spacing w:line="300" w:lineRule="auto"/>
        <w:ind w:firstLine="475" w:firstLineChars="198"/>
        <w:rPr>
          <w:rFonts w:ascii="仿宋_GB2312" w:eastAsia="仿宋_GB2312"/>
          <w:color w:val="auto"/>
          <w:sz w:val="24"/>
          <w:highlight w:val="none"/>
          <w:u w:val="single"/>
          <w:lang w:val="zh-CN"/>
        </w:rPr>
      </w:pPr>
      <w:r>
        <w:rPr>
          <w:rFonts w:hint="eastAsia" w:ascii="仿宋_GB2312" w:eastAsia="仿宋_GB2312"/>
          <w:color w:val="auto"/>
          <w:sz w:val="24"/>
          <w:highlight w:val="none"/>
          <w:u w:val="single"/>
        </w:rPr>
        <w:t>（3</w:t>
      </w:r>
      <w:r>
        <w:rPr>
          <w:rFonts w:hint="eastAsia" w:ascii="仿宋_GB2312" w:eastAsia="仿宋_GB2312"/>
          <w:color w:val="auto"/>
          <w:sz w:val="24"/>
          <w:highlight w:val="none"/>
          <w:u w:val="single"/>
          <w:lang w:val="zh-CN"/>
        </w:rPr>
        <w:t>)发包人将不区分土方类别全部归为土方外运，承包人须充分进行现场踏勘，在报价中综合考虑，其工程量须监理及发包人现场管理人员签证。施工中产生的废土等必须随挖随运，堆放时间原则上不得超过8小时，堆放期间必须作覆盖处理，报价中必须考虑土方短驳费用。</w:t>
      </w:r>
    </w:p>
    <w:p w14:paraId="38B73AE9">
      <w:pPr>
        <w:adjustRightInd/>
        <w:spacing w:line="300" w:lineRule="auto"/>
        <w:ind w:firstLine="477" w:firstLineChars="198"/>
        <w:rPr>
          <w:rFonts w:ascii="仿宋_GB2312" w:eastAsia="仿宋_GB2312"/>
          <w:b/>
          <w:color w:val="auto"/>
          <w:sz w:val="24"/>
          <w:highlight w:val="none"/>
          <w:u w:val="single"/>
          <w:lang w:val="zh-CN"/>
        </w:rPr>
      </w:pPr>
      <w:r>
        <w:rPr>
          <w:rFonts w:hint="eastAsia" w:ascii="仿宋_GB2312" w:eastAsia="仿宋_GB2312"/>
          <w:b/>
          <w:color w:val="auto"/>
          <w:sz w:val="24"/>
          <w:highlight w:val="none"/>
          <w:u w:val="single"/>
          <w:lang w:val="zh-CN"/>
        </w:rPr>
        <w:t xml:space="preserve">（4）上述手续办理费用约定如下： </w:t>
      </w:r>
      <w:r>
        <w:rPr>
          <w:rFonts w:hint="eastAsia" w:ascii="仿宋_GB2312" w:eastAsia="仿宋_GB2312"/>
          <w:color w:val="auto"/>
          <w:sz w:val="24"/>
          <w:highlight w:val="none"/>
          <w:u w:val="single"/>
          <w:lang w:val="zh-CN"/>
        </w:rPr>
        <w:t>由承包人自行承担</w:t>
      </w:r>
      <w:r>
        <w:rPr>
          <w:rFonts w:hint="eastAsia" w:ascii="黑体" w:eastAsia="黑体"/>
          <w:b/>
          <w:color w:val="auto"/>
          <w:sz w:val="24"/>
          <w:highlight w:val="none"/>
          <w:u w:val="single"/>
          <w:lang w:val="zh-CN"/>
        </w:rPr>
        <w:t>。</w:t>
      </w:r>
    </w:p>
    <w:p w14:paraId="685BCE17">
      <w:pPr>
        <w:adjustRightInd/>
        <w:spacing w:line="300" w:lineRule="auto"/>
        <w:ind w:left="149" w:leftChars="71" w:firstLine="360" w:firstLineChars="150"/>
        <w:rPr>
          <w:rFonts w:eastAsia="仿宋_GB2312"/>
          <w:color w:val="auto"/>
          <w:sz w:val="24"/>
          <w:highlight w:val="none"/>
        </w:rPr>
      </w:pPr>
      <w:r>
        <w:rPr>
          <w:rFonts w:eastAsia="仿宋_GB2312"/>
          <w:color w:val="auto"/>
          <w:sz w:val="24"/>
          <w:highlight w:val="none"/>
        </w:rPr>
        <w:t>6.1.6 关于安全文明施工费支付比例和支付期限的约定</w:t>
      </w:r>
      <w:r>
        <w:rPr>
          <w:rFonts w:hint="eastAsia" w:eastAsia="仿宋_GB2312"/>
          <w:color w:val="auto"/>
          <w:sz w:val="24"/>
          <w:highlight w:val="none"/>
        </w:rPr>
        <w:t>，按以下</w:t>
      </w:r>
      <w:r>
        <w:rPr>
          <w:rFonts w:hint="eastAsia" w:eastAsia="仿宋_GB2312"/>
          <w:color w:val="auto"/>
          <w:sz w:val="24"/>
          <w:highlight w:val="none"/>
          <w:u w:val="single"/>
        </w:rPr>
        <w:t>第（/）种方式</w:t>
      </w:r>
      <w:r>
        <w:rPr>
          <w:rFonts w:hint="eastAsia" w:eastAsia="仿宋_GB2312"/>
          <w:color w:val="auto"/>
          <w:sz w:val="24"/>
          <w:highlight w:val="none"/>
        </w:rPr>
        <w:t>约定：</w:t>
      </w:r>
    </w:p>
    <w:p w14:paraId="24FE3335">
      <w:pPr>
        <w:adjustRightInd/>
        <w:spacing w:line="300" w:lineRule="auto"/>
        <w:ind w:firstLine="477" w:firstLineChars="198"/>
        <w:rPr>
          <w:rFonts w:ascii="黑体" w:eastAsia="仿宋_GB2312"/>
          <w:b/>
          <w:color w:val="auto"/>
          <w:sz w:val="24"/>
          <w:highlight w:val="none"/>
        </w:rPr>
      </w:pPr>
      <w:r>
        <w:rPr>
          <w:rFonts w:hint="eastAsia" w:ascii="仿宋_GB2312" w:eastAsia="仿宋_GB2312"/>
          <w:b/>
          <w:color w:val="auto"/>
          <w:sz w:val="24"/>
          <w:highlight w:val="none"/>
          <w:u w:val="single"/>
        </w:rPr>
        <w:t>（1）</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46FF2C7B">
      <w:pPr>
        <w:adjustRightInd/>
        <w:spacing w:line="300" w:lineRule="auto"/>
        <w:ind w:firstLine="477" w:firstLineChars="198"/>
        <w:rPr>
          <w:rFonts w:ascii="黑体" w:eastAsia="仿宋_GB2312"/>
          <w:b/>
          <w:color w:val="auto"/>
          <w:sz w:val="24"/>
          <w:highlight w:val="none"/>
        </w:rPr>
      </w:pPr>
      <w:r>
        <w:rPr>
          <w:rFonts w:hint="eastAsia" w:ascii="黑体" w:eastAsia="仿宋_GB2312"/>
          <w:b/>
          <w:color w:val="auto"/>
          <w:sz w:val="24"/>
          <w:highlight w:val="none"/>
        </w:rPr>
        <w:t>①</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465A3550">
      <w:pPr>
        <w:adjustRightInd/>
        <w:spacing w:line="300" w:lineRule="auto"/>
        <w:ind w:firstLine="477" w:firstLineChars="198"/>
        <w:rPr>
          <w:rFonts w:ascii="黑体" w:eastAsia="仿宋_GB2312"/>
          <w:b/>
          <w:color w:val="auto"/>
          <w:sz w:val="24"/>
          <w:highlight w:val="none"/>
          <w:u w:val="single"/>
        </w:rPr>
      </w:pPr>
      <w:r>
        <w:rPr>
          <w:rFonts w:hint="eastAsia" w:ascii="黑体" w:eastAsia="仿宋_GB2312"/>
          <w:b/>
          <w:color w:val="auto"/>
          <w:sz w:val="24"/>
          <w:highlight w:val="none"/>
        </w:rPr>
        <w:t>②</w:t>
      </w:r>
      <w:r>
        <w:rPr>
          <w:rFonts w:hint="eastAsia" w:ascii="黑体" w:eastAsia="仿宋_GB2312"/>
          <w:b/>
          <w:color w:val="auto"/>
          <w:sz w:val="24"/>
          <w:highlight w:val="none"/>
          <w:u w:val="single"/>
        </w:rPr>
        <w:t xml:space="preserve">  其他：          /                                </w:t>
      </w:r>
      <w:r>
        <w:rPr>
          <w:rFonts w:hint="eastAsia" w:ascii="黑体" w:eastAsia="仿宋_GB2312"/>
          <w:b/>
          <w:color w:val="auto"/>
          <w:sz w:val="24"/>
          <w:highlight w:val="none"/>
        </w:rPr>
        <w:t>。</w:t>
      </w:r>
    </w:p>
    <w:p w14:paraId="0DBC149C">
      <w:pPr>
        <w:adjustRightInd/>
        <w:spacing w:line="300" w:lineRule="auto"/>
        <w:ind w:firstLine="480" w:firstLineChars="200"/>
        <w:rPr>
          <w:rFonts w:ascii="黑体" w:eastAsia="仿宋_GB2312"/>
          <w:b/>
          <w:color w:val="auto"/>
          <w:sz w:val="24"/>
          <w:highlight w:val="none"/>
          <w:u w:val="single"/>
        </w:rPr>
      </w:pPr>
      <w:r>
        <w:rPr>
          <w:rFonts w:hint="eastAsia" w:eastAsia="仿宋_GB2312"/>
          <w:color w:val="auto"/>
          <w:sz w:val="24"/>
          <w:highlight w:val="none"/>
          <w:u w:val="single"/>
        </w:rPr>
        <w:t>（2）</w:t>
      </w:r>
      <w:r>
        <w:rPr>
          <w:rFonts w:hint="eastAsia" w:ascii="黑体" w:eastAsia="仿宋_GB2312"/>
          <w:b/>
          <w:color w:val="auto"/>
          <w:sz w:val="24"/>
          <w:highlight w:val="none"/>
          <w:u w:val="single"/>
        </w:rPr>
        <w:t>其他：         /                                。</w:t>
      </w:r>
    </w:p>
    <w:bookmarkEnd w:id="594"/>
    <w:bookmarkEnd w:id="595"/>
    <w:bookmarkEnd w:id="596"/>
    <w:bookmarkEnd w:id="597"/>
    <w:bookmarkEnd w:id="598"/>
    <w:bookmarkEnd w:id="599"/>
    <w:bookmarkEnd w:id="600"/>
    <w:p w14:paraId="036F5049">
      <w:pPr>
        <w:pStyle w:val="8"/>
        <w:spacing w:before="0" w:after="0" w:line="300" w:lineRule="auto"/>
        <w:ind w:firstLine="480" w:firstLineChars="200"/>
        <w:rPr>
          <w:rFonts w:ascii="Times New Roman" w:hAnsi="Times New Roman"/>
          <w:b w:val="0"/>
          <w:color w:val="auto"/>
          <w:sz w:val="24"/>
          <w:szCs w:val="24"/>
          <w:highlight w:val="none"/>
        </w:rPr>
      </w:pPr>
      <w:bookmarkStart w:id="602" w:name="_Toc351203639"/>
      <w:r>
        <w:rPr>
          <w:rFonts w:ascii="Times New Roman" w:hAnsi="Times New Roman"/>
          <w:b w:val="0"/>
          <w:color w:val="auto"/>
          <w:sz w:val="24"/>
          <w:szCs w:val="24"/>
          <w:highlight w:val="none"/>
        </w:rPr>
        <w:t>7. 工期和进度</w:t>
      </w:r>
      <w:bookmarkEnd w:id="602"/>
    </w:p>
    <w:p w14:paraId="6067A90E">
      <w:pPr>
        <w:adjustRightInd/>
        <w:spacing w:line="300" w:lineRule="auto"/>
        <w:ind w:firstLine="480" w:firstLineChars="200"/>
        <w:rPr>
          <w:rFonts w:eastAsia="黑体"/>
          <w:color w:val="auto"/>
          <w:sz w:val="24"/>
          <w:highlight w:val="none"/>
        </w:rPr>
      </w:pPr>
      <w:r>
        <w:rPr>
          <w:rFonts w:eastAsia="黑体"/>
          <w:color w:val="auto"/>
          <w:sz w:val="24"/>
          <w:highlight w:val="none"/>
        </w:rPr>
        <w:t>7.1 施工组织设计</w:t>
      </w:r>
    </w:p>
    <w:p w14:paraId="03CD6232">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7.1.</w:t>
      </w:r>
      <w:r>
        <w:rPr>
          <w:rFonts w:hint="eastAsia" w:eastAsia="仿宋_GB2312"/>
          <w:color w:val="auto"/>
          <w:sz w:val="24"/>
          <w:highlight w:val="none"/>
        </w:rPr>
        <w:t>1 合同当事人约定的</w:t>
      </w:r>
      <w:r>
        <w:rPr>
          <w:rFonts w:eastAsia="仿宋_GB2312"/>
          <w:color w:val="auto"/>
          <w:sz w:val="24"/>
          <w:highlight w:val="none"/>
        </w:rPr>
        <w:t>施工组织设计</w:t>
      </w:r>
      <w:r>
        <w:rPr>
          <w:rFonts w:hint="eastAsia" w:eastAsia="仿宋_GB2312"/>
          <w:color w:val="auto"/>
          <w:sz w:val="24"/>
          <w:highlight w:val="none"/>
        </w:rPr>
        <w:t>应包括的其他内容</w:t>
      </w:r>
      <w:r>
        <w:rPr>
          <w:rFonts w:eastAsia="仿宋_GB2312"/>
          <w:color w:val="auto"/>
          <w:sz w:val="24"/>
          <w:highlight w:val="none"/>
        </w:rPr>
        <w:t>：</w:t>
      </w:r>
      <w:r>
        <w:rPr>
          <w:rFonts w:hint="eastAsia" w:ascii="黑体" w:eastAsia="仿宋_GB2312"/>
          <w:b/>
          <w:color w:val="auto"/>
          <w:sz w:val="24"/>
          <w:highlight w:val="none"/>
          <w:u w:val="single"/>
        </w:rPr>
        <w:t xml:space="preserve">   /                                。</w:t>
      </w:r>
    </w:p>
    <w:p w14:paraId="793CBF0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7.1.2 施工组织设计的提交和修改</w:t>
      </w:r>
    </w:p>
    <w:p w14:paraId="2A7A39FA">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承包人提交详细施工组织设计的期限的约定：</w:t>
      </w:r>
      <w:r>
        <w:rPr>
          <w:rFonts w:hint="eastAsia" w:ascii="黑体" w:eastAsia="仿宋_GB2312"/>
          <w:b/>
          <w:color w:val="auto"/>
          <w:sz w:val="24"/>
          <w:highlight w:val="none"/>
          <w:u w:val="single"/>
        </w:rPr>
        <w:t xml:space="preserve">   /                                。</w:t>
      </w:r>
    </w:p>
    <w:p w14:paraId="2E0F0729">
      <w:pPr>
        <w:adjustRightInd/>
        <w:spacing w:line="300" w:lineRule="auto"/>
        <w:ind w:firstLine="480" w:firstLineChars="200"/>
        <w:rPr>
          <w:rFonts w:eastAsia="仿宋_GB2312"/>
          <w:color w:val="auto"/>
          <w:sz w:val="24"/>
          <w:highlight w:val="none"/>
          <w:u w:val="single"/>
        </w:rPr>
      </w:pPr>
    </w:p>
    <w:p w14:paraId="1192737C">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03" w:name="_Toc304295541"/>
      <w:bookmarkStart w:id="604" w:name="_Toc303539123"/>
      <w:bookmarkStart w:id="605" w:name="_Toc300934966"/>
      <w:bookmarkStart w:id="606" w:name="_Toc297216173"/>
      <w:bookmarkStart w:id="607" w:name="_Toc297123514"/>
      <w:bookmarkStart w:id="608" w:name="_Toc312678005"/>
      <w:bookmarkStart w:id="609" w:name="_Toc312677479"/>
      <w:r>
        <w:rPr>
          <w:rFonts w:eastAsia="黑体"/>
          <w:color w:val="auto"/>
          <w:sz w:val="24"/>
          <w:highlight w:val="none"/>
        </w:rPr>
        <w:t>.2 施工进度计划</w:t>
      </w:r>
    </w:p>
    <w:p w14:paraId="3A650961">
      <w:pPr>
        <w:adjustRightInd/>
        <w:spacing w:line="300" w:lineRule="auto"/>
        <w:ind w:firstLine="480" w:firstLineChars="200"/>
        <w:rPr>
          <w:rFonts w:eastAsia="仿宋_GB2312"/>
          <w:color w:val="auto"/>
          <w:sz w:val="24"/>
          <w:highlight w:val="none"/>
        </w:rPr>
      </w:pPr>
      <w:r>
        <w:rPr>
          <w:rFonts w:eastAsia="仿宋_GB2312"/>
          <w:color w:val="auto"/>
          <w:sz w:val="24"/>
          <w:highlight w:val="none"/>
        </w:rPr>
        <w:t>7.2.2 施工进度计划的修订</w:t>
      </w:r>
    </w:p>
    <w:p w14:paraId="5125A3F5">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发包人和监理人在收到修订的施工进度计划后确认或提出修改意见的期限：</w:t>
      </w:r>
      <w:r>
        <w:rPr>
          <w:rFonts w:hint="eastAsia" w:ascii="黑体" w:eastAsia="仿宋_GB2312"/>
          <w:b/>
          <w:color w:val="auto"/>
          <w:sz w:val="24"/>
          <w:highlight w:val="none"/>
          <w:u w:val="single"/>
        </w:rPr>
        <w:t xml:space="preserve">   /                                。</w:t>
      </w:r>
    </w:p>
    <w:p w14:paraId="2C0FC00D">
      <w:pPr>
        <w:adjustRightInd/>
        <w:spacing w:line="300" w:lineRule="auto"/>
        <w:ind w:firstLine="480" w:firstLineChars="200"/>
        <w:rPr>
          <w:rFonts w:eastAsia="黑体"/>
          <w:color w:val="auto"/>
          <w:sz w:val="24"/>
          <w:highlight w:val="none"/>
        </w:rPr>
      </w:pPr>
      <w:r>
        <w:rPr>
          <w:rFonts w:eastAsia="黑体"/>
          <w:color w:val="auto"/>
          <w:sz w:val="24"/>
          <w:highlight w:val="none"/>
        </w:rPr>
        <w:t>7.3 开工</w:t>
      </w:r>
    </w:p>
    <w:p w14:paraId="73478896">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7.3.1 开工准备</w:t>
      </w:r>
    </w:p>
    <w:p w14:paraId="1A4FE8D7">
      <w:pPr>
        <w:adjustRightInd/>
        <w:spacing w:line="300" w:lineRule="auto"/>
        <w:ind w:firstLine="645"/>
        <w:rPr>
          <w:rFonts w:eastAsia="仿宋_GB2312"/>
          <w:color w:val="auto"/>
          <w:sz w:val="24"/>
          <w:highlight w:val="none"/>
          <w:u w:val="single"/>
        </w:rPr>
      </w:pPr>
      <w:r>
        <w:rPr>
          <w:rFonts w:eastAsia="仿宋_GB2312"/>
          <w:color w:val="auto"/>
          <w:sz w:val="24"/>
          <w:highlight w:val="none"/>
        </w:rPr>
        <w:t>关于承包人提交工程开工报审表的期限：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06A44DCF">
      <w:pPr>
        <w:adjustRightInd/>
        <w:spacing w:line="300" w:lineRule="auto"/>
        <w:ind w:firstLine="645"/>
        <w:rPr>
          <w:rFonts w:eastAsia="仿宋_GB2312"/>
          <w:color w:val="auto"/>
          <w:sz w:val="24"/>
          <w:highlight w:val="none"/>
          <w:u w:val="single"/>
        </w:rPr>
      </w:pPr>
      <w:r>
        <w:rPr>
          <w:rFonts w:eastAsia="仿宋_GB2312"/>
          <w:color w:val="auto"/>
          <w:sz w:val="24"/>
          <w:highlight w:val="none"/>
        </w:rPr>
        <w:t>关于发包人应完成的其他开工准备工作及期限：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6849BF8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7045D397">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承包人进场前，需提交施工现场总平面布置图，经发包人的认可，方可进行施工现场布置。承包人进场后10天内需完成工地大门、政策标语、场地硬化、企业形象设计图牌、安全警示图牌等工作，并通过发包人的验收。企业形象设计图牌、安全警示图牌、临时用电、安全防护、临时宿舍等安全文明施工必须达到当地安全生产、文明施工标准化工地的要求。</w:t>
      </w:r>
    </w:p>
    <w:p w14:paraId="41D34C7B">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7.3.2开工通知</w:t>
      </w:r>
    </w:p>
    <w:bookmarkEnd w:id="603"/>
    <w:bookmarkEnd w:id="604"/>
    <w:bookmarkEnd w:id="605"/>
    <w:bookmarkEnd w:id="606"/>
    <w:bookmarkEnd w:id="607"/>
    <w:bookmarkEnd w:id="608"/>
    <w:bookmarkEnd w:id="609"/>
    <w:p w14:paraId="6229D1A4">
      <w:pPr>
        <w:adjustRightInd/>
        <w:spacing w:line="300" w:lineRule="auto"/>
        <w:ind w:firstLine="482" w:firstLineChars="200"/>
        <w:rPr>
          <w:rFonts w:ascii="黑体" w:eastAsia="仿宋_GB2312"/>
          <w:b/>
          <w:color w:val="auto"/>
          <w:sz w:val="24"/>
          <w:highlight w:val="none"/>
          <w:u w:val="single"/>
        </w:rPr>
      </w:pPr>
      <w:r>
        <w:rPr>
          <w:rFonts w:hint="eastAsia" w:ascii="黑体" w:eastAsia="仿宋_GB2312"/>
          <w:b/>
          <w:color w:val="auto"/>
          <w:sz w:val="24"/>
          <w:highlight w:val="none"/>
          <w:u w:val="single"/>
        </w:rPr>
        <w:t xml:space="preserve">   /                                。</w:t>
      </w:r>
    </w:p>
    <w:p w14:paraId="795C5AF0">
      <w:pPr>
        <w:adjustRightInd/>
        <w:spacing w:line="300" w:lineRule="auto"/>
        <w:ind w:firstLine="480" w:firstLineChars="200"/>
        <w:rPr>
          <w:rFonts w:eastAsia="黑体"/>
          <w:color w:val="auto"/>
          <w:sz w:val="24"/>
          <w:highlight w:val="none"/>
        </w:rPr>
      </w:pPr>
      <w:r>
        <w:rPr>
          <w:rFonts w:eastAsia="黑体"/>
          <w:color w:val="auto"/>
          <w:sz w:val="24"/>
          <w:highlight w:val="none"/>
        </w:rPr>
        <w:t>7.4 测量放线</w:t>
      </w:r>
    </w:p>
    <w:p w14:paraId="6719ABA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7.4.1发包人通过监理人向承包人提供测量基准点、基准线和水准点及其书面资料的期限：</w:t>
      </w:r>
      <w:r>
        <w:rPr>
          <w:rFonts w:hint="eastAsia" w:eastAsia="仿宋_GB2312"/>
          <w:color w:val="auto"/>
          <w:sz w:val="24"/>
          <w:highlight w:val="none"/>
          <w:u w:val="single"/>
        </w:rPr>
        <w:t>开工前3天</w:t>
      </w:r>
      <w:r>
        <w:rPr>
          <w:rFonts w:eastAsia="仿宋_GB2312"/>
          <w:color w:val="auto"/>
          <w:sz w:val="24"/>
          <w:highlight w:val="none"/>
          <w:u w:val="single"/>
        </w:rPr>
        <w:t>。</w:t>
      </w:r>
    </w:p>
    <w:p w14:paraId="5EDA6F32">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10" w:name="_Toc303539125"/>
      <w:bookmarkStart w:id="611" w:name="_Toc297216175"/>
      <w:bookmarkStart w:id="612" w:name="_Toc297123516"/>
      <w:bookmarkStart w:id="613" w:name="_Toc312677484"/>
      <w:bookmarkStart w:id="614" w:name="_Toc304295546"/>
      <w:bookmarkStart w:id="615" w:name="_Toc300934968"/>
      <w:bookmarkStart w:id="616" w:name="_Toc312678010"/>
      <w:r>
        <w:rPr>
          <w:rFonts w:eastAsia="黑体"/>
          <w:color w:val="auto"/>
          <w:sz w:val="24"/>
          <w:highlight w:val="none"/>
        </w:rPr>
        <w:t>.5 工期延误</w:t>
      </w:r>
    </w:p>
    <w:bookmarkEnd w:id="610"/>
    <w:bookmarkEnd w:id="611"/>
    <w:bookmarkEnd w:id="612"/>
    <w:bookmarkEnd w:id="613"/>
    <w:bookmarkEnd w:id="614"/>
    <w:bookmarkEnd w:id="615"/>
    <w:bookmarkEnd w:id="616"/>
    <w:p w14:paraId="7CE8A8FA">
      <w:pPr>
        <w:adjustRightInd/>
        <w:spacing w:line="300" w:lineRule="auto"/>
        <w:ind w:firstLine="480" w:firstLineChars="200"/>
        <w:rPr>
          <w:rFonts w:eastAsia="仿宋_GB2312"/>
          <w:color w:val="auto"/>
          <w:sz w:val="24"/>
          <w:highlight w:val="none"/>
        </w:rPr>
      </w:pPr>
      <w:r>
        <w:rPr>
          <w:rFonts w:eastAsia="仿宋_GB2312"/>
          <w:color w:val="auto"/>
          <w:sz w:val="24"/>
          <w:highlight w:val="none"/>
        </w:rPr>
        <w:t>7.5.1 因发包人原因导致工期延误</w:t>
      </w:r>
    </w:p>
    <w:p w14:paraId="04A77A88">
      <w:pPr>
        <w:adjustRightInd/>
        <w:spacing w:line="300" w:lineRule="auto"/>
        <w:ind w:firstLine="480" w:firstLineChars="200"/>
        <w:rPr>
          <w:rFonts w:eastAsia="仿宋_GB2312"/>
          <w:color w:val="auto"/>
          <w:sz w:val="24"/>
          <w:highlight w:val="none"/>
        </w:rPr>
      </w:pPr>
      <w:r>
        <w:rPr>
          <w:rFonts w:eastAsia="仿宋_GB2312"/>
          <w:color w:val="auto"/>
          <w:sz w:val="24"/>
          <w:highlight w:val="none"/>
        </w:rPr>
        <w:t>（7）因发包人原因导致工期延误的其他情形：</w:t>
      </w:r>
    </w:p>
    <w:p w14:paraId="281462B0">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w:t>
      </w:r>
      <w:r>
        <w:rPr>
          <w:rFonts w:hint="eastAsia" w:ascii="黑体" w:eastAsia="仿宋_GB2312"/>
          <w:b/>
          <w:color w:val="auto"/>
          <w:sz w:val="24"/>
          <w:highlight w:val="none"/>
          <w:u w:val="single"/>
        </w:rPr>
        <w:t xml:space="preserve">   /                                。</w:t>
      </w:r>
    </w:p>
    <w:p w14:paraId="311AC504">
      <w:pPr>
        <w:adjustRightInd/>
        <w:spacing w:line="300" w:lineRule="auto"/>
        <w:ind w:firstLine="422" w:firstLineChars="200"/>
        <w:rPr>
          <w:rFonts w:ascii="宋体" w:hAnsi="宋体"/>
          <w:color w:val="auto"/>
          <w:highlight w:val="none"/>
          <w:u w:val="single"/>
        </w:rPr>
      </w:pPr>
      <w:r>
        <w:rPr>
          <w:rFonts w:hint="eastAsia" w:ascii="仿宋_GB2312" w:eastAsia="仿宋_GB2312"/>
          <w:b/>
          <w:color w:val="auto"/>
          <w:highlight w:val="none"/>
          <w:u w:val="single"/>
        </w:rPr>
        <w:t>②其他：</w:t>
      </w:r>
      <w:r>
        <w:rPr>
          <w:rFonts w:hint="eastAsia" w:ascii="黑体" w:eastAsia="仿宋_GB2312"/>
          <w:b/>
          <w:color w:val="auto"/>
          <w:sz w:val="24"/>
          <w:highlight w:val="none"/>
          <w:u w:val="single"/>
        </w:rPr>
        <w:t xml:space="preserve">   /                                。</w:t>
      </w:r>
    </w:p>
    <w:p w14:paraId="6B050471">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bookmarkStart w:id="617" w:name="_Toc312677486"/>
      <w:bookmarkStart w:id="618" w:name="_Toc318581169"/>
      <w:bookmarkStart w:id="619" w:name="_Toc312678012"/>
      <w:bookmarkStart w:id="620" w:name="_Toc297123518"/>
      <w:bookmarkStart w:id="621" w:name="_Toc300934970"/>
      <w:bookmarkStart w:id="622" w:name="_Toc297216177"/>
      <w:bookmarkStart w:id="623" w:name="_Toc303539127"/>
      <w:bookmarkStart w:id="624" w:name="_Toc304295548"/>
      <w:r>
        <w:rPr>
          <w:rFonts w:eastAsia="仿宋_GB2312"/>
          <w:color w:val="auto"/>
          <w:sz w:val="24"/>
          <w:highlight w:val="none"/>
        </w:rPr>
        <w:t>.5.2 因承包人原因导致工期延误</w:t>
      </w:r>
    </w:p>
    <w:bookmarkEnd w:id="617"/>
    <w:bookmarkEnd w:id="618"/>
    <w:bookmarkEnd w:id="619"/>
    <w:p w14:paraId="3A8842A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因</w:t>
      </w:r>
      <w:bookmarkStart w:id="625" w:name="_Toc312677487"/>
      <w:bookmarkStart w:id="626" w:name="_Toc312678013"/>
      <w:bookmarkStart w:id="627" w:name="_Toc318581170"/>
      <w:r>
        <w:rPr>
          <w:rFonts w:eastAsia="仿宋_GB2312"/>
          <w:color w:val="auto"/>
          <w:sz w:val="24"/>
          <w:highlight w:val="none"/>
        </w:rPr>
        <w:t>承包人原因造成工期延误，逾期竣工违约金的计算方法为：</w:t>
      </w:r>
    </w:p>
    <w:p w14:paraId="18721E8B">
      <w:pPr>
        <w:adjustRightInd/>
        <w:spacing w:line="300" w:lineRule="auto"/>
        <w:rPr>
          <w:rFonts w:eastAsia="仿宋_GB2312"/>
          <w:color w:val="auto"/>
          <w:sz w:val="24"/>
          <w:highlight w:val="none"/>
        </w:rPr>
      </w:pPr>
      <w:r>
        <w:rPr>
          <w:rFonts w:hint="eastAsia" w:eastAsia="仿宋_GB2312"/>
          <w:color w:val="auto"/>
          <w:sz w:val="24"/>
          <w:highlight w:val="none"/>
          <w:u w:val="single"/>
        </w:rPr>
        <w:t>每延误一天，按工程合同总价的千分之一支付违约金，精确到个位数</w:t>
      </w:r>
      <w:r>
        <w:rPr>
          <w:rFonts w:eastAsia="仿宋_GB2312"/>
          <w:color w:val="auto"/>
          <w:sz w:val="24"/>
          <w:highlight w:val="none"/>
        </w:rPr>
        <w:t>。</w:t>
      </w:r>
      <w:bookmarkEnd w:id="620"/>
      <w:bookmarkEnd w:id="621"/>
      <w:bookmarkEnd w:id="622"/>
      <w:bookmarkEnd w:id="623"/>
      <w:bookmarkEnd w:id="624"/>
      <w:bookmarkEnd w:id="625"/>
      <w:bookmarkEnd w:id="626"/>
    </w:p>
    <w:bookmarkEnd w:id="627"/>
    <w:p w14:paraId="6D0A8978">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28" w:name="_Toc304295549"/>
      <w:bookmarkStart w:id="629" w:name="_Toc312678015"/>
      <w:bookmarkStart w:id="630" w:name="_Toc303539128"/>
      <w:bookmarkStart w:id="631" w:name="_Toc297123519"/>
      <w:bookmarkStart w:id="632" w:name="_Toc300934971"/>
      <w:bookmarkStart w:id="633" w:name="_Toc297216178"/>
      <w:r>
        <w:rPr>
          <w:rFonts w:eastAsia="黑体"/>
          <w:color w:val="auto"/>
          <w:sz w:val="24"/>
          <w:highlight w:val="none"/>
        </w:rPr>
        <w:t>.6 不</w:t>
      </w:r>
      <w:bookmarkEnd w:id="628"/>
      <w:bookmarkEnd w:id="629"/>
      <w:bookmarkEnd w:id="630"/>
      <w:bookmarkEnd w:id="631"/>
      <w:bookmarkEnd w:id="632"/>
      <w:bookmarkEnd w:id="633"/>
      <w:r>
        <w:rPr>
          <w:rFonts w:eastAsia="黑体"/>
          <w:color w:val="auto"/>
          <w:sz w:val="24"/>
          <w:highlight w:val="none"/>
        </w:rPr>
        <w:t>利物质条件</w:t>
      </w:r>
    </w:p>
    <w:p w14:paraId="4848ABAB">
      <w:pPr>
        <w:adjustRightInd/>
        <w:spacing w:line="300" w:lineRule="auto"/>
        <w:ind w:firstLine="475" w:firstLineChars="198"/>
        <w:rPr>
          <w:rFonts w:eastAsia="仿宋_GB2312"/>
          <w:color w:val="auto"/>
          <w:sz w:val="24"/>
          <w:highlight w:val="none"/>
          <w:u w:val="single"/>
        </w:rPr>
      </w:pPr>
      <w:bookmarkStart w:id="634" w:name="_Toc303539129"/>
      <w:bookmarkStart w:id="635" w:name="_Toc312678016"/>
      <w:bookmarkStart w:id="636" w:name="_Toc318581172"/>
      <w:bookmarkStart w:id="637" w:name="_Toc300934972"/>
      <w:bookmarkStart w:id="638" w:name="_Toc297123520"/>
      <w:bookmarkStart w:id="639" w:name="_Toc304295550"/>
      <w:bookmarkStart w:id="640" w:name="_Toc297216179"/>
      <w:r>
        <w:rPr>
          <w:rFonts w:eastAsia="仿宋_GB2312"/>
          <w:color w:val="auto"/>
          <w:sz w:val="24"/>
          <w:highlight w:val="none"/>
          <w:u w:val="single"/>
        </w:rPr>
        <w:t>不利物质条件的其他情形和有关约定：</w:t>
      </w:r>
    </w:p>
    <w:p w14:paraId="26EE8854">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（1）施工场地周围地下管线；</w:t>
      </w:r>
    </w:p>
    <w:p w14:paraId="27F0C3C0">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（2）地下障碍物和污染物；</w:t>
      </w:r>
    </w:p>
    <w:p w14:paraId="5A92704B">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（3）邻近建筑物、构筑物的保护要求；</w:t>
      </w:r>
    </w:p>
    <w:p w14:paraId="3EEADB64">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（4）其他：</w:t>
      </w:r>
      <w:r>
        <w:rPr>
          <w:rFonts w:hint="eastAsia" w:ascii="仿宋_GB2312" w:hAnsi="黑体" w:eastAsia="仿宋_GB2312"/>
          <w:color w:val="auto"/>
          <w:sz w:val="24"/>
          <w:highlight w:val="none"/>
          <w:u w:val="single"/>
        </w:rPr>
        <w:t>①施工时现场实际交接标高之(4米)内地下障碍物清理、外运及回填、换填等费用一次性包干，包含在投标总价内；土方开挖时的障碍物开挖、清理、外运等费用已包含在土方综合单价中，请投标人综合考虑，一次性包干，结算时不调整；②投标时按招标文件自行考虑；③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扣罚1000元/天工期履约保证金。其他按招标文件相关条款执行。</w:t>
      </w:r>
    </w:p>
    <w:bookmarkEnd w:id="634"/>
    <w:bookmarkEnd w:id="635"/>
    <w:bookmarkEnd w:id="636"/>
    <w:bookmarkEnd w:id="637"/>
    <w:bookmarkEnd w:id="638"/>
    <w:bookmarkEnd w:id="639"/>
    <w:bookmarkEnd w:id="640"/>
    <w:p w14:paraId="52EF659E">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41" w:name="_Toc300934973"/>
      <w:bookmarkStart w:id="642" w:name="_Toc304295551"/>
      <w:bookmarkStart w:id="643" w:name="_Toc303539130"/>
      <w:bookmarkStart w:id="644" w:name="_Toc297123521"/>
      <w:bookmarkStart w:id="645" w:name="_Toc312678017"/>
      <w:bookmarkStart w:id="646" w:name="_Toc297216180"/>
      <w:r>
        <w:rPr>
          <w:rFonts w:eastAsia="黑体"/>
          <w:color w:val="auto"/>
          <w:sz w:val="24"/>
          <w:highlight w:val="none"/>
        </w:rPr>
        <w:t>.7异常恶劣的气候条件</w:t>
      </w:r>
    </w:p>
    <w:bookmarkEnd w:id="641"/>
    <w:bookmarkEnd w:id="642"/>
    <w:bookmarkEnd w:id="643"/>
    <w:bookmarkEnd w:id="644"/>
    <w:bookmarkEnd w:id="645"/>
    <w:bookmarkEnd w:id="646"/>
    <w:p w14:paraId="451A3384">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发包人和承包人同意以下情形视为异常恶劣的气候条件：</w:t>
      </w:r>
      <w:r>
        <w:rPr>
          <w:rFonts w:hint="eastAsia" w:eastAsia="仿宋_GB2312"/>
          <w:color w:val="auto"/>
          <w:highlight w:val="none"/>
          <w:u w:val="single"/>
        </w:rPr>
        <w:t>异常恶劣的气候条件以当地气象部门或相关权威部门发布信息为准，杭州地区一般有以下情形：</w:t>
      </w:r>
    </w:p>
    <w:p w14:paraId="193735FB">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（1）日最高气温达到40度及以上的天气；</w:t>
      </w:r>
    </w:p>
    <w:p w14:paraId="761EAEA7">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（2）启动台风橙色及以上预警的天气；</w:t>
      </w:r>
    </w:p>
    <w:p w14:paraId="121F4005">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（3）启动防汛预案一级响应的天气；</w:t>
      </w:r>
    </w:p>
    <w:p w14:paraId="53E7C353">
      <w:pPr>
        <w:adjustRightInd/>
        <w:spacing w:line="300" w:lineRule="auto"/>
        <w:ind w:firstLine="480" w:firstLineChars="200"/>
        <w:rPr>
          <w:rFonts w:ascii="仿宋_GB2312" w:hAnsi="黑体" w:eastAsia="仿宋_GB2312"/>
          <w:color w:val="auto"/>
          <w:sz w:val="24"/>
          <w:highlight w:val="none"/>
        </w:rPr>
      </w:pPr>
      <w:r>
        <w:rPr>
          <w:rFonts w:hint="eastAsia" w:ascii="仿宋_GB2312" w:hAnsi="黑体" w:eastAsia="仿宋_GB2312"/>
          <w:color w:val="auto"/>
          <w:sz w:val="24"/>
          <w:highlight w:val="none"/>
          <w:u w:val="single"/>
        </w:rPr>
        <w:t>（4）启动防冻预案一级响应的天气。</w:t>
      </w:r>
    </w:p>
    <w:p w14:paraId="7D3D3A3D">
      <w:pPr>
        <w:adjustRightInd/>
        <w:spacing w:line="300" w:lineRule="auto"/>
        <w:ind w:firstLine="480" w:firstLineChars="200"/>
        <w:rPr>
          <w:rFonts w:eastAsia="仿宋_GB2312"/>
          <w:color w:val="auto"/>
          <w:sz w:val="24"/>
          <w:highlight w:val="none"/>
        </w:rPr>
      </w:pPr>
      <w:r>
        <w:rPr>
          <w:rFonts w:eastAsia="黑体"/>
          <w:color w:val="auto"/>
          <w:sz w:val="24"/>
          <w:highlight w:val="none"/>
        </w:rPr>
        <w:t>7.9 提前竣工的奖励</w:t>
      </w:r>
    </w:p>
    <w:p w14:paraId="30F0365D">
      <w:pPr>
        <w:adjustRightInd/>
        <w:spacing w:line="300" w:lineRule="auto"/>
        <w:ind w:firstLine="480" w:firstLineChars="200"/>
        <w:rPr>
          <w:rFonts w:eastAsia="仿宋_GB2312"/>
          <w:color w:val="auto"/>
          <w:sz w:val="24"/>
          <w:highlight w:val="none"/>
        </w:rPr>
      </w:pPr>
      <w:r>
        <w:rPr>
          <w:rFonts w:eastAsia="仿宋_GB2312"/>
          <w:color w:val="auto"/>
          <w:sz w:val="24"/>
          <w:highlight w:val="none"/>
        </w:rPr>
        <w:t>7.9.2提前竣工的奖励：</w:t>
      </w:r>
      <w:r>
        <w:rPr>
          <w:rFonts w:hint="eastAsia" w:eastAsia="仿宋_GB2312"/>
          <w:color w:val="auto"/>
          <w:sz w:val="24"/>
          <w:highlight w:val="none"/>
          <w:u w:val="single"/>
        </w:rPr>
        <w:t>无奖励</w:t>
      </w:r>
      <w:r>
        <w:rPr>
          <w:rFonts w:eastAsia="仿宋_GB2312"/>
          <w:color w:val="auto"/>
          <w:sz w:val="24"/>
          <w:highlight w:val="none"/>
        </w:rPr>
        <w:t>。</w:t>
      </w:r>
    </w:p>
    <w:p w14:paraId="0A625F89">
      <w:pPr>
        <w:pStyle w:val="8"/>
        <w:spacing w:before="0" w:after="0" w:line="300" w:lineRule="auto"/>
        <w:ind w:firstLine="470" w:firstLineChars="196"/>
        <w:rPr>
          <w:rFonts w:ascii="Times New Roman" w:hAnsi="Times New Roman"/>
          <w:b w:val="0"/>
          <w:color w:val="auto"/>
          <w:sz w:val="24"/>
          <w:szCs w:val="24"/>
          <w:highlight w:val="none"/>
        </w:rPr>
      </w:pPr>
      <w:bookmarkStart w:id="647" w:name="_Toc351203640"/>
      <w:r>
        <w:rPr>
          <w:rFonts w:ascii="Times New Roman" w:hAnsi="Times New Roman"/>
          <w:b w:val="0"/>
          <w:color w:val="auto"/>
          <w:sz w:val="24"/>
          <w:szCs w:val="24"/>
          <w:highlight w:val="none"/>
        </w:rPr>
        <w:t>8. 材料与设备</w:t>
      </w:r>
      <w:bookmarkEnd w:id="647"/>
    </w:p>
    <w:bookmarkEnd w:id="584"/>
    <w:bookmarkEnd w:id="585"/>
    <w:bookmarkEnd w:id="586"/>
    <w:bookmarkEnd w:id="587"/>
    <w:bookmarkEnd w:id="588"/>
    <w:bookmarkEnd w:id="589"/>
    <w:bookmarkEnd w:id="590"/>
    <w:bookmarkEnd w:id="591"/>
    <w:bookmarkEnd w:id="592"/>
    <w:bookmarkEnd w:id="593"/>
    <w:p w14:paraId="7AF7C4C3">
      <w:pPr>
        <w:adjustRightInd/>
        <w:spacing w:line="300" w:lineRule="auto"/>
        <w:ind w:firstLine="480" w:firstLineChars="200"/>
        <w:rPr>
          <w:rFonts w:eastAsia="黑体"/>
          <w:color w:val="auto"/>
          <w:sz w:val="24"/>
          <w:highlight w:val="none"/>
        </w:rPr>
      </w:pPr>
      <w:r>
        <w:rPr>
          <w:rFonts w:eastAsia="黑体"/>
          <w:color w:val="auto"/>
          <w:sz w:val="24"/>
          <w:highlight w:val="none"/>
        </w:rPr>
        <w:t>8</w:t>
      </w:r>
      <w:bookmarkStart w:id="648" w:name="_Toc292559372"/>
      <w:bookmarkStart w:id="649" w:name="_Toc303539136"/>
      <w:bookmarkStart w:id="650" w:name="_Toc297123527"/>
      <w:bookmarkStart w:id="651" w:name="_Toc297048353"/>
      <w:bookmarkStart w:id="652" w:name="_Toc296944506"/>
      <w:bookmarkStart w:id="653" w:name="_Toc296346668"/>
      <w:bookmarkStart w:id="654" w:name="_Toc297120467"/>
      <w:bookmarkStart w:id="655" w:name="_Toc304295556"/>
      <w:bookmarkStart w:id="656" w:name="_Toc297216186"/>
      <w:bookmarkStart w:id="657" w:name="_Toc312677493"/>
      <w:bookmarkStart w:id="658" w:name="_Toc292559877"/>
      <w:bookmarkStart w:id="659" w:name="_Toc300934979"/>
      <w:bookmarkStart w:id="660" w:name="_Toc296891207"/>
      <w:bookmarkStart w:id="661" w:name="_Toc296503167"/>
      <w:bookmarkStart w:id="662" w:name="_Toc296347166"/>
      <w:bookmarkStart w:id="663" w:name="_Toc280868654"/>
      <w:bookmarkStart w:id="664" w:name="_Toc296890995"/>
      <w:bookmarkStart w:id="665" w:name="_Toc312678019"/>
      <w:bookmarkStart w:id="666" w:name="_Toc280868656"/>
      <w:bookmarkStart w:id="667" w:name="_Toc280868655"/>
      <w:bookmarkStart w:id="668" w:name="_Toc267251424"/>
      <w:r>
        <w:rPr>
          <w:rFonts w:eastAsia="黑体"/>
          <w:color w:val="auto"/>
          <w:sz w:val="24"/>
          <w:highlight w:val="none"/>
        </w:rPr>
        <w:t>.4材料与工程设备的保管与使用</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0E445D50">
      <w:pPr>
        <w:adjustRightInd/>
        <w:spacing w:line="300" w:lineRule="auto"/>
        <w:ind w:firstLine="482"/>
        <w:rPr>
          <w:rFonts w:eastAsia="仿宋_GB2312"/>
          <w:color w:val="auto"/>
          <w:sz w:val="24"/>
          <w:highlight w:val="none"/>
          <w:u w:val="single"/>
        </w:rPr>
      </w:pPr>
      <w:r>
        <w:rPr>
          <w:rFonts w:eastAsia="仿宋_GB2312"/>
          <w:color w:val="auto"/>
          <w:sz w:val="24"/>
          <w:highlight w:val="none"/>
        </w:rPr>
        <w:t>8</w:t>
      </w:r>
      <w:bookmarkStart w:id="669" w:name="_Toc292559878"/>
      <w:bookmarkStart w:id="670" w:name="_Toc292559373"/>
      <w:bookmarkStart w:id="671" w:name="_Toc297123528"/>
      <w:bookmarkStart w:id="672" w:name="_Toc318581173"/>
      <w:bookmarkStart w:id="673" w:name="_Toc297048354"/>
      <w:bookmarkStart w:id="674" w:name="_Toc312678020"/>
      <w:bookmarkStart w:id="675" w:name="_Toc303539137"/>
      <w:bookmarkStart w:id="676" w:name="_Toc304295557"/>
      <w:bookmarkStart w:id="677" w:name="_Toc297120468"/>
      <w:bookmarkStart w:id="678" w:name="_Toc296347167"/>
      <w:bookmarkStart w:id="679" w:name="_Toc296503168"/>
      <w:bookmarkStart w:id="680" w:name="_Toc296346669"/>
      <w:bookmarkStart w:id="681" w:name="_Toc300934980"/>
      <w:bookmarkStart w:id="682" w:name="_Toc297216187"/>
      <w:bookmarkStart w:id="683" w:name="_Toc296890996"/>
      <w:bookmarkStart w:id="684" w:name="_Toc296944507"/>
      <w:bookmarkStart w:id="685" w:name="_Toc296891208"/>
      <w:bookmarkStart w:id="686" w:name="_Toc312677494"/>
      <w:r>
        <w:rPr>
          <w:rFonts w:eastAsia="仿宋_GB2312"/>
          <w:color w:val="auto"/>
          <w:sz w:val="24"/>
          <w:highlight w:val="none"/>
        </w:rPr>
        <w:t>.4.1发包人供应的材料设备的保管费用的承担：</w:t>
      </w:r>
      <w:bookmarkEnd w:id="669"/>
      <w:bookmarkEnd w:id="670"/>
    </w:p>
    <w:p w14:paraId="6FBC6BE6">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(1)承包人采购的材料、设备到货后，必须附产品合格证等。</w:t>
      </w:r>
    </w:p>
    <w:p w14:paraId="2A844C58">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w:t>
      </w:r>
      <w:r>
        <w:rPr>
          <w:rFonts w:eastAsia="仿宋_GB2312"/>
          <w:color w:val="auto"/>
          <w:sz w:val="24"/>
          <w:highlight w:val="none"/>
          <w:u w:val="single"/>
        </w:rPr>
        <w:t>2)承包人采购的材料必须严格按照</w:t>
      </w:r>
      <w:r>
        <w:rPr>
          <w:rFonts w:hint="eastAsia" w:eastAsia="仿宋_GB2312"/>
          <w:color w:val="auto"/>
          <w:sz w:val="24"/>
          <w:highlight w:val="none"/>
          <w:u w:val="single"/>
        </w:rPr>
        <w:t>经发包人审核</w:t>
      </w:r>
      <w:r>
        <w:rPr>
          <w:rFonts w:eastAsia="仿宋_GB2312"/>
          <w:color w:val="auto"/>
          <w:sz w:val="24"/>
          <w:highlight w:val="none"/>
          <w:u w:val="single"/>
        </w:rPr>
        <w:t>的品牌、品种、规格、质量等级等要求进行采购，所有材料采购前均需书面报送监理及发包人审核，若采购材料的质量、品牌等不符合招标文件、投标文件规定的，必须无条件更换并承担相关费用，工期不予顺延。材料必须经监理和发包</w:t>
      </w:r>
      <w:r>
        <w:rPr>
          <w:rFonts w:hint="eastAsia" w:eastAsia="仿宋_GB2312"/>
          <w:color w:val="auto"/>
          <w:sz w:val="24"/>
          <w:highlight w:val="none"/>
          <w:u w:val="single"/>
        </w:rPr>
        <w:t>人</w:t>
      </w:r>
      <w:r>
        <w:rPr>
          <w:rFonts w:eastAsia="仿宋_GB2312"/>
          <w:color w:val="auto"/>
          <w:sz w:val="24"/>
          <w:highlight w:val="none"/>
          <w:u w:val="single"/>
        </w:rPr>
        <w:t xml:space="preserve">代表验收后方能用于本工程，且必须符合施工图纸设计要求及国家有关标准。当承包人选定的材料质量达不到预期质量目标要求时，发包人保留更换的权利。 </w:t>
      </w:r>
    </w:p>
    <w:p w14:paraId="30719420">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w:t>
      </w:r>
      <w:r>
        <w:rPr>
          <w:rFonts w:eastAsia="仿宋_GB2312"/>
          <w:color w:val="auto"/>
          <w:sz w:val="24"/>
          <w:highlight w:val="none"/>
          <w:u w:val="single"/>
        </w:rPr>
        <w:t>)若使用劣质材料施工，一经发现，发包人或监理有权制止使用，甚至停工、返工或中止合同。无论发包人及监理是否发现和制止，由于使用不符合本工程质量要求或劣质材料施工后所引起的一切责任均由承包人自负</w:t>
      </w:r>
      <w:r>
        <w:rPr>
          <w:rFonts w:hint="eastAsia" w:eastAsia="仿宋_GB2312"/>
          <w:color w:val="auto"/>
          <w:sz w:val="24"/>
          <w:highlight w:val="none"/>
          <w:u w:val="single"/>
        </w:rPr>
        <w:t>。</w:t>
      </w:r>
    </w:p>
    <w:p w14:paraId="104C6665">
      <w:pPr>
        <w:pStyle w:val="45"/>
        <w:tabs>
          <w:tab w:val="right" w:leader="dot" w:pos="8296"/>
        </w:tabs>
        <w:ind w:firstLine="480" w:firstLineChars="200"/>
        <w:rPr>
          <w:rFonts w:eastAsia="仿宋_GB2312"/>
          <w:color w:val="auto"/>
          <w:sz w:val="24"/>
          <w:highlight w:val="none"/>
          <w:u w:val="single"/>
        </w:rPr>
      </w:pPr>
      <w:r>
        <w:rPr>
          <w:rFonts w:eastAsia="仿宋_GB2312"/>
          <w:color w:val="auto"/>
          <w:sz w:val="24"/>
          <w:highlight w:val="none"/>
          <w:u w:val="single"/>
        </w:rPr>
        <w:t>(8)电梯、空调、厨房设备、机械车位等设备在质保期内由施工单位负责按要求维保，维保时间间隔根据相关规定执行，并承担相关费用。</w:t>
      </w:r>
    </w:p>
    <w:p w14:paraId="5E00F134">
      <w:pPr>
        <w:adjustRightInd/>
        <w:spacing w:line="300" w:lineRule="auto"/>
        <w:ind w:firstLine="480" w:firstLineChars="200"/>
        <w:rPr>
          <w:rFonts w:eastAsia="黑体"/>
          <w:color w:val="auto"/>
          <w:sz w:val="24"/>
          <w:highlight w:val="none"/>
        </w:rPr>
      </w:pPr>
      <w:r>
        <w:rPr>
          <w:rFonts w:eastAsia="黑体"/>
          <w:color w:val="auto"/>
          <w:sz w:val="24"/>
          <w:highlight w:val="none"/>
        </w:rPr>
        <w:t>8.6 样品</w:t>
      </w:r>
    </w:p>
    <w:p w14:paraId="653240CA">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8.6.1</w:t>
      </w:r>
      <w:r>
        <w:rPr>
          <w:rFonts w:eastAsia="仿宋_GB2312"/>
          <w:color w:val="auto"/>
          <w:sz w:val="24"/>
          <w:highlight w:val="none"/>
        </w:rPr>
        <w:tab/>
      </w:r>
      <w:r>
        <w:rPr>
          <w:rFonts w:eastAsia="仿宋_GB2312"/>
          <w:color w:val="auto"/>
          <w:sz w:val="24"/>
          <w:highlight w:val="none"/>
        </w:rPr>
        <w:t>样品的报送</w:t>
      </w:r>
      <w:r>
        <w:rPr>
          <w:rFonts w:hint="eastAsia" w:eastAsia="仿宋_GB2312"/>
          <w:color w:val="auto"/>
          <w:sz w:val="24"/>
          <w:highlight w:val="none"/>
        </w:rPr>
        <w:t>与封存</w:t>
      </w:r>
    </w:p>
    <w:p w14:paraId="53EC6A9C">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需要承包人报送样品的材料或工程设备，样品的种类、名称、规格、数量要求：</w:t>
      </w:r>
      <w:r>
        <w:rPr>
          <w:rFonts w:hint="eastAsia" w:eastAsia="仿宋_GB2312"/>
          <w:color w:val="auto"/>
          <w:sz w:val="24"/>
          <w:highlight w:val="none"/>
          <w:u w:val="single"/>
        </w:rPr>
        <w:t>按相关规范及发包人、监理人及设计有关要求，经发包人确认并封存的样品一并作为工程验收的标准</w:t>
      </w:r>
      <w:r>
        <w:rPr>
          <w:rFonts w:eastAsia="仿宋_GB2312"/>
          <w:color w:val="auto"/>
          <w:sz w:val="24"/>
          <w:highlight w:val="none"/>
          <w:u w:val="single"/>
        </w:rPr>
        <w:t>。</w:t>
      </w:r>
    </w:p>
    <w:p w14:paraId="2FC2CBB9">
      <w:pPr>
        <w:adjustRightInd/>
        <w:spacing w:line="300" w:lineRule="auto"/>
        <w:ind w:firstLine="480" w:firstLineChars="200"/>
        <w:rPr>
          <w:rFonts w:eastAsia="黑体"/>
          <w:color w:val="auto"/>
          <w:sz w:val="24"/>
          <w:highlight w:val="none"/>
        </w:rPr>
      </w:pPr>
      <w:r>
        <w:rPr>
          <w:rFonts w:eastAsia="黑体"/>
          <w:color w:val="auto"/>
          <w:sz w:val="24"/>
          <w:highlight w:val="none"/>
        </w:rPr>
        <w:t>8.8 施工设备和临时设施</w:t>
      </w:r>
    </w:p>
    <w:p w14:paraId="5F0E450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8.8.1 承包人提供的施工设备和临时设施</w:t>
      </w:r>
    </w:p>
    <w:p w14:paraId="417A3E89">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关于修建临时设施费用承担的约定：</w:t>
      </w:r>
      <w:r>
        <w:rPr>
          <w:rFonts w:hint="eastAsia" w:eastAsia="仿宋_GB2312"/>
          <w:color w:val="auto"/>
          <w:sz w:val="24"/>
          <w:highlight w:val="none"/>
          <w:u w:val="single"/>
        </w:rPr>
        <w:t>与本工程有关的临时设施及场地由承包人自行承担（含租地、二次搬迁、临时污水并网、临时水电接驳、临时场地拆除清理等全部费用），费用已包含在投标报价中，发包人不再另行支付，在结算时不予调整。</w:t>
      </w: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09BDDB53">
      <w:pPr>
        <w:pStyle w:val="8"/>
        <w:spacing w:before="0" w:after="0" w:line="300" w:lineRule="auto"/>
        <w:ind w:firstLine="480" w:firstLineChars="200"/>
        <w:rPr>
          <w:rFonts w:ascii="Times New Roman" w:hAnsi="Times New Roman"/>
          <w:b w:val="0"/>
          <w:color w:val="auto"/>
          <w:sz w:val="24"/>
          <w:szCs w:val="24"/>
          <w:highlight w:val="none"/>
        </w:rPr>
      </w:pPr>
      <w:bookmarkStart w:id="687" w:name="_Toc351203641"/>
      <w:r>
        <w:rPr>
          <w:rFonts w:ascii="Times New Roman" w:hAnsi="Times New Roman"/>
          <w:b w:val="0"/>
          <w:color w:val="auto"/>
          <w:sz w:val="24"/>
          <w:szCs w:val="24"/>
          <w:highlight w:val="none"/>
        </w:rPr>
        <w:t>9</w:t>
      </w:r>
      <w:bookmarkEnd w:id="666"/>
      <w:bookmarkEnd w:id="667"/>
      <w:bookmarkEnd w:id="668"/>
      <w:bookmarkStart w:id="688" w:name="_Toc312677495"/>
      <w:bookmarkStart w:id="689" w:name="_Toc297216192"/>
      <w:bookmarkStart w:id="690" w:name="_Toc304295559"/>
      <w:bookmarkStart w:id="691" w:name="_Toc312678021"/>
      <w:bookmarkStart w:id="692" w:name="_Toc303539139"/>
      <w:bookmarkStart w:id="693" w:name="_Toc297123533"/>
      <w:bookmarkStart w:id="694" w:name="_Toc300934982"/>
      <w:bookmarkStart w:id="695" w:name="_Toc292559883"/>
      <w:bookmarkStart w:id="696" w:name="_Toc296346674"/>
      <w:bookmarkStart w:id="697" w:name="_Toc292559378"/>
      <w:bookmarkStart w:id="698" w:name="_Toc296891213"/>
      <w:bookmarkStart w:id="699" w:name="_Toc267251427"/>
      <w:bookmarkStart w:id="700" w:name="_Toc297048359"/>
      <w:bookmarkStart w:id="701" w:name="_Toc296347172"/>
      <w:bookmarkStart w:id="702" w:name="_Toc296944512"/>
      <w:bookmarkStart w:id="703" w:name="_Toc297120473"/>
      <w:bookmarkStart w:id="704" w:name="_Toc296503173"/>
      <w:bookmarkStart w:id="705" w:name="_Toc296891001"/>
      <w:bookmarkStart w:id="706" w:name="_Toc267251428"/>
      <w:r>
        <w:rPr>
          <w:rFonts w:ascii="Times New Roman" w:hAnsi="Times New Roman"/>
          <w:b w:val="0"/>
          <w:color w:val="auto"/>
          <w:sz w:val="24"/>
          <w:szCs w:val="24"/>
          <w:highlight w:val="none"/>
        </w:rPr>
        <w:t>. 试验与检验</w:t>
      </w:r>
      <w:bookmarkEnd w:id="687"/>
    </w:p>
    <w:bookmarkEnd w:id="688"/>
    <w:bookmarkEnd w:id="689"/>
    <w:bookmarkEnd w:id="690"/>
    <w:bookmarkEnd w:id="691"/>
    <w:bookmarkEnd w:id="692"/>
    <w:bookmarkEnd w:id="693"/>
    <w:bookmarkEnd w:id="694"/>
    <w:p w14:paraId="5393B28D">
      <w:pPr>
        <w:adjustRightInd/>
        <w:spacing w:line="300" w:lineRule="auto"/>
        <w:ind w:firstLine="480" w:firstLineChars="200"/>
        <w:rPr>
          <w:rFonts w:eastAsia="黑体"/>
          <w:color w:val="auto"/>
          <w:sz w:val="24"/>
          <w:highlight w:val="none"/>
        </w:rPr>
      </w:pPr>
      <w:r>
        <w:rPr>
          <w:rFonts w:eastAsia="黑体"/>
          <w:color w:val="auto"/>
          <w:sz w:val="24"/>
          <w:highlight w:val="none"/>
        </w:rPr>
        <w:t>9</w:t>
      </w:r>
      <w:bookmarkStart w:id="707" w:name="_Toc312678022"/>
      <w:bookmarkStart w:id="708" w:name="_Toc297123534"/>
      <w:bookmarkStart w:id="709" w:name="_Toc297216193"/>
      <w:bookmarkStart w:id="710" w:name="_Toc300934983"/>
      <w:bookmarkStart w:id="711" w:name="_Toc303539140"/>
      <w:bookmarkStart w:id="712" w:name="_Toc312677496"/>
      <w:bookmarkStart w:id="713" w:name="_Toc304295560"/>
      <w:r>
        <w:rPr>
          <w:rFonts w:eastAsia="黑体"/>
          <w:color w:val="auto"/>
          <w:sz w:val="24"/>
          <w:highlight w:val="none"/>
        </w:rPr>
        <w:t>.1试验设备与试验人员</w:t>
      </w:r>
    </w:p>
    <w:bookmarkEnd w:id="707"/>
    <w:bookmarkEnd w:id="708"/>
    <w:bookmarkEnd w:id="709"/>
    <w:bookmarkEnd w:id="710"/>
    <w:bookmarkEnd w:id="711"/>
    <w:bookmarkEnd w:id="712"/>
    <w:bookmarkEnd w:id="713"/>
    <w:p w14:paraId="6435BC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9</w:t>
      </w:r>
      <w:bookmarkStart w:id="714" w:name="_Toc304295561"/>
      <w:bookmarkStart w:id="715" w:name="_Toc297123535"/>
      <w:bookmarkStart w:id="716" w:name="_Toc297216194"/>
      <w:bookmarkStart w:id="717" w:name="_Toc300934984"/>
      <w:bookmarkStart w:id="718" w:name="_Toc303539141"/>
      <w:bookmarkStart w:id="719" w:name="_Toc312678023"/>
      <w:bookmarkStart w:id="720" w:name="_Toc312677497"/>
      <w:bookmarkStart w:id="721" w:name="_Toc318581174"/>
      <w:r>
        <w:rPr>
          <w:rFonts w:eastAsia="仿宋_GB2312"/>
          <w:color w:val="auto"/>
          <w:sz w:val="24"/>
          <w:highlight w:val="none"/>
        </w:rPr>
        <w:t>.1.2 试验设备</w:t>
      </w:r>
    </w:p>
    <w:p w14:paraId="7C85406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施工现场需要配置的试验场所：</w:t>
      </w:r>
      <w:bookmarkEnd w:id="714"/>
      <w:bookmarkEnd w:id="715"/>
      <w:bookmarkEnd w:id="716"/>
      <w:bookmarkEnd w:id="717"/>
      <w:bookmarkEnd w:id="718"/>
      <w:bookmarkEnd w:id="719"/>
      <w:bookmarkEnd w:id="720"/>
      <w:bookmarkStart w:id="722" w:name="_Toc312677498"/>
      <w:bookmarkStart w:id="723" w:name="_Toc297123536"/>
      <w:bookmarkStart w:id="724" w:name="_Toc303539142"/>
      <w:bookmarkStart w:id="725" w:name="_Toc297216195"/>
      <w:bookmarkStart w:id="726" w:name="_Toc300934985"/>
      <w:bookmarkStart w:id="727" w:name="_Toc304295562"/>
      <w:bookmarkStart w:id="728" w:name="_Toc312678024"/>
      <w:r>
        <w:rPr>
          <w:rFonts w:hint="eastAsia" w:eastAsia="仿宋_GB2312"/>
          <w:color w:val="auto"/>
          <w:sz w:val="24"/>
          <w:highlight w:val="none"/>
          <w:u w:val="single"/>
        </w:rPr>
        <w:t>配置符合相关规范要求的试验场所，由承包人提供并承担费用</w:t>
      </w:r>
      <w:r>
        <w:rPr>
          <w:rFonts w:eastAsia="仿宋_GB2312"/>
          <w:color w:val="auto"/>
          <w:sz w:val="24"/>
          <w:highlight w:val="none"/>
        </w:rPr>
        <w:t>。</w:t>
      </w:r>
    </w:p>
    <w:p w14:paraId="1F04308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施工现场需要配备的试验设备：</w:t>
      </w:r>
      <w:r>
        <w:rPr>
          <w:rFonts w:hint="eastAsia" w:eastAsia="仿宋_GB2312"/>
          <w:color w:val="auto"/>
          <w:sz w:val="24"/>
          <w:highlight w:val="none"/>
          <w:u w:val="single"/>
        </w:rPr>
        <w:t>配置符合相关规范要求的试验设备，由承包人提供并承担费用</w:t>
      </w:r>
      <w:r>
        <w:rPr>
          <w:rFonts w:eastAsia="仿宋_GB2312"/>
          <w:color w:val="auto"/>
          <w:sz w:val="24"/>
          <w:highlight w:val="none"/>
        </w:rPr>
        <w:t>。</w:t>
      </w:r>
    </w:p>
    <w:p w14:paraId="7EC713D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施工现场需要具备的其他试验条件：</w:t>
      </w:r>
      <w:r>
        <w:rPr>
          <w:rFonts w:hint="eastAsia" w:eastAsia="仿宋_GB2312"/>
          <w:color w:val="auto"/>
          <w:sz w:val="24"/>
          <w:highlight w:val="none"/>
          <w:u w:val="single"/>
        </w:rPr>
        <w:t>配置符合相关规范要求的试验条件，由承包人提供并承担费用</w:t>
      </w:r>
      <w:r>
        <w:rPr>
          <w:rFonts w:eastAsia="仿宋_GB2312"/>
          <w:color w:val="auto"/>
          <w:sz w:val="24"/>
          <w:highlight w:val="none"/>
        </w:rPr>
        <w:t>。</w:t>
      </w:r>
    </w:p>
    <w:p w14:paraId="36512D05">
      <w:pPr>
        <w:adjustRightInd/>
        <w:spacing w:line="300" w:lineRule="auto"/>
        <w:ind w:firstLine="480" w:firstLineChars="200"/>
        <w:rPr>
          <w:rFonts w:ascii="仿宋_GB2312" w:eastAsia="仿宋_GB2312"/>
          <w:b/>
          <w:color w:val="auto"/>
          <w:sz w:val="24"/>
          <w:highlight w:val="none"/>
        </w:rPr>
      </w:pPr>
      <w:r>
        <w:rPr>
          <w:rFonts w:eastAsia="黑体"/>
          <w:color w:val="auto"/>
          <w:sz w:val="24"/>
          <w:highlight w:val="none"/>
        </w:rPr>
        <w:t>9.</w:t>
      </w:r>
      <w:r>
        <w:rPr>
          <w:rFonts w:hint="eastAsia" w:eastAsia="黑体"/>
          <w:color w:val="auto"/>
          <w:sz w:val="24"/>
          <w:highlight w:val="none"/>
        </w:rPr>
        <w:t>3</w:t>
      </w:r>
      <w:r>
        <w:rPr>
          <w:rFonts w:hint="eastAsia" w:ascii="仿宋_GB2312" w:eastAsia="仿宋_GB2312"/>
          <w:b/>
          <w:color w:val="auto"/>
          <w:sz w:val="24"/>
          <w:highlight w:val="none"/>
        </w:rPr>
        <w:t>材</w:t>
      </w:r>
      <w:r>
        <w:rPr>
          <w:rFonts w:hint="eastAsia" w:ascii="黑体" w:eastAsia="黑体"/>
          <w:color w:val="auto"/>
          <w:sz w:val="24"/>
          <w:highlight w:val="none"/>
        </w:rPr>
        <w:t>料、工程设备和工程的试验和检验</w:t>
      </w:r>
    </w:p>
    <w:p w14:paraId="6338F3DA">
      <w:pPr>
        <w:adjustRightInd/>
        <w:spacing w:line="300" w:lineRule="auto"/>
        <w:ind w:firstLine="455" w:firstLineChars="189"/>
        <w:rPr>
          <w:rFonts w:ascii="仿宋_GB2312" w:eastAsia="仿宋_GB2312"/>
          <w:b/>
          <w:color w:val="auto"/>
          <w:sz w:val="24"/>
          <w:highlight w:val="none"/>
          <w:u w:val="single"/>
        </w:rPr>
      </w:pPr>
      <w:r>
        <w:rPr>
          <w:rFonts w:hint="eastAsia" w:ascii="仿宋_GB2312" w:eastAsia="仿宋_GB2312"/>
          <w:b/>
          <w:color w:val="auto"/>
          <w:sz w:val="24"/>
          <w:highlight w:val="none"/>
        </w:rPr>
        <w:t>试验、检测单位资质条件约定：</w:t>
      </w:r>
      <w:r>
        <w:rPr>
          <w:rFonts w:hint="eastAsia" w:ascii="仿宋_GB2312" w:eastAsia="仿宋_GB2312"/>
          <w:b/>
          <w:color w:val="auto"/>
          <w:sz w:val="24"/>
          <w:highlight w:val="none"/>
          <w:u w:val="single"/>
        </w:rPr>
        <w:t>具备国家相关部门颁布的资质条件</w:t>
      </w:r>
      <w:r>
        <w:rPr>
          <w:rFonts w:hint="eastAsia" w:ascii="仿宋_GB2312" w:eastAsia="仿宋_GB2312"/>
          <w:b/>
          <w:color w:val="auto"/>
          <w:sz w:val="24"/>
          <w:highlight w:val="none"/>
        </w:rPr>
        <w:t>；</w:t>
      </w:r>
    </w:p>
    <w:p w14:paraId="1AEFE6A3">
      <w:pPr>
        <w:pStyle w:val="897"/>
        <w:spacing w:line="300" w:lineRule="auto"/>
        <w:ind w:left="420" w:firstLine="482"/>
        <w:rPr>
          <w:rFonts w:ascii="仿宋_GB2312" w:eastAsia="仿宋_GB2312"/>
          <w:b/>
          <w:color w:val="auto"/>
          <w:highlight w:val="none"/>
          <w:u w:val="single"/>
        </w:rPr>
      </w:pPr>
      <w:r>
        <w:rPr>
          <w:rFonts w:hint="eastAsia" w:ascii="仿宋_GB2312" w:eastAsia="仿宋_GB2312"/>
          <w:b/>
          <w:color w:val="auto"/>
          <w:highlight w:val="none"/>
        </w:rPr>
        <w:t>试验、检测单位选择约定：</w:t>
      </w:r>
      <w:r>
        <w:rPr>
          <w:rFonts w:hint="eastAsia" w:ascii="仿宋_GB2312" w:eastAsia="仿宋_GB2312"/>
          <w:b/>
          <w:color w:val="auto"/>
          <w:highlight w:val="none"/>
          <w:u w:val="single"/>
        </w:rPr>
        <w:t>由发包人委托具有相应资质的第三方检测机构，费用由承包人承担。</w:t>
      </w:r>
    </w:p>
    <w:p w14:paraId="006FB909">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试验、检测费用约定：</w:t>
      </w:r>
      <w:r>
        <w:rPr>
          <w:rFonts w:hint="eastAsia" w:ascii="仿宋_GB2312" w:eastAsia="仿宋_GB2312"/>
          <w:b/>
          <w:color w:val="auto"/>
          <w:sz w:val="24"/>
          <w:highlight w:val="none"/>
          <w:u w:val="single"/>
        </w:rPr>
        <w:t>由承包人自行承担</w:t>
      </w:r>
      <w:r>
        <w:rPr>
          <w:rFonts w:hint="eastAsia" w:ascii="仿宋_GB2312" w:eastAsia="仿宋_GB2312"/>
          <w:b/>
          <w:color w:val="auto"/>
          <w:sz w:val="24"/>
          <w:highlight w:val="none"/>
        </w:rPr>
        <w:t>。</w:t>
      </w:r>
    </w:p>
    <w:p w14:paraId="591A3C20">
      <w:pPr>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工程有关试验、检测费用由承包人承担（政府有关部门明确规定须发包人另行支付除外），并已包含在合同价款中，不再另行计算 。</w:t>
      </w:r>
    </w:p>
    <w:p w14:paraId="5E8177C2">
      <w:pPr>
        <w:adjustRightInd/>
        <w:spacing w:line="300" w:lineRule="auto"/>
        <w:ind w:firstLine="480" w:firstLineChars="200"/>
        <w:rPr>
          <w:rFonts w:eastAsia="黑体"/>
          <w:color w:val="auto"/>
          <w:sz w:val="24"/>
          <w:highlight w:val="none"/>
        </w:rPr>
      </w:pPr>
      <w:r>
        <w:rPr>
          <w:rFonts w:eastAsia="黑体"/>
          <w:color w:val="auto"/>
          <w:sz w:val="24"/>
          <w:highlight w:val="none"/>
        </w:rPr>
        <w:t>9.4 现场工艺试验</w:t>
      </w:r>
    </w:p>
    <w:p w14:paraId="27DC3481">
      <w:pPr>
        <w:pStyle w:val="897"/>
        <w:spacing w:line="300" w:lineRule="auto"/>
        <w:ind w:left="420" w:firstLine="480"/>
        <w:rPr>
          <w:rFonts w:ascii="仿宋_GB2312" w:eastAsia="仿宋_GB2312"/>
          <w:b/>
          <w:color w:val="auto"/>
          <w:highlight w:val="none"/>
          <w:u w:val="single"/>
        </w:rPr>
      </w:pPr>
      <w:r>
        <w:rPr>
          <w:rFonts w:eastAsia="仿宋_GB2312"/>
          <w:color w:val="auto"/>
          <w:highlight w:val="none"/>
        </w:rPr>
        <w:t>现场工艺试验的有关约定：</w:t>
      </w:r>
      <w:r>
        <w:rPr>
          <w:rFonts w:hint="eastAsia" w:ascii="仿宋_GB2312" w:eastAsia="仿宋_GB2312"/>
          <w:b/>
          <w:color w:val="auto"/>
          <w:highlight w:val="none"/>
          <w:u w:val="single"/>
        </w:rPr>
        <w:t xml:space="preserve">                /                    。</w:t>
      </w:r>
    </w:p>
    <w:p w14:paraId="45D70956">
      <w:pPr>
        <w:pStyle w:val="897"/>
        <w:spacing w:line="300" w:lineRule="auto"/>
        <w:ind w:left="420" w:firstLine="480"/>
        <w:rPr>
          <w:rFonts w:eastAsia="黑体"/>
          <w:color w:val="auto"/>
          <w:highlight w:val="none"/>
        </w:rPr>
      </w:pPr>
      <w:r>
        <w:rPr>
          <w:rFonts w:eastAsia="黑体"/>
          <w:color w:val="auto"/>
          <w:highlight w:val="none"/>
        </w:rPr>
        <w:t>9.</w:t>
      </w:r>
      <w:r>
        <w:rPr>
          <w:rFonts w:hint="eastAsia" w:eastAsia="黑体"/>
          <w:color w:val="auto"/>
          <w:highlight w:val="none"/>
        </w:rPr>
        <w:t>5</w:t>
      </w:r>
      <w:r>
        <w:rPr>
          <w:rFonts w:eastAsia="黑体"/>
          <w:color w:val="auto"/>
          <w:highlight w:val="none"/>
        </w:rPr>
        <w:t xml:space="preserve"> </w:t>
      </w:r>
      <w:r>
        <w:rPr>
          <w:rFonts w:hint="eastAsia" w:eastAsia="黑体"/>
          <w:color w:val="auto"/>
          <w:highlight w:val="none"/>
        </w:rPr>
        <w:t>现场第三方检测</w:t>
      </w:r>
    </w:p>
    <w:p w14:paraId="658E053A">
      <w:pPr>
        <w:pStyle w:val="897"/>
        <w:spacing w:line="300" w:lineRule="auto"/>
        <w:ind w:left="420" w:firstLine="480"/>
        <w:rPr>
          <w:rFonts w:ascii="仿宋_GB2312" w:eastAsia="仿宋_GB2312"/>
          <w:b/>
          <w:color w:val="auto"/>
          <w:highlight w:val="none"/>
          <w:u w:val="single"/>
        </w:rPr>
      </w:pPr>
      <w:r>
        <w:rPr>
          <w:rFonts w:eastAsia="仿宋_GB2312"/>
          <w:color w:val="auto"/>
          <w:highlight w:val="none"/>
        </w:rPr>
        <w:t>现场</w:t>
      </w:r>
      <w:r>
        <w:rPr>
          <w:rFonts w:hint="eastAsia" w:eastAsia="仿宋_GB2312"/>
          <w:color w:val="auto"/>
          <w:highlight w:val="none"/>
        </w:rPr>
        <w:t>第三方检测</w:t>
      </w:r>
      <w:r>
        <w:rPr>
          <w:rFonts w:eastAsia="仿宋_GB2312"/>
          <w:color w:val="auto"/>
          <w:highlight w:val="none"/>
        </w:rPr>
        <w:t>的有关约定：</w:t>
      </w:r>
      <w:r>
        <w:rPr>
          <w:rFonts w:hint="eastAsia" w:ascii="仿宋_GB2312" w:eastAsia="仿宋_GB2312"/>
          <w:b/>
          <w:color w:val="auto"/>
          <w:highlight w:val="none"/>
          <w:u w:val="single"/>
        </w:rPr>
        <w:t>基坑监测、桩基检测由发包人委托具有相应资质的第三方检测机构，费用由承包人承担。</w:t>
      </w:r>
    </w:p>
    <w:p w14:paraId="146B6BDF">
      <w:pPr>
        <w:pStyle w:val="897"/>
        <w:spacing w:line="300" w:lineRule="auto"/>
        <w:ind w:left="420" w:firstLine="480"/>
        <w:rPr>
          <w:rFonts w:eastAsia="黑体"/>
          <w:color w:val="auto"/>
          <w:highlight w:val="none"/>
        </w:rPr>
      </w:pPr>
    </w:p>
    <w:bookmarkEnd w:id="721"/>
    <w:bookmarkEnd w:id="722"/>
    <w:bookmarkEnd w:id="723"/>
    <w:bookmarkEnd w:id="724"/>
    <w:bookmarkEnd w:id="725"/>
    <w:bookmarkEnd w:id="726"/>
    <w:bookmarkEnd w:id="727"/>
    <w:bookmarkEnd w:id="728"/>
    <w:p w14:paraId="78160FC4">
      <w:pPr>
        <w:pStyle w:val="8"/>
        <w:spacing w:before="0" w:after="0" w:line="300" w:lineRule="auto"/>
        <w:ind w:firstLine="480" w:firstLineChars="200"/>
        <w:rPr>
          <w:rFonts w:ascii="Times New Roman" w:hAnsi="Times New Roman"/>
          <w:b w:val="0"/>
          <w:color w:val="auto"/>
          <w:sz w:val="24"/>
          <w:szCs w:val="24"/>
          <w:highlight w:val="none"/>
        </w:rPr>
      </w:pPr>
      <w:bookmarkStart w:id="729" w:name="_Toc351203642"/>
      <w:r>
        <w:rPr>
          <w:rFonts w:ascii="Times New Roman" w:hAnsi="Times New Roman"/>
          <w:b w:val="0"/>
          <w:color w:val="auto"/>
          <w:sz w:val="24"/>
          <w:szCs w:val="24"/>
          <w:highlight w:val="none"/>
        </w:rPr>
        <w:t>1</w:t>
      </w:r>
      <w:bookmarkEnd w:id="695"/>
      <w:bookmarkEnd w:id="696"/>
      <w:bookmarkEnd w:id="697"/>
      <w:bookmarkEnd w:id="698"/>
      <w:bookmarkEnd w:id="699"/>
      <w:bookmarkEnd w:id="700"/>
      <w:bookmarkEnd w:id="701"/>
      <w:bookmarkEnd w:id="702"/>
      <w:bookmarkEnd w:id="703"/>
      <w:bookmarkEnd w:id="704"/>
      <w:bookmarkEnd w:id="705"/>
      <w:bookmarkEnd w:id="706"/>
      <w:bookmarkStart w:id="730" w:name="_Toc292559903"/>
      <w:bookmarkStart w:id="731" w:name="_Toc296346694"/>
      <w:bookmarkStart w:id="732" w:name="_Toc296347192"/>
      <w:bookmarkStart w:id="733" w:name="_Toc296891021"/>
      <w:bookmarkStart w:id="734" w:name="_Toc296944532"/>
      <w:bookmarkStart w:id="735" w:name="_Toc296503193"/>
      <w:bookmarkStart w:id="736" w:name="_Toc300934989"/>
      <w:bookmarkStart w:id="737" w:name="_Toc297123540"/>
      <w:bookmarkStart w:id="738" w:name="_Toc304295566"/>
      <w:bookmarkStart w:id="739" w:name="_Toc303539146"/>
      <w:bookmarkStart w:id="740" w:name="_Toc297048379"/>
      <w:bookmarkStart w:id="741" w:name="_Toc292559398"/>
      <w:bookmarkStart w:id="742" w:name="_Toc297120493"/>
      <w:bookmarkStart w:id="743" w:name="_Toc296891233"/>
      <w:bookmarkStart w:id="744" w:name="_Toc297216199"/>
      <w:bookmarkStart w:id="745" w:name="_Toc312678025"/>
      <w:bookmarkStart w:id="746" w:name="_Toc312677499"/>
      <w:bookmarkStart w:id="747" w:name="_Toc267251435"/>
      <w:bookmarkStart w:id="748" w:name="_Toc267251437"/>
      <w:bookmarkStart w:id="749" w:name="_Toc267251439"/>
      <w:bookmarkStart w:id="750" w:name="_Toc267251440"/>
      <w:bookmarkStart w:id="751" w:name="_Toc267251433"/>
      <w:bookmarkStart w:id="752" w:name="_Toc267251441"/>
      <w:bookmarkStart w:id="753" w:name="_Toc267251442"/>
      <w:r>
        <w:rPr>
          <w:rFonts w:ascii="Times New Roman" w:hAnsi="Times New Roman"/>
          <w:b w:val="0"/>
          <w:color w:val="auto"/>
          <w:sz w:val="24"/>
          <w:szCs w:val="24"/>
          <w:highlight w:val="none"/>
        </w:rPr>
        <w:t>0. 变更</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bookmarkEnd w:id="745"/>
    <w:bookmarkEnd w:id="746"/>
    <w:p w14:paraId="0167D688">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Start w:id="754" w:name="_Toc296346695"/>
      <w:bookmarkStart w:id="755" w:name="_Toc300934990"/>
      <w:bookmarkStart w:id="756" w:name="_Toc296503194"/>
      <w:bookmarkStart w:id="757" w:name="_Toc304295567"/>
      <w:bookmarkStart w:id="758" w:name="_Toc297216200"/>
      <w:bookmarkStart w:id="759" w:name="_Toc297123541"/>
      <w:bookmarkStart w:id="760" w:name="_Toc296347193"/>
      <w:bookmarkStart w:id="761" w:name="_Toc292559399"/>
      <w:bookmarkStart w:id="762" w:name="_Toc296944533"/>
      <w:bookmarkStart w:id="763" w:name="_Toc297048380"/>
      <w:bookmarkStart w:id="764" w:name="_Toc296891234"/>
      <w:bookmarkStart w:id="765" w:name="_Toc303539147"/>
      <w:bookmarkStart w:id="766" w:name="_Toc312677500"/>
      <w:bookmarkStart w:id="767" w:name="_Toc312678026"/>
      <w:bookmarkStart w:id="768" w:name="_Toc297120494"/>
      <w:bookmarkStart w:id="769" w:name="_Toc292559904"/>
      <w:bookmarkStart w:id="770" w:name="_Toc296891022"/>
      <w:r>
        <w:rPr>
          <w:rFonts w:eastAsia="黑体"/>
          <w:color w:val="auto"/>
          <w:sz w:val="24"/>
          <w:highlight w:val="none"/>
        </w:rPr>
        <w:t>0.1变更的范围</w:t>
      </w:r>
    </w:p>
    <w:p w14:paraId="079DCA7E">
      <w:pPr>
        <w:adjustRightInd/>
        <w:spacing w:line="300" w:lineRule="auto"/>
        <w:ind w:firstLine="600"/>
        <w:rPr>
          <w:rFonts w:ascii="仿宋_GB2312" w:hAnsi="黑体" w:eastAsia="仿宋_GB2312"/>
          <w:b/>
          <w:color w:val="auto"/>
          <w:sz w:val="24"/>
          <w:highlight w:val="none"/>
          <w:u w:val="single"/>
        </w:rPr>
      </w:pPr>
      <w:r>
        <w:rPr>
          <w:rFonts w:eastAsia="仿宋_GB2312"/>
          <w:color w:val="auto"/>
          <w:sz w:val="24"/>
          <w:highlight w:val="none"/>
        </w:rPr>
        <w:t>关于变更的范围的约定：</w:t>
      </w:r>
    </w:p>
    <w:p w14:paraId="4B6E0842">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（1）发包人有权以联系单形式根据工程实际情况增加、减少甚至删除合同范围内的工程量，并按</w:t>
      </w:r>
      <w:r>
        <w:rPr>
          <w:rFonts w:hint="eastAsia" w:eastAsia="仿宋_GB2312"/>
          <w:color w:val="auto"/>
          <w:highlight w:val="none"/>
          <w:u w:val="single"/>
        </w:rPr>
        <w:t>中标的固定</w:t>
      </w:r>
      <w:r>
        <w:rPr>
          <w:rFonts w:eastAsia="仿宋_GB2312"/>
          <w:color w:val="auto"/>
          <w:highlight w:val="none"/>
          <w:u w:val="single"/>
        </w:rPr>
        <w:t>综合单价对总价进行相应调整；发包人有权以联系单形式根据施工现场情况增加合同范围外的工程量，并按合同条款确定变更价格对总价进行相应调整</w:t>
      </w:r>
      <w:r>
        <w:rPr>
          <w:rFonts w:hint="eastAsia" w:eastAsia="仿宋_GB2312"/>
          <w:color w:val="auto"/>
          <w:highlight w:val="none"/>
          <w:u w:val="single"/>
        </w:rPr>
        <w:t>。</w:t>
      </w:r>
      <w:r>
        <w:rPr>
          <w:rFonts w:eastAsia="仿宋_GB2312"/>
          <w:color w:val="auto"/>
          <w:highlight w:val="none"/>
          <w:u w:val="single"/>
        </w:rPr>
        <w:t>承包人不得拒绝进行施工。</w:t>
      </w:r>
    </w:p>
    <w:p w14:paraId="573FB211">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（2）施工中承包人不得擅自对原工程设计进行变更。因承包人擅自变更设计发生的费用和由此导致发包人的损失由承包人承担，延误的工期不予顺延。</w:t>
      </w:r>
    </w:p>
    <w:p w14:paraId="419F0F7E">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（3）承包人有义务在每个分部分项工程实施</w:t>
      </w:r>
      <w:r>
        <w:rPr>
          <w:rFonts w:hint="eastAsia" w:ascii="Times New Roman" w:hAnsi="Times New Roman" w:eastAsia="仿宋_GB2312"/>
          <w:color w:val="auto"/>
          <w:kern w:val="0"/>
          <w:sz w:val="24"/>
          <w:highlight w:val="none"/>
          <w:u w:val="single"/>
        </w:rPr>
        <w:t>5日</w:t>
      </w:r>
      <w:r>
        <w:rPr>
          <w:rFonts w:ascii="Times New Roman" w:hAnsi="Times New Roman" w:eastAsia="仿宋_GB2312"/>
          <w:color w:val="auto"/>
          <w:kern w:val="0"/>
          <w:sz w:val="24"/>
          <w:highlight w:val="none"/>
          <w:u w:val="single"/>
        </w:rPr>
        <w:t>前完成施工图纸审查，及时发现有需变更之处，并在不迟于该事项发生之日前</w:t>
      </w:r>
      <w:r>
        <w:rPr>
          <w:rFonts w:hint="eastAsia" w:ascii="Times New Roman" w:hAnsi="Times New Roman" w:eastAsia="仿宋_GB2312"/>
          <w:color w:val="auto"/>
          <w:kern w:val="0"/>
          <w:sz w:val="24"/>
          <w:highlight w:val="none"/>
          <w:u w:val="single"/>
        </w:rPr>
        <w:t>7日</w:t>
      </w:r>
      <w:r>
        <w:rPr>
          <w:rFonts w:ascii="Times New Roman" w:hAnsi="Times New Roman" w:eastAsia="仿宋_GB2312"/>
          <w:color w:val="auto"/>
          <w:kern w:val="0"/>
          <w:sz w:val="24"/>
          <w:highlight w:val="none"/>
          <w:u w:val="single"/>
        </w:rPr>
        <w:t>向发包人提出设计变更建议，经发包人确认后，若确需变更，承包人应在收到设计变更联系单后</w:t>
      </w:r>
      <w:r>
        <w:rPr>
          <w:rFonts w:hint="eastAsia" w:ascii="Times New Roman" w:hAnsi="Times New Roman" w:eastAsia="仿宋_GB2312"/>
          <w:color w:val="auto"/>
          <w:kern w:val="0"/>
          <w:sz w:val="24"/>
          <w:highlight w:val="none"/>
          <w:u w:val="single"/>
        </w:rPr>
        <w:t>5</w:t>
      </w:r>
      <w:r>
        <w:rPr>
          <w:rFonts w:ascii="Times New Roman" w:hAnsi="Times New Roman" w:eastAsia="仿宋_GB2312"/>
          <w:color w:val="auto"/>
          <w:kern w:val="0"/>
          <w:sz w:val="24"/>
          <w:highlight w:val="none"/>
          <w:u w:val="single"/>
        </w:rPr>
        <w:t>个工作日内提交工程变更联系单，否则发包人有权拒绝支付该变更增加工程款。任何由承包人提出，且未上报变更联系单进行审批就先行施工的变更，发包人有权不支付该项工程款</w:t>
      </w:r>
      <w:r>
        <w:rPr>
          <w:rFonts w:hint="eastAsia" w:ascii="Times New Roman" w:hAnsi="Times New Roman" w:eastAsia="仿宋_GB2312"/>
          <w:color w:val="auto"/>
          <w:kern w:val="0"/>
          <w:sz w:val="24"/>
          <w:highlight w:val="none"/>
          <w:u w:val="single"/>
        </w:rPr>
        <w:t>，同时有权要求按原方案进行施工</w:t>
      </w:r>
      <w:r>
        <w:rPr>
          <w:rFonts w:ascii="Times New Roman" w:hAnsi="Times New Roman" w:eastAsia="仿宋_GB2312"/>
          <w:color w:val="auto"/>
          <w:kern w:val="0"/>
          <w:sz w:val="24"/>
          <w:highlight w:val="none"/>
          <w:u w:val="single"/>
        </w:rPr>
        <w:t>。</w:t>
      </w:r>
    </w:p>
    <w:p w14:paraId="0E221C09">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（4）</w:t>
      </w:r>
      <w:r>
        <w:rPr>
          <w:rFonts w:hint="eastAsia" w:ascii="Times New Roman" w:hAnsi="Times New Roman" w:eastAsia="仿宋_GB2312"/>
          <w:color w:val="auto"/>
          <w:kern w:val="0"/>
          <w:sz w:val="24"/>
          <w:highlight w:val="none"/>
          <w:u w:val="single"/>
        </w:rPr>
        <w:t>发生工程变更，承包人对此工程变更的价或量有异议的，承包人应优先保证工程的进度，先行施工。所有变更后新增工程引起的计价、计量调整、报批和审核的时间过程，均不得作为影响变更任务执行的理由。在收到联系单且具备施工条件后，承包人不得拒绝施工。</w:t>
      </w:r>
    </w:p>
    <w:p w14:paraId="4D9A2EC8">
      <w:pPr>
        <w:pStyle w:val="970"/>
        <w:spacing w:line="300" w:lineRule="auto"/>
        <w:ind w:firstLine="480"/>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5）承包人提出的尤其涉及费用的联系单必须依据充分，用详尽的资料（提供组价明细表及计算过程底稿等）、图纸附加图片、照片（至少张细部特征照片）予以说明，同时承包人应对联系单连续进行编号，否则发包人可予以退回或拒签。上报联系单符合要求的，发包人原则在收到上报资料后</w:t>
      </w:r>
      <w:r>
        <w:rPr>
          <w:rFonts w:hint="eastAsia" w:ascii="Times New Roman" w:hAnsi="Times New Roman" w:eastAsia="仿宋_GB2312"/>
          <w:color w:val="auto"/>
          <w:kern w:val="0"/>
          <w:sz w:val="24"/>
          <w:highlight w:val="none"/>
          <w:u w:val="single"/>
        </w:rPr>
        <w:t>60</w:t>
      </w:r>
      <w:r>
        <w:rPr>
          <w:rFonts w:ascii="Times New Roman" w:hAnsi="Times New Roman" w:eastAsia="仿宋_GB2312"/>
          <w:color w:val="auto"/>
          <w:kern w:val="0"/>
          <w:sz w:val="24"/>
          <w:highlight w:val="none"/>
          <w:u w:val="single"/>
        </w:rPr>
        <w:t>个工作日内签复</w:t>
      </w:r>
      <w:r>
        <w:rPr>
          <w:rFonts w:hint="eastAsia" w:ascii="Times New Roman" w:hAnsi="Times New Roman" w:eastAsia="仿宋_GB2312"/>
          <w:color w:val="auto"/>
          <w:kern w:val="0"/>
          <w:sz w:val="24"/>
          <w:highlight w:val="none"/>
          <w:u w:val="single"/>
        </w:rPr>
        <w:t>，未在该期限内签复的，不视为对上报联系单内容的确认，也不视为对其所涉费用的认可，且不免除应由承包人承担的责任</w:t>
      </w:r>
      <w:r>
        <w:rPr>
          <w:rFonts w:ascii="Times New Roman" w:hAnsi="Times New Roman" w:eastAsia="仿宋_GB2312"/>
          <w:color w:val="auto"/>
          <w:kern w:val="0"/>
          <w:sz w:val="24"/>
          <w:highlight w:val="none"/>
          <w:u w:val="single"/>
        </w:rPr>
        <w:t>。</w:t>
      </w:r>
    </w:p>
    <w:p w14:paraId="2F017A43">
      <w:pPr>
        <w:adjustRightInd/>
        <w:spacing w:line="300" w:lineRule="auto"/>
        <w:ind w:firstLine="480" w:firstLineChars="200"/>
        <w:rPr>
          <w:rFonts w:eastAsia="黑体"/>
          <w:color w:val="auto"/>
          <w:sz w:val="24"/>
          <w:highlight w:val="none"/>
        </w:rPr>
      </w:pPr>
      <w:r>
        <w:rPr>
          <w:rFonts w:eastAsia="黑体"/>
          <w:color w:val="auto"/>
          <w:sz w:val="24"/>
          <w:highlight w:val="none"/>
        </w:rPr>
        <w:t>10.4 变更估价</w:t>
      </w:r>
    </w:p>
    <w:p w14:paraId="66BC1A61">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10.4.1 变更估价原则</w:t>
      </w:r>
    </w:p>
    <w:p w14:paraId="594CE45D">
      <w:pPr>
        <w:autoSpaceDE w:val="0"/>
        <w:autoSpaceDN w:val="0"/>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 xml:space="preserve">关于变更估价的约定: </w:t>
      </w:r>
    </w:p>
    <w:p w14:paraId="75E1978D">
      <w:pPr>
        <w:autoSpaceDE w:val="0"/>
        <w:autoSpaceDN w:val="0"/>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(1)已标价工程量清单或预算书有相同项目的，按照相同项目单价确定。</w:t>
      </w:r>
    </w:p>
    <w:p w14:paraId="6A7FFF45">
      <w:pPr>
        <w:autoSpaceDE w:val="0"/>
        <w:autoSpaceDN w:val="0"/>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(2)已标价工程量清单或预算书中无相同项目，但有类似项目的，参照类似项目的单价确定。</w:t>
      </w:r>
    </w:p>
    <w:p w14:paraId="4B70EE6E">
      <w:pPr>
        <w:autoSpaceDE w:val="0"/>
        <w:autoSpaceDN w:val="0"/>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(3)已标价工程量清单或预算书中无相同项目及类似项目单价的，其单价的确定，按以下约定：工程量按《建设工程工程量清单计价规范》(GB50500-2013)、《浙江省建设工程工程量清单计价指引》(2018版)计算规则计算。组价根据《2018版浙江省预算定额》、发生当期的浙江省、杭州市(市区)造价信息正刊(浙江省、杭州市市区造价信息正刊均有的，取其中较低者；无信息价的按发包人签证确认并经审计部门最终审定的价格为准。)进行组价，其中管理费、利润、风险费及规费、税金等按投标报价时各项目所报费率中最低费率计取，按照上述方法计算后综合单价乘以优惠率得出结算单价，优惠率=中标价/招标控制价。变更价格经监理和发包人审核签证后备案，最终结算价格以政府审计部门审定的金额为准。</w:t>
      </w:r>
    </w:p>
    <w:p w14:paraId="4677CF2C">
      <w:pPr>
        <w:adjustRightInd/>
        <w:spacing w:line="360" w:lineRule="auto"/>
        <w:rPr>
          <w:rFonts w:ascii="宋体" w:hAnsi="宋体"/>
          <w:color w:val="auto"/>
          <w:highlight w:val="none"/>
        </w:rPr>
      </w:pPr>
      <w:r>
        <w:rPr>
          <w:rFonts w:hint="eastAsia" w:ascii="仿宋_GB2312" w:eastAsia="仿宋_GB2312"/>
          <w:color w:val="auto"/>
          <w:sz w:val="24"/>
          <w:highlight w:val="none"/>
          <w:u w:val="single"/>
        </w:rPr>
        <w:t>(4) 工程量清单错误和(或)设计变更导致实际完成的工程量与已标价工程量清单或预算书中列明的该项目工程量的变化幅度超过以下情况的，其单价允许调整：</w:t>
      </w:r>
      <w:r>
        <w:rPr>
          <w:rFonts w:hint="eastAsia" w:ascii="仿宋_GB2312" w:eastAsia="仿宋_GB2312"/>
          <w:bCs/>
          <w:color w:val="auto"/>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eastAsia="仿宋_GB2312"/>
          <w:b/>
          <w:color w:val="auto"/>
          <w:sz w:val="24"/>
          <w:highlight w:val="none"/>
          <w:u w:val="single"/>
        </w:rPr>
        <w:t>工程量偏差超过上述变化幅度之外变动部分</w:t>
      </w:r>
      <w:r>
        <w:rPr>
          <w:rFonts w:hint="eastAsia" w:ascii="仿宋_GB2312" w:eastAsia="仿宋_GB2312"/>
          <w:bCs/>
          <w:color w:val="auto"/>
          <w:sz w:val="24"/>
          <w:highlight w:val="none"/>
          <w:u w:val="single"/>
        </w:rPr>
        <w:t>的相应单价调整方法按以下方式约定：按照10.4.1第（3）条约定执行（土方工程除外）。</w:t>
      </w:r>
    </w:p>
    <w:p w14:paraId="7D53A352">
      <w:pPr>
        <w:autoSpaceDE w:val="0"/>
        <w:autoSpaceDN w:val="0"/>
        <w:adjustRightInd/>
        <w:spacing w:line="300" w:lineRule="auto"/>
        <w:ind w:firstLine="355" w:firstLineChars="148"/>
        <w:rPr>
          <w:rFonts w:ascii="仿宋_GB2312" w:eastAsia="仿宋_GB2312"/>
          <w:color w:val="auto"/>
          <w:sz w:val="24"/>
          <w:highlight w:val="none"/>
          <w:u w:val="single"/>
        </w:rPr>
      </w:pPr>
    </w:p>
    <w:p w14:paraId="0CAD86EA">
      <w:pPr>
        <w:autoSpaceDE w:val="0"/>
        <w:autoSpaceDN w:val="0"/>
        <w:adjustRightInd/>
        <w:spacing w:line="300" w:lineRule="auto"/>
        <w:ind w:firstLine="357" w:firstLineChars="148"/>
        <w:rPr>
          <w:rFonts w:ascii="仿宋_GB2312" w:eastAsia="仿宋_GB2312"/>
          <w:b/>
          <w:color w:val="auto"/>
          <w:sz w:val="24"/>
          <w:highlight w:val="none"/>
          <w:u w:val="single"/>
        </w:rPr>
      </w:pPr>
      <w:r>
        <w:rPr>
          <w:rFonts w:hint="eastAsia" w:ascii="仿宋_GB2312" w:eastAsia="仿宋_GB2312"/>
          <w:b/>
          <w:color w:val="auto"/>
          <w:sz w:val="24"/>
          <w:highlight w:val="none"/>
          <w:u w:val="single"/>
        </w:rPr>
        <w:t>（5）其他：</w:t>
      </w:r>
    </w:p>
    <w:p w14:paraId="781D77E0">
      <w:pPr>
        <w:autoSpaceDE w:val="0"/>
        <w:autoSpaceDN w:val="0"/>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①工程量根据施工图及联系单，《建设工程工程量清单计价规范》(GB50500-2013)、《浙江省建设工程计价规则》（2018版）计算，新增单价组价依据《杭州市建设工程工程量清单计价实施细则》（杭建市发〔2018〕578号）、《2018版浙江省预算定额》联系单管理按《关于印发西湖区政府投资项目工程变更管理办法的通知》（西政办【2016】99号）执行，未履行规定程序的联系单，不得纳入工程结算。</w:t>
      </w:r>
    </w:p>
    <w:p w14:paraId="1D8CC769">
      <w:pPr>
        <w:autoSpaceDE w:val="0"/>
        <w:autoSpaceDN w:val="0"/>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②项目清单中项目特征或工程内容发生部分变更的，应以原综合单价为基础，仅就变更部分相应定额子目调整综合单价。材料变化的仅调整材料编制期信息价的差价，仅计税金。注：编制期信息价是指由工程造价管理部门在投标截止日28日历天所在月份造价信息正刊发布的当期信息价。所在月份信息价如遇工程造价管理部门发布信息价格调整的，则该月信息价格按所发布信息价执行天数加权平均。</w:t>
      </w:r>
    </w:p>
    <w:p w14:paraId="3CCAC483">
      <w:pPr>
        <w:adjustRightInd/>
        <w:spacing w:line="300" w:lineRule="auto"/>
        <w:rPr>
          <w:rFonts w:ascii="仿宋_GB2312" w:eastAsia="仿宋_GB2312"/>
          <w:color w:val="auto"/>
          <w:sz w:val="24"/>
          <w:highlight w:val="none"/>
          <w:u w:val="single"/>
        </w:rPr>
      </w:pPr>
      <w:r>
        <w:rPr>
          <w:rFonts w:hint="eastAsia" w:ascii="仿宋_GB2312" w:eastAsia="仿宋_GB2312"/>
          <w:color w:val="auto"/>
          <w:sz w:val="24"/>
          <w:highlight w:val="none"/>
          <w:u w:val="single"/>
        </w:rPr>
        <w:t>③本工程结算造价以相关审计部门审核为准。</w:t>
      </w:r>
    </w:p>
    <w:p w14:paraId="49E1A65D">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1" w:name="_Toc297123544"/>
      <w:bookmarkStart w:id="772" w:name="_Toc297048383"/>
      <w:bookmarkStart w:id="773" w:name="_Toc300934993"/>
      <w:bookmarkStart w:id="774" w:name="_Toc296891237"/>
      <w:bookmarkStart w:id="775" w:name="_Toc303539150"/>
      <w:bookmarkStart w:id="776" w:name="_Toc296347196"/>
      <w:bookmarkStart w:id="777" w:name="_Toc292559402"/>
      <w:bookmarkStart w:id="778" w:name="_Toc296944536"/>
      <w:bookmarkStart w:id="779" w:name="_Toc297120497"/>
      <w:bookmarkStart w:id="780" w:name="_Toc292559907"/>
      <w:bookmarkStart w:id="781" w:name="_Toc296891025"/>
      <w:bookmarkStart w:id="782" w:name="_Toc297216203"/>
      <w:bookmarkStart w:id="783" w:name="_Toc296346698"/>
      <w:bookmarkStart w:id="784" w:name="_Toc296503197"/>
      <w:bookmarkStart w:id="785" w:name="_Toc304295570"/>
      <w:bookmarkStart w:id="786" w:name="_Toc312678029"/>
      <w:bookmarkStart w:id="787" w:name="_Toc312677503"/>
      <w:r>
        <w:rPr>
          <w:rFonts w:eastAsia="黑体"/>
          <w:color w:val="auto"/>
          <w:sz w:val="24"/>
          <w:highlight w:val="none"/>
        </w:rPr>
        <w:t>0.5承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296891031"/>
      <w:bookmarkStart w:id="789" w:name="_Toc292559408"/>
      <w:bookmarkStart w:id="790" w:name="_Toc296503203"/>
      <w:bookmarkStart w:id="791" w:name="_Toc296346704"/>
      <w:bookmarkStart w:id="792" w:name="_Toc303539151"/>
      <w:bookmarkStart w:id="793" w:name="_Toc297216204"/>
      <w:bookmarkStart w:id="794" w:name="_Toc292559913"/>
      <w:bookmarkStart w:id="795" w:name="_Toc296891243"/>
      <w:bookmarkStart w:id="796" w:name="_Toc297123545"/>
      <w:bookmarkStart w:id="797" w:name="_Toc297048389"/>
      <w:bookmarkStart w:id="798" w:name="_Toc297120503"/>
      <w:bookmarkStart w:id="799" w:name="_Toc300934994"/>
      <w:bookmarkStart w:id="800" w:name="_Toc296944542"/>
      <w:bookmarkStart w:id="801" w:name="_Toc296347202"/>
      <w:r>
        <w:rPr>
          <w:rFonts w:eastAsia="黑体"/>
          <w:color w:val="auto"/>
          <w:sz w:val="24"/>
          <w:highlight w:val="none"/>
        </w:rPr>
        <w:t>包人的合理化建议</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70B8104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监理人审查承包人合理化建议的期限：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6055737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发包人审批承包人合理化建议的期限：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493BB03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w:t>
      </w:r>
      <w:bookmarkStart w:id="802" w:name="_Toc297120504"/>
      <w:bookmarkStart w:id="803" w:name="_Toc296944543"/>
      <w:bookmarkStart w:id="804" w:name="_Toc297048390"/>
      <w:bookmarkStart w:id="805" w:name="_Toc297123546"/>
      <w:bookmarkStart w:id="806" w:name="_Toc300934995"/>
      <w:bookmarkStart w:id="807" w:name="_Toc296346705"/>
      <w:bookmarkStart w:id="808" w:name="_Toc312677504"/>
      <w:bookmarkStart w:id="809" w:name="_Toc296891244"/>
      <w:bookmarkStart w:id="810" w:name="_Toc318581175"/>
      <w:bookmarkStart w:id="811" w:name="_Toc296503204"/>
      <w:bookmarkStart w:id="812" w:name="_Toc296891032"/>
      <w:bookmarkStart w:id="813" w:name="_Toc292559409"/>
      <w:bookmarkStart w:id="814" w:name="_Toc304295571"/>
      <w:bookmarkStart w:id="815" w:name="_Toc292559914"/>
      <w:bookmarkStart w:id="816" w:name="_Toc303539152"/>
      <w:bookmarkStart w:id="817" w:name="_Toc296347203"/>
      <w:bookmarkStart w:id="818" w:name="_Toc297216205"/>
      <w:bookmarkStart w:id="819" w:name="_Toc312678030"/>
      <w:r>
        <w:rPr>
          <w:rFonts w:eastAsia="仿宋_GB2312"/>
          <w:color w:val="auto"/>
          <w:sz w:val="24"/>
          <w:highlight w:val="none"/>
        </w:rPr>
        <w:t>包人提出的合理化建议降低了合同价格或者提高了工程经济效益的奖励的方法和金额为：</w:t>
      </w:r>
      <w:r>
        <w:rPr>
          <w:rFonts w:hint="eastAsia" w:eastAsia="仿宋_GB2312"/>
          <w:color w:val="auto"/>
          <w:sz w:val="24"/>
          <w:highlight w:val="none"/>
          <w:u w:val="single"/>
        </w:rPr>
        <w:t>/</w:t>
      </w:r>
      <w:r>
        <w:rPr>
          <w:rFonts w:eastAsia="仿宋_GB2312"/>
          <w:color w:val="auto"/>
          <w:sz w:val="24"/>
          <w:highlight w:val="none"/>
        </w:rPr>
        <w:t>。</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11E3FDDB">
      <w:pPr>
        <w:adjustRightInd/>
        <w:spacing w:line="300" w:lineRule="auto"/>
        <w:ind w:firstLine="480" w:firstLineChars="200"/>
        <w:rPr>
          <w:rFonts w:eastAsia="仿宋_GB2312"/>
          <w:color w:val="auto"/>
          <w:sz w:val="24"/>
          <w:highlight w:val="none"/>
        </w:rPr>
      </w:pPr>
      <w:r>
        <w:rPr>
          <w:rFonts w:eastAsia="黑体"/>
          <w:color w:val="auto"/>
          <w:sz w:val="24"/>
          <w:highlight w:val="none"/>
        </w:rPr>
        <w:t>1</w:t>
      </w:r>
      <w:bookmarkStart w:id="820" w:name="_Toc296347198"/>
      <w:bookmarkStart w:id="821" w:name="_Toc296503199"/>
      <w:bookmarkStart w:id="822" w:name="_Toc296944538"/>
      <w:bookmarkStart w:id="823" w:name="_Toc296346700"/>
      <w:bookmarkStart w:id="824" w:name="_Toc296891239"/>
      <w:bookmarkStart w:id="825" w:name="_Toc303539154"/>
      <w:bookmarkStart w:id="826" w:name="_Toc297216207"/>
      <w:bookmarkStart w:id="827" w:name="_Toc292559909"/>
      <w:bookmarkStart w:id="828" w:name="_Toc297123548"/>
      <w:bookmarkStart w:id="829" w:name="_Toc292559404"/>
      <w:bookmarkStart w:id="830" w:name="_Toc297120499"/>
      <w:bookmarkStart w:id="831" w:name="_Toc296891027"/>
      <w:bookmarkStart w:id="832" w:name="_Toc300934997"/>
      <w:bookmarkStart w:id="833" w:name="_Toc297048385"/>
      <w:bookmarkStart w:id="834" w:name="_Toc312678033"/>
      <w:bookmarkStart w:id="835" w:name="_Toc304295574"/>
      <w:bookmarkStart w:id="836" w:name="_Toc312677507"/>
      <w:r>
        <w:rPr>
          <w:rFonts w:eastAsia="黑体"/>
          <w:color w:val="auto"/>
          <w:sz w:val="24"/>
          <w:highlight w:val="none"/>
        </w:rPr>
        <w:t>0.7 暂估价</w:t>
      </w:r>
      <w:r>
        <w:rPr>
          <w:rFonts w:hint="eastAsia" w:eastAsia="黑体"/>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u w:val="single"/>
        </w:rPr>
        <w:t>。</w:t>
      </w:r>
    </w:p>
    <w:p w14:paraId="728E8629">
      <w:pPr>
        <w:adjustRightInd/>
        <w:spacing w:line="300" w:lineRule="auto"/>
        <w:ind w:firstLine="480" w:firstLineChars="200"/>
        <w:rPr>
          <w:rFonts w:eastAsia="黑体"/>
          <w:color w:val="auto"/>
          <w:sz w:val="24"/>
          <w:highlight w:val="none"/>
        </w:rPr>
      </w:pP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60BDB74C">
      <w:pPr>
        <w:adjustRightInd/>
        <w:spacing w:line="300" w:lineRule="auto"/>
        <w:ind w:firstLine="480" w:firstLineChars="200"/>
        <w:rPr>
          <w:rFonts w:eastAsia="黑体"/>
          <w:color w:val="auto"/>
          <w:sz w:val="24"/>
          <w:highlight w:val="none"/>
        </w:rPr>
      </w:pPr>
      <w:r>
        <w:rPr>
          <w:rFonts w:eastAsia="黑体"/>
          <w:color w:val="auto"/>
          <w:sz w:val="24"/>
          <w:highlight w:val="none"/>
        </w:rPr>
        <w:t>10.8 暂列金额</w:t>
      </w:r>
    </w:p>
    <w:p w14:paraId="692DC7BB">
      <w:pPr>
        <w:autoSpaceDE w:val="0"/>
        <w:autoSpaceDN w:val="0"/>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合同当事人关于暂列金额使用的约定：</w:t>
      </w:r>
      <w:r>
        <w:rPr>
          <w:rFonts w:hint="eastAsia" w:eastAsia="仿宋_GB2312"/>
          <w:color w:val="auto"/>
          <w:sz w:val="24"/>
          <w:highlight w:val="none"/>
          <w:u w:val="single"/>
        </w:rPr>
        <w:t xml:space="preserve">                    /             </w:t>
      </w:r>
      <w:r>
        <w:rPr>
          <w:rFonts w:hint="eastAsia" w:eastAsia="仿宋_GB2312"/>
          <w:color w:val="auto"/>
          <w:sz w:val="24"/>
          <w:highlight w:val="none"/>
        </w:rPr>
        <w:t>。</w:t>
      </w:r>
    </w:p>
    <w:p w14:paraId="1C544B12">
      <w:pPr>
        <w:pStyle w:val="8"/>
        <w:spacing w:before="0" w:after="0" w:line="300" w:lineRule="auto"/>
        <w:ind w:firstLine="480" w:firstLineChars="200"/>
        <w:rPr>
          <w:rFonts w:ascii="Times New Roman" w:hAnsi="Times New Roman"/>
          <w:b w:val="0"/>
          <w:color w:val="auto"/>
          <w:sz w:val="24"/>
          <w:szCs w:val="24"/>
          <w:highlight w:val="none"/>
        </w:rPr>
      </w:pPr>
      <w:bookmarkStart w:id="837" w:name="_Toc351203643"/>
      <w:r>
        <w:rPr>
          <w:rFonts w:ascii="Times New Roman" w:hAnsi="Times New Roman"/>
          <w:b w:val="0"/>
          <w:color w:val="auto"/>
          <w:sz w:val="24"/>
          <w:szCs w:val="24"/>
          <w:highlight w:val="none"/>
        </w:rPr>
        <w:t>11. 价格调整</w:t>
      </w:r>
      <w:bookmarkEnd w:id="837"/>
    </w:p>
    <w:p w14:paraId="68D0A7DC">
      <w:pPr>
        <w:adjustRightInd/>
        <w:spacing w:line="300" w:lineRule="auto"/>
        <w:ind w:firstLine="480" w:firstLineChars="200"/>
        <w:rPr>
          <w:rFonts w:eastAsia="黑体"/>
          <w:color w:val="auto"/>
          <w:sz w:val="24"/>
          <w:highlight w:val="none"/>
        </w:rPr>
      </w:pPr>
      <w:bookmarkStart w:id="838" w:name="_Toc300935000"/>
      <w:bookmarkStart w:id="839" w:name="_Toc297120501"/>
      <w:bookmarkStart w:id="840" w:name="_Toc292559911"/>
      <w:bookmarkStart w:id="841" w:name="_Toc297123550"/>
      <w:bookmarkStart w:id="842" w:name="_Toc296891029"/>
      <w:bookmarkStart w:id="843" w:name="_Toc292559406"/>
      <w:bookmarkStart w:id="844" w:name="_Toc297048387"/>
      <w:bookmarkStart w:id="845" w:name="_Toc296944540"/>
      <w:bookmarkStart w:id="846" w:name="_Toc297216209"/>
      <w:bookmarkStart w:id="847" w:name="_Toc304295577"/>
      <w:bookmarkStart w:id="848" w:name="_Toc296891241"/>
      <w:bookmarkStart w:id="849" w:name="_Toc296503201"/>
      <w:bookmarkStart w:id="850" w:name="_Toc303539157"/>
      <w:bookmarkStart w:id="851" w:name="_Toc296346702"/>
      <w:bookmarkStart w:id="852" w:name="_Toc296347200"/>
      <w:bookmarkStart w:id="853" w:name="_Toc312678039"/>
      <w:r>
        <w:rPr>
          <w:rFonts w:eastAsia="黑体"/>
          <w:color w:val="auto"/>
          <w:sz w:val="24"/>
          <w:highlight w:val="none"/>
        </w:rPr>
        <w:t>11.1 市场价格波动引起的调整</w:t>
      </w:r>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27C4973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市场价格波动是否调整合同价格的约定：</w:t>
      </w:r>
      <w:r>
        <w:rPr>
          <w:rFonts w:hint="eastAsia" w:eastAsia="仿宋_GB2312"/>
          <w:color w:val="auto"/>
          <w:sz w:val="24"/>
          <w:highlight w:val="none"/>
          <w:u w:val="single"/>
        </w:rPr>
        <w:t xml:space="preserve">是 </w:t>
      </w:r>
      <w:r>
        <w:rPr>
          <w:rFonts w:eastAsia="仿宋_GB2312"/>
          <w:color w:val="auto"/>
          <w:sz w:val="24"/>
          <w:highlight w:val="none"/>
        </w:rPr>
        <w:t>。</w:t>
      </w:r>
    </w:p>
    <w:p w14:paraId="3BE9C8D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因市场价格波动调整合同价格，采用以下第</w:t>
      </w:r>
      <w:r>
        <w:rPr>
          <w:rFonts w:hint="eastAsia" w:eastAsia="仿宋_GB2312"/>
          <w:color w:val="auto"/>
          <w:sz w:val="24"/>
          <w:highlight w:val="none"/>
          <w:u w:val="single"/>
        </w:rPr>
        <w:t>3</w:t>
      </w:r>
      <w:r>
        <w:rPr>
          <w:rFonts w:eastAsia="仿宋_GB2312"/>
          <w:color w:val="auto"/>
          <w:sz w:val="24"/>
          <w:highlight w:val="none"/>
        </w:rPr>
        <w:t>种方式对合同价格进行调整：</w:t>
      </w:r>
    </w:p>
    <w:p w14:paraId="12CB7C63">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第1种方式：采用价格指数</w:t>
      </w:r>
      <w:r>
        <w:rPr>
          <w:rFonts w:hint="eastAsia" w:eastAsia="仿宋_GB2312"/>
          <w:color w:val="auto"/>
          <w:sz w:val="24"/>
          <w:highlight w:val="none"/>
        </w:rPr>
        <w:t>进行价格</w:t>
      </w:r>
      <w:r>
        <w:rPr>
          <w:rFonts w:eastAsia="仿宋_GB2312"/>
          <w:color w:val="auto"/>
          <w:sz w:val="24"/>
          <w:highlight w:val="none"/>
        </w:rPr>
        <w:t>调整。</w:t>
      </w:r>
    </w:p>
    <w:p w14:paraId="236F9AF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关于各可调因子、定值和变值权重，以及基本价格指数及其来源的约定：</w:t>
      </w:r>
      <w:r>
        <w:rPr>
          <w:rFonts w:hint="eastAsia" w:eastAsia="仿宋_GB2312"/>
          <w:color w:val="auto"/>
          <w:sz w:val="24"/>
          <w:highlight w:val="none"/>
          <w:u w:val="single"/>
        </w:rPr>
        <w:t>/</w:t>
      </w:r>
      <w:r>
        <w:rPr>
          <w:rFonts w:eastAsia="仿宋_GB2312"/>
          <w:color w:val="auto"/>
          <w:sz w:val="24"/>
          <w:highlight w:val="none"/>
        </w:rPr>
        <w:t xml:space="preserve">；  </w:t>
      </w:r>
    </w:p>
    <w:p w14:paraId="0B999828">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第2种方式：采用造价信息</w:t>
      </w:r>
      <w:r>
        <w:rPr>
          <w:rFonts w:hint="eastAsia" w:eastAsia="仿宋_GB2312"/>
          <w:color w:val="auto"/>
          <w:sz w:val="24"/>
          <w:highlight w:val="none"/>
        </w:rPr>
        <w:t>进行价格</w:t>
      </w:r>
      <w:r>
        <w:rPr>
          <w:rFonts w:eastAsia="仿宋_GB2312"/>
          <w:color w:val="auto"/>
          <w:sz w:val="24"/>
          <w:highlight w:val="none"/>
        </w:rPr>
        <w:t>调整。</w:t>
      </w:r>
    </w:p>
    <w:p w14:paraId="1E6EEB82">
      <w:pPr>
        <w:adjustRightInd/>
        <w:spacing w:line="300" w:lineRule="auto"/>
        <w:ind w:firstLine="480" w:firstLineChars="200"/>
        <w:rPr>
          <w:rFonts w:eastAsia="仿宋_GB2312"/>
          <w:color w:val="auto"/>
          <w:sz w:val="24"/>
          <w:highlight w:val="none"/>
        </w:rPr>
      </w:pPr>
      <w:r>
        <w:rPr>
          <w:rFonts w:eastAsia="仿宋_GB2312"/>
          <w:color w:val="auto"/>
          <w:sz w:val="24"/>
          <w:highlight w:val="none"/>
        </w:rPr>
        <w:t>（2）关于基准价格的约定：</w:t>
      </w:r>
      <w:r>
        <w:rPr>
          <w:rFonts w:hint="eastAsia" w:eastAsia="仿宋_GB2312"/>
          <w:color w:val="auto"/>
          <w:sz w:val="24"/>
          <w:highlight w:val="none"/>
          <w:u w:val="single"/>
        </w:rPr>
        <w:t>/</w:t>
      </w:r>
      <w:r>
        <w:rPr>
          <w:rFonts w:eastAsia="仿宋_GB2312"/>
          <w:color w:val="auto"/>
          <w:sz w:val="24"/>
          <w:highlight w:val="none"/>
        </w:rPr>
        <w:t>。</w:t>
      </w:r>
    </w:p>
    <w:p w14:paraId="204D9DD0">
      <w:pPr>
        <w:adjustRightInd/>
        <w:spacing w:line="300" w:lineRule="auto"/>
        <w:ind w:firstLine="645"/>
        <w:rPr>
          <w:rFonts w:ascii="仿宋_GB2312" w:hAnsi="黑体" w:eastAsia="仿宋_GB2312"/>
          <w:b/>
          <w:color w:val="auto"/>
          <w:sz w:val="24"/>
          <w:highlight w:val="none"/>
        </w:rPr>
      </w:pPr>
      <w:r>
        <w:rPr>
          <w:rFonts w:ascii="仿宋_GB2312" w:hAnsi="黑体" w:eastAsia="仿宋_GB2312"/>
          <w:b/>
          <w:color w:val="auto"/>
          <w:sz w:val="24"/>
          <w:highlight w:val="none"/>
        </w:rPr>
        <w:t>第3种方式：</w:t>
      </w:r>
      <w:r>
        <w:rPr>
          <w:rFonts w:hint="eastAsia" w:ascii="仿宋_GB2312" w:hAnsi="黑体" w:eastAsia="仿宋_GB2312"/>
          <w:b/>
          <w:color w:val="auto"/>
          <w:sz w:val="24"/>
          <w:highlight w:val="none"/>
        </w:rPr>
        <w:t>采用政策性文件进行价格调整。</w:t>
      </w:r>
    </w:p>
    <w:p w14:paraId="5CAC0842">
      <w:pPr>
        <w:adjustRightInd/>
        <w:spacing w:line="300" w:lineRule="auto"/>
        <w:ind w:firstLine="645"/>
        <w:rPr>
          <w:rFonts w:ascii="仿宋_GB2312" w:hAnsi="黑体" w:eastAsia="仿宋_GB2312"/>
          <w:b/>
          <w:color w:val="auto"/>
          <w:sz w:val="24"/>
          <w:highlight w:val="none"/>
        </w:rPr>
      </w:pPr>
      <w:r>
        <w:rPr>
          <w:rFonts w:hint="eastAsia" w:ascii="仿宋_GB2312" w:hAnsi="黑体" w:eastAsia="仿宋_GB2312"/>
          <w:b/>
          <w:color w:val="auto"/>
          <w:sz w:val="24"/>
          <w:highlight w:val="none"/>
        </w:rPr>
        <w:t>政府投资工程因市场价格波动引起的调整按以下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一</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约定执行：</w:t>
      </w:r>
    </w:p>
    <w:p w14:paraId="4EC5A1B2">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（一）</w:t>
      </w:r>
      <w:r>
        <w:rPr>
          <w:rFonts w:ascii="仿宋_GB2312" w:hAnsi="黑体" w:eastAsia="仿宋_GB2312"/>
          <w:b/>
          <w:color w:val="auto"/>
          <w:sz w:val="24"/>
          <w:highlight w:val="none"/>
          <w:u w:val="single"/>
        </w:rPr>
        <w:t>按</w:t>
      </w:r>
      <w:r>
        <w:rPr>
          <w:rFonts w:hint="eastAsia" w:ascii="仿宋_GB2312" w:hAnsi="黑体" w:eastAsia="仿宋_GB2312"/>
          <w:b/>
          <w:color w:val="auto"/>
          <w:sz w:val="24"/>
          <w:highlight w:val="none"/>
          <w:u w:val="single"/>
        </w:rPr>
        <w:t>《关于进一步加强杭州市建设工程市场要素价格动态管理的指导意见》（杭建市发〔2018〕579号</w:t>
      </w:r>
      <w:r>
        <w:rPr>
          <w:rFonts w:ascii="仿宋_GB2312" w:hAnsi="黑体" w:eastAsia="仿宋_GB2312"/>
          <w:b/>
          <w:color w:val="auto"/>
          <w:sz w:val="24"/>
          <w:highlight w:val="none"/>
          <w:u w:val="single"/>
        </w:rPr>
        <w:t>）执行</w:t>
      </w:r>
      <w:r>
        <w:rPr>
          <w:rFonts w:hint="eastAsia" w:ascii="仿宋_GB2312" w:hAnsi="黑体" w:eastAsia="仿宋_GB2312"/>
          <w:b/>
          <w:color w:val="auto"/>
          <w:sz w:val="24"/>
          <w:highlight w:val="none"/>
          <w:u w:val="single"/>
        </w:rPr>
        <w:t>《关于增值税调整后我省建设工程计价依据增值税税率及有关计价调整的通知》（浙建建发【2019】92 号）执行 ；</w:t>
      </w:r>
    </w:p>
    <w:p w14:paraId="0ED8FBB7">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（二）其他：                            </w:t>
      </w:r>
      <w:r>
        <w:rPr>
          <w:rFonts w:hint="eastAsia" w:ascii="仿宋_GB2312" w:hAnsi="黑体" w:eastAsia="仿宋_GB2312"/>
          <w:b/>
          <w:color w:val="auto"/>
          <w:sz w:val="24"/>
          <w:highlight w:val="none"/>
        </w:rPr>
        <w:t>。</w:t>
      </w:r>
    </w:p>
    <w:p w14:paraId="353D4AFC">
      <w:pPr>
        <w:adjustRightInd/>
        <w:spacing w:line="300" w:lineRule="auto"/>
        <w:rPr>
          <w:rFonts w:ascii="仿宋_GB2312" w:hAnsi="黑体" w:eastAsia="仿宋_GB2312"/>
          <w:b/>
          <w:color w:val="auto"/>
          <w:sz w:val="24"/>
          <w:highlight w:val="none"/>
        </w:rPr>
      </w:pPr>
      <w:r>
        <w:rPr>
          <w:rFonts w:hint="eastAsia" w:ascii="仿宋_GB2312" w:hAnsi="黑体" w:eastAsia="仿宋_GB2312"/>
          <w:b/>
          <w:color w:val="auto"/>
          <w:sz w:val="24"/>
          <w:highlight w:val="none"/>
        </w:rPr>
        <w:t>其中：</w:t>
      </w:r>
    </w:p>
    <w:p w14:paraId="0B728589">
      <w:pPr>
        <w:adjustRightInd/>
        <w:spacing w:line="300" w:lineRule="auto"/>
        <w:ind w:firstLine="645"/>
        <w:rPr>
          <w:rFonts w:ascii="仿宋_GB2312" w:hAnsi="黑体" w:eastAsia="仿宋_GB2312"/>
          <w:b/>
          <w:color w:val="auto"/>
          <w:sz w:val="24"/>
          <w:highlight w:val="none"/>
        </w:rPr>
      </w:pPr>
      <w:r>
        <w:rPr>
          <w:rFonts w:hint="eastAsia" w:ascii="仿宋_GB2312" w:hAnsi="黑体" w:eastAsia="仿宋_GB2312"/>
          <w:b/>
          <w:color w:val="auto"/>
          <w:sz w:val="24"/>
          <w:highlight w:val="none"/>
        </w:rPr>
        <w:t>1、风险范围及幅度的约定：</w:t>
      </w:r>
    </w:p>
    <w:p w14:paraId="43798008">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（1）人工费的风险幅度（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273193A4">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（2）材料价格的风险幅度（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33F9C129">
      <w:pPr>
        <w:adjustRightInd/>
        <w:spacing w:line="300" w:lineRule="auto"/>
        <w:ind w:firstLine="645"/>
        <w:rPr>
          <w:rFonts w:ascii="仿宋_GB2312" w:hAnsi="黑体" w:eastAsia="仿宋_GB2312"/>
          <w:b/>
          <w:color w:val="auto"/>
          <w:sz w:val="24"/>
          <w:highlight w:val="none"/>
        </w:rPr>
      </w:pPr>
      <w:r>
        <w:rPr>
          <w:rFonts w:hint="eastAsia" w:ascii="仿宋_GB2312" w:hAnsi="黑体" w:eastAsia="仿宋_GB2312"/>
          <w:b/>
          <w:color w:val="auto"/>
          <w:sz w:val="24"/>
          <w:highlight w:val="none"/>
        </w:rPr>
        <w:t>2、材料价款动态调整结算方式采用以下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3</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w:t>
      </w:r>
    </w:p>
    <w:p w14:paraId="0F741FC8">
      <w:pPr>
        <w:adjustRightInd/>
        <w:spacing w:line="300" w:lineRule="auto"/>
        <w:ind w:firstLine="602" w:firstLineChars="25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（1）按时间进度分段结算。                                 </w:t>
      </w:r>
    </w:p>
    <w:p w14:paraId="74F405FB">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（2）按工程形象部位(目标)分段结算。</w:t>
      </w:r>
    </w:p>
    <w:p w14:paraId="50967594">
      <w:pPr>
        <w:adjustRightInd/>
        <w:spacing w:line="300" w:lineRule="auto"/>
        <w:ind w:firstLine="645"/>
        <w:rPr>
          <w:rFonts w:ascii="仿宋_GB2312" w:hAnsi="黑体" w:eastAsia="仿宋_GB2312"/>
          <w:b/>
          <w:color w:val="auto"/>
          <w:sz w:val="24"/>
          <w:highlight w:val="none"/>
        </w:rPr>
      </w:pPr>
      <w:r>
        <w:rPr>
          <w:rFonts w:hint="eastAsia" w:ascii="仿宋_GB2312" w:hAnsi="黑体" w:eastAsia="仿宋_GB2312"/>
          <w:b/>
          <w:color w:val="auto"/>
          <w:sz w:val="24"/>
          <w:highlight w:val="none"/>
          <w:u w:val="single"/>
        </w:rPr>
        <w:t>（3）竣工后一次性结算</w:t>
      </w:r>
      <w:r>
        <w:rPr>
          <w:rFonts w:hint="eastAsia" w:ascii="仿宋_GB2312" w:hAnsi="黑体" w:eastAsia="仿宋_GB2312"/>
          <w:b/>
          <w:color w:val="auto"/>
          <w:sz w:val="24"/>
          <w:highlight w:val="none"/>
        </w:rPr>
        <w:t>。</w:t>
      </w:r>
    </w:p>
    <w:bookmarkEnd w:id="747"/>
    <w:bookmarkEnd w:id="748"/>
    <w:bookmarkEnd w:id="749"/>
    <w:bookmarkEnd w:id="750"/>
    <w:bookmarkEnd w:id="751"/>
    <w:bookmarkEnd w:id="752"/>
    <w:p w14:paraId="3729914C">
      <w:pPr>
        <w:pStyle w:val="8"/>
        <w:spacing w:before="0" w:after="0" w:line="300" w:lineRule="auto"/>
        <w:rPr>
          <w:color w:val="auto"/>
          <w:sz w:val="24"/>
          <w:szCs w:val="24"/>
          <w:highlight w:val="none"/>
        </w:rPr>
      </w:pPr>
      <w:bookmarkStart w:id="854" w:name="_Toc296346706"/>
      <w:bookmarkStart w:id="855" w:name="_Toc296891033"/>
      <w:bookmarkStart w:id="856" w:name="_Toc296347204"/>
      <w:bookmarkStart w:id="857" w:name="_Toc296503205"/>
      <w:bookmarkStart w:id="858" w:name="_Toc292559915"/>
      <w:bookmarkStart w:id="859" w:name="_Toc297120505"/>
      <w:bookmarkStart w:id="860" w:name="_Toc297048391"/>
      <w:bookmarkStart w:id="861" w:name="_Toc296944544"/>
      <w:bookmarkStart w:id="862" w:name="_Toc296891245"/>
      <w:bookmarkStart w:id="863" w:name="_Toc292559410"/>
      <w:bookmarkStart w:id="864" w:name="_Toc312678040"/>
      <w:bookmarkStart w:id="865" w:name="_Toc303539159"/>
      <w:bookmarkStart w:id="866" w:name="_Toc297216211"/>
      <w:bookmarkStart w:id="867" w:name="_Toc297123552"/>
      <w:bookmarkStart w:id="868" w:name="_Toc351203644"/>
      <w:bookmarkStart w:id="869" w:name="_Toc304295579"/>
      <w:bookmarkStart w:id="870" w:name="_Toc300935002"/>
      <w:r>
        <w:rPr>
          <w:color w:val="auto"/>
          <w:sz w:val="24"/>
          <w:szCs w:val="24"/>
          <w:highlight w:val="none"/>
        </w:rPr>
        <w:t xml:space="preserve">12. </w:t>
      </w:r>
      <w:bookmarkEnd w:id="854"/>
      <w:bookmarkEnd w:id="855"/>
      <w:bookmarkEnd w:id="856"/>
      <w:bookmarkEnd w:id="857"/>
      <w:bookmarkEnd w:id="858"/>
      <w:bookmarkEnd w:id="859"/>
      <w:bookmarkEnd w:id="860"/>
      <w:bookmarkEnd w:id="861"/>
      <w:bookmarkEnd w:id="862"/>
      <w:bookmarkEnd w:id="863"/>
      <w:r>
        <w:rPr>
          <w:color w:val="auto"/>
          <w:sz w:val="24"/>
          <w:szCs w:val="24"/>
          <w:highlight w:val="none"/>
        </w:rPr>
        <w:t>合同价格、计量与支付</w:t>
      </w:r>
      <w:bookmarkEnd w:id="864"/>
      <w:bookmarkEnd w:id="865"/>
      <w:bookmarkEnd w:id="866"/>
      <w:bookmarkEnd w:id="867"/>
      <w:bookmarkEnd w:id="868"/>
      <w:bookmarkEnd w:id="869"/>
      <w:bookmarkEnd w:id="870"/>
      <w:bookmarkStart w:id="871" w:name="_Toc292559916"/>
      <w:bookmarkStart w:id="872" w:name="_Toc292559411"/>
      <w:bookmarkStart w:id="873" w:name="_Toc267251461"/>
      <w:bookmarkStart w:id="874" w:name="_Toc296891034"/>
      <w:bookmarkStart w:id="875" w:name="_Toc296347205"/>
      <w:bookmarkStart w:id="876" w:name="_Toc296891246"/>
      <w:bookmarkStart w:id="877" w:name="_Toc297120506"/>
      <w:bookmarkStart w:id="878" w:name="_Toc296346707"/>
      <w:bookmarkStart w:id="879" w:name="_Toc296503206"/>
      <w:bookmarkStart w:id="880" w:name="_Toc296944545"/>
      <w:bookmarkStart w:id="881" w:name="_Toc297048392"/>
      <w:bookmarkStart w:id="882" w:name="_Toc300935003"/>
      <w:bookmarkStart w:id="883" w:name="_Toc304295580"/>
      <w:bookmarkStart w:id="884" w:name="_Toc312678041"/>
      <w:bookmarkStart w:id="885" w:name="_Toc303539160"/>
      <w:bookmarkStart w:id="886" w:name="_Toc297216212"/>
      <w:bookmarkStart w:id="887" w:name="_Toc297123553"/>
    </w:p>
    <w:p w14:paraId="50B7E4FA">
      <w:pPr>
        <w:pStyle w:val="8"/>
        <w:spacing w:before="0" w:after="0" w:line="300" w:lineRule="auto"/>
        <w:ind w:firstLine="482" w:firstLineChars="200"/>
        <w:rPr>
          <w:rFonts w:ascii="Times New Roman" w:hAnsi="Times New Roman"/>
          <w:b w:val="0"/>
          <w:color w:val="auto"/>
          <w:sz w:val="24"/>
          <w:szCs w:val="24"/>
          <w:highlight w:val="none"/>
        </w:rPr>
      </w:pPr>
      <w:r>
        <w:rPr>
          <w:color w:val="auto"/>
          <w:sz w:val="24"/>
          <w:szCs w:val="24"/>
          <w:highlight w:val="none"/>
        </w:rPr>
        <w:t>12.1 合</w:t>
      </w:r>
      <w:bookmarkEnd w:id="871"/>
      <w:bookmarkEnd w:id="872"/>
      <w:bookmarkEnd w:id="873"/>
      <w:r>
        <w:rPr>
          <w:color w:val="auto"/>
          <w:sz w:val="24"/>
          <w:szCs w:val="24"/>
          <w:highlight w:val="none"/>
        </w:rPr>
        <w:t>同价</w:t>
      </w:r>
      <w:bookmarkEnd w:id="874"/>
      <w:bookmarkEnd w:id="875"/>
      <w:bookmarkEnd w:id="876"/>
      <w:bookmarkEnd w:id="877"/>
      <w:bookmarkEnd w:id="878"/>
      <w:bookmarkEnd w:id="879"/>
      <w:bookmarkEnd w:id="880"/>
      <w:bookmarkEnd w:id="881"/>
      <w:r>
        <w:rPr>
          <w:color w:val="auto"/>
          <w:sz w:val="24"/>
          <w:szCs w:val="24"/>
          <w:highlight w:val="none"/>
        </w:rPr>
        <w:t>格形式</w:t>
      </w:r>
    </w:p>
    <w:bookmarkEnd w:id="882"/>
    <w:bookmarkEnd w:id="883"/>
    <w:bookmarkEnd w:id="884"/>
    <w:bookmarkEnd w:id="885"/>
    <w:bookmarkEnd w:id="886"/>
    <w:bookmarkEnd w:id="887"/>
    <w:p w14:paraId="39D838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w:t>
      </w:r>
    </w:p>
    <w:p w14:paraId="370B562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综合单价包含的风险范围：</w:t>
      </w:r>
    </w:p>
    <w:p w14:paraId="48F4C90B">
      <w:pPr>
        <w:adjustRightInd/>
        <w:spacing w:line="300" w:lineRule="auto"/>
        <w:ind w:firstLine="480" w:firstLineChars="200"/>
        <w:rPr>
          <w:rFonts w:ascii="仿宋_GB2312" w:eastAsia="仿宋_GB2312"/>
          <w:bCs/>
          <w:color w:val="auto"/>
          <w:sz w:val="24"/>
          <w:highlight w:val="none"/>
          <w:u w:val="single"/>
        </w:rPr>
      </w:pPr>
      <w:r>
        <w:rPr>
          <w:rFonts w:hint="eastAsia" w:ascii="仿宋_GB2312" w:eastAsia="仿宋_GB2312"/>
          <w:bCs/>
          <w:color w:val="auto"/>
          <w:sz w:val="24"/>
          <w:highlight w:val="none"/>
        </w:rPr>
        <w:t>（1）</w:t>
      </w:r>
      <w:r>
        <w:rPr>
          <w:rFonts w:hint="eastAsia" w:ascii="仿宋_GB2312" w:eastAsia="仿宋_GB2312"/>
          <w:bCs/>
          <w:color w:val="auto"/>
          <w:sz w:val="24"/>
          <w:highlight w:val="none"/>
          <w:u w:val="single"/>
        </w:rPr>
        <w:t>应由承包人承担的工、料、机在投标编制期或预算书编制期与合同实施期间所发生的市场价格波动。</w:t>
      </w:r>
    </w:p>
    <w:p w14:paraId="71D191A5">
      <w:pPr>
        <w:adjustRightInd/>
        <w:spacing w:line="300" w:lineRule="auto"/>
        <w:ind w:firstLine="480" w:firstLineChars="200"/>
        <w:rPr>
          <w:rFonts w:ascii="黑体" w:eastAsia="仿宋_GB2312"/>
          <w:bCs/>
          <w:color w:val="auto"/>
          <w:sz w:val="24"/>
          <w:highlight w:val="none"/>
          <w:u w:val="single"/>
        </w:rPr>
      </w:pPr>
      <w:r>
        <w:rPr>
          <w:rFonts w:hint="eastAsia" w:ascii="仿宋_GB2312" w:eastAsia="仿宋_GB2312"/>
          <w:bCs/>
          <w:color w:val="auto"/>
          <w:sz w:val="24"/>
          <w:highlight w:val="none"/>
        </w:rPr>
        <w:t>（2）</w:t>
      </w:r>
      <w:r>
        <w:rPr>
          <w:rFonts w:hint="eastAsia" w:ascii="黑体" w:eastAsia="仿宋_GB2312"/>
          <w:bCs/>
          <w:color w:val="auto"/>
          <w:sz w:val="24"/>
          <w:highlight w:val="none"/>
          <w:u w:val="single"/>
        </w:rPr>
        <w:t>其他：a、承包人可以或应该能预见的风险（诸如中、高考引起的停工）；b、现行预算定额或计价规范未描述到，但又是完成分项工程必须有的工作内容，均应包括在报价内；c、材料价格的正常波动（合同约定的风险幅度范围内的涨跌）；d、施工期间非连续8小时停水、停电引起的费用增加；e、投标不平衡报价风险。</w:t>
      </w:r>
    </w:p>
    <w:p w14:paraId="0FCD614D">
      <w:pPr>
        <w:adjustRightInd/>
        <w:spacing w:line="300" w:lineRule="auto"/>
        <w:ind w:firstLine="480" w:firstLineChars="200"/>
        <w:rPr>
          <w:rFonts w:ascii="黑体" w:eastAsia="仿宋_GB2312"/>
          <w:bCs/>
          <w:color w:val="auto"/>
          <w:sz w:val="24"/>
          <w:highlight w:val="none"/>
          <w:u w:val="single"/>
        </w:rPr>
      </w:pPr>
      <w:r>
        <w:rPr>
          <w:rFonts w:hint="eastAsia" w:eastAsia="仿宋_GB2312"/>
          <w:color w:val="auto"/>
          <w:sz w:val="24"/>
          <w:highlight w:val="none"/>
        </w:rPr>
        <w:t>风险费用的计算方法</w:t>
      </w:r>
      <w:r>
        <w:rPr>
          <w:rFonts w:eastAsia="仿宋_GB2312"/>
          <w:color w:val="auto"/>
          <w:sz w:val="24"/>
          <w:highlight w:val="none"/>
        </w:rPr>
        <w:t>：</w:t>
      </w:r>
      <w:r>
        <w:rPr>
          <w:rFonts w:hint="eastAsia" w:ascii="黑体" w:eastAsia="仿宋_GB2312"/>
          <w:bCs/>
          <w:color w:val="auto"/>
          <w:sz w:val="24"/>
          <w:highlight w:val="none"/>
          <w:u w:val="single"/>
        </w:rPr>
        <w:t>以上风险费用已在投标报价时考虑，不再另行计取。</w:t>
      </w:r>
    </w:p>
    <w:p w14:paraId="551A9246">
      <w:pPr>
        <w:pStyle w:val="45"/>
        <w:tabs>
          <w:tab w:val="right" w:leader="dot" w:pos="8296"/>
        </w:tabs>
        <w:rPr>
          <w:rFonts w:eastAsia="仿宋_GB2312"/>
          <w:color w:val="auto"/>
          <w:sz w:val="24"/>
          <w:highlight w:val="none"/>
        </w:rPr>
      </w:pPr>
      <w:r>
        <w:rPr>
          <w:rFonts w:hint="eastAsia" w:eastAsia="仿宋_GB2312"/>
          <w:color w:val="auto"/>
          <w:sz w:val="24"/>
          <w:highlight w:val="none"/>
        </w:rPr>
        <w:t>风险范围以外合同价格的调整方法：</w:t>
      </w:r>
    </w:p>
    <w:p w14:paraId="776A7652">
      <w:pPr>
        <w:adjustRightInd/>
        <w:spacing w:line="300" w:lineRule="auto"/>
        <w:ind w:firstLine="482" w:firstLineChars="200"/>
        <w:rPr>
          <w:rFonts w:ascii="黑体" w:hAnsi="黑体" w:eastAsia="仿宋_GB2312"/>
          <w:b/>
          <w:color w:val="auto"/>
          <w:sz w:val="24"/>
          <w:highlight w:val="none"/>
          <w:u w:val="single"/>
        </w:rPr>
      </w:pPr>
      <w:r>
        <w:rPr>
          <w:rFonts w:hint="eastAsia" w:ascii="仿宋_GB2312" w:eastAsia="仿宋_GB2312"/>
          <w:b/>
          <w:color w:val="auto"/>
          <w:sz w:val="24"/>
          <w:highlight w:val="none"/>
        </w:rPr>
        <w:t>（1）</w:t>
      </w:r>
      <w:r>
        <w:rPr>
          <w:rFonts w:hint="eastAsia" w:ascii="黑体" w:hAnsi="黑体" w:eastAsia="仿宋_GB2312"/>
          <w:b/>
          <w:color w:val="auto"/>
          <w:sz w:val="24"/>
          <w:highlight w:val="none"/>
          <w:u w:val="single"/>
        </w:rPr>
        <w:t>市场价格波动引起的调整按本合同11.1第3种方式的约定计算</w:t>
      </w:r>
      <w:r>
        <w:rPr>
          <w:rFonts w:hint="eastAsia" w:ascii="黑体" w:hAnsi="黑体" w:eastAsia="仿宋_GB2312"/>
          <w:b/>
          <w:color w:val="auto"/>
          <w:sz w:val="24"/>
          <w:highlight w:val="none"/>
        </w:rPr>
        <w:t>。</w:t>
      </w:r>
    </w:p>
    <w:p w14:paraId="4A4A2166">
      <w:pPr>
        <w:adjustRightInd/>
        <w:spacing w:line="300" w:lineRule="auto"/>
        <w:ind w:firstLine="504" w:firstLineChars="209"/>
        <w:rPr>
          <w:rFonts w:ascii="黑体"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黑体" w:hAnsi="黑体" w:eastAsia="仿宋_GB2312"/>
          <w:b/>
          <w:color w:val="auto"/>
          <w:sz w:val="24"/>
          <w:highlight w:val="none"/>
          <w:u w:val="single"/>
        </w:rPr>
        <w:t>其他：</w:t>
      </w:r>
    </w:p>
    <w:p w14:paraId="18F01867">
      <w:pPr>
        <w:adjustRightInd/>
        <w:spacing w:line="300" w:lineRule="auto"/>
        <w:ind w:firstLine="504" w:firstLineChars="210"/>
        <w:rPr>
          <w:rFonts w:ascii="黑体" w:hAnsi="黑体" w:eastAsia="仿宋_GB2312"/>
          <w:color w:val="auto"/>
          <w:sz w:val="24"/>
          <w:highlight w:val="none"/>
          <w:u w:val="single"/>
        </w:rPr>
      </w:pPr>
      <w:r>
        <w:rPr>
          <w:rFonts w:hint="eastAsia" w:ascii="黑体" w:hAnsi="黑体" w:eastAsia="仿宋_GB2312"/>
          <w:color w:val="auto"/>
          <w:sz w:val="24"/>
          <w:highlight w:val="none"/>
          <w:u w:val="single"/>
        </w:rPr>
        <w:t>a、工程量按照《建设工程工程量清单计价规范》（GB50500-2013）、《浙江省建筑工程工程量清单计价指引（2013 版）》规定计算；b、由于工程量清单计算偏差、设计变更、施工联系单签证等发生的工程量增减，按照</w:t>
      </w:r>
      <w:r>
        <w:rPr>
          <w:rFonts w:hint="eastAsia" w:ascii="仿宋_GB2312" w:eastAsia="仿宋_GB2312"/>
          <w:color w:val="auto"/>
          <w:sz w:val="24"/>
          <w:highlight w:val="none"/>
          <w:u w:val="single"/>
        </w:rPr>
        <w:t>《杭州市建设工程工程量清单计价实施细则》(杭建市发〔2018〕578号)</w:t>
      </w:r>
      <w:r>
        <w:rPr>
          <w:rFonts w:hint="eastAsia" w:ascii="黑体" w:hAnsi="黑体" w:eastAsia="仿宋_GB2312"/>
          <w:color w:val="auto"/>
          <w:sz w:val="24"/>
          <w:highlight w:val="none"/>
          <w:u w:val="single"/>
        </w:rPr>
        <w:t>相关规定执行（招标文件或合同中另有约定的除外）；c、承包人投标时，材料设备有推荐的，在工程实施过程中，当所有推荐的品牌、规格型号、产品系列因停产等原因导致市场均无法采购的，须经发包人同意后选用不低于投标时技术标准和要求的产品 。</w:t>
      </w:r>
    </w:p>
    <w:p w14:paraId="4DE4F2CC">
      <w:pPr>
        <w:adjustRightInd/>
        <w:spacing w:line="300" w:lineRule="auto"/>
        <w:ind w:firstLine="504" w:firstLineChars="210"/>
        <w:rPr>
          <w:rFonts w:eastAsia="仿宋_GB2312"/>
          <w:color w:val="auto"/>
          <w:sz w:val="24"/>
          <w:highlight w:val="none"/>
        </w:rPr>
      </w:pPr>
      <w:r>
        <w:rPr>
          <w:rFonts w:eastAsia="仿宋_GB2312"/>
          <w:color w:val="auto"/>
          <w:sz w:val="24"/>
          <w:highlight w:val="none"/>
        </w:rPr>
        <w:t>2、总价合同。</w:t>
      </w:r>
    </w:p>
    <w:p w14:paraId="63434B9B">
      <w:pPr>
        <w:adjustRightInd/>
        <w:spacing w:line="300" w:lineRule="auto"/>
        <w:ind w:firstLine="480" w:firstLineChars="200"/>
        <w:rPr>
          <w:rFonts w:ascii="仿宋_GB2312" w:hAnsi="仿宋_GB2312" w:eastAsia="仿宋_GB2312"/>
          <w:color w:val="auto"/>
          <w:sz w:val="24"/>
          <w:highlight w:val="none"/>
        </w:rPr>
      </w:pPr>
      <w:r>
        <w:rPr>
          <w:rFonts w:eastAsia="仿宋_GB2312"/>
          <w:color w:val="auto"/>
          <w:sz w:val="24"/>
          <w:highlight w:val="none"/>
        </w:rPr>
        <w:t>总价包含的风险范围</w:t>
      </w:r>
      <w:r>
        <w:rPr>
          <w:rFonts w:ascii="仿宋_GB2312" w:hAnsi="仿宋_GB2312" w:eastAsia="仿宋_GB2312"/>
          <w:color w:val="auto"/>
          <w:sz w:val="24"/>
          <w:highlight w:val="none"/>
        </w:rPr>
        <w:t>：</w:t>
      </w:r>
      <w:r>
        <w:rPr>
          <w:rFonts w:hint="eastAsia" w:ascii="仿宋_GB2312" w:hAnsi="仿宋_GB2312" w:eastAsia="仿宋_GB2312"/>
          <w:color w:val="auto"/>
          <w:sz w:val="24"/>
          <w:highlight w:val="none"/>
          <w:u w:val="single"/>
        </w:rPr>
        <w:t xml:space="preserve">         /        </w:t>
      </w:r>
      <w:r>
        <w:rPr>
          <w:rFonts w:eastAsia="仿宋_GB2312"/>
          <w:color w:val="auto"/>
          <w:sz w:val="24"/>
          <w:highlight w:val="none"/>
        </w:rPr>
        <w:t>。</w:t>
      </w:r>
    </w:p>
    <w:p w14:paraId="27B86E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风险费用的计算方法：</w:t>
      </w:r>
      <w:r>
        <w:rPr>
          <w:rFonts w:hint="eastAsia" w:eastAsia="仿宋_GB2312"/>
          <w:color w:val="auto"/>
          <w:sz w:val="24"/>
          <w:highlight w:val="none"/>
          <w:u w:val="single"/>
        </w:rPr>
        <w:t xml:space="preserve">/   </w:t>
      </w:r>
      <w:r>
        <w:rPr>
          <w:rFonts w:eastAsia="仿宋_GB2312"/>
          <w:color w:val="auto"/>
          <w:sz w:val="24"/>
          <w:highlight w:val="none"/>
        </w:rPr>
        <w:t>。</w:t>
      </w:r>
    </w:p>
    <w:p w14:paraId="697F5AC1">
      <w:pPr>
        <w:adjustRightInd/>
        <w:spacing w:line="300" w:lineRule="auto"/>
        <w:ind w:firstLine="480" w:firstLineChars="200"/>
        <w:rPr>
          <w:rFonts w:ascii="黑体" w:hAnsi="黑体" w:eastAsia="黑体"/>
          <w:b/>
          <w:color w:val="auto"/>
          <w:sz w:val="24"/>
          <w:highlight w:val="none"/>
          <w:u w:val="single"/>
        </w:rPr>
      </w:pPr>
      <w:r>
        <w:rPr>
          <w:rFonts w:eastAsia="仿宋_GB2312"/>
          <w:color w:val="auto"/>
          <w:sz w:val="24"/>
          <w:highlight w:val="none"/>
        </w:rPr>
        <w:t>风险范围以外合同价格的调整</w:t>
      </w:r>
      <w:r>
        <w:rPr>
          <w:rFonts w:hint="eastAsia" w:eastAsia="仿宋_GB2312"/>
          <w:color w:val="auto"/>
          <w:sz w:val="24"/>
          <w:highlight w:val="none"/>
        </w:rPr>
        <w:t>方法：</w:t>
      </w:r>
      <w:r>
        <w:rPr>
          <w:rFonts w:hint="eastAsia" w:eastAsia="仿宋_GB2312"/>
          <w:color w:val="auto"/>
          <w:sz w:val="24"/>
          <w:highlight w:val="none"/>
          <w:u w:val="single"/>
        </w:rPr>
        <w:t xml:space="preserve">     /         </w:t>
      </w:r>
      <w:r>
        <w:rPr>
          <w:rFonts w:ascii="黑体" w:hAnsi="黑体" w:eastAsia="黑体"/>
          <w:color w:val="auto"/>
          <w:sz w:val="24"/>
          <w:highlight w:val="none"/>
        </w:rPr>
        <w:t>。</w:t>
      </w:r>
    </w:p>
    <w:p w14:paraId="55C9855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3、其他价格方式：</w:t>
      </w:r>
      <w:r>
        <w:rPr>
          <w:rFonts w:hint="eastAsia" w:eastAsia="仿宋_GB2312"/>
          <w:color w:val="auto"/>
          <w:sz w:val="24"/>
          <w:highlight w:val="none"/>
          <w:u w:val="single"/>
        </w:rPr>
        <w:t>/</w:t>
      </w:r>
      <w:r>
        <w:rPr>
          <w:rFonts w:eastAsia="仿宋_GB2312"/>
          <w:color w:val="auto"/>
          <w:sz w:val="24"/>
          <w:highlight w:val="none"/>
        </w:rPr>
        <w:t>。</w:t>
      </w:r>
    </w:p>
    <w:p w14:paraId="2F0E262A">
      <w:pPr>
        <w:adjustRightInd/>
        <w:spacing w:line="300" w:lineRule="auto"/>
        <w:ind w:firstLine="480" w:firstLineChars="200"/>
        <w:rPr>
          <w:rFonts w:eastAsia="黑体"/>
          <w:color w:val="auto"/>
          <w:sz w:val="24"/>
          <w:highlight w:val="none"/>
        </w:rPr>
      </w:pPr>
      <w:bookmarkStart w:id="888" w:name="_Toc297216213"/>
      <w:bookmarkStart w:id="889" w:name="_Toc312678042"/>
      <w:bookmarkStart w:id="890" w:name="_Toc297123554"/>
      <w:bookmarkStart w:id="891" w:name="_Toc304295581"/>
      <w:bookmarkStart w:id="892" w:name="_Toc300935004"/>
      <w:bookmarkStart w:id="893" w:name="_Toc303539161"/>
      <w:bookmarkStart w:id="894" w:name="_Toc297048393"/>
      <w:bookmarkStart w:id="895" w:name="_Toc292559412"/>
      <w:bookmarkStart w:id="896" w:name="_Toc296503207"/>
      <w:bookmarkStart w:id="897" w:name="_Toc296346708"/>
      <w:bookmarkStart w:id="898" w:name="_Toc297120507"/>
      <w:bookmarkStart w:id="899" w:name="_Toc296891035"/>
      <w:bookmarkStart w:id="900" w:name="_Toc296347206"/>
      <w:bookmarkStart w:id="901" w:name="_Toc292559917"/>
      <w:bookmarkStart w:id="902" w:name="_Toc296944546"/>
      <w:bookmarkStart w:id="903" w:name="_Toc296891247"/>
      <w:r>
        <w:rPr>
          <w:rFonts w:eastAsia="黑体"/>
          <w:color w:val="auto"/>
          <w:sz w:val="24"/>
          <w:highlight w:val="none"/>
        </w:rPr>
        <w:t>12.2 预付款</w:t>
      </w:r>
    </w:p>
    <w:bookmarkEnd w:id="888"/>
    <w:bookmarkEnd w:id="889"/>
    <w:bookmarkEnd w:id="890"/>
    <w:bookmarkEnd w:id="891"/>
    <w:bookmarkEnd w:id="892"/>
    <w:bookmarkEnd w:id="893"/>
    <w:p w14:paraId="4CDAE9E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12.2.1 预付款的支付</w:t>
      </w:r>
    </w:p>
    <w:p w14:paraId="054B47AA">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预付款支付比例或金额：</w:t>
      </w:r>
      <w:r>
        <w:rPr>
          <w:rFonts w:hint="eastAsia" w:eastAsia="仿宋_GB2312"/>
          <w:color w:val="auto"/>
          <w:sz w:val="24"/>
          <w:highlight w:val="none"/>
          <w:u w:val="single"/>
        </w:rPr>
        <w:t xml:space="preserve">合同价（扣除暂列金额、单独支付的安全文明施工费）的70% </w:t>
      </w:r>
      <w:r>
        <w:rPr>
          <w:rFonts w:eastAsia="仿宋_GB2312"/>
          <w:color w:val="auto"/>
          <w:sz w:val="24"/>
          <w:highlight w:val="none"/>
        </w:rPr>
        <w:t>。</w:t>
      </w:r>
    </w:p>
    <w:p w14:paraId="3408FFF4">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预付款支付期限：</w:t>
      </w:r>
      <w:r>
        <w:rPr>
          <w:rFonts w:hint="eastAsia" w:eastAsia="仿宋_GB2312"/>
          <w:color w:val="auto"/>
          <w:sz w:val="24"/>
          <w:highlight w:val="none"/>
          <w:u w:val="single"/>
        </w:rPr>
        <w:t>在合同签订10天后，自承包人的关键设备和主要人员到达施工现场，并经监理工程师核实、发包人批准后，发包人向承包人支付预付款</w:t>
      </w:r>
      <w:r>
        <w:rPr>
          <w:rFonts w:eastAsia="仿宋_GB2312"/>
          <w:color w:val="auto"/>
          <w:sz w:val="24"/>
          <w:highlight w:val="none"/>
        </w:rPr>
        <w:t>。</w:t>
      </w:r>
    </w:p>
    <w:p w14:paraId="584FFA26">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预付款扣回的方式</w:t>
      </w:r>
      <w:r>
        <w:rPr>
          <w:rFonts w:hint="eastAsia" w:eastAsia="仿宋_GB2312"/>
          <w:color w:val="auto"/>
          <w:sz w:val="24"/>
          <w:highlight w:val="none"/>
        </w:rPr>
        <w:t>：</w:t>
      </w:r>
      <w:r>
        <w:rPr>
          <w:rFonts w:hint="eastAsia" w:eastAsia="仿宋_GB2312"/>
          <w:color w:val="auto"/>
          <w:sz w:val="24"/>
          <w:highlight w:val="none"/>
          <w:u w:val="single"/>
        </w:rPr>
        <w:t>工程开工后逐步扣回，每月按本月已完成工程量的30</w:t>
      </w:r>
      <w:r>
        <w:rPr>
          <w:rFonts w:eastAsia="仿宋_GB2312"/>
          <w:color w:val="auto"/>
          <w:sz w:val="24"/>
          <w:highlight w:val="none"/>
          <w:u w:val="single"/>
        </w:rPr>
        <w:t>%</w:t>
      </w:r>
      <w:r>
        <w:rPr>
          <w:rFonts w:hint="eastAsia" w:eastAsia="仿宋_GB2312"/>
          <w:color w:val="auto"/>
          <w:sz w:val="24"/>
          <w:highlight w:val="none"/>
          <w:u w:val="single"/>
        </w:rPr>
        <w:t>扣回，并在工程进度款支付到合同价的50</w:t>
      </w:r>
      <w:r>
        <w:rPr>
          <w:rFonts w:eastAsia="仿宋_GB2312"/>
          <w:color w:val="auto"/>
          <w:sz w:val="24"/>
          <w:highlight w:val="none"/>
          <w:u w:val="single"/>
        </w:rPr>
        <w:t>%</w:t>
      </w:r>
      <w:r>
        <w:rPr>
          <w:rFonts w:hint="eastAsia" w:eastAsia="仿宋_GB2312"/>
          <w:color w:val="auto"/>
          <w:sz w:val="24"/>
          <w:highlight w:val="none"/>
          <w:u w:val="single"/>
        </w:rPr>
        <w:t>前扣清</w:t>
      </w:r>
      <w:r>
        <w:rPr>
          <w:rFonts w:eastAsia="仿宋_GB2312"/>
          <w:color w:val="auto"/>
          <w:sz w:val="24"/>
          <w:highlight w:val="none"/>
          <w:u w:val="single"/>
        </w:rPr>
        <w:t>。</w:t>
      </w:r>
    </w:p>
    <w:p w14:paraId="0F3C5AB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12.2.2 预付款担保</w:t>
      </w:r>
    </w:p>
    <w:p w14:paraId="197139A9">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承包人提交预付款担保的期限：</w:t>
      </w:r>
      <w:r>
        <w:rPr>
          <w:rFonts w:hint="eastAsia" w:eastAsia="仿宋_GB2312"/>
          <w:color w:val="auto"/>
          <w:sz w:val="24"/>
          <w:highlight w:val="none"/>
          <w:u w:val="single"/>
        </w:rPr>
        <w:t>/</w:t>
      </w:r>
      <w:r>
        <w:rPr>
          <w:rFonts w:eastAsia="仿宋_GB2312"/>
          <w:color w:val="auto"/>
          <w:sz w:val="24"/>
          <w:highlight w:val="none"/>
        </w:rPr>
        <w:t>。</w:t>
      </w:r>
    </w:p>
    <w:p w14:paraId="27BDC2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预付款担保的形式为：</w:t>
      </w:r>
      <w:r>
        <w:rPr>
          <w:rFonts w:hint="eastAsia" w:eastAsia="仿宋_GB2312"/>
          <w:color w:val="auto"/>
          <w:sz w:val="24"/>
          <w:highlight w:val="none"/>
          <w:u w:val="single"/>
        </w:rPr>
        <w:t>/</w:t>
      </w:r>
      <w:r>
        <w:rPr>
          <w:rFonts w:eastAsia="仿宋_GB2312"/>
          <w:color w:val="auto"/>
          <w:sz w:val="24"/>
          <w:highlight w:val="none"/>
        </w:rPr>
        <w:t>。</w:t>
      </w:r>
    </w:p>
    <w:bookmarkEnd w:id="894"/>
    <w:bookmarkEnd w:id="895"/>
    <w:bookmarkEnd w:id="896"/>
    <w:bookmarkEnd w:id="897"/>
    <w:bookmarkEnd w:id="898"/>
    <w:bookmarkEnd w:id="899"/>
    <w:bookmarkEnd w:id="900"/>
    <w:bookmarkEnd w:id="901"/>
    <w:bookmarkEnd w:id="902"/>
    <w:bookmarkEnd w:id="903"/>
    <w:p w14:paraId="35E2BFEA">
      <w:pPr>
        <w:adjustRightInd/>
        <w:spacing w:line="300" w:lineRule="auto"/>
        <w:ind w:firstLine="480" w:firstLineChars="200"/>
        <w:rPr>
          <w:rFonts w:eastAsia="黑体"/>
          <w:color w:val="auto"/>
          <w:sz w:val="24"/>
          <w:highlight w:val="none"/>
        </w:rPr>
      </w:pPr>
      <w:r>
        <w:rPr>
          <w:rFonts w:eastAsia="黑体"/>
          <w:color w:val="auto"/>
          <w:sz w:val="24"/>
          <w:highlight w:val="none"/>
        </w:rPr>
        <w:t>12.3 计量</w:t>
      </w:r>
    </w:p>
    <w:p w14:paraId="56E9560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12.3.1 计量原则</w:t>
      </w:r>
    </w:p>
    <w:p w14:paraId="5095A16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工程量计算规则：</w:t>
      </w:r>
    </w:p>
    <w:p w14:paraId="175DF756">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（1）</w:t>
      </w:r>
      <w:r>
        <w:rPr>
          <w:rFonts w:hint="eastAsia" w:ascii="仿宋_GB2312" w:hAnsi="黑体" w:eastAsia="仿宋_GB2312"/>
          <w:b/>
          <w:color w:val="auto"/>
          <w:sz w:val="24"/>
          <w:highlight w:val="none"/>
          <w:u w:val="single"/>
        </w:rPr>
        <w:t>实行工程量清单计价的工程项目，其工程量的计算规则应按国家标准工程量计算规范及省级行业主管部门颁布的补充规定执行。</w:t>
      </w:r>
    </w:p>
    <w:p w14:paraId="0AE66EF2">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仿宋_GB2312" w:hAnsi="黑体" w:eastAsia="仿宋_GB2312"/>
          <w:b/>
          <w:color w:val="auto"/>
          <w:sz w:val="24"/>
          <w:highlight w:val="none"/>
          <w:u w:val="single"/>
        </w:rPr>
        <w:t>不实行工程量清单计价的工程项目，工程量的计算规则应按省、市行业主管部门颁布的各专业工程定额的工程量计算规则执行。</w:t>
      </w:r>
    </w:p>
    <w:p w14:paraId="453ADF1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12.3.2 计量周期</w:t>
      </w:r>
    </w:p>
    <w:p w14:paraId="7E8CDFB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关于计量周期的约定：</w:t>
      </w:r>
      <w:r>
        <w:rPr>
          <w:rFonts w:hint="eastAsia" w:eastAsia="仿宋_GB2312"/>
          <w:color w:val="auto"/>
          <w:sz w:val="24"/>
          <w:highlight w:val="none"/>
          <w:u w:val="single"/>
        </w:rPr>
        <w:t>按月计量</w:t>
      </w:r>
      <w:r>
        <w:rPr>
          <w:rFonts w:eastAsia="仿宋_GB2312"/>
          <w:color w:val="auto"/>
          <w:sz w:val="24"/>
          <w:highlight w:val="none"/>
          <w:u w:val="single"/>
        </w:rPr>
        <w:t>。</w:t>
      </w:r>
    </w:p>
    <w:p w14:paraId="7D6EC345">
      <w:pPr>
        <w:adjustRightInd/>
        <w:spacing w:line="300" w:lineRule="auto"/>
        <w:ind w:firstLine="420" w:firstLineChars="175"/>
        <w:rPr>
          <w:rFonts w:eastAsia="仿宋_GB2312"/>
          <w:color w:val="auto"/>
          <w:sz w:val="24"/>
          <w:highlight w:val="none"/>
        </w:rPr>
      </w:pPr>
      <w:r>
        <w:rPr>
          <w:rFonts w:eastAsia="仿宋_GB2312"/>
          <w:color w:val="auto"/>
          <w:sz w:val="24"/>
          <w:highlight w:val="none"/>
        </w:rPr>
        <w:t>12.3.3 单价合同的计量</w:t>
      </w:r>
    </w:p>
    <w:p w14:paraId="1D4627FA">
      <w:pPr>
        <w:pStyle w:val="897"/>
        <w:spacing w:before="312" w:beforeLines="100" w:after="312" w:afterLines="100" w:line="300" w:lineRule="auto"/>
        <w:ind w:left="420" w:firstLine="482" w:firstLineChars="0"/>
        <w:rPr>
          <w:rFonts w:eastAsia="仿宋_GB2312"/>
          <w:color w:val="auto"/>
          <w:highlight w:val="none"/>
          <w:u w:val="single"/>
        </w:rPr>
      </w:pPr>
      <w:r>
        <w:rPr>
          <w:rFonts w:eastAsia="仿宋_GB2312"/>
          <w:color w:val="auto"/>
          <w:highlight w:val="none"/>
        </w:rPr>
        <w:t>关于单价合同计量的约定：</w:t>
      </w:r>
      <w:r>
        <w:rPr>
          <w:rFonts w:hint="eastAsia" w:eastAsia="仿宋_GB2312"/>
          <w:color w:val="auto"/>
          <w:highlight w:val="none"/>
          <w:u w:val="single"/>
        </w:rPr>
        <w:t>(1)承包人应于每月25日向监理人报送上月20日至当月19日已完成的工程量报告，并附具已完成工程量报表、有关资料及下月计划（加盖承包人公章或该项目专用章）。如未按期上报的，则当月工程量不予计量，延期至下月，相应月度的进度款也延至下月审核并支付。</w:t>
      </w:r>
    </w:p>
    <w:p w14:paraId="277869AE">
      <w:pPr>
        <w:pStyle w:val="897"/>
        <w:spacing w:before="312" w:beforeLines="100" w:after="312" w:afterLines="100" w:line="300" w:lineRule="auto"/>
        <w:ind w:left="420" w:firstLine="480"/>
        <w:rPr>
          <w:rFonts w:eastAsia="仿宋_GB2312"/>
          <w:color w:val="auto"/>
          <w:highlight w:val="none"/>
          <w:u w:val="single"/>
        </w:rPr>
      </w:pPr>
      <w:r>
        <w:rPr>
          <w:rFonts w:hint="eastAsia" w:eastAsia="仿宋_GB2312"/>
          <w:color w:val="auto"/>
          <w:highlight w:val="none"/>
          <w:u w:val="single"/>
        </w:rPr>
        <w:t>(2)监理人在收到承包人提交的工程量报告后7个工作日内完成对承包人提交的工程量报表的审核并报送发包人，承包人当月实际完成的工程量以发包人最终核定的为准。监理人对工程量有异议的，有权要求承包人进行共同复核或抽样复测。承包人应协助监理人进行复核或抽样复测，并按监理人要求提供补充计量资料。承包人未按监理人要求参加复核或抽样复测的，监理人复核或修正并最终经发包人核定的工程量视为承包人实际完成的工程量。</w:t>
      </w:r>
    </w:p>
    <w:p w14:paraId="517AF31B">
      <w:pPr>
        <w:pStyle w:val="897"/>
        <w:spacing w:before="312" w:beforeLines="100" w:after="312" w:afterLines="100" w:line="300" w:lineRule="auto"/>
        <w:ind w:left="420" w:firstLine="482" w:firstLineChars="0"/>
        <w:rPr>
          <w:rFonts w:eastAsia="仿宋_GB2312"/>
          <w:color w:val="auto"/>
          <w:highlight w:val="none"/>
          <w:u w:val="single"/>
        </w:rPr>
      </w:pPr>
      <w:r>
        <w:rPr>
          <w:rFonts w:hint="eastAsia" w:eastAsia="仿宋_GB2312"/>
          <w:color w:val="auto"/>
          <w:highlight w:val="none"/>
          <w:u w:val="single"/>
        </w:rPr>
        <w:t>(3)无论因何种事由，监理或发包人未能及时审核承包人提交的工程量报表的，均不构成监理人及发包人对承包人实际完成的工程量的默认。</w:t>
      </w:r>
    </w:p>
    <w:p w14:paraId="74CD23CE">
      <w:pPr>
        <w:pStyle w:val="897"/>
        <w:spacing w:before="312" w:beforeLines="100" w:after="312" w:afterLines="100" w:line="300" w:lineRule="auto"/>
        <w:ind w:left="420" w:firstLine="480"/>
        <w:rPr>
          <w:rFonts w:eastAsia="仿宋_GB2312"/>
          <w:color w:val="auto"/>
          <w:highlight w:val="none"/>
          <w:u w:val="single"/>
        </w:rPr>
      </w:pPr>
      <w:r>
        <w:rPr>
          <w:rFonts w:hint="eastAsia" w:eastAsia="仿宋_GB2312"/>
          <w:color w:val="auto"/>
          <w:highlight w:val="none"/>
          <w:u w:val="single"/>
        </w:rPr>
        <w:t>(4)监理人、发包人对承包人月度工程量的审核并非对其最终完成工程量的认可，而是仅作为工程进度款的支付依据，不作为工程结算的依据。承包人实际完成的总工程量应当以结算审计确定的总工程量为准</w:t>
      </w:r>
      <w:r>
        <w:rPr>
          <w:rFonts w:eastAsia="仿宋_GB2312"/>
          <w:color w:val="auto"/>
          <w:highlight w:val="none"/>
          <w:u w:val="single"/>
        </w:rPr>
        <w:t>。</w:t>
      </w:r>
    </w:p>
    <w:p w14:paraId="7CE37D3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12.3.4 总价合同的计量</w:t>
      </w:r>
    </w:p>
    <w:p w14:paraId="3E485A1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关于总价合同计量的约定：</w:t>
      </w:r>
      <w:r>
        <w:rPr>
          <w:rFonts w:hint="eastAsia" w:eastAsia="仿宋_GB2312"/>
          <w:color w:val="auto"/>
          <w:sz w:val="24"/>
          <w:highlight w:val="none"/>
          <w:u w:val="single"/>
        </w:rPr>
        <w:t>/</w:t>
      </w:r>
      <w:r>
        <w:rPr>
          <w:rFonts w:eastAsia="仿宋_GB2312"/>
          <w:color w:val="auto"/>
          <w:sz w:val="24"/>
          <w:highlight w:val="none"/>
        </w:rPr>
        <w:t>。</w:t>
      </w:r>
    </w:p>
    <w:p w14:paraId="78B5D2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12.3.5总价合同采用支付分解表计量支付的，是否适用第12.3.4 项</w:t>
      </w:r>
      <w:r>
        <w:rPr>
          <w:rFonts w:hint="eastAsia" w:eastAsia="仿宋_GB2312"/>
          <w:color w:val="auto"/>
          <w:sz w:val="24"/>
          <w:highlight w:val="none"/>
        </w:rPr>
        <w:t>〔</w:t>
      </w:r>
      <w:r>
        <w:rPr>
          <w:rFonts w:eastAsia="仿宋_GB2312"/>
          <w:color w:val="auto"/>
          <w:sz w:val="24"/>
          <w:highlight w:val="none"/>
        </w:rPr>
        <w:t>总价合同的计量</w:t>
      </w:r>
      <w:r>
        <w:rPr>
          <w:rFonts w:hint="eastAsia" w:eastAsia="仿宋_GB2312"/>
          <w:color w:val="auto"/>
          <w:sz w:val="24"/>
          <w:highlight w:val="none"/>
        </w:rPr>
        <w:t>〕</w:t>
      </w:r>
      <w:r>
        <w:rPr>
          <w:rFonts w:eastAsia="仿宋_GB2312"/>
          <w:color w:val="auto"/>
          <w:sz w:val="24"/>
          <w:highlight w:val="none"/>
        </w:rPr>
        <w:t>约定</w:t>
      </w:r>
      <w:r>
        <w:rPr>
          <w:rFonts w:hint="eastAsia" w:eastAsia="仿宋_GB2312"/>
          <w:color w:val="auto"/>
          <w:sz w:val="24"/>
          <w:highlight w:val="none"/>
        </w:rPr>
        <w:t>进行计量：</w:t>
      </w:r>
      <w:r>
        <w:rPr>
          <w:rFonts w:hint="eastAsia" w:eastAsia="仿宋_GB2312"/>
          <w:color w:val="auto"/>
          <w:sz w:val="24"/>
          <w:highlight w:val="none"/>
          <w:u w:val="single"/>
        </w:rPr>
        <w:t>/</w:t>
      </w:r>
      <w:r>
        <w:rPr>
          <w:rFonts w:eastAsia="仿宋_GB2312"/>
          <w:color w:val="auto"/>
          <w:sz w:val="24"/>
          <w:highlight w:val="none"/>
        </w:rPr>
        <w:t>。</w:t>
      </w:r>
    </w:p>
    <w:p w14:paraId="726C268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12.3.6 其他价格形式合同的计量</w:t>
      </w:r>
    </w:p>
    <w:p w14:paraId="3A0FC5C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其他价格形式的计量方式和程序：</w:t>
      </w:r>
      <w:r>
        <w:rPr>
          <w:rFonts w:hint="eastAsia" w:eastAsia="仿宋_GB2312"/>
          <w:color w:val="auto"/>
          <w:sz w:val="24"/>
          <w:highlight w:val="none"/>
          <w:u w:val="single"/>
        </w:rPr>
        <w:t>/</w:t>
      </w:r>
      <w:r>
        <w:rPr>
          <w:rFonts w:eastAsia="仿宋_GB2312"/>
          <w:color w:val="auto"/>
          <w:sz w:val="24"/>
          <w:highlight w:val="none"/>
        </w:rPr>
        <w:t>。</w:t>
      </w:r>
    </w:p>
    <w:p w14:paraId="0A22C241">
      <w:pPr>
        <w:adjustRightInd/>
        <w:spacing w:line="300" w:lineRule="auto"/>
        <w:ind w:firstLine="480" w:firstLineChars="200"/>
        <w:rPr>
          <w:rFonts w:eastAsia="黑体"/>
          <w:color w:val="auto"/>
          <w:sz w:val="24"/>
          <w:highlight w:val="none"/>
        </w:rPr>
      </w:pPr>
      <w:r>
        <w:rPr>
          <w:rFonts w:eastAsia="黑体"/>
          <w:color w:val="auto"/>
          <w:sz w:val="24"/>
          <w:highlight w:val="none"/>
        </w:rPr>
        <w:t>12.4 工程进度款支付</w:t>
      </w:r>
    </w:p>
    <w:p w14:paraId="7282E71D">
      <w:pPr>
        <w:adjustRightInd/>
        <w:spacing w:line="300" w:lineRule="auto"/>
        <w:ind w:firstLine="480" w:firstLineChars="200"/>
        <w:rPr>
          <w:rFonts w:eastAsia="仿宋_GB2312"/>
          <w:color w:val="auto"/>
          <w:sz w:val="24"/>
          <w:highlight w:val="none"/>
        </w:rPr>
      </w:pPr>
      <w:bookmarkStart w:id="904" w:name="_Toc300935006"/>
      <w:bookmarkStart w:id="905" w:name="_Toc296347210"/>
      <w:bookmarkStart w:id="906" w:name="_Toc297120511"/>
      <w:bookmarkStart w:id="907" w:name="_Toc292559921"/>
      <w:bookmarkStart w:id="908" w:name="_Toc303539163"/>
      <w:bookmarkStart w:id="909" w:name="_Toc297123556"/>
      <w:bookmarkStart w:id="910" w:name="_Toc297216215"/>
      <w:bookmarkStart w:id="911" w:name="_Toc297048397"/>
      <w:bookmarkStart w:id="912" w:name="_Toc296891039"/>
      <w:bookmarkStart w:id="913" w:name="_Toc296503211"/>
      <w:bookmarkStart w:id="914" w:name="_Toc292559416"/>
      <w:bookmarkStart w:id="915" w:name="_Toc296944550"/>
      <w:bookmarkStart w:id="916" w:name="_Toc296891251"/>
      <w:bookmarkStart w:id="917" w:name="_Toc296346712"/>
      <w:r>
        <w:rPr>
          <w:rFonts w:eastAsia="仿宋_GB2312"/>
          <w:color w:val="auto"/>
          <w:sz w:val="24"/>
          <w:highlight w:val="none"/>
        </w:rPr>
        <w:t>12.4.1 付款周期</w:t>
      </w:r>
    </w:p>
    <w:p w14:paraId="22E949E2">
      <w:pPr>
        <w:pStyle w:val="897"/>
        <w:spacing w:before="312" w:beforeLines="100" w:after="312" w:afterLines="100" w:line="300" w:lineRule="auto"/>
        <w:ind w:left="420" w:firstLine="480"/>
        <w:rPr>
          <w:rFonts w:eastAsia="仿宋_GB2312"/>
          <w:color w:val="auto"/>
          <w:highlight w:val="none"/>
          <w:u w:val="single"/>
        </w:rPr>
      </w:pPr>
      <w:r>
        <w:rPr>
          <w:rFonts w:eastAsia="仿宋_GB2312"/>
          <w:color w:val="auto"/>
          <w:highlight w:val="none"/>
        </w:rPr>
        <w:t>关于付款周期的约定：</w:t>
      </w:r>
      <w:r>
        <w:rPr>
          <w:rFonts w:hint="eastAsia" w:eastAsia="仿宋_GB2312"/>
          <w:color w:val="auto"/>
          <w:highlight w:val="none"/>
          <w:u w:val="single"/>
        </w:rPr>
        <w:t>按月支付</w:t>
      </w:r>
      <w:r>
        <w:rPr>
          <w:rFonts w:eastAsia="仿宋_GB2312"/>
          <w:color w:val="auto"/>
          <w:highlight w:val="none"/>
          <w:u w:val="single"/>
        </w:rPr>
        <w:t>。</w:t>
      </w:r>
      <w:r>
        <w:rPr>
          <w:rFonts w:hint="eastAsia" w:eastAsia="仿宋_GB2312"/>
          <w:color w:val="auto"/>
          <w:highlight w:val="none"/>
          <w:u w:val="single"/>
        </w:rPr>
        <w:t>每次支付工程款时必须有监理人、发包人书面认可的工程进度报表、实测实量数据（各方签字盖章）等。</w:t>
      </w:r>
    </w:p>
    <w:p w14:paraId="6AC430C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12.4.2 进度付款申请单的编制</w:t>
      </w:r>
    </w:p>
    <w:p w14:paraId="0391102D">
      <w:pPr>
        <w:adjustRightInd/>
        <w:spacing w:line="300" w:lineRule="auto"/>
        <w:ind w:firstLine="482"/>
        <w:rPr>
          <w:rFonts w:eastAsia="仿宋_GB2312"/>
          <w:color w:val="auto"/>
          <w:sz w:val="24"/>
          <w:highlight w:val="none"/>
        </w:rPr>
      </w:pPr>
      <w:r>
        <w:rPr>
          <w:rFonts w:eastAsia="仿宋_GB2312"/>
          <w:color w:val="auto"/>
          <w:sz w:val="24"/>
          <w:highlight w:val="none"/>
        </w:rPr>
        <w:t>关于进度付款申请单编制的约定：</w:t>
      </w:r>
    </w:p>
    <w:p w14:paraId="6F2650CE">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a、合同价款内的工程款支付：</w:t>
      </w:r>
      <w:r>
        <w:rPr>
          <w:rFonts w:eastAsia="仿宋_GB2312"/>
          <w:color w:val="auto"/>
          <w:sz w:val="24"/>
          <w:highlight w:val="none"/>
          <w:u w:val="single"/>
        </w:rPr>
        <w:t>工程施工期间，进度款(包括应由承包人承担的水电费等款项)按发包人根据审核确认的当月实际已完工程量的</w:t>
      </w:r>
      <w:r>
        <w:rPr>
          <w:rFonts w:hint="eastAsia" w:eastAsia="仿宋_GB2312"/>
          <w:color w:val="auto"/>
          <w:sz w:val="24"/>
          <w:highlight w:val="none"/>
          <w:u w:val="single"/>
        </w:rPr>
        <w:t>（80）</w:t>
      </w:r>
      <w:r>
        <w:rPr>
          <w:rFonts w:eastAsia="仿宋_GB2312"/>
          <w:color w:val="auto"/>
          <w:sz w:val="24"/>
          <w:highlight w:val="none"/>
          <w:u w:val="single"/>
        </w:rPr>
        <w:t>%(等于或小于)支付，于签发进度款支付证书后</w:t>
      </w:r>
      <w:r>
        <w:rPr>
          <w:rFonts w:hint="eastAsia" w:eastAsia="仿宋_GB2312"/>
          <w:color w:val="auto"/>
          <w:sz w:val="24"/>
          <w:highlight w:val="none"/>
          <w:u w:val="single"/>
        </w:rPr>
        <w:t>（14）个工作日</w:t>
      </w:r>
      <w:r>
        <w:rPr>
          <w:rFonts w:eastAsia="仿宋_GB2312"/>
          <w:color w:val="auto"/>
          <w:sz w:val="24"/>
          <w:highlight w:val="none"/>
          <w:u w:val="single"/>
        </w:rPr>
        <w:t>内向承包人支付上月工程进度款。每月发包人对该项目工程进度、质量、安全文明施工情况予以考核，如不能满足发包人要求或相关规定，则发包人有权根据实际情况降低当月工程款支付比例。工程竣工验收合格且</w:t>
      </w:r>
      <w:r>
        <w:rPr>
          <w:rFonts w:hint="eastAsia" w:eastAsia="仿宋_GB2312"/>
          <w:color w:val="auto"/>
          <w:sz w:val="24"/>
          <w:highlight w:val="none"/>
          <w:u w:val="single"/>
        </w:rPr>
        <w:t>承包人将完整的结算资料送发包人审核后</w:t>
      </w:r>
      <w:r>
        <w:rPr>
          <w:rFonts w:eastAsia="仿宋_GB2312"/>
          <w:color w:val="auto"/>
          <w:sz w:val="24"/>
          <w:highlight w:val="none"/>
          <w:u w:val="single"/>
        </w:rPr>
        <w:t>，支付至签约合同价的</w:t>
      </w:r>
      <w:r>
        <w:rPr>
          <w:rFonts w:hint="eastAsia" w:eastAsia="仿宋_GB2312"/>
          <w:color w:val="auto"/>
          <w:sz w:val="24"/>
          <w:highlight w:val="none"/>
          <w:u w:val="single"/>
        </w:rPr>
        <w:t>（85）</w:t>
      </w:r>
      <w:r>
        <w:rPr>
          <w:rFonts w:eastAsia="仿宋_GB2312"/>
          <w:color w:val="auto"/>
          <w:sz w:val="24"/>
          <w:highlight w:val="none"/>
          <w:u w:val="single"/>
        </w:rPr>
        <w:t>％</w:t>
      </w:r>
      <w:r>
        <w:rPr>
          <w:rFonts w:hint="eastAsia" w:eastAsia="仿宋_GB2312"/>
          <w:color w:val="auto"/>
          <w:sz w:val="24"/>
          <w:highlight w:val="none"/>
          <w:u w:val="single"/>
        </w:rPr>
        <w:t>（若结算资料不完整，承包人需按发包人要求进行补充完善，否则发包人有权延期支付该笔款项）。余款</w:t>
      </w:r>
      <w:r>
        <w:rPr>
          <w:rFonts w:eastAsia="仿宋_GB2312"/>
          <w:color w:val="auto"/>
          <w:sz w:val="24"/>
          <w:highlight w:val="none"/>
          <w:u w:val="single"/>
        </w:rPr>
        <w:t>待政府财政部门结算审计</w:t>
      </w:r>
      <w:r>
        <w:rPr>
          <w:rFonts w:hint="eastAsia" w:eastAsia="仿宋_GB2312"/>
          <w:color w:val="auto"/>
          <w:sz w:val="24"/>
          <w:highlight w:val="none"/>
          <w:u w:val="single"/>
        </w:rPr>
        <w:t>完成</w:t>
      </w:r>
      <w:r>
        <w:rPr>
          <w:rFonts w:eastAsia="仿宋_GB2312"/>
          <w:color w:val="auto"/>
          <w:sz w:val="24"/>
          <w:highlight w:val="none"/>
          <w:u w:val="single"/>
        </w:rPr>
        <w:t>后付至</w:t>
      </w:r>
      <w:r>
        <w:rPr>
          <w:rFonts w:hint="eastAsia" w:eastAsia="仿宋_GB2312"/>
          <w:color w:val="auto"/>
          <w:sz w:val="24"/>
          <w:highlight w:val="none"/>
          <w:u w:val="single"/>
        </w:rPr>
        <w:t>结算</w:t>
      </w:r>
      <w:r>
        <w:rPr>
          <w:rFonts w:eastAsia="仿宋_GB2312"/>
          <w:color w:val="auto"/>
          <w:sz w:val="24"/>
          <w:highlight w:val="none"/>
          <w:u w:val="single"/>
        </w:rPr>
        <w:t>审定价的</w:t>
      </w:r>
      <w:r>
        <w:rPr>
          <w:rFonts w:hint="eastAsia" w:eastAsia="仿宋_GB2312"/>
          <w:color w:val="auto"/>
          <w:sz w:val="24"/>
          <w:highlight w:val="none"/>
          <w:u w:val="single"/>
        </w:rPr>
        <w:t>（98.5）</w:t>
      </w:r>
      <w:r>
        <w:rPr>
          <w:rFonts w:eastAsia="仿宋_GB2312"/>
          <w:color w:val="auto"/>
          <w:sz w:val="24"/>
          <w:highlight w:val="none"/>
          <w:u w:val="single"/>
        </w:rPr>
        <w:t>%，</w:t>
      </w:r>
      <w:r>
        <w:rPr>
          <w:rFonts w:hint="eastAsia" w:eastAsia="仿宋_GB2312"/>
          <w:color w:val="auto"/>
          <w:sz w:val="24"/>
          <w:highlight w:val="none"/>
          <w:u w:val="single"/>
        </w:rPr>
        <w:t>结算</w:t>
      </w:r>
      <w:r>
        <w:rPr>
          <w:rFonts w:eastAsia="仿宋_GB2312"/>
          <w:color w:val="auto"/>
          <w:sz w:val="24"/>
          <w:highlight w:val="none"/>
          <w:u w:val="single"/>
        </w:rPr>
        <w:t>审定价的</w:t>
      </w:r>
      <w:r>
        <w:rPr>
          <w:rFonts w:hint="eastAsia" w:eastAsia="仿宋_GB2312"/>
          <w:color w:val="auto"/>
          <w:sz w:val="24"/>
          <w:highlight w:val="none"/>
          <w:u w:val="single"/>
        </w:rPr>
        <w:t>（1.5）</w:t>
      </w:r>
      <w:r>
        <w:rPr>
          <w:rFonts w:eastAsia="仿宋_GB2312"/>
          <w:color w:val="auto"/>
          <w:sz w:val="24"/>
          <w:highlight w:val="none"/>
          <w:u w:val="single"/>
        </w:rPr>
        <w:t>%作为质量保证金</w:t>
      </w:r>
      <w:r>
        <w:rPr>
          <w:rFonts w:hint="eastAsia" w:eastAsia="仿宋_GB2312"/>
          <w:color w:val="auto"/>
          <w:sz w:val="24"/>
          <w:highlight w:val="none"/>
          <w:u w:val="single"/>
        </w:rPr>
        <w:t>根据保修约定支付。</w:t>
      </w:r>
    </w:p>
    <w:p w14:paraId="2BF6F376">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 xml:space="preserve"> b、合同价款外的工程款支付：在施工进度、质量正常的前提下，工程变更后减少价款在主合同内不再支付，增加价款累计超过合同价</w:t>
      </w:r>
      <w:r>
        <w:rPr>
          <w:rFonts w:hint="eastAsia" w:eastAsia="仿宋_GB2312"/>
          <w:color w:val="auto"/>
          <w:sz w:val="24"/>
          <w:highlight w:val="none"/>
          <w:u w:val="single"/>
        </w:rPr>
        <w:t>10</w:t>
      </w:r>
      <w:r>
        <w:rPr>
          <w:rFonts w:eastAsia="仿宋_GB2312"/>
          <w:color w:val="auto"/>
          <w:sz w:val="24"/>
          <w:highlight w:val="none"/>
          <w:u w:val="single"/>
        </w:rPr>
        <w:t>%</w:t>
      </w:r>
      <w:r>
        <w:rPr>
          <w:rFonts w:hint="eastAsia" w:eastAsia="仿宋_GB2312"/>
          <w:color w:val="auto"/>
          <w:sz w:val="24"/>
          <w:highlight w:val="none"/>
          <w:u w:val="single"/>
        </w:rPr>
        <w:t>的</w:t>
      </w:r>
      <w:r>
        <w:rPr>
          <w:rFonts w:eastAsia="仿宋_GB2312"/>
          <w:color w:val="auto"/>
          <w:sz w:val="24"/>
          <w:highlight w:val="none"/>
          <w:u w:val="single"/>
        </w:rPr>
        <w:t>可以签订补充合同后支付工程款</w:t>
      </w:r>
      <w:r>
        <w:rPr>
          <w:rFonts w:hint="eastAsia" w:eastAsia="仿宋_GB2312"/>
          <w:color w:val="auto"/>
          <w:sz w:val="24"/>
          <w:highlight w:val="none"/>
          <w:u w:val="single"/>
        </w:rPr>
        <w:t>(原则上施工阶段签订补充协议不得超过2个，有争议的内容暂不计入工程变更补充合同)</w:t>
      </w:r>
      <w:r>
        <w:rPr>
          <w:rFonts w:eastAsia="仿宋_GB2312"/>
          <w:color w:val="auto"/>
          <w:sz w:val="24"/>
          <w:highlight w:val="none"/>
          <w:u w:val="single"/>
        </w:rPr>
        <w:t>，</w:t>
      </w:r>
      <w:r>
        <w:rPr>
          <w:rFonts w:hint="eastAsia" w:eastAsia="仿宋_GB2312"/>
          <w:color w:val="auto"/>
          <w:sz w:val="24"/>
          <w:highlight w:val="none"/>
          <w:u w:val="single"/>
        </w:rPr>
        <w:t>补充合同签订后付至已完成变更部分造价的50%，余款待结算审计定案后与主合同进度款同比例支付。</w:t>
      </w:r>
    </w:p>
    <w:p w14:paraId="3BE6BCD3">
      <w:pPr>
        <w:pStyle w:val="897"/>
        <w:spacing w:line="300" w:lineRule="auto"/>
        <w:ind w:left="420" w:firstLine="600" w:firstLineChars="250"/>
        <w:rPr>
          <w:rFonts w:eastAsia="仿宋_GB2312"/>
          <w:color w:val="auto"/>
          <w:highlight w:val="none"/>
          <w:u w:val="single"/>
        </w:rPr>
      </w:pPr>
      <w:r>
        <w:rPr>
          <w:rFonts w:hint="eastAsia" w:eastAsia="仿宋_GB2312"/>
          <w:color w:val="auto"/>
          <w:highlight w:val="none"/>
          <w:u w:val="single"/>
        </w:rPr>
        <w:t>c</w:t>
      </w:r>
      <w:r>
        <w:rPr>
          <w:rFonts w:eastAsia="仿宋_GB2312"/>
          <w:color w:val="auto"/>
          <w:highlight w:val="none"/>
          <w:u w:val="single"/>
        </w:rPr>
        <w:t>、以上款项支付</w:t>
      </w:r>
      <w:r>
        <w:rPr>
          <w:rFonts w:hint="eastAsia" w:eastAsia="仿宋_GB2312"/>
          <w:color w:val="auto"/>
          <w:highlight w:val="none"/>
          <w:u w:val="single"/>
        </w:rPr>
        <w:t>时间</w:t>
      </w:r>
      <w:r>
        <w:rPr>
          <w:rFonts w:eastAsia="仿宋_GB2312"/>
          <w:color w:val="auto"/>
          <w:highlight w:val="none"/>
          <w:u w:val="single"/>
        </w:rPr>
        <w:t>允许发包人有</w:t>
      </w:r>
      <w:r>
        <w:rPr>
          <w:rFonts w:hint="eastAsia" w:eastAsia="仿宋_GB2312"/>
          <w:color w:val="auto"/>
          <w:highlight w:val="none"/>
          <w:u w:val="single"/>
        </w:rPr>
        <w:t>10</w:t>
      </w:r>
      <w:r>
        <w:rPr>
          <w:rFonts w:eastAsia="仿宋_GB2312"/>
          <w:color w:val="auto"/>
          <w:highlight w:val="none"/>
          <w:u w:val="single"/>
        </w:rPr>
        <w:t>天的误差</w:t>
      </w:r>
      <w:r>
        <w:rPr>
          <w:rFonts w:hint="eastAsia" w:eastAsia="仿宋_GB2312"/>
          <w:color w:val="auto"/>
          <w:highlight w:val="none"/>
          <w:u w:val="single"/>
        </w:rPr>
        <w:t>且不计任何费用</w:t>
      </w:r>
      <w:r>
        <w:rPr>
          <w:rFonts w:eastAsia="仿宋_GB2312"/>
          <w:color w:val="auto"/>
          <w:highlight w:val="none"/>
          <w:u w:val="single"/>
        </w:rPr>
        <w:t>。</w:t>
      </w:r>
    </w:p>
    <w:p w14:paraId="1DE6C505">
      <w:pPr>
        <w:pStyle w:val="897"/>
        <w:spacing w:line="300" w:lineRule="auto"/>
        <w:ind w:left="420" w:firstLine="600" w:firstLineChars="250"/>
        <w:rPr>
          <w:rFonts w:eastAsia="仿宋_GB2312"/>
          <w:color w:val="auto"/>
          <w:highlight w:val="none"/>
          <w:u w:val="single"/>
        </w:rPr>
      </w:pPr>
      <w:r>
        <w:rPr>
          <w:rFonts w:eastAsia="仿宋_GB2312"/>
          <w:color w:val="auto"/>
          <w:highlight w:val="none"/>
          <w:u w:val="single"/>
        </w:rPr>
        <w:t>d、</w:t>
      </w:r>
      <w:r>
        <w:rPr>
          <w:rFonts w:hint="eastAsia" w:eastAsia="仿宋_GB2312"/>
          <w:color w:val="auto"/>
          <w:highlight w:val="none"/>
          <w:u w:val="single"/>
        </w:rPr>
        <w:t>发包人每次付款前，承包人应向发包人开具等额有效的增值税专用发票原件，</w:t>
      </w:r>
      <w:r>
        <w:rPr>
          <w:rFonts w:eastAsia="仿宋_GB2312"/>
          <w:color w:val="auto"/>
          <w:highlight w:val="none"/>
          <w:u w:val="single"/>
        </w:rPr>
        <w:t>承包人未按发包人要求开具增值税发票原件的，发包人有权拒绝付款，且不承担任何责任。</w:t>
      </w:r>
      <w:r>
        <w:rPr>
          <w:rFonts w:hint="eastAsia" w:eastAsia="仿宋_GB2312"/>
          <w:color w:val="auto"/>
          <w:highlight w:val="none"/>
          <w:u w:val="single"/>
        </w:rPr>
        <w:t>发包人付款至结算审计总价的98.5</w:t>
      </w:r>
      <w:r>
        <w:rPr>
          <w:rFonts w:eastAsia="仿宋_GB2312"/>
          <w:color w:val="auto"/>
          <w:highlight w:val="none"/>
          <w:u w:val="single"/>
        </w:rPr>
        <w:t>%前，承包人应向发包人开具</w:t>
      </w:r>
      <w:r>
        <w:rPr>
          <w:rFonts w:hint="eastAsia" w:eastAsia="仿宋_GB2312"/>
          <w:color w:val="auto"/>
          <w:highlight w:val="none"/>
          <w:u w:val="single"/>
        </w:rPr>
        <w:t>相应</w:t>
      </w:r>
      <w:r>
        <w:rPr>
          <w:rFonts w:eastAsia="仿宋_GB2312"/>
          <w:color w:val="auto"/>
          <w:highlight w:val="none"/>
          <w:u w:val="single"/>
        </w:rPr>
        <w:t>金额的增值税专用发票原件。</w:t>
      </w:r>
    </w:p>
    <w:p w14:paraId="3921068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e、施工中发现不合格项目或质量事故时，发包人有权暂缓支付工程进度款，待整改后再予支付。承包人应及时进行整改，同时把整改措施以书面形式报发包人存档备查，整改工作应在当次申请进度款之前完成，并请发包人复查通过，否则相应工程款顺延。已完工程量报告经监理人、发包人审定。</w:t>
      </w:r>
    </w:p>
    <w:p w14:paraId="4304BF0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f、总包管理和配合服务费在分包工程竣工验收合格后，提交的竣工资料档案馆备案完成后且经相关分包单位及发包人签字确认实际配合情况良好后一次性支付。</w:t>
      </w:r>
    </w:p>
    <w:p w14:paraId="2821B37B">
      <w:pPr>
        <w:pStyle w:val="45"/>
        <w:tabs>
          <w:tab w:val="right" w:leader="dot" w:pos="8296"/>
        </w:tabs>
        <w:rPr>
          <w:rFonts w:eastAsia="仿宋_GB2312"/>
          <w:color w:val="auto"/>
          <w:sz w:val="24"/>
          <w:highlight w:val="none"/>
          <w:u w:val="single"/>
        </w:rPr>
      </w:pPr>
      <w:r>
        <w:rPr>
          <w:rFonts w:hint="eastAsia" w:eastAsia="仿宋_GB2312"/>
          <w:color w:val="auto"/>
          <w:sz w:val="24"/>
          <w:highlight w:val="none"/>
          <w:u w:val="single"/>
        </w:rPr>
        <w:t xml:space="preserve">      g、由建设单位代付的所有费用包括但不限于水电费、第三方材料检测费，及应由承包人支付的违约金等，应在结算审计时予以扣除。</w:t>
      </w:r>
    </w:p>
    <w:p w14:paraId="2FEF4F26">
      <w:pPr>
        <w:ind w:firstLine="480" w:firstLineChars="200"/>
        <w:rPr>
          <w:color w:val="auto"/>
          <w:highlight w:val="none"/>
          <w:u w:val="single"/>
        </w:rPr>
      </w:pPr>
      <w:r>
        <w:rPr>
          <w:rFonts w:hint="eastAsia" w:eastAsia="仿宋_GB2312"/>
          <w:color w:val="auto"/>
          <w:sz w:val="24"/>
          <w:highlight w:val="none"/>
          <w:u w:val="single"/>
        </w:rPr>
        <w:t>h、</w:t>
      </w:r>
      <w:r>
        <w:rPr>
          <w:color w:val="auto"/>
          <w:highlight w:val="none"/>
          <w:u w:val="single"/>
        </w:rPr>
        <w:t>工资性工程进度款按月拨付。</w:t>
      </w:r>
    </w:p>
    <w:p w14:paraId="0ABC3A00">
      <w:pPr>
        <w:pStyle w:val="45"/>
        <w:tabs>
          <w:tab w:val="right" w:leader="dot" w:pos="8296"/>
        </w:tabs>
        <w:rPr>
          <w:rFonts w:eastAsia="仿宋_GB2312"/>
          <w:color w:val="auto"/>
          <w:sz w:val="24"/>
          <w:highlight w:val="none"/>
          <w:u w:val="single"/>
        </w:rPr>
      </w:pPr>
      <w:r>
        <w:rPr>
          <w:rFonts w:eastAsia="仿宋_GB2312"/>
          <w:color w:val="auto"/>
          <w:sz w:val="24"/>
          <w:highlight w:val="none"/>
          <w:u w:val="single"/>
        </w:rPr>
        <w:t>上述各项费用的每笔款项支付前，承包人必须提供收款单位与本合同签订单位一致的正规、等额、合法、有效的正式发票，否则发包人有权拒绝付款并不承担逾期付款的违约责任。</w:t>
      </w:r>
    </w:p>
    <w:p w14:paraId="7209D9A1">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发包人的开票主体信息如下：</w:t>
      </w:r>
    </w:p>
    <w:p w14:paraId="7EEEE833">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 xml:space="preserve">公司名称（全称）： </w:t>
      </w:r>
    </w:p>
    <w:p w14:paraId="2E4EF054">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 xml:space="preserve">纳税人识别号： </w:t>
      </w:r>
    </w:p>
    <w:p w14:paraId="25668D7A">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 xml:space="preserve">银行账户： </w:t>
      </w:r>
      <w:r>
        <w:rPr>
          <w:rFonts w:eastAsia="仿宋_GB2312"/>
          <w:color w:val="auto"/>
          <w:highlight w:val="none"/>
          <w:u w:val="single"/>
        </w:rPr>
        <w:t xml:space="preserve">     开户银行：</w:t>
      </w:r>
      <w:r>
        <w:rPr>
          <w:rFonts w:hint="eastAsia" w:eastAsia="仿宋_GB2312"/>
          <w:color w:val="auto"/>
          <w:highlight w:val="none"/>
          <w:u w:val="single"/>
        </w:rPr>
        <w:t xml:space="preserve"> </w:t>
      </w:r>
    </w:p>
    <w:p w14:paraId="6A4E3551">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 xml:space="preserve">地址： </w:t>
      </w:r>
      <w:r>
        <w:rPr>
          <w:rFonts w:eastAsia="仿宋_GB2312"/>
          <w:color w:val="auto"/>
          <w:highlight w:val="none"/>
          <w:u w:val="single"/>
        </w:rPr>
        <w:t xml:space="preserve">     电话：</w:t>
      </w:r>
      <w:r>
        <w:rPr>
          <w:rFonts w:hint="eastAsia" w:eastAsia="仿宋_GB2312"/>
          <w:color w:val="auto"/>
          <w:highlight w:val="none"/>
          <w:u w:val="single"/>
        </w:rPr>
        <w:t xml:space="preserve"> </w:t>
      </w:r>
    </w:p>
    <w:p w14:paraId="556066E0">
      <w:pPr>
        <w:pStyle w:val="897"/>
        <w:spacing w:line="300" w:lineRule="auto"/>
        <w:ind w:left="420" w:firstLineChars="0"/>
        <w:rPr>
          <w:rFonts w:eastAsia="仿宋_GB2312"/>
          <w:color w:val="auto"/>
          <w:highlight w:val="none"/>
          <w:u w:val="single"/>
        </w:rPr>
      </w:pPr>
      <w:r>
        <w:rPr>
          <w:rFonts w:hint="eastAsia" w:eastAsia="仿宋_GB2312"/>
          <w:color w:val="auto"/>
          <w:highlight w:val="none"/>
          <w:u w:val="single"/>
        </w:rPr>
        <w:t>承包人的计税方法为：</w:t>
      </w:r>
      <w:r>
        <w:rPr>
          <w:rFonts w:hint="eastAsia" w:eastAsia="仿宋_GB2312"/>
          <w:color w:val="auto"/>
          <w:highlight w:val="none"/>
          <w:u w:val="single"/>
        </w:rPr>
        <w:sym w:font="Wingdings 2" w:char="0052"/>
      </w:r>
      <w:r>
        <w:rPr>
          <w:rFonts w:hint="eastAsia" w:eastAsia="仿宋_GB2312"/>
          <w:color w:val="auto"/>
          <w:highlight w:val="none"/>
          <w:u w:val="single"/>
        </w:rPr>
        <w:t>一般计税方法（税率【</w:t>
      </w:r>
      <w:r>
        <w:rPr>
          <w:rFonts w:eastAsia="仿宋_GB2312"/>
          <w:color w:val="auto"/>
          <w:highlight w:val="none"/>
          <w:u w:val="single"/>
        </w:rPr>
        <w:t xml:space="preserve">  】%）；□简易计税方法（征收率【   】%）。</w:t>
      </w:r>
    </w:p>
    <w:p w14:paraId="6E57824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eastAsia="仿宋_GB2312"/>
          <w:color w:val="auto"/>
          <w:sz w:val="24"/>
          <w:highlight w:val="none"/>
        </w:rPr>
        <w:t>2.4.3 进度付款申请单的提交</w:t>
      </w:r>
    </w:p>
    <w:p w14:paraId="2E2DD50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在每月工程量经发包人审核后按月提交，具体时间详见第12.3.3款</w:t>
      </w:r>
      <w:r>
        <w:rPr>
          <w:rFonts w:eastAsia="仿宋_GB2312"/>
          <w:color w:val="auto"/>
          <w:sz w:val="24"/>
          <w:highlight w:val="none"/>
        </w:rPr>
        <w:t>。</w:t>
      </w:r>
    </w:p>
    <w:p w14:paraId="2F5160E7">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（2）总价合同进度付款申请单提交的约定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 xml:space="preserve"> /</w:t>
      </w:r>
      <w:r>
        <w:rPr>
          <w:rFonts w:eastAsia="仿宋_GB2312"/>
          <w:color w:val="auto"/>
          <w:sz w:val="24"/>
          <w:highlight w:val="none"/>
        </w:rPr>
        <w:t>。</w:t>
      </w:r>
    </w:p>
    <w:p w14:paraId="5FFF5A1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（3）其他价格形式合同进度付款申请单提交的约定：</w:t>
      </w:r>
      <w:r>
        <w:rPr>
          <w:rFonts w:hint="eastAsia" w:eastAsia="仿宋_GB2312"/>
          <w:color w:val="auto"/>
          <w:sz w:val="24"/>
          <w:highlight w:val="none"/>
          <w:u w:val="single"/>
        </w:rPr>
        <w:t>/</w:t>
      </w:r>
      <w:r>
        <w:rPr>
          <w:rFonts w:eastAsia="仿宋_GB2312"/>
          <w:color w:val="auto"/>
          <w:sz w:val="24"/>
          <w:highlight w:val="none"/>
        </w:rPr>
        <w:t>。</w:t>
      </w:r>
    </w:p>
    <w:p w14:paraId="622F9B2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12.4.4 进度款审核和支付</w:t>
      </w:r>
    </w:p>
    <w:p w14:paraId="575F80CE">
      <w:pPr>
        <w:pStyle w:val="897"/>
        <w:spacing w:line="300" w:lineRule="auto"/>
        <w:ind w:left="420" w:firstLine="482" w:firstLineChars="0"/>
        <w:rPr>
          <w:rFonts w:eastAsia="仿宋_GB2312"/>
          <w:color w:val="auto"/>
          <w:highlight w:val="none"/>
          <w:u w:val="single"/>
        </w:rPr>
      </w:pPr>
      <w:r>
        <w:rPr>
          <w:rFonts w:eastAsia="仿宋_GB2312"/>
          <w:color w:val="auto"/>
          <w:highlight w:val="none"/>
        </w:rPr>
        <w:t>（1）监理人审查并报送发包人的期限：</w:t>
      </w:r>
      <w:r>
        <w:rPr>
          <w:rFonts w:hint="eastAsia" w:eastAsia="仿宋_GB2312"/>
          <w:color w:val="auto"/>
          <w:highlight w:val="none"/>
          <w:u w:val="single"/>
        </w:rPr>
        <w:t xml:space="preserve">    /      。</w:t>
      </w:r>
    </w:p>
    <w:p w14:paraId="05DD38AE">
      <w:pPr>
        <w:pStyle w:val="897"/>
        <w:spacing w:line="300" w:lineRule="auto"/>
        <w:ind w:left="420" w:firstLine="482" w:firstLineChars="0"/>
        <w:rPr>
          <w:rFonts w:eastAsia="仿宋_GB2312"/>
          <w:color w:val="auto"/>
          <w:highlight w:val="none"/>
          <w:u w:val="single"/>
        </w:rPr>
      </w:pPr>
      <w:r>
        <w:rPr>
          <w:rFonts w:eastAsia="仿宋_GB2312"/>
          <w:color w:val="auto"/>
          <w:highlight w:val="none"/>
        </w:rPr>
        <w:t>发包人完成审批并签发进度款支付证书的期限：</w:t>
      </w:r>
      <w:r>
        <w:rPr>
          <w:rFonts w:hint="eastAsia" w:eastAsia="仿宋_GB2312"/>
          <w:color w:val="auto"/>
          <w:highlight w:val="none"/>
          <w:u w:val="single"/>
        </w:rPr>
        <w:t xml:space="preserve">    /      。</w:t>
      </w:r>
    </w:p>
    <w:p w14:paraId="12D41686">
      <w:pPr>
        <w:pStyle w:val="897"/>
        <w:spacing w:line="300" w:lineRule="auto"/>
        <w:ind w:left="420" w:firstLine="482" w:firstLineChars="0"/>
        <w:rPr>
          <w:rFonts w:eastAsia="仿宋_GB2312"/>
          <w:color w:val="auto"/>
          <w:highlight w:val="none"/>
          <w:u w:val="single"/>
        </w:rPr>
      </w:pPr>
      <w:r>
        <w:rPr>
          <w:rFonts w:eastAsia="仿宋_GB2312"/>
          <w:color w:val="auto"/>
          <w:highlight w:val="none"/>
        </w:rPr>
        <w:t>（2）发包人支付进度款的期限：</w:t>
      </w:r>
      <w:r>
        <w:rPr>
          <w:rFonts w:hint="eastAsia" w:eastAsia="仿宋_GB2312"/>
          <w:color w:val="auto"/>
          <w:highlight w:val="none"/>
          <w:u w:val="single"/>
        </w:rPr>
        <w:t xml:space="preserve">    /      。</w:t>
      </w:r>
    </w:p>
    <w:p w14:paraId="6D70C5B4">
      <w:pPr>
        <w:adjustRightInd/>
        <w:spacing w:line="300" w:lineRule="auto"/>
        <w:ind w:firstLine="600" w:firstLineChars="250"/>
        <w:rPr>
          <w:rFonts w:eastAsia="仿宋_GB2312"/>
          <w:color w:val="auto"/>
          <w:sz w:val="24"/>
          <w:highlight w:val="none"/>
          <w:u w:val="single"/>
        </w:rPr>
      </w:pPr>
      <w:r>
        <w:rPr>
          <w:rFonts w:eastAsia="仿宋_GB2312"/>
          <w:color w:val="auto"/>
          <w:sz w:val="24"/>
          <w:highlight w:val="none"/>
        </w:rPr>
        <w:t>发包人逾期支付进度款的违约金的计算方式：</w:t>
      </w:r>
      <w:r>
        <w:rPr>
          <w:rFonts w:hint="eastAsia" w:eastAsia="仿宋_GB2312"/>
          <w:color w:val="auto"/>
          <w:sz w:val="24"/>
          <w:highlight w:val="none"/>
          <w:u w:val="single"/>
        </w:rPr>
        <w:t xml:space="preserve"> /     </w:t>
      </w:r>
      <w:r>
        <w:rPr>
          <w:rFonts w:eastAsia="仿宋_GB2312"/>
          <w:color w:val="auto"/>
          <w:sz w:val="24"/>
          <w:highlight w:val="none"/>
        </w:rPr>
        <w:t>。</w:t>
      </w:r>
    </w:p>
    <w:p w14:paraId="1A5D7EFB">
      <w:pPr>
        <w:adjustRightInd/>
        <w:spacing w:line="300" w:lineRule="auto"/>
        <w:ind w:firstLine="600" w:firstLineChars="250"/>
        <w:rPr>
          <w:rFonts w:eastAsia="仿宋_GB2312"/>
          <w:color w:val="auto"/>
          <w:sz w:val="24"/>
          <w:highlight w:val="none"/>
        </w:rPr>
      </w:pPr>
      <w:r>
        <w:rPr>
          <w:rFonts w:eastAsia="仿宋_GB2312"/>
          <w:color w:val="auto"/>
          <w:sz w:val="24"/>
          <w:highlight w:val="none"/>
        </w:rPr>
        <w:t>12.4.6 支付分解表的编制</w:t>
      </w:r>
    </w:p>
    <w:p w14:paraId="0FDD2EF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总价合同支付分解表的编制与审批：</w:t>
      </w:r>
      <w:r>
        <w:rPr>
          <w:rFonts w:hint="eastAsia" w:eastAsia="仿宋_GB2312"/>
          <w:color w:val="auto"/>
          <w:sz w:val="24"/>
          <w:highlight w:val="none"/>
          <w:u w:val="single"/>
        </w:rPr>
        <w:t>/</w:t>
      </w:r>
      <w:r>
        <w:rPr>
          <w:rFonts w:eastAsia="仿宋_GB2312"/>
          <w:color w:val="auto"/>
          <w:sz w:val="24"/>
          <w:highlight w:val="none"/>
        </w:rPr>
        <w:t>。</w:t>
      </w:r>
    </w:p>
    <w:bookmarkEnd w:id="753"/>
    <w:p w14:paraId="335E792A">
      <w:pPr>
        <w:pStyle w:val="8"/>
        <w:spacing w:before="0" w:after="0" w:line="300" w:lineRule="auto"/>
        <w:ind w:firstLine="480" w:firstLineChars="200"/>
        <w:rPr>
          <w:rFonts w:ascii="Times New Roman" w:hAnsi="Times New Roman"/>
          <w:b w:val="0"/>
          <w:color w:val="auto"/>
          <w:sz w:val="24"/>
          <w:szCs w:val="24"/>
          <w:highlight w:val="none"/>
        </w:rPr>
      </w:pPr>
      <w:bookmarkStart w:id="918" w:name="_Toc351203645"/>
      <w:bookmarkStart w:id="919" w:name="_Toc296891259"/>
      <w:bookmarkStart w:id="920" w:name="_Toc296346720"/>
      <w:bookmarkStart w:id="921" w:name="_Toc312678053"/>
      <w:bookmarkStart w:id="922" w:name="_Toc304295593"/>
      <w:bookmarkStart w:id="923" w:name="_Toc297123564"/>
      <w:bookmarkStart w:id="924" w:name="_Toc297120519"/>
      <w:bookmarkStart w:id="925" w:name="_Toc292559929"/>
      <w:bookmarkStart w:id="926" w:name="_Toc296944558"/>
      <w:bookmarkStart w:id="927" w:name="_Toc296503219"/>
      <w:bookmarkStart w:id="928" w:name="_Toc292559424"/>
      <w:bookmarkStart w:id="929" w:name="_Toc303539172"/>
      <w:bookmarkStart w:id="930" w:name="_Toc300935015"/>
      <w:bookmarkStart w:id="931" w:name="_Toc296891047"/>
      <w:bookmarkStart w:id="932" w:name="_Toc297048405"/>
      <w:bookmarkStart w:id="933" w:name="_Toc297216223"/>
      <w:bookmarkStart w:id="934" w:name="_Toc296347218"/>
      <w:r>
        <w:rPr>
          <w:rFonts w:ascii="Times New Roman" w:hAnsi="Times New Roman"/>
          <w:b w:val="0"/>
          <w:color w:val="auto"/>
          <w:sz w:val="24"/>
          <w:szCs w:val="24"/>
          <w:highlight w:val="none"/>
        </w:rPr>
        <w:t>13.验收和工程试车</w:t>
      </w:r>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4A5B2124">
      <w:pPr>
        <w:adjustRightInd/>
        <w:spacing w:line="300" w:lineRule="auto"/>
        <w:ind w:firstLine="480" w:firstLineChars="200"/>
        <w:rPr>
          <w:rFonts w:eastAsia="黑体"/>
          <w:color w:val="auto"/>
          <w:sz w:val="24"/>
          <w:highlight w:val="none"/>
        </w:rPr>
      </w:pPr>
      <w:r>
        <w:rPr>
          <w:rFonts w:eastAsia="黑体"/>
          <w:color w:val="auto"/>
          <w:sz w:val="24"/>
          <w:highlight w:val="none"/>
        </w:rPr>
        <w:t>13.1 分部分项工程验收</w:t>
      </w:r>
    </w:p>
    <w:p w14:paraId="251336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13.1.2监理人不能按时进行验收时，应提前</w:t>
      </w:r>
      <w:r>
        <w:rPr>
          <w:rFonts w:hint="eastAsia" w:eastAsia="仿宋_GB2312"/>
          <w:color w:val="auto"/>
          <w:sz w:val="24"/>
          <w:highlight w:val="none"/>
          <w:u w:val="single"/>
        </w:rPr>
        <w:t>24</w:t>
      </w:r>
      <w:r>
        <w:rPr>
          <w:rFonts w:eastAsia="仿宋_GB2312"/>
          <w:color w:val="auto"/>
          <w:sz w:val="24"/>
          <w:highlight w:val="none"/>
        </w:rPr>
        <w:t>小时提交书面延期要求。</w:t>
      </w:r>
    </w:p>
    <w:p w14:paraId="6D226139">
      <w:pPr>
        <w:adjustRightInd/>
        <w:spacing w:line="300" w:lineRule="auto"/>
        <w:ind w:firstLine="480" w:firstLineChars="200"/>
        <w:rPr>
          <w:rFonts w:eastAsia="仿宋_GB2312"/>
          <w:b/>
          <w:color w:val="auto"/>
          <w:sz w:val="24"/>
          <w:highlight w:val="none"/>
        </w:rPr>
      </w:pPr>
      <w:r>
        <w:rPr>
          <w:rFonts w:eastAsia="仿宋_GB2312"/>
          <w:color w:val="auto"/>
          <w:sz w:val="24"/>
          <w:highlight w:val="none"/>
        </w:rPr>
        <w:t>关于延期最长不得超过：</w:t>
      </w:r>
      <w:r>
        <w:rPr>
          <w:rFonts w:hint="eastAsia" w:eastAsia="仿宋_GB2312"/>
          <w:color w:val="auto"/>
          <w:sz w:val="24"/>
          <w:highlight w:val="none"/>
          <w:u w:val="single"/>
        </w:rPr>
        <w:t>48</w:t>
      </w:r>
      <w:r>
        <w:rPr>
          <w:rFonts w:eastAsia="仿宋_GB2312"/>
          <w:color w:val="auto"/>
          <w:sz w:val="24"/>
          <w:highlight w:val="none"/>
        </w:rPr>
        <w:t>小时。</w:t>
      </w:r>
    </w:p>
    <w:p w14:paraId="5AF8B926">
      <w:pPr>
        <w:adjustRightInd/>
        <w:spacing w:line="300" w:lineRule="auto"/>
        <w:ind w:firstLine="480" w:firstLineChars="200"/>
        <w:rPr>
          <w:rFonts w:eastAsia="黑体"/>
          <w:color w:val="auto"/>
          <w:sz w:val="24"/>
          <w:highlight w:val="none"/>
        </w:rPr>
      </w:pPr>
      <w:bookmarkStart w:id="935" w:name="_Toc292559428"/>
      <w:bookmarkStart w:id="936" w:name="_Toc304295596"/>
      <w:bookmarkStart w:id="937" w:name="_Toc297216224"/>
      <w:bookmarkStart w:id="938" w:name="_Toc296891263"/>
      <w:bookmarkStart w:id="939" w:name="_Toc300935016"/>
      <w:bookmarkStart w:id="940" w:name="_Toc296346724"/>
      <w:bookmarkStart w:id="941" w:name="_Toc292559933"/>
      <w:bookmarkStart w:id="942" w:name="_Toc296347222"/>
      <w:bookmarkStart w:id="943" w:name="_Toc312678056"/>
      <w:bookmarkStart w:id="944" w:name="_Toc303539173"/>
      <w:bookmarkStart w:id="945" w:name="_Toc296944562"/>
      <w:bookmarkStart w:id="946" w:name="_Toc297048409"/>
      <w:bookmarkStart w:id="947" w:name="_Toc297120523"/>
      <w:bookmarkStart w:id="948" w:name="_Toc296503223"/>
      <w:bookmarkStart w:id="949" w:name="_Toc297123565"/>
      <w:bookmarkStart w:id="950" w:name="_Toc296891051"/>
      <w:bookmarkStart w:id="951" w:name="_Toc267251475"/>
      <w:bookmarkStart w:id="952" w:name="_Toc267251473"/>
      <w:bookmarkStart w:id="953" w:name="_Toc267251472"/>
      <w:bookmarkStart w:id="954" w:name="_Toc267251474"/>
      <w:bookmarkStart w:id="955" w:name="_Toc267251476"/>
      <w:bookmarkStart w:id="956" w:name="_Toc267251471"/>
      <w:bookmarkStart w:id="957" w:name="_Toc267251470"/>
      <w:r>
        <w:rPr>
          <w:rFonts w:eastAsia="黑体"/>
          <w:color w:val="auto"/>
          <w:sz w:val="24"/>
          <w:highlight w:val="none"/>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12E3C0F2">
      <w:pPr>
        <w:adjustRightInd/>
        <w:spacing w:line="300" w:lineRule="auto"/>
        <w:ind w:firstLine="480" w:firstLineChars="200"/>
        <w:rPr>
          <w:rFonts w:eastAsia="仿宋_GB2312"/>
          <w:color w:val="auto"/>
          <w:sz w:val="24"/>
          <w:highlight w:val="none"/>
        </w:rPr>
      </w:pPr>
      <w:bookmarkStart w:id="958" w:name="_Toc280868704"/>
      <w:bookmarkStart w:id="959" w:name="_Toc280868705"/>
      <w:bookmarkStart w:id="960" w:name="_Toc280868706"/>
      <w:bookmarkStart w:id="961" w:name="_Toc280868707"/>
      <w:bookmarkStart w:id="962" w:name="_Toc280868708"/>
      <w:bookmarkStart w:id="963" w:name="_Toc280868709"/>
      <w:r>
        <w:rPr>
          <w:rFonts w:eastAsia="仿宋_GB2312"/>
          <w:color w:val="auto"/>
          <w:sz w:val="24"/>
          <w:highlight w:val="none"/>
        </w:rPr>
        <w:t>13.2.2竣工验收程序</w:t>
      </w:r>
    </w:p>
    <w:bookmarkEnd w:id="958"/>
    <w:p w14:paraId="466DCB19">
      <w:pPr>
        <w:pStyle w:val="897"/>
        <w:spacing w:line="300" w:lineRule="auto"/>
        <w:ind w:left="420" w:firstLine="482" w:firstLineChars="0"/>
        <w:rPr>
          <w:rFonts w:eastAsia="仿宋_GB2312"/>
          <w:color w:val="auto"/>
          <w:highlight w:val="none"/>
        </w:rPr>
      </w:pPr>
      <w:r>
        <w:rPr>
          <w:rFonts w:eastAsia="仿宋_GB2312"/>
          <w:color w:val="auto"/>
          <w:highlight w:val="none"/>
        </w:rPr>
        <w:t>关于竣工验收程序的约定：</w:t>
      </w:r>
      <w:r>
        <w:rPr>
          <w:rFonts w:hint="eastAsia" w:eastAsia="仿宋_GB2312"/>
          <w:color w:val="auto"/>
          <w:highlight w:val="none"/>
        </w:rPr>
        <w:t>除按通用条款执行外，竣工验收还应符合以下要求:</w:t>
      </w:r>
    </w:p>
    <w:p w14:paraId="7D1546F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(1)工程竣工时承包人应按《杭州市房屋建筑工程和市政基础工程竣工验收备案管理实施细则》办理工程竣工验收手续。</w:t>
      </w:r>
    </w:p>
    <w:p w14:paraId="345127A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工程竣工验收通过且发包人已签发工程接收证书后（20）日内，承包人须无条件向发包人移交全部工程，逾期移交的，每逾期一日，扣罚工程总价的0.1%。同时，承包人移交所有工程之前，发包人有权拒绝支付工程款。</w:t>
      </w:r>
    </w:p>
    <w:p w14:paraId="286A55E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26D856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发包人不按照本项约定组织竣工验收、颁发工程接收证书的违约金的计算方法：</w:t>
      </w:r>
      <w:r>
        <w:rPr>
          <w:rFonts w:hint="eastAsia" w:eastAsia="仿宋_GB2312"/>
          <w:color w:val="auto"/>
          <w:sz w:val="24"/>
          <w:highlight w:val="none"/>
          <w:u w:val="single"/>
        </w:rPr>
        <w:t xml:space="preserve">/             </w:t>
      </w:r>
      <w:r>
        <w:rPr>
          <w:rFonts w:eastAsia="仿宋_GB2312"/>
          <w:color w:val="auto"/>
          <w:sz w:val="24"/>
          <w:highlight w:val="none"/>
        </w:rPr>
        <w:t>。</w:t>
      </w:r>
    </w:p>
    <w:bookmarkEnd w:id="959"/>
    <w:p w14:paraId="0EA2E8F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13.2.5移交、接收全部与部分工程</w:t>
      </w:r>
    </w:p>
    <w:bookmarkEnd w:id="960"/>
    <w:p w14:paraId="1AD099A3">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承包人向发包人移交工程的期限：</w:t>
      </w:r>
      <w:r>
        <w:rPr>
          <w:rFonts w:hint="eastAsia" w:eastAsia="仿宋_GB2312"/>
          <w:color w:val="auto"/>
          <w:sz w:val="24"/>
          <w:highlight w:val="none"/>
          <w:u w:val="single"/>
        </w:rPr>
        <w:t>待接管单位同意之日后30日内完成</w:t>
      </w:r>
      <w:r>
        <w:rPr>
          <w:rFonts w:hint="eastAsia" w:eastAsia="仿宋_GB2312"/>
          <w:color w:val="auto"/>
          <w:sz w:val="24"/>
          <w:highlight w:val="none"/>
        </w:rPr>
        <w:t>。</w:t>
      </w:r>
    </w:p>
    <w:p w14:paraId="4FA2BB6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发包人未按本合同约定接收全部或部分工程的，违约金的计算方法为：</w:t>
      </w:r>
      <w:r>
        <w:rPr>
          <w:rFonts w:hint="eastAsia" w:eastAsia="仿宋_GB2312"/>
          <w:color w:val="auto"/>
          <w:sz w:val="24"/>
          <w:highlight w:val="none"/>
          <w:u w:val="single"/>
        </w:rPr>
        <w:t>/</w:t>
      </w:r>
      <w:r>
        <w:rPr>
          <w:rFonts w:eastAsia="仿宋_GB2312"/>
          <w:color w:val="auto"/>
          <w:sz w:val="24"/>
          <w:highlight w:val="none"/>
        </w:rPr>
        <w:t>。</w:t>
      </w:r>
    </w:p>
    <w:bookmarkEnd w:id="961"/>
    <w:p w14:paraId="30FB8F25">
      <w:pPr>
        <w:adjustRightInd/>
        <w:spacing w:line="300" w:lineRule="auto"/>
        <w:ind w:firstLine="480" w:firstLineChars="200"/>
        <w:rPr>
          <w:rFonts w:eastAsia="黑体"/>
          <w:color w:val="auto"/>
          <w:sz w:val="24"/>
          <w:highlight w:val="none"/>
        </w:rPr>
      </w:pPr>
      <w:r>
        <w:rPr>
          <w:rFonts w:eastAsia="黑体"/>
          <w:color w:val="auto"/>
          <w:sz w:val="24"/>
          <w:highlight w:val="none"/>
        </w:rPr>
        <w:t>13.3 工程试车</w:t>
      </w:r>
    </w:p>
    <w:bookmarkEnd w:id="962"/>
    <w:p w14:paraId="3DAF51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13.3.1 试车程序</w:t>
      </w:r>
    </w:p>
    <w:p w14:paraId="09D7DF7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工程试车内容：</w:t>
      </w:r>
      <w:r>
        <w:rPr>
          <w:rFonts w:hint="eastAsia" w:eastAsia="仿宋_GB2312"/>
          <w:color w:val="auto"/>
          <w:sz w:val="24"/>
          <w:highlight w:val="none"/>
          <w:u w:val="single"/>
        </w:rPr>
        <w:t>按有关规定执行，所有试车费用承包人已在投标报价中包干</w:t>
      </w:r>
      <w:r>
        <w:rPr>
          <w:rFonts w:eastAsia="仿宋_GB2312"/>
          <w:color w:val="auto"/>
          <w:sz w:val="24"/>
          <w:highlight w:val="none"/>
          <w:u w:val="single"/>
        </w:rPr>
        <w:t>。</w:t>
      </w:r>
    </w:p>
    <w:p w14:paraId="39A4CB3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（1）单机无负荷试车费用由</w:t>
      </w:r>
      <w:r>
        <w:rPr>
          <w:rFonts w:hint="eastAsia" w:eastAsia="仿宋_GB2312"/>
          <w:color w:val="auto"/>
          <w:sz w:val="24"/>
          <w:highlight w:val="none"/>
          <w:u w:val="single"/>
        </w:rPr>
        <w:t>承包人</w:t>
      </w:r>
      <w:r>
        <w:rPr>
          <w:rFonts w:eastAsia="仿宋_GB2312"/>
          <w:color w:val="auto"/>
          <w:sz w:val="24"/>
          <w:highlight w:val="none"/>
        </w:rPr>
        <w:t>承担；</w:t>
      </w:r>
    </w:p>
    <w:p w14:paraId="021602C3">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（2）无负荷联动试车费用由</w:t>
      </w:r>
      <w:r>
        <w:rPr>
          <w:rFonts w:hint="eastAsia" w:eastAsia="仿宋_GB2312"/>
          <w:color w:val="auto"/>
          <w:sz w:val="24"/>
          <w:highlight w:val="none"/>
          <w:u w:val="single"/>
        </w:rPr>
        <w:t>承包人</w:t>
      </w:r>
      <w:r>
        <w:rPr>
          <w:rFonts w:eastAsia="仿宋_GB2312"/>
          <w:color w:val="auto"/>
          <w:sz w:val="24"/>
          <w:highlight w:val="none"/>
        </w:rPr>
        <w:t>承担。</w:t>
      </w:r>
    </w:p>
    <w:p w14:paraId="2174A24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13.3.3 投料试车</w:t>
      </w:r>
    </w:p>
    <w:p w14:paraId="12820A1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关于投料试车相关事项的约定：</w:t>
      </w:r>
      <w:r>
        <w:rPr>
          <w:rFonts w:hint="eastAsia" w:eastAsia="仿宋_GB2312"/>
          <w:color w:val="auto"/>
          <w:sz w:val="24"/>
          <w:highlight w:val="none"/>
          <w:u w:val="single"/>
        </w:rPr>
        <w:t xml:space="preserve">            /              </w:t>
      </w:r>
      <w:r>
        <w:rPr>
          <w:rFonts w:eastAsia="仿宋_GB2312"/>
          <w:color w:val="auto"/>
          <w:sz w:val="24"/>
          <w:highlight w:val="none"/>
        </w:rPr>
        <w:t>。</w:t>
      </w:r>
    </w:p>
    <w:p w14:paraId="21C9B061">
      <w:pPr>
        <w:adjustRightInd/>
        <w:spacing w:line="300" w:lineRule="auto"/>
        <w:ind w:firstLine="480" w:firstLineChars="200"/>
        <w:rPr>
          <w:rFonts w:eastAsia="黑体"/>
          <w:color w:val="auto"/>
          <w:sz w:val="24"/>
          <w:highlight w:val="none"/>
        </w:rPr>
      </w:pPr>
      <w:r>
        <w:rPr>
          <w:rFonts w:eastAsia="黑体"/>
          <w:color w:val="auto"/>
          <w:sz w:val="24"/>
          <w:highlight w:val="none"/>
        </w:rPr>
        <w:t>13.6 竣工退场</w:t>
      </w:r>
    </w:p>
    <w:p w14:paraId="5180508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13.6.1 竣工退场</w:t>
      </w:r>
    </w:p>
    <w:p w14:paraId="429E3C56">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承包人完成竣工退场的期限：</w:t>
      </w:r>
      <w:r>
        <w:rPr>
          <w:rFonts w:hint="eastAsia" w:eastAsia="仿宋_GB2312"/>
          <w:color w:val="auto"/>
          <w:sz w:val="24"/>
          <w:highlight w:val="none"/>
          <w:u w:val="single"/>
        </w:rPr>
        <w:t>双方签署验收证书之日起（30）日内且移交工程前按通用条款第13.6.1的规定对施工现场进行清理（合同约定或者发包人明确要求暂留现场的维保人员、机具、材料除外），由此产生的竣工退场费用由承包人自行承担。如有逾期的，则按逾期移交工程处理，逾期超过（90）日的，发包人有权出售或另行处理承包人遗留的物品，由此发生的费用及承包人损失均由承包人自行承担，发包人有权从应付承包人的任何款项中直接扣除相应的违约金及其他费用</w:t>
      </w:r>
      <w:r>
        <w:rPr>
          <w:rFonts w:eastAsia="仿宋_GB2312"/>
          <w:color w:val="auto"/>
          <w:sz w:val="24"/>
          <w:highlight w:val="none"/>
          <w:u w:val="single"/>
        </w:rPr>
        <w:t>。</w:t>
      </w:r>
    </w:p>
    <w:p w14:paraId="4B7D7B4B">
      <w:pPr>
        <w:pStyle w:val="8"/>
        <w:spacing w:before="0" w:after="0" w:line="300" w:lineRule="auto"/>
        <w:ind w:firstLine="480" w:firstLineChars="200"/>
        <w:rPr>
          <w:rFonts w:ascii="Times New Roman" w:hAnsi="Times New Roman"/>
          <w:b w:val="0"/>
          <w:color w:val="auto"/>
          <w:sz w:val="24"/>
          <w:szCs w:val="24"/>
          <w:highlight w:val="none"/>
        </w:rPr>
      </w:pPr>
      <w:bookmarkStart w:id="964" w:name="_Toc351203646"/>
      <w:r>
        <w:rPr>
          <w:rFonts w:ascii="Times New Roman" w:hAnsi="Times New Roman"/>
          <w:b w:val="0"/>
          <w:color w:val="auto"/>
          <w:sz w:val="24"/>
          <w:szCs w:val="24"/>
          <w:highlight w:val="none"/>
        </w:rPr>
        <w:t>14. 竣工结算</w:t>
      </w:r>
      <w:bookmarkEnd w:id="964"/>
    </w:p>
    <w:p w14:paraId="27EFD419">
      <w:pPr>
        <w:adjustRightInd/>
        <w:spacing w:line="300" w:lineRule="auto"/>
        <w:ind w:firstLine="480" w:firstLineChars="200"/>
        <w:rPr>
          <w:rFonts w:eastAsia="黑体"/>
          <w:color w:val="auto"/>
          <w:sz w:val="24"/>
          <w:highlight w:val="none"/>
        </w:rPr>
      </w:pPr>
      <w:r>
        <w:rPr>
          <w:rFonts w:eastAsia="黑体"/>
          <w:color w:val="auto"/>
          <w:sz w:val="24"/>
          <w:highlight w:val="none"/>
        </w:rPr>
        <w:t>14.1 竣工付款申请</w:t>
      </w:r>
    </w:p>
    <w:p w14:paraId="36A8937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承包人提交竣工付款申请单的期限：</w:t>
      </w:r>
      <w:r>
        <w:rPr>
          <w:rFonts w:hint="eastAsia" w:eastAsia="仿宋_GB2312"/>
          <w:color w:val="auto"/>
          <w:sz w:val="24"/>
          <w:highlight w:val="none"/>
          <w:u w:val="single"/>
        </w:rPr>
        <w:t>承包人应在工程竣工验收合格后28天内向发包人和监理人提交竣工结算申请单（含送审结算电子版），并提交完整的结算资料。无正当理由延期或经发包人催促14日内仍未提供的，发包人有权根据已有资料进行结算审核，责任由承包人自负。</w:t>
      </w:r>
      <w:r>
        <w:rPr>
          <w:rFonts w:eastAsia="仿宋_GB2312"/>
          <w:color w:val="auto"/>
          <w:sz w:val="24"/>
          <w:highlight w:val="none"/>
          <w:u w:val="single"/>
        </w:rPr>
        <w:t>发包人有权</w:t>
      </w:r>
      <w:r>
        <w:rPr>
          <w:rFonts w:hint="eastAsia" w:eastAsia="仿宋_GB2312"/>
          <w:color w:val="auto"/>
          <w:sz w:val="24"/>
          <w:highlight w:val="none"/>
          <w:u w:val="single"/>
        </w:rPr>
        <w:t>根据第三方审核情况提交政府财政部门进行</w:t>
      </w:r>
      <w:r>
        <w:rPr>
          <w:rFonts w:eastAsia="仿宋_GB2312"/>
          <w:color w:val="auto"/>
          <w:sz w:val="24"/>
          <w:highlight w:val="none"/>
          <w:u w:val="single"/>
        </w:rPr>
        <w:t>审计，最终</w:t>
      </w:r>
      <w:r>
        <w:rPr>
          <w:rFonts w:hint="eastAsia" w:eastAsia="仿宋_GB2312"/>
          <w:color w:val="auto"/>
          <w:sz w:val="24"/>
          <w:highlight w:val="none"/>
          <w:u w:val="single"/>
        </w:rPr>
        <w:t>审计</w:t>
      </w:r>
      <w:r>
        <w:rPr>
          <w:rFonts w:eastAsia="仿宋_GB2312"/>
          <w:color w:val="auto"/>
          <w:sz w:val="24"/>
          <w:highlight w:val="none"/>
          <w:u w:val="single"/>
        </w:rPr>
        <w:t>结果对承包人有效。承包人在工程结算审核</w:t>
      </w:r>
      <w:r>
        <w:rPr>
          <w:rFonts w:hint="eastAsia" w:eastAsia="仿宋_GB2312"/>
          <w:color w:val="auto"/>
          <w:sz w:val="24"/>
          <w:highlight w:val="none"/>
          <w:u w:val="single"/>
        </w:rPr>
        <w:t>、审计</w:t>
      </w:r>
      <w:r>
        <w:rPr>
          <w:rFonts w:eastAsia="仿宋_GB2312"/>
          <w:color w:val="auto"/>
          <w:sz w:val="24"/>
          <w:highlight w:val="none"/>
          <w:u w:val="single"/>
        </w:rPr>
        <w:t>过程中，</w:t>
      </w:r>
      <w:r>
        <w:rPr>
          <w:rFonts w:hint="eastAsia" w:eastAsia="仿宋_GB2312"/>
          <w:color w:val="auto"/>
          <w:sz w:val="24"/>
          <w:highlight w:val="none"/>
          <w:u w:val="single"/>
        </w:rPr>
        <w:t>如涉及确需增加的结算资料，由承包人填报增补资料申请单，监理及发包人审核确认后才能进入结算。</w:t>
      </w:r>
    </w:p>
    <w:p w14:paraId="7C2EABB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竣工付款申请单应包括的内容：</w:t>
      </w:r>
      <w:r>
        <w:rPr>
          <w:rFonts w:eastAsia="仿宋_GB2312"/>
          <w:color w:val="auto"/>
          <w:sz w:val="24"/>
          <w:highlight w:val="none"/>
          <w:u w:val="single"/>
        </w:rPr>
        <w:t>包括但不限于竣工验收报告、送审资料清单、工程结算书、竣工图纸、工程联系单目录、工程量计算稿、政府</w:t>
      </w:r>
      <w:r>
        <w:rPr>
          <w:rFonts w:hint="eastAsia" w:eastAsia="仿宋_GB2312"/>
          <w:color w:val="auto"/>
          <w:sz w:val="24"/>
          <w:highlight w:val="none"/>
          <w:u w:val="single"/>
        </w:rPr>
        <w:t>财政部门的</w:t>
      </w:r>
      <w:r>
        <w:rPr>
          <w:rFonts w:eastAsia="仿宋_GB2312"/>
          <w:color w:val="auto"/>
          <w:sz w:val="24"/>
          <w:highlight w:val="none"/>
          <w:u w:val="single"/>
        </w:rPr>
        <w:t>审计报告等全部相关资料。</w:t>
      </w:r>
    </w:p>
    <w:p w14:paraId="257DDFF3">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同时竣工结算还应符合以下要求：</w:t>
      </w:r>
    </w:p>
    <w:p w14:paraId="690532BC">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(1)工程结算</w:t>
      </w:r>
      <w:r>
        <w:rPr>
          <w:rFonts w:hint="eastAsia" w:eastAsia="仿宋_GB2312"/>
          <w:color w:val="auto"/>
          <w:sz w:val="24"/>
          <w:highlight w:val="none"/>
          <w:u w:val="single"/>
        </w:rPr>
        <w:t>审核及</w:t>
      </w:r>
      <w:r>
        <w:rPr>
          <w:rFonts w:eastAsia="仿宋_GB2312"/>
          <w:color w:val="auto"/>
          <w:sz w:val="24"/>
          <w:highlight w:val="none"/>
          <w:u w:val="single"/>
        </w:rPr>
        <w:t>审计应按</w:t>
      </w:r>
      <w:r>
        <w:rPr>
          <w:rFonts w:hint="eastAsia" w:eastAsia="仿宋_GB2312"/>
          <w:color w:val="auto"/>
          <w:sz w:val="24"/>
          <w:highlight w:val="none"/>
          <w:u w:val="single"/>
        </w:rPr>
        <w:t>国家、省、市、区及</w:t>
      </w:r>
      <w:r>
        <w:rPr>
          <w:rFonts w:eastAsia="仿宋_GB2312"/>
          <w:color w:val="auto"/>
          <w:sz w:val="24"/>
          <w:highlight w:val="none"/>
          <w:u w:val="single"/>
        </w:rPr>
        <w:t>杭州</w:t>
      </w:r>
      <w:r>
        <w:rPr>
          <w:rFonts w:hint="eastAsia" w:eastAsia="仿宋_GB2312"/>
          <w:color w:val="auto"/>
          <w:sz w:val="24"/>
          <w:highlight w:val="none"/>
          <w:u w:val="single"/>
        </w:rPr>
        <w:t>西湖城市建设投资</w:t>
      </w:r>
      <w:r>
        <w:rPr>
          <w:rFonts w:eastAsia="仿宋_GB2312"/>
          <w:color w:val="auto"/>
          <w:sz w:val="24"/>
          <w:highlight w:val="none"/>
          <w:u w:val="single"/>
        </w:rPr>
        <w:t>集团</w:t>
      </w:r>
      <w:r>
        <w:rPr>
          <w:rFonts w:hint="eastAsia" w:eastAsia="仿宋_GB2312"/>
          <w:color w:val="auto"/>
          <w:sz w:val="24"/>
          <w:highlight w:val="none"/>
          <w:u w:val="single"/>
        </w:rPr>
        <w:t>有限</w:t>
      </w:r>
      <w:r>
        <w:rPr>
          <w:rFonts w:eastAsia="仿宋_GB2312"/>
          <w:color w:val="auto"/>
          <w:sz w:val="24"/>
          <w:highlight w:val="none"/>
          <w:u w:val="single"/>
        </w:rPr>
        <w:t>公司相关规定执行</w:t>
      </w:r>
      <w:r>
        <w:rPr>
          <w:rFonts w:hint="eastAsia" w:eastAsia="仿宋_GB2312"/>
          <w:color w:val="auto"/>
          <w:sz w:val="24"/>
          <w:highlight w:val="none"/>
          <w:u w:val="single"/>
        </w:rPr>
        <w:t>：</w:t>
      </w:r>
    </w:p>
    <w:p w14:paraId="07783EC0">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①本工程需要经由审计机关审计，最终结算价款以审计部门审计审定的结果为准</w:t>
      </w:r>
      <w:r>
        <w:rPr>
          <w:rFonts w:eastAsia="仿宋_GB2312"/>
          <w:color w:val="auto"/>
          <w:sz w:val="24"/>
          <w:highlight w:val="none"/>
          <w:u w:val="single"/>
        </w:rPr>
        <w:t>。</w:t>
      </w:r>
    </w:p>
    <w:p w14:paraId="2B0C072B">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②承包人应遵循实事求是的原则编制工程造价，对于工程结算审核的基本费由发包人承担；核减及核增追加费由承包人承担，核减追加费按核减超过送审造价</w:t>
      </w:r>
      <w:r>
        <w:rPr>
          <w:rFonts w:eastAsia="仿宋_GB2312"/>
          <w:color w:val="auto"/>
          <w:sz w:val="24"/>
          <w:highlight w:val="none"/>
          <w:u w:val="single"/>
        </w:rPr>
        <w:t>5%的幅度以外的核减额为基数计取5％的费用，核增追加费按核增额的5％计算费用，核增额与核减额不作抵扣，即核增减追加费＝（核减额-送审造价×5%）×5%+核增额×5%。无论是否委托</w:t>
      </w:r>
      <w:r>
        <w:rPr>
          <w:rFonts w:hint="eastAsia" w:eastAsia="仿宋_GB2312"/>
          <w:color w:val="auto"/>
          <w:sz w:val="24"/>
          <w:highlight w:val="none"/>
          <w:u w:val="single"/>
        </w:rPr>
        <w:t>第三方咨询机构进行审核</w:t>
      </w:r>
      <w:r>
        <w:rPr>
          <w:rFonts w:eastAsia="仿宋_GB2312"/>
          <w:color w:val="auto"/>
          <w:sz w:val="24"/>
          <w:highlight w:val="none"/>
          <w:u w:val="single"/>
        </w:rPr>
        <w:t>，</w:t>
      </w:r>
      <w:r>
        <w:rPr>
          <w:rFonts w:hint="eastAsia" w:eastAsia="仿宋_GB2312"/>
          <w:color w:val="auto"/>
          <w:sz w:val="24"/>
          <w:highlight w:val="none"/>
          <w:u w:val="single"/>
        </w:rPr>
        <w:t>承包人均需承担相应的审核追加费，承包人应按发包人通知及时予以支付，如承包人逾期支付相应费用的，发包人有权从</w:t>
      </w:r>
      <w:r>
        <w:rPr>
          <w:rFonts w:eastAsia="仿宋_GB2312"/>
          <w:color w:val="auto"/>
          <w:sz w:val="24"/>
          <w:highlight w:val="none"/>
          <w:u w:val="single"/>
        </w:rPr>
        <w:t>应付工程款中直接扣</w:t>
      </w:r>
      <w:r>
        <w:rPr>
          <w:rFonts w:hint="eastAsia" w:eastAsia="仿宋_GB2312"/>
          <w:color w:val="auto"/>
          <w:sz w:val="24"/>
          <w:highlight w:val="none"/>
          <w:u w:val="single"/>
        </w:rPr>
        <w:t>除</w:t>
      </w:r>
      <w:r>
        <w:rPr>
          <w:rFonts w:eastAsia="仿宋_GB2312"/>
          <w:color w:val="auto"/>
          <w:sz w:val="24"/>
          <w:highlight w:val="none"/>
          <w:u w:val="single"/>
        </w:rPr>
        <w:t>。</w:t>
      </w:r>
    </w:p>
    <w:p w14:paraId="077BD80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w:t>
      </w:r>
      <w:r>
        <w:rPr>
          <w:rFonts w:hint="eastAsia" w:eastAsia="仿宋_GB2312"/>
          <w:color w:val="auto"/>
          <w:sz w:val="24"/>
          <w:highlight w:val="none"/>
          <w:u w:val="single"/>
        </w:rPr>
        <w:t>2</w:t>
      </w:r>
      <w:r>
        <w:rPr>
          <w:rFonts w:eastAsia="仿宋_GB2312"/>
          <w:color w:val="auto"/>
          <w:sz w:val="24"/>
          <w:highlight w:val="none"/>
          <w:u w:val="single"/>
        </w:rPr>
        <w:t>)质量保证金在建设工程价款结算审计完成且符合质量保证金合同约定的支付期限后支付。</w:t>
      </w:r>
    </w:p>
    <w:p w14:paraId="351B9BD3">
      <w:pPr>
        <w:adjustRightInd/>
        <w:spacing w:line="300" w:lineRule="auto"/>
        <w:ind w:firstLine="480" w:firstLineChars="200"/>
        <w:rPr>
          <w:rFonts w:eastAsia="仿宋_GB2312"/>
          <w:color w:val="auto"/>
          <w:sz w:val="24"/>
          <w:highlight w:val="none"/>
          <w:u w:val="single"/>
        </w:rPr>
      </w:pPr>
    </w:p>
    <w:p w14:paraId="7F35BD39">
      <w:pPr>
        <w:adjustRightInd/>
        <w:spacing w:line="300" w:lineRule="auto"/>
        <w:ind w:firstLine="480" w:firstLineChars="200"/>
        <w:rPr>
          <w:rFonts w:eastAsia="黑体"/>
          <w:color w:val="auto"/>
          <w:sz w:val="24"/>
          <w:highlight w:val="none"/>
        </w:rPr>
      </w:pPr>
      <w:r>
        <w:rPr>
          <w:rFonts w:eastAsia="黑体"/>
          <w:color w:val="auto"/>
          <w:sz w:val="24"/>
          <w:highlight w:val="none"/>
        </w:rPr>
        <w:t>14.2 竣工结算审核</w:t>
      </w:r>
    </w:p>
    <w:p w14:paraId="4BA9302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竣工付款申请单的期限：</w:t>
      </w:r>
      <w:r>
        <w:rPr>
          <w:rFonts w:hint="eastAsia" w:eastAsia="仿宋_GB2312"/>
          <w:color w:val="auto"/>
          <w:sz w:val="24"/>
          <w:highlight w:val="none"/>
          <w:u w:val="single"/>
        </w:rPr>
        <w:t>在完成竣工结算最终工程造价确定后并收到最终结算申请单14个工作日完成竣工付款申请审批，签发付款证书；</w:t>
      </w:r>
    </w:p>
    <w:p w14:paraId="34A989D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发包人完成竣工付款的期限：</w:t>
      </w:r>
      <w:r>
        <w:rPr>
          <w:rFonts w:hint="eastAsia" w:eastAsia="仿宋_GB2312"/>
          <w:color w:val="auto"/>
          <w:sz w:val="24"/>
          <w:highlight w:val="none"/>
          <w:u w:val="single"/>
        </w:rPr>
        <w:t>/</w:t>
      </w:r>
      <w:r>
        <w:rPr>
          <w:rFonts w:eastAsia="仿宋_GB2312"/>
          <w:color w:val="auto"/>
          <w:sz w:val="24"/>
          <w:highlight w:val="none"/>
        </w:rPr>
        <w:t>。</w:t>
      </w:r>
    </w:p>
    <w:p w14:paraId="671A852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关于竣工付款证书异议部分复核的方式和程序：</w:t>
      </w:r>
      <w:r>
        <w:rPr>
          <w:rFonts w:hint="eastAsia" w:eastAsia="仿宋_GB2312"/>
          <w:color w:val="auto"/>
          <w:sz w:val="24"/>
          <w:highlight w:val="none"/>
          <w:u w:val="single"/>
        </w:rPr>
        <w:t xml:space="preserve"> /</w:t>
      </w:r>
      <w:r>
        <w:rPr>
          <w:rFonts w:eastAsia="仿宋_GB2312"/>
          <w:color w:val="auto"/>
          <w:sz w:val="24"/>
          <w:highlight w:val="none"/>
        </w:rPr>
        <w:t>。</w:t>
      </w:r>
    </w:p>
    <w:p w14:paraId="7F7306E6">
      <w:pPr>
        <w:adjustRightInd/>
        <w:spacing w:line="300" w:lineRule="auto"/>
        <w:ind w:firstLine="480" w:firstLineChars="200"/>
        <w:rPr>
          <w:rFonts w:eastAsia="黑体"/>
          <w:color w:val="auto"/>
          <w:sz w:val="24"/>
          <w:highlight w:val="none"/>
        </w:rPr>
      </w:pPr>
      <w:r>
        <w:rPr>
          <w:rFonts w:eastAsia="黑体"/>
          <w:color w:val="auto"/>
          <w:sz w:val="24"/>
          <w:highlight w:val="none"/>
        </w:rPr>
        <w:t>14.4 最终结清</w:t>
      </w:r>
    </w:p>
    <w:p w14:paraId="7ADCAEA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14.4.1 最终结清申请单</w:t>
      </w:r>
    </w:p>
    <w:p w14:paraId="7F25E5E8">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承包人提交最终结清申请单的份数：</w:t>
      </w:r>
      <w:r>
        <w:rPr>
          <w:rFonts w:hint="eastAsia" w:eastAsia="仿宋_GB2312"/>
          <w:color w:val="auto"/>
          <w:sz w:val="24"/>
          <w:highlight w:val="none"/>
          <w:u w:val="single"/>
        </w:rPr>
        <w:t>4份</w:t>
      </w:r>
      <w:r>
        <w:rPr>
          <w:rFonts w:eastAsia="仿宋_GB2312"/>
          <w:color w:val="auto"/>
          <w:sz w:val="24"/>
          <w:highlight w:val="none"/>
        </w:rPr>
        <w:t>。</w:t>
      </w:r>
    </w:p>
    <w:p w14:paraId="6BF1E4FF">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承包人提交最终结算申请单的期限：</w:t>
      </w:r>
      <w:r>
        <w:rPr>
          <w:rFonts w:hint="eastAsia" w:eastAsia="仿宋_GB2312"/>
          <w:color w:val="auto"/>
          <w:sz w:val="24"/>
          <w:highlight w:val="none"/>
          <w:u w:val="single"/>
        </w:rPr>
        <w:t>审计定案完成14个工作日内</w:t>
      </w:r>
      <w:r>
        <w:rPr>
          <w:rFonts w:eastAsia="仿宋_GB2312"/>
          <w:color w:val="auto"/>
          <w:sz w:val="24"/>
          <w:highlight w:val="none"/>
        </w:rPr>
        <w:t>。</w:t>
      </w:r>
    </w:p>
    <w:p w14:paraId="39EB043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14.4.2 最终结清证书和支付</w:t>
      </w:r>
    </w:p>
    <w:p w14:paraId="080EB73D">
      <w:pPr>
        <w:adjustRightInd/>
        <w:spacing w:line="300" w:lineRule="auto"/>
        <w:ind w:left="1020" w:leftChars="200" w:hanging="600" w:hangingChars="250"/>
        <w:rPr>
          <w:rFonts w:eastAsia="仿宋_GB2312"/>
          <w:color w:val="auto"/>
          <w:sz w:val="24"/>
          <w:highlight w:val="none"/>
          <w:u w:val="single"/>
        </w:rPr>
      </w:pPr>
      <w:r>
        <w:rPr>
          <w:rFonts w:eastAsia="仿宋_GB2312"/>
          <w:color w:val="auto"/>
          <w:sz w:val="24"/>
          <w:highlight w:val="none"/>
        </w:rPr>
        <w:t>（1）发包人完成最终结清申请单的</w:t>
      </w:r>
      <w:r>
        <w:rPr>
          <w:rFonts w:hint="eastAsia" w:eastAsia="仿宋_GB2312"/>
          <w:color w:val="auto"/>
          <w:sz w:val="24"/>
          <w:highlight w:val="none"/>
        </w:rPr>
        <w:t>审批</w:t>
      </w:r>
      <w:r>
        <w:rPr>
          <w:rFonts w:eastAsia="仿宋_GB2312"/>
          <w:color w:val="auto"/>
          <w:sz w:val="24"/>
          <w:highlight w:val="none"/>
        </w:rPr>
        <w:t>并颁发最终结清证书的期限：</w:t>
      </w:r>
    </w:p>
    <w:p w14:paraId="3798442D">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发包人应在收到承包人提交的最终结清申请单28日内完成审批并向承包人颁发最终结清</w:t>
      </w:r>
      <w:r>
        <w:rPr>
          <w:rFonts w:eastAsia="仿宋_GB2312"/>
          <w:color w:val="auto"/>
          <w:sz w:val="24"/>
          <w:highlight w:val="none"/>
          <w:u w:val="single"/>
        </w:rPr>
        <w:t>证书。</w:t>
      </w:r>
    </w:p>
    <w:p w14:paraId="677C41D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（2）发包人完成支付的期限：</w:t>
      </w:r>
      <w:r>
        <w:rPr>
          <w:rFonts w:eastAsia="仿宋_GB2312"/>
          <w:color w:val="auto"/>
          <w:sz w:val="24"/>
          <w:highlight w:val="none"/>
          <w:u w:val="single"/>
        </w:rPr>
        <w:t xml:space="preserve"> 发包人应在</w:t>
      </w:r>
      <w:r>
        <w:rPr>
          <w:rFonts w:hint="eastAsia" w:eastAsia="仿宋_GB2312"/>
          <w:color w:val="auto"/>
          <w:sz w:val="24"/>
          <w:highlight w:val="none"/>
          <w:u w:val="single"/>
        </w:rPr>
        <w:t>颁发最终结清</w:t>
      </w:r>
      <w:r>
        <w:rPr>
          <w:rFonts w:eastAsia="仿宋_GB2312"/>
          <w:color w:val="auto"/>
          <w:sz w:val="24"/>
          <w:highlight w:val="none"/>
          <w:u w:val="single"/>
        </w:rPr>
        <w:t>证书后的</w:t>
      </w:r>
      <w:r>
        <w:rPr>
          <w:rFonts w:hint="eastAsia" w:eastAsia="仿宋_GB2312"/>
          <w:color w:val="auto"/>
          <w:sz w:val="24"/>
          <w:highlight w:val="none"/>
          <w:u w:val="single"/>
        </w:rPr>
        <w:t>28</w:t>
      </w:r>
      <w:r>
        <w:rPr>
          <w:rFonts w:eastAsia="仿宋_GB2312"/>
          <w:color w:val="auto"/>
          <w:sz w:val="24"/>
          <w:highlight w:val="none"/>
          <w:u w:val="single"/>
        </w:rPr>
        <w:t>天内</w:t>
      </w:r>
      <w:r>
        <w:rPr>
          <w:rFonts w:hint="eastAsia" w:eastAsia="仿宋_GB2312"/>
          <w:color w:val="auto"/>
          <w:sz w:val="24"/>
          <w:highlight w:val="none"/>
          <w:u w:val="single"/>
        </w:rPr>
        <w:t>完成支</w:t>
      </w:r>
      <w:r>
        <w:rPr>
          <w:rFonts w:eastAsia="仿宋_GB2312"/>
          <w:color w:val="auto"/>
          <w:sz w:val="24"/>
          <w:highlight w:val="none"/>
          <w:u w:val="single"/>
        </w:rPr>
        <w:t>付。</w:t>
      </w:r>
    </w:p>
    <w:bookmarkEnd w:id="951"/>
    <w:bookmarkEnd w:id="952"/>
    <w:bookmarkEnd w:id="953"/>
    <w:bookmarkEnd w:id="954"/>
    <w:bookmarkEnd w:id="955"/>
    <w:bookmarkEnd w:id="956"/>
    <w:bookmarkEnd w:id="957"/>
    <w:bookmarkEnd w:id="963"/>
    <w:p w14:paraId="24F6F0F5">
      <w:pPr>
        <w:pStyle w:val="8"/>
        <w:spacing w:before="0" w:after="0" w:line="300" w:lineRule="auto"/>
        <w:ind w:firstLine="480" w:firstLineChars="200"/>
        <w:rPr>
          <w:rFonts w:ascii="Times New Roman" w:hAnsi="Times New Roman"/>
          <w:b w:val="0"/>
          <w:color w:val="auto"/>
          <w:sz w:val="24"/>
          <w:szCs w:val="24"/>
          <w:highlight w:val="none"/>
        </w:rPr>
      </w:pPr>
      <w:bookmarkStart w:id="965" w:name="_Toc351203647"/>
      <w:bookmarkStart w:id="966" w:name="_Toc267251483"/>
      <w:bookmarkStart w:id="967" w:name="_Toc267251482"/>
      <w:bookmarkStart w:id="968" w:name="_Toc267251484"/>
      <w:bookmarkStart w:id="969" w:name="_Toc267251485"/>
      <w:bookmarkStart w:id="970" w:name="_Toc267251490"/>
      <w:bookmarkStart w:id="971" w:name="_Toc267251488"/>
      <w:bookmarkStart w:id="972" w:name="_Toc267251486"/>
      <w:bookmarkStart w:id="973" w:name="_Toc267251489"/>
      <w:bookmarkStart w:id="974" w:name="_Toc267251499"/>
      <w:bookmarkStart w:id="975" w:name="_Toc267251501"/>
      <w:bookmarkStart w:id="976" w:name="_Toc267251496"/>
      <w:bookmarkStart w:id="977" w:name="_Toc267251502"/>
      <w:bookmarkStart w:id="978" w:name="_Toc267251491"/>
      <w:bookmarkStart w:id="979" w:name="_Toc267251493"/>
      <w:bookmarkStart w:id="980" w:name="_Toc267251495"/>
      <w:bookmarkStart w:id="981" w:name="_Toc267251497"/>
      <w:bookmarkStart w:id="982" w:name="_Toc267251498"/>
      <w:bookmarkStart w:id="983" w:name="_Toc267251503"/>
      <w:bookmarkStart w:id="984" w:name="_Toc267251494"/>
      <w:bookmarkStart w:id="985" w:name="_Toc267251492"/>
      <w:bookmarkStart w:id="986" w:name="_Toc267251506"/>
      <w:bookmarkStart w:id="987" w:name="_Toc267251504"/>
      <w:bookmarkStart w:id="988" w:name="_Toc267251507"/>
      <w:bookmarkStart w:id="989" w:name="_Toc267251508"/>
      <w:bookmarkStart w:id="990" w:name="_Toc267251510"/>
      <w:bookmarkStart w:id="991" w:name="_Toc267251509"/>
      <w:bookmarkStart w:id="992" w:name="_Toc267251514"/>
      <w:bookmarkStart w:id="993" w:name="_Toc267251513"/>
      <w:bookmarkStart w:id="994" w:name="_Toc267251515"/>
      <w:bookmarkStart w:id="995" w:name="_Toc267251511"/>
      <w:r>
        <w:rPr>
          <w:rFonts w:ascii="Times New Roman" w:hAnsi="Times New Roman"/>
          <w:b w:val="0"/>
          <w:color w:val="auto"/>
          <w:sz w:val="24"/>
          <w:szCs w:val="24"/>
          <w:highlight w:val="none"/>
        </w:rPr>
        <w:t>15. 缺陷责任期与保修</w:t>
      </w:r>
      <w:bookmarkEnd w:id="965"/>
    </w:p>
    <w:p w14:paraId="3086B9A7">
      <w:pPr>
        <w:adjustRightInd/>
        <w:spacing w:line="300" w:lineRule="auto"/>
        <w:ind w:firstLine="480" w:firstLineChars="200"/>
        <w:rPr>
          <w:rFonts w:eastAsia="黑体"/>
          <w:color w:val="auto"/>
          <w:sz w:val="24"/>
          <w:highlight w:val="none"/>
        </w:rPr>
      </w:pPr>
      <w:r>
        <w:rPr>
          <w:rFonts w:eastAsia="黑体"/>
          <w:color w:val="auto"/>
          <w:sz w:val="24"/>
          <w:highlight w:val="none"/>
        </w:rPr>
        <w:t>15.2缺陷责任期</w:t>
      </w:r>
      <w:bookmarkEnd w:id="966"/>
    </w:p>
    <w:p w14:paraId="3B8CFC8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缺陷责任期的具体期限：</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2AC1B8F7">
      <w:pPr>
        <w:adjustRightInd/>
        <w:spacing w:line="300" w:lineRule="auto"/>
        <w:ind w:firstLine="480" w:firstLineChars="200"/>
        <w:rPr>
          <w:rFonts w:eastAsia="黑体"/>
          <w:color w:val="auto"/>
          <w:sz w:val="24"/>
          <w:highlight w:val="none"/>
        </w:rPr>
      </w:pPr>
      <w:r>
        <w:rPr>
          <w:rFonts w:eastAsia="黑体"/>
          <w:color w:val="auto"/>
          <w:sz w:val="24"/>
          <w:highlight w:val="none"/>
        </w:rPr>
        <w:t>15.3 质量保证金</w:t>
      </w:r>
    </w:p>
    <w:p w14:paraId="64E1AC5A">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关于是否扣留质量保证金的约定：</w:t>
      </w:r>
      <w:r>
        <w:rPr>
          <w:rFonts w:hint="eastAsia" w:eastAsia="仿宋_GB2312"/>
          <w:color w:val="auto"/>
          <w:sz w:val="24"/>
          <w:highlight w:val="none"/>
          <w:u w:val="single"/>
        </w:rPr>
        <w:t>是</w:t>
      </w:r>
      <w:r>
        <w:rPr>
          <w:rFonts w:eastAsia="仿宋_GB2312"/>
          <w:color w:val="auto"/>
          <w:sz w:val="24"/>
          <w:highlight w:val="none"/>
        </w:rPr>
        <w:t>。</w:t>
      </w:r>
    </w:p>
    <w:p w14:paraId="409DE39E">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15.3.1 </w:t>
      </w:r>
      <w:r>
        <w:rPr>
          <w:rFonts w:hint="eastAsia" w:eastAsia="仿宋_GB2312"/>
          <w:color w:val="auto"/>
          <w:sz w:val="24"/>
          <w:highlight w:val="none"/>
        </w:rPr>
        <w:t>承包人提供</w:t>
      </w:r>
      <w:r>
        <w:rPr>
          <w:rFonts w:eastAsia="仿宋_GB2312"/>
          <w:color w:val="auto"/>
          <w:sz w:val="24"/>
          <w:highlight w:val="none"/>
        </w:rPr>
        <w:t>质量保证金的</w:t>
      </w:r>
      <w:r>
        <w:rPr>
          <w:rFonts w:hint="eastAsia" w:eastAsia="仿宋_GB2312"/>
          <w:color w:val="auto"/>
          <w:sz w:val="24"/>
          <w:highlight w:val="none"/>
        </w:rPr>
        <w:t>方</w:t>
      </w:r>
      <w:r>
        <w:rPr>
          <w:rFonts w:eastAsia="仿宋_GB2312"/>
          <w:color w:val="auto"/>
          <w:sz w:val="24"/>
          <w:highlight w:val="none"/>
        </w:rPr>
        <w:t>式</w:t>
      </w:r>
    </w:p>
    <w:p w14:paraId="043205F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质量保证金采用以下第</w:t>
      </w:r>
      <w:r>
        <w:rPr>
          <w:rFonts w:hint="eastAsia" w:eastAsia="仿宋_GB2312"/>
          <w:color w:val="auto"/>
          <w:sz w:val="24"/>
          <w:highlight w:val="none"/>
          <w:u w:val="single"/>
        </w:rPr>
        <w:t>（2）</w:t>
      </w:r>
      <w:r>
        <w:rPr>
          <w:rFonts w:eastAsia="仿宋_GB2312"/>
          <w:color w:val="auto"/>
          <w:sz w:val="24"/>
          <w:highlight w:val="none"/>
        </w:rPr>
        <w:t>种方式：</w:t>
      </w:r>
    </w:p>
    <w:p w14:paraId="0E1B4E84">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（1）质量保证金保函，保证金额为：； </w:t>
      </w:r>
    </w:p>
    <w:p w14:paraId="489FCE82">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 xml:space="preserve">1.5   </w:t>
      </w:r>
      <w:r>
        <w:rPr>
          <w:rFonts w:eastAsia="仿宋_GB2312"/>
          <w:color w:val="auto"/>
          <w:sz w:val="24"/>
          <w:highlight w:val="none"/>
        </w:rPr>
        <w:t>%的工程款；</w:t>
      </w:r>
    </w:p>
    <w:p w14:paraId="35C21FAD">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w:t>
      </w:r>
      <w:r>
        <w:rPr>
          <w:rFonts w:hint="eastAsia" w:eastAsia="仿宋_GB2312"/>
          <w:color w:val="auto"/>
          <w:sz w:val="24"/>
          <w:highlight w:val="none"/>
        </w:rPr>
        <w:t>方</w:t>
      </w:r>
      <w:r>
        <w:rPr>
          <w:rFonts w:eastAsia="仿宋_GB2312"/>
          <w:color w:val="auto"/>
          <w:sz w:val="24"/>
          <w:highlight w:val="none"/>
        </w:rPr>
        <w:t>式:。</w:t>
      </w:r>
    </w:p>
    <w:p w14:paraId="73461081">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15.3.2 质量保证金的扣留 </w:t>
      </w:r>
    </w:p>
    <w:p w14:paraId="61F40AD7">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质量保证金的扣留采取以下第</w:t>
      </w:r>
      <w:r>
        <w:rPr>
          <w:rFonts w:hint="eastAsia" w:eastAsia="仿宋_GB2312"/>
          <w:color w:val="auto"/>
          <w:sz w:val="24"/>
          <w:highlight w:val="none"/>
          <w:u w:val="single"/>
        </w:rPr>
        <w:t>（2）</w:t>
      </w:r>
      <w:r>
        <w:rPr>
          <w:rFonts w:eastAsia="仿宋_GB2312"/>
          <w:color w:val="auto"/>
          <w:sz w:val="24"/>
          <w:highlight w:val="none"/>
        </w:rPr>
        <w:t>种方式：</w:t>
      </w:r>
    </w:p>
    <w:p w14:paraId="6A50BC2F">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（1）在支付工程进度款时逐次扣留，在此情形下，质量保证金的计算基数不包括预付款的支付、扣回以及价格调整的金额；</w:t>
      </w:r>
    </w:p>
    <w:p w14:paraId="36504E5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（2）工程竣工结算时一次性扣留质量保证金；</w:t>
      </w:r>
    </w:p>
    <w:p w14:paraId="41DAFFDB">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（3）其他扣留方式:</w:t>
      </w:r>
      <w:r>
        <w:rPr>
          <w:rFonts w:hint="eastAsia" w:eastAsia="仿宋_GB2312"/>
          <w:color w:val="auto"/>
          <w:sz w:val="24"/>
          <w:highlight w:val="none"/>
        </w:rPr>
        <w:t xml:space="preserve"> </w:t>
      </w:r>
      <w:r>
        <w:rPr>
          <w:rFonts w:hint="eastAsia" w:eastAsia="仿宋_GB2312"/>
          <w:color w:val="auto"/>
          <w:sz w:val="24"/>
          <w:highlight w:val="none"/>
          <w:u w:val="single"/>
        </w:rPr>
        <w:t xml:space="preserve">         /       </w:t>
      </w:r>
      <w:r>
        <w:rPr>
          <w:rFonts w:eastAsia="仿宋_GB2312"/>
          <w:color w:val="auto"/>
          <w:sz w:val="24"/>
          <w:highlight w:val="none"/>
        </w:rPr>
        <w:t>。</w:t>
      </w:r>
    </w:p>
    <w:bookmarkEnd w:id="967"/>
    <w:bookmarkEnd w:id="968"/>
    <w:p w14:paraId="099645A2">
      <w:pPr>
        <w:adjustRightInd/>
        <w:spacing w:line="300" w:lineRule="auto"/>
        <w:ind w:firstLine="480" w:firstLineChars="200"/>
        <w:rPr>
          <w:rFonts w:eastAsia="黑体"/>
          <w:color w:val="auto"/>
          <w:sz w:val="24"/>
          <w:highlight w:val="none"/>
        </w:rPr>
      </w:pPr>
      <w:r>
        <w:rPr>
          <w:rFonts w:hint="eastAsia" w:eastAsia="黑体"/>
          <w:color w:val="auto"/>
          <w:sz w:val="24"/>
          <w:highlight w:val="none"/>
        </w:rPr>
        <w:t>关于质量保证金的补充约定：</w:t>
      </w:r>
    </w:p>
    <w:p w14:paraId="64FA1FDB">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缺陷责任期满2 年，经质量回访如无质量问题，经发包人签字同意后，无息返还剩余全部保证金，同时承包人提供金额为 1.5% 的工程结算审定价 的质量保证金（银行保函形式、保险保证形式、担保公司担保形式），担保有效期同本项目防水质量保修期截止时间 ；对未到期的质量保修责任，承包人仍应按《工程质量保修书》约定的工程各部位保修年限承担保修义务。</w:t>
      </w:r>
    </w:p>
    <w:bookmarkEnd w:id="969"/>
    <w:p w14:paraId="6AA503C0">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15.4.1 保修责任</w:t>
      </w:r>
    </w:p>
    <w:p w14:paraId="578DCBDE">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工程保修期为：</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75D2EBCC">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15.4.3 修复通知</w:t>
      </w:r>
    </w:p>
    <w:p w14:paraId="37ACDD62">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承包人收到保修通知并到达工程现场的合理时间：</w:t>
      </w:r>
      <w:r>
        <w:rPr>
          <w:rFonts w:hint="eastAsia" w:eastAsia="仿宋_GB2312"/>
          <w:color w:val="auto"/>
          <w:sz w:val="24"/>
          <w:highlight w:val="none"/>
          <w:u w:val="single"/>
        </w:rPr>
        <w:t>24小时</w:t>
      </w:r>
      <w:r>
        <w:rPr>
          <w:rFonts w:eastAsia="仿宋_GB2312"/>
          <w:color w:val="auto"/>
          <w:sz w:val="24"/>
          <w:highlight w:val="none"/>
        </w:rPr>
        <w:t>。</w:t>
      </w:r>
    </w:p>
    <w:bookmarkEnd w:id="970"/>
    <w:bookmarkEnd w:id="971"/>
    <w:bookmarkEnd w:id="972"/>
    <w:bookmarkEnd w:id="973"/>
    <w:p w14:paraId="7DB5BE35">
      <w:pPr>
        <w:pStyle w:val="8"/>
        <w:spacing w:before="0" w:after="0" w:line="300" w:lineRule="auto"/>
        <w:ind w:firstLine="480" w:firstLineChars="200"/>
        <w:rPr>
          <w:rFonts w:ascii="Times New Roman" w:hAnsi="Times New Roman"/>
          <w:b w:val="0"/>
          <w:color w:val="auto"/>
          <w:sz w:val="24"/>
          <w:szCs w:val="24"/>
          <w:highlight w:val="none"/>
        </w:rPr>
      </w:pPr>
      <w:bookmarkStart w:id="996" w:name="_Toc351203648"/>
      <w:bookmarkStart w:id="997" w:name="_Toc280868717"/>
      <w:bookmarkStart w:id="998" w:name="_Toc280868718"/>
      <w:r>
        <w:rPr>
          <w:rFonts w:ascii="Times New Roman" w:hAnsi="Times New Roman"/>
          <w:b w:val="0"/>
          <w:color w:val="auto"/>
          <w:sz w:val="24"/>
          <w:szCs w:val="24"/>
          <w:highlight w:val="none"/>
        </w:rPr>
        <w:t>16. 违约</w:t>
      </w:r>
      <w:bookmarkEnd w:id="996"/>
    </w:p>
    <w:p w14:paraId="404EEDA4">
      <w:pPr>
        <w:adjustRightInd/>
        <w:spacing w:line="300" w:lineRule="auto"/>
        <w:ind w:firstLine="480" w:firstLineChars="200"/>
        <w:rPr>
          <w:rFonts w:eastAsia="黑体"/>
          <w:color w:val="auto"/>
          <w:sz w:val="24"/>
          <w:highlight w:val="none"/>
        </w:rPr>
      </w:pPr>
      <w:r>
        <w:rPr>
          <w:rFonts w:eastAsia="黑体"/>
          <w:color w:val="auto"/>
          <w:sz w:val="24"/>
          <w:highlight w:val="none"/>
        </w:rPr>
        <w:t>16.1 发包人违约</w:t>
      </w:r>
    </w:p>
    <w:p w14:paraId="2EFF861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16.1.1发包人违约的情形</w:t>
      </w:r>
    </w:p>
    <w:p w14:paraId="1BC9091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发包人违约的其他情形：</w:t>
      </w:r>
      <w:r>
        <w:rPr>
          <w:rFonts w:hint="eastAsia" w:eastAsia="仿宋_GB2312"/>
          <w:color w:val="auto"/>
          <w:sz w:val="24"/>
          <w:highlight w:val="none"/>
          <w:u w:val="single"/>
        </w:rPr>
        <w:t>/</w:t>
      </w:r>
      <w:r>
        <w:rPr>
          <w:rFonts w:eastAsia="仿宋_GB2312"/>
          <w:color w:val="auto"/>
          <w:sz w:val="24"/>
          <w:highlight w:val="none"/>
        </w:rPr>
        <w:t>。</w:t>
      </w:r>
    </w:p>
    <w:p w14:paraId="0A6D6E54">
      <w:pPr>
        <w:adjustRightInd/>
        <w:spacing w:line="300" w:lineRule="auto"/>
        <w:ind w:left="1200" w:hanging="1200" w:hangingChars="500"/>
        <w:rPr>
          <w:rFonts w:eastAsia="仿宋_GB2312"/>
          <w:color w:val="auto"/>
          <w:sz w:val="24"/>
          <w:highlight w:val="none"/>
        </w:rPr>
      </w:pPr>
      <w:r>
        <w:rPr>
          <w:rFonts w:eastAsia="仿宋_GB2312"/>
          <w:color w:val="auto"/>
          <w:sz w:val="24"/>
          <w:highlight w:val="none"/>
        </w:rPr>
        <w:t xml:space="preserve">    16.1.2 发包人违约的责任</w:t>
      </w:r>
    </w:p>
    <w:p w14:paraId="232E32E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发包人违约责任的承担方式和计算方法：</w:t>
      </w:r>
    </w:p>
    <w:p w14:paraId="3E62BB9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（1）因发包人原因未能在计划开工日期前7天内下达开工通知的违约责任：</w:t>
      </w:r>
      <w:r>
        <w:rPr>
          <w:rFonts w:hint="eastAsia" w:eastAsia="仿宋_GB2312"/>
          <w:color w:val="auto"/>
          <w:sz w:val="24"/>
          <w:highlight w:val="none"/>
          <w:u w:val="single"/>
        </w:rPr>
        <w:t>/</w:t>
      </w:r>
      <w:r>
        <w:rPr>
          <w:rFonts w:eastAsia="仿宋_GB2312"/>
          <w:color w:val="auto"/>
          <w:sz w:val="24"/>
          <w:highlight w:val="none"/>
        </w:rPr>
        <w:t>。</w:t>
      </w:r>
    </w:p>
    <w:p w14:paraId="6CC2EE6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（2）因发包人原因未能按合同约定支付合同价款的违约责任：</w:t>
      </w:r>
      <w:r>
        <w:rPr>
          <w:rFonts w:hint="eastAsia" w:eastAsia="仿宋_GB2312"/>
          <w:color w:val="auto"/>
          <w:sz w:val="24"/>
          <w:highlight w:val="none"/>
          <w:u w:val="single"/>
        </w:rPr>
        <w:t>按通用条款执行，但是因政府财政审计原因导致的付款延迟除外。</w:t>
      </w:r>
    </w:p>
    <w:p w14:paraId="0D42181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（3）发包人违反第10.1款</w:t>
      </w:r>
      <w:r>
        <w:rPr>
          <w:rFonts w:hint="eastAsia" w:eastAsia="仿宋_GB2312"/>
          <w:color w:val="auto"/>
          <w:sz w:val="24"/>
          <w:highlight w:val="none"/>
        </w:rPr>
        <w:t>〔</w:t>
      </w:r>
      <w:r>
        <w:rPr>
          <w:rFonts w:eastAsia="仿宋_GB2312"/>
          <w:color w:val="auto"/>
          <w:sz w:val="24"/>
          <w:highlight w:val="none"/>
        </w:rPr>
        <w:t>变更的范围</w:t>
      </w:r>
      <w:r>
        <w:rPr>
          <w:rFonts w:hint="eastAsia" w:eastAsia="仿宋_GB2312"/>
          <w:color w:val="auto"/>
          <w:sz w:val="24"/>
          <w:highlight w:val="none"/>
        </w:rPr>
        <w:t>〕</w:t>
      </w:r>
      <w:r>
        <w:rPr>
          <w:rFonts w:eastAsia="仿宋_GB2312"/>
          <w:color w:val="auto"/>
          <w:sz w:val="24"/>
          <w:highlight w:val="none"/>
        </w:rPr>
        <w:t>第（2）项约定，自行实施被取消的工作或转由他人实施的违约责任：</w:t>
      </w:r>
      <w:r>
        <w:rPr>
          <w:rFonts w:hint="eastAsia" w:eastAsia="仿宋_GB2312"/>
          <w:color w:val="auto"/>
          <w:sz w:val="24"/>
          <w:highlight w:val="none"/>
          <w:u w:val="single"/>
        </w:rPr>
        <w:t>按通用条款执行，但承包人同意或因承包人原因发包人将工程发包给其他单位分包的，发包人不承担责任</w:t>
      </w:r>
      <w:r>
        <w:rPr>
          <w:rFonts w:eastAsia="仿宋_GB2312"/>
          <w:color w:val="auto"/>
          <w:sz w:val="24"/>
          <w:highlight w:val="none"/>
          <w:u w:val="single"/>
        </w:rPr>
        <w:t>。</w:t>
      </w:r>
    </w:p>
    <w:p w14:paraId="3BA28591">
      <w:pPr>
        <w:adjustRightInd/>
        <w:spacing w:line="300" w:lineRule="auto"/>
        <w:ind w:firstLine="480" w:firstLineChars="200"/>
        <w:rPr>
          <w:rFonts w:eastAsia="仿宋_GB2312"/>
          <w:color w:val="auto"/>
          <w:sz w:val="24"/>
          <w:highlight w:val="none"/>
        </w:rPr>
      </w:pPr>
      <w:r>
        <w:rPr>
          <w:rFonts w:eastAsia="仿宋_GB2312"/>
          <w:color w:val="auto"/>
          <w:sz w:val="24"/>
          <w:highlight w:val="none"/>
        </w:rPr>
        <w:t>（4）发包人提供的材料、工程设备的规格、数量或质量不符合合同约定，或因发包人原因导致交货日期延误或交货地点变更等情况的违约责任：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4EADE6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（5）因发包人违反合同约定造成暂停施工的违约责任：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2162B6EA">
      <w:pPr>
        <w:adjustRightInd/>
        <w:spacing w:line="300" w:lineRule="auto"/>
        <w:ind w:firstLine="480" w:firstLineChars="200"/>
        <w:rPr>
          <w:rFonts w:eastAsia="仿宋_GB2312"/>
          <w:color w:val="auto"/>
          <w:sz w:val="24"/>
          <w:highlight w:val="none"/>
        </w:rPr>
      </w:pPr>
      <w:r>
        <w:rPr>
          <w:rFonts w:eastAsia="仿宋_GB2312"/>
          <w:color w:val="auto"/>
          <w:sz w:val="24"/>
          <w:highlight w:val="none"/>
        </w:rPr>
        <w:t>（6）发包人无正当理由没有在约定期限内发出复工指示，导致承包人无法复工的违约责任：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30FE9E6">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其他：</w:t>
      </w:r>
      <w:r>
        <w:rPr>
          <w:rFonts w:hint="eastAsia" w:eastAsia="仿宋_GB2312"/>
          <w:color w:val="auto"/>
          <w:sz w:val="24"/>
          <w:highlight w:val="none"/>
          <w:u w:val="single"/>
        </w:rPr>
        <w:t>/</w:t>
      </w:r>
      <w:r>
        <w:rPr>
          <w:rFonts w:eastAsia="仿宋_GB2312"/>
          <w:color w:val="auto"/>
          <w:sz w:val="24"/>
          <w:highlight w:val="none"/>
        </w:rPr>
        <w:t>。</w:t>
      </w:r>
    </w:p>
    <w:p w14:paraId="748D13E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16.1.3 因发包人违约解除合同</w:t>
      </w:r>
    </w:p>
    <w:p w14:paraId="6341DF68">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承包人按16.1.1项</w:t>
      </w:r>
      <w:r>
        <w:rPr>
          <w:rFonts w:hint="eastAsia" w:eastAsia="仿宋_GB2312"/>
          <w:color w:val="auto"/>
          <w:sz w:val="24"/>
          <w:highlight w:val="none"/>
        </w:rPr>
        <w:t>〔</w:t>
      </w:r>
      <w:r>
        <w:rPr>
          <w:rFonts w:eastAsia="仿宋_GB2312"/>
          <w:color w:val="auto"/>
          <w:sz w:val="24"/>
          <w:highlight w:val="none"/>
        </w:rPr>
        <w:t>发包人违约的情形</w:t>
      </w:r>
      <w:r>
        <w:rPr>
          <w:rFonts w:hint="eastAsia" w:eastAsia="仿宋_GB2312"/>
          <w:color w:val="auto"/>
          <w:sz w:val="24"/>
          <w:highlight w:val="none"/>
        </w:rPr>
        <w:t>〕</w:t>
      </w:r>
      <w:r>
        <w:rPr>
          <w:rFonts w:eastAsia="仿宋_GB2312"/>
          <w:color w:val="auto"/>
          <w:sz w:val="24"/>
          <w:highlight w:val="none"/>
        </w:rPr>
        <w:t>约定暂停施工满</w:t>
      </w:r>
      <w:r>
        <w:rPr>
          <w:rFonts w:hint="eastAsia" w:eastAsia="仿宋_GB2312"/>
          <w:color w:val="auto"/>
          <w:sz w:val="24"/>
          <w:highlight w:val="none"/>
          <w:u w:val="single"/>
        </w:rPr>
        <w:t>90</w:t>
      </w:r>
      <w:r>
        <w:rPr>
          <w:rFonts w:eastAsia="仿宋_GB2312"/>
          <w:color w:val="auto"/>
          <w:sz w:val="24"/>
          <w:highlight w:val="none"/>
        </w:rPr>
        <w:t>天后发包人仍不纠正其违约行为并致使合同目的不能实现的，承包人有权解除合同。</w:t>
      </w:r>
    </w:p>
    <w:p w14:paraId="71248C18">
      <w:pPr>
        <w:adjustRightInd/>
        <w:spacing w:line="300" w:lineRule="auto"/>
        <w:ind w:firstLine="480" w:firstLineChars="200"/>
        <w:rPr>
          <w:rFonts w:eastAsia="黑体"/>
          <w:color w:val="auto"/>
          <w:sz w:val="24"/>
          <w:highlight w:val="none"/>
        </w:rPr>
      </w:pPr>
      <w:r>
        <w:rPr>
          <w:rFonts w:eastAsia="黑体"/>
          <w:color w:val="auto"/>
          <w:sz w:val="24"/>
          <w:highlight w:val="none"/>
        </w:rPr>
        <w:t>16.2 承包人违约</w:t>
      </w:r>
    </w:p>
    <w:p w14:paraId="221F637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16.2.1 承包人违约的情形</w:t>
      </w:r>
    </w:p>
    <w:p w14:paraId="293791B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承包人违约的其他情形：</w:t>
      </w:r>
      <w:r>
        <w:rPr>
          <w:rFonts w:hint="eastAsia" w:eastAsia="仿宋_GB2312"/>
          <w:color w:val="auto"/>
          <w:sz w:val="24"/>
          <w:highlight w:val="none"/>
          <w:u w:val="single"/>
        </w:rPr>
        <w:t>/</w:t>
      </w:r>
      <w:r>
        <w:rPr>
          <w:rFonts w:eastAsia="仿宋_GB2312"/>
          <w:color w:val="auto"/>
          <w:sz w:val="24"/>
          <w:highlight w:val="none"/>
        </w:rPr>
        <w:t>。</w:t>
      </w:r>
    </w:p>
    <w:p w14:paraId="53DCF56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16.2.2承包人违约的责任</w:t>
      </w:r>
    </w:p>
    <w:p w14:paraId="5EBEB8BF">
      <w:pPr>
        <w:adjustRightInd/>
        <w:spacing w:line="300" w:lineRule="auto"/>
        <w:ind w:firstLine="480" w:firstLineChars="200"/>
        <w:rPr>
          <w:ins w:id="0" w:author="admin" w:date="2022-03-05T19:04:00Z"/>
          <w:rFonts w:eastAsia="仿宋_GB2312"/>
          <w:color w:val="auto"/>
          <w:sz w:val="24"/>
          <w:highlight w:val="none"/>
        </w:rPr>
      </w:pPr>
      <w:r>
        <w:rPr>
          <w:rFonts w:eastAsia="仿宋_GB2312"/>
          <w:color w:val="auto"/>
          <w:sz w:val="24"/>
          <w:highlight w:val="none"/>
        </w:rPr>
        <w:t>承包人违约责任的承担方式和计算方法：</w:t>
      </w:r>
    </w:p>
    <w:p w14:paraId="55C252C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（1）承包人违反合同约定进行转包或违法分包的：发包人有权将该工程指令分包或另择其他单位施工，其发生的费用由承包人承担。发包人将向有关行政主管部门通报有关情况，由行政主管部门进行处罚。</w:t>
      </w:r>
    </w:p>
    <w:p w14:paraId="1AEF4D0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承包人违反合同约定采购和使用不合格的材料和工程设备的：由承包人根据监理人、发包人及设计要求重新采购合格的材料和工程设备，由此引起的损失由承包人承担，由此引起的工期延误按第（5）条执行。</w:t>
      </w:r>
    </w:p>
    <w:p w14:paraId="696AD51D">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a、发包人指定、承包人采购的材料、设备，承包人应在发包人指定的生产厂家或品牌范围之内采购材料、设备，未经发包人批准，承包人擅自在指定范围之外采购的，承包人除无条件更换符合要求的产品外，需向发包人支付50000元</w:t>
      </w:r>
      <w:r>
        <w:rPr>
          <w:rFonts w:eastAsia="仿宋_GB2312"/>
          <w:color w:val="auto"/>
          <w:sz w:val="24"/>
          <w:highlight w:val="none"/>
          <w:u w:val="single"/>
        </w:rPr>
        <w:t>/</w:t>
      </w:r>
      <w:r>
        <w:rPr>
          <w:rFonts w:hint="eastAsia" w:eastAsia="仿宋_GB2312"/>
          <w:color w:val="auto"/>
          <w:sz w:val="24"/>
          <w:highlight w:val="none"/>
          <w:u w:val="single"/>
        </w:rPr>
        <w:t>次的违约金，且承担由此发生的费用，因此延误工期的，责任由承包人承担；</w:t>
      </w:r>
    </w:p>
    <w:p w14:paraId="427EB5FE">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b</w:t>
      </w:r>
      <w:r>
        <w:rPr>
          <w:rFonts w:hint="eastAsia" w:eastAsia="仿宋_GB2312"/>
          <w:color w:val="auto"/>
          <w:sz w:val="24"/>
          <w:highlight w:val="none"/>
          <w:u w:val="single"/>
        </w:rPr>
        <w:t>、承包人采购的材料设备未经验收即进场施工的，除承包人每次需向发包人支付10000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p>
    <w:p w14:paraId="12189FCD">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c</w:t>
      </w:r>
      <w:r>
        <w:rPr>
          <w:rFonts w:hint="eastAsia" w:eastAsia="仿宋_GB2312"/>
          <w:color w:val="auto"/>
          <w:sz w:val="24"/>
          <w:highlight w:val="none"/>
          <w:u w:val="single"/>
        </w:rPr>
        <w:t>、承包人采购的同一材料设备，连续</w:t>
      </w:r>
      <w:r>
        <w:rPr>
          <w:rFonts w:eastAsia="仿宋_GB2312"/>
          <w:color w:val="auto"/>
          <w:sz w:val="24"/>
          <w:highlight w:val="none"/>
          <w:u w:val="single"/>
        </w:rPr>
        <w:t xml:space="preserve">2 </w:t>
      </w:r>
      <w:r>
        <w:rPr>
          <w:rFonts w:hint="eastAsia" w:eastAsia="仿宋_GB2312"/>
          <w:color w:val="auto"/>
          <w:sz w:val="24"/>
          <w:highlight w:val="none"/>
          <w:u w:val="single"/>
        </w:rPr>
        <w:t>次不符合要求的，发包人有权决定将该材料设备的供应变更为由发包人采购或发包人指定承包人采购的方式。相关费用均由承包人承担；</w:t>
      </w:r>
    </w:p>
    <w:p w14:paraId="55B73CBC">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d</w:t>
      </w:r>
      <w:r>
        <w:rPr>
          <w:rFonts w:hint="eastAsia" w:eastAsia="仿宋_GB2312"/>
          <w:color w:val="auto"/>
          <w:sz w:val="24"/>
          <w:highlight w:val="none"/>
          <w:u w:val="single"/>
        </w:rPr>
        <w:t>、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p>
    <w:p w14:paraId="71A1DA2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e</w:t>
      </w:r>
      <w:r>
        <w:rPr>
          <w:rFonts w:hint="eastAsia" w:eastAsia="仿宋_GB2312"/>
          <w:color w:val="auto"/>
          <w:sz w:val="24"/>
          <w:highlight w:val="none"/>
          <w:u w:val="single"/>
        </w:rPr>
        <w:t>、施工过程中一旦发现承包人使用假冒产品或存在以次充好的现象，发包人有权解除合同，并处以合同总价1</w:t>
      </w:r>
      <w:r>
        <w:rPr>
          <w:rFonts w:eastAsia="仿宋_GB2312"/>
          <w:color w:val="auto"/>
          <w:sz w:val="24"/>
          <w:highlight w:val="none"/>
          <w:u w:val="single"/>
        </w:rPr>
        <w:t>%</w:t>
      </w:r>
      <w:r>
        <w:rPr>
          <w:rFonts w:hint="eastAsia" w:eastAsia="仿宋_GB2312"/>
          <w:color w:val="auto"/>
          <w:sz w:val="24"/>
          <w:highlight w:val="none"/>
          <w:u w:val="single"/>
        </w:rPr>
        <w:t>的处罚。</w:t>
      </w:r>
    </w:p>
    <w:p w14:paraId="693AEC8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因承包人原因导致工程质量不符合合同要求的：发包人、监理人随时检查工程质量，若发现不符合相关质量验收评定标准及施工规范，承包人应在限期内无条件整改直到达标，同时发包人有权每次扣罚承包人承诺的质量保证履约保证金的10%，待竣工验收时，质量未达到招标文件要求或无法通过竣工验收的，承包人负责返修，直至达到要求，并扣罚全部质量履约保证金，且发包人保留采取其他制约措施的权力。</w:t>
      </w:r>
    </w:p>
    <w:p w14:paraId="1491A3B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（4）承包人违反通用条款第8.9 款[材料与设备专用要求]的约定，未经批准，私自将已按照合同约定进入施工现场的材料或设备撤离施工现场的：造成工程损失的由承包人承担，造成工期延误的按（5）执行。</w:t>
      </w:r>
    </w:p>
    <w:p w14:paraId="324313D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承包人未能按施工进度计划及时完成合同约定的工作，造成工期延误的：每延误一天，按合同总价的千分之一支付违约金。发包人按施工进度计划检查，确定承包人不能按期完成，也无能力采取措施完成的，发包人有权将该工程指定其它单位施工，其发生费用由承包人承担。发包人将向有关行政主管部门通报有关情况，由行政主管部门进行处罚。</w:t>
      </w:r>
    </w:p>
    <w:p w14:paraId="525D60A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承包人在缺陷责任期及保修期内，未能在合理期限对工程缺陷进行修复，或拒绝发包人要求进行修复的：发包人有权将该工程指定其也单位施工，其发生费用由承包人承担。发包人将向有关行政管理部门通报有关情况，由行政管理部门进行处罚。</w:t>
      </w:r>
    </w:p>
    <w:p w14:paraId="63517A9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（7）承包人明确表示或者以其行为表明不履行合同主要义务的：发包人有权将该工程指定其它单位施工，其发生费用由承包人承担。发包人将向有关行政主管部门通报有关情况，由行政主管部门进行处罚。</w:t>
      </w:r>
    </w:p>
    <w:p w14:paraId="47D9258F">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（8）承包人未能按照合同约定履行其他义务的：扣罚其它履约保证金。</w:t>
      </w:r>
    </w:p>
    <w:p w14:paraId="7082C0F4">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（9）承包人未能如期上报工程结算的每逾期一天扣罚1000元（工程结算上报及时率履约保证金为扣罚上限，在结算款中扣除，发包人原因导致结算上报延缓的除外）。</w:t>
      </w:r>
    </w:p>
    <w:p w14:paraId="633140F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（10）承包人施工现场所有临设每间房间仅允许设置一个插座，其余均使用USB接口，防止不规范用电引起消防隐患。如发现承包人私自接电、不规范用电，每次处以罚款2000-5000元。</w:t>
      </w:r>
    </w:p>
    <w:p w14:paraId="7395DBA1">
      <w:pPr>
        <w:rPr>
          <w:rFonts w:eastAsia="仿宋_GB2312"/>
          <w:color w:val="auto"/>
          <w:sz w:val="24"/>
          <w:highlight w:val="none"/>
          <w:u w:val="single"/>
        </w:rPr>
      </w:pPr>
      <w:r>
        <w:rPr>
          <w:rFonts w:hint="eastAsia"/>
          <w:color w:val="auto"/>
          <w:highlight w:val="none"/>
        </w:rPr>
        <w:t xml:space="preserve">    </w:t>
      </w:r>
      <w:r>
        <w:rPr>
          <w:rFonts w:hint="eastAsia" w:ascii="宋体" w:eastAsia="楷体_GB2312" w:cs="TimesNewRomanPSMT"/>
          <w:bCs/>
          <w:color w:val="auto"/>
          <w:sz w:val="28"/>
          <w:szCs w:val="20"/>
          <w:highlight w:val="none"/>
        </w:rPr>
        <w:t xml:space="preserve"> </w:t>
      </w:r>
      <w:r>
        <w:rPr>
          <w:rFonts w:hint="eastAsia" w:ascii="宋体" w:eastAsia="楷体_GB2312" w:cs="TimesNewRomanPSMT"/>
          <w:bCs/>
          <w:color w:val="auto"/>
          <w:sz w:val="24"/>
          <w:highlight w:val="none"/>
        </w:rPr>
        <w:t>(11)</w:t>
      </w:r>
      <w:r>
        <w:rPr>
          <w:rFonts w:hint="eastAsia" w:eastAsia="仿宋_GB2312"/>
          <w:color w:val="auto"/>
          <w:sz w:val="24"/>
          <w:highlight w:val="none"/>
          <w:u w:val="single"/>
        </w:rPr>
        <w:t>承包人应在临设区域合理设置电瓶车集中充电点，禁止电瓶车随意在工地现场充电，引发消防隐患，涉及费用在承包人的投标报价中综合考虑。</w:t>
      </w:r>
    </w:p>
    <w:p w14:paraId="5717AD8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16.2.3 因承包人违约解除合同</w:t>
      </w:r>
    </w:p>
    <w:p w14:paraId="42688EE0">
      <w:pPr>
        <w:pStyle w:val="897"/>
        <w:spacing w:line="300" w:lineRule="auto"/>
        <w:ind w:left="420" w:firstLineChars="0"/>
        <w:rPr>
          <w:rFonts w:eastAsia="仿宋_GB2312"/>
          <w:color w:val="auto"/>
          <w:highlight w:val="none"/>
        </w:rPr>
      </w:pPr>
      <w:r>
        <w:rPr>
          <w:rFonts w:eastAsia="仿宋_GB2312"/>
          <w:color w:val="auto"/>
          <w:highlight w:val="none"/>
        </w:rPr>
        <w:t>关于承包人违约解除合同的特别约定：</w:t>
      </w:r>
    </w:p>
    <w:p w14:paraId="403DECC2">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1</w:t>
      </w:r>
      <w:r>
        <w:rPr>
          <w:rFonts w:hint="eastAsia" w:eastAsia="仿宋_GB2312"/>
          <w:color w:val="auto"/>
          <w:highlight w:val="none"/>
          <w:u w:val="single"/>
        </w:rPr>
        <w:t>、承包人有下列违约情形的，发包人有权单方解除合同：</w:t>
      </w:r>
    </w:p>
    <w:p w14:paraId="22B0AFF6">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1</w:t>
      </w:r>
      <w:r>
        <w:rPr>
          <w:rFonts w:hint="eastAsia" w:eastAsia="仿宋_GB2312"/>
          <w:color w:val="auto"/>
          <w:highlight w:val="none"/>
          <w:u w:val="single"/>
        </w:rPr>
        <w:t>)承包人原因超过开工日期【10】日以上未进场施工的；</w:t>
      </w:r>
    </w:p>
    <w:p w14:paraId="6F5B2FE7">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2</w:t>
      </w:r>
      <w:r>
        <w:rPr>
          <w:rFonts w:hint="eastAsia" w:eastAsia="仿宋_GB2312"/>
          <w:color w:val="auto"/>
          <w:highlight w:val="none"/>
          <w:u w:val="single"/>
        </w:rPr>
        <w:t>)承包人原因停工超【15】日以上的；</w:t>
      </w:r>
    </w:p>
    <w:p w14:paraId="1849B252">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3</w:t>
      </w:r>
      <w:r>
        <w:rPr>
          <w:rFonts w:hint="eastAsia" w:eastAsia="仿宋_GB2312"/>
          <w:color w:val="auto"/>
          <w:highlight w:val="none"/>
          <w:u w:val="single"/>
        </w:rPr>
        <w:t>)承包人原因超过节点工期或者合同约定竣工日期【10】日以上未完工的；</w:t>
      </w:r>
    </w:p>
    <w:p w14:paraId="5E4AC1F0">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4</w:t>
      </w:r>
      <w:r>
        <w:rPr>
          <w:rFonts w:hint="eastAsia" w:eastAsia="仿宋_GB2312"/>
          <w:color w:val="auto"/>
          <w:highlight w:val="none"/>
          <w:u w:val="single"/>
        </w:rPr>
        <w:t>)承包人施工过程中安装假冒器材和设备、以次充好或者出现严重施工质量问题，造成严重后果的；</w:t>
      </w:r>
    </w:p>
    <w:p w14:paraId="74FEFF55">
      <w:pPr>
        <w:pStyle w:val="897"/>
        <w:spacing w:line="300" w:lineRule="auto"/>
        <w:ind w:left="420" w:firstLine="482" w:firstLineChars="0"/>
        <w:rPr>
          <w:ins w:id="1" w:author="admin" w:date="2022-03-05T19:09:00Z"/>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5</w:t>
      </w:r>
      <w:r>
        <w:rPr>
          <w:rFonts w:hint="eastAsia" w:eastAsia="仿宋_GB2312"/>
          <w:color w:val="auto"/>
          <w:highlight w:val="none"/>
          <w:u w:val="single"/>
        </w:rPr>
        <w:t>)承包人将其承包的全部工程或者主要部分转包给第三人(包括名义上以承包人名义施工实际上由第三人实际负责并独立核算，承包人收取挂靠费的情况)；</w:t>
      </w:r>
    </w:p>
    <w:p w14:paraId="75965656">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2</w:t>
      </w:r>
      <w:r>
        <w:rPr>
          <w:rFonts w:hint="eastAsia" w:eastAsia="仿宋_GB2312"/>
          <w:color w:val="auto"/>
          <w:highlight w:val="none"/>
          <w:u w:val="single"/>
        </w:rPr>
        <w:t>、发包人依据合同约定要求解除合同的，可以以书面形式向承包人发出解除合同的通知，通知到达承包人时合同解除。</w:t>
      </w:r>
    </w:p>
    <w:p w14:paraId="237B2831">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w:t>
      </w:r>
      <w:r>
        <w:rPr>
          <w:rFonts w:hint="eastAsia" w:eastAsia="仿宋_GB2312"/>
          <w:color w:val="auto"/>
          <w:highlight w:val="none"/>
          <w:u w:val="single"/>
        </w:rPr>
        <w:t>、合同解除后，承包人应妥善做好已完工程和已购材料、设备的保护和移交工作，按发包人要求将自有机械设备和人员撤出施工场地，并应按签约合同价的【   】</w:t>
      </w:r>
      <w:r>
        <w:rPr>
          <w:rFonts w:eastAsia="仿宋_GB2312"/>
          <w:color w:val="auto"/>
          <w:highlight w:val="none"/>
          <w:u w:val="single"/>
        </w:rPr>
        <w:t>%</w:t>
      </w:r>
      <w:r>
        <w:rPr>
          <w:rFonts w:hint="eastAsia" w:eastAsia="仿宋_GB2312"/>
          <w:color w:val="auto"/>
          <w:highlight w:val="none"/>
          <w:u w:val="single"/>
        </w:rPr>
        <w:t>向发包人支付违约金，该违约金不足以赔偿发包人损失的，承包人应当另行补足。</w:t>
      </w:r>
    </w:p>
    <w:p w14:paraId="46C19885">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4</w:t>
      </w:r>
      <w:r>
        <w:rPr>
          <w:rFonts w:hint="eastAsia" w:eastAsia="仿宋_GB2312"/>
          <w:color w:val="auto"/>
          <w:highlight w:val="none"/>
          <w:u w:val="single"/>
        </w:rPr>
        <w:t>、合同解除后，承包人未在发包人要求的期限内撤离施工现场并移交全部工程及工程资料的，每逾期一日，应向发包人支付签约合同价的【0.1】</w:t>
      </w:r>
      <w:r>
        <w:rPr>
          <w:rFonts w:eastAsia="仿宋_GB2312"/>
          <w:color w:val="auto"/>
          <w:highlight w:val="none"/>
          <w:u w:val="single"/>
        </w:rPr>
        <w:t>%</w:t>
      </w:r>
      <w:r>
        <w:rPr>
          <w:rFonts w:hint="eastAsia" w:eastAsia="仿宋_GB2312"/>
          <w:color w:val="auto"/>
          <w:highlight w:val="none"/>
          <w:u w:val="single"/>
        </w:rPr>
        <w:t>作为违约金。逾期超过【10】日的，发包人有权直接清理现场，由此造成的损失和产生的不利后果由承包人承担，且承包人仍应按前述要求移交全部工程资料</w:t>
      </w:r>
      <w:r>
        <w:rPr>
          <w:rFonts w:eastAsia="仿宋_GB2312"/>
          <w:color w:val="auto"/>
          <w:highlight w:val="none"/>
          <w:u w:val="single"/>
        </w:rPr>
        <w:t xml:space="preserve">  。</w:t>
      </w:r>
    </w:p>
    <w:p w14:paraId="0C05136A">
      <w:pPr>
        <w:pStyle w:val="8"/>
        <w:tabs>
          <w:tab w:val="left" w:pos="630"/>
          <w:tab w:val="clear" w:pos="864"/>
        </w:tabs>
        <w:spacing w:before="0" w:after="0" w:line="300" w:lineRule="auto"/>
        <w:ind w:firstLine="480" w:firstLineChars="200"/>
        <w:rPr>
          <w:rFonts w:ascii="Times New Roman" w:hAnsi="Times New Roman"/>
          <w:b w:val="0"/>
          <w:color w:val="auto"/>
          <w:sz w:val="24"/>
          <w:szCs w:val="24"/>
          <w:highlight w:val="none"/>
        </w:rPr>
      </w:pPr>
      <w:bookmarkStart w:id="999" w:name="_Toc351203649"/>
      <w:r>
        <w:rPr>
          <w:rFonts w:ascii="Times New Roman" w:hAnsi="Times New Roman"/>
          <w:b w:val="0"/>
          <w:color w:val="auto"/>
          <w:sz w:val="24"/>
          <w:szCs w:val="24"/>
          <w:highlight w:val="none"/>
        </w:rPr>
        <w:t>17. 不可抗力</w:t>
      </w:r>
      <w:bookmarkEnd w:id="997"/>
      <w:bookmarkEnd w:id="999"/>
    </w:p>
    <w:p w14:paraId="39C68EF8">
      <w:pPr>
        <w:adjustRightInd/>
        <w:spacing w:line="300" w:lineRule="auto"/>
        <w:ind w:firstLine="480" w:firstLineChars="200"/>
        <w:rPr>
          <w:rFonts w:eastAsia="黑体"/>
          <w:color w:val="auto"/>
          <w:sz w:val="24"/>
          <w:highlight w:val="none"/>
        </w:rPr>
      </w:pPr>
      <w:r>
        <w:rPr>
          <w:rFonts w:eastAsia="黑体"/>
          <w:color w:val="auto"/>
          <w:sz w:val="24"/>
          <w:highlight w:val="none"/>
        </w:rPr>
        <w:t>17.1 不可抗力的确认</w:t>
      </w:r>
    </w:p>
    <w:p w14:paraId="1167822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 xml:space="preserve">除通用合同条款约定的不可抗力事件之外，视为不可抗力的其他情形： </w:t>
      </w:r>
      <w:r>
        <w:rPr>
          <w:rFonts w:hint="eastAsia" w:eastAsia="仿宋_GB2312"/>
          <w:color w:val="auto"/>
          <w:sz w:val="24"/>
          <w:highlight w:val="none"/>
          <w:u w:val="single"/>
        </w:rPr>
        <w:t>/</w:t>
      </w:r>
      <w:r>
        <w:rPr>
          <w:rFonts w:eastAsia="仿宋_GB2312"/>
          <w:color w:val="auto"/>
          <w:sz w:val="24"/>
          <w:highlight w:val="none"/>
        </w:rPr>
        <w:t>。</w:t>
      </w:r>
    </w:p>
    <w:p w14:paraId="4AFA007E">
      <w:pPr>
        <w:adjustRightInd/>
        <w:spacing w:line="300" w:lineRule="auto"/>
        <w:ind w:firstLine="480" w:firstLineChars="200"/>
        <w:rPr>
          <w:rFonts w:eastAsia="黑体"/>
          <w:color w:val="auto"/>
          <w:sz w:val="24"/>
          <w:highlight w:val="none"/>
        </w:rPr>
      </w:pPr>
      <w:r>
        <w:rPr>
          <w:rFonts w:eastAsia="黑体"/>
          <w:color w:val="auto"/>
          <w:sz w:val="24"/>
          <w:highlight w:val="none"/>
        </w:rPr>
        <w:t>17.4 因不可抗力解除合同</w:t>
      </w:r>
    </w:p>
    <w:p w14:paraId="73F1BD2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合同解除后，发包人应在商定或确定发包人应支付款项后</w:t>
      </w:r>
      <w:r>
        <w:rPr>
          <w:rFonts w:hint="eastAsia" w:eastAsia="仿宋_GB2312"/>
          <w:color w:val="auto"/>
          <w:sz w:val="24"/>
          <w:highlight w:val="none"/>
          <w:u w:val="single"/>
        </w:rPr>
        <w:t>60</w:t>
      </w:r>
      <w:r>
        <w:rPr>
          <w:rFonts w:eastAsia="仿宋_GB2312"/>
          <w:color w:val="auto"/>
          <w:sz w:val="24"/>
          <w:highlight w:val="none"/>
        </w:rPr>
        <w:t>天内完成款项的支付。</w:t>
      </w:r>
    </w:p>
    <w:p w14:paraId="1BF3A4FE">
      <w:pPr>
        <w:pStyle w:val="8"/>
        <w:spacing w:before="0" w:after="0" w:line="300" w:lineRule="auto"/>
        <w:ind w:firstLine="480" w:firstLineChars="200"/>
        <w:rPr>
          <w:rFonts w:ascii="Times New Roman" w:hAnsi="Times New Roman"/>
          <w:b w:val="0"/>
          <w:color w:val="auto"/>
          <w:sz w:val="24"/>
          <w:szCs w:val="24"/>
          <w:highlight w:val="none"/>
        </w:rPr>
      </w:pPr>
      <w:bookmarkStart w:id="1000" w:name="_Toc351203650"/>
      <w:r>
        <w:rPr>
          <w:rFonts w:ascii="Times New Roman" w:hAnsi="Times New Roman"/>
          <w:b w:val="0"/>
          <w:color w:val="auto"/>
          <w:sz w:val="24"/>
          <w:szCs w:val="24"/>
          <w:highlight w:val="none"/>
        </w:rPr>
        <w:t>18. 保险</w:t>
      </w:r>
      <w:bookmarkEnd w:id="1000"/>
    </w:p>
    <w:bookmarkEnd w:id="998"/>
    <w:p w14:paraId="6D0D73EB">
      <w:pPr>
        <w:adjustRightInd/>
        <w:spacing w:line="300" w:lineRule="auto"/>
        <w:ind w:firstLine="480" w:firstLineChars="200"/>
        <w:rPr>
          <w:rFonts w:eastAsia="黑体"/>
          <w:color w:val="auto"/>
          <w:sz w:val="24"/>
          <w:highlight w:val="none"/>
        </w:rPr>
      </w:pPr>
      <w:r>
        <w:rPr>
          <w:rFonts w:eastAsia="黑体"/>
          <w:color w:val="auto"/>
          <w:sz w:val="24"/>
          <w:highlight w:val="none"/>
        </w:rPr>
        <w:t>18.1 工程保险</w:t>
      </w:r>
    </w:p>
    <w:p w14:paraId="382501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关于工程保险的特别约定：</w:t>
      </w:r>
      <w:r>
        <w:rPr>
          <w:rFonts w:hint="eastAsia" w:eastAsia="仿宋_GB2312"/>
          <w:color w:val="auto"/>
          <w:sz w:val="24"/>
          <w:highlight w:val="none"/>
          <w:u w:val="single"/>
        </w:rPr>
        <w:t>由承包人按规定办理农民工工伤保险、意外险、建筑工程工程一切险等，保险费用按照杭政办函（2007）148 号规定的公式计算，该笔费用已包含在投标报价内</w:t>
      </w:r>
      <w:r>
        <w:rPr>
          <w:rFonts w:eastAsia="仿宋_GB2312"/>
          <w:color w:val="auto"/>
          <w:sz w:val="24"/>
          <w:highlight w:val="none"/>
          <w:u w:val="single"/>
        </w:rPr>
        <w:t>。</w:t>
      </w:r>
    </w:p>
    <w:p w14:paraId="7EC2B9A9">
      <w:pPr>
        <w:adjustRightInd/>
        <w:spacing w:line="300" w:lineRule="auto"/>
        <w:ind w:firstLine="480" w:firstLineChars="200"/>
        <w:rPr>
          <w:rFonts w:eastAsia="黑体"/>
          <w:color w:val="auto"/>
          <w:sz w:val="24"/>
          <w:highlight w:val="none"/>
        </w:rPr>
      </w:pPr>
      <w:r>
        <w:rPr>
          <w:rFonts w:eastAsia="黑体"/>
          <w:color w:val="auto"/>
          <w:sz w:val="24"/>
          <w:highlight w:val="none"/>
        </w:rPr>
        <w:t>18.3 其他保险</w:t>
      </w:r>
    </w:p>
    <w:p w14:paraId="0F597E5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关于其他保险的约定：</w:t>
      </w:r>
      <w:r>
        <w:rPr>
          <w:rFonts w:hint="eastAsia" w:eastAsia="仿宋_GB2312"/>
          <w:color w:val="auto"/>
          <w:sz w:val="24"/>
          <w:highlight w:val="none"/>
          <w:u w:val="single"/>
        </w:rPr>
        <w:t>承包人为施工现场的全部人员办理意外伤害保险并支付保险费，包括其员工及为履行合同聘请的第三方的人员</w:t>
      </w:r>
      <w:r>
        <w:rPr>
          <w:rFonts w:eastAsia="仿宋_GB2312"/>
          <w:color w:val="auto"/>
          <w:sz w:val="24"/>
          <w:highlight w:val="none"/>
          <w:u w:val="single"/>
        </w:rPr>
        <w:t>。</w:t>
      </w:r>
    </w:p>
    <w:p w14:paraId="7750591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承包人是否应为其施工设备等办理财产保险：</w:t>
      </w:r>
      <w:r>
        <w:rPr>
          <w:rFonts w:hint="eastAsia" w:eastAsia="仿宋_GB2312"/>
          <w:color w:val="auto"/>
          <w:sz w:val="24"/>
          <w:highlight w:val="none"/>
          <w:u w:val="single"/>
        </w:rPr>
        <w:t>是</w:t>
      </w:r>
      <w:r>
        <w:rPr>
          <w:rFonts w:eastAsia="仿宋_GB2312"/>
          <w:color w:val="auto"/>
          <w:sz w:val="24"/>
          <w:highlight w:val="none"/>
        </w:rPr>
        <w:t>。</w:t>
      </w:r>
    </w:p>
    <w:p w14:paraId="6077D6B9">
      <w:pPr>
        <w:adjustRightInd/>
        <w:spacing w:line="300" w:lineRule="auto"/>
        <w:ind w:firstLine="480" w:firstLineChars="200"/>
        <w:rPr>
          <w:rFonts w:eastAsia="黑体"/>
          <w:color w:val="auto"/>
          <w:sz w:val="24"/>
          <w:highlight w:val="none"/>
        </w:rPr>
      </w:pPr>
      <w:r>
        <w:rPr>
          <w:rFonts w:eastAsia="黑体"/>
          <w:color w:val="auto"/>
          <w:sz w:val="24"/>
          <w:highlight w:val="none"/>
        </w:rPr>
        <w:t>18.7 通知义务</w:t>
      </w:r>
    </w:p>
    <w:p w14:paraId="707556B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关于变更保险合同时的通知义务的约定：</w:t>
      </w:r>
      <w:r>
        <w:rPr>
          <w:rFonts w:hint="eastAsia" w:eastAsia="仿宋_GB2312"/>
          <w:color w:val="auto"/>
          <w:sz w:val="24"/>
          <w:highlight w:val="none"/>
          <w:u w:val="single"/>
        </w:rPr>
        <w:t>承包人报监理及发包人</w:t>
      </w:r>
      <w:r>
        <w:rPr>
          <w:rFonts w:eastAsia="仿宋_GB2312"/>
          <w:color w:val="auto"/>
          <w:sz w:val="24"/>
          <w:highlight w:val="none"/>
        </w:rPr>
        <w:t>。</w:t>
      </w:r>
    </w:p>
    <w:bookmarkEnd w:id="974"/>
    <w:bookmarkEnd w:id="975"/>
    <w:bookmarkEnd w:id="976"/>
    <w:bookmarkEnd w:id="977"/>
    <w:bookmarkEnd w:id="978"/>
    <w:bookmarkEnd w:id="979"/>
    <w:bookmarkEnd w:id="980"/>
    <w:bookmarkEnd w:id="981"/>
    <w:bookmarkEnd w:id="982"/>
    <w:bookmarkEnd w:id="983"/>
    <w:bookmarkEnd w:id="984"/>
    <w:bookmarkEnd w:id="985"/>
    <w:p w14:paraId="608D8133">
      <w:pPr>
        <w:pStyle w:val="8"/>
        <w:spacing w:before="0" w:after="0" w:line="300" w:lineRule="auto"/>
        <w:ind w:firstLine="480" w:firstLineChars="200"/>
        <w:rPr>
          <w:rFonts w:ascii="Times New Roman" w:hAnsi="Times New Roman"/>
          <w:b w:val="0"/>
          <w:color w:val="auto"/>
          <w:sz w:val="24"/>
          <w:szCs w:val="24"/>
          <w:highlight w:val="none"/>
        </w:rPr>
      </w:pPr>
      <w:bookmarkStart w:id="1001" w:name="_Toc351203651"/>
      <w:r>
        <w:rPr>
          <w:rFonts w:ascii="Times New Roman" w:hAnsi="Times New Roman"/>
          <w:b w:val="0"/>
          <w:color w:val="auto"/>
          <w:sz w:val="24"/>
          <w:szCs w:val="24"/>
          <w:highlight w:val="none"/>
        </w:rPr>
        <w:t>20. 争议解决</w:t>
      </w:r>
      <w:bookmarkEnd w:id="1001"/>
    </w:p>
    <w:bookmarkEnd w:id="986"/>
    <w:bookmarkEnd w:id="987"/>
    <w:p w14:paraId="2FA27B23">
      <w:pPr>
        <w:adjustRightInd/>
        <w:spacing w:line="300" w:lineRule="auto"/>
        <w:ind w:firstLine="480" w:firstLineChars="200"/>
        <w:rPr>
          <w:rFonts w:eastAsia="黑体"/>
          <w:color w:val="auto"/>
          <w:sz w:val="24"/>
          <w:highlight w:val="none"/>
        </w:rPr>
      </w:pPr>
      <w:r>
        <w:rPr>
          <w:rFonts w:eastAsia="黑体"/>
          <w:color w:val="auto"/>
          <w:sz w:val="24"/>
          <w:highlight w:val="none"/>
        </w:rPr>
        <w:t>20.3 争</w:t>
      </w:r>
      <w:bookmarkEnd w:id="988"/>
      <w:r>
        <w:rPr>
          <w:rFonts w:eastAsia="黑体"/>
          <w:color w:val="auto"/>
          <w:sz w:val="24"/>
          <w:highlight w:val="none"/>
        </w:rPr>
        <w:t>议评审</w:t>
      </w:r>
    </w:p>
    <w:p w14:paraId="075ABFFD">
      <w:pPr>
        <w:adjustRightInd/>
        <w:spacing w:line="300" w:lineRule="auto"/>
        <w:ind w:left="149" w:leftChars="71" w:firstLine="360" w:firstLineChars="150"/>
        <w:rPr>
          <w:rFonts w:eastAsia="仿宋_GB2312"/>
          <w:color w:val="auto"/>
          <w:sz w:val="24"/>
          <w:highlight w:val="none"/>
          <w:u w:val="single"/>
        </w:rPr>
      </w:pPr>
      <w:r>
        <w:rPr>
          <w:rFonts w:eastAsia="仿宋_GB2312"/>
          <w:color w:val="auto"/>
          <w:sz w:val="24"/>
          <w:highlight w:val="none"/>
        </w:rPr>
        <w:t>合同当事人是否同意将工程争议提交争议评审小组决</w:t>
      </w:r>
      <w:r>
        <w:rPr>
          <w:rFonts w:hint="eastAsia" w:eastAsia="仿宋_GB2312"/>
          <w:color w:val="auto"/>
          <w:sz w:val="24"/>
          <w:highlight w:val="none"/>
        </w:rPr>
        <w:t>定：</w:t>
      </w:r>
      <w:r>
        <w:rPr>
          <w:rFonts w:hint="eastAsia" w:eastAsia="仿宋_GB2312"/>
          <w:color w:val="auto"/>
          <w:sz w:val="24"/>
          <w:highlight w:val="none"/>
          <w:u w:val="single"/>
        </w:rPr>
        <w:t xml:space="preserve">   / </w:t>
      </w:r>
      <w:r>
        <w:rPr>
          <w:rFonts w:hint="eastAsia" w:eastAsia="仿宋_GB2312"/>
          <w:color w:val="auto"/>
          <w:sz w:val="24"/>
          <w:highlight w:val="none"/>
        </w:rPr>
        <w:t xml:space="preserve">。  </w:t>
      </w:r>
    </w:p>
    <w:p w14:paraId="3F841152">
      <w:pPr>
        <w:adjustRightInd/>
        <w:spacing w:line="300" w:lineRule="auto"/>
        <w:ind w:firstLine="480" w:firstLineChars="200"/>
        <w:rPr>
          <w:rFonts w:eastAsia="仿宋_GB2312"/>
          <w:color w:val="auto"/>
          <w:sz w:val="24"/>
          <w:highlight w:val="none"/>
        </w:rPr>
      </w:pPr>
      <w:r>
        <w:rPr>
          <w:rFonts w:eastAsia="仿宋_GB2312"/>
          <w:color w:val="auto"/>
          <w:sz w:val="24"/>
          <w:highlight w:val="none"/>
        </w:rPr>
        <w:t>20.3.1 争议评审小组的确定</w:t>
      </w:r>
    </w:p>
    <w:p w14:paraId="48994A6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争议评审小组成员的确定：</w:t>
      </w:r>
      <w:r>
        <w:rPr>
          <w:rFonts w:hint="eastAsia" w:eastAsia="仿宋_GB2312"/>
          <w:color w:val="auto"/>
          <w:sz w:val="24"/>
          <w:highlight w:val="none"/>
          <w:u w:val="single"/>
        </w:rPr>
        <w:t>/</w:t>
      </w:r>
      <w:r>
        <w:rPr>
          <w:rFonts w:eastAsia="仿宋_GB2312"/>
          <w:color w:val="auto"/>
          <w:sz w:val="24"/>
          <w:highlight w:val="none"/>
        </w:rPr>
        <w:t>。</w:t>
      </w:r>
    </w:p>
    <w:p w14:paraId="3BC86CE5">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选定争议评审员的期限：</w:t>
      </w:r>
      <w:r>
        <w:rPr>
          <w:rFonts w:hint="eastAsia" w:eastAsia="仿宋_GB2312"/>
          <w:color w:val="auto"/>
          <w:sz w:val="24"/>
          <w:highlight w:val="none"/>
          <w:u w:val="single"/>
        </w:rPr>
        <w:t>/</w:t>
      </w:r>
      <w:r>
        <w:rPr>
          <w:rFonts w:eastAsia="仿宋_GB2312"/>
          <w:color w:val="auto"/>
          <w:sz w:val="24"/>
          <w:highlight w:val="none"/>
        </w:rPr>
        <w:t>。</w:t>
      </w:r>
    </w:p>
    <w:p w14:paraId="1306635D">
      <w:pPr>
        <w:adjustRightInd/>
        <w:spacing w:line="300" w:lineRule="auto"/>
        <w:ind w:firstLine="480" w:firstLineChars="200"/>
        <w:rPr>
          <w:rFonts w:eastAsia="仿宋_GB2312"/>
          <w:color w:val="auto"/>
          <w:sz w:val="24"/>
          <w:highlight w:val="none"/>
        </w:rPr>
      </w:pPr>
      <w:r>
        <w:rPr>
          <w:rFonts w:eastAsia="仿宋_GB2312"/>
          <w:color w:val="auto"/>
          <w:sz w:val="24"/>
          <w:highlight w:val="none"/>
        </w:rPr>
        <w:t>争议评审小组成员的报酬承担方式：</w:t>
      </w:r>
      <w:r>
        <w:rPr>
          <w:rFonts w:hint="eastAsia" w:eastAsia="仿宋_GB2312"/>
          <w:color w:val="auto"/>
          <w:sz w:val="24"/>
          <w:highlight w:val="none"/>
          <w:u w:val="single"/>
        </w:rPr>
        <w:t>/</w:t>
      </w:r>
      <w:r>
        <w:rPr>
          <w:rFonts w:eastAsia="仿宋_GB2312"/>
          <w:color w:val="auto"/>
          <w:sz w:val="24"/>
          <w:highlight w:val="none"/>
        </w:rPr>
        <w:t>。</w:t>
      </w:r>
    </w:p>
    <w:p w14:paraId="771E95E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其他事项的约定：</w:t>
      </w:r>
      <w:r>
        <w:rPr>
          <w:rFonts w:hint="eastAsia" w:eastAsia="仿宋_GB2312"/>
          <w:color w:val="auto"/>
          <w:sz w:val="24"/>
          <w:highlight w:val="none"/>
          <w:u w:val="single"/>
        </w:rPr>
        <w:t>/</w:t>
      </w:r>
      <w:r>
        <w:rPr>
          <w:rFonts w:eastAsia="仿宋_GB2312"/>
          <w:color w:val="auto"/>
          <w:sz w:val="24"/>
          <w:highlight w:val="none"/>
        </w:rPr>
        <w:t>。</w:t>
      </w:r>
    </w:p>
    <w:p w14:paraId="6B6A1583">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20.3.2 争议评审小组的决定</w:t>
      </w:r>
    </w:p>
    <w:p w14:paraId="5FC824D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合同当事人关于本项的约定：</w:t>
      </w:r>
      <w:r>
        <w:rPr>
          <w:rFonts w:hint="eastAsia" w:eastAsia="仿宋_GB2312"/>
          <w:color w:val="auto"/>
          <w:sz w:val="24"/>
          <w:highlight w:val="none"/>
          <w:u w:val="single"/>
        </w:rPr>
        <w:t>/</w:t>
      </w:r>
      <w:r>
        <w:rPr>
          <w:rFonts w:eastAsia="仿宋_GB2312"/>
          <w:color w:val="auto"/>
          <w:sz w:val="24"/>
          <w:highlight w:val="none"/>
        </w:rPr>
        <w:t>。</w:t>
      </w:r>
    </w:p>
    <w:p w14:paraId="1C396B3A">
      <w:pPr>
        <w:adjustRightInd/>
        <w:spacing w:line="300" w:lineRule="auto"/>
        <w:ind w:firstLine="480" w:firstLineChars="200"/>
        <w:rPr>
          <w:rFonts w:eastAsia="黑体"/>
          <w:color w:val="auto"/>
          <w:sz w:val="24"/>
          <w:highlight w:val="none"/>
        </w:rPr>
      </w:pPr>
      <w:r>
        <w:rPr>
          <w:rFonts w:eastAsia="黑体"/>
          <w:color w:val="auto"/>
          <w:sz w:val="24"/>
          <w:highlight w:val="none"/>
        </w:rPr>
        <w:t>20.4仲裁或诉讼</w:t>
      </w:r>
      <w:bookmarkEnd w:id="989"/>
    </w:p>
    <w:p w14:paraId="61D348DD">
      <w:pPr>
        <w:adjustRightInd/>
        <w:spacing w:line="300" w:lineRule="auto"/>
        <w:ind w:firstLine="480" w:firstLineChars="200"/>
        <w:rPr>
          <w:rFonts w:eastAsia="黑体"/>
          <w:color w:val="auto"/>
          <w:sz w:val="24"/>
          <w:highlight w:val="none"/>
        </w:rPr>
      </w:pPr>
      <w:r>
        <w:rPr>
          <w:rFonts w:hint="eastAsia" w:eastAsia="仿宋_GB2312"/>
          <w:color w:val="auto"/>
          <w:sz w:val="24"/>
          <w:highlight w:val="none"/>
        </w:rPr>
        <w:t>因合同及合同有关事项发生的争议，双方当事人一致同意下列解决方式中第</w:t>
      </w:r>
      <w:r>
        <w:rPr>
          <w:rFonts w:hint="eastAsia" w:eastAsia="仿宋_GB2312"/>
          <w:color w:val="auto"/>
          <w:sz w:val="24"/>
          <w:highlight w:val="none"/>
          <w:u w:val="single"/>
        </w:rPr>
        <w:t>(2)</w:t>
      </w:r>
      <w:r>
        <w:rPr>
          <w:rFonts w:eastAsia="仿宋_GB2312"/>
          <w:color w:val="auto"/>
          <w:sz w:val="24"/>
          <w:highlight w:val="none"/>
        </w:rPr>
        <w:t>种方式</w:t>
      </w:r>
      <w:r>
        <w:rPr>
          <w:rFonts w:hint="eastAsia" w:eastAsia="仿宋_GB2312"/>
          <w:color w:val="auto"/>
          <w:sz w:val="24"/>
          <w:highlight w:val="none"/>
        </w:rPr>
        <w:t>解</w:t>
      </w:r>
      <w:r>
        <w:rPr>
          <w:rFonts w:eastAsia="仿宋_GB2312"/>
          <w:color w:val="auto"/>
          <w:sz w:val="24"/>
          <w:highlight w:val="none"/>
        </w:rPr>
        <w:t>决</w:t>
      </w:r>
      <w:r>
        <w:rPr>
          <w:rFonts w:hint="eastAsia" w:eastAsia="仿宋_GB2312"/>
          <w:color w:val="auto"/>
          <w:sz w:val="24"/>
          <w:highlight w:val="none"/>
        </w:rPr>
        <w:t>争议</w:t>
      </w:r>
      <w:r>
        <w:rPr>
          <w:rFonts w:eastAsia="仿宋_GB2312"/>
          <w:color w:val="auto"/>
          <w:sz w:val="24"/>
          <w:highlight w:val="none"/>
        </w:rPr>
        <w:t>：</w:t>
      </w:r>
    </w:p>
    <w:p w14:paraId="019F3A5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提交</w:t>
      </w:r>
      <w:r>
        <w:rPr>
          <w:rFonts w:hint="eastAsia" w:eastAsia="仿宋_GB2312"/>
          <w:color w:val="auto"/>
          <w:sz w:val="24"/>
          <w:highlight w:val="none"/>
          <w:u w:val="single"/>
        </w:rPr>
        <w:t xml:space="preserve">杭州  </w:t>
      </w:r>
      <w:r>
        <w:rPr>
          <w:rFonts w:eastAsia="仿宋_GB2312"/>
          <w:color w:val="auto"/>
          <w:sz w:val="24"/>
          <w:highlight w:val="none"/>
        </w:rPr>
        <w:t>仲裁委员会</w:t>
      </w:r>
      <w:r>
        <w:rPr>
          <w:rFonts w:hint="eastAsia" w:eastAsia="仿宋_GB2312"/>
          <w:color w:val="auto"/>
          <w:sz w:val="24"/>
          <w:highlight w:val="none"/>
        </w:rPr>
        <w:t>申请</w:t>
      </w:r>
      <w:r>
        <w:rPr>
          <w:rFonts w:eastAsia="仿宋_GB2312"/>
          <w:color w:val="auto"/>
          <w:sz w:val="24"/>
          <w:highlight w:val="none"/>
        </w:rPr>
        <w:t>仲裁；</w:t>
      </w:r>
    </w:p>
    <w:p w14:paraId="548E5008">
      <w:pPr>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依法</w:t>
      </w:r>
      <w:r>
        <w:rPr>
          <w:rFonts w:eastAsia="仿宋_GB2312"/>
          <w:color w:val="auto"/>
          <w:sz w:val="24"/>
          <w:highlight w:val="none"/>
        </w:rPr>
        <w:t>向</w:t>
      </w:r>
      <w:r>
        <w:rPr>
          <w:rFonts w:hint="eastAsia" w:eastAsia="仿宋_GB2312"/>
          <w:color w:val="auto"/>
          <w:sz w:val="24"/>
          <w:highlight w:val="none"/>
          <w:u w:val="single"/>
        </w:rPr>
        <w:t>工程所在地</w:t>
      </w:r>
      <w:r>
        <w:rPr>
          <w:rFonts w:eastAsia="仿宋_GB2312"/>
          <w:color w:val="auto"/>
          <w:sz w:val="24"/>
          <w:highlight w:val="none"/>
        </w:rPr>
        <w:t>人民法院起诉。</w:t>
      </w:r>
      <w:bookmarkEnd w:id="990"/>
      <w:bookmarkEnd w:id="991"/>
      <w:bookmarkEnd w:id="992"/>
      <w:bookmarkEnd w:id="993"/>
      <w:bookmarkEnd w:id="994"/>
      <w:bookmarkEnd w:id="995"/>
    </w:p>
    <w:p w14:paraId="72A12BBB">
      <w:pPr>
        <w:adjustRightInd/>
        <w:spacing w:line="300" w:lineRule="auto"/>
        <w:ind w:firstLine="475" w:firstLineChars="198"/>
        <w:rPr>
          <w:rFonts w:eastAsia="黑体"/>
          <w:color w:val="auto"/>
          <w:sz w:val="24"/>
          <w:highlight w:val="none"/>
        </w:rPr>
      </w:pPr>
      <w:r>
        <w:rPr>
          <w:rFonts w:hint="eastAsia" w:eastAsia="黑体"/>
          <w:color w:val="auto"/>
          <w:sz w:val="24"/>
          <w:highlight w:val="none"/>
        </w:rPr>
        <w:t>21．其他补充事项的约定</w:t>
      </w:r>
    </w:p>
    <w:p w14:paraId="2C178EA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安全施工、文明施工、环境保护、临时设施费四项措施费不得挪作他用，工程实施过程中根据投标文件的承诺，经监理工程师、发包人审查认可后方可计列费用。承包人应确保工程安全进行，所有安全事故的全部责任均由承包人承担。</w:t>
      </w:r>
    </w:p>
    <w:p w14:paraId="1EC8A84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(2)如设计变更，变更估价参照专用条款10.4执行。</w:t>
      </w:r>
    </w:p>
    <w:p w14:paraId="12EBD50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 本项目多余土方外运，由承包人自行解决，其费用列入报价。</w:t>
      </w:r>
    </w:p>
    <w:p w14:paraId="7C583A5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(4)本项目施工时对既有综合管线、民居、化粪池等，必须确保安全，其保护费用由承包人自理，费用列入报价。</w:t>
      </w:r>
    </w:p>
    <w:p w14:paraId="5FC322C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(5)材料和设备供应：</w:t>
      </w:r>
    </w:p>
    <w:p w14:paraId="5C19F9D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材料设备采购应根据招标文件、设计技术文件和国家有关规定的具体要求进行采购，所有材料应选用中高档以上品牌或知名厂家生产，所有材料均应有合格证和质保书、符合施工图纸、规范、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后所引起的一切责任均由承包人自负。</w:t>
      </w:r>
    </w:p>
    <w:p w14:paraId="6B92AD3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2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②</w:t>
      </w:r>
      <w:r>
        <w:rPr>
          <w:rFonts w:eastAsia="仿宋_GB2312"/>
          <w:color w:val="auto"/>
          <w:sz w:val="24"/>
          <w:highlight w:val="none"/>
          <w:u w:val="single"/>
        </w:rPr>
        <w:fldChar w:fldCharType="end"/>
      </w:r>
      <w:r>
        <w:rPr>
          <w:rFonts w:hint="eastAsia" w:eastAsia="仿宋_GB2312"/>
          <w:color w:val="auto"/>
          <w:sz w:val="24"/>
          <w:highlight w:val="none"/>
          <w:u w:val="single"/>
        </w:rPr>
        <w:t>无价材料采购前其质量、价格、产地、规格等需事先征得招标方的认可或签证同意；</w:t>
      </w:r>
    </w:p>
    <w:p w14:paraId="750CA17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3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③</w:t>
      </w:r>
      <w:r>
        <w:rPr>
          <w:rFonts w:eastAsia="仿宋_GB2312"/>
          <w:color w:val="auto"/>
          <w:sz w:val="24"/>
          <w:highlight w:val="none"/>
          <w:u w:val="single"/>
        </w:rPr>
        <w:fldChar w:fldCharType="end"/>
      </w:r>
      <w:r>
        <w:rPr>
          <w:rFonts w:hint="eastAsia" w:eastAsia="仿宋_GB2312"/>
          <w:color w:val="auto"/>
          <w:sz w:val="24"/>
          <w:highlight w:val="none"/>
          <w:u w:val="single"/>
        </w:rPr>
        <w:t>发包人招标时如有推荐材料/设备品牌的，承包人需从发包人推荐的品牌中选取一个或选用能提供同等档次证明的品牌填入投标文件主材表备注栏中。</w:t>
      </w:r>
    </w:p>
    <w:p w14:paraId="009C891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(6)质量保证:</w:t>
      </w:r>
    </w:p>
    <w:p w14:paraId="1043E5E4">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工程竣工后经质监部门核验，不能达到承诺的质量等级的，作违约论处，扣除其履约保证金中的全部施工质量履约保证金。</w:t>
      </w:r>
    </w:p>
    <w:p w14:paraId="17D7079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(7)施工用水用电：</w:t>
      </w:r>
    </w:p>
    <w:p w14:paraId="2F4AEDD5">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施工用水、用电由承包人自行解决，相关费用自行考虑在技术措施项目中综合报价，结算时不作调整，工程施工用电用水费用由承包人自行承担。承包人应考虑自备发电设备和临时蓄水池，以防止施工过程中的临时停电和停水对工程进度和质量等的影响，费用包含在相关措施费中，否则做优惠处理。</w:t>
      </w:r>
    </w:p>
    <w:p w14:paraId="6892C88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(8)双方约定承包人应做的其他工作：</w:t>
      </w:r>
    </w:p>
    <w:p w14:paraId="6223B174">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处理好与周边的各种关系如在施工过程中与居民发生纠纷，自行与当地社区进行协商解决。</w:t>
      </w:r>
    </w:p>
    <w:p w14:paraId="0E5B9F8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(9)承包人必须保证施工过程所提出的签证内容是合法的、真实的，并不由于发包人和监理工程师的确认而免除承包人的责任。</w:t>
      </w:r>
    </w:p>
    <w:p w14:paraId="6C040FE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(10)工程竣工结算总造价应控制在政府有关部门已批复的概算内，否则财政部门不予支付。</w:t>
      </w:r>
    </w:p>
    <w:p w14:paraId="72E3EA0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(11)承包人施工现场所有临设每间房间仅允许设置一个插座，其余均使用USB接口，防止不规范用电引起消防隐患。如发现承包人私自接电、不规范用电，每次处以罚款2000-5000元。</w:t>
      </w:r>
    </w:p>
    <w:p w14:paraId="2C964DB0">
      <w:pPr>
        <w:pStyle w:val="45"/>
        <w:tabs>
          <w:tab w:val="right" w:leader="dot" w:pos="8296"/>
        </w:tabs>
        <w:ind w:firstLine="480" w:firstLineChars="200"/>
        <w:rPr>
          <w:bCs/>
          <w:color w:val="auto"/>
          <w:highlight w:val="none"/>
        </w:rPr>
      </w:pPr>
      <w:r>
        <w:rPr>
          <w:rFonts w:hint="eastAsia" w:eastAsia="仿宋_GB2312"/>
          <w:color w:val="auto"/>
          <w:sz w:val="24"/>
          <w:highlight w:val="none"/>
          <w:u w:val="single"/>
        </w:rPr>
        <w:t>(12)</w:t>
      </w:r>
      <w:r>
        <w:rPr>
          <w:rFonts w:hint="eastAsia" w:eastAsia="仿宋_GB2312"/>
          <w:bCs/>
          <w:color w:val="auto"/>
          <w:sz w:val="24"/>
          <w:highlight w:val="none"/>
          <w:u w:val="single"/>
        </w:rPr>
        <w:t>承包人应在临设区域合理设置电瓶车集中充电点，禁止电瓶车随意在工地现场充电，引发消防隐患，涉及费用在承包人的投标报价中综合考虑。</w:t>
      </w:r>
    </w:p>
    <w:p w14:paraId="1D2F1A81">
      <w:pPr>
        <w:pStyle w:val="45"/>
        <w:tabs>
          <w:tab w:val="right" w:leader="dot" w:pos="8296"/>
        </w:tabs>
        <w:ind w:firstLine="436"/>
        <w:rPr>
          <w:rFonts w:ascii="宋体" w:eastAsia="楷体_GB2312"/>
          <w:color w:val="auto"/>
          <w:sz w:val="28"/>
          <w:szCs w:val="20"/>
          <w:highlight w:val="none"/>
        </w:rPr>
      </w:pPr>
    </w:p>
    <w:p w14:paraId="331877DE">
      <w:pPr>
        <w:adjustRightInd/>
        <w:spacing w:line="300" w:lineRule="auto"/>
        <w:rPr>
          <w:rFonts w:eastAsia="黑体"/>
          <w:b/>
          <w:color w:val="auto"/>
          <w:sz w:val="28"/>
          <w:szCs w:val="28"/>
          <w:highlight w:val="none"/>
        </w:rPr>
      </w:pPr>
      <w:bookmarkStart w:id="1002" w:name="_Toc351203652"/>
      <w:r>
        <w:rPr>
          <w:rFonts w:eastAsia="黑体"/>
          <w:b/>
          <w:color w:val="auto"/>
          <w:sz w:val="28"/>
          <w:szCs w:val="28"/>
          <w:highlight w:val="none"/>
        </w:rPr>
        <w:t>附件</w:t>
      </w:r>
      <w:bookmarkEnd w:id="1002"/>
    </w:p>
    <w:p w14:paraId="4CBB518B">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协议书附件：</w:t>
      </w:r>
    </w:p>
    <w:p w14:paraId="49342FCA">
      <w:pPr>
        <w:adjustRightInd/>
        <w:spacing w:line="300" w:lineRule="auto"/>
        <w:rPr>
          <w:rFonts w:eastAsia="仿宋_GB2312"/>
          <w:color w:val="auto"/>
          <w:sz w:val="28"/>
          <w:szCs w:val="28"/>
          <w:highlight w:val="none"/>
        </w:rPr>
      </w:pPr>
      <w:r>
        <w:rPr>
          <w:rFonts w:eastAsia="仿宋_GB2312"/>
          <w:color w:val="auto"/>
          <w:sz w:val="28"/>
          <w:szCs w:val="28"/>
          <w:highlight w:val="none"/>
        </w:rPr>
        <w:t>附件1：承包人承揽工程项目一览表</w:t>
      </w:r>
    </w:p>
    <w:p w14:paraId="721A409B">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专用合同条款附件：</w:t>
      </w:r>
    </w:p>
    <w:p w14:paraId="742D6D8C">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2</w:t>
      </w:r>
      <w:r>
        <w:rPr>
          <w:rFonts w:eastAsia="仿宋_GB2312"/>
          <w:color w:val="auto"/>
          <w:sz w:val="28"/>
          <w:szCs w:val="28"/>
          <w:highlight w:val="none"/>
        </w:rPr>
        <w:t>：工程质量保修书</w:t>
      </w:r>
    </w:p>
    <w:p w14:paraId="0DD07BCA">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3</w:t>
      </w:r>
      <w:r>
        <w:rPr>
          <w:rFonts w:eastAsia="仿宋_GB2312"/>
          <w:color w:val="auto"/>
          <w:sz w:val="28"/>
          <w:szCs w:val="28"/>
          <w:highlight w:val="none"/>
        </w:rPr>
        <w:t>：承包人主要施工管理人员表</w:t>
      </w:r>
    </w:p>
    <w:p w14:paraId="1229A577">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4</w:t>
      </w:r>
      <w:r>
        <w:rPr>
          <w:rFonts w:eastAsia="仿宋_GB2312"/>
          <w:color w:val="auto"/>
          <w:sz w:val="28"/>
          <w:szCs w:val="28"/>
          <w:highlight w:val="none"/>
        </w:rPr>
        <w:t>：履约担保格式</w:t>
      </w:r>
    </w:p>
    <w:p w14:paraId="4EE90B00">
      <w:pPr>
        <w:adjustRightInd/>
        <w:spacing w:line="300" w:lineRule="auto"/>
        <w:rPr>
          <w:rFonts w:eastAsia="黑体"/>
          <w:color w:val="auto"/>
          <w:sz w:val="28"/>
          <w:szCs w:val="28"/>
          <w:highlight w:val="none"/>
        </w:rPr>
        <w:sectPr>
          <w:footerReference r:id="rId11" w:type="first"/>
          <w:headerReference r:id="rId8"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：暂估价一览表</w:t>
      </w:r>
    </w:p>
    <w:p w14:paraId="19CD881C">
      <w:pPr>
        <w:spacing w:before="156" w:beforeLines="50" w:after="156" w:afterLines="50" w:line="44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附件1：</w:t>
      </w:r>
    </w:p>
    <w:p w14:paraId="7CEB5C68">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承包人承揽工程项目一览表</w:t>
      </w:r>
    </w:p>
    <w:tbl>
      <w:tblPr>
        <w:tblStyle w:val="6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D015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6C44F17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单位工程名称</w:t>
            </w:r>
          </w:p>
        </w:tc>
        <w:tc>
          <w:tcPr>
            <w:tcW w:w="1843" w:type="dxa"/>
            <w:tcBorders>
              <w:top w:val="single" w:color="auto" w:sz="12" w:space="0"/>
              <w:bottom w:val="double" w:color="auto" w:sz="6" w:space="0"/>
            </w:tcBorders>
            <w:vAlign w:val="center"/>
          </w:tcPr>
          <w:p w14:paraId="2BF18EB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建设规模</w:t>
            </w:r>
          </w:p>
        </w:tc>
        <w:tc>
          <w:tcPr>
            <w:tcW w:w="1417" w:type="dxa"/>
            <w:tcBorders>
              <w:top w:val="single" w:color="auto" w:sz="12" w:space="0"/>
              <w:bottom w:val="double" w:color="auto" w:sz="6" w:space="0"/>
            </w:tcBorders>
            <w:vAlign w:val="center"/>
          </w:tcPr>
          <w:p w14:paraId="6CFE07BB">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建筑面积(</w:t>
            </w:r>
            <w:r>
              <w:rPr>
                <w:rFonts w:hint="eastAsia" w:eastAsia="仿宋_GB2312"/>
                <w:color w:val="auto"/>
                <w:sz w:val="28"/>
                <w:szCs w:val="28"/>
                <w:highlight w:val="none"/>
                <w:lang w:val="en-US"/>
              </w:rPr>
              <w:t>m2</w:t>
            </w:r>
            <w:r>
              <w:rPr>
                <w:rFonts w:eastAsia="仿宋_GB2312"/>
                <w:color w:val="auto"/>
                <w:sz w:val="28"/>
                <w:szCs w:val="28"/>
                <w:highlight w:val="none"/>
                <w:lang w:val="en-US"/>
              </w:rPr>
              <w:t>)</w:t>
            </w:r>
          </w:p>
        </w:tc>
        <w:tc>
          <w:tcPr>
            <w:tcW w:w="2410" w:type="dxa"/>
            <w:tcBorders>
              <w:top w:val="single" w:color="auto" w:sz="12" w:space="0"/>
              <w:bottom w:val="double" w:color="auto" w:sz="6" w:space="0"/>
            </w:tcBorders>
            <w:vAlign w:val="center"/>
          </w:tcPr>
          <w:p w14:paraId="687B82AC">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结构</w:t>
            </w:r>
            <w:r>
              <w:rPr>
                <w:rFonts w:hint="eastAsia" w:eastAsia="仿宋_GB2312"/>
                <w:color w:val="auto"/>
                <w:sz w:val="28"/>
                <w:szCs w:val="28"/>
                <w:highlight w:val="none"/>
                <w:lang w:val="en-US"/>
              </w:rPr>
              <w:t>形式</w:t>
            </w:r>
          </w:p>
        </w:tc>
        <w:tc>
          <w:tcPr>
            <w:tcW w:w="850" w:type="dxa"/>
            <w:tcBorders>
              <w:top w:val="single" w:color="auto" w:sz="12" w:space="0"/>
              <w:bottom w:val="double" w:color="auto" w:sz="6" w:space="0"/>
            </w:tcBorders>
            <w:vAlign w:val="center"/>
          </w:tcPr>
          <w:p w14:paraId="6550F67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层数</w:t>
            </w:r>
          </w:p>
        </w:tc>
        <w:tc>
          <w:tcPr>
            <w:tcW w:w="1560" w:type="dxa"/>
            <w:tcBorders>
              <w:top w:val="single" w:color="auto" w:sz="12" w:space="0"/>
              <w:bottom w:val="double" w:color="auto" w:sz="6" w:space="0"/>
            </w:tcBorders>
            <w:vAlign w:val="center"/>
          </w:tcPr>
          <w:p w14:paraId="6E0D4332">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生产能力</w:t>
            </w:r>
          </w:p>
        </w:tc>
        <w:tc>
          <w:tcPr>
            <w:tcW w:w="2126" w:type="dxa"/>
            <w:tcBorders>
              <w:top w:val="single" w:color="auto" w:sz="12" w:space="0"/>
              <w:bottom w:val="double" w:color="auto" w:sz="6" w:space="0"/>
            </w:tcBorders>
            <w:vAlign w:val="center"/>
          </w:tcPr>
          <w:p w14:paraId="0DD7C5E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设备安装内容</w:t>
            </w:r>
          </w:p>
        </w:tc>
        <w:tc>
          <w:tcPr>
            <w:tcW w:w="1417" w:type="dxa"/>
            <w:tcBorders>
              <w:top w:val="single" w:color="auto" w:sz="12" w:space="0"/>
              <w:bottom w:val="double" w:color="auto" w:sz="6" w:space="0"/>
            </w:tcBorders>
            <w:vAlign w:val="center"/>
          </w:tcPr>
          <w:p w14:paraId="29D1238A">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合同价格（元）</w:t>
            </w:r>
          </w:p>
        </w:tc>
        <w:tc>
          <w:tcPr>
            <w:tcW w:w="851" w:type="dxa"/>
            <w:tcBorders>
              <w:top w:val="single" w:color="auto" w:sz="12" w:space="0"/>
              <w:bottom w:val="double" w:color="auto" w:sz="6" w:space="0"/>
            </w:tcBorders>
            <w:vAlign w:val="center"/>
          </w:tcPr>
          <w:p w14:paraId="574D2412">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开工日期</w:t>
            </w:r>
          </w:p>
        </w:tc>
        <w:tc>
          <w:tcPr>
            <w:tcW w:w="850" w:type="dxa"/>
            <w:tcBorders>
              <w:top w:val="single" w:color="auto" w:sz="12" w:space="0"/>
              <w:bottom w:val="double" w:color="auto" w:sz="6" w:space="0"/>
            </w:tcBorders>
            <w:vAlign w:val="center"/>
          </w:tcPr>
          <w:p w14:paraId="456DB68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竣工日期</w:t>
            </w:r>
          </w:p>
        </w:tc>
      </w:tr>
      <w:tr w14:paraId="34280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571885AB">
            <w:pPr>
              <w:pStyle w:val="3"/>
              <w:keepNext/>
              <w:spacing w:line="440" w:lineRule="exact"/>
              <w:ind w:left="66" w:right="66"/>
              <w:rPr>
                <w:rFonts w:eastAsia="仿宋_GB2312"/>
                <w:color w:val="auto"/>
                <w:sz w:val="28"/>
                <w:szCs w:val="28"/>
                <w:highlight w:val="none"/>
                <w:lang w:val="en-US"/>
              </w:rPr>
            </w:pPr>
          </w:p>
        </w:tc>
        <w:tc>
          <w:tcPr>
            <w:tcW w:w="1843" w:type="dxa"/>
            <w:tcBorders>
              <w:top w:val="double" w:color="auto" w:sz="6" w:space="0"/>
              <w:bottom w:val="single" w:color="auto" w:sz="6" w:space="0"/>
            </w:tcBorders>
            <w:vAlign w:val="center"/>
          </w:tcPr>
          <w:p w14:paraId="62CCE183">
            <w:pPr>
              <w:pStyle w:val="3"/>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68F44A1C">
            <w:pPr>
              <w:pStyle w:val="3"/>
              <w:keepNext/>
              <w:spacing w:line="440" w:lineRule="exact"/>
              <w:ind w:left="66" w:right="66"/>
              <w:rPr>
                <w:rFonts w:eastAsia="仿宋_GB2312"/>
                <w:color w:val="auto"/>
                <w:sz w:val="28"/>
                <w:szCs w:val="28"/>
                <w:highlight w:val="none"/>
                <w:lang w:val="en-US"/>
              </w:rPr>
            </w:pPr>
          </w:p>
        </w:tc>
        <w:tc>
          <w:tcPr>
            <w:tcW w:w="2410" w:type="dxa"/>
            <w:tcBorders>
              <w:top w:val="double" w:color="auto" w:sz="6" w:space="0"/>
              <w:bottom w:val="single" w:color="auto" w:sz="6" w:space="0"/>
            </w:tcBorders>
            <w:vAlign w:val="center"/>
          </w:tcPr>
          <w:p w14:paraId="7ECC071C">
            <w:pPr>
              <w:pStyle w:val="3"/>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7439AF6F">
            <w:pPr>
              <w:pStyle w:val="3"/>
              <w:keepNext/>
              <w:spacing w:line="440" w:lineRule="exact"/>
              <w:ind w:left="66" w:right="66"/>
              <w:rPr>
                <w:rFonts w:eastAsia="仿宋_GB2312"/>
                <w:color w:val="auto"/>
                <w:sz w:val="28"/>
                <w:szCs w:val="28"/>
                <w:highlight w:val="none"/>
                <w:lang w:val="en-US"/>
              </w:rPr>
            </w:pPr>
          </w:p>
        </w:tc>
        <w:tc>
          <w:tcPr>
            <w:tcW w:w="1560" w:type="dxa"/>
            <w:tcBorders>
              <w:top w:val="double" w:color="auto" w:sz="6" w:space="0"/>
              <w:bottom w:val="single" w:color="auto" w:sz="6" w:space="0"/>
            </w:tcBorders>
            <w:vAlign w:val="center"/>
          </w:tcPr>
          <w:p w14:paraId="640C35AD">
            <w:pPr>
              <w:pStyle w:val="3"/>
              <w:keepNext/>
              <w:spacing w:line="440" w:lineRule="exact"/>
              <w:ind w:left="66" w:right="66"/>
              <w:rPr>
                <w:rFonts w:eastAsia="仿宋_GB2312"/>
                <w:color w:val="auto"/>
                <w:sz w:val="28"/>
                <w:szCs w:val="28"/>
                <w:highlight w:val="none"/>
                <w:lang w:val="en-US"/>
              </w:rPr>
            </w:pPr>
          </w:p>
        </w:tc>
        <w:tc>
          <w:tcPr>
            <w:tcW w:w="2126" w:type="dxa"/>
            <w:tcBorders>
              <w:top w:val="double" w:color="auto" w:sz="6" w:space="0"/>
              <w:bottom w:val="single" w:color="auto" w:sz="6" w:space="0"/>
            </w:tcBorders>
            <w:vAlign w:val="center"/>
          </w:tcPr>
          <w:p w14:paraId="43740D88">
            <w:pPr>
              <w:pStyle w:val="3"/>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5637F285">
            <w:pPr>
              <w:pStyle w:val="3"/>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vAlign w:val="center"/>
          </w:tcPr>
          <w:p w14:paraId="3B5FC989">
            <w:pPr>
              <w:pStyle w:val="3"/>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64C351DA">
            <w:pPr>
              <w:pStyle w:val="3"/>
              <w:keepNext/>
              <w:spacing w:line="440" w:lineRule="exact"/>
              <w:ind w:left="66" w:right="66"/>
              <w:rPr>
                <w:rFonts w:eastAsia="仿宋_GB2312"/>
                <w:color w:val="auto"/>
                <w:sz w:val="28"/>
                <w:szCs w:val="28"/>
                <w:highlight w:val="none"/>
                <w:lang w:val="en-US"/>
              </w:rPr>
            </w:pPr>
          </w:p>
        </w:tc>
      </w:tr>
      <w:tr w14:paraId="467B3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E34B5A4">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4729547B">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179ACEEC">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900FE37">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6254C96">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7FF7F0B4">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5DA1DE7">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BBA1223">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C56C625">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7FC55FB">
            <w:pPr>
              <w:pStyle w:val="3"/>
              <w:keepNext/>
              <w:spacing w:line="440" w:lineRule="exact"/>
              <w:ind w:left="66" w:right="66"/>
              <w:rPr>
                <w:rFonts w:eastAsia="仿宋_GB2312"/>
                <w:color w:val="auto"/>
                <w:sz w:val="28"/>
                <w:szCs w:val="28"/>
                <w:highlight w:val="none"/>
                <w:lang w:val="en-US"/>
              </w:rPr>
            </w:pPr>
          </w:p>
        </w:tc>
      </w:tr>
      <w:tr w14:paraId="3963F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10CFC79">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6A3E634E">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6748DC3">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706F62C1">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C2C7C1F">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51A2B4C3">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9FD6E49">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A7CD15E">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6178DDBC">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4DF6649">
            <w:pPr>
              <w:pStyle w:val="3"/>
              <w:keepNext/>
              <w:spacing w:line="440" w:lineRule="exact"/>
              <w:ind w:left="66" w:right="66"/>
              <w:rPr>
                <w:rFonts w:eastAsia="仿宋_GB2312"/>
                <w:color w:val="auto"/>
                <w:sz w:val="28"/>
                <w:szCs w:val="28"/>
                <w:highlight w:val="none"/>
                <w:lang w:val="en-US"/>
              </w:rPr>
            </w:pPr>
          </w:p>
        </w:tc>
      </w:tr>
      <w:tr w14:paraId="34042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BB156A5">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6D55CDCF">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0FC55E30">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21BAFEC7">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1DCCD9A2">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56C5DE50">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7FEE8152">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7BE413F5">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77DE90DE">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30688006">
            <w:pPr>
              <w:pStyle w:val="3"/>
              <w:keepNext/>
              <w:spacing w:line="440" w:lineRule="exact"/>
              <w:ind w:left="66" w:right="66"/>
              <w:rPr>
                <w:rFonts w:eastAsia="仿宋_GB2312"/>
                <w:color w:val="auto"/>
                <w:sz w:val="28"/>
                <w:szCs w:val="28"/>
                <w:highlight w:val="none"/>
                <w:lang w:val="en-US"/>
              </w:rPr>
            </w:pPr>
          </w:p>
        </w:tc>
      </w:tr>
      <w:tr w14:paraId="13A4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E08404E">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3D97C561">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27BFA4D">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693E0A34">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C1A4982">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6782B7D2">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1CD2EAF4">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28C4930">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3AE09945">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5564B5F2">
            <w:pPr>
              <w:pStyle w:val="3"/>
              <w:keepNext/>
              <w:spacing w:line="440" w:lineRule="exact"/>
              <w:ind w:left="66" w:right="66"/>
              <w:rPr>
                <w:rFonts w:eastAsia="仿宋_GB2312"/>
                <w:color w:val="auto"/>
                <w:sz w:val="28"/>
                <w:szCs w:val="28"/>
                <w:highlight w:val="none"/>
                <w:lang w:val="en-US"/>
              </w:rPr>
            </w:pPr>
          </w:p>
        </w:tc>
      </w:tr>
      <w:tr w14:paraId="4683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921D52">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7B7B9DF0">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50670782">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1B97E1DE">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2CC0BABF">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78C8F498">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505C68CC">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042D4470">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57A7267F">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427CBD9D">
            <w:pPr>
              <w:pStyle w:val="3"/>
              <w:keepNext/>
              <w:spacing w:line="440" w:lineRule="exact"/>
              <w:ind w:left="66" w:right="66"/>
              <w:rPr>
                <w:rFonts w:eastAsia="仿宋_GB2312"/>
                <w:color w:val="auto"/>
                <w:sz w:val="28"/>
                <w:szCs w:val="28"/>
                <w:highlight w:val="none"/>
                <w:lang w:val="en-US"/>
              </w:rPr>
            </w:pPr>
          </w:p>
        </w:tc>
      </w:tr>
      <w:tr w14:paraId="2EE9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B3B9244">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27670063">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586ACF5">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0AA6086D">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E9DF3C6">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2C9DB2EC">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38E5BFDB">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0FE1045">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0DC30D7F">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EE9803B">
            <w:pPr>
              <w:pStyle w:val="3"/>
              <w:keepNext/>
              <w:spacing w:line="440" w:lineRule="exact"/>
              <w:ind w:left="66" w:right="66"/>
              <w:rPr>
                <w:rFonts w:eastAsia="仿宋_GB2312"/>
                <w:color w:val="auto"/>
                <w:sz w:val="28"/>
                <w:szCs w:val="28"/>
                <w:highlight w:val="none"/>
                <w:lang w:val="en-US"/>
              </w:rPr>
            </w:pPr>
          </w:p>
        </w:tc>
      </w:tr>
      <w:tr w14:paraId="22747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CFE2232">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7C72BA18">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585A1411">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12C0B901">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6861343">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609DB825">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1DAE563C">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442EF9C3">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59308FFF">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37110187">
            <w:pPr>
              <w:pStyle w:val="3"/>
              <w:keepNext/>
              <w:spacing w:line="440" w:lineRule="exact"/>
              <w:ind w:left="66" w:right="66"/>
              <w:rPr>
                <w:rFonts w:eastAsia="仿宋_GB2312"/>
                <w:color w:val="auto"/>
                <w:sz w:val="28"/>
                <w:szCs w:val="28"/>
                <w:highlight w:val="none"/>
                <w:lang w:val="en-US"/>
              </w:rPr>
            </w:pPr>
          </w:p>
        </w:tc>
      </w:tr>
      <w:tr w14:paraId="44B1A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8A09881">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740777B5">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5D885BB4">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5332F975">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6598DB03">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3416F64E">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6FF3DD9C">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79898A40">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2C89BEB3">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3B659FD6">
            <w:pPr>
              <w:pStyle w:val="3"/>
              <w:keepNext/>
              <w:spacing w:line="440" w:lineRule="exact"/>
              <w:ind w:left="66" w:right="66"/>
              <w:rPr>
                <w:rFonts w:eastAsia="仿宋_GB2312"/>
                <w:color w:val="auto"/>
                <w:sz w:val="28"/>
                <w:szCs w:val="28"/>
                <w:highlight w:val="none"/>
                <w:lang w:val="en-US"/>
              </w:rPr>
            </w:pPr>
          </w:p>
        </w:tc>
      </w:tr>
      <w:tr w14:paraId="1F7E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80D2F3">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02299670">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107CF85E">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550F20A">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D62237B">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28F7E1DA">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48A03C90">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46404E62">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C0BD8EC">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5D8DAEF9">
            <w:pPr>
              <w:pStyle w:val="3"/>
              <w:keepNext/>
              <w:spacing w:line="440" w:lineRule="exact"/>
              <w:ind w:left="66" w:right="66"/>
              <w:rPr>
                <w:rFonts w:eastAsia="仿宋_GB2312"/>
                <w:color w:val="auto"/>
                <w:sz w:val="28"/>
                <w:szCs w:val="28"/>
                <w:highlight w:val="none"/>
                <w:lang w:val="en-US"/>
              </w:rPr>
            </w:pPr>
          </w:p>
        </w:tc>
      </w:tr>
      <w:tr w14:paraId="1BBEC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02C9F2A">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5AE2FFD9">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517E0FC2">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6C2F5CD7">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70099C5D">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3BC08A28">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6480E96F">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40883D69">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45A8C92C">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773A89A1">
            <w:pPr>
              <w:pStyle w:val="3"/>
              <w:keepNext/>
              <w:spacing w:line="440" w:lineRule="exact"/>
              <w:ind w:left="66" w:right="66"/>
              <w:rPr>
                <w:rFonts w:eastAsia="仿宋_GB2312"/>
                <w:color w:val="auto"/>
                <w:sz w:val="28"/>
                <w:szCs w:val="28"/>
                <w:highlight w:val="none"/>
                <w:lang w:val="en-US"/>
              </w:rPr>
            </w:pPr>
          </w:p>
        </w:tc>
      </w:tr>
    </w:tbl>
    <w:p w14:paraId="314BF1FF">
      <w:pPr>
        <w:spacing w:line="440" w:lineRule="exact"/>
        <w:rPr>
          <w:rFonts w:eastAsia="仿宋_GB2312"/>
          <w:b/>
          <w:color w:val="auto"/>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14:paraId="66E4E87C">
      <w:pPr>
        <w:spacing w:line="400" w:lineRule="exact"/>
        <w:rPr>
          <w:rFonts w:eastAsia="黑体"/>
          <w:color w:val="auto"/>
          <w:sz w:val="28"/>
          <w:szCs w:val="28"/>
          <w:highlight w:val="none"/>
        </w:rPr>
      </w:pPr>
      <w:r>
        <w:rPr>
          <w:rFonts w:eastAsia="仿宋_GB2312"/>
          <w:color w:val="auto"/>
          <w:sz w:val="28"/>
          <w:szCs w:val="28"/>
          <w:highlight w:val="none"/>
        </w:rPr>
        <w:t>附</w:t>
      </w:r>
      <w:bookmarkStart w:id="1003" w:name="_Toc296347225"/>
      <w:bookmarkStart w:id="1004" w:name="_Toc296891054"/>
      <w:bookmarkStart w:id="1005" w:name="_Toc296891266"/>
      <w:bookmarkStart w:id="1006" w:name="_Toc296503226"/>
      <w:bookmarkStart w:id="1007" w:name="_Toc296944565"/>
      <w:bookmarkStart w:id="1008" w:name="_Toc296346727"/>
      <w:bookmarkStart w:id="1009" w:name="_Toc267261693"/>
      <w:r>
        <w:rPr>
          <w:rFonts w:eastAsia="仿宋_GB2312"/>
          <w:color w:val="auto"/>
          <w:sz w:val="28"/>
          <w:szCs w:val="28"/>
          <w:highlight w:val="none"/>
        </w:rPr>
        <w:t>件</w:t>
      </w:r>
      <w:r>
        <w:rPr>
          <w:rFonts w:hint="eastAsia" w:eastAsia="仿宋_GB2312"/>
          <w:color w:val="auto"/>
          <w:sz w:val="28"/>
          <w:szCs w:val="28"/>
          <w:highlight w:val="none"/>
        </w:rPr>
        <w:t>2</w:t>
      </w:r>
      <w:r>
        <w:rPr>
          <w:rFonts w:eastAsia="仿宋_GB2312"/>
          <w:color w:val="auto"/>
          <w:sz w:val="28"/>
          <w:szCs w:val="28"/>
          <w:highlight w:val="none"/>
        </w:rPr>
        <w:t>：</w:t>
      </w:r>
      <w:bookmarkEnd w:id="1003"/>
      <w:bookmarkEnd w:id="1004"/>
      <w:bookmarkEnd w:id="1005"/>
      <w:bookmarkEnd w:id="1006"/>
      <w:bookmarkEnd w:id="1007"/>
      <w:bookmarkEnd w:id="1008"/>
      <w:bookmarkEnd w:id="1009"/>
    </w:p>
    <w:p w14:paraId="76B7C978">
      <w:pPr>
        <w:spacing w:before="120" w:beforeLines="50" w:after="120" w:afterLines="50" w:line="400" w:lineRule="exact"/>
        <w:jc w:val="center"/>
        <w:rPr>
          <w:rFonts w:eastAsia="黑体"/>
          <w:color w:val="auto"/>
          <w:sz w:val="28"/>
          <w:szCs w:val="28"/>
          <w:highlight w:val="none"/>
        </w:rPr>
      </w:pPr>
      <w:r>
        <w:rPr>
          <w:rFonts w:eastAsia="黑体"/>
          <w:color w:val="auto"/>
          <w:sz w:val="28"/>
          <w:szCs w:val="28"/>
          <w:highlight w:val="none"/>
        </w:rPr>
        <w:t>工程质量保修书</w:t>
      </w:r>
    </w:p>
    <w:p w14:paraId="03B8EB12">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发包人（全称）：</w:t>
      </w:r>
    </w:p>
    <w:p w14:paraId="681EC95C">
      <w:pPr>
        <w:spacing w:line="400" w:lineRule="exact"/>
        <w:rPr>
          <w:rFonts w:eastAsia="仿宋_GB2312"/>
          <w:color w:val="auto"/>
          <w:sz w:val="28"/>
          <w:szCs w:val="28"/>
          <w:highlight w:val="none"/>
        </w:rPr>
      </w:pPr>
      <w:r>
        <w:rPr>
          <w:rFonts w:eastAsia="仿宋_GB2312"/>
          <w:color w:val="auto"/>
          <w:sz w:val="28"/>
          <w:szCs w:val="28"/>
          <w:highlight w:val="none"/>
        </w:rPr>
        <w:t>　　承包人（全称）：</w:t>
      </w:r>
    </w:p>
    <w:p w14:paraId="001FB4A1">
      <w:pPr>
        <w:spacing w:line="400" w:lineRule="exact"/>
        <w:rPr>
          <w:rFonts w:eastAsia="仿宋_GB2312"/>
          <w:color w:val="auto"/>
          <w:sz w:val="28"/>
          <w:szCs w:val="28"/>
          <w:highlight w:val="none"/>
        </w:rPr>
      </w:pPr>
    </w:p>
    <w:p w14:paraId="5B612EAC">
      <w:pPr>
        <w:spacing w:line="400" w:lineRule="exact"/>
        <w:rPr>
          <w:rFonts w:eastAsia="仿宋_GB2312"/>
          <w:color w:val="auto"/>
          <w:sz w:val="28"/>
          <w:szCs w:val="28"/>
          <w:highlight w:val="none"/>
        </w:rPr>
      </w:pPr>
      <w:r>
        <w:rPr>
          <w:rFonts w:eastAsia="仿宋_GB2312"/>
          <w:color w:val="auto"/>
          <w:sz w:val="28"/>
          <w:szCs w:val="28"/>
          <w:highlight w:val="none"/>
        </w:rPr>
        <w:t>　　发包人和承包人根据《中华人民共和国建筑法》和《建设工程质量管理条例》，经协商一致就（工程全称）签订工程质量保修书。</w:t>
      </w:r>
    </w:p>
    <w:p w14:paraId="3A486071">
      <w:pPr>
        <w:spacing w:line="400" w:lineRule="exact"/>
        <w:rPr>
          <w:rFonts w:eastAsia="黑体"/>
          <w:color w:val="auto"/>
          <w:sz w:val="28"/>
          <w:szCs w:val="28"/>
          <w:highlight w:val="none"/>
        </w:rPr>
      </w:pPr>
      <w:r>
        <w:rPr>
          <w:rFonts w:eastAsia="黑体"/>
          <w:color w:val="auto"/>
          <w:sz w:val="28"/>
          <w:szCs w:val="28"/>
          <w:highlight w:val="none"/>
        </w:rPr>
        <w:t>　　一、工程质量保修范围和内容</w:t>
      </w:r>
    </w:p>
    <w:p w14:paraId="05A89CC1">
      <w:pPr>
        <w:spacing w:line="400" w:lineRule="exact"/>
        <w:rPr>
          <w:rFonts w:eastAsia="仿宋_GB2312"/>
          <w:color w:val="auto"/>
          <w:sz w:val="28"/>
          <w:szCs w:val="28"/>
          <w:highlight w:val="none"/>
        </w:rPr>
      </w:pPr>
      <w:r>
        <w:rPr>
          <w:rFonts w:eastAsia="仿宋_GB2312"/>
          <w:color w:val="auto"/>
          <w:sz w:val="28"/>
          <w:szCs w:val="28"/>
          <w:highlight w:val="none"/>
        </w:rPr>
        <w:t>　　承包人在质量保修期内，按照有关法律规定和合同约定，承担工程质量保修责任。</w:t>
      </w:r>
    </w:p>
    <w:p w14:paraId="30925974">
      <w:pPr>
        <w:spacing w:line="400" w:lineRule="exact"/>
        <w:rPr>
          <w:rFonts w:eastAsia="仿宋_GB2312"/>
          <w:color w:val="auto"/>
          <w:sz w:val="28"/>
          <w:szCs w:val="28"/>
          <w:highlight w:val="none"/>
        </w:rPr>
      </w:pPr>
      <w:r>
        <w:rPr>
          <w:rFonts w:eastAsia="仿宋_GB2312"/>
          <w:color w:val="auto"/>
          <w:sz w:val="28"/>
          <w:szCs w:val="28"/>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7E7999">
      <w:pPr>
        <w:spacing w:line="400" w:lineRule="exact"/>
        <w:rPr>
          <w:rFonts w:eastAsia="仿宋_GB2312"/>
          <w:color w:val="auto"/>
          <w:sz w:val="28"/>
          <w:szCs w:val="28"/>
          <w:highlight w:val="none"/>
        </w:rPr>
      </w:pPr>
      <w:r>
        <w:rPr>
          <w:rFonts w:eastAsia="仿宋_GB2312"/>
          <w:color w:val="auto"/>
          <w:sz w:val="28"/>
          <w:szCs w:val="28"/>
          <w:highlight w:val="none"/>
        </w:rPr>
        <w:t>　　</w:t>
      </w:r>
      <w:r>
        <w:rPr>
          <w:rFonts w:hint="eastAsia" w:eastAsia="仿宋_GB2312"/>
          <w:color w:val="auto"/>
          <w:sz w:val="28"/>
          <w:szCs w:val="28"/>
          <w:highlight w:val="none"/>
          <w:u w:val="single"/>
        </w:rPr>
        <w:t>保修承包施工范围内所有完工工程</w:t>
      </w:r>
      <w:r>
        <w:rPr>
          <w:rFonts w:eastAsia="仿宋_GB2312"/>
          <w:color w:val="auto"/>
          <w:sz w:val="28"/>
          <w:szCs w:val="28"/>
          <w:highlight w:val="none"/>
        </w:rPr>
        <w:t>。</w:t>
      </w:r>
    </w:p>
    <w:p w14:paraId="040BE736">
      <w:pPr>
        <w:spacing w:line="400" w:lineRule="exact"/>
        <w:rPr>
          <w:rFonts w:eastAsia="黑体"/>
          <w:color w:val="auto"/>
          <w:sz w:val="28"/>
          <w:szCs w:val="28"/>
          <w:highlight w:val="none"/>
        </w:rPr>
      </w:pPr>
      <w:r>
        <w:rPr>
          <w:rFonts w:eastAsia="仿宋_GB2312"/>
          <w:b/>
          <w:color w:val="auto"/>
          <w:sz w:val="28"/>
          <w:szCs w:val="28"/>
          <w:highlight w:val="none"/>
        </w:rPr>
        <w:t>　　</w:t>
      </w:r>
      <w:r>
        <w:rPr>
          <w:rFonts w:eastAsia="黑体"/>
          <w:color w:val="auto"/>
          <w:sz w:val="28"/>
          <w:szCs w:val="28"/>
          <w:highlight w:val="none"/>
        </w:rPr>
        <w:t>二、质量保修期</w:t>
      </w:r>
    </w:p>
    <w:p w14:paraId="57B1A336">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根据《建设工程质量管理条例》及有关规定，工程的质量保修期如下：</w:t>
      </w:r>
    </w:p>
    <w:p w14:paraId="54CF28FB">
      <w:pPr>
        <w:spacing w:line="4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eastAsia="仿宋_GB2312"/>
          <w:color w:val="auto"/>
          <w:sz w:val="28"/>
          <w:szCs w:val="28"/>
          <w:highlight w:val="none"/>
        </w:rPr>
        <w:t>．</w:t>
      </w:r>
      <w:r>
        <w:rPr>
          <w:rFonts w:hint="eastAsia" w:ascii="仿宋_GB2312" w:eastAsia="仿宋_GB2312"/>
          <w:color w:val="auto"/>
          <w:sz w:val="28"/>
          <w:szCs w:val="28"/>
          <w:highlight w:val="none"/>
        </w:rPr>
        <w:t>地基基础工程和主体结构工程为设计文件规定的工程合理使用年限；</w:t>
      </w:r>
    </w:p>
    <w:p w14:paraId="2A640146">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屋面防水工程、有防水要求的卫生间、房间和外墙面的防渗</w:t>
      </w:r>
      <w:r>
        <w:rPr>
          <w:rFonts w:hint="eastAsia" w:eastAsia="仿宋_GB2312"/>
          <w:color w:val="auto"/>
          <w:sz w:val="28"/>
          <w:szCs w:val="28"/>
          <w:highlight w:val="none"/>
        </w:rPr>
        <w:t>为</w:t>
      </w:r>
      <w:r>
        <w:rPr>
          <w:rFonts w:hint="eastAsia" w:eastAsia="仿宋_GB2312"/>
          <w:color w:val="auto"/>
          <w:sz w:val="28"/>
          <w:szCs w:val="28"/>
          <w:highlight w:val="none"/>
          <w:u w:val="single"/>
        </w:rPr>
        <w:t>5</w:t>
      </w:r>
      <w:r>
        <w:rPr>
          <w:rFonts w:eastAsia="仿宋_GB2312"/>
          <w:color w:val="auto"/>
          <w:sz w:val="28"/>
          <w:szCs w:val="28"/>
          <w:highlight w:val="none"/>
        </w:rPr>
        <w:t>年；</w:t>
      </w:r>
    </w:p>
    <w:p w14:paraId="599196F8">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装修工程为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41599F4E">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电气管线、给排水管道、设备安装工程为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26414CCD">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5</w:t>
      </w:r>
      <w:r>
        <w:rPr>
          <w:rFonts w:hint="eastAsia" w:ascii="仿宋_GB2312" w:eastAsia="仿宋_GB2312"/>
          <w:color w:val="auto"/>
          <w:sz w:val="28"/>
          <w:szCs w:val="28"/>
          <w:highlight w:val="none"/>
        </w:rPr>
        <w:t>．</w:t>
      </w:r>
      <w:r>
        <w:rPr>
          <w:rFonts w:eastAsia="仿宋_GB2312"/>
          <w:color w:val="auto"/>
          <w:sz w:val="28"/>
          <w:szCs w:val="28"/>
          <w:highlight w:val="none"/>
        </w:rPr>
        <w:t>供热与供冷系统为</w:t>
      </w:r>
      <w:r>
        <w:rPr>
          <w:rFonts w:hint="eastAsia" w:eastAsia="仿宋_GB2312"/>
          <w:color w:val="auto"/>
          <w:sz w:val="28"/>
          <w:szCs w:val="28"/>
          <w:highlight w:val="none"/>
          <w:u w:val="single"/>
        </w:rPr>
        <w:t>2</w:t>
      </w:r>
      <w:r>
        <w:rPr>
          <w:rFonts w:eastAsia="仿宋_GB2312"/>
          <w:color w:val="auto"/>
          <w:sz w:val="28"/>
          <w:szCs w:val="28"/>
          <w:highlight w:val="none"/>
        </w:rPr>
        <w:t>个采暖期、供冷期；</w:t>
      </w:r>
    </w:p>
    <w:p w14:paraId="322C29AB">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6</w:t>
      </w:r>
      <w:r>
        <w:rPr>
          <w:rFonts w:hint="eastAsia" w:ascii="仿宋_GB2312" w:eastAsia="仿宋_GB2312"/>
          <w:color w:val="auto"/>
          <w:sz w:val="28"/>
          <w:szCs w:val="28"/>
          <w:highlight w:val="none"/>
        </w:rPr>
        <w:t>．</w:t>
      </w:r>
      <w:r>
        <w:rPr>
          <w:rFonts w:eastAsia="仿宋_GB2312"/>
          <w:color w:val="auto"/>
          <w:sz w:val="28"/>
          <w:szCs w:val="28"/>
          <w:highlight w:val="none"/>
        </w:rPr>
        <w:t>住宅小区内的给排水设施、道路等配套工程为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63474CC0">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7</w:t>
      </w:r>
      <w:r>
        <w:rPr>
          <w:rFonts w:hint="eastAsia" w:ascii="仿宋_GB2312" w:eastAsia="仿宋_GB2312"/>
          <w:color w:val="auto"/>
          <w:sz w:val="28"/>
          <w:szCs w:val="28"/>
          <w:highlight w:val="none"/>
        </w:rPr>
        <w:t>．</w:t>
      </w:r>
      <w:r>
        <w:rPr>
          <w:rFonts w:eastAsia="仿宋_GB2312"/>
          <w:color w:val="auto"/>
          <w:sz w:val="28"/>
          <w:szCs w:val="28"/>
          <w:highlight w:val="none"/>
        </w:rPr>
        <w:t>其他项目保修期限约定如下：</w:t>
      </w:r>
    </w:p>
    <w:p w14:paraId="41585477">
      <w:pPr>
        <w:spacing w:line="400" w:lineRule="exact"/>
        <w:rPr>
          <w:rFonts w:eastAsia="仿宋_GB2312"/>
          <w:color w:val="auto"/>
          <w:sz w:val="28"/>
          <w:szCs w:val="28"/>
          <w:highlight w:val="none"/>
        </w:rPr>
      </w:pPr>
      <w:r>
        <w:rPr>
          <w:rFonts w:hint="eastAsia" w:eastAsia="仿宋_GB2312"/>
          <w:color w:val="auto"/>
          <w:sz w:val="28"/>
          <w:szCs w:val="28"/>
          <w:highlight w:val="none"/>
          <w:u w:val="single"/>
        </w:rPr>
        <w:t>绿化项目：园林绿化养护期一年，其他工程内容保修期为一年</w:t>
      </w:r>
      <w:r>
        <w:rPr>
          <w:rFonts w:eastAsia="仿宋_GB2312"/>
          <w:color w:val="auto"/>
          <w:sz w:val="28"/>
          <w:szCs w:val="28"/>
          <w:highlight w:val="none"/>
        </w:rPr>
        <w:t>。</w:t>
      </w:r>
    </w:p>
    <w:p w14:paraId="74AD3697">
      <w:pPr>
        <w:spacing w:line="400" w:lineRule="exact"/>
        <w:rPr>
          <w:rFonts w:eastAsia="仿宋_GB2312"/>
          <w:color w:val="auto"/>
          <w:sz w:val="28"/>
          <w:szCs w:val="28"/>
          <w:highlight w:val="none"/>
        </w:rPr>
      </w:pPr>
      <w:r>
        <w:rPr>
          <w:rFonts w:eastAsia="仿宋_GB2312"/>
          <w:color w:val="auto"/>
          <w:sz w:val="28"/>
          <w:szCs w:val="28"/>
          <w:highlight w:val="none"/>
        </w:rPr>
        <w:t>　　质量保修期自工程竣工验收合格之日起计算。</w:t>
      </w:r>
    </w:p>
    <w:p w14:paraId="34142522">
      <w:pPr>
        <w:spacing w:line="400" w:lineRule="exact"/>
        <w:ind w:firstLine="560" w:firstLineChars="200"/>
        <w:rPr>
          <w:rFonts w:eastAsia="黑体"/>
          <w:color w:val="auto"/>
          <w:sz w:val="28"/>
          <w:szCs w:val="28"/>
          <w:highlight w:val="none"/>
        </w:rPr>
      </w:pPr>
      <w:r>
        <w:rPr>
          <w:rFonts w:eastAsia="黑体"/>
          <w:color w:val="auto"/>
          <w:sz w:val="28"/>
          <w:szCs w:val="28"/>
          <w:highlight w:val="none"/>
        </w:rPr>
        <w:t>三、缺陷责任期</w:t>
      </w:r>
    </w:p>
    <w:p w14:paraId="03E160F2">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工程缺陷责任期为</w:t>
      </w:r>
      <w:r>
        <w:rPr>
          <w:rFonts w:hint="eastAsia" w:eastAsia="仿宋_GB2312"/>
          <w:color w:val="auto"/>
          <w:sz w:val="28"/>
          <w:szCs w:val="28"/>
          <w:highlight w:val="none"/>
          <w:u w:val="single"/>
        </w:rPr>
        <w:t>24</w:t>
      </w:r>
      <w:r>
        <w:rPr>
          <w:rFonts w:eastAsia="仿宋_GB2312"/>
          <w:color w:val="auto"/>
          <w:sz w:val="28"/>
          <w:szCs w:val="28"/>
          <w:highlight w:val="none"/>
        </w:rPr>
        <w:t>个月，缺陷责任期自</w:t>
      </w:r>
      <w:r>
        <w:rPr>
          <w:rFonts w:hint="eastAsia" w:eastAsia="仿宋_GB2312"/>
          <w:color w:val="auto"/>
          <w:sz w:val="28"/>
          <w:szCs w:val="28"/>
          <w:highlight w:val="none"/>
        </w:rPr>
        <w:t>工程竣工验收合格之日</w:t>
      </w:r>
      <w:r>
        <w:rPr>
          <w:rFonts w:eastAsia="仿宋_GB2312"/>
          <w:color w:val="auto"/>
          <w:sz w:val="28"/>
          <w:szCs w:val="28"/>
          <w:highlight w:val="none"/>
        </w:rPr>
        <w:t>起计算。单位工程先于全部工程进行验收，单位工程缺陷责任期自单位工程</w:t>
      </w:r>
      <w:r>
        <w:rPr>
          <w:rFonts w:hint="eastAsia" w:eastAsia="仿宋_GB2312"/>
          <w:color w:val="auto"/>
          <w:sz w:val="28"/>
          <w:szCs w:val="28"/>
          <w:highlight w:val="none"/>
        </w:rPr>
        <w:t>验收合格之日期</w:t>
      </w:r>
      <w:r>
        <w:rPr>
          <w:rFonts w:eastAsia="仿宋_GB2312"/>
          <w:color w:val="auto"/>
          <w:sz w:val="28"/>
          <w:szCs w:val="28"/>
          <w:highlight w:val="none"/>
        </w:rPr>
        <w:t>起算。</w:t>
      </w:r>
    </w:p>
    <w:p w14:paraId="7850E459">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缺陷责任期终止后，发包人应退还剩余的质量保证金。</w:t>
      </w:r>
    </w:p>
    <w:p w14:paraId="525532A0">
      <w:pPr>
        <w:spacing w:line="400" w:lineRule="exact"/>
        <w:rPr>
          <w:rFonts w:eastAsia="黑体"/>
          <w:color w:val="auto"/>
          <w:sz w:val="28"/>
          <w:szCs w:val="28"/>
          <w:highlight w:val="none"/>
        </w:rPr>
      </w:pPr>
      <w:r>
        <w:rPr>
          <w:rFonts w:eastAsia="黑体"/>
          <w:color w:val="auto"/>
          <w:sz w:val="28"/>
          <w:szCs w:val="28"/>
          <w:highlight w:val="none"/>
        </w:rPr>
        <w:t xml:space="preserve">    四、质量保修责任</w:t>
      </w:r>
    </w:p>
    <w:p w14:paraId="29840D8D">
      <w:pPr>
        <w:spacing w:line="400" w:lineRule="exact"/>
        <w:ind w:firstLine="672" w:firstLineChars="240"/>
        <w:rPr>
          <w:rFonts w:eastAsia="仿宋_GB2312"/>
          <w:color w:val="auto"/>
          <w:sz w:val="28"/>
          <w:szCs w:val="28"/>
          <w:highlight w:val="none"/>
        </w:rPr>
      </w:pPr>
      <w:r>
        <w:rPr>
          <w:rFonts w:hint="eastAsia" w:eastAsia="仿宋_GB2312"/>
          <w:color w:val="auto"/>
          <w:sz w:val="28"/>
          <w:szCs w:val="28"/>
          <w:highlight w:val="none"/>
        </w:rPr>
        <w:t>1</w:t>
      </w:r>
      <w:r>
        <w:rPr>
          <w:rFonts w:hint="eastAsia" w:ascii="仿宋_GB2312" w:eastAsia="仿宋_GB2312"/>
          <w:color w:val="auto"/>
          <w:sz w:val="28"/>
          <w:szCs w:val="28"/>
          <w:highlight w:val="none"/>
        </w:rPr>
        <w:t>．</w:t>
      </w:r>
      <w:r>
        <w:rPr>
          <w:rFonts w:eastAsia="仿宋_GB2312"/>
          <w:color w:val="auto"/>
          <w:sz w:val="28"/>
          <w:szCs w:val="28"/>
          <w:highlight w:val="none"/>
        </w:rPr>
        <w:t>属于保修范围、内容的项目，承包人应当在接到保修通知之日起7天内派人保修。承包人不在约定期限内派人保修的，发包人可以委托他人修理。</w:t>
      </w:r>
    </w:p>
    <w:p w14:paraId="4A08A381">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发生紧急事故需抢修的，承包人在接到事故通知后，应当立即到达事故现场抢修。</w:t>
      </w:r>
    </w:p>
    <w:p w14:paraId="48755811">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C05399">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质量保修完成后，由发包人组织验收。</w:t>
      </w:r>
    </w:p>
    <w:p w14:paraId="65540319">
      <w:pPr>
        <w:spacing w:line="400" w:lineRule="exact"/>
        <w:rPr>
          <w:rFonts w:eastAsia="黑体"/>
          <w:color w:val="auto"/>
          <w:sz w:val="28"/>
          <w:szCs w:val="28"/>
          <w:highlight w:val="none"/>
        </w:rPr>
      </w:pPr>
      <w:r>
        <w:rPr>
          <w:rFonts w:eastAsia="黑体"/>
          <w:color w:val="auto"/>
          <w:sz w:val="28"/>
          <w:szCs w:val="28"/>
          <w:highlight w:val="none"/>
        </w:rPr>
        <w:t>　　五、保修费用</w:t>
      </w:r>
    </w:p>
    <w:p w14:paraId="6307D336">
      <w:pPr>
        <w:spacing w:line="400" w:lineRule="exact"/>
        <w:rPr>
          <w:rFonts w:eastAsia="仿宋_GB2312"/>
          <w:color w:val="auto"/>
          <w:sz w:val="28"/>
          <w:szCs w:val="28"/>
          <w:highlight w:val="none"/>
        </w:rPr>
      </w:pPr>
      <w:r>
        <w:rPr>
          <w:rFonts w:eastAsia="仿宋_GB2312"/>
          <w:color w:val="auto"/>
          <w:sz w:val="28"/>
          <w:szCs w:val="28"/>
          <w:highlight w:val="none"/>
        </w:rPr>
        <w:t>　　保修费用由造成质量缺陷的责任方承担。</w:t>
      </w:r>
    </w:p>
    <w:p w14:paraId="3E3EA57F">
      <w:pPr>
        <w:spacing w:line="400" w:lineRule="exact"/>
        <w:ind w:firstLine="600"/>
        <w:rPr>
          <w:rFonts w:eastAsia="仿宋_GB2312"/>
          <w:color w:val="auto"/>
          <w:sz w:val="28"/>
          <w:szCs w:val="28"/>
          <w:highlight w:val="none"/>
          <w:u w:val="single"/>
        </w:rPr>
      </w:pPr>
      <w:r>
        <w:rPr>
          <w:rFonts w:eastAsia="黑体"/>
          <w:b/>
          <w:color w:val="auto"/>
          <w:sz w:val="28"/>
          <w:szCs w:val="28"/>
          <w:highlight w:val="none"/>
        </w:rPr>
        <w:t>六</w:t>
      </w:r>
      <w:r>
        <w:rPr>
          <w:rFonts w:eastAsia="黑体"/>
          <w:color w:val="auto"/>
          <w:sz w:val="28"/>
          <w:szCs w:val="28"/>
          <w:highlight w:val="none"/>
        </w:rPr>
        <w:t>、双方约定的其他工程质量保修事项</w:t>
      </w:r>
      <w:r>
        <w:rPr>
          <w:rFonts w:eastAsia="仿宋_GB2312"/>
          <w:color w:val="auto"/>
          <w:sz w:val="28"/>
          <w:szCs w:val="28"/>
          <w:highlight w:val="none"/>
        </w:rPr>
        <w:t>：</w:t>
      </w:r>
      <w:r>
        <w:rPr>
          <w:rFonts w:hint="eastAsia" w:eastAsia="仿宋_GB2312"/>
          <w:color w:val="auto"/>
          <w:sz w:val="28"/>
          <w:szCs w:val="28"/>
          <w:highlight w:val="none"/>
          <w:u w:val="single"/>
        </w:rPr>
        <w:t>/</w:t>
      </w:r>
    </w:p>
    <w:p w14:paraId="045FBBAD">
      <w:pPr>
        <w:spacing w:line="400" w:lineRule="exact"/>
        <w:rPr>
          <w:rFonts w:eastAsia="仿宋_GB2312"/>
          <w:color w:val="auto"/>
          <w:sz w:val="28"/>
          <w:szCs w:val="28"/>
          <w:highlight w:val="none"/>
        </w:rPr>
      </w:pPr>
      <w:r>
        <w:rPr>
          <w:rFonts w:eastAsia="仿宋_GB2312"/>
          <w:color w:val="auto"/>
          <w:sz w:val="28"/>
          <w:szCs w:val="28"/>
          <w:highlight w:val="none"/>
        </w:rPr>
        <w:t>。</w:t>
      </w:r>
    </w:p>
    <w:p w14:paraId="67AF9AB6">
      <w:pPr>
        <w:spacing w:line="400" w:lineRule="exact"/>
        <w:ind w:firstLine="532" w:firstLineChars="190"/>
        <w:rPr>
          <w:rFonts w:eastAsia="仿宋_GB2312"/>
          <w:color w:val="auto"/>
          <w:sz w:val="28"/>
          <w:szCs w:val="28"/>
          <w:highlight w:val="none"/>
        </w:rPr>
      </w:pPr>
      <w:r>
        <w:rPr>
          <w:rFonts w:eastAsia="仿宋_GB2312"/>
          <w:color w:val="auto"/>
          <w:sz w:val="28"/>
          <w:szCs w:val="28"/>
          <w:highlight w:val="none"/>
        </w:rPr>
        <w:t>工程质量保修书由发包人、承包人在工程竣工验收前共同签署，作为施工合同附件，其有效期限至保修期满。</w:t>
      </w:r>
    </w:p>
    <w:p w14:paraId="56CF212A">
      <w:pPr>
        <w:spacing w:line="400" w:lineRule="exact"/>
        <w:ind w:firstLine="420"/>
        <w:rPr>
          <w:rFonts w:eastAsia="仿宋_GB2312"/>
          <w:color w:val="auto"/>
          <w:sz w:val="28"/>
          <w:szCs w:val="28"/>
          <w:highlight w:val="none"/>
        </w:rPr>
      </w:pPr>
    </w:p>
    <w:p w14:paraId="63383B6C">
      <w:pPr>
        <w:spacing w:line="400" w:lineRule="exact"/>
        <w:rPr>
          <w:rFonts w:eastAsia="仿宋_GB2312"/>
          <w:color w:val="auto"/>
          <w:sz w:val="28"/>
          <w:szCs w:val="28"/>
          <w:highlight w:val="none"/>
        </w:rPr>
      </w:pPr>
      <w:r>
        <w:rPr>
          <w:rFonts w:eastAsia="仿宋_GB2312"/>
          <w:color w:val="auto"/>
          <w:sz w:val="28"/>
          <w:szCs w:val="28"/>
          <w:highlight w:val="none"/>
        </w:rPr>
        <w:t>发包人(公章)：</w:t>
      </w:r>
      <w:r>
        <w:rPr>
          <w:rFonts w:eastAsia="仿宋_GB2312"/>
          <w:color w:val="auto"/>
          <w:sz w:val="28"/>
          <w:szCs w:val="28"/>
          <w:highlight w:val="none"/>
          <w:u w:val="single"/>
        </w:rPr>
        <w:t xml:space="preserve">        </w:t>
      </w:r>
      <w:r>
        <w:rPr>
          <w:rFonts w:eastAsia="仿宋_GB2312"/>
          <w:color w:val="auto"/>
          <w:sz w:val="28"/>
          <w:szCs w:val="28"/>
          <w:highlight w:val="none"/>
        </w:rPr>
        <w:t xml:space="preserve"> 承包人(公章)：</w:t>
      </w:r>
      <w:r>
        <w:rPr>
          <w:rFonts w:eastAsia="仿宋_GB2312"/>
          <w:color w:val="auto"/>
          <w:sz w:val="28"/>
          <w:szCs w:val="28"/>
          <w:highlight w:val="none"/>
          <w:u w:val="single"/>
        </w:rPr>
        <w:t xml:space="preserve"> </w:t>
      </w:r>
    </w:p>
    <w:p w14:paraId="7F4C7F0A">
      <w:pPr>
        <w:spacing w:line="400" w:lineRule="exact"/>
        <w:rPr>
          <w:rFonts w:eastAsia="仿宋_GB2312"/>
          <w:color w:val="auto"/>
          <w:sz w:val="28"/>
          <w:szCs w:val="28"/>
          <w:highlight w:val="none"/>
        </w:rPr>
      </w:pPr>
      <w:r>
        <w:rPr>
          <w:rFonts w:eastAsia="仿宋_GB2312"/>
          <w:color w:val="auto"/>
          <w:sz w:val="28"/>
          <w:szCs w:val="28"/>
          <w:highlight w:val="none"/>
        </w:rPr>
        <w:t>地  址：</w:t>
      </w:r>
      <w:r>
        <w:rPr>
          <w:rFonts w:eastAsia="仿宋_GB2312"/>
          <w:color w:val="auto"/>
          <w:sz w:val="28"/>
          <w:szCs w:val="28"/>
          <w:highlight w:val="none"/>
          <w:u w:val="single"/>
        </w:rPr>
        <w:t xml:space="preserve">     </w:t>
      </w:r>
      <w:r>
        <w:rPr>
          <w:rFonts w:eastAsia="仿宋_GB2312"/>
          <w:color w:val="auto"/>
          <w:sz w:val="28"/>
          <w:szCs w:val="28"/>
          <w:highlight w:val="none"/>
        </w:rPr>
        <w:t>地  址：</w:t>
      </w:r>
      <w:r>
        <w:rPr>
          <w:rFonts w:eastAsia="仿宋_GB2312"/>
          <w:color w:val="auto"/>
          <w:sz w:val="28"/>
          <w:szCs w:val="28"/>
          <w:highlight w:val="none"/>
          <w:u w:val="single"/>
        </w:rPr>
        <w:t xml:space="preserve"> </w:t>
      </w:r>
    </w:p>
    <w:p w14:paraId="34B2968C">
      <w:pPr>
        <w:spacing w:line="400" w:lineRule="exact"/>
        <w:rPr>
          <w:rFonts w:eastAsia="仿宋_GB2312"/>
          <w:color w:val="auto"/>
          <w:sz w:val="28"/>
          <w:szCs w:val="28"/>
          <w:highlight w:val="none"/>
        </w:rPr>
      </w:pPr>
      <w:r>
        <w:rPr>
          <w:rFonts w:eastAsia="仿宋_GB2312"/>
          <w:color w:val="auto"/>
          <w:sz w:val="28"/>
          <w:szCs w:val="28"/>
          <w:highlight w:val="none"/>
        </w:rPr>
        <w:t>法定代表人(签字)：</w:t>
      </w:r>
      <w:r>
        <w:rPr>
          <w:rFonts w:eastAsia="仿宋_GB2312"/>
          <w:color w:val="auto"/>
          <w:sz w:val="28"/>
          <w:szCs w:val="28"/>
          <w:highlight w:val="none"/>
          <w:u w:val="single"/>
        </w:rPr>
        <w:t></w:t>
      </w:r>
      <w:r>
        <w:rPr>
          <w:rFonts w:eastAsia="仿宋_GB2312"/>
          <w:color w:val="auto"/>
          <w:sz w:val="28"/>
          <w:szCs w:val="28"/>
          <w:highlight w:val="none"/>
        </w:rPr>
        <w:t xml:space="preserve"> 法定代表人(签字)：</w:t>
      </w:r>
      <w:r>
        <w:rPr>
          <w:rFonts w:eastAsia="仿宋_GB2312"/>
          <w:color w:val="auto"/>
          <w:sz w:val="28"/>
          <w:szCs w:val="28"/>
          <w:highlight w:val="none"/>
          <w:u w:val="single"/>
        </w:rPr>
        <w:t></w:t>
      </w:r>
    </w:p>
    <w:p w14:paraId="424652B3">
      <w:pPr>
        <w:spacing w:line="400" w:lineRule="exact"/>
        <w:rPr>
          <w:rFonts w:eastAsia="仿宋_GB2312"/>
          <w:color w:val="auto"/>
          <w:sz w:val="28"/>
          <w:szCs w:val="28"/>
          <w:highlight w:val="none"/>
        </w:rPr>
      </w:pPr>
      <w:r>
        <w:rPr>
          <w:rFonts w:eastAsia="仿宋_GB2312"/>
          <w:color w:val="auto"/>
          <w:sz w:val="28"/>
          <w:szCs w:val="28"/>
          <w:highlight w:val="none"/>
        </w:rPr>
        <w:t>委托代理人(签字)：</w:t>
      </w:r>
      <w:r>
        <w:rPr>
          <w:rFonts w:eastAsia="仿宋_GB2312"/>
          <w:color w:val="auto"/>
          <w:sz w:val="28"/>
          <w:szCs w:val="28"/>
          <w:highlight w:val="none"/>
          <w:u w:val="single"/>
        </w:rPr>
        <w:t xml:space="preserve">      </w:t>
      </w:r>
      <w:r>
        <w:rPr>
          <w:rFonts w:eastAsia="仿宋_GB2312"/>
          <w:color w:val="auto"/>
          <w:sz w:val="28"/>
          <w:szCs w:val="28"/>
          <w:highlight w:val="none"/>
        </w:rPr>
        <w:t xml:space="preserve"> 委托代理人(签字)：</w:t>
      </w:r>
      <w:r>
        <w:rPr>
          <w:rFonts w:eastAsia="仿宋_GB2312"/>
          <w:color w:val="auto"/>
          <w:sz w:val="28"/>
          <w:szCs w:val="28"/>
          <w:highlight w:val="none"/>
          <w:u w:val="single"/>
        </w:rPr>
        <w:t xml:space="preserve">  </w:t>
      </w:r>
    </w:p>
    <w:p w14:paraId="1EDF6EB4">
      <w:pPr>
        <w:spacing w:line="400" w:lineRule="exact"/>
        <w:rPr>
          <w:rFonts w:eastAsia="仿宋_GB2312"/>
          <w:color w:val="auto"/>
          <w:sz w:val="28"/>
          <w:szCs w:val="28"/>
          <w:highlight w:val="none"/>
        </w:rPr>
      </w:pPr>
      <w:r>
        <w:rPr>
          <w:rFonts w:eastAsia="仿宋_GB2312"/>
          <w:color w:val="auto"/>
          <w:sz w:val="28"/>
          <w:szCs w:val="28"/>
          <w:highlight w:val="none"/>
        </w:rPr>
        <w:t>电  话：</w:t>
      </w:r>
      <w:r>
        <w:rPr>
          <w:rFonts w:eastAsia="仿宋_GB2312"/>
          <w:color w:val="auto"/>
          <w:sz w:val="28"/>
          <w:szCs w:val="28"/>
          <w:highlight w:val="none"/>
          <w:u w:val="single"/>
        </w:rPr>
        <w:t xml:space="preserve">   </w:t>
      </w:r>
      <w:r>
        <w:rPr>
          <w:rFonts w:eastAsia="仿宋_GB2312"/>
          <w:color w:val="auto"/>
          <w:sz w:val="28"/>
          <w:szCs w:val="28"/>
          <w:highlight w:val="none"/>
        </w:rPr>
        <w:t xml:space="preserve"> 电  话：</w:t>
      </w:r>
      <w:r>
        <w:rPr>
          <w:rFonts w:eastAsia="仿宋_GB2312"/>
          <w:color w:val="auto"/>
          <w:sz w:val="28"/>
          <w:szCs w:val="28"/>
          <w:highlight w:val="none"/>
          <w:u w:val="single"/>
        </w:rPr>
        <w:t></w:t>
      </w:r>
    </w:p>
    <w:p w14:paraId="7CA6A26A">
      <w:pPr>
        <w:spacing w:line="400" w:lineRule="exact"/>
        <w:rPr>
          <w:rFonts w:eastAsia="仿宋_GB2312"/>
          <w:color w:val="auto"/>
          <w:sz w:val="28"/>
          <w:szCs w:val="28"/>
          <w:highlight w:val="none"/>
        </w:rPr>
      </w:pPr>
      <w:r>
        <w:rPr>
          <w:rFonts w:eastAsia="仿宋_GB2312"/>
          <w:color w:val="auto"/>
          <w:sz w:val="28"/>
          <w:szCs w:val="28"/>
          <w:highlight w:val="none"/>
        </w:rPr>
        <w:t>传  真：</w:t>
      </w:r>
      <w:r>
        <w:rPr>
          <w:rFonts w:eastAsia="仿宋_GB2312"/>
          <w:color w:val="auto"/>
          <w:sz w:val="28"/>
          <w:szCs w:val="28"/>
          <w:highlight w:val="none"/>
          <w:u w:val="single"/>
        </w:rPr>
        <w:t xml:space="preserve">   </w:t>
      </w:r>
      <w:r>
        <w:rPr>
          <w:rFonts w:eastAsia="仿宋_GB2312"/>
          <w:color w:val="auto"/>
          <w:sz w:val="28"/>
          <w:szCs w:val="28"/>
          <w:highlight w:val="none"/>
        </w:rPr>
        <w:t xml:space="preserve"> 传  真：</w:t>
      </w:r>
      <w:r>
        <w:rPr>
          <w:rFonts w:eastAsia="仿宋_GB2312"/>
          <w:color w:val="auto"/>
          <w:sz w:val="28"/>
          <w:szCs w:val="28"/>
          <w:highlight w:val="none"/>
          <w:u w:val="single"/>
        </w:rPr>
        <w:t xml:space="preserve">   </w:t>
      </w:r>
    </w:p>
    <w:p w14:paraId="1FB1B119">
      <w:pPr>
        <w:spacing w:line="400" w:lineRule="exact"/>
        <w:rPr>
          <w:rFonts w:eastAsia="仿宋_GB2312"/>
          <w:color w:val="auto"/>
          <w:sz w:val="28"/>
          <w:szCs w:val="28"/>
          <w:highlight w:val="none"/>
        </w:rPr>
      </w:pPr>
      <w:r>
        <w:rPr>
          <w:rFonts w:eastAsia="仿宋_GB2312"/>
          <w:color w:val="auto"/>
          <w:sz w:val="28"/>
          <w:szCs w:val="28"/>
          <w:highlight w:val="none"/>
        </w:rPr>
        <w:t>开户银行：</w:t>
      </w:r>
      <w:r>
        <w:rPr>
          <w:rFonts w:eastAsia="仿宋_GB2312"/>
          <w:color w:val="auto"/>
          <w:sz w:val="28"/>
          <w:szCs w:val="28"/>
          <w:highlight w:val="none"/>
          <w:u w:val="single"/>
        </w:rPr>
        <w:t xml:space="preserve">   </w:t>
      </w:r>
      <w:r>
        <w:rPr>
          <w:rFonts w:eastAsia="仿宋_GB2312"/>
          <w:color w:val="auto"/>
          <w:sz w:val="28"/>
          <w:szCs w:val="28"/>
          <w:highlight w:val="none"/>
        </w:rPr>
        <w:t xml:space="preserve"> 开户银行：</w:t>
      </w:r>
      <w:r>
        <w:rPr>
          <w:rFonts w:eastAsia="仿宋_GB2312"/>
          <w:color w:val="auto"/>
          <w:sz w:val="28"/>
          <w:szCs w:val="28"/>
          <w:highlight w:val="none"/>
          <w:u w:val="single"/>
        </w:rPr>
        <w:t xml:space="preserve">   </w:t>
      </w:r>
    </w:p>
    <w:p w14:paraId="7EE3D7D5">
      <w:pPr>
        <w:spacing w:line="400" w:lineRule="exact"/>
        <w:rPr>
          <w:rFonts w:eastAsia="仿宋_GB2312"/>
          <w:color w:val="auto"/>
          <w:sz w:val="28"/>
          <w:szCs w:val="28"/>
          <w:highlight w:val="none"/>
        </w:rPr>
      </w:pPr>
      <w:r>
        <w:rPr>
          <w:rFonts w:eastAsia="仿宋_GB2312"/>
          <w:color w:val="auto"/>
          <w:sz w:val="28"/>
          <w:szCs w:val="28"/>
          <w:highlight w:val="none"/>
        </w:rPr>
        <w:t>账  号：</w:t>
      </w:r>
      <w:r>
        <w:rPr>
          <w:rFonts w:eastAsia="仿宋_GB2312"/>
          <w:color w:val="auto"/>
          <w:sz w:val="28"/>
          <w:szCs w:val="28"/>
          <w:highlight w:val="none"/>
          <w:u w:val="single"/>
        </w:rPr>
        <w:t xml:space="preserve">       </w:t>
      </w:r>
      <w:r>
        <w:rPr>
          <w:rFonts w:eastAsia="仿宋_GB2312"/>
          <w:color w:val="auto"/>
          <w:sz w:val="28"/>
          <w:szCs w:val="28"/>
          <w:highlight w:val="none"/>
        </w:rPr>
        <w:t>账 号：</w:t>
      </w:r>
      <w:r>
        <w:rPr>
          <w:rFonts w:eastAsia="仿宋_GB2312"/>
          <w:color w:val="auto"/>
          <w:sz w:val="28"/>
          <w:szCs w:val="28"/>
          <w:highlight w:val="none"/>
          <w:u w:val="single"/>
        </w:rPr>
        <w:t></w:t>
      </w:r>
    </w:p>
    <w:p w14:paraId="05DBF8B9">
      <w:pPr>
        <w:spacing w:line="400" w:lineRule="exact"/>
        <w:rPr>
          <w:rFonts w:eastAsia="仿宋_GB2312"/>
          <w:color w:val="auto"/>
          <w:sz w:val="28"/>
          <w:szCs w:val="28"/>
          <w:highlight w:val="none"/>
        </w:rPr>
      </w:pPr>
      <w:r>
        <w:rPr>
          <w:rFonts w:eastAsia="仿宋_GB2312"/>
          <w:color w:val="auto"/>
          <w:sz w:val="28"/>
          <w:szCs w:val="28"/>
          <w:highlight w:val="none"/>
        </w:rPr>
        <w:t>邮政编码：</w:t>
      </w:r>
      <w:r>
        <w:rPr>
          <w:rFonts w:eastAsia="仿宋_GB2312"/>
          <w:color w:val="auto"/>
          <w:sz w:val="28"/>
          <w:szCs w:val="28"/>
          <w:highlight w:val="none"/>
          <w:u w:val="single"/>
        </w:rPr>
        <w:t xml:space="preserve">     </w:t>
      </w:r>
      <w:r>
        <w:rPr>
          <w:rFonts w:eastAsia="仿宋_GB2312"/>
          <w:color w:val="auto"/>
          <w:sz w:val="28"/>
          <w:szCs w:val="28"/>
          <w:highlight w:val="none"/>
        </w:rPr>
        <w:t xml:space="preserve"> 邮政编码：</w:t>
      </w:r>
      <w:r>
        <w:rPr>
          <w:rFonts w:eastAsia="仿宋_GB2312"/>
          <w:color w:val="auto"/>
          <w:sz w:val="28"/>
          <w:szCs w:val="28"/>
          <w:highlight w:val="none"/>
          <w:u w:val="single"/>
        </w:rPr>
        <w:t xml:space="preserve">   </w:t>
      </w:r>
    </w:p>
    <w:p w14:paraId="62E18BE0">
      <w:pPr>
        <w:spacing w:line="440" w:lineRule="exact"/>
        <w:rPr>
          <w:rFonts w:eastAsia="黑体"/>
          <w:color w:val="auto"/>
          <w:sz w:val="28"/>
          <w:szCs w:val="28"/>
          <w:highlight w:val="none"/>
        </w:rPr>
      </w:pPr>
      <w:r>
        <w:rPr>
          <w:rFonts w:eastAsia="仿宋_GB2312"/>
          <w:b/>
          <w:color w:val="auto"/>
          <w:sz w:val="28"/>
          <w:szCs w:val="28"/>
          <w:highlight w:val="none"/>
        </w:rPr>
        <w:br w:type="page"/>
      </w:r>
      <w:r>
        <w:rPr>
          <w:rFonts w:hint="eastAsia" w:eastAsia="仿宋_GB2312"/>
          <w:color w:val="auto"/>
          <w:sz w:val="28"/>
          <w:szCs w:val="28"/>
          <w:highlight w:val="none"/>
        </w:rPr>
        <w:t>附</w:t>
      </w:r>
      <w:bookmarkStart w:id="1010" w:name="_Toc296944567"/>
      <w:bookmarkStart w:id="1011" w:name="_Toc296891268"/>
      <w:bookmarkStart w:id="1012" w:name="_Toc296347227"/>
      <w:bookmarkStart w:id="1013" w:name="_Toc296346729"/>
      <w:bookmarkStart w:id="1014" w:name="_Toc296891056"/>
      <w:bookmarkStart w:id="1015" w:name="_Toc296503228"/>
      <w:bookmarkStart w:id="1016" w:name="_Toc267261699"/>
      <w:r>
        <w:rPr>
          <w:rFonts w:hint="eastAsia" w:eastAsia="仿宋_GB2312"/>
          <w:color w:val="auto"/>
          <w:sz w:val="28"/>
          <w:szCs w:val="28"/>
          <w:highlight w:val="none"/>
        </w:rPr>
        <w:t>件3：</w:t>
      </w:r>
    </w:p>
    <w:bookmarkEnd w:id="1010"/>
    <w:bookmarkEnd w:id="1011"/>
    <w:bookmarkEnd w:id="1012"/>
    <w:bookmarkEnd w:id="1013"/>
    <w:bookmarkEnd w:id="1014"/>
    <w:bookmarkEnd w:id="1015"/>
    <w:bookmarkEnd w:id="1016"/>
    <w:p w14:paraId="01BFF2D6">
      <w:pPr>
        <w:spacing w:before="120" w:beforeLines="50" w:after="120" w:afterLines="50" w:line="440" w:lineRule="exact"/>
        <w:jc w:val="center"/>
        <w:rPr>
          <w:rFonts w:eastAsia="黑体"/>
          <w:color w:val="auto"/>
          <w:sz w:val="28"/>
          <w:szCs w:val="28"/>
          <w:highlight w:val="none"/>
        </w:rPr>
      </w:pPr>
      <w:r>
        <w:rPr>
          <w:rFonts w:hint="eastAsia" w:eastAsia="黑体"/>
          <w:color w:val="auto"/>
          <w:sz w:val="28"/>
          <w:szCs w:val="28"/>
          <w:highlight w:val="none"/>
        </w:rPr>
        <w:t>承包人主要施工管理人员表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7471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BD3A2C8">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名称</w:t>
            </w:r>
          </w:p>
        </w:tc>
        <w:tc>
          <w:tcPr>
            <w:tcW w:w="1418" w:type="dxa"/>
            <w:tcBorders>
              <w:top w:val="single" w:color="auto" w:sz="12" w:space="0"/>
              <w:bottom w:val="double" w:color="auto" w:sz="6" w:space="0"/>
            </w:tcBorders>
            <w:vAlign w:val="center"/>
          </w:tcPr>
          <w:p w14:paraId="41189E7C">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姓名</w:t>
            </w:r>
          </w:p>
        </w:tc>
        <w:tc>
          <w:tcPr>
            <w:tcW w:w="1134" w:type="dxa"/>
            <w:tcBorders>
              <w:top w:val="single" w:color="auto" w:sz="12" w:space="0"/>
              <w:bottom w:val="double" w:color="auto" w:sz="6" w:space="0"/>
            </w:tcBorders>
            <w:vAlign w:val="center"/>
          </w:tcPr>
          <w:p w14:paraId="6884E4FE">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职务</w:t>
            </w:r>
          </w:p>
        </w:tc>
        <w:tc>
          <w:tcPr>
            <w:tcW w:w="1134" w:type="dxa"/>
            <w:tcBorders>
              <w:top w:val="single" w:color="auto" w:sz="12" w:space="0"/>
              <w:bottom w:val="double" w:color="auto" w:sz="6" w:space="0"/>
            </w:tcBorders>
            <w:vAlign w:val="center"/>
          </w:tcPr>
          <w:p w14:paraId="4D51DE55">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职称</w:t>
            </w:r>
          </w:p>
        </w:tc>
        <w:tc>
          <w:tcPr>
            <w:tcW w:w="4252" w:type="dxa"/>
            <w:tcBorders>
              <w:top w:val="single" w:color="auto" w:sz="12" w:space="0"/>
              <w:bottom w:val="double" w:color="auto" w:sz="6" w:space="0"/>
            </w:tcBorders>
            <w:vAlign w:val="center"/>
          </w:tcPr>
          <w:p w14:paraId="58CB3898">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主要资历、经验及承担过的项目</w:t>
            </w:r>
          </w:p>
        </w:tc>
      </w:tr>
      <w:tr w14:paraId="4FD7F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D62515B">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一、总部人员</w:t>
            </w:r>
          </w:p>
        </w:tc>
      </w:tr>
      <w:tr w14:paraId="1F17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20A3A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项目主管</w:t>
            </w:r>
          </w:p>
        </w:tc>
        <w:tc>
          <w:tcPr>
            <w:tcW w:w="1418" w:type="dxa"/>
            <w:tcBorders>
              <w:top w:val="nil"/>
            </w:tcBorders>
            <w:vAlign w:val="center"/>
          </w:tcPr>
          <w:p w14:paraId="4131EB7F">
            <w:pPr>
              <w:pStyle w:val="3"/>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33242DB8">
            <w:pPr>
              <w:pStyle w:val="3"/>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0DFAC9BB">
            <w:pPr>
              <w:pStyle w:val="3"/>
              <w:keepNext/>
              <w:spacing w:line="440" w:lineRule="exact"/>
              <w:ind w:left="66" w:right="66"/>
              <w:rPr>
                <w:rFonts w:eastAsia="仿宋_GB2312"/>
                <w:color w:val="auto"/>
                <w:sz w:val="28"/>
                <w:szCs w:val="28"/>
                <w:highlight w:val="none"/>
                <w:lang w:val="en-US"/>
              </w:rPr>
            </w:pPr>
          </w:p>
        </w:tc>
        <w:tc>
          <w:tcPr>
            <w:tcW w:w="4252" w:type="dxa"/>
            <w:tcBorders>
              <w:top w:val="nil"/>
            </w:tcBorders>
            <w:vAlign w:val="center"/>
          </w:tcPr>
          <w:p w14:paraId="6919D543">
            <w:pPr>
              <w:pStyle w:val="3"/>
              <w:keepNext/>
              <w:spacing w:line="440" w:lineRule="exact"/>
              <w:ind w:left="66" w:right="66"/>
              <w:rPr>
                <w:rFonts w:eastAsia="仿宋_GB2312"/>
                <w:color w:val="auto"/>
                <w:sz w:val="28"/>
                <w:szCs w:val="28"/>
                <w:highlight w:val="none"/>
                <w:lang w:val="en-US"/>
              </w:rPr>
            </w:pPr>
          </w:p>
        </w:tc>
      </w:tr>
      <w:tr w14:paraId="5DFC3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5BD9BAF7">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4AE6897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93598F8">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83A0EAD">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1651DF9D">
            <w:pPr>
              <w:pStyle w:val="3"/>
              <w:keepNext/>
              <w:spacing w:line="440" w:lineRule="exact"/>
              <w:ind w:left="66" w:right="66"/>
              <w:rPr>
                <w:rFonts w:eastAsia="仿宋_GB2312"/>
                <w:color w:val="auto"/>
                <w:sz w:val="28"/>
                <w:szCs w:val="28"/>
                <w:highlight w:val="none"/>
                <w:lang w:val="en-US"/>
              </w:rPr>
            </w:pPr>
          </w:p>
        </w:tc>
      </w:tr>
      <w:tr w14:paraId="6924E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012E4CC">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5FE042F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97519C7">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C6AB54B">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4B9DB76">
            <w:pPr>
              <w:pStyle w:val="3"/>
              <w:keepNext/>
              <w:spacing w:line="440" w:lineRule="exact"/>
              <w:ind w:left="66" w:right="66"/>
              <w:rPr>
                <w:rFonts w:eastAsia="仿宋_GB2312"/>
                <w:color w:val="auto"/>
                <w:sz w:val="28"/>
                <w:szCs w:val="28"/>
                <w:highlight w:val="none"/>
                <w:lang w:val="en-US"/>
              </w:rPr>
            </w:pPr>
          </w:p>
        </w:tc>
      </w:tr>
      <w:tr w14:paraId="599F1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912113A">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552BBD27">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A046E44">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706EC29">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F9EC959">
            <w:pPr>
              <w:pStyle w:val="3"/>
              <w:keepNext/>
              <w:spacing w:line="440" w:lineRule="exact"/>
              <w:ind w:left="66" w:right="66"/>
              <w:rPr>
                <w:rFonts w:eastAsia="仿宋_GB2312"/>
                <w:color w:val="auto"/>
                <w:sz w:val="28"/>
                <w:szCs w:val="28"/>
                <w:highlight w:val="none"/>
                <w:lang w:val="en-US"/>
              </w:rPr>
            </w:pPr>
          </w:p>
        </w:tc>
      </w:tr>
      <w:tr w14:paraId="623ED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7389F2A">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二、现场人员</w:t>
            </w:r>
          </w:p>
        </w:tc>
      </w:tr>
      <w:tr w14:paraId="4CFF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0107323">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项目经理</w:t>
            </w:r>
          </w:p>
        </w:tc>
        <w:tc>
          <w:tcPr>
            <w:tcW w:w="1418" w:type="dxa"/>
            <w:vAlign w:val="center"/>
          </w:tcPr>
          <w:p w14:paraId="321DDBC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E8662B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44863AD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6C8BDF3C">
            <w:pPr>
              <w:pStyle w:val="3"/>
              <w:keepNext/>
              <w:spacing w:line="440" w:lineRule="exact"/>
              <w:ind w:left="66" w:right="66"/>
              <w:rPr>
                <w:rFonts w:eastAsia="仿宋_GB2312"/>
                <w:color w:val="auto"/>
                <w:sz w:val="28"/>
                <w:szCs w:val="28"/>
                <w:highlight w:val="none"/>
                <w:lang w:val="en-US"/>
              </w:rPr>
            </w:pPr>
          </w:p>
        </w:tc>
      </w:tr>
      <w:tr w14:paraId="24CC6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FBB2239">
            <w:pPr>
              <w:pStyle w:val="3"/>
              <w:keepNext/>
              <w:spacing w:line="440" w:lineRule="exact"/>
              <w:ind w:left="66" w:right="66"/>
              <w:rPr>
                <w:rFonts w:eastAsia="仿宋_GB2312"/>
                <w:strike/>
                <w:color w:val="auto"/>
                <w:sz w:val="28"/>
                <w:szCs w:val="28"/>
                <w:highlight w:val="none"/>
                <w:lang w:val="en-US"/>
              </w:rPr>
            </w:pPr>
            <w:r>
              <w:rPr>
                <w:rFonts w:hint="eastAsia" w:eastAsia="仿宋_GB2312"/>
                <w:color w:val="auto"/>
                <w:sz w:val="28"/>
                <w:szCs w:val="28"/>
                <w:highlight w:val="none"/>
                <w:lang w:val="en-US"/>
              </w:rPr>
              <w:t>技术负责人</w:t>
            </w:r>
          </w:p>
        </w:tc>
        <w:tc>
          <w:tcPr>
            <w:tcW w:w="1418" w:type="dxa"/>
            <w:vAlign w:val="center"/>
          </w:tcPr>
          <w:p w14:paraId="191C9543">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896F9C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2F99B0A">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4CBDB4C2">
            <w:pPr>
              <w:pStyle w:val="3"/>
              <w:keepNext/>
              <w:spacing w:line="440" w:lineRule="exact"/>
              <w:ind w:left="66" w:right="66"/>
              <w:rPr>
                <w:rFonts w:eastAsia="仿宋_GB2312"/>
                <w:color w:val="auto"/>
                <w:sz w:val="28"/>
                <w:szCs w:val="28"/>
                <w:highlight w:val="none"/>
                <w:lang w:val="en-US"/>
              </w:rPr>
            </w:pPr>
          </w:p>
        </w:tc>
      </w:tr>
      <w:tr w14:paraId="600CD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81FEF2">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造价管理</w:t>
            </w:r>
          </w:p>
        </w:tc>
        <w:tc>
          <w:tcPr>
            <w:tcW w:w="1418" w:type="dxa"/>
            <w:vAlign w:val="center"/>
          </w:tcPr>
          <w:p w14:paraId="261E6F38">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89D80F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4D6AA5AE">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F62E58C">
            <w:pPr>
              <w:pStyle w:val="3"/>
              <w:keepNext/>
              <w:spacing w:line="440" w:lineRule="exact"/>
              <w:ind w:left="66" w:right="66"/>
              <w:rPr>
                <w:rFonts w:eastAsia="仿宋_GB2312"/>
                <w:color w:val="auto"/>
                <w:sz w:val="28"/>
                <w:szCs w:val="28"/>
                <w:highlight w:val="none"/>
                <w:lang w:val="en-US"/>
              </w:rPr>
            </w:pPr>
          </w:p>
        </w:tc>
      </w:tr>
      <w:tr w14:paraId="0D31F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898DB25">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质量员</w:t>
            </w:r>
          </w:p>
        </w:tc>
        <w:tc>
          <w:tcPr>
            <w:tcW w:w="1418" w:type="dxa"/>
            <w:vAlign w:val="center"/>
          </w:tcPr>
          <w:p w14:paraId="4B1C0E21">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E56F337">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8BD35AF">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4DC156F6">
            <w:pPr>
              <w:pStyle w:val="3"/>
              <w:keepNext/>
              <w:spacing w:line="440" w:lineRule="exact"/>
              <w:ind w:left="66" w:right="66"/>
              <w:rPr>
                <w:rFonts w:eastAsia="仿宋_GB2312"/>
                <w:color w:val="auto"/>
                <w:sz w:val="28"/>
                <w:szCs w:val="28"/>
                <w:highlight w:val="none"/>
                <w:lang w:val="en-US"/>
              </w:rPr>
            </w:pPr>
          </w:p>
        </w:tc>
      </w:tr>
      <w:tr w14:paraId="0AEDC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622662">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施工员</w:t>
            </w:r>
          </w:p>
        </w:tc>
        <w:tc>
          <w:tcPr>
            <w:tcW w:w="1418" w:type="dxa"/>
            <w:vAlign w:val="center"/>
          </w:tcPr>
          <w:p w14:paraId="60675890">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7BD79C8">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AF5D5F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41DEBDA">
            <w:pPr>
              <w:pStyle w:val="3"/>
              <w:keepNext/>
              <w:spacing w:line="440" w:lineRule="exact"/>
              <w:ind w:left="66" w:right="66"/>
              <w:rPr>
                <w:rFonts w:eastAsia="仿宋_GB2312"/>
                <w:color w:val="auto"/>
                <w:sz w:val="28"/>
                <w:szCs w:val="28"/>
                <w:highlight w:val="none"/>
                <w:lang w:val="en-US"/>
              </w:rPr>
            </w:pPr>
          </w:p>
        </w:tc>
      </w:tr>
      <w:tr w14:paraId="7D20A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0AD037">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资料员</w:t>
            </w:r>
          </w:p>
        </w:tc>
        <w:tc>
          <w:tcPr>
            <w:tcW w:w="1418" w:type="dxa"/>
            <w:vAlign w:val="center"/>
          </w:tcPr>
          <w:p w14:paraId="3CE2A49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DD15A85">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438A917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35FB19FC">
            <w:pPr>
              <w:pStyle w:val="3"/>
              <w:keepNext/>
              <w:spacing w:line="440" w:lineRule="exact"/>
              <w:ind w:left="66" w:right="66"/>
              <w:rPr>
                <w:rFonts w:eastAsia="仿宋_GB2312"/>
                <w:color w:val="auto"/>
                <w:sz w:val="28"/>
                <w:szCs w:val="28"/>
                <w:highlight w:val="none"/>
                <w:lang w:val="en-US"/>
              </w:rPr>
            </w:pPr>
          </w:p>
        </w:tc>
      </w:tr>
      <w:tr w14:paraId="2E975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7FE4D71">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材料员</w:t>
            </w:r>
          </w:p>
        </w:tc>
        <w:tc>
          <w:tcPr>
            <w:tcW w:w="1418" w:type="dxa"/>
            <w:vAlign w:val="center"/>
          </w:tcPr>
          <w:p w14:paraId="21EDC530">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9B293C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12DD501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4F55EDF9">
            <w:pPr>
              <w:pStyle w:val="3"/>
              <w:keepNext/>
              <w:spacing w:line="440" w:lineRule="exact"/>
              <w:ind w:left="66" w:right="66"/>
              <w:rPr>
                <w:rFonts w:eastAsia="仿宋_GB2312"/>
                <w:color w:val="auto"/>
                <w:sz w:val="28"/>
                <w:szCs w:val="28"/>
                <w:highlight w:val="none"/>
                <w:lang w:val="en-US"/>
              </w:rPr>
            </w:pPr>
          </w:p>
        </w:tc>
      </w:tr>
      <w:tr w14:paraId="51B2D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F6764F6">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专职安全生产管理人员</w:t>
            </w:r>
          </w:p>
        </w:tc>
        <w:tc>
          <w:tcPr>
            <w:tcW w:w="1418" w:type="dxa"/>
            <w:vAlign w:val="center"/>
          </w:tcPr>
          <w:p w14:paraId="3C993E4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DF829CD">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146873CB">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62EEFD1">
            <w:pPr>
              <w:pStyle w:val="3"/>
              <w:keepNext/>
              <w:spacing w:line="440" w:lineRule="exact"/>
              <w:ind w:left="66" w:right="66"/>
              <w:rPr>
                <w:rFonts w:eastAsia="仿宋_GB2312"/>
                <w:color w:val="auto"/>
                <w:sz w:val="28"/>
                <w:szCs w:val="28"/>
                <w:highlight w:val="none"/>
                <w:lang w:val="en-US"/>
              </w:rPr>
            </w:pPr>
          </w:p>
        </w:tc>
      </w:tr>
      <w:tr w14:paraId="1A2B1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55B56A2">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2C175CAB">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174AE178">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EB867CD">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7372E794">
            <w:pPr>
              <w:pStyle w:val="3"/>
              <w:keepNext/>
              <w:spacing w:line="440" w:lineRule="exact"/>
              <w:ind w:left="66" w:right="66"/>
              <w:rPr>
                <w:rFonts w:eastAsia="仿宋_GB2312"/>
                <w:color w:val="auto"/>
                <w:sz w:val="28"/>
                <w:szCs w:val="28"/>
                <w:highlight w:val="none"/>
                <w:lang w:val="en-US"/>
              </w:rPr>
            </w:pPr>
          </w:p>
        </w:tc>
      </w:tr>
      <w:tr w14:paraId="7D3C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30D8C66">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39CFD35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4EC5400">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95F8434">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505F90A3">
            <w:pPr>
              <w:pStyle w:val="3"/>
              <w:keepNext/>
              <w:spacing w:line="440" w:lineRule="exact"/>
              <w:ind w:left="66" w:right="66"/>
              <w:rPr>
                <w:rFonts w:eastAsia="仿宋_GB2312"/>
                <w:color w:val="auto"/>
                <w:sz w:val="28"/>
                <w:szCs w:val="28"/>
                <w:highlight w:val="none"/>
                <w:lang w:val="en-US"/>
              </w:rPr>
            </w:pPr>
          </w:p>
        </w:tc>
      </w:tr>
      <w:tr w14:paraId="1E6D4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975DA82">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594C796D">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5DB406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741DE1F">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24F32208">
            <w:pPr>
              <w:pStyle w:val="3"/>
              <w:keepNext/>
              <w:spacing w:line="440" w:lineRule="exact"/>
              <w:ind w:left="66" w:right="66"/>
              <w:rPr>
                <w:rFonts w:eastAsia="仿宋_GB2312"/>
                <w:color w:val="auto"/>
                <w:sz w:val="28"/>
                <w:szCs w:val="28"/>
                <w:highlight w:val="none"/>
                <w:lang w:val="en-US"/>
              </w:rPr>
            </w:pPr>
          </w:p>
        </w:tc>
      </w:tr>
      <w:tr w14:paraId="1BD28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23FEAC5">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491E6CCB">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F4090C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AFFAEE9">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1DE60174">
            <w:pPr>
              <w:pStyle w:val="3"/>
              <w:keepNext/>
              <w:spacing w:line="440" w:lineRule="exact"/>
              <w:ind w:left="66" w:right="66"/>
              <w:rPr>
                <w:rFonts w:eastAsia="仿宋_GB2312"/>
                <w:color w:val="auto"/>
                <w:sz w:val="28"/>
                <w:szCs w:val="28"/>
                <w:highlight w:val="none"/>
                <w:lang w:val="en-US"/>
              </w:rPr>
            </w:pPr>
          </w:p>
        </w:tc>
      </w:tr>
      <w:tr w14:paraId="28181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76C3C1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0E4922E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6CBEF53">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8A917F8">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A09769D">
            <w:pPr>
              <w:pStyle w:val="3"/>
              <w:keepNext/>
              <w:spacing w:line="440" w:lineRule="exact"/>
              <w:ind w:left="66" w:right="66"/>
              <w:rPr>
                <w:rFonts w:eastAsia="仿宋_GB2312"/>
                <w:color w:val="auto"/>
                <w:sz w:val="28"/>
                <w:szCs w:val="28"/>
                <w:highlight w:val="none"/>
                <w:lang w:val="en-US"/>
              </w:rPr>
            </w:pPr>
          </w:p>
        </w:tc>
      </w:tr>
      <w:tr w14:paraId="71EE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851ED9">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4DFD383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66321A1">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40DCA13">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400DF14D">
            <w:pPr>
              <w:pStyle w:val="3"/>
              <w:keepNext/>
              <w:spacing w:line="440" w:lineRule="exact"/>
              <w:ind w:left="66" w:right="66"/>
              <w:rPr>
                <w:rFonts w:eastAsia="仿宋_GB2312"/>
                <w:color w:val="auto"/>
                <w:sz w:val="28"/>
                <w:szCs w:val="28"/>
                <w:highlight w:val="none"/>
                <w:lang w:val="en-US"/>
              </w:rPr>
            </w:pPr>
          </w:p>
        </w:tc>
      </w:tr>
      <w:tr w14:paraId="021AB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DB75C4">
            <w:pPr>
              <w:pStyle w:val="3"/>
              <w:keepNext/>
              <w:spacing w:line="440" w:lineRule="exact"/>
              <w:ind w:left="66" w:right="66"/>
              <w:rPr>
                <w:rFonts w:eastAsia="仿宋_GB2312"/>
                <w:color w:val="auto"/>
                <w:sz w:val="28"/>
                <w:szCs w:val="28"/>
                <w:highlight w:val="none"/>
                <w:lang w:val="en-US"/>
              </w:rPr>
            </w:pPr>
          </w:p>
        </w:tc>
        <w:tc>
          <w:tcPr>
            <w:tcW w:w="1418" w:type="dxa"/>
            <w:tcBorders>
              <w:bottom w:val="single" w:color="auto" w:sz="12" w:space="0"/>
            </w:tcBorders>
            <w:vAlign w:val="center"/>
          </w:tcPr>
          <w:p w14:paraId="7F41E366">
            <w:pPr>
              <w:pStyle w:val="3"/>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1DBDC25B">
            <w:pPr>
              <w:pStyle w:val="3"/>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13D5F21B">
            <w:pPr>
              <w:pStyle w:val="3"/>
              <w:keepNext/>
              <w:spacing w:line="440" w:lineRule="exact"/>
              <w:ind w:left="66" w:right="66"/>
              <w:rPr>
                <w:rFonts w:eastAsia="仿宋_GB2312"/>
                <w:color w:val="auto"/>
                <w:sz w:val="28"/>
                <w:szCs w:val="28"/>
                <w:highlight w:val="none"/>
                <w:lang w:val="en-US"/>
              </w:rPr>
            </w:pPr>
          </w:p>
        </w:tc>
        <w:tc>
          <w:tcPr>
            <w:tcW w:w="4252" w:type="dxa"/>
            <w:tcBorders>
              <w:bottom w:val="single" w:color="auto" w:sz="12" w:space="0"/>
            </w:tcBorders>
            <w:vAlign w:val="center"/>
          </w:tcPr>
          <w:p w14:paraId="11B5AF82">
            <w:pPr>
              <w:pStyle w:val="3"/>
              <w:keepNext/>
              <w:spacing w:line="440" w:lineRule="exact"/>
              <w:ind w:left="66" w:right="66"/>
              <w:rPr>
                <w:rFonts w:eastAsia="仿宋_GB2312"/>
                <w:color w:val="auto"/>
                <w:sz w:val="28"/>
                <w:szCs w:val="28"/>
                <w:highlight w:val="none"/>
                <w:lang w:val="en-US"/>
              </w:rPr>
            </w:pPr>
          </w:p>
        </w:tc>
      </w:tr>
    </w:tbl>
    <w:p w14:paraId="56BCB11D">
      <w:pPr>
        <w:spacing w:line="440" w:lineRule="exact"/>
        <w:rPr>
          <w:rFonts w:eastAsia="黑体"/>
          <w:color w:val="auto"/>
          <w:sz w:val="28"/>
          <w:szCs w:val="28"/>
          <w:highlight w:val="none"/>
        </w:rPr>
      </w:pPr>
      <w:r>
        <w:rPr>
          <w:rFonts w:eastAsia="仿宋_GB2312"/>
          <w:color w:val="auto"/>
          <w:sz w:val="28"/>
          <w:szCs w:val="28"/>
          <w:highlight w:val="none"/>
        </w:rPr>
        <w:br w:type="page"/>
      </w:r>
      <w:bookmarkStart w:id="1017" w:name="_Toc267261701"/>
      <w:r>
        <w:rPr>
          <w:rFonts w:eastAsia="仿宋_GB2312"/>
          <w:color w:val="auto"/>
          <w:sz w:val="28"/>
          <w:szCs w:val="28"/>
          <w:highlight w:val="none"/>
        </w:rPr>
        <w:t>附</w:t>
      </w:r>
      <w:bookmarkStart w:id="1018" w:name="_Toc296891059"/>
      <w:bookmarkStart w:id="1019" w:name="_Toc296503231"/>
      <w:bookmarkStart w:id="1020" w:name="_Toc296891271"/>
      <w:bookmarkStart w:id="1021" w:name="_Toc296944570"/>
      <w:bookmarkStart w:id="1022" w:name="_Toc296347230"/>
      <w:bookmarkStart w:id="1023" w:name="_Toc296346732"/>
      <w:r>
        <w:rPr>
          <w:rFonts w:eastAsia="仿宋_GB2312"/>
          <w:color w:val="auto"/>
          <w:sz w:val="28"/>
          <w:szCs w:val="28"/>
          <w:highlight w:val="none"/>
        </w:rPr>
        <w:t>件</w:t>
      </w:r>
      <w:r>
        <w:rPr>
          <w:rFonts w:hint="eastAsia" w:eastAsia="仿宋_GB2312"/>
          <w:color w:val="auto"/>
          <w:sz w:val="28"/>
          <w:szCs w:val="28"/>
          <w:highlight w:val="none"/>
        </w:rPr>
        <w:t>4</w:t>
      </w:r>
      <w:r>
        <w:rPr>
          <w:rFonts w:eastAsia="仿宋_GB2312"/>
          <w:color w:val="auto"/>
          <w:sz w:val="28"/>
          <w:szCs w:val="28"/>
          <w:highlight w:val="none"/>
        </w:rPr>
        <w:t>：</w:t>
      </w:r>
    </w:p>
    <w:bookmarkEnd w:id="1017"/>
    <w:bookmarkEnd w:id="1018"/>
    <w:bookmarkEnd w:id="1019"/>
    <w:bookmarkEnd w:id="1020"/>
    <w:bookmarkEnd w:id="1021"/>
    <w:bookmarkEnd w:id="1022"/>
    <w:bookmarkEnd w:id="1023"/>
    <w:p w14:paraId="1FE392DC">
      <w:pPr>
        <w:spacing w:before="120" w:beforeLines="50" w:after="120" w:afterLines="50"/>
        <w:jc w:val="center"/>
        <w:rPr>
          <w:rFonts w:eastAsia="黑体"/>
          <w:color w:val="auto"/>
          <w:sz w:val="28"/>
          <w:szCs w:val="28"/>
          <w:highlight w:val="none"/>
        </w:rPr>
      </w:pPr>
      <w:r>
        <w:rPr>
          <w:rFonts w:eastAsia="黑体"/>
          <w:color w:val="auto"/>
          <w:sz w:val="28"/>
          <w:szCs w:val="28"/>
          <w:highlight w:val="none"/>
        </w:rPr>
        <w:t>履约担保</w:t>
      </w:r>
    </w:p>
    <w:p w14:paraId="7885CCEC">
      <w:pPr>
        <w:rPr>
          <w:rFonts w:eastAsia="仿宋_GB2312"/>
          <w:color w:val="auto"/>
          <w:sz w:val="28"/>
          <w:szCs w:val="28"/>
          <w:highlight w:val="none"/>
        </w:rPr>
      </w:pPr>
      <w:r>
        <w:rPr>
          <w:rFonts w:eastAsia="仿宋_GB2312"/>
          <w:color w:val="auto"/>
          <w:sz w:val="28"/>
          <w:szCs w:val="28"/>
          <w:highlight w:val="none"/>
          <w:u w:val="single"/>
        </w:rPr>
        <w:tab/>
      </w:r>
      <w:r>
        <w:rPr>
          <w:rFonts w:eastAsia="仿宋_GB2312"/>
          <w:color w:val="auto"/>
          <w:sz w:val="28"/>
          <w:szCs w:val="28"/>
          <w:highlight w:val="none"/>
        </w:rPr>
        <w:t>（发包人名称）：</w:t>
      </w:r>
    </w:p>
    <w:p w14:paraId="4013731E">
      <w:pPr>
        <w:rPr>
          <w:rFonts w:eastAsia="仿宋_GB2312"/>
          <w:color w:val="auto"/>
          <w:sz w:val="28"/>
          <w:szCs w:val="28"/>
          <w:highlight w:val="none"/>
        </w:rPr>
      </w:pPr>
    </w:p>
    <w:p w14:paraId="453429A1">
      <w:pPr>
        <w:ind w:firstLine="560" w:firstLineChars="200"/>
        <w:rPr>
          <w:rFonts w:eastAsia="仿宋_GB2312"/>
          <w:color w:val="auto"/>
          <w:sz w:val="28"/>
          <w:szCs w:val="28"/>
          <w:highlight w:val="none"/>
        </w:rPr>
      </w:pPr>
      <w:r>
        <w:rPr>
          <w:rFonts w:eastAsia="仿宋_GB2312"/>
          <w:color w:val="auto"/>
          <w:sz w:val="28"/>
          <w:szCs w:val="28"/>
          <w:highlight w:val="none"/>
        </w:rPr>
        <w:t>鉴于（发包人名称，以下简称“发包人”）与</w:t>
      </w:r>
    </w:p>
    <w:p w14:paraId="7D2DD642">
      <w:pPr>
        <w:rPr>
          <w:rFonts w:eastAsia="仿宋_GB2312"/>
          <w:color w:val="auto"/>
          <w:sz w:val="28"/>
          <w:szCs w:val="28"/>
          <w:highlight w:val="none"/>
        </w:rPr>
      </w:pPr>
      <w:r>
        <w:rPr>
          <w:rFonts w:eastAsia="仿宋_GB2312"/>
          <w:color w:val="auto"/>
          <w:sz w:val="28"/>
          <w:szCs w:val="28"/>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62819AD6">
      <w:pPr>
        <w:ind w:firstLine="560" w:firstLineChars="200"/>
        <w:rPr>
          <w:rFonts w:eastAsia="仿宋_GB2312"/>
          <w:color w:val="auto"/>
          <w:sz w:val="28"/>
          <w:szCs w:val="28"/>
          <w:highlight w:val="none"/>
        </w:rPr>
      </w:pPr>
      <w:r>
        <w:rPr>
          <w:rFonts w:eastAsia="仿宋_GB2312"/>
          <w:color w:val="auto"/>
          <w:sz w:val="28"/>
          <w:szCs w:val="28"/>
          <w:highlight w:val="none"/>
        </w:rPr>
        <w:t>1. 担保金额人民币（大写）元（¥）。</w:t>
      </w:r>
    </w:p>
    <w:p w14:paraId="211DDD22">
      <w:pPr>
        <w:ind w:firstLine="560" w:firstLineChars="200"/>
        <w:rPr>
          <w:rFonts w:eastAsia="仿宋_GB2312"/>
          <w:color w:val="auto"/>
          <w:sz w:val="28"/>
          <w:szCs w:val="28"/>
          <w:highlight w:val="none"/>
        </w:rPr>
      </w:pPr>
      <w:r>
        <w:rPr>
          <w:rFonts w:eastAsia="仿宋_GB2312"/>
          <w:color w:val="auto"/>
          <w:sz w:val="28"/>
          <w:szCs w:val="28"/>
          <w:highlight w:val="none"/>
        </w:rPr>
        <w:t>2. 担保有效期自你方与承包人签订的合同生效之日起至你方签发或应签发工程接收证书之日止。</w:t>
      </w:r>
    </w:p>
    <w:p w14:paraId="11B92F94">
      <w:pPr>
        <w:ind w:firstLine="560" w:firstLineChars="200"/>
        <w:rPr>
          <w:rFonts w:eastAsia="仿宋_GB2312"/>
          <w:color w:val="auto"/>
          <w:sz w:val="28"/>
          <w:szCs w:val="28"/>
          <w:highlight w:val="none"/>
        </w:rPr>
      </w:pPr>
      <w:r>
        <w:rPr>
          <w:rFonts w:eastAsia="仿宋_GB2312"/>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08630C86">
      <w:pPr>
        <w:ind w:firstLine="560" w:firstLineChars="200"/>
        <w:rPr>
          <w:rFonts w:eastAsia="仿宋_GB2312"/>
          <w:color w:val="auto"/>
          <w:sz w:val="28"/>
          <w:szCs w:val="28"/>
          <w:highlight w:val="none"/>
        </w:rPr>
      </w:pPr>
      <w:r>
        <w:rPr>
          <w:rFonts w:eastAsia="仿宋_GB2312"/>
          <w:color w:val="auto"/>
          <w:sz w:val="28"/>
          <w:szCs w:val="28"/>
          <w:highlight w:val="none"/>
        </w:rPr>
        <w:t>4. 你方和承包人按合同约定变更合同时，我方承担本担保规定的义务不变。</w:t>
      </w:r>
    </w:p>
    <w:p w14:paraId="5AE4164B">
      <w:pPr>
        <w:ind w:firstLine="560" w:firstLineChars="200"/>
        <w:rPr>
          <w:rFonts w:eastAsia="仿宋_GB2312"/>
          <w:color w:val="auto"/>
          <w:sz w:val="28"/>
          <w:szCs w:val="28"/>
          <w:highlight w:val="none"/>
        </w:rPr>
      </w:pPr>
      <w:r>
        <w:rPr>
          <w:rFonts w:eastAsia="仿宋_GB2312"/>
          <w:color w:val="auto"/>
          <w:sz w:val="28"/>
          <w:szCs w:val="28"/>
          <w:highlight w:val="none"/>
        </w:rPr>
        <w:t>5. 因本保函发生的纠纷，可由双方协商解决，协商不成的，</w:t>
      </w:r>
      <w:r>
        <w:rPr>
          <w:rFonts w:hint="eastAsia" w:eastAsia="仿宋_GB2312"/>
          <w:color w:val="auto"/>
          <w:sz w:val="28"/>
          <w:szCs w:val="28"/>
          <w:highlight w:val="none"/>
        </w:rPr>
        <w:t>任何一方均可向杭州市西湖区人民法院起诉。</w:t>
      </w:r>
    </w:p>
    <w:p w14:paraId="7B381C20">
      <w:pPr>
        <w:ind w:firstLine="560" w:firstLineChars="200"/>
        <w:rPr>
          <w:rFonts w:eastAsia="仿宋_GB2312"/>
          <w:color w:val="auto"/>
          <w:sz w:val="28"/>
          <w:szCs w:val="28"/>
          <w:highlight w:val="none"/>
        </w:rPr>
      </w:pPr>
      <w:r>
        <w:rPr>
          <w:rFonts w:eastAsia="仿宋_GB2312"/>
          <w:color w:val="auto"/>
          <w:sz w:val="28"/>
          <w:szCs w:val="28"/>
          <w:highlight w:val="none"/>
        </w:rPr>
        <w:t>6. 本保函自我方法定代表人（或其授权代理人）签字并加盖公章之日起生效。</w:t>
      </w:r>
    </w:p>
    <w:p w14:paraId="329BF282">
      <w:pPr>
        <w:rPr>
          <w:rFonts w:eastAsia="仿宋_GB2312"/>
          <w:color w:val="auto"/>
          <w:sz w:val="28"/>
          <w:szCs w:val="28"/>
          <w:highlight w:val="none"/>
        </w:rPr>
      </w:pPr>
    </w:p>
    <w:p w14:paraId="23B33ADF">
      <w:pPr>
        <w:rPr>
          <w:rFonts w:eastAsia="仿宋_GB2312"/>
          <w:color w:val="auto"/>
          <w:sz w:val="28"/>
          <w:szCs w:val="28"/>
          <w:highlight w:val="none"/>
        </w:rPr>
      </w:pPr>
      <w:r>
        <w:rPr>
          <w:rFonts w:eastAsia="仿宋_GB2312"/>
          <w:color w:val="auto"/>
          <w:sz w:val="28"/>
          <w:szCs w:val="28"/>
          <w:highlight w:val="none"/>
        </w:rPr>
        <w:t>担 保 人：（盖单位章）</w:t>
      </w:r>
    </w:p>
    <w:p w14:paraId="2DE64817">
      <w:pPr>
        <w:rPr>
          <w:rFonts w:eastAsia="仿宋_GB2312"/>
          <w:color w:val="auto"/>
          <w:sz w:val="28"/>
          <w:szCs w:val="28"/>
          <w:highlight w:val="none"/>
        </w:rPr>
      </w:pPr>
      <w:r>
        <w:rPr>
          <w:rFonts w:eastAsia="仿宋_GB2312"/>
          <w:color w:val="auto"/>
          <w:sz w:val="28"/>
          <w:szCs w:val="28"/>
          <w:highlight w:val="none"/>
        </w:rPr>
        <w:t>法定代表人或其委托代理人：（签字）</w:t>
      </w:r>
    </w:p>
    <w:p w14:paraId="76687457">
      <w:pPr>
        <w:rPr>
          <w:rFonts w:eastAsia="仿宋_GB2312"/>
          <w:color w:val="auto"/>
          <w:sz w:val="28"/>
          <w:szCs w:val="28"/>
          <w:highlight w:val="none"/>
        </w:rPr>
      </w:pPr>
      <w:r>
        <w:rPr>
          <w:rFonts w:eastAsia="仿宋_GB2312"/>
          <w:color w:val="auto"/>
          <w:sz w:val="28"/>
          <w:szCs w:val="28"/>
          <w:highlight w:val="none"/>
        </w:rPr>
        <w:t>地    址：</w:t>
      </w:r>
    </w:p>
    <w:p w14:paraId="20443394">
      <w:pPr>
        <w:rPr>
          <w:rFonts w:eastAsia="仿宋_GB2312"/>
          <w:color w:val="auto"/>
          <w:sz w:val="28"/>
          <w:szCs w:val="28"/>
          <w:highlight w:val="none"/>
        </w:rPr>
      </w:pPr>
      <w:r>
        <w:rPr>
          <w:rFonts w:eastAsia="仿宋_GB2312"/>
          <w:color w:val="auto"/>
          <w:sz w:val="28"/>
          <w:szCs w:val="28"/>
          <w:highlight w:val="none"/>
        </w:rPr>
        <w:t>邮政编码：</w:t>
      </w:r>
    </w:p>
    <w:p w14:paraId="737B85E9">
      <w:pPr>
        <w:rPr>
          <w:rFonts w:eastAsia="仿宋_GB2312"/>
          <w:color w:val="auto"/>
          <w:sz w:val="28"/>
          <w:szCs w:val="28"/>
          <w:highlight w:val="none"/>
          <w:u w:val="single"/>
        </w:rPr>
      </w:pPr>
      <w:r>
        <w:rPr>
          <w:rFonts w:eastAsia="仿宋_GB2312"/>
          <w:color w:val="auto"/>
          <w:sz w:val="28"/>
          <w:szCs w:val="28"/>
          <w:highlight w:val="none"/>
        </w:rPr>
        <w:t>电    话：</w:t>
      </w:r>
    </w:p>
    <w:p w14:paraId="64CD30FB">
      <w:pPr>
        <w:ind w:left="1772" w:hanging="1772" w:hangingChars="633"/>
        <w:rPr>
          <w:rFonts w:eastAsia="仿宋_GB2312"/>
          <w:color w:val="auto"/>
          <w:sz w:val="28"/>
          <w:szCs w:val="28"/>
          <w:highlight w:val="none"/>
        </w:rPr>
      </w:pPr>
      <w:r>
        <w:rPr>
          <w:rFonts w:eastAsia="仿宋_GB2312"/>
          <w:color w:val="auto"/>
          <w:sz w:val="28"/>
          <w:szCs w:val="28"/>
          <w:highlight w:val="none"/>
        </w:rPr>
        <w:t>年月日</w:t>
      </w:r>
      <w:r>
        <w:rPr>
          <w:rFonts w:hint="eastAsia" w:eastAsia="仿宋_GB2312"/>
          <w:color w:val="auto"/>
          <w:sz w:val="28"/>
          <w:szCs w:val="28"/>
          <w:highlight w:val="none"/>
        </w:rPr>
        <w:t>：</w:t>
      </w:r>
    </w:p>
    <w:p w14:paraId="2EDCF868">
      <w:pPr>
        <w:spacing w:line="360" w:lineRule="auto"/>
        <w:ind w:right="150" w:firstLine="562" w:firstLineChars="200"/>
        <w:rPr>
          <w:rFonts w:eastAsia="仿宋_GB2312"/>
          <w:color w:val="auto"/>
          <w:sz w:val="28"/>
          <w:szCs w:val="28"/>
          <w:highlight w:val="none"/>
        </w:rPr>
      </w:pPr>
      <w:r>
        <w:rPr>
          <w:rFonts w:eastAsia="仿宋_GB2312"/>
          <w:b/>
          <w:color w:val="auto"/>
          <w:sz w:val="28"/>
          <w:szCs w:val="28"/>
          <w:highlight w:val="none"/>
        </w:rPr>
        <w:br w:type="page"/>
      </w:r>
    </w:p>
    <w:p w14:paraId="6E3284D8">
      <w:pPr>
        <w:spacing w:line="440" w:lineRule="exact"/>
        <w:rPr>
          <w:rFonts w:eastAsia="黑体"/>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w:t>
      </w:r>
    </w:p>
    <w:p w14:paraId="231F5539">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B11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4151DD7">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序号</w:t>
            </w:r>
          </w:p>
        </w:tc>
        <w:tc>
          <w:tcPr>
            <w:tcW w:w="1984" w:type="dxa"/>
            <w:tcBorders>
              <w:top w:val="single" w:color="auto" w:sz="12" w:space="0"/>
              <w:bottom w:val="double" w:color="auto" w:sz="6" w:space="0"/>
            </w:tcBorders>
          </w:tcPr>
          <w:p w14:paraId="39266213">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名称</w:t>
            </w:r>
          </w:p>
        </w:tc>
        <w:tc>
          <w:tcPr>
            <w:tcW w:w="851" w:type="dxa"/>
            <w:tcBorders>
              <w:top w:val="single" w:color="auto" w:sz="12" w:space="0"/>
              <w:bottom w:val="double" w:color="auto" w:sz="6" w:space="0"/>
            </w:tcBorders>
          </w:tcPr>
          <w:p w14:paraId="108D49B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w:t>
            </w:r>
          </w:p>
        </w:tc>
        <w:tc>
          <w:tcPr>
            <w:tcW w:w="774" w:type="dxa"/>
            <w:tcBorders>
              <w:top w:val="single" w:color="auto" w:sz="12" w:space="0"/>
              <w:bottom w:val="double" w:color="auto" w:sz="6" w:space="0"/>
            </w:tcBorders>
          </w:tcPr>
          <w:p w14:paraId="1752EBD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数量</w:t>
            </w:r>
          </w:p>
        </w:tc>
        <w:tc>
          <w:tcPr>
            <w:tcW w:w="1352" w:type="dxa"/>
            <w:tcBorders>
              <w:top w:val="single" w:color="auto" w:sz="12" w:space="0"/>
              <w:bottom w:val="double" w:color="auto" w:sz="6" w:space="0"/>
            </w:tcBorders>
          </w:tcPr>
          <w:p w14:paraId="632F886D">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单价</w:t>
            </w:r>
            <w:r>
              <w:rPr>
                <w:rFonts w:hint="eastAsia" w:eastAsia="仿宋_GB2312"/>
                <w:color w:val="auto"/>
                <w:sz w:val="28"/>
                <w:szCs w:val="28"/>
                <w:highlight w:val="none"/>
                <w:lang w:val="en-US"/>
              </w:rPr>
              <w:t>（元）</w:t>
            </w:r>
          </w:p>
        </w:tc>
        <w:tc>
          <w:tcPr>
            <w:tcW w:w="1418" w:type="dxa"/>
            <w:tcBorders>
              <w:top w:val="single" w:color="auto" w:sz="12" w:space="0"/>
              <w:bottom w:val="double" w:color="auto" w:sz="6" w:space="0"/>
            </w:tcBorders>
          </w:tcPr>
          <w:p w14:paraId="3191A334">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合价</w:t>
            </w:r>
            <w:r>
              <w:rPr>
                <w:rFonts w:hint="eastAsia" w:eastAsia="仿宋_GB2312"/>
                <w:color w:val="auto"/>
                <w:sz w:val="28"/>
                <w:szCs w:val="28"/>
                <w:highlight w:val="none"/>
                <w:lang w:val="en-US"/>
              </w:rPr>
              <w:t>（元）</w:t>
            </w:r>
          </w:p>
        </w:tc>
        <w:tc>
          <w:tcPr>
            <w:tcW w:w="1701" w:type="dxa"/>
            <w:tcBorders>
              <w:top w:val="single" w:color="auto" w:sz="12" w:space="0"/>
              <w:bottom w:val="double" w:color="auto" w:sz="6" w:space="0"/>
            </w:tcBorders>
          </w:tcPr>
          <w:p w14:paraId="3B2EC10E">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备注</w:t>
            </w:r>
          </w:p>
        </w:tc>
      </w:tr>
      <w:tr w14:paraId="6FAFE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371E0A0">
            <w:pPr>
              <w:pStyle w:val="3"/>
              <w:keepNext/>
              <w:spacing w:line="440" w:lineRule="exact"/>
              <w:ind w:left="66" w:right="66"/>
              <w:rPr>
                <w:rFonts w:eastAsia="仿宋_GB2312"/>
                <w:color w:val="auto"/>
                <w:sz w:val="28"/>
                <w:szCs w:val="28"/>
                <w:highlight w:val="none"/>
                <w:lang w:val="en-US"/>
              </w:rPr>
            </w:pPr>
          </w:p>
        </w:tc>
        <w:tc>
          <w:tcPr>
            <w:tcW w:w="1984" w:type="dxa"/>
            <w:tcBorders>
              <w:top w:val="double" w:color="auto" w:sz="6" w:space="0"/>
              <w:bottom w:val="single" w:color="auto" w:sz="6" w:space="0"/>
            </w:tcBorders>
          </w:tcPr>
          <w:p w14:paraId="62C31611">
            <w:pPr>
              <w:pStyle w:val="3"/>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tcPr>
          <w:p w14:paraId="71327000">
            <w:pPr>
              <w:pStyle w:val="3"/>
              <w:keepNext/>
              <w:spacing w:line="440" w:lineRule="exact"/>
              <w:ind w:left="66" w:right="66"/>
              <w:rPr>
                <w:rFonts w:eastAsia="仿宋_GB2312"/>
                <w:color w:val="auto"/>
                <w:sz w:val="28"/>
                <w:szCs w:val="28"/>
                <w:highlight w:val="none"/>
                <w:lang w:val="en-US"/>
              </w:rPr>
            </w:pPr>
          </w:p>
        </w:tc>
        <w:tc>
          <w:tcPr>
            <w:tcW w:w="774" w:type="dxa"/>
            <w:tcBorders>
              <w:top w:val="double" w:color="auto" w:sz="6" w:space="0"/>
              <w:bottom w:val="single" w:color="auto" w:sz="6" w:space="0"/>
            </w:tcBorders>
          </w:tcPr>
          <w:p w14:paraId="36FFAA6F">
            <w:pPr>
              <w:pStyle w:val="3"/>
              <w:keepNext/>
              <w:spacing w:line="440" w:lineRule="exact"/>
              <w:ind w:left="66" w:right="66"/>
              <w:rPr>
                <w:rFonts w:eastAsia="仿宋_GB2312"/>
                <w:color w:val="auto"/>
                <w:sz w:val="28"/>
                <w:szCs w:val="28"/>
                <w:highlight w:val="none"/>
                <w:lang w:val="en-US"/>
              </w:rPr>
            </w:pPr>
          </w:p>
        </w:tc>
        <w:tc>
          <w:tcPr>
            <w:tcW w:w="1352" w:type="dxa"/>
            <w:tcBorders>
              <w:top w:val="double" w:color="auto" w:sz="6" w:space="0"/>
              <w:bottom w:val="single" w:color="auto" w:sz="6" w:space="0"/>
            </w:tcBorders>
          </w:tcPr>
          <w:p w14:paraId="093A36AD">
            <w:pPr>
              <w:pStyle w:val="3"/>
              <w:keepNext/>
              <w:spacing w:line="440" w:lineRule="exact"/>
              <w:ind w:left="66" w:right="66"/>
              <w:rPr>
                <w:rFonts w:eastAsia="仿宋_GB2312"/>
                <w:color w:val="auto"/>
                <w:sz w:val="28"/>
                <w:szCs w:val="28"/>
                <w:highlight w:val="none"/>
                <w:lang w:val="en-US"/>
              </w:rPr>
            </w:pPr>
          </w:p>
        </w:tc>
        <w:tc>
          <w:tcPr>
            <w:tcW w:w="1418" w:type="dxa"/>
            <w:tcBorders>
              <w:top w:val="double" w:color="auto" w:sz="6" w:space="0"/>
              <w:bottom w:val="single" w:color="auto" w:sz="6" w:space="0"/>
            </w:tcBorders>
          </w:tcPr>
          <w:p w14:paraId="19502FDD">
            <w:pPr>
              <w:pStyle w:val="3"/>
              <w:keepNext/>
              <w:spacing w:line="440" w:lineRule="exact"/>
              <w:ind w:left="66" w:right="66"/>
              <w:rPr>
                <w:rFonts w:eastAsia="仿宋_GB2312"/>
                <w:color w:val="auto"/>
                <w:sz w:val="28"/>
                <w:szCs w:val="28"/>
                <w:highlight w:val="none"/>
                <w:lang w:val="en-US"/>
              </w:rPr>
            </w:pPr>
          </w:p>
        </w:tc>
        <w:tc>
          <w:tcPr>
            <w:tcW w:w="1701" w:type="dxa"/>
            <w:tcBorders>
              <w:top w:val="double" w:color="auto" w:sz="6" w:space="0"/>
              <w:bottom w:val="single" w:color="auto" w:sz="6" w:space="0"/>
            </w:tcBorders>
          </w:tcPr>
          <w:p w14:paraId="344900C9">
            <w:pPr>
              <w:pStyle w:val="3"/>
              <w:keepNext/>
              <w:spacing w:line="440" w:lineRule="exact"/>
              <w:ind w:left="66" w:right="66"/>
              <w:rPr>
                <w:rFonts w:eastAsia="仿宋_GB2312"/>
                <w:color w:val="auto"/>
                <w:sz w:val="28"/>
                <w:szCs w:val="28"/>
                <w:highlight w:val="none"/>
                <w:lang w:val="en-US"/>
              </w:rPr>
            </w:pPr>
          </w:p>
        </w:tc>
      </w:tr>
      <w:tr w14:paraId="2F682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B4FD416">
            <w:pPr>
              <w:pStyle w:val="3"/>
              <w:keepNext/>
              <w:spacing w:line="440" w:lineRule="exact"/>
              <w:ind w:left="66" w:right="66"/>
              <w:rPr>
                <w:rFonts w:eastAsia="仿宋_GB2312"/>
                <w:color w:val="auto"/>
                <w:sz w:val="28"/>
                <w:szCs w:val="28"/>
                <w:highlight w:val="none"/>
                <w:lang w:val="en-US"/>
              </w:rPr>
            </w:pPr>
          </w:p>
        </w:tc>
        <w:tc>
          <w:tcPr>
            <w:tcW w:w="1984" w:type="dxa"/>
            <w:tcBorders>
              <w:top w:val="nil"/>
            </w:tcBorders>
          </w:tcPr>
          <w:p w14:paraId="50883751">
            <w:pPr>
              <w:pStyle w:val="3"/>
              <w:keepNext/>
              <w:spacing w:line="440" w:lineRule="exact"/>
              <w:ind w:left="66" w:right="66"/>
              <w:rPr>
                <w:rFonts w:eastAsia="仿宋_GB2312"/>
                <w:color w:val="auto"/>
                <w:sz w:val="28"/>
                <w:szCs w:val="28"/>
                <w:highlight w:val="none"/>
                <w:lang w:val="en-US"/>
              </w:rPr>
            </w:pPr>
          </w:p>
        </w:tc>
        <w:tc>
          <w:tcPr>
            <w:tcW w:w="851" w:type="dxa"/>
            <w:tcBorders>
              <w:top w:val="nil"/>
            </w:tcBorders>
          </w:tcPr>
          <w:p w14:paraId="14BF0AC6">
            <w:pPr>
              <w:pStyle w:val="3"/>
              <w:keepNext/>
              <w:spacing w:line="440" w:lineRule="exact"/>
              <w:ind w:left="66" w:right="66"/>
              <w:rPr>
                <w:rFonts w:eastAsia="仿宋_GB2312"/>
                <w:color w:val="auto"/>
                <w:sz w:val="28"/>
                <w:szCs w:val="28"/>
                <w:highlight w:val="none"/>
                <w:lang w:val="en-US"/>
              </w:rPr>
            </w:pPr>
          </w:p>
        </w:tc>
        <w:tc>
          <w:tcPr>
            <w:tcW w:w="774" w:type="dxa"/>
            <w:tcBorders>
              <w:top w:val="nil"/>
            </w:tcBorders>
          </w:tcPr>
          <w:p w14:paraId="000D1A70">
            <w:pPr>
              <w:pStyle w:val="3"/>
              <w:keepNext/>
              <w:spacing w:line="440" w:lineRule="exact"/>
              <w:ind w:left="66" w:right="66"/>
              <w:rPr>
                <w:rFonts w:eastAsia="仿宋_GB2312"/>
                <w:color w:val="auto"/>
                <w:sz w:val="28"/>
                <w:szCs w:val="28"/>
                <w:highlight w:val="none"/>
                <w:lang w:val="en-US"/>
              </w:rPr>
            </w:pPr>
          </w:p>
        </w:tc>
        <w:tc>
          <w:tcPr>
            <w:tcW w:w="1352" w:type="dxa"/>
            <w:tcBorders>
              <w:top w:val="nil"/>
            </w:tcBorders>
          </w:tcPr>
          <w:p w14:paraId="11BBD943">
            <w:pPr>
              <w:pStyle w:val="3"/>
              <w:keepNext/>
              <w:spacing w:line="440" w:lineRule="exact"/>
              <w:ind w:left="66" w:right="66"/>
              <w:rPr>
                <w:rFonts w:eastAsia="仿宋_GB2312"/>
                <w:color w:val="auto"/>
                <w:sz w:val="28"/>
                <w:szCs w:val="28"/>
                <w:highlight w:val="none"/>
                <w:lang w:val="en-US"/>
              </w:rPr>
            </w:pPr>
          </w:p>
        </w:tc>
        <w:tc>
          <w:tcPr>
            <w:tcW w:w="1418" w:type="dxa"/>
            <w:tcBorders>
              <w:top w:val="nil"/>
            </w:tcBorders>
          </w:tcPr>
          <w:p w14:paraId="6E8A9703">
            <w:pPr>
              <w:pStyle w:val="3"/>
              <w:keepNext/>
              <w:spacing w:line="440" w:lineRule="exact"/>
              <w:ind w:left="66" w:right="66"/>
              <w:rPr>
                <w:rFonts w:eastAsia="仿宋_GB2312"/>
                <w:color w:val="auto"/>
                <w:sz w:val="28"/>
                <w:szCs w:val="28"/>
                <w:highlight w:val="none"/>
                <w:lang w:val="en-US"/>
              </w:rPr>
            </w:pPr>
          </w:p>
        </w:tc>
        <w:tc>
          <w:tcPr>
            <w:tcW w:w="1701" w:type="dxa"/>
            <w:tcBorders>
              <w:top w:val="nil"/>
            </w:tcBorders>
          </w:tcPr>
          <w:p w14:paraId="55D03403">
            <w:pPr>
              <w:pStyle w:val="3"/>
              <w:keepNext/>
              <w:spacing w:line="440" w:lineRule="exact"/>
              <w:ind w:left="66" w:right="66"/>
              <w:rPr>
                <w:rFonts w:eastAsia="仿宋_GB2312"/>
                <w:color w:val="auto"/>
                <w:sz w:val="28"/>
                <w:szCs w:val="28"/>
                <w:highlight w:val="none"/>
                <w:lang w:val="en-US"/>
              </w:rPr>
            </w:pPr>
          </w:p>
        </w:tc>
      </w:tr>
      <w:tr w14:paraId="1CA95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2CF783">
            <w:pPr>
              <w:pStyle w:val="3"/>
              <w:keepNext/>
              <w:spacing w:line="440" w:lineRule="exact"/>
              <w:ind w:left="66" w:right="66"/>
              <w:rPr>
                <w:rFonts w:eastAsia="仿宋_GB2312"/>
                <w:color w:val="auto"/>
                <w:sz w:val="28"/>
                <w:szCs w:val="28"/>
                <w:highlight w:val="none"/>
                <w:lang w:val="en-US"/>
              </w:rPr>
            </w:pPr>
          </w:p>
        </w:tc>
        <w:tc>
          <w:tcPr>
            <w:tcW w:w="1984" w:type="dxa"/>
          </w:tcPr>
          <w:p w14:paraId="3A20475D">
            <w:pPr>
              <w:pStyle w:val="3"/>
              <w:keepNext/>
              <w:spacing w:line="440" w:lineRule="exact"/>
              <w:ind w:left="66" w:right="66"/>
              <w:rPr>
                <w:rFonts w:eastAsia="仿宋_GB2312"/>
                <w:color w:val="auto"/>
                <w:sz w:val="28"/>
                <w:szCs w:val="28"/>
                <w:highlight w:val="none"/>
                <w:lang w:val="en-US"/>
              </w:rPr>
            </w:pPr>
          </w:p>
        </w:tc>
        <w:tc>
          <w:tcPr>
            <w:tcW w:w="851" w:type="dxa"/>
          </w:tcPr>
          <w:p w14:paraId="035E8E69">
            <w:pPr>
              <w:pStyle w:val="3"/>
              <w:keepNext/>
              <w:spacing w:line="440" w:lineRule="exact"/>
              <w:ind w:left="66" w:right="66"/>
              <w:rPr>
                <w:rFonts w:eastAsia="仿宋_GB2312"/>
                <w:color w:val="auto"/>
                <w:sz w:val="28"/>
                <w:szCs w:val="28"/>
                <w:highlight w:val="none"/>
                <w:lang w:val="en-US"/>
              </w:rPr>
            </w:pPr>
          </w:p>
        </w:tc>
        <w:tc>
          <w:tcPr>
            <w:tcW w:w="774" w:type="dxa"/>
          </w:tcPr>
          <w:p w14:paraId="5D89FA88">
            <w:pPr>
              <w:pStyle w:val="3"/>
              <w:keepNext/>
              <w:spacing w:line="440" w:lineRule="exact"/>
              <w:ind w:left="66" w:right="66"/>
              <w:rPr>
                <w:rFonts w:eastAsia="仿宋_GB2312"/>
                <w:color w:val="auto"/>
                <w:sz w:val="28"/>
                <w:szCs w:val="28"/>
                <w:highlight w:val="none"/>
                <w:lang w:val="en-US"/>
              </w:rPr>
            </w:pPr>
          </w:p>
        </w:tc>
        <w:tc>
          <w:tcPr>
            <w:tcW w:w="1352" w:type="dxa"/>
          </w:tcPr>
          <w:p w14:paraId="115D0994">
            <w:pPr>
              <w:pStyle w:val="3"/>
              <w:keepNext/>
              <w:spacing w:line="440" w:lineRule="exact"/>
              <w:ind w:left="66" w:right="66"/>
              <w:rPr>
                <w:rFonts w:eastAsia="仿宋_GB2312"/>
                <w:color w:val="auto"/>
                <w:sz w:val="28"/>
                <w:szCs w:val="28"/>
                <w:highlight w:val="none"/>
                <w:lang w:val="en-US"/>
              </w:rPr>
            </w:pPr>
          </w:p>
        </w:tc>
        <w:tc>
          <w:tcPr>
            <w:tcW w:w="1418" w:type="dxa"/>
          </w:tcPr>
          <w:p w14:paraId="394521E5">
            <w:pPr>
              <w:pStyle w:val="3"/>
              <w:keepNext/>
              <w:spacing w:line="440" w:lineRule="exact"/>
              <w:ind w:left="66" w:right="66"/>
              <w:rPr>
                <w:rFonts w:eastAsia="仿宋_GB2312"/>
                <w:color w:val="auto"/>
                <w:sz w:val="28"/>
                <w:szCs w:val="28"/>
                <w:highlight w:val="none"/>
                <w:lang w:val="en-US"/>
              </w:rPr>
            </w:pPr>
          </w:p>
        </w:tc>
        <w:tc>
          <w:tcPr>
            <w:tcW w:w="1701" w:type="dxa"/>
          </w:tcPr>
          <w:p w14:paraId="2C3231B3">
            <w:pPr>
              <w:pStyle w:val="3"/>
              <w:keepNext/>
              <w:spacing w:line="440" w:lineRule="exact"/>
              <w:ind w:left="66" w:right="66"/>
              <w:rPr>
                <w:rFonts w:eastAsia="仿宋_GB2312"/>
                <w:color w:val="auto"/>
                <w:sz w:val="28"/>
                <w:szCs w:val="28"/>
                <w:highlight w:val="none"/>
                <w:lang w:val="en-US"/>
              </w:rPr>
            </w:pPr>
          </w:p>
        </w:tc>
      </w:tr>
      <w:tr w14:paraId="25CCB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373F0D">
            <w:pPr>
              <w:pStyle w:val="3"/>
              <w:keepNext/>
              <w:spacing w:line="440" w:lineRule="exact"/>
              <w:ind w:left="66" w:right="66"/>
              <w:rPr>
                <w:rFonts w:eastAsia="仿宋_GB2312"/>
                <w:color w:val="auto"/>
                <w:sz w:val="28"/>
                <w:szCs w:val="28"/>
                <w:highlight w:val="none"/>
                <w:lang w:val="en-US"/>
              </w:rPr>
            </w:pPr>
          </w:p>
        </w:tc>
        <w:tc>
          <w:tcPr>
            <w:tcW w:w="1984" w:type="dxa"/>
          </w:tcPr>
          <w:p w14:paraId="6A7AADE9">
            <w:pPr>
              <w:pStyle w:val="3"/>
              <w:keepNext/>
              <w:spacing w:line="440" w:lineRule="exact"/>
              <w:ind w:left="66" w:right="66"/>
              <w:rPr>
                <w:rFonts w:eastAsia="仿宋_GB2312"/>
                <w:color w:val="auto"/>
                <w:sz w:val="28"/>
                <w:szCs w:val="28"/>
                <w:highlight w:val="none"/>
                <w:lang w:val="en-US"/>
              </w:rPr>
            </w:pPr>
          </w:p>
        </w:tc>
        <w:tc>
          <w:tcPr>
            <w:tcW w:w="851" w:type="dxa"/>
          </w:tcPr>
          <w:p w14:paraId="7F6EBBD3">
            <w:pPr>
              <w:pStyle w:val="3"/>
              <w:keepNext/>
              <w:spacing w:line="440" w:lineRule="exact"/>
              <w:ind w:left="66" w:right="66"/>
              <w:rPr>
                <w:rFonts w:eastAsia="仿宋_GB2312"/>
                <w:color w:val="auto"/>
                <w:sz w:val="28"/>
                <w:szCs w:val="28"/>
                <w:highlight w:val="none"/>
                <w:lang w:val="en-US"/>
              </w:rPr>
            </w:pPr>
          </w:p>
        </w:tc>
        <w:tc>
          <w:tcPr>
            <w:tcW w:w="774" w:type="dxa"/>
          </w:tcPr>
          <w:p w14:paraId="56289B57">
            <w:pPr>
              <w:pStyle w:val="3"/>
              <w:keepNext/>
              <w:spacing w:line="440" w:lineRule="exact"/>
              <w:ind w:left="66" w:right="66"/>
              <w:rPr>
                <w:rFonts w:eastAsia="仿宋_GB2312"/>
                <w:color w:val="auto"/>
                <w:sz w:val="28"/>
                <w:szCs w:val="28"/>
                <w:highlight w:val="none"/>
                <w:lang w:val="en-US"/>
              </w:rPr>
            </w:pPr>
          </w:p>
        </w:tc>
        <w:tc>
          <w:tcPr>
            <w:tcW w:w="1352" w:type="dxa"/>
          </w:tcPr>
          <w:p w14:paraId="6EDC4506">
            <w:pPr>
              <w:pStyle w:val="3"/>
              <w:keepNext/>
              <w:spacing w:line="440" w:lineRule="exact"/>
              <w:ind w:left="66" w:right="66"/>
              <w:rPr>
                <w:rFonts w:eastAsia="仿宋_GB2312"/>
                <w:color w:val="auto"/>
                <w:sz w:val="28"/>
                <w:szCs w:val="28"/>
                <w:highlight w:val="none"/>
                <w:lang w:val="en-US"/>
              </w:rPr>
            </w:pPr>
          </w:p>
        </w:tc>
        <w:tc>
          <w:tcPr>
            <w:tcW w:w="1418" w:type="dxa"/>
          </w:tcPr>
          <w:p w14:paraId="1350F104">
            <w:pPr>
              <w:pStyle w:val="3"/>
              <w:keepNext/>
              <w:spacing w:line="440" w:lineRule="exact"/>
              <w:ind w:left="66" w:right="66"/>
              <w:rPr>
                <w:rFonts w:eastAsia="仿宋_GB2312"/>
                <w:color w:val="auto"/>
                <w:sz w:val="28"/>
                <w:szCs w:val="28"/>
                <w:highlight w:val="none"/>
                <w:lang w:val="en-US"/>
              </w:rPr>
            </w:pPr>
          </w:p>
        </w:tc>
        <w:tc>
          <w:tcPr>
            <w:tcW w:w="1701" w:type="dxa"/>
          </w:tcPr>
          <w:p w14:paraId="233AE76B">
            <w:pPr>
              <w:pStyle w:val="3"/>
              <w:keepNext/>
              <w:spacing w:line="440" w:lineRule="exact"/>
              <w:ind w:left="66" w:right="66"/>
              <w:rPr>
                <w:rFonts w:eastAsia="仿宋_GB2312"/>
                <w:color w:val="auto"/>
                <w:sz w:val="28"/>
                <w:szCs w:val="28"/>
                <w:highlight w:val="none"/>
                <w:lang w:val="en-US"/>
              </w:rPr>
            </w:pPr>
          </w:p>
        </w:tc>
      </w:tr>
      <w:tr w14:paraId="5785D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02D310">
            <w:pPr>
              <w:pStyle w:val="3"/>
              <w:keepNext/>
              <w:spacing w:line="440" w:lineRule="exact"/>
              <w:ind w:left="66" w:right="66"/>
              <w:rPr>
                <w:rFonts w:eastAsia="仿宋_GB2312"/>
                <w:color w:val="auto"/>
                <w:sz w:val="28"/>
                <w:szCs w:val="28"/>
                <w:highlight w:val="none"/>
                <w:lang w:val="en-US"/>
              </w:rPr>
            </w:pPr>
          </w:p>
        </w:tc>
        <w:tc>
          <w:tcPr>
            <w:tcW w:w="1984" w:type="dxa"/>
          </w:tcPr>
          <w:p w14:paraId="1967D1C0">
            <w:pPr>
              <w:pStyle w:val="3"/>
              <w:keepNext/>
              <w:spacing w:line="440" w:lineRule="exact"/>
              <w:ind w:left="66" w:right="66"/>
              <w:rPr>
                <w:rFonts w:eastAsia="仿宋_GB2312"/>
                <w:color w:val="auto"/>
                <w:sz w:val="28"/>
                <w:szCs w:val="28"/>
                <w:highlight w:val="none"/>
                <w:lang w:val="en-US"/>
              </w:rPr>
            </w:pPr>
          </w:p>
        </w:tc>
        <w:tc>
          <w:tcPr>
            <w:tcW w:w="851" w:type="dxa"/>
          </w:tcPr>
          <w:p w14:paraId="3EE66A6C">
            <w:pPr>
              <w:pStyle w:val="3"/>
              <w:keepNext/>
              <w:spacing w:line="440" w:lineRule="exact"/>
              <w:ind w:left="66" w:right="66"/>
              <w:rPr>
                <w:rFonts w:eastAsia="仿宋_GB2312"/>
                <w:color w:val="auto"/>
                <w:sz w:val="28"/>
                <w:szCs w:val="28"/>
                <w:highlight w:val="none"/>
                <w:lang w:val="en-US"/>
              </w:rPr>
            </w:pPr>
          </w:p>
        </w:tc>
        <w:tc>
          <w:tcPr>
            <w:tcW w:w="774" w:type="dxa"/>
          </w:tcPr>
          <w:p w14:paraId="288D8980">
            <w:pPr>
              <w:pStyle w:val="3"/>
              <w:keepNext/>
              <w:spacing w:line="440" w:lineRule="exact"/>
              <w:ind w:left="66" w:right="66"/>
              <w:rPr>
                <w:rFonts w:eastAsia="仿宋_GB2312"/>
                <w:color w:val="auto"/>
                <w:sz w:val="28"/>
                <w:szCs w:val="28"/>
                <w:highlight w:val="none"/>
                <w:lang w:val="en-US"/>
              </w:rPr>
            </w:pPr>
          </w:p>
        </w:tc>
        <w:tc>
          <w:tcPr>
            <w:tcW w:w="1352" w:type="dxa"/>
          </w:tcPr>
          <w:p w14:paraId="58E0CC4A">
            <w:pPr>
              <w:pStyle w:val="3"/>
              <w:keepNext/>
              <w:spacing w:line="440" w:lineRule="exact"/>
              <w:ind w:left="66" w:right="66"/>
              <w:rPr>
                <w:rFonts w:eastAsia="仿宋_GB2312"/>
                <w:color w:val="auto"/>
                <w:sz w:val="28"/>
                <w:szCs w:val="28"/>
                <w:highlight w:val="none"/>
                <w:lang w:val="en-US"/>
              </w:rPr>
            </w:pPr>
          </w:p>
        </w:tc>
        <w:tc>
          <w:tcPr>
            <w:tcW w:w="1418" w:type="dxa"/>
          </w:tcPr>
          <w:p w14:paraId="430A1617">
            <w:pPr>
              <w:pStyle w:val="3"/>
              <w:keepNext/>
              <w:spacing w:line="440" w:lineRule="exact"/>
              <w:ind w:left="66" w:right="66"/>
              <w:rPr>
                <w:rFonts w:eastAsia="仿宋_GB2312"/>
                <w:color w:val="auto"/>
                <w:sz w:val="28"/>
                <w:szCs w:val="28"/>
                <w:highlight w:val="none"/>
                <w:lang w:val="en-US"/>
              </w:rPr>
            </w:pPr>
          </w:p>
        </w:tc>
        <w:tc>
          <w:tcPr>
            <w:tcW w:w="1701" w:type="dxa"/>
          </w:tcPr>
          <w:p w14:paraId="74FE36B6">
            <w:pPr>
              <w:pStyle w:val="3"/>
              <w:keepNext/>
              <w:spacing w:line="440" w:lineRule="exact"/>
              <w:ind w:left="66" w:right="66"/>
              <w:rPr>
                <w:rFonts w:eastAsia="仿宋_GB2312"/>
                <w:color w:val="auto"/>
                <w:sz w:val="28"/>
                <w:szCs w:val="28"/>
                <w:highlight w:val="none"/>
                <w:lang w:val="en-US"/>
              </w:rPr>
            </w:pPr>
          </w:p>
        </w:tc>
      </w:tr>
      <w:tr w14:paraId="7380C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0E2CB6">
            <w:pPr>
              <w:pStyle w:val="3"/>
              <w:keepNext/>
              <w:spacing w:line="440" w:lineRule="exact"/>
              <w:ind w:left="66" w:right="66"/>
              <w:rPr>
                <w:rFonts w:eastAsia="仿宋_GB2312"/>
                <w:color w:val="auto"/>
                <w:sz w:val="28"/>
                <w:szCs w:val="28"/>
                <w:highlight w:val="none"/>
                <w:lang w:val="en-US"/>
              </w:rPr>
            </w:pPr>
          </w:p>
        </w:tc>
        <w:tc>
          <w:tcPr>
            <w:tcW w:w="1984" w:type="dxa"/>
          </w:tcPr>
          <w:p w14:paraId="6ED60999">
            <w:pPr>
              <w:pStyle w:val="3"/>
              <w:keepNext/>
              <w:spacing w:line="440" w:lineRule="exact"/>
              <w:ind w:left="66" w:right="66"/>
              <w:rPr>
                <w:rFonts w:eastAsia="仿宋_GB2312"/>
                <w:color w:val="auto"/>
                <w:sz w:val="28"/>
                <w:szCs w:val="28"/>
                <w:highlight w:val="none"/>
                <w:lang w:val="en-US"/>
              </w:rPr>
            </w:pPr>
          </w:p>
        </w:tc>
        <w:tc>
          <w:tcPr>
            <w:tcW w:w="851" w:type="dxa"/>
          </w:tcPr>
          <w:p w14:paraId="243B175D">
            <w:pPr>
              <w:pStyle w:val="3"/>
              <w:keepNext/>
              <w:spacing w:line="440" w:lineRule="exact"/>
              <w:ind w:left="66" w:right="66"/>
              <w:rPr>
                <w:rFonts w:eastAsia="仿宋_GB2312"/>
                <w:color w:val="auto"/>
                <w:sz w:val="28"/>
                <w:szCs w:val="28"/>
                <w:highlight w:val="none"/>
                <w:lang w:val="en-US"/>
              </w:rPr>
            </w:pPr>
          </w:p>
        </w:tc>
        <w:tc>
          <w:tcPr>
            <w:tcW w:w="774" w:type="dxa"/>
          </w:tcPr>
          <w:p w14:paraId="09FC0A1A">
            <w:pPr>
              <w:pStyle w:val="3"/>
              <w:keepNext/>
              <w:spacing w:line="440" w:lineRule="exact"/>
              <w:ind w:left="66" w:right="66"/>
              <w:rPr>
                <w:rFonts w:eastAsia="仿宋_GB2312"/>
                <w:color w:val="auto"/>
                <w:sz w:val="28"/>
                <w:szCs w:val="28"/>
                <w:highlight w:val="none"/>
                <w:lang w:val="en-US"/>
              </w:rPr>
            </w:pPr>
          </w:p>
        </w:tc>
        <w:tc>
          <w:tcPr>
            <w:tcW w:w="1352" w:type="dxa"/>
          </w:tcPr>
          <w:p w14:paraId="251C4D95">
            <w:pPr>
              <w:pStyle w:val="3"/>
              <w:keepNext/>
              <w:spacing w:line="440" w:lineRule="exact"/>
              <w:ind w:left="66" w:right="66"/>
              <w:rPr>
                <w:rFonts w:eastAsia="仿宋_GB2312"/>
                <w:color w:val="auto"/>
                <w:sz w:val="28"/>
                <w:szCs w:val="28"/>
                <w:highlight w:val="none"/>
                <w:lang w:val="en-US"/>
              </w:rPr>
            </w:pPr>
          </w:p>
        </w:tc>
        <w:tc>
          <w:tcPr>
            <w:tcW w:w="1418" w:type="dxa"/>
          </w:tcPr>
          <w:p w14:paraId="49D90134">
            <w:pPr>
              <w:pStyle w:val="3"/>
              <w:keepNext/>
              <w:spacing w:line="440" w:lineRule="exact"/>
              <w:ind w:left="66" w:right="66"/>
              <w:rPr>
                <w:rFonts w:eastAsia="仿宋_GB2312"/>
                <w:color w:val="auto"/>
                <w:sz w:val="28"/>
                <w:szCs w:val="28"/>
                <w:highlight w:val="none"/>
                <w:lang w:val="en-US"/>
              </w:rPr>
            </w:pPr>
          </w:p>
        </w:tc>
        <w:tc>
          <w:tcPr>
            <w:tcW w:w="1701" w:type="dxa"/>
          </w:tcPr>
          <w:p w14:paraId="25100AF3">
            <w:pPr>
              <w:pStyle w:val="3"/>
              <w:keepNext/>
              <w:spacing w:line="440" w:lineRule="exact"/>
              <w:ind w:left="66" w:right="66"/>
              <w:rPr>
                <w:rFonts w:eastAsia="仿宋_GB2312"/>
                <w:color w:val="auto"/>
                <w:sz w:val="28"/>
                <w:szCs w:val="28"/>
                <w:highlight w:val="none"/>
                <w:lang w:val="en-US"/>
              </w:rPr>
            </w:pPr>
          </w:p>
        </w:tc>
      </w:tr>
      <w:tr w14:paraId="04DA7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06D840">
            <w:pPr>
              <w:pStyle w:val="3"/>
              <w:keepNext/>
              <w:spacing w:line="440" w:lineRule="exact"/>
              <w:ind w:left="66" w:right="66"/>
              <w:rPr>
                <w:rFonts w:eastAsia="仿宋_GB2312"/>
                <w:color w:val="auto"/>
                <w:sz w:val="28"/>
                <w:szCs w:val="28"/>
                <w:highlight w:val="none"/>
                <w:lang w:val="en-US"/>
              </w:rPr>
            </w:pPr>
          </w:p>
        </w:tc>
        <w:tc>
          <w:tcPr>
            <w:tcW w:w="1984" w:type="dxa"/>
          </w:tcPr>
          <w:p w14:paraId="57A2E531">
            <w:pPr>
              <w:pStyle w:val="3"/>
              <w:keepNext/>
              <w:spacing w:line="440" w:lineRule="exact"/>
              <w:ind w:left="66" w:right="66"/>
              <w:rPr>
                <w:rFonts w:eastAsia="仿宋_GB2312"/>
                <w:color w:val="auto"/>
                <w:sz w:val="28"/>
                <w:szCs w:val="28"/>
                <w:highlight w:val="none"/>
                <w:lang w:val="en-US"/>
              </w:rPr>
            </w:pPr>
          </w:p>
        </w:tc>
        <w:tc>
          <w:tcPr>
            <w:tcW w:w="851" w:type="dxa"/>
          </w:tcPr>
          <w:p w14:paraId="1F3F6FC1">
            <w:pPr>
              <w:pStyle w:val="3"/>
              <w:keepNext/>
              <w:spacing w:line="440" w:lineRule="exact"/>
              <w:ind w:left="66" w:right="66"/>
              <w:rPr>
                <w:rFonts w:eastAsia="仿宋_GB2312"/>
                <w:color w:val="auto"/>
                <w:sz w:val="28"/>
                <w:szCs w:val="28"/>
                <w:highlight w:val="none"/>
                <w:lang w:val="en-US"/>
              </w:rPr>
            </w:pPr>
          </w:p>
        </w:tc>
        <w:tc>
          <w:tcPr>
            <w:tcW w:w="774" w:type="dxa"/>
          </w:tcPr>
          <w:p w14:paraId="5FAF089E">
            <w:pPr>
              <w:pStyle w:val="3"/>
              <w:keepNext/>
              <w:spacing w:line="440" w:lineRule="exact"/>
              <w:ind w:left="66" w:right="66"/>
              <w:rPr>
                <w:rFonts w:eastAsia="仿宋_GB2312"/>
                <w:color w:val="auto"/>
                <w:sz w:val="28"/>
                <w:szCs w:val="28"/>
                <w:highlight w:val="none"/>
                <w:lang w:val="en-US"/>
              </w:rPr>
            </w:pPr>
          </w:p>
        </w:tc>
        <w:tc>
          <w:tcPr>
            <w:tcW w:w="1352" w:type="dxa"/>
          </w:tcPr>
          <w:p w14:paraId="58EA7681">
            <w:pPr>
              <w:pStyle w:val="3"/>
              <w:keepNext/>
              <w:spacing w:line="440" w:lineRule="exact"/>
              <w:ind w:left="66" w:right="66"/>
              <w:rPr>
                <w:rFonts w:eastAsia="仿宋_GB2312"/>
                <w:color w:val="auto"/>
                <w:sz w:val="28"/>
                <w:szCs w:val="28"/>
                <w:highlight w:val="none"/>
                <w:lang w:val="en-US"/>
              </w:rPr>
            </w:pPr>
          </w:p>
        </w:tc>
        <w:tc>
          <w:tcPr>
            <w:tcW w:w="1418" w:type="dxa"/>
          </w:tcPr>
          <w:p w14:paraId="35D11C4A">
            <w:pPr>
              <w:pStyle w:val="3"/>
              <w:keepNext/>
              <w:spacing w:line="440" w:lineRule="exact"/>
              <w:ind w:left="66" w:right="66"/>
              <w:rPr>
                <w:rFonts w:eastAsia="仿宋_GB2312"/>
                <w:color w:val="auto"/>
                <w:sz w:val="28"/>
                <w:szCs w:val="28"/>
                <w:highlight w:val="none"/>
                <w:lang w:val="en-US"/>
              </w:rPr>
            </w:pPr>
          </w:p>
        </w:tc>
        <w:tc>
          <w:tcPr>
            <w:tcW w:w="1701" w:type="dxa"/>
          </w:tcPr>
          <w:p w14:paraId="32370C2A">
            <w:pPr>
              <w:pStyle w:val="3"/>
              <w:keepNext/>
              <w:spacing w:line="440" w:lineRule="exact"/>
              <w:ind w:left="66" w:right="66"/>
              <w:rPr>
                <w:rFonts w:eastAsia="仿宋_GB2312"/>
                <w:color w:val="auto"/>
                <w:sz w:val="28"/>
                <w:szCs w:val="28"/>
                <w:highlight w:val="none"/>
                <w:lang w:val="en-US"/>
              </w:rPr>
            </w:pPr>
          </w:p>
        </w:tc>
      </w:tr>
      <w:tr w14:paraId="6F0B8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8C454A">
            <w:pPr>
              <w:pStyle w:val="3"/>
              <w:keepNext/>
              <w:spacing w:line="440" w:lineRule="exact"/>
              <w:ind w:left="66" w:right="66"/>
              <w:rPr>
                <w:rFonts w:eastAsia="仿宋_GB2312"/>
                <w:color w:val="auto"/>
                <w:sz w:val="28"/>
                <w:szCs w:val="28"/>
                <w:highlight w:val="none"/>
                <w:lang w:val="en-US"/>
              </w:rPr>
            </w:pPr>
          </w:p>
        </w:tc>
        <w:tc>
          <w:tcPr>
            <w:tcW w:w="1984" w:type="dxa"/>
          </w:tcPr>
          <w:p w14:paraId="5F4B1667">
            <w:pPr>
              <w:pStyle w:val="3"/>
              <w:keepNext/>
              <w:spacing w:line="440" w:lineRule="exact"/>
              <w:ind w:left="66" w:right="66"/>
              <w:rPr>
                <w:rFonts w:eastAsia="仿宋_GB2312"/>
                <w:color w:val="auto"/>
                <w:sz w:val="28"/>
                <w:szCs w:val="28"/>
                <w:highlight w:val="none"/>
                <w:lang w:val="en-US"/>
              </w:rPr>
            </w:pPr>
          </w:p>
        </w:tc>
        <w:tc>
          <w:tcPr>
            <w:tcW w:w="851" w:type="dxa"/>
          </w:tcPr>
          <w:p w14:paraId="5EA7442F">
            <w:pPr>
              <w:pStyle w:val="3"/>
              <w:keepNext/>
              <w:spacing w:line="440" w:lineRule="exact"/>
              <w:ind w:left="66" w:right="66"/>
              <w:rPr>
                <w:rFonts w:eastAsia="仿宋_GB2312"/>
                <w:color w:val="auto"/>
                <w:sz w:val="28"/>
                <w:szCs w:val="28"/>
                <w:highlight w:val="none"/>
                <w:lang w:val="en-US"/>
              </w:rPr>
            </w:pPr>
          </w:p>
        </w:tc>
        <w:tc>
          <w:tcPr>
            <w:tcW w:w="774" w:type="dxa"/>
          </w:tcPr>
          <w:p w14:paraId="51EFA5F3">
            <w:pPr>
              <w:pStyle w:val="3"/>
              <w:keepNext/>
              <w:spacing w:line="440" w:lineRule="exact"/>
              <w:ind w:left="66" w:right="66"/>
              <w:rPr>
                <w:rFonts w:eastAsia="仿宋_GB2312"/>
                <w:color w:val="auto"/>
                <w:sz w:val="28"/>
                <w:szCs w:val="28"/>
                <w:highlight w:val="none"/>
                <w:lang w:val="en-US"/>
              </w:rPr>
            </w:pPr>
          </w:p>
        </w:tc>
        <w:tc>
          <w:tcPr>
            <w:tcW w:w="1352" w:type="dxa"/>
          </w:tcPr>
          <w:p w14:paraId="71BE442D">
            <w:pPr>
              <w:pStyle w:val="3"/>
              <w:keepNext/>
              <w:spacing w:line="440" w:lineRule="exact"/>
              <w:ind w:left="66" w:right="66"/>
              <w:rPr>
                <w:rFonts w:eastAsia="仿宋_GB2312"/>
                <w:color w:val="auto"/>
                <w:sz w:val="28"/>
                <w:szCs w:val="28"/>
                <w:highlight w:val="none"/>
                <w:lang w:val="en-US"/>
              </w:rPr>
            </w:pPr>
          </w:p>
        </w:tc>
        <w:tc>
          <w:tcPr>
            <w:tcW w:w="1418" w:type="dxa"/>
          </w:tcPr>
          <w:p w14:paraId="2B4A5794">
            <w:pPr>
              <w:pStyle w:val="3"/>
              <w:keepNext/>
              <w:spacing w:line="440" w:lineRule="exact"/>
              <w:ind w:left="66" w:right="66"/>
              <w:rPr>
                <w:rFonts w:eastAsia="仿宋_GB2312"/>
                <w:color w:val="auto"/>
                <w:sz w:val="28"/>
                <w:szCs w:val="28"/>
                <w:highlight w:val="none"/>
                <w:lang w:val="en-US"/>
              </w:rPr>
            </w:pPr>
          </w:p>
        </w:tc>
        <w:tc>
          <w:tcPr>
            <w:tcW w:w="1701" w:type="dxa"/>
          </w:tcPr>
          <w:p w14:paraId="5E0E8B86">
            <w:pPr>
              <w:pStyle w:val="3"/>
              <w:keepNext/>
              <w:spacing w:line="440" w:lineRule="exact"/>
              <w:ind w:left="66" w:right="66"/>
              <w:rPr>
                <w:rFonts w:eastAsia="仿宋_GB2312"/>
                <w:color w:val="auto"/>
                <w:sz w:val="28"/>
                <w:szCs w:val="28"/>
                <w:highlight w:val="none"/>
                <w:lang w:val="en-US"/>
              </w:rPr>
            </w:pPr>
          </w:p>
        </w:tc>
      </w:tr>
      <w:tr w14:paraId="19A7D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4C4140">
            <w:pPr>
              <w:pStyle w:val="3"/>
              <w:keepNext/>
              <w:spacing w:line="440" w:lineRule="exact"/>
              <w:ind w:left="66" w:right="66"/>
              <w:rPr>
                <w:rFonts w:eastAsia="仿宋_GB2312"/>
                <w:color w:val="auto"/>
                <w:sz w:val="28"/>
                <w:szCs w:val="28"/>
                <w:highlight w:val="none"/>
                <w:lang w:val="en-US"/>
              </w:rPr>
            </w:pPr>
          </w:p>
        </w:tc>
        <w:tc>
          <w:tcPr>
            <w:tcW w:w="1984" w:type="dxa"/>
          </w:tcPr>
          <w:p w14:paraId="6D70023F">
            <w:pPr>
              <w:pStyle w:val="3"/>
              <w:keepNext/>
              <w:spacing w:line="440" w:lineRule="exact"/>
              <w:ind w:left="66" w:right="66"/>
              <w:rPr>
                <w:rFonts w:eastAsia="仿宋_GB2312"/>
                <w:color w:val="auto"/>
                <w:sz w:val="28"/>
                <w:szCs w:val="28"/>
                <w:highlight w:val="none"/>
                <w:lang w:val="en-US"/>
              </w:rPr>
            </w:pPr>
          </w:p>
        </w:tc>
        <w:tc>
          <w:tcPr>
            <w:tcW w:w="851" w:type="dxa"/>
          </w:tcPr>
          <w:p w14:paraId="7D132E75">
            <w:pPr>
              <w:pStyle w:val="3"/>
              <w:keepNext/>
              <w:spacing w:line="440" w:lineRule="exact"/>
              <w:ind w:left="66" w:right="66"/>
              <w:rPr>
                <w:rFonts w:eastAsia="仿宋_GB2312"/>
                <w:color w:val="auto"/>
                <w:sz w:val="28"/>
                <w:szCs w:val="28"/>
                <w:highlight w:val="none"/>
                <w:lang w:val="en-US"/>
              </w:rPr>
            </w:pPr>
          </w:p>
        </w:tc>
        <w:tc>
          <w:tcPr>
            <w:tcW w:w="774" w:type="dxa"/>
          </w:tcPr>
          <w:p w14:paraId="63EA3D35">
            <w:pPr>
              <w:pStyle w:val="3"/>
              <w:keepNext/>
              <w:spacing w:line="440" w:lineRule="exact"/>
              <w:ind w:left="66" w:right="66"/>
              <w:rPr>
                <w:rFonts w:eastAsia="仿宋_GB2312"/>
                <w:color w:val="auto"/>
                <w:sz w:val="28"/>
                <w:szCs w:val="28"/>
                <w:highlight w:val="none"/>
                <w:lang w:val="en-US"/>
              </w:rPr>
            </w:pPr>
          </w:p>
        </w:tc>
        <w:tc>
          <w:tcPr>
            <w:tcW w:w="1352" w:type="dxa"/>
          </w:tcPr>
          <w:p w14:paraId="2C3AFA17">
            <w:pPr>
              <w:pStyle w:val="3"/>
              <w:keepNext/>
              <w:spacing w:line="440" w:lineRule="exact"/>
              <w:ind w:left="66" w:right="66"/>
              <w:rPr>
                <w:rFonts w:eastAsia="仿宋_GB2312"/>
                <w:color w:val="auto"/>
                <w:sz w:val="28"/>
                <w:szCs w:val="28"/>
                <w:highlight w:val="none"/>
                <w:lang w:val="en-US"/>
              </w:rPr>
            </w:pPr>
          </w:p>
        </w:tc>
        <w:tc>
          <w:tcPr>
            <w:tcW w:w="1418" w:type="dxa"/>
          </w:tcPr>
          <w:p w14:paraId="6D99040B">
            <w:pPr>
              <w:pStyle w:val="3"/>
              <w:keepNext/>
              <w:spacing w:line="440" w:lineRule="exact"/>
              <w:ind w:left="66" w:right="66"/>
              <w:rPr>
                <w:rFonts w:eastAsia="仿宋_GB2312"/>
                <w:color w:val="auto"/>
                <w:sz w:val="28"/>
                <w:szCs w:val="28"/>
                <w:highlight w:val="none"/>
                <w:lang w:val="en-US"/>
              </w:rPr>
            </w:pPr>
          </w:p>
        </w:tc>
        <w:tc>
          <w:tcPr>
            <w:tcW w:w="1701" w:type="dxa"/>
          </w:tcPr>
          <w:p w14:paraId="223D02F9">
            <w:pPr>
              <w:pStyle w:val="3"/>
              <w:keepNext/>
              <w:spacing w:line="440" w:lineRule="exact"/>
              <w:ind w:left="66" w:right="66"/>
              <w:rPr>
                <w:rFonts w:eastAsia="仿宋_GB2312"/>
                <w:color w:val="auto"/>
                <w:sz w:val="28"/>
                <w:szCs w:val="28"/>
                <w:highlight w:val="none"/>
                <w:lang w:val="en-US"/>
              </w:rPr>
            </w:pPr>
          </w:p>
        </w:tc>
      </w:tr>
      <w:tr w14:paraId="7B26B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F16BAE">
            <w:pPr>
              <w:pStyle w:val="3"/>
              <w:keepNext/>
              <w:spacing w:line="440" w:lineRule="exact"/>
              <w:ind w:left="66" w:right="66"/>
              <w:rPr>
                <w:rFonts w:eastAsia="仿宋_GB2312"/>
                <w:color w:val="auto"/>
                <w:sz w:val="28"/>
                <w:szCs w:val="28"/>
                <w:highlight w:val="none"/>
                <w:lang w:val="en-US"/>
              </w:rPr>
            </w:pPr>
          </w:p>
        </w:tc>
        <w:tc>
          <w:tcPr>
            <w:tcW w:w="1984" w:type="dxa"/>
          </w:tcPr>
          <w:p w14:paraId="29BCE1A2">
            <w:pPr>
              <w:pStyle w:val="3"/>
              <w:keepNext/>
              <w:spacing w:line="440" w:lineRule="exact"/>
              <w:ind w:left="66" w:right="66"/>
              <w:rPr>
                <w:rFonts w:eastAsia="仿宋_GB2312"/>
                <w:color w:val="auto"/>
                <w:sz w:val="28"/>
                <w:szCs w:val="28"/>
                <w:highlight w:val="none"/>
                <w:lang w:val="en-US"/>
              </w:rPr>
            </w:pPr>
          </w:p>
        </w:tc>
        <w:tc>
          <w:tcPr>
            <w:tcW w:w="851" w:type="dxa"/>
          </w:tcPr>
          <w:p w14:paraId="4E28BB26">
            <w:pPr>
              <w:pStyle w:val="3"/>
              <w:keepNext/>
              <w:spacing w:line="440" w:lineRule="exact"/>
              <w:ind w:left="66" w:right="66"/>
              <w:rPr>
                <w:rFonts w:eastAsia="仿宋_GB2312"/>
                <w:color w:val="auto"/>
                <w:sz w:val="28"/>
                <w:szCs w:val="28"/>
                <w:highlight w:val="none"/>
                <w:lang w:val="en-US"/>
              </w:rPr>
            </w:pPr>
          </w:p>
        </w:tc>
        <w:tc>
          <w:tcPr>
            <w:tcW w:w="774" w:type="dxa"/>
          </w:tcPr>
          <w:p w14:paraId="0BA07C98">
            <w:pPr>
              <w:pStyle w:val="3"/>
              <w:keepNext/>
              <w:spacing w:line="440" w:lineRule="exact"/>
              <w:ind w:left="66" w:right="66"/>
              <w:rPr>
                <w:rFonts w:eastAsia="仿宋_GB2312"/>
                <w:color w:val="auto"/>
                <w:sz w:val="28"/>
                <w:szCs w:val="28"/>
                <w:highlight w:val="none"/>
                <w:lang w:val="en-US"/>
              </w:rPr>
            </w:pPr>
          </w:p>
        </w:tc>
        <w:tc>
          <w:tcPr>
            <w:tcW w:w="1352" w:type="dxa"/>
          </w:tcPr>
          <w:p w14:paraId="26D89A41">
            <w:pPr>
              <w:pStyle w:val="3"/>
              <w:keepNext/>
              <w:spacing w:line="440" w:lineRule="exact"/>
              <w:ind w:left="66" w:right="66"/>
              <w:rPr>
                <w:rFonts w:eastAsia="仿宋_GB2312"/>
                <w:color w:val="auto"/>
                <w:sz w:val="28"/>
                <w:szCs w:val="28"/>
                <w:highlight w:val="none"/>
                <w:lang w:val="en-US"/>
              </w:rPr>
            </w:pPr>
          </w:p>
        </w:tc>
        <w:tc>
          <w:tcPr>
            <w:tcW w:w="1418" w:type="dxa"/>
          </w:tcPr>
          <w:p w14:paraId="5EA26A95">
            <w:pPr>
              <w:pStyle w:val="3"/>
              <w:keepNext/>
              <w:spacing w:line="440" w:lineRule="exact"/>
              <w:ind w:left="66" w:right="66"/>
              <w:rPr>
                <w:rFonts w:eastAsia="仿宋_GB2312"/>
                <w:color w:val="auto"/>
                <w:sz w:val="28"/>
                <w:szCs w:val="28"/>
                <w:highlight w:val="none"/>
                <w:lang w:val="en-US"/>
              </w:rPr>
            </w:pPr>
          </w:p>
        </w:tc>
        <w:tc>
          <w:tcPr>
            <w:tcW w:w="1701" w:type="dxa"/>
          </w:tcPr>
          <w:p w14:paraId="17DFAE19">
            <w:pPr>
              <w:pStyle w:val="3"/>
              <w:keepNext/>
              <w:spacing w:line="440" w:lineRule="exact"/>
              <w:ind w:left="66" w:right="66"/>
              <w:rPr>
                <w:rFonts w:eastAsia="仿宋_GB2312"/>
                <w:color w:val="auto"/>
                <w:sz w:val="28"/>
                <w:szCs w:val="28"/>
                <w:highlight w:val="none"/>
                <w:lang w:val="en-US"/>
              </w:rPr>
            </w:pPr>
          </w:p>
        </w:tc>
      </w:tr>
      <w:tr w14:paraId="6803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877754">
            <w:pPr>
              <w:pStyle w:val="3"/>
              <w:keepNext/>
              <w:spacing w:line="440" w:lineRule="exact"/>
              <w:ind w:left="66" w:right="66"/>
              <w:rPr>
                <w:rFonts w:eastAsia="仿宋_GB2312"/>
                <w:color w:val="auto"/>
                <w:sz w:val="28"/>
                <w:szCs w:val="28"/>
                <w:highlight w:val="none"/>
                <w:lang w:val="en-US"/>
              </w:rPr>
            </w:pPr>
          </w:p>
        </w:tc>
        <w:tc>
          <w:tcPr>
            <w:tcW w:w="1984" w:type="dxa"/>
          </w:tcPr>
          <w:p w14:paraId="65F9965F">
            <w:pPr>
              <w:pStyle w:val="3"/>
              <w:keepNext/>
              <w:spacing w:line="440" w:lineRule="exact"/>
              <w:ind w:left="66" w:right="66"/>
              <w:rPr>
                <w:rFonts w:eastAsia="仿宋_GB2312"/>
                <w:color w:val="auto"/>
                <w:sz w:val="28"/>
                <w:szCs w:val="28"/>
                <w:highlight w:val="none"/>
                <w:lang w:val="en-US"/>
              </w:rPr>
            </w:pPr>
          </w:p>
        </w:tc>
        <w:tc>
          <w:tcPr>
            <w:tcW w:w="851" w:type="dxa"/>
          </w:tcPr>
          <w:p w14:paraId="330AB7F1">
            <w:pPr>
              <w:pStyle w:val="3"/>
              <w:keepNext/>
              <w:spacing w:line="440" w:lineRule="exact"/>
              <w:ind w:left="66" w:right="66"/>
              <w:rPr>
                <w:rFonts w:eastAsia="仿宋_GB2312"/>
                <w:color w:val="auto"/>
                <w:sz w:val="28"/>
                <w:szCs w:val="28"/>
                <w:highlight w:val="none"/>
                <w:lang w:val="en-US"/>
              </w:rPr>
            </w:pPr>
          </w:p>
        </w:tc>
        <w:tc>
          <w:tcPr>
            <w:tcW w:w="774" w:type="dxa"/>
          </w:tcPr>
          <w:p w14:paraId="3D3F74F0">
            <w:pPr>
              <w:pStyle w:val="3"/>
              <w:keepNext/>
              <w:spacing w:line="440" w:lineRule="exact"/>
              <w:ind w:left="66" w:right="66"/>
              <w:rPr>
                <w:rFonts w:eastAsia="仿宋_GB2312"/>
                <w:color w:val="auto"/>
                <w:sz w:val="28"/>
                <w:szCs w:val="28"/>
                <w:highlight w:val="none"/>
                <w:lang w:val="en-US"/>
              </w:rPr>
            </w:pPr>
          </w:p>
        </w:tc>
        <w:tc>
          <w:tcPr>
            <w:tcW w:w="1352" w:type="dxa"/>
          </w:tcPr>
          <w:p w14:paraId="4675F39A">
            <w:pPr>
              <w:pStyle w:val="3"/>
              <w:keepNext/>
              <w:spacing w:line="440" w:lineRule="exact"/>
              <w:ind w:left="66" w:right="66"/>
              <w:rPr>
                <w:rFonts w:eastAsia="仿宋_GB2312"/>
                <w:color w:val="auto"/>
                <w:sz w:val="28"/>
                <w:szCs w:val="28"/>
                <w:highlight w:val="none"/>
                <w:lang w:val="en-US"/>
              </w:rPr>
            </w:pPr>
          </w:p>
        </w:tc>
        <w:tc>
          <w:tcPr>
            <w:tcW w:w="1418" w:type="dxa"/>
          </w:tcPr>
          <w:p w14:paraId="360F41AC">
            <w:pPr>
              <w:pStyle w:val="3"/>
              <w:keepNext/>
              <w:spacing w:line="440" w:lineRule="exact"/>
              <w:ind w:left="66" w:right="66"/>
              <w:rPr>
                <w:rFonts w:eastAsia="仿宋_GB2312"/>
                <w:color w:val="auto"/>
                <w:sz w:val="28"/>
                <w:szCs w:val="28"/>
                <w:highlight w:val="none"/>
                <w:lang w:val="en-US"/>
              </w:rPr>
            </w:pPr>
          </w:p>
        </w:tc>
        <w:tc>
          <w:tcPr>
            <w:tcW w:w="1701" w:type="dxa"/>
          </w:tcPr>
          <w:p w14:paraId="02573E74">
            <w:pPr>
              <w:pStyle w:val="3"/>
              <w:keepNext/>
              <w:spacing w:line="440" w:lineRule="exact"/>
              <w:ind w:left="66" w:right="66"/>
              <w:rPr>
                <w:rFonts w:eastAsia="仿宋_GB2312"/>
                <w:color w:val="auto"/>
                <w:sz w:val="28"/>
                <w:szCs w:val="28"/>
                <w:highlight w:val="none"/>
                <w:lang w:val="en-US"/>
              </w:rPr>
            </w:pPr>
          </w:p>
        </w:tc>
      </w:tr>
      <w:tr w14:paraId="6EBAB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A72E67">
            <w:pPr>
              <w:pStyle w:val="3"/>
              <w:keepNext/>
              <w:spacing w:line="440" w:lineRule="exact"/>
              <w:ind w:left="66" w:right="66"/>
              <w:rPr>
                <w:rFonts w:eastAsia="仿宋_GB2312"/>
                <w:color w:val="auto"/>
                <w:sz w:val="28"/>
                <w:szCs w:val="28"/>
                <w:highlight w:val="none"/>
                <w:lang w:val="en-US"/>
              </w:rPr>
            </w:pPr>
          </w:p>
        </w:tc>
        <w:tc>
          <w:tcPr>
            <w:tcW w:w="1984" w:type="dxa"/>
          </w:tcPr>
          <w:p w14:paraId="2AAC1044">
            <w:pPr>
              <w:pStyle w:val="3"/>
              <w:keepNext/>
              <w:spacing w:line="440" w:lineRule="exact"/>
              <w:ind w:left="66" w:right="66"/>
              <w:rPr>
                <w:rFonts w:eastAsia="仿宋_GB2312"/>
                <w:color w:val="auto"/>
                <w:sz w:val="28"/>
                <w:szCs w:val="28"/>
                <w:highlight w:val="none"/>
                <w:lang w:val="en-US"/>
              </w:rPr>
            </w:pPr>
          </w:p>
        </w:tc>
        <w:tc>
          <w:tcPr>
            <w:tcW w:w="851" w:type="dxa"/>
          </w:tcPr>
          <w:p w14:paraId="25F8DB4B">
            <w:pPr>
              <w:pStyle w:val="3"/>
              <w:keepNext/>
              <w:spacing w:line="440" w:lineRule="exact"/>
              <w:ind w:left="66" w:right="66"/>
              <w:rPr>
                <w:rFonts w:eastAsia="仿宋_GB2312"/>
                <w:color w:val="auto"/>
                <w:sz w:val="28"/>
                <w:szCs w:val="28"/>
                <w:highlight w:val="none"/>
                <w:lang w:val="en-US"/>
              </w:rPr>
            </w:pPr>
          </w:p>
        </w:tc>
        <w:tc>
          <w:tcPr>
            <w:tcW w:w="774" w:type="dxa"/>
          </w:tcPr>
          <w:p w14:paraId="570196E0">
            <w:pPr>
              <w:pStyle w:val="3"/>
              <w:keepNext/>
              <w:spacing w:line="440" w:lineRule="exact"/>
              <w:ind w:left="66" w:right="66"/>
              <w:rPr>
                <w:rFonts w:eastAsia="仿宋_GB2312"/>
                <w:color w:val="auto"/>
                <w:sz w:val="28"/>
                <w:szCs w:val="28"/>
                <w:highlight w:val="none"/>
                <w:lang w:val="en-US"/>
              </w:rPr>
            </w:pPr>
          </w:p>
        </w:tc>
        <w:tc>
          <w:tcPr>
            <w:tcW w:w="1352" w:type="dxa"/>
          </w:tcPr>
          <w:p w14:paraId="7305E5EA">
            <w:pPr>
              <w:pStyle w:val="3"/>
              <w:keepNext/>
              <w:spacing w:line="440" w:lineRule="exact"/>
              <w:ind w:left="66" w:right="66"/>
              <w:rPr>
                <w:rFonts w:eastAsia="仿宋_GB2312"/>
                <w:color w:val="auto"/>
                <w:sz w:val="28"/>
                <w:szCs w:val="28"/>
                <w:highlight w:val="none"/>
                <w:lang w:val="en-US"/>
              </w:rPr>
            </w:pPr>
          </w:p>
        </w:tc>
        <w:tc>
          <w:tcPr>
            <w:tcW w:w="1418" w:type="dxa"/>
          </w:tcPr>
          <w:p w14:paraId="44523A58">
            <w:pPr>
              <w:pStyle w:val="3"/>
              <w:keepNext/>
              <w:spacing w:line="440" w:lineRule="exact"/>
              <w:ind w:left="66" w:right="66"/>
              <w:rPr>
                <w:rFonts w:eastAsia="仿宋_GB2312"/>
                <w:color w:val="auto"/>
                <w:sz w:val="28"/>
                <w:szCs w:val="28"/>
                <w:highlight w:val="none"/>
                <w:lang w:val="en-US"/>
              </w:rPr>
            </w:pPr>
          </w:p>
        </w:tc>
        <w:tc>
          <w:tcPr>
            <w:tcW w:w="1701" w:type="dxa"/>
          </w:tcPr>
          <w:p w14:paraId="21951105">
            <w:pPr>
              <w:pStyle w:val="3"/>
              <w:keepNext/>
              <w:spacing w:line="440" w:lineRule="exact"/>
              <w:ind w:left="66" w:right="66"/>
              <w:rPr>
                <w:rFonts w:eastAsia="仿宋_GB2312"/>
                <w:color w:val="auto"/>
                <w:sz w:val="28"/>
                <w:szCs w:val="28"/>
                <w:highlight w:val="none"/>
                <w:lang w:val="en-US"/>
              </w:rPr>
            </w:pPr>
          </w:p>
        </w:tc>
      </w:tr>
      <w:tr w14:paraId="10068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44A526">
            <w:pPr>
              <w:pStyle w:val="3"/>
              <w:keepNext/>
              <w:spacing w:line="440" w:lineRule="exact"/>
              <w:ind w:left="66" w:right="66"/>
              <w:rPr>
                <w:rFonts w:eastAsia="仿宋_GB2312"/>
                <w:color w:val="auto"/>
                <w:sz w:val="28"/>
                <w:szCs w:val="28"/>
                <w:highlight w:val="none"/>
                <w:lang w:val="en-US"/>
              </w:rPr>
            </w:pPr>
          </w:p>
        </w:tc>
        <w:tc>
          <w:tcPr>
            <w:tcW w:w="1984" w:type="dxa"/>
          </w:tcPr>
          <w:p w14:paraId="40806185">
            <w:pPr>
              <w:pStyle w:val="3"/>
              <w:keepNext/>
              <w:spacing w:line="440" w:lineRule="exact"/>
              <w:ind w:left="66" w:right="66"/>
              <w:rPr>
                <w:rFonts w:eastAsia="仿宋_GB2312"/>
                <w:color w:val="auto"/>
                <w:sz w:val="28"/>
                <w:szCs w:val="28"/>
                <w:highlight w:val="none"/>
                <w:lang w:val="en-US"/>
              </w:rPr>
            </w:pPr>
          </w:p>
        </w:tc>
        <w:tc>
          <w:tcPr>
            <w:tcW w:w="851" w:type="dxa"/>
          </w:tcPr>
          <w:p w14:paraId="182A066F">
            <w:pPr>
              <w:pStyle w:val="3"/>
              <w:keepNext/>
              <w:spacing w:line="440" w:lineRule="exact"/>
              <w:ind w:left="66" w:right="66"/>
              <w:rPr>
                <w:rFonts w:eastAsia="仿宋_GB2312"/>
                <w:color w:val="auto"/>
                <w:sz w:val="28"/>
                <w:szCs w:val="28"/>
                <w:highlight w:val="none"/>
                <w:lang w:val="en-US"/>
              </w:rPr>
            </w:pPr>
          </w:p>
        </w:tc>
        <w:tc>
          <w:tcPr>
            <w:tcW w:w="774" w:type="dxa"/>
          </w:tcPr>
          <w:p w14:paraId="1F457F02">
            <w:pPr>
              <w:pStyle w:val="3"/>
              <w:keepNext/>
              <w:spacing w:line="440" w:lineRule="exact"/>
              <w:ind w:left="66" w:right="66"/>
              <w:rPr>
                <w:rFonts w:eastAsia="仿宋_GB2312"/>
                <w:color w:val="auto"/>
                <w:sz w:val="28"/>
                <w:szCs w:val="28"/>
                <w:highlight w:val="none"/>
                <w:lang w:val="en-US"/>
              </w:rPr>
            </w:pPr>
          </w:p>
        </w:tc>
        <w:tc>
          <w:tcPr>
            <w:tcW w:w="1352" w:type="dxa"/>
          </w:tcPr>
          <w:p w14:paraId="4826296C">
            <w:pPr>
              <w:pStyle w:val="3"/>
              <w:keepNext/>
              <w:spacing w:line="440" w:lineRule="exact"/>
              <w:ind w:left="66" w:right="66"/>
              <w:rPr>
                <w:rFonts w:eastAsia="仿宋_GB2312"/>
                <w:color w:val="auto"/>
                <w:sz w:val="28"/>
                <w:szCs w:val="28"/>
                <w:highlight w:val="none"/>
                <w:lang w:val="en-US"/>
              </w:rPr>
            </w:pPr>
          </w:p>
        </w:tc>
        <w:tc>
          <w:tcPr>
            <w:tcW w:w="1418" w:type="dxa"/>
          </w:tcPr>
          <w:p w14:paraId="7B0FE8D3">
            <w:pPr>
              <w:pStyle w:val="3"/>
              <w:keepNext/>
              <w:spacing w:line="440" w:lineRule="exact"/>
              <w:ind w:left="66" w:right="66"/>
              <w:rPr>
                <w:rFonts w:eastAsia="仿宋_GB2312"/>
                <w:color w:val="auto"/>
                <w:sz w:val="28"/>
                <w:szCs w:val="28"/>
                <w:highlight w:val="none"/>
                <w:lang w:val="en-US"/>
              </w:rPr>
            </w:pPr>
          </w:p>
        </w:tc>
        <w:tc>
          <w:tcPr>
            <w:tcW w:w="1701" w:type="dxa"/>
          </w:tcPr>
          <w:p w14:paraId="2C63E9A1">
            <w:pPr>
              <w:pStyle w:val="3"/>
              <w:keepNext/>
              <w:spacing w:line="440" w:lineRule="exact"/>
              <w:ind w:left="66" w:right="66"/>
              <w:rPr>
                <w:rFonts w:eastAsia="仿宋_GB2312"/>
                <w:color w:val="auto"/>
                <w:sz w:val="28"/>
                <w:szCs w:val="28"/>
                <w:highlight w:val="none"/>
                <w:lang w:val="en-US"/>
              </w:rPr>
            </w:pPr>
          </w:p>
        </w:tc>
      </w:tr>
      <w:tr w14:paraId="2D688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46CBC7">
            <w:pPr>
              <w:pStyle w:val="3"/>
              <w:keepNext/>
              <w:spacing w:line="440" w:lineRule="exact"/>
              <w:ind w:left="66" w:right="66"/>
              <w:rPr>
                <w:rFonts w:eastAsia="仿宋_GB2312"/>
                <w:color w:val="auto"/>
                <w:sz w:val="28"/>
                <w:szCs w:val="28"/>
                <w:highlight w:val="none"/>
                <w:lang w:val="en-US"/>
              </w:rPr>
            </w:pPr>
          </w:p>
        </w:tc>
        <w:tc>
          <w:tcPr>
            <w:tcW w:w="1984" w:type="dxa"/>
          </w:tcPr>
          <w:p w14:paraId="45046D61">
            <w:pPr>
              <w:pStyle w:val="3"/>
              <w:keepNext/>
              <w:spacing w:line="440" w:lineRule="exact"/>
              <w:ind w:left="66" w:right="66"/>
              <w:rPr>
                <w:rFonts w:eastAsia="仿宋_GB2312"/>
                <w:color w:val="auto"/>
                <w:sz w:val="28"/>
                <w:szCs w:val="28"/>
                <w:highlight w:val="none"/>
                <w:lang w:val="en-US"/>
              </w:rPr>
            </w:pPr>
          </w:p>
        </w:tc>
        <w:tc>
          <w:tcPr>
            <w:tcW w:w="851" w:type="dxa"/>
          </w:tcPr>
          <w:p w14:paraId="55E50525">
            <w:pPr>
              <w:pStyle w:val="3"/>
              <w:keepNext/>
              <w:spacing w:line="440" w:lineRule="exact"/>
              <w:ind w:left="66" w:right="66"/>
              <w:rPr>
                <w:rFonts w:eastAsia="仿宋_GB2312"/>
                <w:color w:val="auto"/>
                <w:sz w:val="28"/>
                <w:szCs w:val="28"/>
                <w:highlight w:val="none"/>
                <w:lang w:val="en-US"/>
              </w:rPr>
            </w:pPr>
          </w:p>
        </w:tc>
        <w:tc>
          <w:tcPr>
            <w:tcW w:w="774" w:type="dxa"/>
          </w:tcPr>
          <w:p w14:paraId="4E032D4A">
            <w:pPr>
              <w:pStyle w:val="3"/>
              <w:keepNext/>
              <w:spacing w:line="440" w:lineRule="exact"/>
              <w:ind w:left="66" w:right="66"/>
              <w:rPr>
                <w:rFonts w:eastAsia="仿宋_GB2312"/>
                <w:color w:val="auto"/>
                <w:sz w:val="28"/>
                <w:szCs w:val="28"/>
                <w:highlight w:val="none"/>
                <w:lang w:val="en-US"/>
              </w:rPr>
            </w:pPr>
          </w:p>
        </w:tc>
        <w:tc>
          <w:tcPr>
            <w:tcW w:w="1352" w:type="dxa"/>
          </w:tcPr>
          <w:p w14:paraId="6AED4958">
            <w:pPr>
              <w:pStyle w:val="3"/>
              <w:keepNext/>
              <w:spacing w:line="440" w:lineRule="exact"/>
              <w:ind w:left="66" w:right="66"/>
              <w:rPr>
                <w:rFonts w:eastAsia="仿宋_GB2312"/>
                <w:color w:val="auto"/>
                <w:sz w:val="28"/>
                <w:szCs w:val="28"/>
                <w:highlight w:val="none"/>
                <w:lang w:val="en-US"/>
              </w:rPr>
            </w:pPr>
          </w:p>
        </w:tc>
        <w:tc>
          <w:tcPr>
            <w:tcW w:w="1418" w:type="dxa"/>
          </w:tcPr>
          <w:p w14:paraId="2C23B087">
            <w:pPr>
              <w:pStyle w:val="3"/>
              <w:keepNext/>
              <w:spacing w:line="440" w:lineRule="exact"/>
              <w:ind w:left="66" w:right="66"/>
              <w:rPr>
                <w:rFonts w:eastAsia="仿宋_GB2312"/>
                <w:color w:val="auto"/>
                <w:sz w:val="28"/>
                <w:szCs w:val="28"/>
                <w:highlight w:val="none"/>
                <w:lang w:val="en-US"/>
              </w:rPr>
            </w:pPr>
          </w:p>
        </w:tc>
        <w:tc>
          <w:tcPr>
            <w:tcW w:w="1701" w:type="dxa"/>
          </w:tcPr>
          <w:p w14:paraId="7037F2BF">
            <w:pPr>
              <w:pStyle w:val="3"/>
              <w:keepNext/>
              <w:spacing w:line="440" w:lineRule="exact"/>
              <w:ind w:left="66" w:right="66"/>
              <w:rPr>
                <w:rFonts w:eastAsia="仿宋_GB2312"/>
                <w:color w:val="auto"/>
                <w:sz w:val="28"/>
                <w:szCs w:val="28"/>
                <w:highlight w:val="none"/>
                <w:lang w:val="en-US"/>
              </w:rPr>
            </w:pPr>
          </w:p>
        </w:tc>
      </w:tr>
      <w:tr w14:paraId="07D35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7922C8">
            <w:pPr>
              <w:pStyle w:val="3"/>
              <w:keepNext/>
              <w:spacing w:line="440" w:lineRule="exact"/>
              <w:ind w:left="66" w:right="66"/>
              <w:rPr>
                <w:rFonts w:eastAsia="仿宋_GB2312"/>
                <w:color w:val="auto"/>
                <w:sz w:val="28"/>
                <w:szCs w:val="28"/>
                <w:highlight w:val="none"/>
                <w:lang w:val="en-US"/>
              </w:rPr>
            </w:pPr>
          </w:p>
        </w:tc>
        <w:tc>
          <w:tcPr>
            <w:tcW w:w="1984" w:type="dxa"/>
          </w:tcPr>
          <w:p w14:paraId="4B3812F2">
            <w:pPr>
              <w:pStyle w:val="3"/>
              <w:keepNext/>
              <w:spacing w:line="440" w:lineRule="exact"/>
              <w:ind w:left="66" w:right="66"/>
              <w:rPr>
                <w:rFonts w:eastAsia="仿宋_GB2312"/>
                <w:color w:val="auto"/>
                <w:sz w:val="28"/>
                <w:szCs w:val="28"/>
                <w:highlight w:val="none"/>
                <w:lang w:val="en-US"/>
              </w:rPr>
            </w:pPr>
          </w:p>
        </w:tc>
        <w:tc>
          <w:tcPr>
            <w:tcW w:w="851" w:type="dxa"/>
          </w:tcPr>
          <w:p w14:paraId="413BA1E9">
            <w:pPr>
              <w:pStyle w:val="3"/>
              <w:keepNext/>
              <w:spacing w:line="440" w:lineRule="exact"/>
              <w:ind w:left="66" w:right="66"/>
              <w:rPr>
                <w:rFonts w:eastAsia="仿宋_GB2312"/>
                <w:color w:val="auto"/>
                <w:sz w:val="28"/>
                <w:szCs w:val="28"/>
                <w:highlight w:val="none"/>
                <w:lang w:val="en-US"/>
              </w:rPr>
            </w:pPr>
          </w:p>
        </w:tc>
        <w:tc>
          <w:tcPr>
            <w:tcW w:w="774" w:type="dxa"/>
          </w:tcPr>
          <w:p w14:paraId="27BF32E0">
            <w:pPr>
              <w:pStyle w:val="3"/>
              <w:keepNext/>
              <w:spacing w:line="440" w:lineRule="exact"/>
              <w:ind w:left="66" w:right="66"/>
              <w:rPr>
                <w:rFonts w:eastAsia="仿宋_GB2312"/>
                <w:color w:val="auto"/>
                <w:sz w:val="28"/>
                <w:szCs w:val="28"/>
                <w:highlight w:val="none"/>
                <w:lang w:val="en-US"/>
              </w:rPr>
            </w:pPr>
          </w:p>
        </w:tc>
        <w:tc>
          <w:tcPr>
            <w:tcW w:w="1352" w:type="dxa"/>
          </w:tcPr>
          <w:p w14:paraId="6D0F7CEF">
            <w:pPr>
              <w:pStyle w:val="3"/>
              <w:keepNext/>
              <w:spacing w:line="440" w:lineRule="exact"/>
              <w:ind w:left="66" w:right="66"/>
              <w:rPr>
                <w:rFonts w:eastAsia="仿宋_GB2312"/>
                <w:color w:val="auto"/>
                <w:sz w:val="28"/>
                <w:szCs w:val="28"/>
                <w:highlight w:val="none"/>
                <w:lang w:val="en-US"/>
              </w:rPr>
            </w:pPr>
          </w:p>
        </w:tc>
        <w:tc>
          <w:tcPr>
            <w:tcW w:w="1418" w:type="dxa"/>
          </w:tcPr>
          <w:p w14:paraId="0638DA8F">
            <w:pPr>
              <w:pStyle w:val="3"/>
              <w:keepNext/>
              <w:spacing w:line="440" w:lineRule="exact"/>
              <w:ind w:left="66" w:right="66"/>
              <w:rPr>
                <w:rFonts w:eastAsia="仿宋_GB2312"/>
                <w:color w:val="auto"/>
                <w:sz w:val="28"/>
                <w:szCs w:val="28"/>
                <w:highlight w:val="none"/>
                <w:lang w:val="en-US"/>
              </w:rPr>
            </w:pPr>
          </w:p>
        </w:tc>
        <w:tc>
          <w:tcPr>
            <w:tcW w:w="1701" w:type="dxa"/>
          </w:tcPr>
          <w:p w14:paraId="4E254BA2">
            <w:pPr>
              <w:pStyle w:val="3"/>
              <w:keepNext/>
              <w:spacing w:line="440" w:lineRule="exact"/>
              <w:ind w:left="66" w:right="66"/>
              <w:rPr>
                <w:rFonts w:eastAsia="仿宋_GB2312"/>
                <w:color w:val="auto"/>
                <w:sz w:val="28"/>
                <w:szCs w:val="28"/>
                <w:highlight w:val="none"/>
                <w:lang w:val="en-US"/>
              </w:rPr>
            </w:pPr>
          </w:p>
        </w:tc>
      </w:tr>
      <w:tr w14:paraId="5B04B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7281D3">
            <w:pPr>
              <w:pStyle w:val="3"/>
              <w:keepNext/>
              <w:spacing w:line="440" w:lineRule="exact"/>
              <w:ind w:left="66" w:right="66"/>
              <w:rPr>
                <w:rFonts w:eastAsia="仿宋_GB2312"/>
                <w:color w:val="auto"/>
                <w:sz w:val="28"/>
                <w:szCs w:val="28"/>
                <w:highlight w:val="none"/>
                <w:lang w:val="en-US"/>
              </w:rPr>
            </w:pPr>
          </w:p>
        </w:tc>
        <w:tc>
          <w:tcPr>
            <w:tcW w:w="1984" w:type="dxa"/>
          </w:tcPr>
          <w:p w14:paraId="0DEB6FA5">
            <w:pPr>
              <w:pStyle w:val="3"/>
              <w:keepNext/>
              <w:spacing w:line="440" w:lineRule="exact"/>
              <w:ind w:left="66" w:right="66"/>
              <w:rPr>
                <w:rFonts w:eastAsia="仿宋_GB2312"/>
                <w:color w:val="auto"/>
                <w:sz w:val="28"/>
                <w:szCs w:val="28"/>
                <w:highlight w:val="none"/>
                <w:lang w:val="en-US"/>
              </w:rPr>
            </w:pPr>
          </w:p>
        </w:tc>
        <w:tc>
          <w:tcPr>
            <w:tcW w:w="851" w:type="dxa"/>
          </w:tcPr>
          <w:p w14:paraId="1C26C750">
            <w:pPr>
              <w:pStyle w:val="3"/>
              <w:keepNext/>
              <w:spacing w:line="440" w:lineRule="exact"/>
              <w:ind w:left="66" w:right="66"/>
              <w:rPr>
                <w:rFonts w:eastAsia="仿宋_GB2312"/>
                <w:color w:val="auto"/>
                <w:sz w:val="28"/>
                <w:szCs w:val="28"/>
                <w:highlight w:val="none"/>
                <w:lang w:val="en-US"/>
              </w:rPr>
            </w:pPr>
          </w:p>
        </w:tc>
        <w:tc>
          <w:tcPr>
            <w:tcW w:w="774" w:type="dxa"/>
          </w:tcPr>
          <w:p w14:paraId="16B90EA6">
            <w:pPr>
              <w:pStyle w:val="3"/>
              <w:keepNext/>
              <w:spacing w:line="440" w:lineRule="exact"/>
              <w:ind w:left="66" w:right="66"/>
              <w:rPr>
                <w:rFonts w:eastAsia="仿宋_GB2312"/>
                <w:color w:val="auto"/>
                <w:sz w:val="28"/>
                <w:szCs w:val="28"/>
                <w:highlight w:val="none"/>
                <w:lang w:val="en-US"/>
              </w:rPr>
            </w:pPr>
          </w:p>
        </w:tc>
        <w:tc>
          <w:tcPr>
            <w:tcW w:w="1352" w:type="dxa"/>
          </w:tcPr>
          <w:p w14:paraId="5473ADD3">
            <w:pPr>
              <w:pStyle w:val="3"/>
              <w:keepNext/>
              <w:spacing w:line="440" w:lineRule="exact"/>
              <w:ind w:left="66" w:right="66"/>
              <w:rPr>
                <w:rFonts w:eastAsia="仿宋_GB2312"/>
                <w:color w:val="auto"/>
                <w:sz w:val="28"/>
                <w:szCs w:val="28"/>
                <w:highlight w:val="none"/>
                <w:lang w:val="en-US"/>
              </w:rPr>
            </w:pPr>
          </w:p>
        </w:tc>
        <w:tc>
          <w:tcPr>
            <w:tcW w:w="1418" w:type="dxa"/>
          </w:tcPr>
          <w:p w14:paraId="74E06857">
            <w:pPr>
              <w:pStyle w:val="3"/>
              <w:keepNext/>
              <w:spacing w:line="440" w:lineRule="exact"/>
              <w:ind w:left="66" w:right="66"/>
              <w:rPr>
                <w:rFonts w:eastAsia="仿宋_GB2312"/>
                <w:color w:val="auto"/>
                <w:sz w:val="28"/>
                <w:szCs w:val="28"/>
                <w:highlight w:val="none"/>
                <w:lang w:val="en-US"/>
              </w:rPr>
            </w:pPr>
          </w:p>
        </w:tc>
        <w:tc>
          <w:tcPr>
            <w:tcW w:w="1701" w:type="dxa"/>
          </w:tcPr>
          <w:p w14:paraId="600FD900">
            <w:pPr>
              <w:pStyle w:val="3"/>
              <w:keepNext/>
              <w:spacing w:line="440" w:lineRule="exact"/>
              <w:ind w:left="66" w:right="66"/>
              <w:rPr>
                <w:rFonts w:eastAsia="仿宋_GB2312"/>
                <w:color w:val="auto"/>
                <w:sz w:val="28"/>
                <w:szCs w:val="28"/>
                <w:highlight w:val="none"/>
                <w:lang w:val="en-US"/>
              </w:rPr>
            </w:pPr>
          </w:p>
        </w:tc>
      </w:tr>
      <w:tr w14:paraId="7EA5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01B0C6">
            <w:pPr>
              <w:pStyle w:val="3"/>
              <w:keepNext/>
              <w:spacing w:line="440" w:lineRule="exact"/>
              <w:ind w:left="66" w:right="66"/>
              <w:rPr>
                <w:rFonts w:eastAsia="仿宋_GB2312"/>
                <w:color w:val="auto"/>
                <w:sz w:val="28"/>
                <w:szCs w:val="28"/>
                <w:highlight w:val="none"/>
                <w:lang w:val="en-US"/>
              </w:rPr>
            </w:pPr>
          </w:p>
        </w:tc>
        <w:tc>
          <w:tcPr>
            <w:tcW w:w="1984" w:type="dxa"/>
          </w:tcPr>
          <w:p w14:paraId="5EE789FF">
            <w:pPr>
              <w:pStyle w:val="3"/>
              <w:keepNext/>
              <w:spacing w:line="440" w:lineRule="exact"/>
              <w:ind w:left="66" w:right="66"/>
              <w:rPr>
                <w:rFonts w:eastAsia="仿宋_GB2312"/>
                <w:color w:val="auto"/>
                <w:sz w:val="28"/>
                <w:szCs w:val="28"/>
                <w:highlight w:val="none"/>
                <w:lang w:val="en-US"/>
              </w:rPr>
            </w:pPr>
          </w:p>
        </w:tc>
        <w:tc>
          <w:tcPr>
            <w:tcW w:w="851" w:type="dxa"/>
          </w:tcPr>
          <w:p w14:paraId="73A5F551">
            <w:pPr>
              <w:pStyle w:val="3"/>
              <w:keepNext/>
              <w:spacing w:line="440" w:lineRule="exact"/>
              <w:ind w:left="66" w:right="66"/>
              <w:rPr>
                <w:rFonts w:eastAsia="仿宋_GB2312"/>
                <w:color w:val="auto"/>
                <w:sz w:val="28"/>
                <w:szCs w:val="28"/>
                <w:highlight w:val="none"/>
                <w:lang w:val="en-US"/>
              </w:rPr>
            </w:pPr>
          </w:p>
        </w:tc>
        <w:tc>
          <w:tcPr>
            <w:tcW w:w="774" w:type="dxa"/>
          </w:tcPr>
          <w:p w14:paraId="40C12407">
            <w:pPr>
              <w:pStyle w:val="3"/>
              <w:keepNext/>
              <w:spacing w:line="440" w:lineRule="exact"/>
              <w:ind w:left="66" w:right="66"/>
              <w:rPr>
                <w:rFonts w:eastAsia="仿宋_GB2312"/>
                <w:color w:val="auto"/>
                <w:sz w:val="28"/>
                <w:szCs w:val="28"/>
                <w:highlight w:val="none"/>
                <w:lang w:val="en-US"/>
              </w:rPr>
            </w:pPr>
          </w:p>
        </w:tc>
        <w:tc>
          <w:tcPr>
            <w:tcW w:w="1352" w:type="dxa"/>
          </w:tcPr>
          <w:p w14:paraId="4C900745">
            <w:pPr>
              <w:pStyle w:val="3"/>
              <w:keepNext/>
              <w:spacing w:line="440" w:lineRule="exact"/>
              <w:ind w:left="66" w:right="66"/>
              <w:rPr>
                <w:rFonts w:eastAsia="仿宋_GB2312"/>
                <w:color w:val="auto"/>
                <w:sz w:val="28"/>
                <w:szCs w:val="28"/>
                <w:highlight w:val="none"/>
                <w:lang w:val="en-US"/>
              </w:rPr>
            </w:pPr>
          </w:p>
        </w:tc>
        <w:tc>
          <w:tcPr>
            <w:tcW w:w="1418" w:type="dxa"/>
          </w:tcPr>
          <w:p w14:paraId="4C73BD07">
            <w:pPr>
              <w:pStyle w:val="3"/>
              <w:keepNext/>
              <w:spacing w:line="440" w:lineRule="exact"/>
              <w:ind w:left="66" w:right="66"/>
              <w:rPr>
                <w:rFonts w:eastAsia="仿宋_GB2312"/>
                <w:color w:val="auto"/>
                <w:sz w:val="28"/>
                <w:szCs w:val="28"/>
                <w:highlight w:val="none"/>
                <w:lang w:val="en-US"/>
              </w:rPr>
            </w:pPr>
          </w:p>
        </w:tc>
        <w:tc>
          <w:tcPr>
            <w:tcW w:w="1701" w:type="dxa"/>
          </w:tcPr>
          <w:p w14:paraId="0F27A304">
            <w:pPr>
              <w:pStyle w:val="3"/>
              <w:keepNext/>
              <w:spacing w:line="440" w:lineRule="exact"/>
              <w:ind w:left="66" w:right="66"/>
              <w:rPr>
                <w:rFonts w:eastAsia="仿宋_GB2312"/>
                <w:color w:val="auto"/>
                <w:sz w:val="28"/>
                <w:szCs w:val="28"/>
                <w:highlight w:val="none"/>
                <w:lang w:val="en-US"/>
              </w:rPr>
            </w:pPr>
          </w:p>
        </w:tc>
      </w:tr>
      <w:tr w14:paraId="791EF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EDDA2D">
            <w:pPr>
              <w:pStyle w:val="3"/>
              <w:keepNext/>
              <w:spacing w:line="440" w:lineRule="exact"/>
              <w:ind w:left="66" w:right="66"/>
              <w:rPr>
                <w:rFonts w:eastAsia="仿宋_GB2312"/>
                <w:color w:val="auto"/>
                <w:sz w:val="28"/>
                <w:szCs w:val="28"/>
                <w:highlight w:val="none"/>
                <w:lang w:val="en-US"/>
              </w:rPr>
            </w:pPr>
          </w:p>
        </w:tc>
        <w:tc>
          <w:tcPr>
            <w:tcW w:w="1984" w:type="dxa"/>
          </w:tcPr>
          <w:p w14:paraId="2FD7ADB7">
            <w:pPr>
              <w:pStyle w:val="3"/>
              <w:keepNext/>
              <w:spacing w:line="440" w:lineRule="exact"/>
              <w:ind w:left="66" w:right="66"/>
              <w:rPr>
                <w:rFonts w:eastAsia="仿宋_GB2312"/>
                <w:color w:val="auto"/>
                <w:sz w:val="28"/>
                <w:szCs w:val="28"/>
                <w:highlight w:val="none"/>
                <w:lang w:val="en-US"/>
              </w:rPr>
            </w:pPr>
          </w:p>
        </w:tc>
        <w:tc>
          <w:tcPr>
            <w:tcW w:w="851" w:type="dxa"/>
          </w:tcPr>
          <w:p w14:paraId="00301642">
            <w:pPr>
              <w:pStyle w:val="3"/>
              <w:keepNext/>
              <w:spacing w:line="440" w:lineRule="exact"/>
              <w:ind w:left="66" w:right="66"/>
              <w:rPr>
                <w:rFonts w:eastAsia="仿宋_GB2312"/>
                <w:color w:val="auto"/>
                <w:sz w:val="28"/>
                <w:szCs w:val="28"/>
                <w:highlight w:val="none"/>
                <w:lang w:val="en-US"/>
              </w:rPr>
            </w:pPr>
          </w:p>
        </w:tc>
        <w:tc>
          <w:tcPr>
            <w:tcW w:w="774" w:type="dxa"/>
          </w:tcPr>
          <w:p w14:paraId="4FD28E1C">
            <w:pPr>
              <w:pStyle w:val="3"/>
              <w:keepNext/>
              <w:spacing w:line="440" w:lineRule="exact"/>
              <w:ind w:left="66" w:right="66"/>
              <w:rPr>
                <w:rFonts w:eastAsia="仿宋_GB2312"/>
                <w:color w:val="auto"/>
                <w:sz w:val="28"/>
                <w:szCs w:val="28"/>
                <w:highlight w:val="none"/>
                <w:lang w:val="en-US"/>
              </w:rPr>
            </w:pPr>
          </w:p>
        </w:tc>
        <w:tc>
          <w:tcPr>
            <w:tcW w:w="1352" w:type="dxa"/>
          </w:tcPr>
          <w:p w14:paraId="5BA2A17D">
            <w:pPr>
              <w:pStyle w:val="3"/>
              <w:keepNext/>
              <w:spacing w:line="440" w:lineRule="exact"/>
              <w:ind w:left="66" w:right="66"/>
              <w:rPr>
                <w:rFonts w:eastAsia="仿宋_GB2312"/>
                <w:color w:val="auto"/>
                <w:sz w:val="28"/>
                <w:szCs w:val="28"/>
                <w:highlight w:val="none"/>
                <w:lang w:val="en-US"/>
              </w:rPr>
            </w:pPr>
          </w:p>
        </w:tc>
        <w:tc>
          <w:tcPr>
            <w:tcW w:w="1418" w:type="dxa"/>
          </w:tcPr>
          <w:p w14:paraId="091A0E0F">
            <w:pPr>
              <w:pStyle w:val="3"/>
              <w:keepNext/>
              <w:spacing w:line="440" w:lineRule="exact"/>
              <w:ind w:left="66" w:right="66"/>
              <w:rPr>
                <w:rFonts w:eastAsia="仿宋_GB2312"/>
                <w:color w:val="auto"/>
                <w:sz w:val="28"/>
                <w:szCs w:val="28"/>
                <w:highlight w:val="none"/>
                <w:lang w:val="en-US"/>
              </w:rPr>
            </w:pPr>
          </w:p>
        </w:tc>
        <w:tc>
          <w:tcPr>
            <w:tcW w:w="1701" w:type="dxa"/>
          </w:tcPr>
          <w:p w14:paraId="4799FA2A">
            <w:pPr>
              <w:pStyle w:val="3"/>
              <w:keepNext/>
              <w:spacing w:line="440" w:lineRule="exact"/>
              <w:ind w:left="66" w:right="66"/>
              <w:rPr>
                <w:rFonts w:eastAsia="仿宋_GB2312"/>
                <w:color w:val="auto"/>
                <w:sz w:val="28"/>
                <w:szCs w:val="28"/>
                <w:highlight w:val="none"/>
                <w:lang w:val="en-US"/>
              </w:rPr>
            </w:pPr>
          </w:p>
        </w:tc>
      </w:tr>
      <w:tr w14:paraId="5307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000B7F">
            <w:pPr>
              <w:pStyle w:val="3"/>
              <w:keepNext/>
              <w:spacing w:line="440" w:lineRule="exact"/>
              <w:ind w:left="66" w:right="66"/>
              <w:rPr>
                <w:rFonts w:eastAsia="仿宋_GB2312"/>
                <w:color w:val="auto"/>
                <w:sz w:val="28"/>
                <w:szCs w:val="28"/>
                <w:highlight w:val="none"/>
                <w:lang w:val="en-US"/>
              </w:rPr>
            </w:pPr>
          </w:p>
        </w:tc>
        <w:tc>
          <w:tcPr>
            <w:tcW w:w="1984" w:type="dxa"/>
          </w:tcPr>
          <w:p w14:paraId="00C5D84A">
            <w:pPr>
              <w:pStyle w:val="3"/>
              <w:keepNext/>
              <w:spacing w:line="440" w:lineRule="exact"/>
              <w:ind w:left="66" w:right="66"/>
              <w:rPr>
                <w:rFonts w:eastAsia="仿宋_GB2312"/>
                <w:color w:val="auto"/>
                <w:sz w:val="28"/>
                <w:szCs w:val="28"/>
                <w:highlight w:val="none"/>
                <w:lang w:val="en-US"/>
              </w:rPr>
            </w:pPr>
          </w:p>
        </w:tc>
        <w:tc>
          <w:tcPr>
            <w:tcW w:w="851" w:type="dxa"/>
          </w:tcPr>
          <w:p w14:paraId="4107377F">
            <w:pPr>
              <w:pStyle w:val="3"/>
              <w:keepNext/>
              <w:spacing w:line="440" w:lineRule="exact"/>
              <w:ind w:left="66" w:right="66"/>
              <w:rPr>
                <w:rFonts w:eastAsia="仿宋_GB2312"/>
                <w:color w:val="auto"/>
                <w:sz w:val="28"/>
                <w:szCs w:val="28"/>
                <w:highlight w:val="none"/>
                <w:lang w:val="en-US"/>
              </w:rPr>
            </w:pPr>
          </w:p>
        </w:tc>
        <w:tc>
          <w:tcPr>
            <w:tcW w:w="774" w:type="dxa"/>
          </w:tcPr>
          <w:p w14:paraId="4CE8C7D9">
            <w:pPr>
              <w:pStyle w:val="3"/>
              <w:keepNext/>
              <w:spacing w:line="440" w:lineRule="exact"/>
              <w:ind w:left="66" w:right="66"/>
              <w:rPr>
                <w:rFonts w:eastAsia="仿宋_GB2312"/>
                <w:color w:val="auto"/>
                <w:sz w:val="28"/>
                <w:szCs w:val="28"/>
                <w:highlight w:val="none"/>
                <w:lang w:val="en-US"/>
              </w:rPr>
            </w:pPr>
          </w:p>
        </w:tc>
        <w:tc>
          <w:tcPr>
            <w:tcW w:w="1352" w:type="dxa"/>
          </w:tcPr>
          <w:p w14:paraId="1947A46E">
            <w:pPr>
              <w:pStyle w:val="3"/>
              <w:keepNext/>
              <w:spacing w:line="440" w:lineRule="exact"/>
              <w:ind w:left="66" w:right="66"/>
              <w:rPr>
                <w:rFonts w:eastAsia="仿宋_GB2312"/>
                <w:color w:val="auto"/>
                <w:sz w:val="28"/>
                <w:szCs w:val="28"/>
                <w:highlight w:val="none"/>
                <w:lang w:val="en-US"/>
              </w:rPr>
            </w:pPr>
          </w:p>
        </w:tc>
        <w:tc>
          <w:tcPr>
            <w:tcW w:w="1418" w:type="dxa"/>
          </w:tcPr>
          <w:p w14:paraId="6C7BC635">
            <w:pPr>
              <w:pStyle w:val="3"/>
              <w:keepNext/>
              <w:spacing w:line="440" w:lineRule="exact"/>
              <w:ind w:left="66" w:right="66"/>
              <w:rPr>
                <w:rFonts w:eastAsia="仿宋_GB2312"/>
                <w:color w:val="auto"/>
                <w:sz w:val="28"/>
                <w:szCs w:val="28"/>
                <w:highlight w:val="none"/>
                <w:lang w:val="en-US"/>
              </w:rPr>
            </w:pPr>
          </w:p>
        </w:tc>
        <w:tc>
          <w:tcPr>
            <w:tcW w:w="1701" w:type="dxa"/>
          </w:tcPr>
          <w:p w14:paraId="636FCC93">
            <w:pPr>
              <w:pStyle w:val="3"/>
              <w:keepNext/>
              <w:spacing w:line="440" w:lineRule="exact"/>
              <w:ind w:left="66" w:right="66"/>
              <w:rPr>
                <w:rFonts w:eastAsia="仿宋_GB2312"/>
                <w:color w:val="auto"/>
                <w:sz w:val="28"/>
                <w:szCs w:val="28"/>
                <w:highlight w:val="none"/>
                <w:lang w:val="en-US"/>
              </w:rPr>
            </w:pPr>
          </w:p>
        </w:tc>
      </w:tr>
      <w:tr w14:paraId="69DF3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A20428">
            <w:pPr>
              <w:pStyle w:val="3"/>
              <w:keepNext/>
              <w:spacing w:line="440" w:lineRule="exact"/>
              <w:ind w:left="66" w:right="66"/>
              <w:rPr>
                <w:rFonts w:eastAsia="仿宋_GB2312"/>
                <w:color w:val="auto"/>
                <w:sz w:val="28"/>
                <w:szCs w:val="28"/>
                <w:highlight w:val="none"/>
                <w:lang w:val="en-US"/>
              </w:rPr>
            </w:pPr>
          </w:p>
        </w:tc>
        <w:tc>
          <w:tcPr>
            <w:tcW w:w="1984" w:type="dxa"/>
          </w:tcPr>
          <w:p w14:paraId="068677AF">
            <w:pPr>
              <w:pStyle w:val="3"/>
              <w:keepNext/>
              <w:spacing w:line="440" w:lineRule="exact"/>
              <w:ind w:left="66" w:right="66"/>
              <w:rPr>
                <w:rFonts w:eastAsia="仿宋_GB2312"/>
                <w:color w:val="auto"/>
                <w:sz w:val="28"/>
                <w:szCs w:val="28"/>
                <w:highlight w:val="none"/>
                <w:lang w:val="en-US"/>
              </w:rPr>
            </w:pPr>
          </w:p>
        </w:tc>
        <w:tc>
          <w:tcPr>
            <w:tcW w:w="851" w:type="dxa"/>
          </w:tcPr>
          <w:p w14:paraId="6FAA1F81">
            <w:pPr>
              <w:pStyle w:val="3"/>
              <w:keepNext/>
              <w:spacing w:line="440" w:lineRule="exact"/>
              <w:ind w:left="66" w:right="66"/>
              <w:rPr>
                <w:rFonts w:eastAsia="仿宋_GB2312"/>
                <w:color w:val="auto"/>
                <w:sz w:val="28"/>
                <w:szCs w:val="28"/>
                <w:highlight w:val="none"/>
                <w:lang w:val="en-US"/>
              </w:rPr>
            </w:pPr>
          </w:p>
        </w:tc>
        <w:tc>
          <w:tcPr>
            <w:tcW w:w="774" w:type="dxa"/>
          </w:tcPr>
          <w:p w14:paraId="6C879B23">
            <w:pPr>
              <w:pStyle w:val="3"/>
              <w:keepNext/>
              <w:spacing w:line="440" w:lineRule="exact"/>
              <w:ind w:left="66" w:right="66"/>
              <w:rPr>
                <w:rFonts w:eastAsia="仿宋_GB2312"/>
                <w:color w:val="auto"/>
                <w:sz w:val="28"/>
                <w:szCs w:val="28"/>
                <w:highlight w:val="none"/>
                <w:lang w:val="en-US"/>
              </w:rPr>
            </w:pPr>
          </w:p>
        </w:tc>
        <w:tc>
          <w:tcPr>
            <w:tcW w:w="1352" w:type="dxa"/>
          </w:tcPr>
          <w:p w14:paraId="2957708C">
            <w:pPr>
              <w:pStyle w:val="3"/>
              <w:keepNext/>
              <w:spacing w:line="440" w:lineRule="exact"/>
              <w:ind w:left="66" w:right="66"/>
              <w:rPr>
                <w:rFonts w:eastAsia="仿宋_GB2312"/>
                <w:color w:val="auto"/>
                <w:sz w:val="28"/>
                <w:szCs w:val="28"/>
                <w:highlight w:val="none"/>
                <w:lang w:val="en-US"/>
              </w:rPr>
            </w:pPr>
          </w:p>
        </w:tc>
        <w:tc>
          <w:tcPr>
            <w:tcW w:w="1418" w:type="dxa"/>
          </w:tcPr>
          <w:p w14:paraId="1A8574D1">
            <w:pPr>
              <w:pStyle w:val="3"/>
              <w:keepNext/>
              <w:spacing w:line="440" w:lineRule="exact"/>
              <w:ind w:left="66" w:right="66"/>
              <w:rPr>
                <w:rFonts w:eastAsia="仿宋_GB2312"/>
                <w:color w:val="auto"/>
                <w:sz w:val="28"/>
                <w:szCs w:val="28"/>
                <w:highlight w:val="none"/>
                <w:lang w:val="en-US"/>
              </w:rPr>
            </w:pPr>
          </w:p>
        </w:tc>
        <w:tc>
          <w:tcPr>
            <w:tcW w:w="1701" w:type="dxa"/>
          </w:tcPr>
          <w:p w14:paraId="0CDF341F">
            <w:pPr>
              <w:pStyle w:val="3"/>
              <w:keepNext/>
              <w:spacing w:line="440" w:lineRule="exact"/>
              <w:ind w:left="66" w:right="66"/>
              <w:rPr>
                <w:rFonts w:eastAsia="仿宋_GB2312"/>
                <w:color w:val="auto"/>
                <w:sz w:val="28"/>
                <w:szCs w:val="28"/>
                <w:highlight w:val="none"/>
                <w:lang w:val="en-US"/>
              </w:rPr>
            </w:pPr>
          </w:p>
        </w:tc>
      </w:tr>
      <w:tr w14:paraId="431EE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CB401C">
            <w:pPr>
              <w:pStyle w:val="3"/>
              <w:keepNext/>
              <w:spacing w:line="440" w:lineRule="exact"/>
              <w:ind w:left="66" w:right="66"/>
              <w:rPr>
                <w:rFonts w:eastAsia="仿宋_GB2312"/>
                <w:color w:val="auto"/>
                <w:sz w:val="28"/>
                <w:szCs w:val="28"/>
                <w:highlight w:val="none"/>
                <w:lang w:val="en-US"/>
              </w:rPr>
            </w:pPr>
          </w:p>
        </w:tc>
        <w:tc>
          <w:tcPr>
            <w:tcW w:w="1984" w:type="dxa"/>
          </w:tcPr>
          <w:p w14:paraId="3A674F9C">
            <w:pPr>
              <w:pStyle w:val="3"/>
              <w:keepNext/>
              <w:spacing w:line="440" w:lineRule="exact"/>
              <w:ind w:left="66" w:right="66"/>
              <w:rPr>
                <w:rFonts w:eastAsia="仿宋_GB2312"/>
                <w:color w:val="auto"/>
                <w:sz w:val="28"/>
                <w:szCs w:val="28"/>
                <w:highlight w:val="none"/>
                <w:lang w:val="en-US"/>
              </w:rPr>
            </w:pPr>
          </w:p>
        </w:tc>
        <w:tc>
          <w:tcPr>
            <w:tcW w:w="851" w:type="dxa"/>
          </w:tcPr>
          <w:p w14:paraId="2865DA8E">
            <w:pPr>
              <w:pStyle w:val="3"/>
              <w:keepNext/>
              <w:spacing w:line="440" w:lineRule="exact"/>
              <w:ind w:left="66" w:right="66"/>
              <w:rPr>
                <w:rFonts w:eastAsia="仿宋_GB2312"/>
                <w:color w:val="auto"/>
                <w:sz w:val="28"/>
                <w:szCs w:val="28"/>
                <w:highlight w:val="none"/>
                <w:lang w:val="en-US"/>
              </w:rPr>
            </w:pPr>
          </w:p>
        </w:tc>
        <w:tc>
          <w:tcPr>
            <w:tcW w:w="774" w:type="dxa"/>
          </w:tcPr>
          <w:p w14:paraId="667E4CFB">
            <w:pPr>
              <w:pStyle w:val="3"/>
              <w:keepNext/>
              <w:spacing w:line="440" w:lineRule="exact"/>
              <w:ind w:left="66" w:right="66"/>
              <w:rPr>
                <w:rFonts w:eastAsia="仿宋_GB2312"/>
                <w:color w:val="auto"/>
                <w:sz w:val="28"/>
                <w:szCs w:val="28"/>
                <w:highlight w:val="none"/>
                <w:lang w:val="en-US"/>
              </w:rPr>
            </w:pPr>
          </w:p>
        </w:tc>
        <w:tc>
          <w:tcPr>
            <w:tcW w:w="1352" w:type="dxa"/>
          </w:tcPr>
          <w:p w14:paraId="165C1965">
            <w:pPr>
              <w:pStyle w:val="3"/>
              <w:keepNext/>
              <w:spacing w:line="440" w:lineRule="exact"/>
              <w:ind w:left="66" w:right="66"/>
              <w:rPr>
                <w:rFonts w:eastAsia="仿宋_GB2312"/>
                <w:color w:val="auto"/>
                <w:sz w:val="28"/>
                <w:szCs w:val="28"/>
                <w:highlight w:val="none"/>
                <w:lang w:val="en-US"/>
              </w:rPr>
            </w:pPr>
          </w:p>
        </w:tc>
        <w:tc>
          <w:tcPr>
            <w:tcW w:w="1418" w:type="dxa"/>
          </w:tcPr>
          <w:p w14:paraId="6646F3DB">
            <w:pPr>
              <w:pStyle w:val="3"/>
              <w:keepNext/>
              <w:spacing w:line="440" w:lineRule="exact"/>
              <w:ind w:left="66" w:right="66"/>
              <w:rPr>
                <w:rFonts w:eastAsia="仿宋_GB2312"/>
                <w:color w:val="auto"/>
                <w:sz w:val="28"/>
                <w:szCs w:val="28"/>
                <w:highlight w:val="none"/>
                <w:lang w:val="en-US"/>
              </w:rPr>
            </w:pPr>
          </w:p>
        </w:tc>
        <w:tc>
          <w:tcPr>
            <w:tcW w:w="1701" w:type="dxa"/>
          </w:tcPr>
          <w:p w14:paraId="4B06134A">
            <w:pPr>
              <w:pStyle w:val="3"/>
              <w:keepNext/>
              <w:spacing w:line="440" w:lineRule="exact"/>
              <w:ind w:left="66" w:right="66"/>
              <w:rPr>
                <w:rFonts w:eastAsia="仿宋_GB2312"/>
                <w:color w:val="auto"/>
                <w:sz w:val="28"/>
                <w:szCs w:val="28"/>
                <w:highlight w:val="none"/>
                <w:lang w:val="en-US"/>
              </w:rPr>
            </w:pPr>
          </w:p>
        </w:tc>
      </w:tr>
      <w:tr w14:paraId="42BFE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4EC2F7">
            <w:pPr>
              <w:pStyle w:val="3"/>
              <w:keepNext/>
              <w:spacing w:line="440" w:lineRule="exact"/>
              <w:ind w:left="66" w:right="66"/>
              <w:rPr>
                <w:rFonts w:eastAsia="仿宋_GB2312"/>
                <w:color w:val="auto"/>
                <w:sz w:val="28"/>
                <w:szCs w:val="28"/>
                <w:highlight w:val="none"/>
                <w:lang w:val="en-US"/>
              </w:rPr>
            </w:pPr>
          </w:p>
        </w:tc>
        <w:tc>
          <w:tcPr>
            <w:tcW w:w="1984" w:type="dxa"/>
          </w:tcPr>
          <w:p w14:paraId="2C9A309C">
            <w:pPr>
              <w:pStyle w:val="3"/>
              <w:keepNext/>
              <w:spacing w:line="440" w:lineRule="exact"/>
              <w:ind w:left="66" w:right="66"/>
              <w:rPr>
                <w:rFonts w:eastAsia="仿宋_GB2312"/>
                <w:color w:val="auto"/>
                <w:sz w:val="28"/>
                <w:szCs w:val="28"/>
                <w:highlight w:val="none"/>
                <w:lang w:val="en-US"/>
              </w:rPr>
            </w:pPr>
          </w:p>
        </w:tc>
        <w:tc>
          <w:tcPr>
            <w:tcW w:w="851" w:type="dxa"/>
          </w:tcPr>
          <w:p w14:paraId="324790F6">
            <w:pPr>
              <w:pStyle w:val="3"/>
              <w:keepNext/>
              <w:spacing w:line="440" w:lineRule="exact"/>
              <w:ind w:left="66" w:right="66"/>
              <w:rPr>
                <w:rFonts w:eastAsia="仿宋_GB2312"/>
                <w:color w:val="auto"/>
                <w:sz w:val="28"/>
                <w:szCs w:val="28"/>
                <w:highlight w:val="none"/>
                <w:lang w:val="en-US"/>
              </w:rPr>
            </w:pPr>
          </w:p>
        </w:tc>
        <w:tc>
          <w:tcPr>
            <w:tcW w:w="774" w:type="dxa"/>
          </w:tcPr>
          <w:p w14:paraId="7E91015C">
            <w:pPr>
              <w:pStyle w:val="3"/>
              <w:keepNext/>
              <w:spacing w:line="440" w:lineRule="exact"/>
              <w:ind w:left="66" w:right="66"/>
              <w:rPr>
                <w:rFonts w:eastAsia="仿宋_GB2312"/>
                <w:color w:val="auto"/>
                <w:sz w:val="28"/>
                <w:szCs w:val="28"/>
                <w:highlight w:val="none"/>
                <w:lang w:val="en-US"/>
              </w:rPr>
            </w:pPr>
          </w:p>
        </w:tc>
        <w:tc>
          <w:tcPr>
            <w:tcW w:w="1352" w:type="dxa"/>
          </w:tcPr>
          <w:p w14:paraId="1BEE1804">
            <w:pPr>
              <w:pStyle w:val="3"/>
              <w:keepNext/>
              <w:spacing w:line="440" w:lineRule="exact"/>
              <w:ind w:left="66" w:right="66"/>
              <w:rPr>
                <w:rFonts w:eastAsia="仿宋_GB2312"/>
                <w:color w:val="auto"/>
                <w:sz w:val="28"/>
                <w:szCs w:val="28"/>
                <w:highlight w:val="none"/>
                <w:lang w:val="en-US"/>
              </w:rPr>
            </w:pPr>
          </w:p>
        </w:tc>
        <w:tc>
          <w:tcPr>
            <w:tcW w:w="1418" w:type="dxa"/>
          </w:tcPr>
          <w:p w14:paraId="181C1305">
            <w:pPr>
              <w:pStyle w:val="3"/>
              <w:keepNext/>
              <w:spacing w:line="440" w:lineRule="exact"/>
              <w:ind w:left="66" w:right="66"/>
              <w:rPr>
                <w:rFonts w:eastAsia="仿宋_GB2312"/>
                <w:color w:val="auto"/>
                <w:sz w:val="28"/>
                <w:szCs w:val="28"/>
                <w:highlight w:val="none"/>
                <w:lang w:val="en-US"/>
              </w:rPr>
            </w:pPr>
          </w:p>
        </w:tc>
        <w:tc>
          <w:tcPr>
            <w:tcW w:w="1701" w:type="dxa"/>
          </w:tcPr>
          <w:p w14:paraId="081257D3">
            <w:pPr>
              <w:pStyle w:val="3"/>
              <w:keepNext/>
              <w:spacing w:line="440" w:lineRule="exact"/>
              <w:ind w:left="66" w:right="66"/>
              <w:rPr>
                <w:rFonts w:eastAsia="仿宋_GB2312"/>
                <w:color w:val="auto"/>
                <w:sz w:val="28"/>
                <w:szCs w:val="28"/>
                <w:highlight w:val="none"/>
                <w:lang w:val="en-US"/>
              </w:rPr>
            </w:pPr>
          </w:p>
        </w:tc>
      </w:tr>
      <w:tr w14:paraId="31D49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C82A5E">
            <w:pPr>
              <w:pStyle w:val="3"/>
              <w:keepNext/>
              <w:spacing w:line="440" w:lineRule="exact"/>
              <w:ind w:left="66" w:right="66"/>
              <w:rPr>
                <w:rFonts w:eastAsia="仿宋_GB2312"/>
                <w:color w:val="auto"/>
                <w:sz w:val="28"/>
                <w:szCs w:val="28"/>
                <w:highlight w:val="none"/>
                <w:lang w:val="en-US"/>
              </w:rPr>
            </w:pPr>
          </w:p>
        </w:tc>
        <w:tc>
          <w:tcPr>
            <w:tcW w:w="1984" w:type="dxa"/>
          </w:tcPr>
          <w:p w14:paraId="580E405F">
            <w:pPr>
              <w:pStyle w:val="3"/>
              <w:keepNext/>
              <w:spacing w:line="440" w:lineRule="exact"/>
              <w:ind w:left="66" w:right="66"/>
              <w:rPr>
                <w:rFonts w:eastAsia="仿宋_GB2312"/>
                <w:color w:val="auto"/>
                <w:sz w:val="28"/>
                <w:szCs w:val="28"/>
                <w:highlight w:val="none"/>
                <w:lang w:val="en-US"/>
              </w:rPr>
            </w:pPr>
          </w:p>
        </w:tc>
        <w:tc>
          <w:tcPr>
            <w:tcW w:w="851" w:type="dxa"/>
          </w:tcPr>
          <w:p w14:paraId="35C86FC1">
            <w:pPr>
              <w:pStyle w:val="3"/>
              <w:keepNext/>
              <w:spacing w:line="440" w:lineRule="exact"/>
              <w:ind w:left="66" w:right="66"/>
              <w:rPr>
                <w:rFonts w:eastAsia="仿宋_GB2312"/>
                <w:color w:val="auto"/>
                <w:sz w:val="28"/>
                <w:szCs w:val="28"/>
                <w:highlight w:val="none"/>
                <w:lang w:val="en-US"/>
              </w:rPr>
            </w:pPr>
          </w:p>
        </w:tc>
        <w:tc>
          <w:tcPr>
            <w:tcW w:w="774" w:type="dxa"/>
          </w:tcPr>
          <w:p w14:paraId="65740086">
            <w:pPr>
              <w:pStyle w:val="3"/>
              <w:keepNext/>
              <w:spacing w:line="440" w:lineRule="exact"/>
              <w:ind w:left="66" w:right="66"/>
              <w:rPr>
                <w:rFonts w:eastAsia="仿宋_GB2312"/>
                <w:color w:val="auto"/>
                <w:sz w:val="28"/>
                <w:szCs w:val="28"/>
                <w:highlight w:val="none"/>
                <w:lang w:val="en-US"/>
              </w:rPr>
            </w:pPr>
          </w:p>
        </w:tc>
        <w:tc>
          <w:tcPr>
            <w:tcW w:w="1352" w:type="dxa"/>
          </w:tcPr>
          <w:p w14:paraId="2E450479">
            <w:pPr>
              <w:pStyle w:val="3"/>
              <w:keepNext/>
              <w:spacing w:line="440" w:lineRule="exact"/>
              <w:ind w:left="66" w:right="66"/>
              <w:rPr>
                <w:rFonts w:eastAsia="仿宋_GB2312"/>
                <w:color w:val="auto"/>
                <w:sz w:val="28"/>
                <w:szCs w:val="28"/>
                <w:highlight w:val="none"/>
                <w:lang w:val="en-US"/>
              </w:rPr>
            </w:pPr>
          </w:p>
        </w:tc>
        <w:tc>
          <w:tcPr>
            <w:tcW w:w="1418" w:type="dxa"/>
          </w:tcPr>
          <w:p w14:paraId="28C97019">
            <w:pPr>
              <w:pStyle w:val="3"/>
              <w:keepNext/>
              <w:spacing w:line="440" w:lineRule="exact"/>
              <w:ind w:left="66" w:right="66"/>
              <w:rPr>
                <w:rFonts w:eastAsia="仿宋_GB2312"/>
                <w:color w:val="auto"/>
                <w:sz w:val="28"/>
                <w:szCs w:val="28"/>
                <w:highlight w:val="none"/>
                <w:lang w:val="en-US"/>
              </w:rPr>
            </w:pPr>
          </w:p>
        </w:tc>
        <w:tc>
          <w:tcPr>
            <w:tcW w:w="1701" w:type="dxa"/>
          </w:tcPr>
          <w:p w14:paraId="52DE3643">
            <w:pPr>
              <w:pStyle w:val="3"/>
              <w:keepNext/>
              <w:spacing w:line="440" w:lineRule="exact"/>
              <w:ind w:left="66" w:right="66"/>
              <w:rPr>
                <w:rFonts w:eastAsia="仿宋_GB2312"/>
                <w:color w:val="auto"/>
                <w:sz w:val="28"/>
                <w:szCs w:val="28"/>
                <w:highlight w:val="none"/>
                <w:lang w:val="en-US"/>
              </w:rPr>
            </w:pPr>
          </w:p>
        </w:tc>
      </w:tr>
      <w:tr w14:paraId="219A7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C90B65">
            <w:pPr>
              <w:pStyle w:val="3"/>
              <w:keepNext/>
              <w:spacing w:line="440" w:lineRule="exact"/>
              <w:ind w:left="66" w:right="66"/>
              <w:rPr>
                <w:rFonts w:eastAsia="仿宋_GB2312"/>
                <w:color w:val="auto"/>
                <w:sz w:val="28"/>
                <w:szCs w:val="28"/>
                <w:highlight w:val="none"/>
                <w:lang w:val="en-US"/>
              </w:rPr>
            </w:pPr>
          </w:p>
        </w:tc>
        <w:tc>
          <w:tcPr>
            <w:tcW w:w="1984" w:type="dxa"/>
          </w:tcPr>
          <w:p w14:paraId="12C705B9">
            <w:pPr>
              <w:pStyle w:val="3"/>
              <w:keepNext/>
              <w:spacing w:line="440" w:lineRule="exact"/>
              <w:ind w:left="66" w:right="66"/>
              <w:rPr>
                <w:rFonts w:eastAsia="仿宋_GB2312"/>
                <w:color w:val="auto"/>
                <w:sz w:val="28"/>
                <w:szCs w:val="28"/>
                <w:highlight w:val="none"/>
                <w:lang w:val="en-US"/>
              </w:rPr>
            </w:pPr>
          </w:p>
        </w:tc>
        <w:tc>
          <w:tcPr>
            <w:tcW w:w="851" w:type="dxa"/>
          </w:tcPr>
          <w:p w14:paraId="7833507D">
            <w:pPr>
              <w:pStyle w:val="3"/>
              <w:keepNext/>
              <w:spacing w:line="440" w:lineRule="exact"/>
              <w:ind w:left="66" w:right="66"/>
              <w:rPr>
                <w:rFonts w:eastAsia="仿宋_GB2312"/>
                <w:color w:val="auto"/>
                <w:sz w:val="28"/>
                <w:szCs w:val="28"/>
                <w:highlight w:val="none"/>
                <w:lang w:val="en-US"/>
              </w:rPr>
            </w:pPr>
          </w:p>
        </w:tc>
        <w:tc>
          <w:tcPr>
            <w:tcW w:w="774" w:type="dxa"/>
          </w:tcPr>
          <w:p w14:paraId="63A3B3C9">
            <w:pPr>
              <w:pStyle w:val="3"/>
              <w:keepNext/>
              <w:spacing w:line="440" w:lineRule="exact"/>
              <w:ind w:left="66" w:right="66"/>
              <w:rPr>
                <w:rFonts w:eastAsia="仿宋_GB2312"/>
                <w:color w:val="auto"/>
                <w:sz w:val="28"/>
                <w:szCs w:val="28"/>
                <w:highlight w:val="none"/>
                <w:lang w:val="en-US"/>
              </w:rPr>
            </w:pPr>
          </w:p>
        </w:tc>
        <w:tc>
          <w:tcPr>
            <w:tcW w:w="1352" w:type="dxa"/>
          </w:tcPr>
          <w:p w14:paraId="1A3500E9">
            <w:pPr>
              <w:pStyle w:val="3"/>
              <w:keepNext/>
              <w:spacing w:line="440" w:lineRule="exact"/>
              <w:ind w:left="66" w:right="66"/>
              <w:rPr>
                <w:rFonts w:eastAsia="仿宋_GB2312"/>
                <w:color w:val="auto"/>
                <w:sz w:val="28"/>
                <w:szCs w:val="28"/>
                <w:highlight w:val="none"/>
                <w:lang w:val="en-US"/>
              </w:rPr>
            </w:pPr>
          </w:p>
        </w:tc>
        <w:tc>
          <w:tcPr>
            <w:tcW w:w="1418" w:type="dxa"/>
          </w:tcPr>
          <w:p w14:paraId="7E70AAC8">
            <w:pPr>
              <w:pStyle w:val="3"/>
              <w:keepNext/>
              <w:spacing w:line="440" w:lineRule="exact"/>
              <w:ind w:left="66" w:right="66"/>
              <w:rPr>
                <w:rFonts w:eastAsia="仿宋_GB2312"/>
                <w:color w:val="auto"/>
                <w:sz w:val="28"/>
                <w:szCs w:val="28"/>
                <w:highlight w:val="none"/>
                <w:lang w:val="en-US"/>
              </w:rPr>
            </w:pPr>
          </w:p>
        </w:tc>
        <w:tc>
          <w:tcPr>
            <w:tcW w:w="1701" w:type="dxa"/>
          </w:tcPr>
          <w:p w14:paraId="4354A714">
            <w:pPr>
              <w:pStyle w:val="3"/>
              <w:keepNext/>
              <w:spacing w:line="440" w:lineRule="exact"/>
              <w:ind w:left="66" w:right="66"/>
              <w:rPr>
                <w:rFonts w:eastAsia="仿宋_GB2312"/>
                <w:color w:val="auto"/>
                <w:sz w:val="28"/>
                <w:szCs w:val="28"/>
                <w:highlight w:val="none"/>
                <w:lang w:val="en-US"/>
              </w:rPr>
            </w:pPr>
          </w:p>
        </w:tc>
      </w:tr>
    </w:tbl>
    <w:p w14:paraId="3ED95C58">
      <w:pPr>
        <w:spacing w:line="360" w:lineRule="auto"/>
        <w:ind w:left="-420" w:leftChars="-200" w:right="-420" w:rightChars="-200" w:firstLine="480" w:firstLineChars="200"/>
        <w:jc w:val="center"/>
        <w:outlineLvl w:val="0"/>
        <w:rPr>
          <w:rFonts w:ascii="宋体" w:hAnsi="宋体" w:cs="宋体"/>
          <w:color w:val="auto"/>
          <w:sz w:val="24"/>
          <w:highlight w:val="none"/>
        </w:rPr>
      </w:pPr>
    </w:p>
    <w:p w14:paraId="3E4DDB53">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469D9718">
      <w:pPr>
        <w:pStyle w:val="5"/>
        <w:snapToGrid w:val="0"/>
        <w:spacing w:before="0" w:after="0" w:line="360" w:lineRule="auto"/>
        <w:ind w:left="0" w:firstLine="0"/>
        <w:jc w:val="center"/>
        <w:rPr>
          <w:color w:val="auto"/>
          <w:highlight w:val="none"/>
        </w:rPr>
      </w:pPr>
      <w:bookmarkStart w:id="1024" w:name="_Toc18246"/>
      <w:r>
        <w:rPr>
          <w:rFonts w:hint="eastAsia"/>
          <w:color w:val="auto"/>
          <w:highlight w:val="none"/>
        </w:rPr>
        <w:t>第六部分</w:t>
      </w:r>
      <w:bookmarkEnd w:id="460"/>
      <w:r>
        <w:rPr>
          <w:rFonts w:hint="eastAsia"/>
          <w:color w:val="auto"/>
          <w:highlight w:val="none"/>
        </w:rPr>
        <w:t xml:space="preserve"> </w:t>
      </w:r>
      <w:bookmarkEnd w:id="461"/>
      <w:r>
        <w:rPr>
          <w:rFonts w:hint="eastAsia"/>
          <w:color w:val="auto"/>
          <w:highlight w:val="none"/>
        </w:rPr>
        <w:t>应提交的有关格式范例</w:t>
      </w:r>
      <w:bookmarkEnd w:id="1024"/>
    </w:p>
    <w:p w14:paraId="26BA5ABF">
      <w:pPr>
        <w:spacing w:line="360" w:lineRule="auto"/>
        <w:jc w:val="center"/>
        <w:outlineLvl w:val="0"/>
        <w:rPr>
          <w:rFonts w:ascii="宋体" w:hAnsi="宋体" w:cs="宋体"/>
          <w:b/>
          <w:color w:val="auto"/>
          <w:kern w:val="0"/>
          <w:sz w:val="36"/>
          <w:szCs w:val="36"/>
          <w:highlight w:val="none"/>
        </w:rPr>
      </w:pPr>
    </w:p>
    <w:p w14:paraId="563821DC">
      <w:pPr>
        <w:spacing w:line="360" w:lineRule="auto"/>
        <w:jc w:val="center"/>
        <w:outlineLvl w:val="0"/>
        <w:rPr>
          <w:rFonts w:ascii="宋体" w:hAnsi="宋体" w:cs="宋体"/>
          <w:b/>
          <w:color w:val="auto"/>
          <w:kern w:val="0"/>
          <w:sz w:val="36"/>
          <w:szCs w:val="36"/>
          <w:highlight w:val="none"/>
        </w:rPr>
      </w:pPr>
      <w:bookmarkStart w:id="1025" w:name="_Toc26830"/>
      <w:r>
        <w:rPr>
          <w:rFonts w:hint="eastAsia" w:ascii="宋体" w:hAnsi="宋体" w:cs="宋体"/>
          <w:b/>
          <w:color w:val="auto"/>
          <w:kern w:val="0"/>
          <w:sz w:val="36"/>
          <w:szCs w:val="36"/>
          <w:highlight w:val="none"/>
        </w:rPr>
        <w:t>资格文件部分</w:t>
      </w:r>
      <w:bookmarkEnd w:id="1025"/>
    </w:p>
    <w:p w14:paraId="4277D1E8">
      <w:pPr>
        <w:spacing w:line="360" w:lineRule="auto"/>
        <w:jc w:val="center"/>
        <w:outlineLvl w:val="0"/>
        <w:rPr>
          <w:rFonts w:ascii="宋体" w:hAnsi="宋体" w:cs="宋体"/>
          <w:b/>
          <w:color w:val="auto"/>
          <w:kern w:val="0"/>
          <w:sz w:val="36"/>
          <w:szCs w:val="36"/>
          <w:highlight w:val="none"/>
        </w:rPr>
      </w:pPr>
      <w:bookmarkStart w:id="1026" w:name="_Toc11663"/>
      <w:r>
        <w:rPr>
          <w:rFonts w:hint="eastAsia" w:ascii="宋体" w:hAnsi="宋体" w:cs="宋体"/>
          <w:b/>
          <w:color w:val="auto"/>
          <w:kern w:val="0"/>
          <w:sz w:val="36"/>
          <w:szCs w:val="36"/>
          <w:highlight w:val="none"/>
        </w:rPr>
        <w:t>目录</w:t>
      </w:r>
      <w:bookmarkEnd w:id="1026"/>
    </w:p>
    <w:p w14:paraId="09BC9B15">
      <w:pPr>
        <w:spacing w:line="360" w:lineRule="auto"/>
        <w:jc w:val="center"/>
        <w:outlineLvl w:val="0"/>
        <w:rPr>
          <w:rFonts w:ascii="宋体" w:hAnsi="宋体" w:cs="宋体"/>
          <w:b/>
          <w:color w:val="auto"/>
          <w:kern w:val="0"/>
          <w:sz w:val="36"/>
          <w:szCs w:val="36"/>
          <w:highlight w:val="none"/>
        </w:rPr>
      </w:pPr>
    </w:p>
    <w:p w14:paraId="23963A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页码）</w:t>
      </w:r>
    </w:p>
    <w:p w14:paraId="554AC5E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097E6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E6E8D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23B2FC8">
      <w:pPr>
        <w:snapToGrid w:val="0"/>
        <w:spacing w:line="360" w:lineRule="auto"/>
        <w:ind w:firstLine="480" w:firstLineChars="200"/>
        <w:rPr>
          <w:rFonts w:ascii="宋体" w:hAnsi="宋体" w:cs="宋体"/>
          <w:color w:val="auto"/>
          <w:sz w:val="24"/>
          <w:highlight w:val="none"/>
        </w:rPr>
      </w:pPr>
    </w:p>
    <w:p w14:paraId="33A4AF2C">
      <w:pPr>
        <w:spacing w:line="360" w:lineRule="auto"/>
        <w:ind w:firstLine="480" w:firstLineChars="200"/>
        <w:rPr>
          <w:rFonts w:ascii="宋体" w:hAnsi="宋体" w:cs="宋体"/>
          <w:color w:val="auto"/>
          <w:sz w:val="24"/>
          <w:highlight w:val="none"/>
        </w:rPr>
      </w:pPr>
    </w:p>
    <w:p w14:paraId="4FE10892">
      <w:pPr>
        <w:snapToGrid w:val="0"/>
        <w:spacing w:line="360" w:lineRule="auto"/>
        <w:ind w:right="48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满足《中华人民共和国政府采购法》第二十二条规定；未被“信用中国”（www.creditchina.gov.cn)、中国政府采购网（www.ccgp.gov.cn）列入失信被执行人、重大税收违法案件当事人名单、政府采购严重违法失信行为记录名单</w:t>
      </w:r>
    </w:p>
    <w:p w14:paraId="0712B4DD">
      <w:pPr>
        <w:snapToGrid w:val="0"/>
        <w:spacing w:line="360" w:lineRule="auto"/>
        <w:ind w:right="480"/>
        <w:jc w:val="left"/>
        <w:rPr>
          <w:rFonts w:ascii="宋体" w:hAnsi="宋体" w:cs="宋体"/>
          <w:b/>
          <w:color w:val="auto"/>
          <w:sz w:val="24"/>
          <w:highlight w:val="none"/>
        </w:rPr>
      </w:pPr>
    </w:p>
    <w:p w14:paraId="73B1445E">
      <w:pPr>
        <w:snapToGrid w:val="0"/>
        <w:spacing w:line="360" w:lineRule="auto"/>
        <w:ind w:right="480"/>
        <w:jc w:val="left"/>
        <w:rPr>
          <w:rFonts w:ascii="宋体" w:hAnsi="宋体" w:cs="宋体"/>
          <w:b/>
          <w:color w:val="auto"/>
          <w:sz w:val="24"/>
          <w:highlight w:val="none"/>
        </w:rPr>
      </w:pPr>
    </w:p>
    <w:p w14:paraId="7298D24A">
      <w:pPr>
        <w:snapToGrid w:val="0"/>
        <w:spacing w:line="360" w:lineRule="auto"/>
        <w:ind w:right="480"/>
        <w:jc w:val="left"/>
        <w:rPr>
          <w:rFonts w:ascii="宋体" w:hAnsi="宋体" w:cs="宋体"/>
          <w:b/>
          <w:color w:val="auto"/>
          <w:kern w:val="0"/>
          <w:sz w:val="24"/>
          <w:highlight w:val="none"/>
        </w:rPr>
      </w:pPr>
      <w:r>
        <w:rPr>
          <w:rFonts w:hint="eastAsia" w:ascii="宋体" w:hAnsi="宋体" w:cs="宋体"/>
          <w:b/>
          <w:color w:val="auto"/>
          <w:sz w:val="24"/>
          <w:highlight w:val="none"/>
        </w:rPr>
        <w:t>（1）营业执照(或事业法人登记证书或其它工商等登记证明材料；自然人参与政府采购，提供身份证)复印件；</w:t>
      </w:r>
      <w:r>
        <w:rPr>
          <w:rFonts w:hint="eastAsia" w:ascii="宋体" w:hAnsi="宋体" w:cs="宋体"/>
          <w:b/>
          <w:color w:val="auto"/>
          <w:kern w:val="0"/>
          <w:sz w:val="24"/>
          <w:highlight w:val="none"/>
        </w:rPr>
        <w:t xml:space="preserve"> </w:t>
      </w:r>
    </w:p>
    <w:p w14:paraId="6BC862BB">
      <w:pPr>
        <w:pStyle w:val="26"/>
        <w:ind w:firstLine="0" w:firstLineChars="0"/>
        <w:rPr>
          <w:color w:val="auto"/>
          <w:highlight w:val="none"/>
        </w:rPr>
      </w:pPr>
    </w:p>
    <w:p w14:paraId="018097E6">
      <w:pPr>
        <w:pStyle w:val="27"/>
        <w:rPr>
          <w:color w:val="auto"/>
          <w:highlight w:val="none"/>
        </w:rPr>
      </w:pPr>
    </w:p>
    <w:p w14:paraId="3D4FFEB0">
      <w:pPr>
        <w:snapToGrid w:val="0"/>
        <w:spacing w:line="360" w:lineRule="auto"/>
        <w:ind w:right="480"/>
        <w:jc w:val="center"/>
        <w:rPr>
          <w:rFonts w:ascii="宋体" w:hAnsi="宋体" w:cs="宋体"/>
          <w:b/>
          <w:color w:val="auto"/>
          <w:kern w:val="0"/>
          <w:sz w:val="32"/>
          <w:szCs w:val="32"/>
          <w:highlight w:val="none"/>
        </w:rPr>
      </w:pPr>
    </w:p>
    <w:p w14:paraId="40EA7F41">
      <w:pPr>
        <w:rPr>
          <w:rFonts w:ascii="宋体" w:hAnsi="宋体" w:cs="宋体"/>
          <w:b/>
          <w:color w:val="auto"/>
          <w:sz w:val="24"/>
          <w:highlight w:val="none"/>
        </w:rPr>
      </w:pPr>
      <w:r>
        <w:rPr>
          <w:rFonts w:hint="eastAsia" w:ascii="宋体" w:hAnsi="宋体" w:cs="宋体"/>
          <w:b/>
          <w:color w:val="auto"/>
          <w:sz w:val="24"/>
          <w:highlight w:val="none"/>
        </w:rPr>
        <w:br w:type="page"/>
      </w:r>
    </w:p>
    <w:p w14:paraId="7F20B355">
      <w:pPr>
        <w:snapToGrid w:val="0"/>
        <w:spacing w:line="360" w:lineRule="auto"/>
        <w:ind w:right="480"/>
        <w:jc w:val="left"/>
        <w:rPr>
          <w:rFonts w:ascii="宋体" w:hAnsi="宋体" w:cs="宋体"/>
          <w:b/>
          <w:color w:val="auto"/>
          <w:sz w:val="24"/>
          <w:highlight w:val="none"/>
        </w:rPr>
      </w:pPr>
      <w:r>
        <w:rPr>
          <w:rFonts w:hint="eastAsia" w:ascii="宋体" w:hAnsi="宋体" w:cs="宋体"/>
          <w:b/>
          <w:color w:val="auto"/>
          <w:sz w:val="24"/>
          <w:highlight w:val="none"/>
        </w:rPr>
        <w:t>（2）符合参加政府采购活动应当具备的一般条件的承诺函</w:t>
      </w:r>
    </w:p>
    <w:p w14:paraId="248CB2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994A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47C89C7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627B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BC73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B506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BE5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E44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88F74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870E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250D8D2">
      <w:pPr>
        <w:snapToGrid w:val="0"/>
        <w:spacing w:line="360" w:lineRule="auto"/>
        <w:ind w:firstLine="5520" w:firstLineChars="2300"/>
        <w:rPr>
          <w:rFonts w:ascii="宋体" w:hAnsi="宋体" w:cs="宋体"/>
          <w:color w:val="auto"/>
          <w:kern w:val="0"/>
          <w:sz w:val="24"/>
          <w:highlight w:val="none"/>
        </w:rPr>
      </w:pPr>
    </w:p>
    <w:p w14:paraId="029AC928">
      <w:pPr>
        <w:snapToGrid w:val="0"/>
        <w:spacing w:line="360" w:lineRule="auto"/>
        <w:ind w:firstLine="5520" w:firstLineChars="2300"/>
        <w:rPr>
          <w:rFonts w:ascii="宋体" w:hAnsi="宋体" w:cs="宋体"/>
          <w:color w:val="auto"/>
          <w:kern w:val="0"/>
          <w:sz w:val="24"/>
          <w:highlight w:val="none"/>
        </w:rPr>
      </w:pPr>
    </w:p>
    <w:p w14:paraId="0723C758">
      <w:pPr>
        <w:snapToGrid w:val="0"/>
        <w:spacing w:line="360" w:lineRule="auto"/>
        <w:ind w:firstLine="5520" w:firstLineChars="2300"/>
        <w:rPr>
          <w:rFonts w:ascii="宋体" w:hAnsi="宋体" w:cs="宋体"/>
          <w:color w:val="auto"/>
          <w:kern w:val="0"/>
          <w:sz w:val="24"/>
          <w:highlight w:val="none"/>
        </w:rPr>
      </w:pPr>
    </w:p>
    <w:p w14:paraId="02A33D3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B6FFA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CEB3E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9FE31F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7D04BF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1F778C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2343B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8EE7536">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136EB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8B0AA5">
      <w:pPr>
        <w:widowControl/>
        <w:spacing w:line="360" w:lineRule="auto"/>
        <w:ind w:firstLine="480"/>
        <w:jc w:val="left"/>
        <w:rPr>
          <w:rFonts w:ascii="宋体" w:hAnsi="宋体" w:cs="宋体"/>
          <w:color w:val="auto"/>
          <w:sz w:val="24"/>
          <w:highlight w:val="none"/>
        </w:rPr>
      </w:pPr>
    </w:p>
    <w:p w14:paraId="1C241D3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8135C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7F7C2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F7C600">
      <w:pPr>
        <w:widowControl/>
        <w:spacing w:line="360" w:lineRule="auto"/>
        <w:ind w:left="150"/>
        <w:jc w:val="center"/>
        <w:rPr>
          <w:rFonts w:ascii="宋体" w:hAnsi="宋体" w:cs="宋体"/>
          <w:b/>
          <w:color w:val="auto"/>
          <w:kern w:val="0"/>
          <w:sz w:val="32"/>
          <w:szCs w:val="32"/>
          <w:highlight w:val="none"/>
        </w:rPr>
      </w:pPr>
    </w:p>
    <w:p w14:paraId="0A73BDF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4AE5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56096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56BC00A">
      <w:pPr>
        <w:rPr>
          <w:rFonts w:ascii="宋体" w:hAnsi="宋体" w:cs="宋体"/>
          <w:color w:val="auto"/>
          <w:highlight w:val="none"/>
        </w:rPr>
      </w:pPr>
    </w:p>
    <w:p w14:paraId="61B2E9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（1）须具有房屋建筑工程施工总承包三级（含）以上资质，提供证书复印件；</w:t>
      </w:r>
    </w:p>
    <w:p w14:paraId="27B55B66">
      <w:pPr>
        <w:spacing w:line="360" w:lineRule="auto"/>
        <w:ind w:firstLine="480" w:firstLineChars="200"/>
        <w:jc w:val="left"/>
        <w:rPr>
          <w:rFonts w:ascii="宋体" w:hAnsi="宋体" w:cs="宋体"/>
          <w:color w:val="auto"/>
          <w:sz w:val="24"/>
          <w:highlight w:val="none"/>
        </w:rPr>
      </w:pPr>
    </w:p>
    <w:p w14:paraId="738027DA">
      <w:pPr>
        <w:spacing w:line="360" w:lineRule="auto"/>
        <w:ind w:firstLine="480" w:firstLineChars="200"/>
        <w:jc w:val="left"/>
        <w:rPr>
          <w:rFonts w:ascii="宋体" w:hAnsi="宋体" w:cs="宋体"/>
          <w:color w:val="auto"/>
          <w:sz w:val="24"/>
          <w:highlight w:val="none"/>
        </w:rPr>
      </w:pPr>
    </w:p>
    <w:p w14:paraId="1685C132">
      <w:pPr>
        <w:pStyle w:val="27"/>
        <w:rPr>
          <w:color w:val="auto"/>
          <w:highlight w:val="none"/>
        </w:rPr>
      </w:pPr>
    </w:p>
    <w:p w14:paraId="24515D54">
      <w:pPr>
        <w:spacing w:line="360" w:lineRule="auto"/>
        <w:ind w:firstLine="480" w:firstLineChars="200"/>
        <w:jc w:val="left"/>
        <w:rPr>
          <w:rFonts w:ascii="宋体" w:hAnsi="宋体" w:cs="宋体"/>
          <w:color w:val="auto"/>
          <w:sz w:val="24"/>
          <w:highlight w:val="none"/>
        </w:rPr>
      </w:pPr>
    </w:p>
    <w:p w14:paraId="607621E7">
      <w:pPr>
        <w:numPr>
          <w:ilvl w:val="0"/>
          <w:numId w:val="3"/>
        </w:numPr>
        <w:snapToGrid w:val="0"/>
        <w:spacing w:line="360" w:lineRule="auto"/>
        <w:ind w:right="480" w:firstLine="480" w:firstLineChars="200"/>
        <w:jc w:val="left"/>
        <w:rPr>
          <w:rFonts w:ascii="宋体" w:hAnsi="宋体" w:cs="宋体"/>
          <w:color w:val="auto"/>
          <w:sz w:val="24"/>
          <w:highlight w:val="none"/>
        </w:rPr>
      </w:pPr>
      <w:r>
        <w:rPr>
          <w:rFonts w:hint="eastAsia" w:ascii="宋体" w:hAnsi="宋体" w:cs="宋体"/>
          <w:color w:val="auto"/>
          <w:sz w:val="24"/>
          <w:highlight w:val="none"/>
        </w:rPr>
        <w:t>须具有安全生产许可证，且在有效期内，提供证书复印件；</w:t>
      </w:r>
    </w:p>
    <w:p w14:paraId="2EFF7236">
      <w:pPr>
        <w:snapToGrid w:val="0"/>
        <w:spacing w:line="360" w:lineRule="auto"/>
        <w:ind w:firstLine="480" w:firstLineChars="200"/>
        <w:rPr>
          <w:rFonts w:ascii="宋体" w:hAnsi="宋体" w:cs="宋体"/>
          <w:color w:val="auto"/>
          <w:sz w:val="24"/>
          <w:highlight w:val="none"/>
        </w:rPr>
      </w:pPr>
    </w:p>
    <w:p w14:paraId="18CD4C8C">
      <w:pPr>
        <w:snapToGrid w:val="0"/>
        <w:spacing w:line="360" w:lineRule="auto"/>
        <w:ind w:firstLine="480" w:firstLineChars="200"/>
        <w:rPr>
          <w:rFonts w:ascii="宋体" w:hAnsi="宋体" w:cs="宋体"/>
          <w:color w:val="auto"/>
          <w:sz w:val="24"/>
          <w:highlight w:val="none"/>
        </w:rPr>
      </w:pPr>
    </w:p>
    <w:p w14:paraId="16FE62EA">
      <w:pPr>
        <w:snapToGrid w:val="0"/>
        <w:spacing w:line="360" w:lineRule="auto"/>
        <w:ind w:firstLine="480" w:firstLineChars="200"/>
        <w:rPr>
          <w:rFonts w:ascii="宋体" w:hAnsi="宋体" w:cs="宋体"/>
          <w:color w:val="auto"/>
          <w:sz w:val="24"/>
          <w:highlight w:val="none"/>
        </w:rPr>
      </w:pPr>
    </w:p>
    <w:p w14:paraId="38256C7F">
      <w:pPr>
        <w:rPr>
          <w:rFonts w:ascii="宋体" w:hAnsi="宋体" w:cs="宋体"/>
          <w:color w:val="auto"/>
          <w:sz w:val="24"/>
          <w:highlight w:val="none"/>
        </w:rPr>
      </w:pPr>
      <w:r>
        <w:rPr>
          <w:rFonts w:hint="eastAsia" w:ascii="宋体" w:hAnsi="宋体" w:cs="宋体"/>
          <w:color w:val="auto"/>
          <w:sz w:val="24"/>
          <w:highlight w:val="none"/>
        </w:rPr>
        <w:br w:type="page"/>
      </w:r>
    </w:p>
    <w:p w14:paraId="0EC01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E0A1C9">
      <w:pPr>
        <w:pStyle w:val="26"/>
        <w:ind w:firstLine="0" w:firstLineChars="0"/>
        <w:rPr>
          <w:color w:val="auto"/>
          <w:highlight w:val="none"/>
        </w:rPr>
      </w:pPr>
    </w:p>
    <w:p w14:paraId="39AB89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4D7A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我方参与（项目名称）【项目编号：（采购编号）】政府采购活动，郑重承诺不存在以下情况：</w:t>
      </w:r>
    </w:p>
    <w:p w14:paraId="60553D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18C9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E8D26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4DC83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FE944D6">
      <w:pPr>
        <w:pStyle w:val="27"/>
        <w:rPr>
          <w:color w:val="auto"/>
          <w:highlight w:val="none"/>
        </w:rPr>
        <w:sectPr>
          <w:pgSz w:w="11906" w:h="16838"/>
          <w:pgMar w:top="1440" w:right="1080" w:bottom="1440" w:left="1080" w:header="851" w:footer="992" w:gutter="0"/>
          <w:cols w:space="720" w:num="1"/>
          <w:titlePg/>
          <w:docGrid w:linePitch="312" w:charSpace="0"/>
        </w:sectPr>
      </w:pPr>
    </w:p>
    <w:p w14:paraId="37E063F2">
      <w:pPr>
        <w:pStyle w:val="6"/>
        <w:rPr>
          <w:rFonts w:ascii="宋体" w:hAnsi="宋体" w:cs="宋体"/>
          <w:b w:val="0"/>
          <w:color w:val="auto"/>
          <w:kern w:val="0"/>
          <w:sz w:val="36"/>
          <w:szCs w:val="36"/>
          <w:highlight w:val="none"/>
        </w:rPr>
      </w:pPr>
    </w:p>
    <w:p w14:paraId="36670C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4F3067">
      <w:pPr>
        <w:spacing w:line="360" w:lineRule="auto"/>
        <w:jc w:val="center"/>
        <w:outlineLvl w:val="0"/>
        <w:rPr>
          <w:rFonts w:ascii="宋体" w:hAnsi="宋体" w:cs="宋体"/>
          <w:b/>
          <w:color w:val="auto"/>
          <w:kern w:val="0"/>
          <w:sz w:val="28"/>
          <w:szCs w:val="28"/>
          <w:highlight w:val="none"/>
        </w:rPr>
      </w:pPr>
      <w:bookmarkStart w:id="1027" w:name="_Toc31282"/>
      <w:r>
        <w:rPr>
          <w:rFonts w:hint="eastAsia" w:ascii="宋体" w:hAnsi="宋体" w:cs="宋体"/>
          <w:b/>
          <w:color w:val="auto"/>
          <w:kern w:val="0"/>
          <w:sz w:val="28"/>
          <w:szCs w:val="28"/>
          <w:highlight w:val="none"/>
        </w:rPr>
        <w:t>目录</w:t>
      </w:r>
      <w:bookmarkEnd w:id="1027"/>
    </w:p>
    <w:p w14:paraId="3B0097C4">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0CB0476">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776D692">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5125F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CDD0DA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47611BE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33BE807F">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0CCEAD1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FD221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601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5D7E2E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CC946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096EA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8AEC7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4173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8CF74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B011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91475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6BB9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1BAB0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2004A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3A96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B3C6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75C8E6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2C981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4D3A19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EA11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A067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7A6B0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60BD22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52D482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3DA3CD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0163D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03CF8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3E1AAB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03043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A4175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01FF8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7A66BA">
      <w:pPr>
        <w:snapToGrid w:val="0"/>
        <w:spacing w:line="360" w:lineRule="auto"/>
        <w:ind w:left="420" w:leftChars="200" w:firstLine="4200" w:firstLineChars="1750"/>
        <w:rPr>
          <w:rFonts w:ascii="宋体" w:hAnsi="宋体" w:cs="宋体"/>
          <w:color w:val="auto"/>
          <w:kern w:val="0"/>
          <w:sz w:val="24"/>
          <w:highlight w:val="none"/>
          <w:u w:val="single"/>
        </w:rPr>
      </w:pPr>
    </w:p>
    <w:p w14:paraId="33C3CD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9D6F1D">
      <w:pPr>
        <w:snapToGrid w:val="0"/>
        <w:spacing w:line="360" w:lineRule="auto"/>
        <w:jc w:val="center"/>
        <w:rPr>
          <w:rFonts w:ascii="宋体" w:hAnsi="宋体" w:cs="宋体"/>
          <w:b/>
          <w:color w:val="auto"/>
          <w:kern w:val="0"/>
          <w:sz w:val="32"/>
          <w:szCs w:val="32"/>
          <w:highlight w:val="none"/>
        </w:rPr>
      </w:pPr>
    </w:p>
    <w:p w14:paraId="27BCA91E">
      <w:pPr>
        <w:snapToGrid w:val="0"/>
        <w:spacing w:line="360" w:lineRule="auto"/>
        <w:rPr>
          <w:rFonts w:ascii="宋体" w:hAnsi="宋体" w:cs="宋体"/>
          <w:color w:val="auto"/>
          <w:sz w:val="24"/>
          <w:highlight w:val="none"/>
        </w:rPr>
      </w:pPr>
    </w:p>
    <w:p w14:paraId="0BB0A7DD">
      <w:pPr>
        <w:jc w:val="center"/>
        <w:rPr>
          <w:rFonts w:ascii="宋体" w:hAnsi="宋体" w:cs="宋体"/>
          <w:b/>
          <w:color w:val="auto"/>
          <w:kern w:val="0"/>
          <w:sz w:val="32"/>
          <w:szCs w:val="32"/>
          <w:highlight w:val="none"/>
        </w:rPr>
      </w:pPr>
    </w:p>
    <w:p w14:paraId="21A6FAE8">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860473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0981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6A0994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A2418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5C4F29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F9BD3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0873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3CF7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8E1FEB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0F575D8">
      <w:pPr>
        <w:snapToGrid w:val="0"/>
        <w:spacing w:line="360" w:lineRule="auto"/>
        <w:rPr>
          <w:rFonts w:ascii="宋体" w:hAnsi="宋体" w:cs="宋体"/>
          <w:color w:val="auto"/>
          <w:sz w:val="24"/>
          <w:highlight w:val="none"/>
        </w:rPr>
      </w:pPr>
    </w:p>
    <w:p w14:paraId="33B69E56">
      <w:pPr>
        <w:snapToGrid w:val="0"/>
        <w:spacing w:line="360" w:lineRule="auto"/>
        <w:rPr>
          <w:rFonts w:ascii="宋体" w:hAnsi="宋体" w:cs="宋体"/>
          <w:color w:val="auto"/>
          <w:sz w:val="24"/>
          <w:highlight w:val="none"/>
        </w:rPr>
      </w:pPr>
    </w:p>
    <w:p w14:paraId="7FE50BED">
      <w:pPr>
        <w:snapToGrid w:val="0"/>
        <w:spacing w:line="360" w:lineRule="auto"/>
        <w:rPr>
          <w:rFonts w:ascii="宋体" w:hAnsi="宋体" w:cs="宋体"/>
          <w:color w:val="auto"/>
          <w:sz w:val="24"/>
          <w:highlight w:val="none"/>
        </w:rPr>
      </w:pPr>
    </w:p>
    <w:p w14:paraId="1107764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650C9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44643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EC5DA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6469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26CF0">
      <w:pPr>
        <w:jc w:val="center"/>
        <w:rPr>
          <w:rFonts w:ascii="宋体" w:hAnsi="宋体" w:cs="宋体"/>
          <w:b/>
          <w:color w:val="auto"/>
          <w:kern w:val="0"/>
          <w:sz w:val="32"/>
          <w:szCs w:val="32"/>
          <w:highlight w:val="none"/>
        </w:rPr>
      </w:pPr>
    </w:p>
    <w:p w14:paraId="238A12CC">
      <w:pPr>
        <w:jc w:val="center"/>
        <w:rPr>
          <w:rFonts w:ascii="宋体" w:hAnsi="宋体" w:cs="宋体"/>
          <w:b/>
          <w:color w:val="auto"/>
          <w:kern w:val="0"/>
          <w:sz w:val="32"/>
          <w:szCs w:val="32"/>
          <w:highlight w:val="none"/>
        </w:rPr>
      </w:pPr>
    </w:p>
    <w:p w14:paraId="02FFED43">
      <w:pPr>
        <w:jc w:val="center"/>
        <w:rPr>
          <w:rFonts w:ascii="宋体" w:hAnsi="宋体" w:cs="宋体"/>
          <w:b/>
          <w:color w:val="auto"/>
          <w:kern w:val="0"/>
          <w:sz w:val="32"/>
          <w:szCs w:val="32"/>
          <w:highlight w:val="none"/>
        </w:rPr>
      </w:pPr>
    </w:p>
    <w:p w14:paraId="2F3DCBF4">
      <w:pPr>
        <w:rPr>
          <w:rFonts w:ascii="宋体" w:hAnsi="宋体" w:cs="宋体"/>
          <w:color w:val="auto"/>
          <w:highlight w:val="none"/>
        </w:rPr>
      </w:pPr>
    </w:p>
    <w:p w14:paraId="70C614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07A0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B1C0A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38A63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4CE31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BAFFCC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3E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817D5F">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7B34A87">
            <w:pPr>
              <w:pStyle w:val="151"/>
              <w:adjustRightInd w:val="0"/>
              <w:spacing w:line="360" w:lineRule="auto"/>
              <w:rPr>
                <w:rFonts w:hAnsi="宋体" w:cs="宋体"/>
                <w:bCs/>
                <w:color w:val="auto"/>
                <w:sz w:val="24"/>
                <w:highlight w:val="none"/>
              </w:rPr>
            </w:pPr>
          </w:p>
        </w:tc>
      </w:tr>
    </w:tbl>
    <w:p w14:paraId="3D055F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3229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96B62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9CB249">
      <w:pPr>
        <w:jc w:val="center"/>
        <w:rPr>
          <w:rFonts w:ascii="宋体" w:hAnsi="宋体" w:cs="宋体"/>
          <w:b/>
          <w:color w:val="auto"/>
          <w:kern w:val="0"/>
          <w:sz w:val="32"/>
          <w:szCs w:val="32"/>
          <w:highlight w:val="none"/>
        </w:rPr>
      </w:pPr>
    </w:p>
    <w:p w14:paraId="71706B24">
      <w:pPr>
        <w:jc w:val="center"/>
        <w:rPr>
          <w:rFonts w:ascii="宋体" w:hAnsi="宋体" w:cs="宋体"/>
          <w:b/>
          <w:color w:val="auto"/>
          <w:kern w:val="0"/>
          <w:sz w:val="32"/>
          <w:szCs w:val="32"/>
          <w:highlight w:val="none"/>
        </w:rPr>
      </w:pPr>
    </w:p>
    <w:p w14:paraId="00CB2F01">
      <w:pPr>
        <w:jc w:val="center"/>
        <w:rPr>
          <w:rFonts w:ascii="宋体" w:hAnsi="宋体" w:cs="宋体"/>
          <w:b/>
          <w:color w:val="auto"/>
          <w:kern w:val="0"/>
          <w:sz w:val="32"/>
          <w:szCs w:val="32"/>
          <w:highlight w:val="none"/>
        </w:rPr>
      </w:pPr>
    </w:p>
    <w:p w14:paraId="0DD6F4A3">
      <w:pPr>
        <w:jc w:val="center"/>
        <w:rPr>
          <w:rFonts w:ascii="宋体" w:hAnsi="宋体" w:cs="宋体"/>
          <w:b/>
          <w:color w:val="auto"/>
          <w:kern w:val="0"/>
          <w:sz w:val="32"/>
          <w:szCs w:val="32"/>
          <w:highlight w:val="none"/>
        </w:rPr>
      </w:pPr>
    </w:p>
    <w:p w14:paraId="0A73B855">
      <w:pPr>
        <w:jc w:val="center"/>
        <w:rPr>
          <w:rFonts w:ascii="宋体" w:hAnsi="宋体" w:cs="宋体"/>
          <w:b/>
          <w:color w:val="auto"/>
          <w:kern w:val="0"/>
          <w:sz w:val="32"/>
          <w:szCs w:val="32"/>
          <w:highlight w:val="none"/>
        </w:rPr>
      </w:pPr>
    </w:p>
    <w:p w14:paraId="14734CD1">
      <w:pPr>
        <w:jc w:val="center"/>
        <w:rPr>
          <w:rFonts w:ascii="宋体" w:hAnsi="宋体" w:cs="宋体"/>
          <w:b/>
          <w:color w:val="auto"/>
          <w:kern w:val="0"/>
          <w:sz w:val="32"/>
          <w:szCs w:val="32"/>
          <w:highlight w:val="none"/>
        </w:rPr>
      </w:pPr>
    </w:p>
    <w:p w14:paraId="2656A50A">
      <w:pPr>
        <w:jc w:val="center"/>
        <w:rPr>
          <w:rFonts w:ascii="宋体" w:hAnsi="宋体" w:cs="宋体"/>
          <w:b/>
          <w:color w:val="auto"/>
          <w:kern w:val="0"/>
          <w:sz w:val="32"/>
          <w:szCs w:val="32"/>
          <w:highlight w:val="none"/>
        </w:rPr>
      </w:pPr>
    </w:p>
    <w:p w14:paraId="650627D1">
      <w:pPr>
        <w:jc w:val="center"/>
        <w:rPr>
          <w:rFonts w:ascii="宋体" w:hAnsi="宋体" w:cs="宋体"/>
          <w:b/>
          <w:color w:val="auto"/>
          <w:kern w:val="0"/>
          <w:sz w:val="32"/>
          <w:szCs w:val="32"/>
          <w:highlight w:val="none"/>
        </w:rPr>
      </w:pPr>
    </w:p>
    <w:p w14:paraId="38326171">
      <w:pPr>
        <w:jc w:val="center"/>
        <w:rPr>
          <w:rFonts w:ascii="宋体" w:hAnsi="宋体" w:cs="宋体"/>
          <w:b/>
          <w:color w:val="auto"/>
          <w:kern w:val="0"/>
          <w:sz w:val="32"/>
          <w:szCs w:val="32"/>
          <w:highlight w:val="none"/>
        </w:rPr>
      </w:pPr>
    </w:p>
    <w:p w14:paraId="7FD10C68">
      <w:pPr>
        <w:jc w:val="center"/>
        <w:rPr>
          <w:rFonts w:ascii="宋体" w:hAnsi="宋体" w:cs="宋体"/>
          <w:b/>
          <w:color w:val="auto"/>
          <w:kern w:val="0"/>
          <w:sz w:val="32"/>
          <w:szCs w:val="32"/>
          <w:highlight w:val="none"/>
        </w:rPr>
      </w:pPr>
    </w:p>
    <w:p w14:paraId="50FED978">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5557D7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BBA9A90">
      <w:pPr>
        <w:widowControl/>
        <w:spacing w:line="360" w:lineRule="auto"/>
        <w:ind w:firstLine="120" w:firstLineChars="50"/>
        <w:jc w:val="left"/>
        <w:rPr>
          <w:rFonts w:ascii="宋体" w:hAnsi="宋体" w:cs="宋体"/>
          <w:color w:val="auto"/>
          <w:sz w:val="24"/>
          <w:highlight w:val="none"/>
        </w:rPr>
      </w:pPr>
      <w:bookmarkStart w:id="102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8"/>
    <w:p w14:paraId="50C874D5">
      <w:pPr>
        <w:snapToGrid w:val="0"/>
        <w:spacing w:line="360" w:lineRule="auto"/>
        <w:rPr>
          <w:rFonts w:ascii="宋体" w:hAnsi="宋体" w:cs="宋体"/>
          <w:color w:val="auto"/>
          <w:kern w:val="0"/>
          <w:sz w:val="24"/>
          <w:highlight w:val="none"/>
        </w:rPr>
      </w:pPr>
    </w:p>
    <w:p w14:paraId="3536E62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628005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E6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A10C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62B1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D3BBF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82646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F7288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7F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F1E2EF">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D9BB586">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98FD98F">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E99EA6F">
            <w:pPr>
              <w:rPr>
                <w:rFonts w:ascii="宋体" w:hAnsi="宋体" w:cs="宋体"/>
                <w:color w:val="auto"/>
                <w:sz w:val="24"/>
                <w:highlight w:val="none"/>
              </w:rPr>
            </w:pPr>
            <w:r>
              <w:rPr>
                <w:rFonts w:hint="eastAsia" w:ascii="宋体" w:hAnsi="宋体" w:cs="宋体"/>
                <w:color w:val="auto"/>
                <w:sz w:val="24"/>
                <w:highlight w:val="none"/>
              </w:rPr>
              <w:t>见响应文件</w:t>
            </w:r>
          </w:p>
          <w:p w14:paraId="21C399F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1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DED30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252916D">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A1F35D">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4021ECA">
            <w:pPr>
              <w:rPr>
                <w:rFonts w:ascii="宋体" w:hAnsi="宋体" w:cs="宋体"/>
                <w:color w:val="auto"/>
                <w:sz w:val="24"/>
                <w:highlight w:val="none"/>
              </w:rPr>
            </w:pPr>
            <w:r>
              <w:rPr>
                <w:rFonts w:hint="eastAsia" w:ascii="宋体" w:hAnsi="宋体" w:cs="宋体"/>
                <w:color w:val="auto"/>
                <w:sz w:val="24"/>
                <w:highlight w:val="none"/>
              </w:rPr>
              <w:t>见响应文件</w:t>
            </w:r>
          </w:p>
          <w:p w14:paraId="3063E35B">
            <w:pPr>
              <w:pStyle w:val="6"/>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886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6BC50B">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3734212">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7BA5586">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26FDD3B">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4E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645F4A">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6EA8864D">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23531CE">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5DC4932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267AF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B2647A">
      <w:pPr>
        <w:jc w:val="center"/>
        <w:rPr>
          <w:rFonts w:ascii="宋体" w:hAnsi="宋体" w:cs="宋体"/>
          <w:b/>
          <w:color w:val="auto"/>
          <w:kern w:val="0"/>
          <w:sz w:val="32"/>
          <w:szCs w:val="32"/>
          <w:highlight w:val="none"/>
        </w:rPr>
      </w:pPr>
    </w:p>
    <w:p w14:paraId="2CC57A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EF3CD53">
      <w:pPr>
        <w:jc w:val="center"/>
        <w:rPr>
          <w:rFonts w:ascii="宋体" w:hAnsi="宋体" w:cs="宋体"/>
          <w:b/>
          <w:color w:val="auto"/>
          <w:kern w:val="0"/>
          <w:sz w:val="32"/>
          <w:szCs w:val="32"/>
          <w:highlight w:val="none"/>
        </w:rPr>
      </w:pPr>
    </w:p>
    <w:p w14:paraId="5A18C1F1">
      <w:pPr>
        <w:jc w:val="center"/>
        <w:rPr>
          <w:rFonts w:ascii="宋体" w:hAnsi="宋体" w:cs="宋体"/>
          <w:b/>
          <w:color w:val="auto"/>
          <w:kern w:val="0"/>
          <w:sz w:val="32"/>
          <w:szCs w:val="32"/>
          <w:highlight w:val="none"/>
        </w:rPr>
      </w:pPr>
    </w:p>
    <w:p w14:paraId="02D51DC3">
      <w:pPr>
        <w:jc w:val="center"/>
        <w:rPr>
          <w:rFonts w:ascii="宋体" w:hAnsi="宋体" w:cs="宋体"/>
          <w:b/>
          <w:color w:val="auto"/>
          <w:kern w:val="0"/>
          <w:sz w:val="32"/>
          <w:szCs w:val="32"/>
          <w:highlight w:val="none"/>
        </w:rPr>
      </w:pPr>
    </w:p>
    <w:p w14:paraId="44E361D6">
      <w:pPr>
        <w:jc w:val="center"/>
        <w:rPr>
          <w:rFonts w:ascii="宋体" w:hAnsi="宋体" w:cs="宋体"/>
          <w:b/>
          <w:color w:val="auto"/>
          <w:kern w:val="0"/>
          <w:sz w:val="32"/>
          <w:szCs w:val="32"/>
          <w:highlight w:val="none"/>
        </w:rPr>
      </w:pPr>
    </w:p>
    <w:p w14:paraId="622D17B9">
      <w:pPr>
        <w:jc w:val="center"/>
        <w:rPr>
          <w:rFonts w:ascii="宋体" w:hAnsi="宋体" w:cs="宋体"/>
          <w:b/>
          <w:color w:val="auto"/>
          <w:kern w:val="0"/>
          <w:sz w:val="32"/>
          <w:szCs w:val="32"/>
          <w:highlight w:val="none"/>
        </w:rPr>
      </w:pPr>
    </w:p>
    <w:p w14:paraId="76F401E6">
      <w:pPr>
        <w:jc w:val="center"/>
        <w:rPr>
          <w:rFonts w:ascii="宋体" w:hAnsi="宋体" w:cs="宋体"/>
          <w:b/>
          <w:color w:val="auto"/>
          <w:kern w:val="0"/>
          <w:sz w:val="32"/>
          <w:szCs w:val="32"/>
          <w:highlight w:val="none"/>
        </w:rPr>
      </w:pPr>
    </w:p>
    <w:p w14:paraId="09F9D1C3">
      <w:pPr>
        <w:jc w:val="center"/>
        <w:rPr>
          <w:rFonts w:ascii="宋体" w:hAnsi="宋体" w:cs="宋体"/>
          <w:b/>
          <w:color w:val="auto"/>
          <w:kern w:val="0"/>
          <w:sz w:val="32"/>
          <w:szCs w:val="32"/>
          <w:highlight w:val="none"/>
        </w:rPr>
      </w:pPr>
    </w:p>
    <w:p w14:paraId="4FF0ED65">
      <w:pPr>
        <w:jc w:val="center"/>
        <w:rPr>
          <w:rFonts w:ascii="宋体" w:hAnsi="宋体" w:cs="宋体"/>
          <w:b/>
          <w:color w:val="auto"/>
          <w:kern w:val="0"/>
          <w:sz w:val="32"/>
          <w:szCs w:val="32"/>
          <w:highlight w:val="none"/>
        </w:rPr>
      </w:pPr>
    </w:p>
    <w:p w14:paraId="68D0277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485D52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D4FB885">
      <w:pPr>
        <w:jc w:val="center"/>
        <w:rPr>
          <w:rFonts w:ascii="宋体" w:hAnsi="宋体" w:cs="宋体"/>
          <w:b/>
          <w:color w:val="auto"/>
          <w:kern w:val="0"/>
          <w:sz w:val="32"/>
          <w:szCs w:val="32"/>
          <w:highlight w:val="none"/>
        </w:rPr>
      </w:pPr>
    </w:p>
    <w:p w14:paraId="2666C7B8">
      <w:pPr>
        <w:jc w:val="center"/>
        <w:rPr>
          <w:rFonts w:ascii="宋体" w:hAnsi="宋体" w:cs="宋体"/>
          <w:b/>
          <w:color w:val="auto"/>
          <w:kern w:val="0"/>
          <w:sz w:val="32"/>
          <w:szCs w:val="32"/>
          <w:highlight w:val="none"/>
        </w:rPr>
      </w:pPr>
    </w:p>
    <w:p w14:paraId="5008ABFE">
      <w:pPr>
        <w:jc w:val="center"/>
        <w:rPr>
          <w:rFonts w:ascii="宋体" w:hAnsi="宋体" w:cs="宋体"/>
          <w:b/>
          <w:color w:val="auto"/>
          <w:kern w:val="0"/>
          <w:sz w:val="32"/>
          <w:szCs w:val="32"/>
          <w:highlight w:val="none"/>
        </w:rPr>
      </w:pPr>
    </w:p>
    <w:p w14:paraId="77BB1A6B">
      <w:pPr>
        <w:jc w:val="center"/>
        <w:rPr>
          <w:rFonts w:ascii="宋体" w:hAnsi="宋体" w:cs="宋体"/>
          <w:b/>
          <w:color w:val="auto"/>
          <w:kern w:val="0"/>
          <w:sz w:val="32"/>
          <w:szCs w:val="32"/>
          <w:highlight w:val="none"/>
        </w:rPr>
      </w:pPr>
    </w:p>
    <w:p w14:paraId="5FF17155">
      <w:pPr>
        <w:jc w:val="center"/>
        <w:rPr>
          <w:rFonts w:ascii="宋体" w:hAnsi="宋体" w:cs="宋体"/>
          <w:b/>
          <w:color w:val="auto"/>
          <w:kern w:val="0"/>
          <w:sz w:val="32"/>
          <w:szCs w:val="32"/>
          <w:highlight w:val="none"/>
        </w:rPr>
      </w:pPr>
    </w:p>
    <w:p w14:paraId="4C95AA7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2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B94FE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43A2A80">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67D607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2E9B7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48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8C6C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C1E38DF">
            <w:pPr>
              <w:jc w:val="center"/>
              <w:rPr>
                <w:rFonts w:ascii="宋体" w:hAnsi="宋体" w:cs="宋体"/>
                <w:b/>
                <w:color w:val="auto"/>
                <w:kern w:val="0"/>
                <w:sz w:val="32"/>
                <w:szCs w:val="32"/>
                <w:highlight w:val="none"/>
              </w:rPr>
            </w:pPr>
          </w:p>
        </w:tc>
        <w:tc>
          <w:tcPr>
            <w:tcW w:w="3546" w:type="dxa"/>
          </w:tcPr>
          <w:p w14:paraId="2E78C3E4">
            <w:pPr>
              <w:jc w:val="center"/>
              <w:rPr>
                <w:rFonts w:ascii="宋体" w:hAnsi="宋体" w:cs="宋体"/>
                <w:b/>
                <w:color w:val="auto"/>
                <w:kern w:val="0"/>
                <w:sz w:val="32"/>
                <w:szCs w:val="32"/>
                <w:highlight w:val="none"/>
              </w:rPr>
            </w:pPr>
          </w:p>
        </w:tc>
        <w:tc>
          <w:tcPr>
            <w:tcW w:w="1276" w:type="dxa"/>
          </w:tcPr>
          <w:p w14:paraId="69FFC57C">
            <w:pPr>
              <w:jc w:val="center"/>
              <w:rPr>
                <w:rFonts w:ascii="宋体" w:hAnsi="宋体" w:cs="宋体"/>
                <w:b/>
                <w:color w:val="auto"/>
                <w:kern w:val="0"/>
                <w:sz w:val="32"/>
                <w:szCs w:val="32"/>
                <w:highlight w:val="none"/>
              </w:rPr>
            </w:pPr>
          </w:p>
        </w:tc>
      </w:tr>
      <w:tr w14:paraId="7C2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0FD5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7E61ED">
            <w:pPr>
              <w:jc w:val="center"/>
              <w:rPr>
                <w:rFonts w:ascii="宋体" w:hAnsi="宋体" w:cs="宋体"/>
                <w:b/>
                <w:color w:val="auto"/>
                <w:kern w:val="0"/>
                <w:sz w:val="32"/>
                <w:szCs w:val="32"/>
                <w:highlight w:val="none"/>
              </w:rPr>
            </w:pPr>
          </w:p>
        </w:tc>
        <w:tc>
          <w:tcPr>
            <w:tcW w:w="3546" w:type="dxa"/>
          </w:tcPr>
          <w:p w14:paraId="447F6D15">
            <w:pPr>
              <w:jc w:val="center"/>
              <w:rPr>
                <w:rFonts w:ascii="宋体" w:hAnsi="宋体" w:cs="宋体"/>
                <w:b/>
                <w:color w:val="auto"/>
                <w:kern w:val="0"/>
                <w:sz w:val="32"/>
                <w:szCs w:val="32"/>
                <w:highlight w:val="none"/>
              </w:rPr>
            </w:pPr>
          </w:p>
        </w:tc>
        <w:tc>
          <w:tcPr>
            <w:tcW w:w="1276" w:type="dxa"/>
          </w:tcPr>
          <w:p w14:paraId="67888A01">
            <w:pPr>
              <w:jc w:val="center"/>
              <w:rPr>
                <w:rFonts w:ascii="宋体" w:hAnsi="宋体" w:cs="宋体"/>
                <w:b/>
                <w:color w:val="auto"/>
                <w:kern w:val="0"/>
                <w:sz w:val="32"/>
                <w:szCs w:val="32"/>
                <w:highlight w:val="none"/>
              </w:rPr>
            </w:pPr>
          </w:p>
        </w:tc>
      </w:tr>
      <w:tr w14:paraId="3E04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17063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557ECF">
            <w:pPr>
              <w:jc w:val="center"/>
              <w:rPr>
                <w:rFonts w:ascii="宋体" w:hAnsi="宋体" w:cs="宋体"/>
                <w:b/>
                <w:color w:val="auto"/>
                <w:kern w:val="0"/>
                <w:sz w:val="32"/>
                <w:szCs w:val="32"/>
                <w:highlight w:val="none"/>
              </w:rPr>
            </w:pPr>
          </w:p>
        </w:tc>
        <w:tc>
          <w:tcPr>
            <w:tcW w:w="3546" w:type="dxa"/>
          </w:tcPr>
          <w:p w14:paraId="27EEB287">
            <w:pPr>
              <w:jc w:val="center"/>
              <w:rPr>
                <w:rFonts w:ascii="宋体" w:hAnsi="宋体" w:cs="宋体"/>
                <w:b/>
                <w:color w:val="auto"/>
                <w:kern w:val="0"/>
                <w:sz w:val="32"/>
                <w:szCs w:val="32"/>
                <w:highlight w:val="none"/>
              </w:rPr>
            </w:pPr>
          </w:p>
        </w:tc>
        <w:tc>
          <w:tcPr>
            <w:tcW w:w="1276" w:type="dxa"/>
          </w:tcPr>
          <w:p w14:paraId="0B43AB08">
            <w:pPr>
              <w:jc w:val="center"/>
              <w:rPr>
                <w:rFonts w:ascii="宋体" w:hAnsi="宋体" w:cs="宋体"/>
                <w:b/>
                <w:color w:val="auto"/>
                <w:kern w:val="0"/>
                <w:sz w:val="32"/>
                <w:szCs w:val="32"/>
                <w:highlight w:val="none"/>
              </w:rPr>
            </w:pPr>
          </w:p>
        </w:tc>
      </w:tr>
    </w:tbl>
    <w:p w14:paraId="5FACA94B">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DE78047">
      <w:pPr>
        <w:jc w:val="center"/>
        <w:rPr>
          <w:rFonts w:ascii="宋体" w:hAnsi="宋体" w:cs="宋体"/>
          <w:b/>
          <w:color w:val="auto"/>
          <w:kern w:val="0"/>
          <w:sz w:val="32"/>
          <w:szCs w:val="32"/>
          <w:highlight w:val="none"/>
        </w:rPr>
      </w:pPr>
    </w:p>
    <w:p w14:paraId="353122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A5F155">
      <w:pPr>
        <w:ind w:firstLine="1911" w:firstLineChars="595"/>
        <w:rPr>
          <w:rFonts w:ascii="宋体" w:hAnsi="宋体" w:cs="宋体"/>
          <w:b/>
          <w:bCs/>
          <w:color w:val="auto"/>
          <w:sz w:val="32"/>
          <w:szCs w:val="32"/>
          <w:highlight w:val="none"/>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2B7D2321">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B9671A">
      <w:pPr>
        <w:snapToGrid w:val="0"/>
        <w:spacing w:line="360" w:lineRule="auto"/>
        <w:rPr>
          <w:rFonts w:ascii="宋体" w:hAnsi="宋体" w:cs="宋体"/>
          <w:color w:val="auto"/>
          <w:sz w:val="24"/>
          <w:highlight w:val="none"/>
        </w:rPr>
      </w:pPr>
    </w:p>
    <w:p w14:paraId="35B540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79BD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727E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7423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3790F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66355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BDF67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488CA8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ECF8E4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B928B84">
      <w:pPr>
        <w:autoSpaceDE w:val="0"/>
        <w:autoSpaceDN w:val="0"/>
        <w:spacing w:line="360" w:lineRule="auto"/>
        <w:ind w:left="2"/>
        <w:jc w:val="left"/>
        <w:rPr>
          <w:rFonts w:ascii="宋体" w:hAnsi="宋体" w:cs="宋体"/>
          <w:color w:val="auto"/>
          <w:kern w:val="0"/>
          <w:sz w:val="24"/>
          <w:highlight w:val="none"/>
          <w:lang w:val="zh-CN"/>
        </w:rPr>
      </w:pPr>
    </w:p>
    <w:p w14:paraId="1FFF309B">
      <w:pPr>
        <w:autoSpaceDE w:val="0"/>
        <w:autoSpaceDN w:val="0"/>
        <w:spacing w:line="360" w:lineRule="auto"/>
        <w:ind w:left="2"/>
        <w:jc w:val="left"/>
        <w:rPr>
          <w:rFonts w:ascii="宋体" w:hAnsi="宋体" w:cs="宋体"/>
          <w:color w:val="auto"/>
          <w:kern w:val="0"/>
          <w:sz w:val="24"/>
          <w:highlight w:val="none"/>
          <w:lang w:val="zh-CN"/>
        </w:rPr>
      </w:pPr>
    </w:p>
    <w:p w14:paraId="1BF86222">
      <w:pPr>
        <w:autoSpaceDE w:val="0"/>
        <w:autoSpaceDN w:val="0"/>
        <w:spacing w:line="360" w:lineRule="auto"/>
        <w:ind w:left="2"/>
        <w:jc w:val="left"/>
        <w:rPr>
          <w:rFonts w:ascii="宋体" w:hAnsi="宋体" w:cs="宋体"/>
          <w:color w:val="auto"/>
          <w:kern w:val="0"/>
          <w:sz w:val="24"/>
          <w:highlight w:val="none"/>
          <w:lang w:val="zh-CN"/>
        </w:rPr>
      </w:pPr>
    </w:p>
    <w:p w14:paraId="22D972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AFE925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414449">
      <w:pPr>
        <w:spacing w:line="360" w:lineRule="auto"/>
        <w:jc w:val="center"/>
        <w:rPr>
          <w:rFonts w:ascii="宋体" w:hAnsi="宋体" w:cs="宋体"/>
          <w:b/>
          <w:bCs/>
          <w:color w:val="auto"/>
          <w:sz w:val="24"/>
          <w:highlight w:val="none"/>
        </w:rPr>
      </w:pPr>
    </w:p>
    <w:p w14:paraId="59E58A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3B45D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B6809D4">
      <w:pPr>
        <w:spacing w:line="360" w:lineRule="auto"/>
        <w:jc w:val="center"/>
        <w:outlineLvl w:val="0"/>
        <w:rPr>
          <w:rFonts w:ascii="宋体" w:hAnsi="宋体" w:cs="宋体"/>
          <w:b/>
          <w:color w:val="auto"/>
          <w:kern w:val="0"/>
          <w:sz w:val="36"/>
          <w:szCs w:val="36"/>
          <w:highlight w:val="none"/>
        </w:rPr>
      </w:pPr>
      <w:bookmarkStart w:id="1029" w:name="_Toc16072"/>
      <w:r>
        <w:rPr>
          <w:rFonts w:hint="eastAsia" w:ascii="宋体" w:hAnsi="宋体" w:cs="宋体"/>
          <w:b/>
          <w:color w:val="auto"/>
          <w:kern w:val="0"/>
          <w:sz w:val="36"/>
          <w:szCs w:val="36"/>
          <w:highlight w:val="none"/>
        </w:rPr>
        <w:t>报价文件部分</w:t>
      </w:r>
      <w:bookmarkEnd w:id="1029"/>
    </w:p>
    <w:p w14:paraId="614E136F">
      <w:pPr>
        <w:spacing w:line="360" w:lineRule="auto"/>
        <w:jc w:val="center"/>
        <w:outlineLvl w:val="0"/>
        <w:rPr>
          <w:rFonts w:ascii="宋体" w:hAnsi="宋体" w:cs="宋体"/>
          <w:b/>
          <w:color w:val="auto"/>
          <w:kern w:val="0"/>
          <w:sz w:val="36"/>
          <w:szCs w:val="36"/>
          <w:highlight w:val="none"/>
        </w:rPr>
      </w:pPr>
      <w:bookmarkStart w:id="1030" w:name="_Toc16371"/>
      <w:r>
        <w:rPr>
          <w:rFonts w:hint="eastAsia" w:ascii="宋体" w:hAnsi="宋体" w:cs="宋体"/>
          <w:b/>
          <w:color w:val="auto"/>
          <w:kern w:val="0"/>
          <w:sz w:val="36"/>
          <w:szCs w:val="36"/>
          <w:highlight w:val="none"/>
        </w:rPr>
        <w:t>目录</w:t>
      </w:r>
      <w:bookmarkEnd w:id="1030"/>
    </w:p>
    <w:p w14:paraId="0B4C6843">
      <w:pPr>
        <w:spacing w:line="360" w:lineRule="auto"/>
        <w:jc w:val="center"/>
        <w:outlineLvl w:val="0"/>
        <w:rPr>
          <w:rFonts w:ascii="宋体" w:hAnsi="宋体" w:cs="宋体"/>
          <w:b/>
          <w:color w:val="auto"/>
          <w:kern w:val="0"/>
          <w:sz w:val="36"/>
          <w:szCs w:val="36"/>
          <w:highlight w:val="none"/>
        </w:rPr>
      </w:pPr>
    </w:p>
    <w:p w14:paraId="0D488B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30E8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00749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（3）已标价工程量清单……………………………………………………………（页码）</w:t>
      </w:r>
    </w:p>
    <w:p w14:paraId="42905F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（4）中小企业声明函………………………………………………………………（页码）</w:t>
      </w:r>
    </w:p>
    <w:p w14:paraId="379C6087">
      <w:pPr>
        <w:snapToGrid w:val="0"/>
        <w:spacing w:line="360" w:lineRule="auto"/>
        <w:ind w:right="480"/>
        <w:jc w:val="center"/>
        <w:rPr>
          <w:rFonts w:ascii="宋体" w:hAnsi="宋体" w:cs="宋体"/>
          <w:b/>
          <w:color w:val="auto"/>
          <w:kern w:val="0"/>
          <w:sz w:val="32"/>
          <w:szCs w:val="32"/>
          <w:highlight w:val="none"/>
        </w:rPr>
      </w:pPr>
    </w:p>
    <w:p w14:paraId="052FE1DB">
      <w:pPr>
        <w:snapToGrid w:val="0"/>
        <w:spacing w:line="360" w:lineRule="auto"/>
        <w:ind w:right="480"/>
        <w:jc w:val="center"/>
        <w:rPr>
          <w:rFonts w:ascii="宋体" w:hAnsi="宋体" w:cs="宋体"/>
          <w:b/>
          <w:color w:val="auto"/>
          <w:kern w:val="0"/>
          <w:sz w:val="32"/>
          <w:szCs w:val="32"/>
          <w:highlight w:val="none"/>
        </w:rPr>
      </w:pPr>
    </w:p>
    <w:p w14:paraId="18F834A0">
      <w:pPr>
        <w:snapToGrid w:val="0"/>
        <w:spacing w:line="360" w:lineRule="auto"/>
        <w:ind w:right="480"/>
        <w:jc w:val="center"/>
        <w:rPr>
          <w:rFonts w:ascii="宋体" w:hAnsi="宋体" w:cs="宋体"/>
          <w:b/>
          <w:color w:val="auto"/>
          <w:kern w:val="0"/>
          <w:sz w:val="32"/>
          <w:szCs w:val="32"/>
          <w:highlight w:val="none"/>
        </w:rPr>
      </w:pPr>
    </w:p>
    <w:p w14:paraId="05079C18">
      <w:pPr>
        <w:snapToGrid w:val="0"/>
        <w:spacing w:line="360" w:lineRule="auto"/>
        <w:ind w:right="480"/>
        <w:jc w:val="center"/>
        <w:rPr>
          <w:rFonts w:ascii="宋体" w:hAnsi="宋体" w:cs="宋体"/>
          <w:b/>
          <w:color w:val="auto"/>
          <w:kern w:val="0"/>
          <w:sz w:val="32"/>
          <w:szCs w:val="32"/>
          <w:highlight w:val="none"/>
        </w:rPr>
      </w:pPr>
    </w:p>
    <w:p w14:paraId="0FFC0084">
      <w:pPr>
        <w:snapToGrid w:val="0"/>
        <w:spacing w:line="360" w:lineRule="auto"/>
        <w:ind w:right="480"/>
        <w:jc w:val="center"/>
        <w:rPr>
          <w:rFonts w:ascii="宋体" w:hAnsi="宋体" w:cs="宋体"/>
          <w:b/>
          <w:color w:val="auto"/>
          <w:kern w:val="0"/>
          <w:sz w:val="32"/>
          <w:szCs w:val="32"/>
          <w:highlight w:val="none"/>
        </w:rPr>
      </w:pPr>
    </w:p>
    <w:p w14:paraId="51AC797B">
      <w:pPr>
        <w:snapToGrid w:val="0"/>
        <w:spacing w:line="360" w:lineRule="auto"/>
        <w:ind w:right="480"/>
        <w:jc w:val="center"/>
        <w:rPr>
          <w:rFonts w:ascii="宋体" w:hAnsi="宋体" w:cs="宋体"/>
          <w:b/>
          <w:color w:val="auto"/>
          <w:kern w:val="0"/>
          <w:sz w:val="32"/>
          <w:szCs w:val="32"/>
          <w:highlight w:val="none"/>
        </w:rPr>
      </w:pPr>
    </w:p>
    <w:p w14:paraId="60BD3FFE">
      <w:pPr>
        <w:snapToGrid w:val="0"/>
        <w:spacing w:line="360" w:lineRule="auto"/>
        <w:ind w:right="480"/>
        <w:jc w:val="center"/>
        <w:rPr>
          <w:rFonts w:ascii="宋体" w:hAnsi="宋体" w:cs="宋体"/>
          <w:b/>
          <w:color w:val="auto"/>
          <w:kern w:val="0"/>
          <w:sz w:val="32"/>
          <w:szCs w:val="32"/>
          <w:highlight w:val="none"/>
        </w:rPr>
      </w:pPr>
    </w:p>
    <w:p w14:paraId="574CEB15">
      <w:pPr>
        <w:snapToGrid w:val="0"/>
        <w:spacing w:line="360" w:lineRule="auto"/>
        <w:ind w:right="480"/>
        <w:jc w:val="center"/>
        <w:rPr>
          <w:rFonts w:ascii="宋体" w:hAnsi="宋体" w:cs="宋体"/>
          <w:b/>
          <w:color w:val="auto"/>
          <w:kern w:val="0"/>
          <w:sz w:val="32"/>
          <w:szCs w:val="32"/>
          <w:highlight w:val="none"/>
        </w:rPr>
      </w:pPr>
    </w:p>
    <w:p w14:paraId="3CE36F7A">
      <w:pPr>
        <w:snapToGrid w:val="0"/>
        <w:spacing w:line="360" w:lineRule="auto"/>
        <w:ind w:right="480"/>
        <w:jc w:val="center"/>
        <w:rPr>
          <w:rFonts w:ascii="宋体" w:hAnsi="宋体" w:cs="宋体"/>
          <w:b/>
          <w:color w:val="auto"/>
          <w:kern w:val="0"/>
          <w:sz w:val="32"/>
          <w:szCs w:val="32"/>
          <w:highlight w:val="none"/>
        </w:rPr>
      </w:pPr>
    </w:p>
    <w:p w14:paraId="7C3875E8">
      <w:pPr>
        <w:snapToGrid w:val="0"/>
        <w:spacing w:line="360" w:lineRule="auto"/>
        <w:ind w:right="480"/>
        <w:jc w:val="center"/>
        <w:rPr>
          <w:rFonts w:ascii="宋体" w:hAnsi="宋体" w:cs="宋体"/>
          <w:b/>
          <w:color w:val="auto"/>
          <w:kern w:val="0"/>
          <w:sz w:val="32"/>
          <w:szCs w:val="32"/>
          <w:highlight w:val="none"/>
        </w:rPr>
      </w:pPr>
    </w:p>
    <w:p w14:paraId="1D103647">
      <w:pPr>
        <w:snapToGrid w:val="0"/>
        <w:spacing w:line="360" w:lineRule="auto"/>
        <w:ind w:right="480"/>
        <w:jc w:val="center"/>
        <w:rPr>
          <w:rFonts w:ascii="宋体" w:hAnsi="宋体" w:cs="宋体"/>
          <w:b/>
          <w:color w:val="auto"/>
          <w:kern w:val="0"/>
          <w:sz w:val="32"/>
          <w:szCs w:val="32"/>
          <w:highlight w:val="none"/>
        </w:rPr>
      </w:pPr>
    </w:p>
    <w:p w14:paraId="11FEF1FA">
      <w:pPr>
        <w:snapToGrid w:val="0"/>
        <w:spacing w:line="360" w:lineRule="auto"/>
        <w:ind w:right="480"/>
        <w:jc w:val="center"/>
        <w:rPr>
          <w:rFonts w:ascii="宋体" w:hAnsi="宋体" w:cs="宋体"/>
          <w:b/>
          <w:color w:val="auto"/>
          <w:kern w:val="0"/>
          <w:sz w:val="32"/>
          <w:szCs w:val="32"/>
          <w:highlight w:val="none"/>
        </w:rPr>
      </w:pPr>
    </w:p>
    <w:p w14:paraId="7C95AF6D">
      <w:pPr>
        <w:snapToGrid w:val="0"/>
        <w:spacing w:line="360" w:lineRule="auto"/>
        <w:ind w:right="480"/>
        <w:jc w:val="center"/>
        <w:rPr>
          <w:rFonts w:ascii="宋体" w:hAnsi="宋体" w:cs="宋体"/>
          <w:b/>
          <w:color w:val="auto"/>
          <w:kern w:val="0"/>
          <w:sz w:val="32"/>
          <w:szCs w:val="32"/>
          <w:highlight w:val="none"/>
        </w:rPr>
      </w:pPr>
    </w:p>
    <w:p w14:paraId="1577DDDD">
      <w:pPr>
        <w:snapToGrid w:val="0"/>
        <w:spacing w:line="360" w:lineRule="auto"/>
        <w:ind w:right="480"/>
        <w:jc w:val="center"/>
        <w:rPr>
          <w:rFonts w:ascii="宋体" w:hAnsi="宋体" w:cs="宋体"/>
          <w:b/>
          <w:color w:val="auto"/>
          <w:kern w:val="0"/>
          <w:sz w:val="32"/>
          <w:szCs w:val="32"/>
          <w:highlight w:val="none"/>
        </w:rPr>
      </w:pPr>
    </w:p>
    <w:p w14:paraId="3287251A">
      <w:pPr>
        <w:snapToGrid w:val="0"/>
        <w:spacing w:line="360" w:lineRule="auto"/>
        <w:ind w:right="480"/>
        <w:jc w:val="center"/>
        <w:rPr>
          <w:rFonts w:ascii="宋体" w:hAnsi="宋体" w:cs="宋体"/>
          <w:b/>
          <w:color w:val="auto"/>
          <w:kern w:val="0"/>
          <w:sz w:val="32"/>
          <w:szCs w:val="32"/>
          <w:highlight w:val="none"/>
        </w:rPr>
      </w:pPr>
    </w:p>
    <w:p w14:paraId="2B65B064">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791C9BE3">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1031" w:name="_Toc9306"/>
      <w:r>
        <w:rPr>
          <w:rFonts w:hint="eastAsia" w:ascii="宋体" w:hAnsi="宋体" w:eastAsia="宋体" w:cs="宋体"/>
          <w:color w:val="auto"/>
          <w:kern w:val="2"/>
          <w:sz w:val="32"/>
          <w:szCs w:val="32"/>
          <w:highlight w:val="none"/>
        </w:rPr>
        <w:t>一、报价单</w:t>
      </w:r>
      <w:bookmarkEnd w:id="1031"/>
    </w:p>
    <w:p w14:paraId="599555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F9B5F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6C6C05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247"/>
        <w:gridCol w:w="1427"/>
        <w:gridCol w:w="1684"/>
        <w:gridCol w:w="1760"/>
      </w:tblGrid>
      <w:tr w14:paraId="50CA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51" w:type="dxa"/>
            <w:vAlign w:val="center"/>
          </w:tcPr>
          <w:p w14:paraId="61CE7E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49D36432">
            <w:pPr>
              <w:spacing w:line="360" w:lineRule="auto"/>
              <w:jc w:val="center"/>
              <w:rPr>
                <w:rFonts w:ascii="宋体" w:hAnsi="宋体" w:cs="宋体"/>
                <w:b/>
                <w:color w:val="auto"/>
                <w:sz w:val="24"/>
                <w:highlight w:val="none"/>
              </w:rPr>
            </w:pPr>
          </w:p>
          <w:p w14:paraId="4DB7AF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47" w:type="dxa"/>
            <w:vAlign w:val="center"/>
          </w:tcPr>
          <w:p w14:paraId="1AE3ED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1427" w:type="dxa"/>
            <w:vAlign w:val="center"/>
          </w:tcPr>
          <w:p w14:paraId="3513D8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684" w:type="dxa"/>
            <w:vAlign w:val="center"/>
          </w:tcPr>
          <w:p w14:paraId="5577AA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760" w:type="dxa"/>
            <w:vAlign w:val="center"/>
          </w:tcPr>
          <w:p w14:paraId="6AC7E1B3">
            <w:pPr>
              <w:spacing w:line="360" w:lineRule="auto"/>
              <w:jc w:val="center"/>
              <w:rPr>
                <w:rFonts w:ascii="宋体" w:hAnsi="宋体" w:cs="宋体"/>
                <w:b/>
                <w:color w:val="auto"/>
                <w:sz w:val="24"/>
                <w:highlight w:val="none"/>
              </w:rPr>
            </w:pPr>
          </w:p>
          <w:p w14:paraId="112A85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3FAC87">
            <w:pPr>
              <w:spacing w:line="360" w:lineRule="auto"/>
              <w:jc w:val="center"/>
              <w:rPr>
                <w:rFonts w:ascii="宋体" w:hAnsi="宋体" w:cs="宋体"/>
                <w:b/>
                <w:color w:val="auto"/>
                <w:sz w:val="24"/>
                <w:highlight w:val="none"/>
              </w:rPr>
            </w:pPr>
          </w:p>
        </w:tc>
      </w:tr>
      <w:tr w14:paraId="0BE9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2734A53">
            <w:pPr>
              <w:snapToGrid w:val="0"/>
              <w:spacing w:line="360" w:lineRule="auto"/>
              <w:jc w:val="center"/>
              <w:rPr>
                <w:rFonts w:ascii="宋体" w:hAnsi="宋体" w:cs="宋体"/>
                <w:color w:val="auto"/>
                <w:sz w:val="24"/>
                <w:highlight w:val="none"/>
              </w:rPr>
            </w:pPr>
          </w:p>
        </w:tc>
        <w:tc>
          <w:tcPr>
            <w:tcW w:w="1843" w:type="dxa"/>
            <w:vAlign w:val="center"/>
          </w:tcPr>
          <w:p w14:paraId="1BF7124B">
            <w:pPr>
              <w:snapToGrid w:val="0"/>
              <w:spacing w:line="360" w:lineRule="auto"/>
              <w:jc w:val="center"/>
              <w:rPr>
                <w:rFonts w:ascii="宋体" w:hAnsi="宋体" w:cs="宋体"/>
                <w:color w:val="auto"/>
                <w:sz w:val="24"/>
                <w:highlight w:val="none"/>
              </w:rPr>
            </w:pPr>
          </w:p>
        </w:tc>
        <w:tc>
          <w:tcPr>
            <w:tcW w:w="1247" w:type="dxa"/>
            <w:vAlign w:val="center"/>
          </w:tcPr>
          <w:p w14:paraId="70858D4E">
            <w:pPr>
              <w:snapToGrid w:val="0"/>
              <w:spacing w:line="360" w:lineRule="auto"/>
              <w:jc w:val="center"/>
              <w:rPr>
                <w:rFonts w:ascii="宋体" w:hAnsi="宋体" w:cs="宋体"/>
                <w:color w:val="auto"/>
                <w:sz w:val="24"/>
                <w:highlight w:val="none"/>
              </w:rPr>
            </w:pPr>
          </w:p>
        </w:tc>
        <w:tc>
          <w:tcPr>
            <w:tcW w:w="1427" w:type="dxa"/>
            <w:vAlign w:val="center"/>
          </w:tcPr>
          <w:p w14:paraId="4E8AD3CF">
            <w:pPr>
              <w:spacing w:line="360" w:lineRule="auto"/>
              <w:jc w:val="center"/>
              <w:rPr>
                <w:rFonts w:ascii="宋体" w:hAnsi="宋体" w:cs="宋体"/>
                <w:color w:val="auto"/>
                <w:sz w:val="24"/>
                <w:highlight w:val="none"/>
              </w:rPr>
            </w:pPr>
          </w:p>
        </w:tc>
        <w:tc>
          <w:tcPr>
            <w:tcW w:w="1684" w:type="dxa"/>
            <w:vAlign w:val="center"/>
          </w:tcPr>
          <w:p w14:paraId="3EEC8A62">
            <w:pPr>
              <w:spacing w:line="360" w:lineRule="auto"/>
              <w:jc w:val="center"/>
              <w:rPr>
                <w:rFonts w:ascii="宋体" w:hAnsi="宋体" w:cs="宋体"/>
                <w:color w:val="auto"/>
                <w:sz w:val="24"/>
                <w:highlight w:val="none"/>
              </w:rPr>
            </w:pPr>
          </w:p>
        </w:tc>
        <w:tc>
          <w:tcPr>
            <w:tcW w:w="1760" w:type="dxa"/>
            <w:vAlign w:val="center"/>
          </w:tcPr>
          <w:p w14:paraId="1385B7CF">
            <w:pPr>
              <w:spacing w:line="360" w:lineRule="auto"/>
              <w:jc w:val="center"/>
              <w:rPr>
                <w:rFonts w:ascii="宋体" w:hAnsi="宋体" w:cs="宋体"/>
                <w:color w:val="auto"/>
                <w:sz w:val="24"/>
                <w:highlight w:val="none"/>
              </w:rPr>
            </w:pPr>
          </w:p>
        </w:tc>
      </w:tr>
      <w:tr w14:paraId="5CB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41" w:type="dxa"/>
            <w:gridSpan w:val="3"/>
            <w:vAlign w:val="center"/>
          </w:tcPr>
          <w:p w14:paraId="0B0BD5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4871" w:type="dxa"/>
            <w:gridSpan w:val="3"/>
            <w:vAlign w:val="center"/>
          </w:tcPr>
          <w:p w14:paraId="600C8E43">
            <w:pPr>
              <w:spacing w:line="360" w:lineRule="auto"/>
              <w:jc w:val="center"/>
              <w:rPr>
                <w:rFonts w:ascii="宋体" w:hAnsi="宋体" w:cs="宋体"/>
                <w:color w:val="auto"/>
                <w:sz w:val="24"/>
                <w:highlight w:val="none"/>
              </w:rPr>
            </w:pPr>
          </w:p>
        </w:tc>
      </w:tr>
      <w:tr w14:paraId="6669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41" w:type="dxa"/>
            <w:gridSpan w:val="3"/>
            <w:vAlign w:val="center"/>
          </w:tcPr>
          <w:p w14:paraId="7BB9C8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4871" w:type="dxa"/>
            <w:gridSpan w:val="3"/>
            <w:vAlign w:val="center"/>
          </w:tcPr>
          <w:p w14:paraId="21416FC5">
            <w:pPr>
              <w:spacing w:line="360" w:lineRule="auto"/>
              <w:jc w:val="center"/>
              <w:rPr>
                <w:rFonts w:ascii="宋体" w:hAnsi="宋体" w:cs="宋体"/>
                <w:color w:val="auto"/>
                <w:sz w:val="24"/>
                <w:highlight w:val="none"/>
              </w:rPr>
            </w:pPr>
          </w:p>
        </w:tc>
      </w:tr>
    </w:tbl>
    <w:p w14:paraId="7AF1CAD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900C11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1CFBDD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57425A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3D4DEB7">
      <w:pPr>
        <w:snapToGrid w:val="0"/>
        <w:spacing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8710007">
      <w:pPr>
        <w:pStyle w:val="696"/>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21AD574">
      <w:pPr>
        <w:snapToGrid w:val="0"/>
        <w:spacing w:before="120" w:after="120"/>
        <w:rPr>
          <w:color w:val="auto"/>
          <w:highlight w:val="none"/>
        </w:rPr>
      </w:pPr>
    </w:p>
    <w:p w14:paraId="2A7B6C81">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14:paraId="5BFE4E8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51208E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0E3DB151">
      <w:pPr>
        <w:pStyle w:val="696"/>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bookmarkStart w:id="1032" w:name="_Toc351"/>
      <w:r>
        <w:rPr>
          <w:rFonts w:hint="eastAsia" w:ascii="宋体" w:hAnsi="宋体" w:eastAsia="宋体" w:cs="宋体"/>
          <w:color w:val="auto"/>
          <w:kern w:val="2"/>
          <w:sz w:val="32"/>
          <w:szCs w:val="32"/>
          <w:highlight w:val="none"/>
        </w:rPr>
        <w:t>三、已标价工程量清单</w:t>
      </w:r>
      <w:bookmarkEnd w:id="1032"/>
    </w:p>
    <w:p w14:paraId="6FC824DF">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6C3B84E8">
      <w:pPr>
        <w:pStyle w:val="62"/>
        <w:ind w:firstLine="480"/>
        <w:rPr>
          <w:rFonts w:cs="宋体"/>
          <w:color w:val="auto"/>
          <w:sz w:val="24"/>
          <w:highlight w:val="none"/>
        </w:rPr>
      </w:pPr>
    </w:p>
    <w:p w14:paraId="444A14C9">
      <w:pPr>
        <w:pStyle w:val="62"/>
        <w:ind w:firstLine="480"/>
        <w:rPr>
          <w:rFonts w:cs="宋体"/>
          <w:color w:val="auto"/>
          <w:sz w:val="24"/>
          <w:highlight w:val="none"/>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776A59B1">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1033" w:name="_Toc17878"/>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1034" w:name="_Hlk101259491"/>
      <w:r>
        <w:rPr>
          <w:rFonts w:hint="eastAsia" w:ascii="宋体" w:hAnsi="宋体" w:eastAsia="宋体" w:cs="宋体"/>
          <w:color w:val="auto"/>
          <w:sz w:val="32"/>
          <w:szCs w:val="32"/>
          <w:highlight w:val="none"/>
        </w:rPr>
        <w:t>（如果有）</w:t>
      </w:r>
      <w:bookmarkEnd w:id="1033"/>
      <w:bookmarkEnd w:id="1034"/>
    </w:p>
    <w:p w14:paraId="45FFC8D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C8F5E4">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35" w:name="_Toc465665161"/>
      <w:bookmarkStart w:id="1036" w:name="_Toc14158"/>
      <w:r>
        <w:rPr>
          <w:rFonts w:hint="eastAsia" w:ascii="宋体" w:hAnsi="宋体" w:cs="宋体"/>
          <w:color w:val="auto"/>
          <w:highlight w:val="none"/>
        </w:rPr>
        <w:t>附件</w:t>
      </w:r>
      <w:bookmarkEnd w:id="1035"/>
      <w:bookmarkEnd w:id="1036"/>
    </w:p>
    <w:p w14:paraId="388DE32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64F1E6A">
      <w:pPr>
        <w:spacing w:line="360" w:lineRule="auto"/>
        <w:jc w:val="center"/>
        <w:rPr>
          <w:rFonts w:ascii="宋体" w:hAnsi="宋体" w:cs="宋体"/>
          <w:b/>
          <w:color w:val="auto"/>
          <w:spacing w:val="6"/>
          <w:sz w:val="32"/>
          <w:szCs w:val="32"/>
          <w:highlight w:val="none"/>
        </w:rPr>
      </w:pPr>
      <w:bookmarkStart w:id="1037" w:name="OLE_LINK13"/>
      <w:bookmarkStart w:id="1038" w:name="OLE_LINK14"/>
      <w:r>
        <w:rPr>
          <w:rFonts w:hint="eastAsia" w:ascii="宋体" w:hAnsi="宋体" w:cs="宋体"/>
          <w:b/>
          <w:color w:val="auto"/>
          <w:spacing w:val="6"/>
          <w:sz w:val="32"/>
          <w:szCs w:val="32"/>
          <w:highlight w:val="none"/>
        </w:rPr>
        <w:t>残疾人福利性单位声明函</w:t>
      </w:r>
    </w:p>
    <w:bookmarkEnd w:id="1037"/>
    <w:bookmarkEnd w:id="1038"/>
    <w:p w14:paraId="144E9B02">
      <w:pPr>
        <w:spacing w:line="360" w:lineRule="auto"/>
        <w:rPr>
          <w:rFonts w:ascii="宋体" w:hAnsi="宋体" w:cs="宋体"/>
          <w:b/>
          <w:color w:val="auto"/>
          <w:spacing w:val="6"/>
          <w:sz w:val="30"/>
          <w:szCs w:val="30"/>
          <w:highlight w:val="none"/>
        </w:rPr>
      </w:pPr>
    </w:p>
    <w:p w14:paraId="269D4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E03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B03B77">
      <w:pPr>
        <w:spacing w:line="360" w:lineRule="auto"/>
        <w:ind w:firstLine="480" w:firstLineChars="200"/>
        <w:rPr>
          <w:rFonts w:ascii="宋体" w:hAnsi="宋体" w:cs="宋体"/>
          <w:color w:val="auto"/>
          <w:sz w:val="24"/>
          <w:highlight w:val="none"/>
        </w:rPr>
      </w:pPr>
    </w:p>
    <w:p w14:paraId="1DE63659">
      <w:pPr>
        <w:spacing w:line="360" w:lineRule="auto"/>
        <w:ind w:firstLine="480" w:firstLineChars="200"/>
        <w:rPr>
          <w:rFonts w:ascii="宋体" w:hAnsi="宋体" w:cs="宋体"/>
          <w:color w:val="auto"/>
          <w:sz w:val="24"/>
          <w:highlight w:val="none"/>
        </w:rPr>
      </w:pPr>
    </w:p>
    <w:p w14:paraId="23BFC05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E41779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09563A7">
      <w:pPr>
        <w:spacing w:line="360" w:lineRule="auto"/>
        <w:ind w:firstLine="480" w:firstLineChars="200"/>
        <w:rPr>
          <w:rFonts w:ascii="宋体" w:hAnsi="宋体" w:cs="宋体"/>
          <w:color w:val="auto"/>
          <w:sz w:val="24"/>
          <w:highlight w:val="none"/>
        </w:rPr>
      </w:pPr>
    </w:p>
    <w:p w14:paraId="7E1CACF2">
      <w:pPr>
        <w:spacing w:line="360" w:lineRule="auto"/>
        <w:ind w:firstLine="420" w:firstLineChars="200"/>
        <w:rPr>
          <w:rFonts w:ascii="宋体" w:hAnsi="宋体" w:cs="宋体"/>
          <w:color w:val="auto"/>
          <w:highlight w:val="none"/>
        </w:rPr>
      </w:pPr>
    </w:p>
    <w:p w14:paraId="2D23B15C">
      <w:pPr>
        <w:spacing w:line="360" w:lineRule="auto"/>
        <w:ind w:firstLine="420" w:firstLineChars="200"/>
        <w:rPr>
          <w:rFonts w:ascii="宋体" w:hAnsi="宋体" w:cs="宋体"/>
          <w:color w:val="auto"/>
          <w:highlight w:val="none"/>
        </w:rPr>
      </w:pPr>
    </w:p>
    <w:p w14:paraId="4D57D596">
      <w:pPr>
        <w:spacing w:line="360" w:lineRule="auto"/>
        <w:ind w:firstLine="420" w:firstLineChars="200"/>
        <w:rPr>
          <w:rFonts w:ascii="宋体" w:hAnsi="宋体" w:cs="宋体"/>
          <w:color w:val="auto"/>
          <w:highlight w:val="none"/>
        </w:rPr>
      </w:pPr>
    </w:p>
    <w:p w14:paraId="3DA9BA0D">
      <w:pPr>
        <w:spacing w:line="360" w:lineRule="auto"/>
        <w:ind w:firstLine="420" w:firstLineChars="200"/>
        <w:rPr>
          <w:rFonts w:ascii="宋体" w:hAnsi="宋体" w:cs="宋体"/>
          <w:color w:val="auto"/>
          <w:highlight w:val="none"/>
        </w:rPr>
      </w:pPr>
    </w:p>
    <w:p w14:paraId="33536768">
      <w:pPr>
        <w:spacing w:line="360" w:lineRule="auto"/>
        <w:rPr>
          <w:rFonts w:ascii="宋体" w:hAnsi="宋体" w:cs="宋体"/>
          <w:b/>
          <w:color w:val="auto"/>
          <w:sz w:val="24"/>
          <w:highlight w:val="none"/>
        </w:rPr>
      </w:pPr>
    </w:p>
    <w:p w14:paraId="21B2BCBA">
      <w:pPr>
        <w:spacing w:line="360" w:lineRule="auto"/>
        <w:rPr>
          <w:rFonts w:ascii="宋体" w:hAnsi="宋体" w:cs="宋体"/>
          <w:b/>
          <w:color w:val="auto"/>
          <w:sz w:val="24"/>
          <w:highlight w:val="none"/>
        </w:rPr>
      </w:pPr>
    </w:p>
    <w:p w14:paraId="60FEEB08">
      <w:pPr>
        <w:spacing w:line="360" w:lineRule="auto"/>
        <w:rPr>
          <w:rFonts w:ascii="宋体" w:hAnsi="宋体" w:cs="宋体"/>
          <w:b/>
          <w:color w:val="auto"/>
          <w:sz w:val="24"/>
          <w:highlight w:val="none"/>
        </w:rPr>
      </w:pPr>
    </w:p>
    <w:p w14:paraId="2E8B8C57">
      <w:pPr>
        <w:spacing w:line="360" w:lineRule="auto"/>
        <w:rPr>
          <w:rFonts w:ascii="宋体" w:hAnsi="宋体" w:cs="宋体"/>
          <w:b/>
          <w:color w:val="auto"/>
          <w:sz w:val="24"/>
          <w:highlight w:val="none"/>
        </w:rPr>
      </w:pPr>
    </w:p>
    <w:p w14:paraId="3A93B7CD">
      <w:pPr>
        <w:spacing w:line="360" w:lineRule="auto"/>
        <w:rPr>
          <w:rFonts w:ascii="宋体" w:hAnsi="宋体" w:cs="宋体"/>
          <w:b/>
          <w:color w:val="auto"/>
          <w:sz w:val="24"/>
          <w:highlight w:val="none"/>
        </w:rPr>
      </w:pPr>
    </w:p>
    <w:p w14:paraId="4FFF1747">
      <w:pPr>
        <w:spacing w:line="360" w:lineRule="auto"/>
        <w:rPr>
          <w:rFonts w:ascii="宋体" w:hAnsi="宋体" w:cs="宋体"/>
          <w:b/>
          <w:color w:val="auto"/>
          <w:sz w:val="24"/>
          <w:highlight w:val="none"/>
        </w:rPr>
      </w:pPr>
    </w:p>
    <w:p w14:paraId="082CD68A">
      <w:pPr>
        <w:spacing w:line="360" w:lineRule="auto"/>
        <w:rPr>
          <w:rFonts w:ascii="宋体" w:hAnsi="宋体" w:cs="宋体"/>
          <w:b/>
          <w:color w:val="auto"/>
          <w:sz w:val="24"/>
          <w:highlight w:val="none"/>
        </w:rPr>
      </w:pPr>
    </w:p>
    <w:p w14:paraId="3B2F1425">
      <w:pPr>
        <w:spacing w:line="360" w:lineRule="auto"/>
        <w:rPr>
          <w:rFonts w:ascii="宋体" w:hAnsi="宋体" w:cs="宋体"/>
          <w:b/>
          <w:color w:val="auto"/>
          <w:sz w:val="24"/>
          <w:highlight w:val="none"/>
        </w:rPr>
      </w:pPr>
    </w:p>
    <w:p w14:paraId="1824A92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179411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C2CAA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2E429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1CCB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C106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308F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B0FE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3C2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E823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CB55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51800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C98B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30684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07DB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48449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078D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D226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70F2C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C1975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BC3D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B8C9D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C7735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44E00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648B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3DF2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96C947">
      <w:pPr>
        <w:spacing w:line="360" w:lineRule="auto"/>
        <w:jc w:val="center"/>
        <w:rPr>
          <w:rFonts w:ascii="宋体" w:hAnsi="宋体" w:cs="宋体"/>
          <w:b/>
          <w:bCs/>
          <w:color w:val="auto"/>
          <w:sz w:val="24"/>
          <w:highlight w:val="none"/>
        </w:rPr>
      </w:pPr>
    </w:p>
    <w:p w14:paraId="71B48999">
      <w:pPr>
        <w:spacing w:line="360" w:lineRule="auto"/>
        <w:rPr>
          <w:rFonts w:ascii="宋体" w:hAnsi="宋体" w:cs="宋体"/>
          <w:b/>
          <w:color w:val="auto"/>
          <w:sz w:val="24"/>
          <w:highlight w:val="none"/>
        </w:rPr>
      </w:pPr>
    </w:p>
    <w:p w14:paraId="360FA67F">
      <w:pPr>
        <w:spacing w:line="360" w:lineRule="auto"/>
        <w:rPr>
          <w:rFonts w:ascii="宋体" w:hAnsi="宋体" w:cs="宋体"/>
          <w:b/>
          <w:color w:val="auto"/>
          <w:sz w:val="24"/>
          <w:highlight w:val="none"/>
        </w:rPr>
      </w:pPr>
    </w:p>
    <w:p w14:paraId="11732FF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B045B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36CA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DF67B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EC0F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26F7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BF2B7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77ACCE">
      <w:pPr>
        <w:widowControl/>
        <w:spacing w:line="360" w:lineRule="auto"/>
        <w:ind w:firstLine="600" w:firstLineChars="200"/>
        <w:jc w:val="left"/>
        <w:rPr>
          <w:rFonts w:ascii="宋体" w:hAnsi="宋体" w:cs="宋体"/>
          <w:color w:val="auto"/>
          <w:sz w:val="30"/>
          <w:szCs w:val="30"/>
          <w:highlight w:val="none"/>
        </w:rPr>
      </w:pPr>
    </w:p>
    <w:p w14:paraId="0F2D30DB">
      <w:pPr>
        <w:spacing w:line="360" w:lineRule="auto"/>
        <w:jc w:val="center"/>
        <w:rPr>
          <w:rFonts w:ascii="宋体" w:hAnsi="宋体" w:cs="宋体"/>
          <w:b/>
          <w:color w:val="auto"/>
          <w:spacing w:val="6"/>
          <w:sz w:val="32"/>
          <w:szCs w:val="32"/>
          <w:highlight w:val="none"/>
        </w:rPr>
      </w:pPr>
    </w:p>
    <w:p w14:paraId="53B8091D">
      <w:pPr>
        <w:spacing w:line="360" w:lineRule="auto"/>
        <w:jc w:val="center"/>
        <w:rPr>
          <w:rFonts w:ascii="宋体" w:hAnsi="宋体" w:cs="宋体"/>
          <w:b/>
          <w:color w:val="auto"/>
          <w:spacing w:val="6"/>
          <w:sz w:val="32"/>
          <w:szCs w:val="32"/>
          <w:highlight w:val="none"/>
        </w:rPr>
      </w:pPr>
    </w:p>
    <w:p w14:paraId="56428948">
      <w:pPr>
        <w:spacing w:line="360" w:lineRule="auto"/>
        <w:jc w:val="center"/>
        <w:rPr>
          <w:rFonts w:ascii="宋体" w:hAnsi="宋体" w:cs="宋体"/>
          <w:b/>
          <w:color w:val="auto"/>
          <w:spacing w:val="6"/>
          <w:sz w:val="32"/>
          <w:szCs w:val="32"/>
          <w:highlight w:val="none"/>
        </w:rPr>
      </w:pPr>
    </w:p>
    <w:p w14:paraId="519970A3">
      <w:pPr>
        <w:spacing w:line="360" w:lineRule="auto"/>
        <w:jc w:val="center"/>
        <w:rPr>
          <w:rFonts w:ascii="宋体" w:hAnsi="宋体" w:cs="宋体"/>
          <w:b/>
          <w:color w:val="auto"/>
          <w:spacing w:val="6"/>
          <w:sz w:val="32"/>
          <w:szCs w:val="32"/>
          <w:highlight w:val="none"/>
        </w:rPr>
      </w:pPr>
    </w:p>
    <w:p w14:paraId="0683031F">
      <w:pPr>
        <w:spacing w:line="360" w:lineRule="auto"/>
        <w:jc w:val="center"/>
        <w:rPr>
          <w:rFonts w:ascii="宋体" w:hAnsi="宋体" w:cs="宋体"/>
          <w:b/>
          <w:color w:val="auto"/>
          <w:spacing w:val="6"/>
          <w:sz w:val="32"/>
          <w:szCs w:val="32"/>
          <w:highlight w:val="none"/>
        </w:rPr>
      </w:pPr>
    </w:p>
    <w:p w14:paraId="6B1B70EF">
      <w:pPr>
        <w:spacing w:line="360" w:lineRule="auto"/>
        <w:jc w:val="center"/>
        <w:rPr>
          <w:rFonts w:ascii="宋体" w:hAnsi="宋体" w:cs="宋体"/>
          <w:b/>
          <w:color w:val="auto"/>
          <w:spacing w:val="6"/>
          <w:sz w:val="32"/>
          <w:szCs w:val="32"/>
          <w:highlight w:val="none"/>
        </w:rPr>
      </w:pPr>
    </w:p>
    <w:p w14:paraId="16C87544">
      <w:pPr>
        <w:spacing w:line="360" w:lineRule="auto"/>
        <w:jc w:val="center"/>
        <w:rPr>
          <w:rFonts w:ascii="宋体" w:hAnsi="宋体" w:cs="宋体"/>
          <w:b/>
          <w:color w:val="auto"/>
          <w:spacing w:val="6"/>
          <w:sz w:val="32"/>
          <w:szCs w:val="32"/>
          <w:highlight w:val="none"/>
        </w:rPr>
      </w:pPr>
    </w:p>
    <w:p w14:paraId="23476FAC">
      <w:pPr>
        <w:spacing w:line="360" w:lineRule="auto"/>
        <w:jc w:val="center"/>
        <w:rPr>
          <w:rFonts w:ascii="宋体" w:hAnsi="宋体" w:cs="宋体"/>
          <w:b/>
          <w:color w:val="auto"/>
          <w:spacing w:val="6"/>
          <w:sz w:val="32"/>
          <w:szCs w:val="32"/>
          <w:highlight w:val="none"/>
        </w:rPr>
      </w:pPr>
    </w:p>
    <w:p w14:paraId="0693D548">
      <w:pPr>
        <w:spacing w:line="360" w:lineRule="auto"/>
        <w:jc w:val="center"/>
        <w:rPr>
          <w:rFonts w:ascii="宋体" w:hAnsi="宋体" w:cs="宋体"/>
          <w:b/>
          <w:color w:val="auto"/>
          <w:spacing w:val="6"/>
          <w:sz w:val="32"/>
          <w:szCs w:val="32"/>
          <w:highlight w:val="none"/>
        </w:rPr>
      </w:pPr>
    </w:p>
    <w:p w14:paraId="7069DCAE">
      <w:pPr>
        <w:spacing w:line="360" w:lineRule="auto"/>
        <w:jc w:val="center"/>
        <w:rPr>
          <w:rFonts w:ascii="宋体" w:hAnsi="宋体" w:cs="宋体"/>
          <w:b/>
          <w:color w:val="auto"/>
          <w:spacing w:val="6"/>
          <w:sz w:val="32"/>
          <w:szCs w:val="32"/>
          <w:highlight w:val="none"/>
        </w:rPr>
      </w:pPr>
    </w:p>
    <w:p w14:paraId="284401E3">
      <w:pPr>
        <w:spacing w:line="360" w:lineRule="auto"/>
        <w:jc w:val="center"/>
        <w:rPr>
          <w:rFonts w:ascii="宋体" w:hAnsi="宋体" w:cs="宋体"/>
          <w:b/>
          <w:color w:val="auto"/>
          <w:spacing w:val="6"/>
          <w:sz w:val="32"/>
          <w:szCs w:val="32"/>
          <w:highlight w:val="none"/>
        </w:rPr>
      </w:pPr>
    </w:p>
    <w:p w14:paraId="540932E9">
      <w:pPr>
        <w:spacing w:line="360" w:lineRule="auto"/>
        <w:jc w:val="center"/>
        <w:rPr>
          <w:rFonts w:ascii="宋体" w:hAnsi="宋体" w:cs="宋体"/>
          <w:b/>
          <w:color w:val="auto"/>
          <w:spacing w:val="6"/>
          <w:sz w:val="32"/>
          <w:szCs w:val="32"/>
          <w:highlight w:val="none"/>
        </w:rPr>
      </w:pPr>
    </w:p>
    <w:p w14:paraId="7FF2FF7D">
      <w:pPr>
        <w:spacing w:line="360" w:lineRule="auto"/>
        <w:jc w:val="left"/>
        <w:rPr>
          <w:rFonts w:ascii="宋体" w:hAnsi="宋体" w:cs="宋体"/>
          <w:b/>
          <w:color w:val="auto"/>
          <w:spacing w:val="6"/>
          <w:sz w:val="32"/>
          <w:szCs w:val="32"/>
          <w:highlight w:val="none"/>
        </w:rPr>
      </w:pPr>
    </w:p>
    <w:p w14:paraId="28405F5D">
      <w:pPr>
        <w:spacing w:line="360" w:lineRule="auto"/>
        <w:jc w:val="left"/>
        <w:rPr>
          <w:rFonts w:ascii="宋体" w:hAnsi="宋体" w:cs="宋体"/>
          <w:b/>
          <w:color w:val="auto"/>
          <w:spacing w:val="6"/>
          <w:sz w:val="32"/>
          <w:szCs w:val="32"/>
          <w:highlight w:val="none"/>
        </w:rPr>
      </w:pPr>
    </w:p>
    <w:p w14:paraId="48973D7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1EC1EB">
      <w:pPr>
        <w:spacing w:line="360" w:lineRule="auto"/>
        <w:jc w:val="center"/>
        <w:rPr>
          <w:rFonts w:ascii="宋体" w:hAnsi="宋体" w:cs="宋体"/>
          <w:b/>
          <w:color w:val="auto"/>
          <w:sz w:val="24"/>
          <w:highlight w:val="none"/>
        </w:rPr>
      </w:pPr>
    </w:p>
    <w:p w14:paraId="500248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2A771D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CC72C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0903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E84BE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B3B3B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02E1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8755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EDB50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A93E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D0FE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D2F51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1080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12AA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2A5E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6FA2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C5B0F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2214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2708B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A5D2E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988A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CF361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EB29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A57D9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6D0816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01C5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F3717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45539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7A78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7052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1CD3E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FB14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6061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7D21E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B8ADF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9B6CF7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421F0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AE74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C90A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91B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BFEBC1">
      <w:pPr>
        <w:spacing w:line="360" w:lineRule="auto"/>
        <w:rPr>
          <w:rFonts w:ascii="宋体" w:hAnsi="宋体" w:cs="宋体"/>
          <w:b/>
          <w:color w:val="auto"/>
          <w:sz w:val="24"/>
          <w:highlight w:val="none"/>
        </w:rPr>
      </w:pPr>
    </w:p>
    <w:p w14:paraId="6CC43595">
      <w:pPr>
        <w:spacing w:line="360" w:lineRule="auto"/>
        <w:rPr>
          <w:rFonts w:ascii="宋体" w:hAnsi="宋体" w:cs="宋体"/>
          <w:b/>
          <w:color w:val="auto"/>
          <w:sz w:val="24"/>
          <w:highlight w:val="none"/>
        </w:rPr>
      </w:pPr>
    </w:p>
    <w:p w14:paraId="3E48999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3988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2A21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F4F69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49B77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B35F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7772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8116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5BAB6C">
      <w:pPr>
        <w:spacing w:line="360" w:lineRule="auto"/>
        <w:rPr>
          <w:rFonts w:ascii="宋体" w:hAnsi="宋体" w:cs="宋体"/>
          <w:b/>
          <w:color w:val="auto"/>
          <w:sz w:val="24"/>
          <w:highlight w:val="none"/>
        </w:rPr>
      </w:pPr>
    </w:p>
    <w:p w14:paraId="5CCC1AF6">
      <w:pPr>
        <w:autoSpaceDE w:val="0"/>
        <w:autoSpaceDN w:val="0"/>
        <w:jc w:val="center"/>
        <w:rPr>
          <w:rFonts w:ascii="宋体" w:hAnsi="宋体" w:cs="宋体"/>
          <w:b/>
          <w:color w:val="auto"/>
          <w:spacing w:val="6"/>
          <w:sz w:val="32"/>
          <w:szCs w:val="32"/>
          <w:highlight w:val="none"/>
        </w:rPr>
      </w:pPr>
    </w:p>
    <w:p w14:paraId="1D33293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EC0A7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FF7087D">
      <w:pPr>
        <w:spacing w:line="360" w:lineRule="auto"/>
        <w:rPr>
          <w:rFonts w:ascii="宋体" w:hAnsi="宋体" w:cs="宋体"/>
          <w:color w:val="auto"/>
          <w:sz w:val="24"/>
          <w:highlight w:val="none"/>
          <w:u w:val="single"/>
        </w:rPr>
      </w:pPr>
    </w:p>
    <w:p w14:paraId="530D71A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CD45F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F0207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D61E6C">
      <w:pPr>
        <w:spacing w:line="360" w:lineRule="auto"/>
        <w:ind w:firstLine="494"/>
        <w:rPr>
          <w:rFonts w:ascii="宋体" w:hAnsi="宋体" w:cs="宋体"/>
          <w:color w:val="auto"/>
          <w:sz w:val="24"/>
          <w:highlight w:val="none"/>
        </w:rPr>
      </w:pPr>
    </w:p>
    <w:p w14:paraId="2059E9D5">
      <w:pPr>
        <w:spacing w:line="360" w:lineRule="auto"/>
        <w:ind w:firstLine="494"/>
        <w:rPr>
          <w:rFonts w:ascii="宋体" w:hAnsi="宋体" w:cs="宋体"/>
          <w:color w:val="auto"/>
          <w:sz w:val="24"/>
          <w:highlight w:val="none"/>
        </w:rPr>
      </w:pPr>
    </w:p>
    <w:p w14:paraId="346C46A1">
      <w:pPr>
        <w:spacing w:line="360" w:lineRule="auto"/>
        <w:ind w:firstLine="494"/>
        <w:rPr>
          <w:rFonts w:ascii="宋体" w:hAnsi="宋体" w:cs="宋体"/>
          <w:color w:val="auto"/>
          <w:sz w:val="24"/>
          <w:highlight w:val="none"/>
        </w:rPr>
      </w:pPr>
    </w:p>
    <w:p w14:paraId="38DE5572">
      <w:pPr>
        <w:spacing w:line="360" w:lineRule="auto"/>
        <w:ind w:firstLine="494"/>
        <w:rPr>
          <w:rFonts w:ascii="宋体" w:hAnsi="宋体" w:cs="宋体"/>
          <w:color w:val="auto"/>
          <w:sz w:val="24"/>
          <w:highlight w:val="none"/>
        </w:rPr>
      </w:pPr>
    </w:p>
    <w:p w14:paraId="4480D0C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1CD63E6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23F224">
      <w:pPr>
        <w:rPr>
          <w:rFonts w:ascii="宋体" w:hAnsi="宋体" w:cs="宋体"/>
          <w:color w:val="auto"/>
          <w:sz w:val="24"/>
          <w:highlight w:val="none"/>
        </w:rPr>
      </w:pPr>
      <w:r>
        <w:rPr>
          <w:rFonts w:hint="eastAsia" w:ascii="宋体" w:hAnsi="宋体" w:cs="宋体"/>
          <w:b/>
          <w:bCs/>
          <w:color w:val="auto"/>
          <w:sz w:val="24"/>
          <w:highlight w:val="none"/>
        </w:rPr>
        <w:t>附：</w:t>
      </w:r>
    </w:p>
    <w:p w14:paraId="180D464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504E5E59">
      <w:pPr>
        <w:autoSpaceDE w:val="0"/>
        <w:autoSpaceDN w:val="0"/>
        <w:jc w:val="center"/>
        <w:rPr>
          <w:rFonts w:ascii="宋体" w:hAnsi="宋体" w:cs="宋体"/>
          <w:b/>
          <w:color w:val="auto"/>
          <w:spacing w:val="6"/>
          <w:sz w:val="32"/>
          <w:szCs w:val="32"/>
          <w:highlight w:val="none"/>
        </w:rPr>
      </w:pPr>
    </w:p>
    <w:p w14:paraId="69865186">
      <w:pPr>
        <w:autoSpaceDE w:val="0"/>
        <w:autoSpaceDN w:val="0"/>
        <w:jc w:val="center"/>
        <w:rPr>
          <w:rFonts w:ascii="宋体" w:hAnsi="宋体" w:cs="宋体"/>
          <w:b/>
          <w:color w:val="auto"/>
          <w:spacing w:val="6"/>
          <w:sz w:val="32"/>
          <w:szCs w:val="32"/>
          <w:highlight w:val="none"/>
        </w:rPr>
      </w:pPr>
    </w:p>
    <w:p w14:paraId="60F26FAC">
      <w:pPr>
        <w:autoSpaceDE w:val="0"/>
        <w:autoSpaceDN w:val="0"/>
        <w:jc w:val="center"/>
        <w:rPr>
          <w:rFonts w:ascii="宋体" w:hAnsi="宋体" w:cs="宋体"/>
          <w:b/>
          <w:color w:val="auto"/>
          <w:spacing w:val="6"/>
          <w:sz w:val="32"/>
          <w:szCs w:val="32"/>
          <w:highlight w:val="none"/>
        </w:rPr>
      </w:pPr>
    </w:p>
    <w:p w14:paraId="4FB30C33">
      <w:pPr>
        <w:autoSpaceDE w:val="0"/>
        <w:autoSpaceDN w:val="0"/>
        <w:jc w:val="center"/>
        <w:rPr>
          <w:rFonts w:ascii="宋体" w:hAnsi="宋体" w:cs="宋体"/>
          <w:b/>
          <w:color w:val="auto"/>
          <w:spacing w:val="6"/>
          <w:sz w:val="32"/>
          <w:szCs w:val="32"/>
          <w:highlight w:val="none"/>
        </w:rPr>
      </w:pPr>
    </w:p>
    <w:p w14:paraId="22E7DDE4">
      <w:pPr>
        <w:autoSpaceDE w:val="0"/>
        <w:autoSpaceDN w:val="0"/>
        <w:jc w:val="center"/>
        <w:rPr>
          <w:rFonts w:ascii="宋体" w:hAnsi="宋体" w:cs="宋体"/>
          <w:b/>
          <w:color w:val="auto"/>
          <w:spacing w:val="6"/>
          <w:sz w:val="32"/>
          <w:szCs w:val="32"/>
          <w:highlight w:val="none"/>
        </w:rPr>
      </w:pPr>
    </w:p>
    <w:p w14:paraId="343833BE">
      <w:pPr>
        <w:autoSpaceDE w:val="0"/>
        <w:autoSpaceDN w:val="0"/>
        <w:jc w:val="center"/>
        <w:rPr>
          <w:rFonts w:ascii="宋体" w:hAnsi="宋体" w:cs="宋体"/>
          <w:b/>
          <w:color w:val="auto"/>
          <w:spacing w:val="6"/>
          <w:sz w:val="32"/>
          <w:szCs w:val="32"/>
          <w:highlight w:val="none"/>
        </w:rPr>
      </w:pPr>
    </w:p>
    <w:p w14:paraId="6B25D78A">
      <w:pPr>
        <w:autoSpaceDE w:val="0"/>
        <w:autoSpaceDN w:val="0"/>
        <w:jc w:val="center"/>
        <w:rPr>
          <w:rFonts w:ascii="宋体" w:hAnsi="宋体" w:cs="宋体"/>
          <w:b/>
          <w:color w:val="auto"/>
          <w:spacing w:val="6"/>
          <w:sz w:val="32"/>
          <w:szCs w:val="32"/>
          <w:highlight w:val="none"/>
        </w:rPr>
      </w:pPr>
    </w:p>
    <w:p w14:paraId="25CAA8F8">
      <w:pPr>
        <w:autoSpaceDE w:val="0"/>
        <w:autoSpaceDN w:val="0"/>
        <w:jc w:val="center"/>
        <w:rPr>
          <w:rFonts w:ascii="宋体" w:hAnsi="宋体" w:cs="宋体"/>
          <w:b/>
          <w:color w:val="auto"/>
          <w:spacing w:val="6"/>
          <w:sz w:val="32"/>
          <w:szCs w:val="32"/>
          <w:highlight w:val="none"/>
        </w:rPr>
      </w:pPr>
    </w:p>
    <w:p w14:paraId="6AC0F1DB">
      <w:pPr>
        <w:autoSpaceDE w:val="0"/>
        <w:autoSpaceDN w:val="0"/>
        <w:jc w:val="center"/>
        <w:rPr>
          <w:rFonts w:ascii="宋体" w:hAnsi="宋体" w:cs="宋体"/>
          <w:b/>
          <w:color w:val="auto"/>
          <w:spacing w:val="6"/>
          <w:sz w:val="32"/>
          <w:szCs w:val="32"/>
          <w:highlight w:val="none"/>
        </w:rPr>
      </w:pPr>
    </w:p>
    <w:p w14:paraId="070B4E81">
      <w:pPr>
        <w:autoSpaceDE w:val="0"/>
        <w:autoSpaceDN w:val="0"/>
        <w:jc w:val="center"/>
        <w:rPr>
          <w:rFonts w:ascii="宋体" w:hAnsi="宋体" w:cs="宋体"/>
          <w:b/>
          <w:color w:val="auto"/>
          <w:spacing w:val="6"/>
          <w:sz w:val="32"/>
          <w:szCs w:val="32"/>
          <w:highlight w:val="none"/>
        </w:rPr>
      </w:pPr>
    </w:p>
    <w:p w14:paraId="57CF6C93">
      <w:pPr>
        <w:autoSpaceDE w:val="0"/>
        <w:autoSpaceDN w:val="0"/>
        <w:jc w:val="center"/>
        <w:rPr>
          <w:rFonts w:ascii="宋体" w:hAnsi="宋体" w:cs="宋体"/>
          <w:b/>
          <w:color w:val="auto"/>
          <w:spacing w:val="6"/>
          <w:sz w:val="32"/>
          <w:szCs w:val="32"/>
          <w:highlight w:val="none"/>
        </w:rPr>
      </w:pPr>
    </w:p>
    <w:p w14:paraId="4B8528B4">
      <w:pPr>
        <w:autoSpaceDE w:val="0"/>
        <w:autoSpaceDN w:val="0"/>
        <w:jc w:val="center"/>
        <w:rPr>
          <w:rFonts w:ascii="宋体" w:hAnsi="宋体" w:cs="宋体"/>
          <w:b/>
          <w:color w:val="auto"/>
          <w:spacing w:val="6"/>
          <w:sz w:val="32"/>
          <w:szCs w:val="32"/>
          <w:highlight w:val="none"/>
        </w:rPr>
      </w:pPr>
    </w:p>
    <w:p w14:paraId="4E777168">
      <w:pPr>
        <w:autoSpaceDE w:val="0"/>
        <w:autoSpaceDN w:val="0"/>
        <w:jc w:val="center"/>
        <w:rPr>
          <w:rFonts w:ascii="宋体" w:hAnsi="宋体" w:cs="宋体"/>
          <w:b/>
          <w:color w:val="auto"/>
          <w:spacing w:val="6"/>
          <w:sz w:val="32"/>
          <w:szCs w:val="32"/>
          <w:highlight w:val="none"/>
        </w:rPr>
      </w:pPr>
    </w:p>
    <w:p w14:paraId="574691D3">
      <w:pPr>
        <w:autoSpaceDE w:val="0"/>
        <w:autoSpaceDN w:val="0"/>
        <w:jc w:val="center"/>
        <w:rPr>
          <w:rFonts w:ascii="宋体" w:hAnsi="宋体" w:cs="宋体"/>
          <w:b/>
          <w:color w:val="auto"/>
          <w:spacing w:val="6"/>
          <w:sz w:val="32"/>
          <w:szCs w:val="32"/>
          <w:highlight w:val="none"/>
        </w:rPr>
      </w:pPr>
    </w:p>
    <w:p w14:paraId="49552CD6">
      <w:pPr>
        <w:autoSpaceDE w:val="0"/>
        <w:autoSpaceDN w:val="0"/>
        <w:jc w:val="center"/>
        <w:rPr>
          <w:rFonts w:ascii="宋体" w:hAnsi="宋体" w:cs="宋体"/>
          <w:b/>
          <w:color w:val="auto"/>
          <w:spacing w:val="6"/>
          <w:sz w:val="32"/>
          <w:szCs w:val="32"/>
          <w:highlight w:val="none"/>
        </w:rPr>
      </w:pPr>
    </w:p>
    <w:p w14:paraId="63A5D7C5">
      <w:pPr>
        <w:autoSpaceDE w:val="0"/>
        <w:autoSpaceDN w:val="0"/>
        <w:jc w:val="center"/>
        <w:rPr>
          <w:rFonts w:ascii="宋体" w:hAnsi="宋体" w:cs="宋体"/>
          <w:b/>
          <w:color w:val="auto"/>
          <w:spacing w:val="6"/>
          <w:sz w:val="32"/>
          <w:szCs w:val="32"/>
          <w:highlight w:val="none"/>
        </w:rPr>
      </w:pPr>
    </w:p>
    <w:p w14:paraId="6C538C16">
      <w:pPr>
        <w:autoSpaceDE w:val="0"/>
        <w:autoSpaceDN w:val="0"/>
        <w:jc w:val="center"/>
        <w:rPr>
          <w:rFonts w:ascii="宋体" w:hAnsi="宋体" w:cs="宋体"/>
          <w:b/>
          <w:color w:val="auto"/>
          <w:spacing w:val="6"/>
          <w:sz w:val="32"/>
          <w:szCs w:val="32"/>
          <w:highlight w:val="none"/>
        </w:rPr>
      </w:pPr>
    </w:p>
    <w:p w14:paraId="5C321AE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9400EE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9878F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08E74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16F5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FDC2F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0D15A97F">
      <w:pPr>
        <w:snapToGrid w:val="0"/>
        <w:spacing w:line="360" w:lineRule="auto"/>
        <w:ind w:firstLine="576"/>
        <w:rPr>
          <w:rFonts w:ascii="宋体" w:hAnsi="宋体" w:cs="宋体"/>
          <w:color w:val="auto"/>
          <w:kern w:val="0"/>
          <w:sz w:val="24"/>
          <w:highlight w:val="none"/>
          <w:lang w:val="zh-CN"/>
        </w:rPr>
      </w:pPr>
      <w:bookmarkStart w:id="103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1428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678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39"/>
    <w:p w14:paraId="2A4753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590C5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3C1E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9656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28718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73B49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1A0CB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ACF0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58DA5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1AD1A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E965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7EE6BE">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CFE3D0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078D6F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06DC9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84FE7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C72B4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8A7AB6">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9269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E5C44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A829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4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40"/>
    </w:p>
    <w:p w14:paraId="54507679">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DDDA06">
      <w:pPr>
        <w:snapToGrid w:val="0"/>
        <w:spacing w:line="312"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301D865">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D767B7">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B2CD32">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76B85A">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8B2F95">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FAD4DA2">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8805EA">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B578F1E">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A32B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D184E86">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88965C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A12BA92">
      <w:pPr>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7342AFCF">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C5D943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D0C4A1E">
      <w:pPr>
        <w:spacing w:line="360" w:lineRule="auto"/>
        <w:jc w:val="center"/>
        <w:rPr>
          <w:rFonts w:ascii="宋体" w:hAnsi="宋体" w:cs="宋体"/>
          <w:color w:val="auto"/>
          <w:sz w:val="24"/>
          <w:highlight w:val="none"/>
          <w:u w:val="single"/>
        </w:rPr>
      </w:pPr>
    </w:p>
    <w:p w14:paraId="7B841A9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5FD0DD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07C1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8D82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C7CE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B4D53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08229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908C9E">
      <w:pPr>
        <w:spacing w:line="360" w:lineRule="auto"/>
        <w:ind w:firstLine="480" w:firstLineChars="200"/>
        <w:rPr>
          <w:rFonts w:ascii="宋体" w:hAnsi="宋体" w:cs="宋体"/>
          <w:color w:val="auto"/>
          <w:sz w:val="24"/>
          <w:highlight w:val="none"/>
        </w:rPr>
      </w:pPr>
    </w:p>
    <w:p w14:paraId="006F89D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2074A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BD4633">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从业人员、营业收入、资产总额填报上一年度数据，无上一年度数据的新成立企业可不填报。</w:t>
      </w:r>
    </w:p>
    <w:p w14:paraId="043B0B77">
      <w:pPr>
        <w:snapToGrid w:val="0"/>
        <w:spacing w:line="360" w:lineRule="auto"/>
        <w:jc w:val="left"/>
        <w:rPr>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5"/>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6"/>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68338E4C">
      <w:pPr>
        <w:snapToGrid w:val="0"/>
        <w:spacing w:line="360" w:lineRule="auto"/>
        <w:jc w:val="left"/>
        <w:rPr>
          <w:rFonts w:ascii="宋体" w:hAnsi="宋体"/>
          <w:color w:val="auto"/>
          <w:sz w:val="24"/>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1CE6F10C">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14:paraId="62BA215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99EDBF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E69F4EF">
      <w:pPr>
        <w:spacing w:line="360" w:lineRule="auto"/>
        <w:jc w:val="center"/>
        <w:rPr>
          <w:rFonts w:ascii="宋体" w:hAnsi="宋体" w:cs="宋体"/>
          <w:b/>
          <w:color w:val="auto"/>
          <w:sz w:val="32"/>
          <w:szCs w:val="32"/>
          <w:highlight w:val="none"/>
        </w:rPr>
      </w:pPr>
    </w:p>
    <w:p w14:paraId="41E68357">
      <w:pPr>
        <w:spacing w:line="360" w:lineRule="auto"/>
        <w:jc w:val="center"/>
        <w:rPr>
          <w:rFonts w:ascii="宋体" w:hAnsi="宋体" w:cs="宋体"/>
          <w:b/>
          <w:color w:val="auto"/>
          <w:sz w:val="32"/>
          <w:szCs w:val="32"/>
          <w:highlight w:val="none"/>
        </w:rPr>
      </w:pPr>
    </w:p>
    <w:p w14:paraId="434966AA">
      <w:pPr>
        <w:spacing w:line="360" w:lineRule="auto"/>
        <w:jc w:val="center"/>
        <w:rPr>
          <w:rFonts w:ascii="宋体" w:hAnsi="宋体" w:cs="宋体"/>
          <w:b/>
          <w:color w:val="auto"/>
          <w:sz w:val="32"/>
          <w:szCs w:val="32"/>
          <w:highlight w:val="none"/>
        </w:rPr>
      </w:pPr>
    </w:p>
    <w:p w14:paraId="71F45B3A">
      <w:pPr>
        <w:spacing w:line="360" w:lineRule="auto"/>
        <w:jc w:val="center"/>
        <w:rPr>
          <w:rFonts w:ascii="宋体" w:hAnsi="宋体" w:cs="宋体"/>
          <w:b/>
          <w:color w:val="auto"/>
          <w:sz w:val="32"/>
          <w:szCs w:val="32"/>
          <w:highlight w:val="none"/>
        </w:rPr>
      </w:pPr>
    </w:p>
    <w:p w14:paraId="465CA73F">
      <w:pPr>
        <w:spacing w:line="360" w:lineRule="auto"/>
        <w:jc w:val="center"/>
        <w:rPr>
          <w:rFonts w:ascii="宋体" w:hAnsi="宋体" w:cs="宋体"/>
          <w:b/>
          <w:color w:val="auto"/>
          <w:sz w:val="32"/>
          <w:szCs w:val="32"/>
          <w:highlight w:val="none"/>
        </w:rPr>
      </w:pPr>
    </w:p>
    <w:p w14:paraId="6B88FA5E">
      <w:pPr>
        <w:spacing w:line="360" w:lineRule="auto"/>
        <w:jc w:val="center"/>
        <w:rPr>
          <w:rFonts w:ascii="宋体" w:hAnsi="宋体" w:cs="宋体"/>
          <w:b/>
          <w:color w:val="auto"/>
          <w:sz w:val="32"/>
          <w:szCs w:val="32"/>
          <w:highlight w:val="none"/>
        </w:rPr>
      </w:pPr>
    </w:p>
    <w:p w14:paraId="00F9EA3A">
      <w:pPr>
        <w:spacing w:line="360" w:lineRule="auto"/>
        <w:jc w:val="center"/>
        <w:rPr>
          <w:rFonts w:ascii="宋体" w:hAnsi="宋体" w:cs="宋体"/>
          <w:b/>
          <w:color w:val="auto"/>
          <w:sz w:val="32"/>
          <w:szCs w:val="32"/>
          <w:highlight w:val="none"/>
        </w:rPr>
      </w:pPr>
    </w:p>
    <w:p w14:paraId="0E9B7323">
      <w:pPr>
        <w:spacing w:line="360" w:lineRule="auto"/>
        <w:jc w:val="center"/>
        <w:rPr>
          <w:rFonts w:ascii="宋体" w:hAnsi="宋体" w:cs="宋体"/>
          <w:b/>
          <w:color w:val="auto"/>
          <w:sz w:val="32"/>
          <w:szCs w:val="32"/>
          <w:highlight w:val="none"/>
        </w:rPr>
      </w:pPr>
    </w:p>
    <w:p w14:paraId="7C9CC4CD">
      <w:pPr>
        <w:spacing w:line="360" w:lineRule="auto"/>
        <w:jc w:val="center"/>
        <w:rPr>
          <w:rFonts w:ascii="宋体" w:hAnsi="宋体" w:cs="宋体"/>
          <w:b/>
          <w:color w:val="auto"/>
          <w:sz w:val="32"/>
          <w:szCs w:val="32"/>
          <w:highlight w:val="none"/>
        </w:rPr>
      </w:pPr>
    </w:p>
    <w:p w14:paraId="2536F5EE">
      <w:pPr>
        <w:spacing w:line="360" w:lineRule="auto"/>
        <w:jc w:val="center"/>
        <w:rPr>
          <w:rFonts w:ascii="宋体" w:hAnsi="宋体" w:cs="宋体"/>
          <w:b/>
          <w:color w:val="auto"/>
          <w:sz w:val="32"/>
          <w:szCs w:val="32"/>
          <w:highlight w:val="none"/>
        </w:rPr>
      </w:pPr>
    </w:p>
    <w:p w14:paraId="48857AA9">
      <w:pPr>
        <w:spacing w:line="360" w:lineRule="auto"/>
        <w:jc w:val="center"/>
        <w:rPr>
          <w:rFonts w:ascii="宋体" w:hAnsi="宋体" w:cs="宋体"/>
          <w:b/>
          <w:color w:val="auto"/>
          <w:sz w:val="32"/>
          <w:szCs w:val="32"/>
          <w:highlight w:val="none"/>
        </w:rPr>
      </w:pPr>
    </w:p>
    <w:p w14:paraId="43BF7F02">
      <w:pPr>
        <w:spacing w:line="360" w:lineRule="auto"/>
        <w:jc w:val="center"/>
        <w:rPr>
          <w:rFonts w:ascii="宋体" w:hAnsi="宋体" w:cs="宋体"/>
          <w:b/>
          <w:color w:val="auto"/>
          <w:sz w:val="32"/>
          <w:szCs w:val="32"/>
          <w:highlight w:val="none"/>
        </w:rPr>
      </w:pPr>
    </w:p>
    <w:p w14:paraId="247852DC">
      <w:pPr>
        <w:spacing w:line="360" w:lineRule="auto"/>
        <w:jc w:val="center"/>
        <w:rPr>
          <w:rFonts w:ascii="宋体" w:hAnsi="宋体" w:cs="宋体"/>
          <w:b/>
          <w:color w:val="auto"/>
          <w:sz w:val="32"/>
          <w:szCs w:val="32"/>
          <w:highlight w:val="none"/>
        </w:rPr>
      </w:pPr>
    </w:p>
    <w:p w14:paraId="249EED22">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8E0A72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D79CC94">
      <w:pPr>
        <w:spacing w:line="360" w:lineRule="auto"/>
        <w:rPr>
          <w:rFonts w:ascii="宋体" w:hAnsi="宋体" w:cs="宋体"/>
          <w:b/>
          <w:color w:val="auto"/>
          <w:spacing w:val="6"/>
          <w:sz w:val="32"/>
          <w:szCs w:val="32"/>
          <w:highlight w:val="none"/>
        </w:rPr>
      </w:pPr>
    </w:p>
    <w:p w14:paraId="14AA06D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9D4F4A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9BA1A8F">
      <w:pPr>
        <w:pStyle w:val="322"/>
        <w:snapToGrid w:val="0"/>
        <w:spacing w:line="500" w:lineRule="exact"/>
        <w:ind w:firstLine="720"/>
        <w:jc w:val="center"/>
        <w:rPr>
          <w:rFonts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政府采购活动现场确认声明书</w:t>
      </w:r>
    </w:p>
    <w:p w14:paraId="5399B7C4">
      <w:pPr>
        <w:pStyle w:val="322"/>
        <w:snapToGrid w:val="0"/>
        <w:spacing w:line="500" w:lineRule="exact"/>
        <w:ind w:firstLine="0" w:firstLineChars="0"/>
        <w:jc w:val="center"/>
        <w:rPr>
          <w:rFonts w:hAnsi="宋体" w:eastAsia="宋体" w:cs="宋体"/>
          <w:color w:val="auto"/>
          <w:sz w:val="21"/>
          <w:szCs w:val="21"/>
          <w:highlight w:val="none"/>
        </w:rPr>
      </w:pPr>
      <w:r>
        <w:rPr>
          <w:rFonts w:hint="eastAsia" w:hAnsi="宋体" w:eastAsia="宋体" w:cs="宋体"/>
          <w:color w:val="auto"/>
          <w:sz w:val="21"/>
          <w:szCs w:val="21"/>
          <w:highlight w:val="none"/>
        </w:rPr>
        <w:t>（此表响应文件中无需提供，待响应文件解密结束（解密结束后20分钟内），填写此表，并将此表的扫描件或（图片）</w:t>
      </w:r>
      <w:r>
        <w:rPr>
          <w:color w:val="auto"/>
          <w:highlight w:val="none"/>
        </w:rPr>
        <w:fldChar w:fldCharType="begin"/>
      </w:r>
      <w:r>
        <w:rPr>
          <w:color w:val="auto"/>
          <w:highlight w:val="none"/>
        </w:rPr>
        <w:instrText xml:space="preserve"> HYPERLINK "mailto:发至采购代理机构经办人邮箱hczbdl@126.com" </w:instrText>
      </w:r>
      <w:r>
        <w:rPr>
          <w:color w:val="auto"/>
          <w:highlight w:val="none"/>
        </w:rPr>
        <w:fldChar w:fldCharType="separate"/>
      </w:r>
      <w:r>
        <w:rPr>
          <w:rStyle w:val="77"/>
          <w:rFonts w:hint="eastAsia" w:ascii="宋体" w:hAnsi="宋体" w:eastAsia="宋体" w:cs="宋体"/>
          <w:color w:val="auto"/>
          <w:sz w:val="21"/>
          <w:szCs w:val="21"/>
          <w:highlight w:val="none"/>
        </w:rPr>
        <w:t>发至采购代理机构经办人邮箱</w:t>
      </w:r>
      <w:r>
        <w:rPr>
          <w:rStyle w:val="77"/>
          <w:rFonts w:hint="eastAsia" w:hAnsi="宋体" w:eastAsia="宋体" w:cs="宋体"/>
          <w:color w:val="auto"/>
          <w:sz w:val="21"/>
          <w:szCs w:val="21"/>
          <w:highlight w:val="none"/>
        </w:rPr>
        <w:t>HCZBDL</w:t>
      </w:r>
      <w:r>
        <w:rPr>
          <w:rStyle w:val="77"/>
          <w:rFonts w:hint="eastAsia" w:ascii="宋体" w:hAnsi="宋体" w:eastAsia="宋体" w:cs="宋体"/>
          <w:color w:val="auto"/>
          <w:sz w:val="21"/>
          <w:szCs w:val="21"/>
          <w:highlight w:val="none"/>
        </w:rPr>
        <w:t>@126.com</w:t>
      </w:r>
      <w:r>
        <w:rPr>
          <w:rStyle w:val="77"/>
          <w:rFonts w:hint="eastAsia" w:ascii="宋体" w:hAnsi="宋体" w:eastAsia="宋体" w:cs="宋体"/>
          <w:color w:val="auto"/>
          <w:sz w:val="21"/>
          <w:szCs w:val="21"/>
          <w:highlight w:val="none"/>
        </w:rPr>
        <w:fldChar w:fldCharType="end"/>
      </w:r>
      <w:r>
        <w:rPr>
          <w:rFonts w:hint="eastAsia" w:hAnsi="宋体" w:eastAsia="宋体" w:cs="宋体"/>
          <w:color w:val="auto"/>
          <w:sz w:val="21"/>
          <w:szCs w:val="21"/>
          <w:highlight w:val="none"/>
        </w:rPr>
        <w:t xml:space="preserve"> 或政采云平台，如在规定时间内未签署《政府采购活动现场确认声明书》的，将视同该供应商已如实确认与采购人以及参加本次采购的其他投标人不存在影响公平竞争的利害关系。）</w:t>
      </w:r>
    </w:p>
    <w:p w14:paraId="4B2BAF8C">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w:t>
      </w:r>
    </w:p>
    <w:p w14:paraId="65FA636D">
      <w:pPr>
        <w:pStyle w:val="322"/>
        <w:snapToGrid w:val="0"/>
        <w:spacing w:line="400" w:lineRule="exact"/>
        <w:ind w:firstLine="420"/>
        <w:rPr>
          <w:rFonts w:hAnsi="宋体" w:eastAsia="宋体" w:cs="宋体"/>
          <w:b/>
          <w:color w:val="auto"/>
          <w:sz w:val="21"/>
          <w:szCs w:val="21"/>
          <w:highlight w:val="none"/>
        </w:rPr>
      </w:pPr>
      <w:r>
        <w:rPr>
          <w:rFonts w:hint="eastAsia" w:hAnsi="宋体" w:eastAsia="宋体" w:cs="宋体"/>
          <w:color w:val="auto"/>
          <w:sz w:val="21"/>
          <w:szCs w:val="21"/>
          <w:highlight w:val="none"/>
          <w:u w:val="single"/>
        </w:rPr>
        <w:t xml:space="preserve">华诚工程咨询集团有限公司 </w:t>
      </w:r>
      <w:r>
        <w:rPr>
          <w:rFonts w:hint="eastAsia" w:hAnsi="宋体" w:eastAsia="宋体" w:cs="宋体"/>
          <w:color w:val="auto"/>
          <w:sz w:val="21"/>
          <w:szCs w:val="21"/>
          <w:highlight w:val="none"/>
        </w:rPr>
        <w:t>：</w:t>
      </w:r>
    </w:p>
    <w:p w14:paraId="51C53712">
      <w:pPr>
        <w:pStyle w:val="322"/>
        <w:snapToGrid w:val="0"/>
        <w:spacing w:line="400" w:lineRule="exact"/>
        <w:ind w:firstLine="444"/>
        <w:rPr>
          <w:rFonts w:hAnsi="宋体" w:eastAsia="宋体" w:cs="宋体"/>
          <w:color w:val="auto"/>
          <w:spacing w:val="6"/>
          <w:sz w:val="21"/>
          <w:szCs w:val="21"/>
          <w:highlight w:val="none"/>
        </w:rPr>
      </w:pPr>
      <w:r>
        <w:rPr>
          <w:rFonts w:hint="eastAsia" w:hAnsi="宋体" w:eastAsia="宋体" w:cs="宋体"/>
          <w:color w:val="auto"/>
          <w:spacing w:val="6"/>
          <w:sz w:val="21"/>
          <w:szCs w:val="21"/>
          <w:highlight w:val="none"/>
        </w:rPr>
        <w:t>本人经由</w:t>
      </w:r>
      <w:r>
        <w:rPr>
          <w:rFonts w:hint="eastAsia" w:hAnsi="宋体" w:eastAsia="宋体" w:cs="宋体"/>
          <w:color w:val="auto"/>
          <w:spacing w:val="6"/>
          <w:sz w:val="21"/>
          <w:szCs w:val="21"/>
          <w:highlight w:val="none"/>
          <w:u w:val="single"/>
        </w:rPr>
        <w:t xml:space="preserve">               （单位）</w:t>
      </w:r>
      <w:r>
        <w:rPr>
          <w:rFonts w:hint="eastAsia" w:hAnsi="宋体" w:eastAsia="宋体" w:cs="宋体"/>
          <w:color w:val="auto"/>
          <w:spacing w:val="6"/>
          <w:sz w:val="21"/>
          <w:szCs w:val="21"/>
          <w:highlight w:val="none"/>
        </w:rPr>
        <w:t>法人代表（负责人）</w:t>
      </w:r>
      <w:r>
        <w:rPr>
          <w:rFonts w:hint="eastAsia" w:hAnsi="宋体" w:eastAsia="宋体" w:cs="宋体"/>
          <w:color w:val="auto"/>
          <w:spacing w:val="6"/>
          <w:sz w:val="21"/>
          <w:szCs w:val="21"/>
          <w:highlight w:val="none"/>
          <w:u w:val="single"/>
        </w:rPr>
        <w:t xml:space="preserve">        （姓名）</w:t>
      </w:r>
      <w:r>
        <w:rPr>
          <w:rFonts w:hint="eastAsia"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项目（编号：</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 xml:space="preserve">）政府采购活动，经与本单位法人代表（负责人）联系确认，现就有关公平竞争事项郑重声明如下： </w:t>
      </w:r>
    </w:p>
    <w:p w14:paraId="15DE8BA7">
      <w:pPr>
        <w:pStyle w:val="323"/>
        <w:numPr>
          <w:ilvl w:val="0"/>
          <w:numId w:val="4"/>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A03E8B">
      <w:pPr>
        <w:pStyle w:val="323"/>
        <w:snapToGrid w:val="0"/>
        <w:spacing w:line="400" w:lineRule="exact"/>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F8C08CD">
      <w:pPr>
        <w:pStyle w:val="323"/>
        <w:snapToGrid w:val="0"/>
        <w:spacing w:line="400" w:lineRule="exact"/>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A3A840D">
      <w:pPr>
        <w:pStyle w:val="323"/>
        <w:snapToGrid w:val="0"/>
        <w:spacing w:line="400" w:lineRule="exact"/>
        <w:ind w:firstLine="444"/>
        <w:rPr>
          <w:rFonts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E8CFEC">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A.法定代表人或负责人或实际控制人是同一人；</w:t>
      </w:r>
    </w:p>
    <w:p w14:paraId="4B7D6B79">
      <w:pPr>
        <w:pStyle w:val="322"/>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B.法定代表人或负责人或实际控制人是夫妻关系；</w:t>
      </w:r>
    </w:p>
    <w:p w14:paraId="2590D986">
      <w:pPr>
        <w:pStyle w:val="322"/>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C.法定代表人或负责人或实际控制人是直系血亲关系；</w:t>
      </w:r>
    </w:p>
    <w:p w14:paraId="40F5B7FB">
      <w:pPr>
        <w:pStyle w:val="322"/>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D.法定代表人或负责人或实际控制人存在三代以内旁系血亲关系；</w:t>
      </w:r>
    </w:p>
    <w:p w14:paraId="2D9FEAE8">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E.法定代表人或负责人或实际控制人存在近姻亲关系；</w:t>
      </w:r>
    </w:p>
    <w:p w14:paraId="6B038E23">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F.法定代表人或负责人或实际控制人存在股份控制或实际控制关系；</w:t>
      </w:r>
    </w:p>
    <w:p w14:paraId="0270B5FA">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G.存在共同直接或间接投资设立子公司、联营企业和合营企业情况；</w:t>
      </w:r>
    </w:p>
    <w:p w14:paraId="3901E29B">
      <w:pPr>
        <w:pStyle w:val="322"/>
        <w:snapToGrid w:val="0"/>
        <w:spacing w:line="400" w:lineRule="exact"/>
        <w:ind w:firstLine="420"/>
        <w:rPr>
          <w:rFonts w:hAnsi="宋体" w:eastAsia="宋体" w:cs="宋体"/>
          <w:color w:val="auto"/>
          <w:sz w:val="21"/>
          <w:szCs w:val="21"/>
          <w:highlight w:val="none"/>
        </w:rPr>
      </w:pPr>
      <w:r>
        <w:rPr>
          <w:rFonts w:hint="eastAsia"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185F234A">
      <w:pPr>
        <w:pStyle w:val="322"/>
        <w:snapToGrid w:val="0"/>
        <w:spacing w:line="400" w:lineRule="exact"/>
        <w:ind w:firstLine="42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I.其他利害关系情况</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w:t>
      </w:r>
    </w:p>
    <w:p w14:paraId="14D9833C">
      <w:pPr>
        <w:pStyle w:val="323"/>
        <w:numPr>
          <w:ilvl w:val="0"/>
          <w:numId w:val="5"/>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778C54DC">
      <w:pPr>
        <w:pStyle w:val="323"/>
        <w:numPr>
          <w:ilvl w:val="0"/>
          <w:numId w:val="5"/>
        </w:numPr>
        <w:snapToGrid w:val="0"/>
        <w:spacing w:line="400" w:lineRule="exact"/>
        <w:ind w:firstLine="396" w:firstLineChars="18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DA06160">
      <w:pPr>
        <w:pStyle w:val="322"/>
        <w:snapToGrid w:val="0"/>
        <w:ind w:firstLine="420"/>
        <w:rPr>
          <w:rFonts w:hAnsi="宋体" w:eastAsia="宋体" w:cs="宋体"/>
          <w:color w:val="auto"/>
          <w:sz w:val="21"/>
          <w:szCs w:val="21"/>
          <w:highlight w:val="none"/>
        </w:rPr>
      </w:pPr>
    </w:p>
    <w:p w14:paraId="6CC4779D">
      <w:pPr>
        <w:pStyle w:val="322"/>
        <w:snapToGrid w:val="0"/>
        <w:ind w:firstLine="420"/>
        <w:rPr>
          <w:rFonts w:hAnsi="宋体" w:eastAsia="宋体" w:cs="宋体"/>
          <w:color w:val="auto"/>
          <w:sz w:val="21"/>
          <w:szCs w:val="21"/>
          <w:highlight w:val="none"/>
        </w:rPr>
      </w:pPr>
    </w:p>
    <w:p w14:paraId="482DB6C6">
      <w:pPr>
        <w:pStyle w:val="322"/>
        <w:snapToGrid w:val="0"/>
        <w:ind w:firstLine="420"/>
        <w:jc w:val="left"/>
        <w:rPr>
          <w:rFonts w:hAnsi="宋体" w:eastAsia="宋体" w:cs="宋体"/>
          <w:color w:val="auto"/>
          <w:sz w:val="21"/>
          <w:szCs w:val="21"/>
          <w:highlight w:val="none"/>
        </w:rPr>
      </w:pPr>
      <w:r>
        <w:rPr>
          <w:rFonts w:hint="eastAsia" w:hAnsi="宋体" w:eastAsia="宋体" w:cs="宋体"/>
          <w:color w:val="auto"/>
          <w:sz w:val="21"/>
          <w:szCs w:val="21"/>
          <w:highlight w:val="none"/>
        </w:rPr>
        <w:t xml:space="preserve">                               （供应商代表签名）：</w:t>
      </w:r>
    </w:p>
    <w:p w14:paraId="1CC9A3C5">
      <w:pPr>
        <w:pStyle w:val="26"/>
        <w:ind w:firstLine="420"/>
        <w:jc w:val="right"/>
        <w:rPr>
          <w:color w:val="auto"/>
          <w:highlight w:val="none"/>
        </w:rPr>
      </w:pPr>
      <w:r>
        <w:rPr>
          <w:rFonts w:hint="eastAsia" w:cs="宋体"/>
          <w:color w:val="auto"/>
          <w:sz w:val="21"/>
          <w:szCs w:val="21"/>
          <w:highlight w:val="none"/>
        </w:rPr>
        <w:t xml:space="preserve">年  月   日 </w:t>
      </w:r>
    </w:p>
    <w:p w14:paraId="7E9C8E3C">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EB38">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55E88">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E55E88">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BE09">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4F46">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BB54F46">
                    <w:pPr>
                      <w:pStyle w:val="42"/>
                    </w:pPr>
                    <w:r>
                      <w:fldChar w:fldCharType="begin"/>
                    </w:r>
                    <w:r>
                      <w:instrText xml:space="preserve"> PAGE  \* MERGEFORMAT </w:instrText>
                    </w:r>
                    <w:r>
                      <w:fldChar w:fldCharType="separate"/>
                    </w:r>
                    <w:r>
                      <w:t>64</w:t>
                    </w:r>
                    <w:r>
                      <w:fldChar w:fldCharType="end"/>
                    </w:r>
                  </w:p>
                </w:txbxContent>
              </v:textbox>
            </v:shape>
          </w:pict>
        </mc:Fallback>
      </mc:AlternateContent>
    </w:r>
  </w:p>
  <w:p w14:paraId="10DB1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E666">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FEA21">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48FEA21">
                    <w:pPr>
                      <w:pStyle w:val="42"/>
                    </w:pPr>
                    <w:r>
                      <w:fldChar w:fldCharType="begin"/>
                    </w:r>
                    <w:r>
                      <w:instrText xml:space="preserve"> PAGE  \* MERGEFORMAT </w:instrText>
                    </w:r>
                    <w:r>
                      <w:fldChar w:fldCharType="separate"/>
                    </w:r>
                    <w:r>
                      <w:t>69</w:t>
                    </w:r>
                    <w:r>
                      <w:fldChar w:fldCharType="end"/>
                    </w:r>
                  </w:p>
                </w:txbxContent>
              </v:textbox>
            </v:shape>
          </w:pict>
        </mc:Fallback>
      </mc:AlternateContent>
    </w:r>
  </w:p>
  <w:p w14:paraId="63468E0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2A85">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3599">
                          <w:pPr>
                            <w:pStyle w:val="4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1DA3599">
                    <w:pPr>
                      <w:pStyle w:val="42"/>
                    </w:pPr>
                    <w:r>
                      <w:fldChar w:fldCharType="begin"/>
                    </w:r>
                    <w:r>
                      <w:instrText xml:space="preserve"> PAGE  \* MERGEFORMAT </w:instrText>
                    </w:r>
                    <w:r>
                      <w:fldChar w:fldCharType="separate"/>
                    </w:r>
                    <w:r>
                      <w:t>67</w:t>
                    </w:r>
                    <w:r>
                      <w:fldChar w:fldCharType="end"/>
                    </w:r>
                  </w:p>
                </w:txbxContent>
              </v:textbox>
            </v:shape>
          </w:pict>
        </mc:Fallback>
      </mc:AlternateContent>
    </w:r>
  </w:p>
  <w:p w14:paraId="0BE2E9C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8BFB">
    <w:pPr>
      <w:pStyle w:val="42"/>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9ECE4">
                          <w:pPr>
                            <w:pStyle w:val="4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679ECE4">
                    <w:pPr>
                      <w:pStyle w:val="4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41F3">
    <w:pPr>
      <w:pStyle w:val="42"/>
      <w:framePr w:wrap="around" w:vAnchor="text" w:hAnchor="margin" w:xAlign="right" w:y="1"/>
      <w:rPr>
        <w:rStyle w:val="73"/>
      </w:rPr>
    </w:pPr>
    <w:r>
      <w:fldChar w:fldCharType="begin"/>
    </w:r>
    <w:r>
      <w:rPr>
        <w:rStyle w:val="73"/>
      </w:rPr>
      <w:instrText xml:space="preserve">PAGE  </w:instrText>
    </w:r>
    <w:r>
      <w:fldChar w:fldCharType="end"/>
    </w:r>
  </w:p>
  <w:p w14:paraId="7CA0D473">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66B9">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F7225">
                          <w:pPr>
                            <w:pStyle w:val="4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F4F7225">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26A1">
    <w:pPr>
      <w:pStyle w:val="42"/>
      <w:framePr w:wrap="around" w:vAnchor="text" w:hAnchor="margin" w:xAlign="right" w:y="1"/>
      <w:rPr>
        <w:rStyle w:val="73"/>
      </w:rPr>
    </w:pPr>
    <w:r>
      <w:fldChar w:fldCharType="begin"/>
    </w:r>
    <w:r>
      <w:rPr>
        <w:rStyle w:val="73"/>
      </w:rPr>
      <w:instrText xml:space="preserve">PAGE  </w:instrText>
    </w:r>
    <w:r>
      <w:fldChar w:fldCharType="end"/>
    </w:r>
  </w:p>
  <w:p w14:paraId="091DA9E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19BE">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F492E">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9F492E">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FA6C">
    <w:pPr>
      <w:pStyle w:val="42"/>
      <w:jc w:val="center"/>
    </w:pPr>
    <w:r>
      <w:fldChar w:fldCharType="begin"/>
    </w:r>
    <w:r>
      <w:instrText xml:space="preserve">PAGE   \* MERGEFORMAT</w:instrText>
    </w:r>
    <w:r>
      <w:fldChar w:fldCharType="separate"/>
    </w:r>
    <w:r>
      <w:rPr>
        <w:lang w:val="zh-CN"/>
      </w:rPr>
      <w:t>39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08CC">
    <w:pPr>
      <w:pStyle w:val="42"/>
      <w:framePr w:wrap="around" w:vAnchor="text" w:hAnchor="margin" w:xAlign="right" w:y="1"/>
      <w:rPr>
        <w:rStyle w:val="73"/>
      </w:rPr>
    </w:pPr>
    <w:r>
      <w:fldChar w:fldCharType="begin"/>
    </w:r>
    <w:r>
      <w:rPr>
        <w:rStyle w:val="73"/>
      </w:rPr>
      <w:instrText xml:space="preserve">PAGE  </w:instrText>
    </w:r>
    <w:r>
      <w:fldChar w:fldCharType="end"/>
    </w:r>
  </w:p>
  <w:p w14:paraId="25254CAF">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196A">
    <w:pPr>
      <w:pStyle w:val="42"/>
      <w:jc w:val="center"/>
    </w:pPr>
    <w:r>
      <w:fldChar w:fldCharType="begin"/>
    </w:r>
    <w:r>
      <w:instrText xml:space="preserve">PAGE   \* MERGEFORMAT</w:instrText>
    </w:r>
    <w:r>
      <w:fldChar w:fldCharType="separate"/>
    </w:r>
    <w:r>
      <w:rPr>
        <w:lang w:val="zh-CN"/>
      </w:rPr>
      <w:t>38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FA3F">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2AB9F">
                          <w:pPr>
                            <w:pStyle w:val="4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B2AB9F">
                    <w:pPr>
                      <w:pStyle w:val="42"/>
                    </w:pPr>
                    <w:r>
                      <w:fldChar w:fldCharType="begin"/>
                    </w:r>
                    <w:r>
                      <w:instrText xml:space="preserve"> PAGE  \* MERGEFORMAT </w:instrText>
                    </w:r>
                    <w:r>
                      <w:fldChar w:fldCharType="separate"/>
                    </w:r>
                    <w:r>
                      <w:t>33</w:t>
                    </w:r>
                    <w:r>
                      <w:fldChar w:fldCharType="end"/>
                    </w:r>
                  </w:p>
                </w:txbxContent>
              </v:textbox>
            </v:shape>
          </w:pict>
        </mc:Fallback>
      </mc:AlternateContent>
    </w:r>
  </w:p>
  <w:p w14:paraId="2B6D0F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D8DE">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B32D4">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BB32D4">
                    <w:pPr>
                      <w:pStyle w:val="42"/>
                    </w:pPr>
                    <w:r>
                      <w:fldChar w:fldCharType="begin"/>
                    </w:r>
                    <w:r>
                      <w:instrText xml:space="preserve"> PAGE  \* MERGEFORMAT </w:instrText>
                    </w:r>
                    <w:r>
                      <w:fldChar w:fldCharType="separate"/>
                    </w:r>
                    <w:r>
                      <w:t>32</w:t>
                    </w:r>
                    <w:r>
                      <w:fldChar w:fldCharType="end"/>
                    </w:r>
                  </w:p>
                </w:txbxContent>
              </v:textbox>
            </v:shape>
          </w:pict>
        </mc:Fallback>
      </mc:AlternateContent>
    </w:r>
  </w:p>
  <w:p w14:paraId="1BC99F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B25B">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2F308">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2F308">
                    <w:pPr>
                      <w:pStyle w:val="42"/>
                    </w:pPr>
                    <w:r>
                      <w:fldChar w:fldCharType="begin"/>
                    </w:r>
                    <w:r>
                      <w:instrText xml:space="preserve"> PAGE  \* MERGEFORMAT </w:instrText>
                    </w:r>
                    <w:r>
                      <w:fldChar w:fldCharType="separate"/>
                    </w:r>
                    <w:r>
                      <w:t>65</w:t>
                    </w:r>
                    <w:r>
                      <w:fldChar w:fldCharType="end"/>
                    </w:r>
                  </w:p>
                </w:txbxContent>
              </v:textbox>
            </v:shape>
          </w:pict>
        </mc:Fallback>
      </mc:AlternateContent>
    </w:r>
  </w:p>
  <w:p w14:paraId="5FF8FD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E54C">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1777">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2F55">
    <w:pPr>
      <w:pStyle w:val="43"/>
      <w:pBdr>
        <w:bottom w:val="single" w:color="auto" w:sz="4" w:space="0"/>
      </w:pBdr>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CC60">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8B29">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5D84">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675A"/>
    <w:multiLevelType w:val="singleLevel"/>
    <w:tmpl w:val="10AF675A"/>
    <w:lvl w:ilvl="0" w:tentative="0">
      <w:start w:val="2"/>
      <w:numFmt w:val="decimal"/>
      <w:suff w:val="nothing"/>
      <w:lvlText w:val="（%1）"/>
      <w:lvlJc w:val="left"/>
    </w:lvl>
  </w:abstractNum>
  <w:abstractNum w:abstractNumId="1">
    <w:nsid w:val="2079FCB0"/>
    <w:multiLevelType w:val="singleLevel"/>
    <w:tmpl w:val="2079FCB0"/>
    <w:lvl w:ilvl="0" w:tentative="0">
      <w:start w:val="2"/>
      <w:numFmt w:val="decimal"/>
      <w:suff w:val="nothing"/>
      <w:lvlText w:val="（%1）"/>
      <w:lvlJc w:val="left"/>
    </w:lvl>
  </w:abstractNum>
  <w:abstractNum w:abstractNumId="2">
    <w:nsid w:val="537ACA4D"/>
    <w:multiLevelType w:val="singleLevel"/>
    <w:tmpl w:val="537ACA4D"/>
    <w:lvl w:ilvl="0" w:tentative="0">
      <w:start w:val="1"/>
      <w:numFmt w:val="decimal"/>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OWI5MmZlZmRhYzg3ZmUzZjgyNzJhOGI3ZDk3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5BC"/>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9E8"/>
    <w:rsid w:val="00461F80"/>
    <w:rsid w:val="0046240D"/>
    <w:rsid w:val="00462898"/>
    <w:rsid w:val="00462D84"/>
    <w:rsid w:val="00463208"/>
    <w:rsid w:val="00463576"/>
    <w:rsid w:val="004636D6"/>
    <w:rsid w:val="0046399D"/>
    <w:rsid w:val="00463EA4"/>
    <w:rsid w:val="00464C4C"/>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71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3A"/>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08"/>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4C1"/>
    <w:rsid w:val="007C47FF"/>
    <w:rsid w:val="007C60A8"/>
    <w:rsid w:val="007C660F"/>
    <w:rsid w:val="007C6664"/>
    <w:rsid w:val="007C66FF"/>
    <w:rsid w:val="007C69AE"/>
    <w:rsid w:val="007C6FE9"/>
    <w:rsid w:val="007C7688"/>
    <w:rsid w:val="007C76E3"/>
    <w:rsid w:val="007C76F3"/>
    <w:rsid w:val="007C7DD9"/>
    <w:rsid w:val="007D03BC"/>
    <w:rsid w:val="007D0502"/>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DA6"/>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452"/>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B89"/>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8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AA8"/>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68B"/>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1A"/>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B1A"/>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928"/>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BF"/>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2A"/>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5120"/>
    <w:rsid w:val="01317F69"/>
    <w:rsid w:val="014F03EF"/>
    <w:rsid w:val="019F7441"/>
    <w:rsid w:val="01B37585"/>
    <w:rsid w:val="01BF5575"/>
    <w:rsid w:val="01C65DA5"/>
    <w:rsid w:val="01D55165"/>
    <w:rsid w:val="01DF6BF8"/>
    <w:rsid w:val="01EC2C57"/>
    <w:rsid w:val="025F0711"/>
    <w:rsid w:val="026B2E25"/>
    <w:rsid w:val="02824D4D"/>
    <w:rsid w:val="02AC4D64"/>
    <w:rsid w:val="02DC4B10"/>
    <w:rsid w:val="02DD76CE"/>
    <w:rsid w:val="02F36323"/>
    <w:rsid w:val="02F5619C"/>
    <w:rsid w:val="0326446A"/>
    <w:rsid w:val="032D5555"/>
    <w:rsid w:val="036634D2"/>
    <w:rsid w:val="037759DB"/>
    <w:rsid w:val="03BD0726"/>
    <w:rsid w:val="03CE5F43"/>
    <w:rsid w:val="03DD35E4"/>
    <w:rsid w:val="03F040A4"/>
    <w:rsid w:val="03F2214F"/>
    <w:rsid w:val="03FB340F"/>
    <w:rsid w:val="04076900"/>
    <w:rsid w:val="040D44D9"/>
    <w:rsid w:val="041A5A3B"/>
    <w:rsid w:val="042311BA"/>
    <w:rsid w:val="042B157A"/>
    <w:rsid w:val="048F763B"/>
    <w:rsid w:val="049F330E"/>
    <w:rsid w:val="04AA775C"/>
    <w:rsid w:val="04AF1889"/>
    <w:rsid w:val="04BF5889"/>
    <w:rsid w:val="04C64E6C"/>
    <w:rsid w:val="04F66F48"/>
    <w:rsid w:val="05251E14"/>
    <w:rsid w:val="052C286F"/>
    <w:rsid w:val="05534766"/>
    <w:rsid w:val="05660860"/>
    <w:rsid w:val="05A16594"/>
    <w:rsid w:val="05A7762D"/>
    <w:rsid w:val="05EC26B0"/>
    <w:rsid w:val="060C2D53"/>
    <w:rsid w:val="060E5941"/>
    <w:rsid w:val="06110FAF"/>
    <w:rsid w:val="061E21DC"/>
    <w:rsid w:val="06493CA7"/>
    <w:rsid w:val="065A6178"/>
    <w:rsid w:val="06691F53"/>
    <w:rsid w:val="066F1CF3"/>
    <w:rsid w:val="06930BB8"/>
    <w:rsid w:val="070F7027"/>
    <w:rsid w:val="071E2D3E"/>
    <w:rsid w:val="07245D42"/>
    <w:rsid w:val="07264C62"/>
    <w:rsid w:val="072C7236"/>
    <w:rsid w:val="0779354C"/>
    <w:rsid w:val="07A46B95"/>
    <w:rsid w:val="07BF1F9A"/>
    <w:rsid w:val="07DE0501"/>
    <w:rsid w:val="07FE491D"/>
    <w:rsid w:val="08061376"/>
    <w:rsid w:val="08452D77"/>
    <w:rsid w:val="086401F8"/>
    <w:rsid w:val="08661343"/>
    <w:rsid w:val="08751CAA"/>
    <w:rsid w:val="087E4C40"/>
    <w:rsid w:val="08923AEE"/>
    <w:rsid w:val="08A871D0"/>
    <w:rsid w:val="08D66AD6"/>
    <w:rsid w:val="08DA33A3"/>
    <w:rsid w:val="08E80F13"/>
    <w:rsid w:val="090E6766"/>
    <w:rsid w:val="09335624"/>
    <w:rsid w:val="0944690F"/>
    <w:rsid w:val="09535675"/>
    <w:rsid w:val="09540C99"/>
    <w:rsid w:val="095F057D"/>
    <w:rsid w:val="0963712E"/>
    <w:rsid w:val="09642282"/>
    <w:rsid w:val="09733572"/>
    <w:rsid w:val="09772C16"/>
    <w:rsid w:val="098353B5"/>
    <w:rsid w:val="09A92330"/>
    <w:rsid w:val="09B06B87"/>
    <w:rsid w:val="09C13146"/>
    <w:rsid w:val="09E04166"/>
    <w:rsid w:val="0A0A75A9"/>
    <w:rsid w:val="0A1C0718"/>
    <w:rsid w:val="0A3E7710"/>
    <w:rsid w:val="0A5B7E63"/>
    <w:rsid w:val="0A703465"/>
    <w:rsid w:val="0AA374A5"/>
    <w:rsid w:val="0AAB7649"/>
    <w:rsid w:val="0ABC5606"/>
    <w:rsid w:val="0AC074BD"/>
    <w:rsid w:val="0AFD2C6A"/>
    <w:rsid w:val="0B30404E"/>
    <w:rsid w:val="0B455512"/>
    <w:rsid w:val="0B4C6C14"/>
    <w:rsid w:val="0B547599"/>
    <w:rsid w:val="0B631A88"/>
    <w:rsid w:val="0B683D45"/>
    <w:rsid w:val="0B7373D0"/>
    <w:rsid w:val="0B7F3F11"/>
    <w:rsid w:val="0B884417"/>
    <w:rsid w:val="0BF6188C"/>
    <w:rsid w:val="0BF73C91"/>
    <w:rsid w:val="0C170175"/>
    <w:rsid w:val="0C571A41"/>
    <w:rsid w:val="0C5C1171"/>
    <w:rsid w:val="0C5E1CBC"/>
    <w:rsid w:val="0C615B50"/>
    <w:rsid w:val="0C8445DA"/>
    <w:rsid w:val="0C87121B"/>
    <w:rsid w:val="0CC007F7"/>
    <w:rsid w:val="0CC617AC"/>
    <w:rsid w:val="0CD5038D"/>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F75DE"/>
    <w:rsid w:val="0E5604B2"/>
    <w:rsid w:val="0E6D5D79"/>
    <w:rsid w:val="0E72396F"/>
    <w:rsid w:val="0E755372"/>
    <w:rsid w:val="0E9472EA"/>
    <w:rsid w:val="0E9D0089"/>
    <w:rsid w:val="0EB803EE"/>
    <w:rsid w:val="0EF94D4B"/>
    <w:rsid w:val="0F3121D5"/>
    <w:rsid w:val="0F4958DC"/>
    <w:rsid w:val="0F515DF7"/>
    <w:rsid w:val="0F596BA8"/>
    <w:rsid w:val="0F6248D2"/>
    <w:rsid w:val="0F693536"/>
    <w:rsid w:val="0F73174D"/>
    <w:rsid w:val="0F7B0511"/>
    <w:rsid w:val="0F7B76D9"/>
    <w:rsid w:val="0F816ACD"/>
    <w:rsid w:val="0F9832DB"/>
    <w:rsid w:val="0FBF3FD2"/>
    <w:rsid w:val="0FBF7FF3"/>
    <w:rsid w:val="103203DE"/>
    <w:rsid w:val="10646583"/>
    <w:rsid w:val="10704E41"/>
    <w:rsid w:val="107D4B15"/>
    <w:rsid w:val="108A3C80"/>
    <w:rsid w:val="10C26171"/>
    <w:rsid w:val="10DB3A4D"/>
    <w:rsid w:val="10F33360"/>
    <w:rsid w:val="10FC16EA"/>
    <w:rsid w:val="110006C9"/>
    <w:rsid w:val="110022FD"/>
    <w:rsid w:val="110F1D40"/>
    <w:rsid w:val="111807FE"/>
    <w:rsid w:val="11266F33"/>
    <w:rsid w:val="112F3D99"/>
    <w:rsid w:val="113E311D"/>
    <w:rsid w:val="113F222E"/>
    <w:rsid w:val="1182211B"/>
    <w:rsid w:val="118963A1"/>
    <w:rsid w:val="11C6522A"/>
    <w:rsid w:val="11E104CC"/>
    <w:rsid w:val="11E20309"/>
    <w:rsid w:val="12255233"/>
    <w:rsid w:val="12303805"/>
    <w:rsid w:val="12530213"/>
    <w:rsid w:val="127723A9"/>
    <w:rsid w:val="12862074"/>
    <w:rsid w:val="12883966"/>
    <w:rsid w:val="12946612"/>
    <w:rsid w:val="1299596E"/>
    <w:rsid w:val="129E45B4"/>
    <w:rsid w:val="12D41701"/>
    <w:rsid w:val="12D81596"/>
    <w:rsid w:val="13072A44"/>
    <w:rsid w:val="135F4BE2"/>
    <w:rsid w:val="13923F34"/>
    <w:rsid w:val="139B1A0A"/>
    <w:rsid w:val="139D25C7"/>
    <w:rsid w:val="13BF3CE4"/>
    <w:rsid w:val="141008D8"/>
    <w:rsid w:val="14125FE6"/>
    <w:rsid w:val="14432035"/>
    <w:rsid w:val="146D271E"/>
    <w:rsid w:val="148D505F"/>
    <w:rsid w:val="14982588"/>
    <w:rsid w:val="149A5AD9"/>
    <w:rsid w:val="14A7619D"/>
    <w:rsid w:val="150536C3"/>
    <w:rsid w:val="150C1963"/>
    <w:rsid w:val="15103AFE"/>
    <w:rsid w:val="151412DC"/>
    <w:rsid w:val="151447A0"/>
    <w:rsid w:val="152B4878"/>
    <w:rsid w:val="15323E58"/>
    <w:rsid w:val="154A6454"/>
    <w:rsid w:val="15762120"/>
    <w:rsid w:val="15D54F0F"/>
    <w:rsid w:val="15F555B1"/>
    <w:rsid w:val="16A8729C"/>
    <w:rsid w:val="16B33777"/>
    <w:rsid w:val="16BC70A7"/>
    <w:rsid w:val="16C6339E"/>
    <w:rsid w:val="16CF328B"/>
    <w:rsid w:val="16D97E36"/>
    <w:rsid w:val="172D0D7B"/>
    <w:rsid w:val="172F2D79"/>
    <w:rsid w:val="17557BEF"/>
    <w:rsid w:val="175B1444"/>
    <w:rsid w:val="179E7A78"/>
    <w:rsid w:val="17CB401E"/>
    <w:rsid w:val="17D349C1"/>
    <w:rsid w:val="181066D2"/>
    <w:rsid w:val="1830729E"/>
    <w:rsid w:val="18354985"/>
    <w:rsid w:val="1870062C"/>
    <w:rsid w:val="18817102"/>
    <w:rsid w:val="18830A15"/>
    <w:rsid w:val="18852B28"/>
    <w:rsid w:val="188B5321"/>
    <w:rsid w:val="193452F4"/>
    <w:rsid w:val="19932372"/>
    <w:rsid w:val="19A20DD5"/>
    <w:rsid w:val="19AE03F1"/>
    <w:rsid w:val="1A071A03"/>
    <w:rsid w:val="1A1F16AE"/>
    <w:rsid w:val="1A3B5C77"/>
    <w:rsid w:val="1A557924"/>
    <w:rsid w:val="1A984BAD"/>
    <w:rsid w:val="1AB81E7E"/>
    <w:rsid w:val="1AB8220E"/>
    <w:rsid w:val="1AE4166C"/>
    <w:rsid w:val="1AF06CFB"/>
    <w:rsid w:val="1AF11B8D"/>
    <w:rsid w:val="1B11359C"/>
    <w:rsid w:val="1B2A271F"/>
    <w:rsid w:val="1B530544"/>
    <w:rsid w:val="1B713184"/>
    <w:rsid w:val="1BA209CF"/>
    <w:rsid w:val="1BB4777D"/>
    <w:rsid w:val="1BD75AB8"/>
    <w:rsid w:val="1C0459C2"/>
    <w:rsid w:val="1C1B3B4A"/>
    <w:rsid w:val="1C580A26"/>
    <w:rsid w:val="1C5D6DCA"/>
    <w:rsid w:val="1C7725CD"/>
    <w:rsid w:val="1C88086E"/>
    <w:rsid w:val="1D1665A1"/>
    <w:rsid w:val="1D266CE1"/>
    <w:rsid w:val="1D3963AF"/>
    <w:rsid w:val="1D3D0FE5"/>
    <w:rsid w:val="1D6A673C"/>
    <w:rsid w:val="1D882867"/>
    <w:rsid w:val="1D8F5231"/>
    <w:rsid w:val="1D9247AE"/>
    <w:rsid w:val="1D9B5EF2"/>
    <w:rsid w:val="1DB20242"/>
    <w:rsid w:val="1DB567EC"/>
    <w:rsid w:val="1DF51A98"/>
    <w:rsid w:val="1E161AB5"/>
    <w:rsid w:val="1E3D060F"/>
    <w:rsid w:val="1E3F7D2E"/>
    <w:rsid w:val="1E4134E4"/>
    <w:rsid w:val="1E5062B3"/>
    <w:rsid w:val="1E523514"/>
    <w:rsid w:val="1E714A66"/>
    <w:rsid w:val="1E802593"/>
    <w:rsid w:val="1E8B6156"/>
    <w:rsid w:val="1E91399D"/>
    <w:rsid w:val="1EA03724"/>
    <w:rsid w:val="1EA41923"/>
    <w:rsid w:val="1EA703CC"/>
    <w:rsid w:val="1EB47AA8"/>
    <w:rsid w:val="1EB7330C"/>
    <w:rsid w:val="1F0A0FF3"/>
    <w:rsid w:val="1F5771FF"/>
    <w:rsid w:val="1F904124"/>
    <w:rsid w:val="1FAD7B0D"/>
    <w:rsid w:val="1FC73179"/>
    <w:rsid w:val="1FE868A9"/>
    <w:rsid w:val="20034907"/>
    <w:rsid w:val="20173E4B"/>
    <w:rsid w:val="20361CE9"/>
    <w:rsid w:val="204E48BC"/>
    <w:rsid w:val="20622AB2"/>
    <w:rsid w:val="208921B3"/>
    <w:rsid w:val="20973DEB"/>
    <w:rsid w:val="20B26522"/>
    <w:rsid w:val="20B44310"/>
    <w:rsid w:val="20F52909"/>
    <w:rsid w:val="210F3994"/>
    <w:rsid w:val="211116EB"/>
    <w:rsid w:val="212E76D6"/>
    <w:rsid w:val="2132536A"/>
    <w:rsid w:val="216133FC"/>
    <w:rsid w:val="217C7701"/>
    <w:rsid w:val="21D56769"/>
    <w:rsid w:val="21DC5877"/>
    <w:rsid w:val="21E52EF3"/>
    <w:rsid w:val="21FB5D7B"/>
    <w:rsid w:val="22015E94"/>
    <w:rsid w:val="220B1C3D"/>
    <w:rsid w:val="22186033"/>
    <w:rsid w:val="221D1D20"/>
    <w:rsid w:val="22334A87"/>
    <w:rsid w:val="22407560"/>
    <w:rsid w:val="22651ABC"/>
    <w:rsid w:val="226D42F6"/>
    <w:rsid w:val="22BE6801"/>
    <w:rsid w:val="23047A11"/>
    <w:rsid w:val="233500BF"/>
    <w:rsid w:val="23377FF7"/>
    <w:rsid w:val="233A565A"/>
    <w:rsid w:val="233C211C"/>
    <w:rsid w:val="236B425F"/>
    <w:rsid w:val="23836192"/>
    <w:rsid w:val="23901F29"/>
    <w:rsid w:val="239C0061"/>
    <w:rsid w:val="23B908A4"/>
    <w:rsid w:val="23E95BEF"/>
    <w:rsid w:val="23F70746"/>
    <w:rsid w:val="23FD0064"/>
    <w:rsid w:val="24122282"/>
    <w:rsid w:val="245375B0"/>
    <w:rsid w:val="24642C0A"/>
    <w:rsid w:val="246F652F"/>
    <w:rsid w:val="24997A50"/>
    <w:rsid w:val="24B22173"/>
    <w:rsid w:val="24B93C4E"/>
    <w:rsid w:val="24B95AD9"/>
    <w:rsid w:val="24BE24DA"/>
    <w:rsid w:val="24CF5825"/>
    <w:rsid w:val="24D663E6"/>
    <w:rsid w:val="24D77F2B"/>
    <w:rsid w:val="251931C4"/>
    <w:rsid w:val="254A703B"/>
    <w:rsid w:val="254D36B0"/>
    <w:rsid w:val="258B00E2"/>
    <w:rsid w:val="25956469"/>
    <w:rsid w:val="25A917A6"/>
    <w:rsid w:val="25B42C20"/>
    <w:rsid w:val="25BE27CC"/>
    <w:rsid w:val="25C96D92"/>
    <w:rsid w:val="25F74A5C"/>
    <w:rsid w:val="260047A6"/>
    <w:rsid w:val="26042723"/>
    <w:rsid w:val="2628662C"/>
    <w:rsid w:val="262D45DE"/>
    <w:rsid w:val="265A4FBD"/>
    <w:rsid w:val="266876DA"/>
    <w:rsid w:val="26871DC8"/>
    <w:rsid w:val="26A06AEA"/>
    <w:rsid w:val="26A53EF9"/>
    <w:rsid w:val="26A94201"/>
    <w:rsid w:val="26AC274F"/>
    <w:rsid w:val="26B15520"/>
    <w:rsid w:val="26C37006"/>
    <w:rsid w:val="27044A29"/>
    <w:rsid w:val="270A69E3"/>
    <w:rsid w:val="270D0373"/>
    <w:rsid w:val="271D34C8"/>
    <w:rsid w:val="276142BF"/>
    <w:rsid w:val="27783712"/>
    <w:rsid w:val="27907362"/>
    <w:rsid w:val="28147979"/>
    <w:rsid w:val="28333E1D"/>
    <w:rsid w:val="283D7F45"/>
    <w:rsid w:val="28454BD6"/>
    <w:rsid w:val="28455253"/>
    <w:rsid w:val="28551971"/>
    <w:rsid w:val="285B1C53"/>
    <w:rsid w:val="28750676"/>
    <w:rsid w:val="289F7086"/>
    <w:rsid w:val="28C32028"/>
    <w:rsid w:val="28CC490F"/>
    <w:rsid w:val="28DE40AA"/>
    <w:rsid w:val="28F25980"/>
    <w:rsid w:val="292250A7"/>
    <w:rsid w:val="29345E77"/>
    <w:rsid w:val="29433BA2"/>
    <w:rsid w:val="294C65AD"/>
    <w:rsid w:val="296A5517"/>
    <w:rsid w:val="29790CBE"/>
    <w:rsid w:val="29806583"/>
    <w:rsid w:val="298B3C4C"/>
    <w:rsid w:val="29F26D24"/>
    <w:rsid w:val="2A15033F"/>
    <w:rsid w:val="2A1662C1"/>
    <w:rsid w:val="2A1C7367"/>
    <w:rsid w:val="2A2815FA"/>
    <w:rsid w:val="2A4A162B"/>
    <w:rsid w:val="2A6D6092"/>
    <w:rsid w:val="2A7D76B4"/>
    <w:rsid w:val="2A825080"/>
    <w:rsid w:val="2AAA2063"/>
    <w:rsid w:val="2AD30360"/>
    <w:rsid w:val="2B437463"/>
    <w:rsid w:val="2B603075"/>
    <w:rsid w:val="2B7807EE"/>
    <w:rsid w:val="2BA50BF7"/>
    <w:rsid w:val="2BBF00EC"/>
    <w:rsid w:val="2BC37CFD"/>
    <w:rsid w:val="2BD5237F"/>
    <w:rsid w:val="2BE536CE"/>
    <w:rsid w:val="2BE758D9"/>
    <w:rsid w:val="2C09049E"/>
    <w:rsid w:val="2C0A653C"/>
    <w:rsid w:val="2C191F85"/>
    <w:rsid w:val="2C720EE2"/>
    <w:rsid w:val="2C7D3887"/>
    <w:rsid w:val="2CE82D6F"/>
    <w:rsid w:val="2CF02F61"/>
    <w:rsid w:val="2D037DFD"/>
    <w:rsid w:val="2D343236"/>
    <w:rsid w:val="2DD15014"/>
    <w:rsid w:val="2DF72DE4"/>
    <w:rsid w:val="2E0220AF"/>
    <w:rsid w:val="2E4B082A"/>
    <w:rsid w:val="2E5D4E86"/>
    <w:rsid w:val="2E5D790B"/>
    <w:rsid w:val="2E8D60F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1E931F7"/>
    <w:rsid w:val="32517576"/>
    <w:rsid w:val="32BE5C2C"/>
    <w:rsid w:val="32C64E6F"/>
    <w:rsid w:val="32D63C1D"/>
    <w:rsid w:val="32FB6478"/>
    <w:rsid w:val="332410BB"/>
    <w:rsid w:val="33263B3F"/>
    <w:rsid w:val="33475064"/>
    <w:rsid w:val="336963EB"/>
    <w:rsid w:val="33756F9C"/>
    <w:rsid w:val="33816EEB"/>
    <w:rsid w:val="33EB55CD"/>
    <w:rsid w:val="33EC4C02"/>
    <w:rsid w:val="33FC5673"/>
    <w:rsid w:val="33FF7F86"/>
    <w:rsid w:val="340D2360"/>
    <w:rsid w:val="3410665D"/>
    <w:rsid w:val="34211214"/>
    <w:rsid w:val="342E63AB"/>
    <w:rsid w:val="34950E68"/>
    <w:rsid w:val="34986E94"/>
    <w:rsid w:val="34A27892"/>
    <w:rsid w:val="34A55F9D"/>
    <w:rsid w:val="34AF62C9"/>
    <w:rsid w:val="34CB4388"/>
    <w:rsid w:val="34CE1050"/>
    <w:rsid w:val="34EF55D5"/>
    <w:rsid w:val="34FA6E12"/>
    <w:rsid w:val="35280085"/>
    <w:rsid w:val="354D7158"/>
    <w:rsid w:val="358D5588"/>
    <w:rsid w:val="360246AF"/>
    <w:rsid w:val="363A3B40"/>
    <w:rsid w:val="365302AE"/>
    <w:rsid w:val="36607A0A"/>
    <w:rsid w:val="366E227C"/>
    <w:rsid w:val="366F2E0D"/>
    <w:rsid w:val="367B6A5C"/>
    <w:rsid w:val="367D5E6C"/>
    <w:rsid w:val="36A74ADA"/>
    <w:rsid w:val="36AD60D5"/>
    <w:rsid w:val="36B129D7"/>
    <w:rsid w:val="36B224F9"/>
    <w:rsid w:val="36EC0CC9"/>
    <w:rsid w:val="371E0226"/>
    <w:rsid w:val="373F410B"/>
    <w:rsid w:val="37BF7375"/>
    <w:rsid w:val="37EE7094"/>
    <w:rsid w:val="380E11B5"/>
    <w:rsid w:val="38296C89"/>
    <w:rsid w:val="383002EB"/>
    <w:rsid w:val="38586797"/>
    <w:rsid w:val="38BC0149"/>
    <w:rsid w:val="38D87D1C"/>
    <w:rsid w:val="3902576C"/>
    <w:rsid w:val="39403E42"/>
    <w:rsid w:val="39624AD9"/>
    <w:rsid w:val="39636459"/>
    <w:rsid w:val="396B7F6C"/>
    <w:rsid w:val="39B417A9"/>
    <w:rsid w:val="39CF79FB"/>
    <w:rsid w:val="39FC5695"/>
    <w:rsid w:val="3A00388D"/>
    <w:rsid w:val="3A006D8E"/>
    <w:rsid w:val="3A190FBF"/>
    <w:rsid w:val="3A204F94"/>
    <w:rsid w:val="3A3651E5"/>
    <w:rsid w:val="3A744481"/>
    <w:rsid w:val="3A8C7BEF"/>
    <w:rsid w:val="3A906246"/>
    <w:rsid w:val="3A995C5C"/>
    <w:rsid w:val="3AAA1C17"/>
    <w:rsid w:val="3ADF21C2"/>
    <w:rsid w:val="3AE67AB9"/>
    <w:rsid w:val="3B147F21"/>
    <w:rsid w:val="3B2349B7"/>
    <w:rsid w:val="3B616CFF"/>
    <w:rsid w:val="3B6259F6"/>
    <w:rsid w:val="3B862684"/>
    <w:rsid w:val="3B976654"/>
    <w:rsid w:val="3BC01EFC"/>
    <w:rsid w:val="3BCA786A"/>
    <w:rsid w:val="3BD31E2F"/>
    <w:rsid w:val="3BD74C8E"/>
    <w:rsid w:val="3BF15831"/>
    <w:rsid w:val="3C105946"/>
    <w:rsid w:val="3C471448"/>
    <w:rsid w:val="3C5F759A"/>
    <w:rsid w:val="3C6C525A"/>
    <w:rsid w:val="3C7760E1"/>
    <w:rsid w:val="3CAD3311"/>
    <w:rsid w:val="3CCE23CB"/>
    <w:rsid w:val="3CD17D17"/>
    <w:rsid w:val="3D3C7F39"/>
    <w:rsid w:val="3D422F12"/>
    <w:rsid w:val="3D440F09"/>
    <w:rsid w:val="3D4504A0"/>
    <w:rsid w:val="3D8734BB"/>
    <w:rsid w:val="3D9A11D4"/>
    <w:rsid w:val="3DA16D89"/>
    <w:rsid w:val="3DA364BE"/>
    <w:rsid w:val="3DE041CB"/>
    <w:rsid w:val="3E0D48F6"/>
    <w:rsid w:val="3E1868B4"/>
    <w:rsid w:val="3E377251"/>
    <w:rsid w:val="3E42664B"/>
    <w:rsid w:val="3E58678A"/>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74527"/>
    <w:rsid w:val="4019356B"/>
    <w:rsid w:val="40592157"/>
    <w:rsid w:val="406E1CAE"/>
    <w:rsid w:val="40A0133A"/>
    <w:rsid w:val="40C1415E"/>
    <w:rsid w:val="40C31A53"/>
    <w:rsid w:val="40D55514"/>
    <w:rsid w:val="40FF545D"/>
    <w:rsid w:val="410067C8"/>
    <w:rsid w:val="4152091B"/>
    <w:rsid w:val="416176D3"/>
    <w:rsid w:val="418F0D2A"/>
    <w:rsid w:val="4198795D"/>
    <w:rsid w:val="41D01505"/>
    <w:rsid w:val="41DD5DCE"/>
    <w:rsid w:val="42132D21"/>
    <w:rsid w:val="4246491B"/>
    <w:rsid w:val="42474939"/>
    <w:rsid w:val="424C3C57"/>
    <w:rsid w:val="42613FF3"/>
    <w:rsid w:val="42660D96"/>
    <w:rsid w:val="428667D2"/>
    <w:rsid w:val="42951DBC"/>
    <w:rsid w:val="42CD1CE0"/>
    <w:rsid w:val="42E1381E"/>
    <w:rsid w:val="42ED6459"/>
    <w:rsid w:val="42FE58DD"/>
    <w:rsid w:val="43174B3D"/>
    <w:rsid w:val="4339622E"/>
    <w:rsid w:val="434B790E"/>
    <w:rsid w:val="434C75CB"/>
    <w:rsid w:val="4360274F"/>
    <w:rsid w:val="437D25BE"/>
    <w:rsid w:val="43977AB6"/>
    <w:rsid w:val="43A3342B"/>
    <w:rsid w:val="43B243C5"/>
    <w:rsid w:val="43C77C27"/>
    <w:rsid w:val="43DE09EE"/>
    <w:rsid w:val="43EC14F2"/>
    <w:rsid w:val="44002FAD"/>
    <w:rsid w:val="441C37AA"/>
    <w:rsid w:val="444B3D92"/>
    <w:rsid w:val="449101DD"/>
    <w:rsid w:val="449A2CFC"/>
    <w:rsid w:val="44CD797E"/>
    <w:rsid w:val="44DE1391"/>
    <w:rsid w:val="44E61BF1"/>
    <w:rsid w:val="451B225C"/>
    <w:rsid w:val="451E0AF1"/>
    <w:rsid w:val="452410C9"/>
    <w:rsid w:val="45317DFB"/>
    <w:rsid w:val="456D3CE4"/>
    <w:rsid w:val="4579042C"/>
    <w:rsid w:val="457F0571"/>
    <w:rsid w:val="45851176"/>
    <w:rsid w:val="45C55BC2"/>
    <w:rsid w:val="45C63B94"/>
    <w:rsid w:val="460E7DA5"/>
    <w:rsid w:val="46195EA3"/>
    <w:rsid w:val="46422483"/>
    <w:rsid w:val="464473C4"/>
    <w:rsid w:val="464A0752"/>
    <w:rsid w:val="464E1FF0"/>
    <w:rsid w:val="4659254A"/>
    <w:rsid w:val="465B0637"/>
    <w:rsid w:val="465E3F0D"/>
    <w:rsid w:val="466A16E6"/>
    <w:rsid w:val="46893F2B"/>
    <w:rsid w:val="46C444E6"/>
    <w:rsid w:val="46C4686E"/>
    <w:rsid w:val="46FE5BC0"/>
    <w:rsid w:val="477B778F"/>
    <w:rsid w:val="478203EC"/>
    <w:rsid w:val="47956946"/>
    <w:rsid w:val="47B025FA"/>
    <w:rsid w:val="47FD3CCE"/>
    <w:rsid w:val="480473E7"/>
    <w:rsid w:val="4809698F"/>
    <w:rsid w:val="4811697D"/>
    <w:rsid w:val="487A3E25"/>
    <w:rsid w:val="488B5503"/>
    <w:rsid w:val="48937E21"/>
    <w:rsid w:val="489A0361"/>
    <w:rsid w:val="48A8102D"/>
    <w:rsid w:val="48B94FF3"/>
    <w:rsid w:val="48E37AAB"/>
    <w:rsid w:val="48FD4B4C"/>
    <w:rsid w:val="490A68E0"/>
    <w:rsid w:val="491055FE"/>
    <w:rsid w:val="492F5D76"/>
    <w:rsid w:val="495F5B3E"/>
    <w:rsid w:val="496F77D7"/>
    <w:rsid w:val="497654FD"/>
    <w:rsid w:val="497A30FC"/>
    <w:rsid w:val="49B64211"/>
    <w:rsid w:val="49D41AAC"/>
    <w:rsid w:val="49F6167F"/>
    <w:rsid w:val="4A064FA0"/>
    <w:rsid w:val="4A16615C"/>
    <w:rsid w:val="4A4424D7"/>
    <w:rsid w:val="4A553B36"/>
    <w:rsid w:val="4AA23939"/>
    <w:rsid w:val="4AB82D0F"/>
    <w:rsid w:val="4AEB7664"/>
    <w:rsid w:val="4AFD7C19"/>
    <w:rsid w:val="4B0567D1"/>
    <w:rsid w:val="4B236AAE"/>
    <w:rsid w:val="4B2F799D"/>
    <w:rsid w:val="4B4C1113"/>
    <w:rsid w:val="4B5F2907"/>
    <w:rsid w:val="4B707271"/>
    <w:rsid w:val="4B9739F7"/>
    <w:rsid w:val="4BB01057"/>
    <w:rsid w:val="4BEE2503"/>
    <w:rsid w:val="4BF727EA"/>
    <w:rsid w:val="4C150274"/>
    <w:rsid w:val="4C245A30"/>
    <w:rsid w:val="4C6D0CF6"/>
    <w:rsid w:val="4CB6685F"/>
    <w:rsid w:val="4CC367FE"/>
    <w:rsid w:val="4CE40929"/>
    <w:rsid w:val="4D077F3C"/>
    <w:rsid w:val="4D123355"/>
    <w:rsid w:val="4D2A3B31"/>
    <w:rsid w:val="4D312C52"/>
    <w:rsid w:val="4D330192"/>
    <w:rsid w:val="4D834C75"/>
    <w:rsid w:val="4D905305"/>
    <w:rsid w:val="4D9329DF"/>
    <w:rsid w:val="4D964A72"/>
    <w:rsid w:val="4D9C1254"/>
    <w:rsid w:val="4D9E5B15"/>
    <w:rsid w:val="4DAE2411"/>
    <w:rsid w:val="4DDE0552"/>
    <w:rsid w:val="4E1458CD"/>
    <w:rsid w:val="4E201A58"/>
    <w:rsid w:val="4E793892"/>
    <w:rsid w:val="4E800872"/>
    <w:rsid w:val="4EC569ED"/>
    <w:rsid w:val="4ECB5AAD"/>
    <w:rsid w:val="4ED50EA1"/>
    <w:rsid w:val="4EEC050C"/>
    <w:rsid w:val="4F104EC3"/>
    <w:rsid w:val="4F47354A"/>
    <w:rsid w:val="4F836998"/>
    <w:rsid w:val="4F911C54"/>
    <w:rsid w:val="4FE625E0"/>
    <w:rsid w:val="5021480F"/>
    <w:rsid w:val="505C301C"/>
    <w:rsid w:val="505D502C"/>
    <w:rsid w:val="50962ECB"/>
    <w:rsid w:val="50A42E38"/>
    <w:rsid w:val="50A4577F"/>
    <w:rsid w:val="50B73D1F"/>
    <w:rsid w:val="50BD5BC9"/>
    <w:rsid w:val="50C11EEE"/>
    <w:rsid w:val="50E97CFC"/>
    <w:rsid w:val="50FA4028"/>
    <w:rsid w:val="510065DD"/>
    <w:rsid w:val="510D65B7"/>
    <w:rsid w:val="511157AB"/>
    <w:rsid w:val="5142540C"/>
    <w:rsid w:val="518832C8"/>
    <w:rsid w:val="519531C9"/>
    <w:rsid w:val="519D3C50"/>
    <w:rsid w:val="51A0432A"/>
    <w:rsid w:val="51A86090"/>
    <w:rsid w:val="51B7396D"/>
    <w:rsid w:val="522E4CC3"/>
    <w:rsid w:val="5244713B"/>
    <w:rsid w:val="52615633"/>
    <w:rsid w:val="526F4DE4"/>
    <w:rsid w:val="5287592D"/>
    <w:rsid w:val="52977FD4"/>
    <w:rsid w:val="52A25790"/>
    <w:rsid w:val="52A96B6F"/>
    <w:rsid w:val="52B45975"/>
    <w:rsid w:val="52D94AA4"/>
    <w:rsid w:val="52EA3A62"/>
    <w:rsid w:val="52F50BB8"/>
    <w:rsid w:val="52F61A46"/>
    <w:rsid w:val="53097272"/>
    <w:rsid w:val="530F48B5"/>
    <w:rsid w:val="53376E9E"/>
    <w:rsid w:val="534C1537"/>
    <w:rsid w:val="53544462"/>
    <w:rsid w:val="53754537"/>
    <w:rsid w:val="53780771"/>
    <w:rsid w:val="5397158E"/>
    <w:rsid w:val="53E325D5"/>
    <w:rsid w:val="54013861"/>
    <w:rsid w:val="54487265"/>
    <w:rsid w:val="544D6070"/>
    <w:rsid w:val="54520EFE"/>
    <w:rsid w:val="54605E1E"/>
    <w:rsid w:val="549556E2"/>
    <w:rsid w:val="54B3506A"/>
    <w:rsid w:val="54C55B73"/>
    <w:rsid w:val="54CA0D16"/>
    <w:rsid w:val="54DD4057"/>
    <w:rsid w:val="54E7490F"/>
    <w:rsid w:val="54F75F49"/>
    <w:rsid w:val="550764A4"/>
    <w:rsid w:val="550B2BF6"/>
    <w:rsid w:val="55191A1B"/>
    <w:rsid w:val="551A3A79"/>
    <w:rsid w:val="55214EB5"/>
    <w:rsid w:val="55364EFD"/>
    <w:rsid w:val="555D4828"/>
    <w:rsid w:val="55664241"/>
    <w:rsid w:val="557A4C8B"/>
    <w:rsid w:val="558931E1"/>
    <w:rsid w:val="55923347"/>
    <w:rsid w:val="55925180"/>
    <w:rsid w:val="55983B1B"/>
    <w:rsid w:val="559B68D4"/>
    <w:rsid w:val="55A8376B"/>
    <w:rsid w:val="55D122F6"/>
    <w:rsid w:val="55DC29B6"/>
    <w:rsid w:val="55DD4241"/>
    <w:rsid w:val="55EE10FA"/>
    <w:rsid w:val="562C39D0"/>
    <w:rsid w:val="566B6D1E"/>
    <w:rsid w:val="56B71078"/>
    <w:rsid w:val="57032A2C"/>
    <w:rsid w:val="570F5219"/>
    <w:rsid w:val="572E78E5"/>
    <w:rsid w:val="575D12B5"/>
    <w:rsid w:val="57610A87"/>
    <w:rsid w:val="57684EDC"/>
    <w:rsid w:val="57715B3F"/>
    <w:rsid w:val="577B1140"/>
    <w:rsid w:val="577B7F21"/>
    <w:rsid w:val="577F181B"/>
    <w:rsid w:val="57921984"/>
    <w:rsid w:val="579737F0"/>
    <w:rsid w:val="57AB7B30"/>
    <w:rsid w:val="57AC43C7"/>
    <w:rsid w:val="57AF5251"/>
    <w:rsid w:val="57B26373"/>
    <w:rsid w:val="57B63F04"/>
    <w:rsid w:val="57CD20C2"/>
    <w:rsid w:val="57D675AB"/>
    <w:rsid w:val="57D95FDD"/>
    <w:rsid w:val="58096624"/>
    <w:rsid w:val="582C1122"/>
    <w:rsid w:val="58596FB4"/>
    <w:rsid w:val="585F62DF"/>
    <w:rsid w:val="58763360"/>
    <w:rsid w:val="58917D2F"/>
    <w:rsid w:val="5894085C"/>
    <w:rsid w:val="58AE4F0C"/>
    <w:rsid w:val="58B85899"/>
    <w:rsid w:val="58C41652"/>
    <w:rsid w:val="58CE0D6F"/>
    <w:rsid w:val="58CF5213"/>
    <w:rsid w:val="58E363A9"/>
    <w:rsid w:val="591E264C"/>
    <w:rsid w:val="595E1678"/>
    <w:rsid w:val="596D5BD4"/>
    <w:rsid w:val="597E3DD8"/>
    <w:rsid w:val="599B0F4B"/>
    <w:rsid w:val="599E5B95"/>
    <w:rsid w:val="59F80043"/>
    <w:rsid w:val="5A09252F"/>
    <w:rsid w:val="5A0B2778"/>
    <w:rsid w:val="5A2A7C7B"/>
    <w:rsid w:val="5A3E2560"/>
    <w:rsid w:val="5A5D3B6E"/>
    <w:rsid w:val="5A637A76"/>
    <w:rsid w:val="5A6D33BA"/>
    <w:rsid w:val="5A7871E4"/>
    <w:rsid w:val="5A7914CD"/>
    <w:rsid w:val="5A792B1F"/>
    <w:rsid w:val="5A874767"/>
    <w:rsid w:val="5A93401E"/>
    <w:rsid w:val="5AA13C8E"/>
    <w:rsid w:val="5AA85BE2"/>
    <w:rsid w:val="5AAD6F28"/>
    <w:rsid w:val="5ABE2749"/>
    <w:rsid w:val="5AD63A24"/>
    <w:rsid w:val="5AE51A4D"/>
    <w:rsid w:val="5B2E1A1D"/>
    <w:rsid w:val="5B3061CC"/>
    <w:rsid w:val="5B821789"/>
    <w:rsid w:val="5B843A1C"/>
    <w:rsid w:val="5B873E3F"/>
    <w:rsid w:val="5C02690E"/>
    <w:rsid w:val="5C196DA7"/>
    <w:rsid w:val="5C2A048C"/>
    <w:rsid w:val="5C4D2220"/>
    <w:rsid w:val="5C6D406A"/>
    <w:rsid w:val="5C765E63"/>
    <w:rsid w:val="5C80234E"/>
    <w:rsid w:val="5C8A680C"/>
    <w:rsid w:val="5CA109A2"/>
    <w:rsid w:val="5CAA564F"/>
    <w:rsid w:val="5CE51D10"/>
    <w:rsid w:val="5CFD1E17"/>
    <w:rsid w:val="5D0C4701"/>
    <w:rsid w:val="5D0F0395"/>
    <w:rsid w:val="5D1A006B"/>
    <w:rsid w:val="5D221076"/>
    <w:rsid w:val="5D397964"/>
    <w:rsid w:val="5D4C2378"/>
    <w:rsid w:val="5D5A391C"/>
    <w:rsid w:val="5D5F10C0"/>
    <w:rsid w:val="5D6D01BF"/>
    <w:rsid w:val="5D790E2F"/>
    <w:rsid w:val="5D891B7B"/>
    <w:rsid w:val="5DA402F0"/>
    <w:rsid w:val="5DAD38EE"/>
    <w:rsid w:val="5DBA5079"/>
    <w:rsid w:val="5DE66666"/>
    <w:rsid w:val="5E006862"/>
    <w:rsid w:val="5E0207B9"/>
    <w:rsid w:val="5E1834A1"/>
    <w:rsid w:val="5E261785"/>
    <w:rsid w:val="5E3F0AE5"/>
    <w:rsid w:val="5E4A7017"/>
    <w:rsid w:val="5E552BBA"/>
    <w:rsid w:val="5E611C10"/>
    <w:rsid w:val="5E7A0F3F"/>
    <w:rsid w:val="5EF332DD"/>
    <w:rsid w:val="5EF527CE"/>
    <w:rsid w:val="5EFC7377"/>
    <w:rsid w:val="5F06174D"/>
    <w:rsid w:val="5F3A3602"/>
    <w:rsid w:val="5F45733B"/>
    <w:rsid w:val="5F6277C6"/>
    <w:rsid w:val="5F6D0B1D"/>
    <w:rsid w:val="5F8D0B82"/>
    <w:rsid w:val="5FCC5339"/>
    <w:rsid w:val="5FE34A5B"/>
    <w:rsid w:val="5FFE1E36"/>
    <w:rsid w:val="601B1160"/>
    <w:rsid w:val="60232584"/>
    <w:rsid w:val="604714C1"/>
    <w:rsid w:val="607330CE"/>
    <w:rsid w:val="607466A0"/>
    <w:rsid w:val="60825176"/>
    <w:rsid w:val="609F2AC4"/>
    <w:rsid w:val="60FA2EE8"/>
    <w:rsid w:val="61054A27"/>
    <w:rsid w:val="610A52BC"/>
    <w:rsid w:val="610D059B"/>
    <w:rsid w:val="611D2366"/>
    <w:rsid w:val="61421856"/>
    <w:rsid w:val="615227C4"/>
    <w:rsid w:val="61654E3F"/>
    <w:rsid w:val="617D1968"/>
    <w:rsid w:val="6182292A"/>
    <w:rsid w:val="618A738C"/>
    <w:rsid w:val="619C04EF"/>
    <w:rsid w:val="619F7F92"/>
    <w:rsid w:val="61F94C26"/>
    <w:rsid w:val="62000E56"/>
    <w:rsid w:val="624B1296"/>
    <w:rsid w:val="624F3E49"/>
    <w:rsid w:val="62632286"/>
    <w:rsid w:val="62885958"/>
    <w:rsid w:val="628D38D1"/>
    <w:rsid w:val="62CF72F8"/>
    <w:rsid w:val="62F40B65"/>
    <w:rsid w:val="62FC2CFE"/>
    <w:rsid w:val="63024505"/>
    <w:rsid w:val="634E24E0"/>
    <w:rsid w:val="635600A5"/>
    <w:rsid w:val="635B1DB5"/>
    <w:rsid w:val="63711FED"/>
    <w:rsid w:val="63880DDC"/>
    <w:rsid w:val="638D750D"/>
    <w:rsid w:val="63AC6CC0"/>
    <w:rsid w:val="63F23480"/>
    <w:rsid w:val="64055776"/>
    <w:rsid w:val="641F5B67"/>
    <w:rsid w:val="64240056"/>
    <w:rsid w:val="64341C13"/>
    <w:rsid w:val="643E143A"/>
    <w:rsid w:val="64491666"/>
    <w:rsid w:val="644F5459"/>
    <w:rsid w:val="64691305"/>
    <w:rsid w:val="648B6EEF"/>
    <w:rsid w:val="64C158BF"/>
    <w:rsid w:val="64CE2EAA"/>
    <w:rsid w:val="64CF0348"/>
    <w:rsid w:val="653C3090"/>
    <w:rsid w:val="65401246"/>
    <w:rsid w:val="65562818"/>
    <w:rsid w:val="65854376"/>
    <w:rsid w:val="658767BE"/>
    <w:rsid w:val="65892531"/>
    <w:rsid w:val="65C634F9"/>
    <w:rsid w:val="65CC62CA"/>
    <w:rsid w:val="65D877BB"/>
    <w:rsid w:val="66195831"/>
    <w:rsid w:val="662E75B1"/>
    <w:rsid w:val="66342C2E"/>
    <w:rsid w:val="663E784C"/>
    <w:rsid w:val="664B7EA3"/>
    <w:rsid w:val="668A0D6B"/>
    <w:rsid w:val="668B6A45"/>
    <w:rsid w:val="66D863DF"/>
    <w:rsid w:val="66E33128"/>
    <w:rsid w:val="66E83943"/>
    <w:rsid w:val="67112C4A"/>
    <w:rsid w:val="672F3F24"/>
    <w:rsid w:val="673E055F"/>
    <w:rsid w:val="67551CE3"/>
    <w:rsid w:val="676D546F"/>
    <w:rsid w:val="67A22552"/>
    <w:rsid w:val="67B22DCC"/>
    <w:rsid w:val="67BE71AA"/>
    <w:rsid w:val="67CF7323"/>
    <w:rsid w:val="67D90273"/>
    <w:rsid w:val="67D92476"/>
    <w:rsid w:val="67DE5875"/>
    <w:rsid w:val="67E1286C"/>
    <w:rsid w:val="67E55852"/>
    <w:rsid w:val="67EB1AB4"/>
    <w:rsid w:val="67FA1285"/>
    <w:rsid w:val="68203D1B"/>
    <w:rsid w:val="68551F4F"/>
    <w:rsid w:val="687C10C9"/>
    <w:rsid w:val="68840C16"/>
    <w:rsid w:val="68876EFB"/>
    <w:rsid w:val="68884654"/>
    <w:rsid w:val="689F444F"/>
    <w:rsid w:val="68B96DBB"/>
    <w:rsid w:val="68CA2805"/>
    <w:rsid w:val="68E937A3"/>
    <w:rsid w:val="68F264B9"/>
    <w:rsid w:val="68FB149A"/>
    <w:rsid w:val="691B3DD3"/>
    <w:rsid w:val="692E2278"/>
    <w:rsid w:val="693E15D3"/>
    <w:rsid w:val="69627681"/>
    <w:rsid w:val="6977531D"/>
    <w:rsid w:val="69CC2BFF"/>
    <w:rsid w:val="69F35EE6"/>
    <w:rsid w:val="69FD55B8"/>
    <w:rsid w:val="6A0B1C62"/>
    <w:rsid w:val="6A2406C8"/>
    <w:rsid w:val="6A2627B9"/>
    <w:rsid w:val="6A2F6D4A"/>
    <w:rsid w:val="6A60030A"/>
    <w:rsid w:val="6A9A1ADF"/>
    <w:rsid w:val="6ADE0BD1"/>
    <w:rsid w:val="6ADF7409"/>
    <w:rsid w:val="6AE81378"/>
    <w:rsid w:val="6AE96859"/>
    <w:rsid w:val="6AFF774B"/>
    <w:rsid w:val="6B147746"/>
    <w:rsid w:val="6B24787C"/>
    <w:rsid w:val="6B4B135A"/>
    <w:rsid w:val="6B573233"/>
    <w:rsid w:val="6B5B6274"/>
    <w:rsid w:val="6B6356B9"/>
    <w:rsid w:val="6B935D53"/>
    <w:rsid w:val="6B9D4CFC"/>
    <w:rsid w:val="6BD20370"/>
    <w:rsid w:val="6C1316F7"/>
    <w:rsid w:val="6C196F71"/>
    <w:rsid w:val="6C226FCB"/>
    <w:rsid w:val="6C31226F"/>
    <w:rsid w:val="6C517EC7"/>
    <w:rsid w:val="6C53505A"/>
    <w:rsid w:val="6C552F0B"/>
    <w:rsid w:val="6C8C67B7"/>
    <w:rsid w:val="6C9D744C"/>
    <w:rsid w:val="6CDC0A28"/>
    <w:rsid w:val="6D167928"/>
    <w:rsid w:val="6D26299B"/>
    <w:rsid w:val="6D4772EC"/>
    <w:rsid w:val="6D9078AF"/>
    <w:rsid w:val="6DAA3FEF"/>
    <w:rsid w:val="6DC0172B"/>
    <w:rsid w:val="6DC903DE"/>
    <w:rsid w:val="6DCB690C"/>
    <w:rsid w:val="6DD41A5B"/>
    <w:rsid w:val="6DDB7D5E"/>
    <w:rsid w:val="6DF43C2E"/>
    <w:rsid w:val="6DF51CA3"/>
    <w:rsid w:val="6E0E0133"/>
    <w:rsid w:val="6E3155F7"/>
    <w:rsid w:val="6E8335BD"/>
    <w:rsid w:val="6E8E12EF"/>
    <w:rsid w:val="6E972936"/>
    <w:rsid w:val="6ED446C5"/>
    <w:rsid w:val="6F2A7D94"/>
    <w:rsid w:val="6F5C0EDE"/>
    <w:rsid w:val="6F8331F1"/>
    <w:rsid w:val="6FAE1A09"/>
    <w:rsid w:val="6FBC59BA"/>
    <w:rsid w:val="6FD75BF8"/>
    <w:rsid w:val="707324D0"/>
    <w:rsid w:val="707723D0"/>
    <w:rsid w:val="70862203"/>
    <w:rsid w:val="70D37F0E"/>
    <w:rsid w:val="70F5661B"/>
    <w:rsid w:val="71360107"/>
    <w:rsid w:val="713B688E"/>
    <w:rsid w:val="713E0B8F"/>
    <w:rsid w:val="714459EF"/>
    <w:rsid w:val="7148279F"/>
    <w:rsid w:val="714D2D21"/>
    <w:rsid w:val="71D43752"/>
    <w:rsid w:val="71E96DDC"/>
    <w:rsid w:val="71F1796A"/>
    <w:rsid w:val="71FB63D5"/>
    <w:rsid w:val="72154626"/>
    <w:rsid w:val="72262B5D"/>
    <w:rsid w:val="72283FF7"/>
    <w:rsid w:val="722E7212"/>
    <w:rsid w:val="723A0474"/>
    <w:rsid w:val="725923E4"/>
    <w:rsid w:val="72864BF7"/>
    <w:rsid w:val="729023FC"/>
    <w:rsid w:val="729C763A"/>
    <w:rsid w:val="729E5013"/>
    <w:rsid w:val="73142912"/>
    <w:rsid w:val="73C0646E"/>
    <w:rsid w:val="73E92965"/>
    <w:rsid w:val="742222F5"/>
    <w:rsid w:val="74476126"/>
    <w:rsid w:val="74706664"/>
    <w:rsid w:val="74791AE3"/>
    <w:rsid w:val="747F3682"/>
    <w:rsid w:val="749A44CF"/>
    <w:rsid w:val="749C4185"/>
    <w:rsid w:val="74E76FE8"/>
    <w:rsid w:val="75067759"/>
    <w:rsid w:val="752E6DCD"/>
    <w:rsid w:val="7551380D"/>
    <w:rsid w:val="755A7918"/>
    <w:rsid w:val="755D394A"/>
    <w:rsid w:val="75600BE5"/>
    <w:rsid w:val="7564475C"/>
    <w:rsid w:val="75774810"/>
    <w:rsid w:val="7583797F"/>
    <w:rsid w:val="759F4AB9"/>
    <w:rsid w:val="75D20F1D"/>
    <w:rsid w:val="75DA2C18"/>
    <w:rsid w:val="75DF48DB"/>
    <w:rsid w:val="75F54412"/>
    <w:rsid w:val="761D08E0"/>
    <w:rsid w:val="7633643A"/>
    <w:rsid w:val="764327B9"/>
    <w:rsid w:val="765D347C"/>
    <w:rsid w:val="76826699"/>
    <w:rsid w:val="76C87133"/>
    <w:rsid w:val="76CD08D5"/>
    <w:rsid w:val="76DB4B92"/>
    <w:rsid w:val="77052AA4"/>
    <w:rsid w:val="77136511"/>
    <w:rsid w:val="77157E52"/>
    <w:rsid w:val="77340A39"/>
    <w:rsid w:val="77351FD0"/>
    <w:rsid w:val="77472422"/>
    <w:rsid w:val="776337C2"/>
    <w:rsid w:val="777727FC"/>
    <w:rsid w:val="777D1965"/>
    <w:rsid w:val="777F31F2"/>
    <w:rsid w:val="778E5E41"/>
    <w:rsid w:val="779720EC"/>
    <w:rsid w:val="77D1700D"/>
    <w:rsid w:val="77EC04CC"/>
    <w:rsid w:val="77EE6736"/>
    <w:rsid w:val="780454B4"/>
    <w:rsid w:val="786A6A9A"/>
    <w:rsid w:val="78775729"/>
    <w:rsid w:val="78A42DB0"/>
    <w:rsid w:val="78A656AB"/>
    <w:rsid w:val="78B2245C"/>
    <w:rsid w:val="78B96EEE"/>
    <w:rsid w:val="78E172CC"/>
    <w:rsid w:val="78EA1D1F"/>
    <w:rsid w:val="79036DC3"/>
    <w:rsid w:val="7904172F"/>
    <w:rsid w:val="790F7E27"/>
    <w:rsid w:val="792A231A"/>
    <w:rsid w:val="79314B25"/>
    <w:rsid w:val="79316829"/>
    <w:rsid w:val="79424897"/>
    <w:rsid w:val="794830FC"/>
    <w:rsid w:val="79631D75"/>
    <w:rsid w:val="797E66A9"/>
    <w:rsid w:val="798518A4"/>
    <w:rsid w:val="798D7F66"/>
    <w:rsid w:val="79A97383"/>
    <w:rsid w:val="79E27E8B"/>
    <w:rsid w:val="79F850CE"/>
    <w:rsid w:val="79FD003C"/>
    <w:rsid w:val="79FD443C"/>
    <w:rsid w:val="7A1D1975"/>
    <w:rsid w:val="7A3E5150"/>
    <w:rsid w:val="7A400926"/>
    <w:rsid w:val="7A4670D6"/>
    <w:rsid w:val="7A534B63"/>
    <w:rsid w:val="7A615382"/>
    <w:rsid w:val="7A67303B"/>
    <w:rsid w:val="7A9279F6"/>
    <w:rsid w:val="7AA1503F"/>
    <w:rsid w:val="7AAB1D04"/>
    <w:rsid w:val="7ABA4368"/>
    <w:rsid w:val="7AD05746"/>
    <w:rsid w:val="7B164183"/>
    <w:rsid w:val="7B257FFD"/>
    <w:rsid w:val="7B343476"/>
    <w:rsid w:val="7B51204A"/>
    <w:rsid w:val="7B5A2978"/>
    <w:rsid w:val="7B5A7E4C"/>
    <w:rsid w:val="7B667AF9"/>
    <w:rsid w:val="7B7468F8"/>
    <w:rsid w:val="7B9250B1"/>
    <w:rsid w:val="7BC34A15"/>
    <w:rsid w:val="7BEE0103"/>
    <w:rsid w:val="7C032906"/>
    <w:rsid w:val="7C0A0FE4"/>
    <w:rsid w:val="7C254906"/>
    <w:rsid w:val="7C590818"/>
    <w:rsid w:val="7C7C10F6"/>
    <w:rsid w:val="7C853BEA"/>
    <w:rsid w:val="7C881368"/>
    <w:rsid w:val="7CD564F7"/>
    <w:rsid w:val="7CDE33C7"/>
    <w:rsid w:val="7CE27788"/>
    <w:rsid w:val="7D0C32F1"/>
    <w:rsid w:val="7D0F408D"/>
    <w:rsid w:val="7D491C6C"/>
    <w:rsid w:val="7D5429C0"/>
    <w:rsid w:val="7D624406"/>
    <w:rsid w:val="7D6E6D43"/>
    <w:rsid w:val="7DB57A34"/>
    <w:rsid w:val="7DBB54B6"/>
    <w:rsid w:val="7DE60973"/>
    <w:rsid w:val="7DEF0916"/>
    <w:rsid w:val="7DFF25D4"/>
    <w:rsid w:val="7E1E5218"/>
    <w:rsid w:val="7E693D3E"/>
    <w:rsid w:val="7E6C679B"/>
    <w:rsid w:val="7E802F68"/>
    <w:rsid w:val="7E9A4E1F"/>
    <w:rsid w:val="7EA7723A"/>
    <w:rsid w:val="7EF56FBB"/>
    <w:rsid w:val="7F0768EB"/>
    <w:rsid w:val="7F122F1E"/>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正文首行缩进 21"/>
    <w:basedOn w:val="83"/>
    <w:autoRedefine/>
    <w:qFormat/>
    <w:uiPriority w:val="0"/>
    <w:pPr>
      <w:ind w:firstLine="420"/>
    </w:pPr>
    <w:rPr>
      <w:szCs w:val="22"/>
    </w:rPr>
  </w:style>
  <w:style w:type="paragraph" w:customStyle="1" w:styleId="83">
    <w:name w:val="正文文本缩进1"/>
    <w:basedOn w:val="1"/>
    <w:autoRedefine/>
    <w:qFormat/>
    <w:uiPriority w:val="0"/>
    <w:pPr>
      <w:spacing w:line="500" w:lineRule="exact"/>
      <w:ind w:firstLine="880" w:firstLineChars="200"/>
    </w:p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6"/>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5"/>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1"/>
    <w:autoRedefine/>
    <w:qFormat/>
    <w:uiPriority w:val="0"/>
    <w:rPr>
      <w:b/>
      <w:bCs/>
      <w:kern w:val="2"/>
      <w:sz w:val="24"/>
      <w:szCs w:val="24"/>
    </w:rPr>
  </w:style>
  <w:style w:type="character" w:customStyle="1" w:styleId="310">
    <w:name w:val="正文文本缩进 2 字符"/>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323"/>
    <w:link w:val="321"/>
    <w:autoRedefine/>
    <w:qFormat/>
    <w:uiPriority w:val="0"/>
    <w:pPr>
      <w:tabs>
        <w:tab w:val="right" w:leader="dot" w:pos="8268"/>
      </w:tabs>
      <w:adjustRightInd/>
    </w:pPr>
    <w:rPr>
      <w:rFonts w:ascii="宋体"/>
      <w:kern w:val="0"/>
      <w:sz w:val="20"/>
      <w:szCs w:val="20"/>
    </w:rPr>
  </w:style>
  <w:style w:type="paragraph" w:customStyle="1" w:styleId="323">
    <w:name w:val="正文1"/>
    <w:basedOn w:val="34"/>
    <w:autoRedefine/>
    <w:qFormat/>
    <w:uiPriority w:val="0"/>
    <w:pPr>
      <w:ind w:left="0" w:leftChars="0" w:firstLine="480" w:firstLineChars="200"/>
    </w:pPr>
    <w:rPr>
      <w:rFonts w:ascii="仿宋_GB2312" w:hAnsi="Courier New" w:eastAsia="仿宋_GB2312"/>
      <w:kern w:val="28"/>
      <w:sz w:val="24"/>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autoRedefine/>
    <w:qFormat/>
    <w:uiPriority w:val="99"/>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0"/>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6"/>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1">
    <w:name w:val="列表段落3"/>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111</Pages>
  <Words>59463</Words>
  <Characters>63193</Characters>
  <Application>WPS Office_12.1.0.17133_F1E327BC-269C-435d-A152-05C5408002CA</Application>
  <DocSecurity>0</DocSecurity>
  <Lines>516</Lines>
  <Paragraphs>145</Paragraphs>
  <ScaleCrop>false</ScaleCrop>
  <LinksUpToDate>false</LinksUpToDate>
  <CharactersWithSpaces>69409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administrator1</cp:lastModifiedBy>
  <cp:revision>8</cp:revision>
  <cp:lastPrinted>2021-12-27T11:06:00Z</cp:lastPrinted>
  <dcterms:created xsi:type="dcterms:W3CDTF">2024-06-14T10:43:00Z</dcterms:created>
  <dcterms:modified xsi:type="dcterms:W3CDTF">2024-06-14T11:46:10Z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ACE9B9FB74B34389A41909CCC6404C46_13</vt:lpwstr>
  </property>
  <property fmtid="{D5CDD505-2E9C-101B-9397-08002B2CF9AE}" pid="5" name="commondata">
    <vt:lpwstr>eyJoZGlkIjoiNGNlMmFkMDQ1NDY0ZmRiM2Q0NjY4NTFjN2IwMTllYjMifQ==</vt:lpwstr>
  </property>
</Properties>
</file>